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3294" w14:textId="4049FE33" w:rsidR="00F83917" w:rsidRPr="00F83917" w:rsidRDefault="00F83917" w:rsidP="00F83917">
      <w:pPr>
        <w:pStyle w:val="Heading1"/>
        <w:rPr>
          <w:lang w:val="en-US"/>
        </w:rPr>
      </w:pPr>
      <w:bookmarkStart w:id="0" w:name="_Hlk93646176"/>
      <w:r w:rsidRPr="00F83917">
        <w:rPr>
          <w:lang w:val="en-US"/>
        </w:rPr>
        <w:t>STANDING YOUR GROUND: EXAMINING THE SIGNALING EFFECTS OF PATENT LITIGATION IN UNIVERSITY TECHNOLOGY LICENSING</w:t>
      </w:r>
    </w:p>
    <w:p w14:paraId="541C9B3B" w14:textId="687C188C" w:rsidR="00F83917" w:rsidRDefault="00F83917" w:rsidP="00376F54">
      <w:bookmarkStart w:id="1" w:name="_GoBack"/>
      <w:bookmarkEnd w:id="1"/>
    </w:p>
    <w:p w14:paraId="7BC6A532" w14:textId="0EBC766A" w:rsidR="00F83917" w:rsidRDefault="00F83917" w:rsidP="00376F54"/>
    <w:p w14:paraId="6F176EBC" w14:textId="77777777" w:rsidR="00F83917" w:rsidRDefault="00F83917" w:rsidP="00376F54">
      <w:pPr>
        <w:sectPr w:rsidR="00F83917" w:rsidSect="00A749A8">
          <w:footerReference w:type="default" r:id="rId9"/>
          <w:pgSz w:w="11901" w:h="16840"/>
          <w:pgMar w:top="1440" w:right="1440" w:bottom="1440" w:left="1440" w:header="720" w:footer="720" w:gutter="0"/>
          <w:cols w:space="720"/>
          <w:noEndnote/>
          <w:docGrid w:linePitch="299"/>
        </w:sectPr>
      </w:pPr>
    </w:p>
    <w:p w14:paraId="706089CC" w14:textId="48D1E137" w:rsidR="004D0B2A" w:rsidRPr="00376F54" w:rsidRDefault="004D0B2A" w:rsidP="00376F54"/>
    <w:p w14:paraId="03CE33C1" w14:textId="2E6FB815" w:rsidR="009D26C6" w:rsidRPr="00211DF0" w:rsidRDefault="00937F3F" w:rsidP="007D4861">
      <w:pPr>
        <w:pStyle w:val="Heading1"/>
        <w:rPr>
          <w:lang w:val="en-US"/>
        </w:rPr>
      </w:pPr>
      <w:r w:rsidRPr="00211DF0">
        <w:rPr>
          <w:lang w:val="en-US"/>
        </w:rPr>
        <w:t>Abstract</w:t>
      </w:r>
    </w:p>
    <w:p w14:paraId="4746DC52" w14:textId="27C49E50" w:rsidR="00810460" w:rsidRPr="00211DF0" w:rsidRDefault="00EE26A6" w:rsidP="00932AE0">
      <w:pPr>
        <w:ind w:firstLine="0"/>
        <w:rPr>
          <w:lang w:val="en-US"/>
        </w:rPr>
      </w:pPr>
      <w:r>
        <w:rPr>
          <w:lang w:val="en-US"/>
        </w:rPr>
        <w:t xml:space="preserve">The licensing of university technologies to private firms has become an important part of the </w:t>
      </w:r>
      <w:r w:rsidR="00B95968">
        <w:rPr>
          <w:lang w:val="en-US"/>
        </w:rPr>
        <w:t xml:space="preserve">technology transfer </w:t>
      </w:r>
      <w:r>
        <w:rPr>
          <w:lang w:val="en-US"/>
        </w:rPr>
        <w:t>mission of many universities.</w:t>
      </w:r>
      <w:r w:rsidR="004A3A67" w:rsidRPr="00211DF0">
        <w:rPr>
          <w:lang w:val="en-US"/>
        </w:rPr>
        <w:t xml:space="preserve"> </w:t>
      </w:r>
      <w:r>
        <w:rPr>
          <w:lang w:val="en-US"/>
        </w:rPr>
        <w:t xml:space="preserve">An inherent challenge for the technology licensing of universities is that potential licensees find it difficult to judge </w:t>
      </w:r>
      <w:r w:rsidR="00476960">
        <w:rPr>
          <w:lang w:val="en-US"/>
        </w:rPr>
        <w:t>the</w:t>
      </w:r>
      <w:r>
        <w:rPr>
          <w:lang w:val="en-US"/>
        </w:rPr>
        <w:t xml:space="preserve"> early stage technologies and their ultimate commercial value. </w:t>
      </w:r>
      <w:r w:rsidR="00476960">
        <w:rPr>
          <w:lang w:val="en-US"/>
        </w:rPr>
        <w:t xml:space="preserve">We reason that patent litigation against universities can have unintended signaling effects about the commercial value </w:t>
      </w:r>
      <w:r w:rsidR="009D7891">
        <w:rPr>
          <w:lang w:val="en-US"/>
        </w:rPr>
        <w:t xml:space="preserve">of its </w:t>
      </w:r>
      <w:r w:rsidR="00476960">
        <w:rPr>
          <w:lang w:val="en-US"/>
        </w:rPr>
        <w:t>technologies and result</w:t>
      </w:r>
      <w:r w:rsidR="00321DFE">
        <w:rPr>
          <w:lang w:val="en-US"/>
        </w:rPr>
        <w:t>s</w:t>
      </w:r>
      <w:r w:rsidR="00476960">
        <w:rPr>
          <w:lang w:val="en-US"/>
        </w:rPr>
        <w:t xml:space="preserve"> in increased licensing income for the university. </w:t>
      </w:r>
      <w:r w:rsidR="00A60AB9">
        <w:rPr>
          <w:lang w:val="en-US"/>
        </w:rPr>
        <w:t xml:space="preserve">We </w:t>
      </w:r>
      <w:r w:rsidR="009D7891">
        <w:rPr>
          <w:lang w:val="en-US"/>
        </w:rPr>
        <w:t xml:space="preserve">ground this hypothesis in theory integrating </w:t>
      </w:r>
      <w:r w:rsidR="00A60AB9">
        <w:rPr>
          <w:lang w:val="en-US"/>
        </w:rPr>
        <w:t xml:space="preserve">signaling mechanisms from patent enforcement research into theoretical models explaining </w:t>
      </w:r>
      <w:r w:rsidR="009D7891">
        <w:rPr>
          <w:lang w:val="en-US"/>
        </w:rPr>
        <w:t>university technology licensing. Within our logic, the public and costly nature of patent litigation against universities creates strong, credible signals to potential licensees about the technologies of a university even if the signal was not created for that specific purpose.</w:t>
      </w:r>
      <w:r w:rsidR="003748A4">
        <w:rPr>
          <w:lang w:val="en-US"/>
        </w:rPr>
        <w:t xml:space="preserve"> </w:t>
      </w:r>
      <w:r w:rsidR="00C3542B">
        <w:rPr>
          <w:lang w:val="en-US"/>
        </w:rPr>
        <w:t>We isolate the signaling mechanism that is central to</w:t>
      </w:r>
      <w:r w:rsidR="00321DFE">
        <w:rPr>
          <w:lang w:val="en-US"/>
        </w:rPr>
        <w:t xml:space="preserve"> our theorizing</w:t>
      </w:r>
      <w:r w:rsidR="00C3542B">
        <w:rPr>
          <w:lang w:val="en-US"/>
        </w:rPr>
        <w:t xml:space="preserve"> by exploring two moderation factors that reveal additional information to potential lice</w:t>
      </w:r>
      <w:r w:rsidR="00985397">
        <w:rPr>
          <w:lang w:val="en-US"/>
        </w:rPr>
        <w:t>nsees, i.e. the licensing track-</w:t>
      </w:r>
      <w:r w:rsidR="00C3542B">
        <w:rPr>
          <w:lang w:val="en-US"/>
        </w:rPr>
        <w:t>record of the university and whether the lawsuit involves private firms as co-defendants.</w:t>
      </w:r>
      <w:r>
        <w:rPr>
          <w:lang w:val="en-US"/>
        </w:rPr>
        <w:t xml:space="preserve"> </w:t>
      </w:r>
      <w:r w:rsidR="004A3A67" w:rsidRPr="00211DF0">
        <w:rPr>
          <w:lang w:val="en-US"/>
        </w:rPr>
        <w:t xml:space="preserve">We test our theory with a unique dataset of </w:t>
      </w:r>
      <w:r w:rsidR="00C3542B" w:rsidRPr="00211DF0">
        <w:rPr>
          <w:lang w:val="en-US"/>
        </w:rPr>
        <w:t>157 US universities</w:t>
      </w:r>
      <w:r w:rsidR="00C3542B">
        <w:rPr>
          <w:lang w:val="en-US"/>
        </w:rPr>
        <w:t xml:space="preserve"> and the</w:t>
      </w:r>
      <w:r w:rsidR="00C3542B" w:rsidRPr="00211DF0">
        <w:rPr>
          <w:lang w:val="en-US"/>
        </w:rPr>
        <w:t xml:space="preserve"> </w:t>
      </w:r>
      <w:r w:rsidR="004A3A67" w:rsidRPr="00211DF0">
        <w:rPr>
          <w:lang w:val="en-US"/>
        </w:rPr>
        <w:t xml:space="preserve">1,408 patent infringement cases </w:t>
      </w:r>
      <w:r w:rsidR="00C3542B">
        <w:rPr>
          <w:lang w:val="en-US"/>
        </w:rPr>
        <w:t>in which</w:t>
      </w:r>
      <w:r w:rsidR="004A3A67" w:rsidRPr="00211DF0">
        <w:rPr>
          <w:lang w:val="en-US"/>
        </w:rPr>
        <w:t xml:space="preserve"> </w:t>
      </w:r>
      <w:r w:rsidR="00C3542B">
        <w:rPr>
          <w:lang w:val="en-US"/>
        </w:rPr>
        <w:t xml:space="preserve">they were involved as defendants </w:t>
      </w:r>
      <w:r w:rsidR="004A3A67" w:rsidRPr="00211DF0">
        <w:rPr>
          <w:lang w:val="en-US"/>
        </w:rPr>
        <w:t xml:space="preserve">over the period 2005-2016. Results show that defending against claims of patent infringement enhances technology licensing revenues, particularly when universities are already adept at licensing technology and when they are co-defendants with </w:t>
      </w:r>
      <w:r w:rsidR="00C3542B">
        <w:rPr>
          <w:lang w:val="en-US"/>
        </w:rPr>
        <w:t>private</w:t>
      </w:r>
      <w:r w:rsidR="00C3542B" w:rsidRPr="00211DF0">
        <w:rPr>
          <w:lang w:val="en-US"/>
        </w:rPr>
        <w:t xml:space="preserve"> </w:t>
      </w:r>
      <w:r w:rsidR="004A3A67" w:rsidRPr="00211DF0">
        <w:rPr>
          <w:lang w:val="en-US"/>
        </w:rPr>
        <w:t>firms</w:t>
      </w:r>
      <w:r w:rsidR="00C3542B">
        <w:rPr>
          <w:lang w:val="en-US"/>
        </w:rPr>
        <w:t>.</w:t>
      </w:r>
    </w:p>
    <w:p w14:paraId="3DDE0F85" w14:textId="77777777" w:rsidR="00CA0B06" w:rsidRPr="00211DF0" w:rsidRDefault="00CA0B06" w:rsidP="00F53500">
      <w:pPr>
        <w:ind w:firstLine="0"/>
        <w:rPr>
          <w:lang w:val="en-US"/>
        </w:rPr>
      </w:pPr>
    </w:p>
    <w:p w14:paraId="031EF14B" w14:textId="06EFF030" w:rsidR="00D16C96" w:rsidRPr="00211DF0" w:rsidRDefault="00EB1F58" w:rsidP="00F53500">
      <w:pPr>
        <w:ind w:firstLine="0"/>
        <w:rPr>
          <w:lang w:val="en-US"/>
        </w:rPr>
      </w:pPr>
      <w:r w:rsidRPr="00211DF0">
        <w:rPr>
          <w:lang w:val="en-US"/>
        </w:rPr>
        <w:t xml:space="preserve">Keywords: </w:t>
      </w:r>
      <w:r w:rsidR="004A3A67" w:rsidRPr="00211DF0">
        <w:rPr>
          <w:lang w:val="en-US"/>
        </w:rPr>
        <w:t>Commercialization, University Technology Transfer, Licensing, Signaling Theory, Patent Litigation</w:t>
      </w:r>
    </w:p>
    <w:p w14:paraId="48BE6109" w14:textId="77777777" w:rsidR="00D16C96" w:rsidRPr="00211DF0" w:rsidRDefault="00D16C96">
      <w:pPr>
        <w:spacing w:line="240" w:lineRule="auto"/>
        <w:ind w:firstLine="0"/>
        <w:rPr>
          <w:lang w:val="en-US"/>
        </w:rPr>
      </w:pPr>
      <w:r w:rsidRPr="00211DF0">
        <w:rPr>
          <w:lang w:val="en-US"/>
        </w:rPr>
        <w:br w:type="page"/>
      </w:r>
    </w:p>
    <w:p w14:paraId="26AB97A8" w14:textId="589F7D31" w:rsidR="00345EE7" w:rsidRPr="00211DF0" w:rsidRDefault="0021793B" w:rsidP="007C44C3">
      <w:pPr>
        <w:pStyle w:val="Heading1"/>
        <w:rPr>
          <w:lang w:val="en-US"/>
        </w:rPr>
      </w:pPr>
      <w:r w:rsidRPr="00211DF0">
        <w:rPr>
          <w:lang w:val="en-US"/>
        </w:rPr>
        <w:lastRenderedPageBreak/>
        <w:t>INTRODUCTION</w:t>
      </w:r>
    </w:p>
    <w:p w14:paraId="52A10D38" w14:textId="378B569A" w:rsidR="00E22248" w:rsidRPr="00211DF0" w:rsidRDefault="000247D5" w:rsidP="00475C30">
      <w:pPr>
        <w:ind w:firstLine="0"/>
        <w:rPr>
          <w:lang w:val="en-US"/>
        </w:rPr>
      </w:pPr>
      <w:r w:rsidRPr="00211DF0">
        <w:rPr>
          <w:lang w:val="en-US"/>
        </w:rPr>
        <w:t xml:space="preserve">Universities are major producers of patented technologies and the commercialization of their patents is a </w:t>
      </w:r>
      <w:r w:rsidR="00E06EB1" w:rsidRPr="00211DF0">
        <w:rPr>
          <w:lang w:val="en-US"/>
        </w:rPr>
        <w:t>growing source of income</w:t>
      </w:r>
      <w:r w:rsidR="00E808F3" w:rsidRPr="00211DF0">
        <w:rPr>
          <w:lang w:val="en-US"/>
        </w:rPr>
        <w:t xml:space="preserve"> </w:t>
      </w:r>
      <w:r w:rsidR="00B00F97" w:rsidRPr="00211DF0">
        <w:rPr>
          <w:lang w:val="en-US"/>
        </w:rPr>
        <w:fldChar w:fldCharType="begin" w:fldLock="1"/>
      </w:r>
      <w:r w:rsidR="00B00F97" w:rsidRPr="00211DF0">
        <w:rPr>
          <w:lang w:val="en-US"/>
        </w:rPr>
        <w:instrText>ADDIN CSL_CITATION {"citationItems":[{"id":"ITEM-1","itemData":{"DOI":"10.1016/j.respol.2011.04.005","ISBN":"0048-7333","ISSN":"00487333","PMID":"63979345","abstract":"On the 30th anniversary of enactment of the Bayh-Dole Act in the U.S., we consider the rationale for academic entrepreneurship and describe the evolving role of universities in the commercialization of research. We also discuss and appraise the effects of legislative reform in several OECD countries relating to academic entrepreneurship. The article synthesizes papers from the special section and outlines an agenda for additional research on various aspects of academic entrepreneurship in terms of system, university and individual levels. We also consider measurement and methodological issues that must be addressed in additional research. © 2011 Elsevier B.V. All rights reserved.","author":[{"dropping-particle":"","family":"Grimaldi","given":"Rosa","non-dropping-particle":"","parse-names":false,"suffix":""},{"dropping-particle":"","family":"Kenney","given":"Martin","non-dropping-particle":"","parse-names":false,"suffix":""},{"dropping-particle":"","family":"Siegel","given":"Donald","non-dropping-particle":"","parse-names":false,"suffix":""},{"dropping-particle":"","family":"Wright","given":"Mike","non-dropping-particle":"","parse-names":false,"suffix":""}],"container-title":"Research Policy","id":"ITEM-1","issue":"8","issued":{"date-parts":[["2011"]]},"page":"1045-1057","publisher":"Elsevier B.V.","title":"30 years after Bayh-Dole: Reassessing academic entrepreneurship","type":"article-journal","volume":"40"},"uris":["http://www.mendeley.com/documents/?uuid=f76d5f6a-d7d8-44f5-97d3-959ec6741a69"]},{"id":"ITEM-2","itemData":{"DOI":"10.1016/j.respol.2020.104076","ISSN":"00487333","abstract":"Despite the economic significance of patented university research, it is difficult to measure the economic value of academic patented inventions and observe the extent to which universities are able to capture such value through patent licensing. Moving beyond assessing commercialization performance by simple statistics, we propose a new approach to benchmarking university patents and commercialization performance based on comparative corporate patent value. Our procedure involves matching university patents to patents with similar patent characteristics granted to public corporations, then estimating the “potential value” of these university patents by stock market reactions to grants of the matched corporate patents. These estimated values of university patents can significantly explain the technology-level income from licensing by a leading US research university and the annual licensing income of the member universities of the Association of University Technology Managers’ (AUTM). We find that AUTM universities realize an average of 16% of the estimated value of matched corporate patents. We also investigate correlates of university‐level potential patent value and suggest avenues for future research.","author":[{"dropping-particle":"","family":"Hsu","given":"David H.","non-dropping-particle":"","parse-names":false,"suffix":""},{"dropping-particle":"","family":"Hsu","given":"Po Hsuan","non-dropping-particle":"","parse-names":false,"suffix":""},{"dropping-particle":"","family":"Zhou","given":"Tong","non-dropping-particle":"","parse-names":false,"suffix":""},{"dropping-particle":"","family":"Ziedonis","given":"Arvids A.","non-dropping-particle":"","parse-names":false,"suffix":""}],"container-title":"Research Policy","id":"ITEM-2","issue":"1","issued":{"date-parts":[["2021"]]},"page":"104076","publisher":"Elsevier","title":"Benchmarking U.S. university patent value and commercialization efforts: A new approach","type":"article-journal","volume":"50"},"uris":["http://www.mendeley.com/documents/?uuid=50ee612d-d224-44cb-8cf9-a0a2a8ff55c7"]}],"mendeley":{"formattedCitation":"(Grimaldi et al., 2011; Hsu et al., 2021)","plainTextFormattedCitation":"(Grimaldi et al., 2011; Hsu et al., 2021)","previouslyFormattedCitation":"(Grimaldi et al., 2011; Hsu et al., 2021)"},"properties":{"noteIndex":0},"schema":"https://github.com/citation-style-language/schema/raw/master/csl-citation.json"}</w:instrText>
      </w:r>
      <w:r w:rsidR="00B00F97" w:rsidRPr="00211DF0">
        <w:rPr>
          <w:lang w:val="en-US"/>
        </w:rPr>
        <w:fldChar w:fldCharType="separate"/>
      </w:r>
      <w:r w:rsidR="00B00F97" w:rsidRPr="00211DF0">
        <w:rPr>
          <w:noProof/>
          <w:lang w:val="en-US"/>
        </w:rPr>
        <w:t>(Grimaldi et al., 2011; Hsu et al., 2021)</w:t>
      </w:r>
      <w:r w:rsidR="00B00F97" w:rsidRPr="00211DF0">
        <w:rPr>
          <w:lang w:val="en-US"/>
        </w:rPr>
        <w:fldChar w:fldCharType="end"/>
      </w:r>
      <w:r w:rsidR="00E808F3" w:rsidRPr="00211DF0">
        <w:rPr>
          <w:lang w:val="en-US"/>
        </w:rPr>
        <w:t>.</w:t>
      </w:r>
      <w:r w:rsidR="00071DC8" w:rsidRPr="00211DF0">
        <w:rPr>
          <w:lang w:val="en-US"/>
        </w:rPr>
        <w:t xml:space="preserve"> However, </w:t>
      </w:r>
      <w:r w:rsidR="007B4EE7">
        <w:rPr>
          <w:lang w:val="en-US"/>
        </w:rPr>
        <w:t xml:space="preserve">a </w:t>
      </w:r>
      <w:r w:rsidR="00071DC8" w:rsidRPr="00211DF0">
        <w:rPr>
          <w:lang w:val="en-US"/>
        </w:rPr>
        <w:t>university</w:t>
      </w:r>
      <w:r w:rsidR="00E71AB7" w:rsidRPr="00211DF0">
        <w:rPr>
          <w:lang w:val="en-US"/>
        </w:rPr>
        <w:t xml:space="preserve">’s </w:t>
      </w:r>
      <w:r w:rsidR="00E10461" w:rsidRPr="00211DF0">
        <w:rPr>
          <w:lang w:val="en-US"/>
        </w:rPr>
        <w:t>capacity for generatin</w:t>
      </w:r>
      <w:r w:rsidR="00E71AB7" w:rsidRPr="00211DF0">
        <w:rPr>
          <w:lang w:val="en-US"/>
        </w:rPr>
        <w:t>g</w:t>
      </w:r>
      <w:r w:rsidR="00071DC8" w:rsidRPr="00211DF0">
        <w:rPr>
          <w:lang w:val="en-US"/>
        </w:rPr>
        <w:t xml:space="preserve"> licensing income is limited since</w:t>
      </w:r>
      <w:r w:rsidR="004A7DFA" w:rsidRPr="00211DF0">
        <w:rPr>
          <w:lang w:val="en-US"/>
        </w:rPr>
        <w:t xml:space="preserve"> it is difficult for potential licensees to gain reliable information and effectively estimate the quality and commercialization potential of university patents before signing a licensing agreement (Hsu et al., 2021; Macho-Stadler et al., 2007; Siegel et al., 2007). </w:t>
      </w:r>
      <w:r w:rsidR="00071DC8" w:rsidRPr="00211DF0">
        <w:rPr>
          <w:lang w:val="en-US"/>
        </w:rPr>
        <w:t xml:space="preserve">The consensus of existing research is that </w:t>
      </w:r>
      <w:r w:rsidR="00E22248" w:rsidRPr="00211DF0">
        <w:rPr>
          <w:lang w:val="en-US"/>
        </w:rPr>
        <w:t>universities overcome this information problem through larger Technology Transfer Offices</w:t>
      </w:r>
      <w:r w:rsidR="004A7DFA" w:rsidRPr="00211DF0">
        <w:rPr>
          <w:lang w:val="en-US"/>
        </w:rPr>
        <w:t xml:space="preserve"> </w:t>
      </w:r>
      <w:r w:rsidR="00E22248" w:rsidRPr="00211DF0">
        <w:rPr>
          <w:lang w:val="en-US"/>
        </w:rPr>
        <w:t>(</w:t>
      </w:r>
      <w:r w:rsidR="004A7DFA" w:rsidRPr="00211DF0">
        <w:rPr>
          <w:lang w:val="en-US"/>
        </w:rPr>
        <w:t>TTO</w:t>
      </w:r>
      <w:r w:rsidR="00E22248" w:rsidRPr="00211DF0">
        <w:rPr>
          <w:lang w:val="en-US"/>
        </w:rPr>
        <w:t>s)</w:t>
      </w:r>
      <w:r w:rsidR="004A7DFA" w:rsidRPr="00211DF0">
        <w:rPr>
          <w:lang w:val="en-US"/>
        </w:rPr>
        <w:t xml:space="preserve">, </w:t>
      </w:r>
      <w:r w:rsidR="00E22248" w:rsidRPr="00211DF0">
        <w:rPr>
          <w:lang w:val="en-US"/>
        </w:rPr>
        <w:t xml:space="preserve">their </w:t>
      </w:r>
      <w:r w:rsidR="004A7DFA" w:rsidRPr="00211DF0">
        <w:rPr>
          <w:lang w:val="en-US"/>
        </w:rPr>
        <w:t xml:space="preserve">licensing performance and research intensity (Hewitt-Dundas, 2012; Marco-Stadler et al., 2007; Sine et al., 2003; Thursby </w:t>
      </w:r>
      <w:r w:rsidR="00537D0C">
        <w:rPr>
          <w:lang w:val="en-US"/>
        </w:rPr>
        <w:t xml:space="preserve">and </w:t>
      </w:r>
      <w:r w:rsidR="004A7DFA" w:rsidRPr="00211DF0">
        <w:rPr>
          <w:lang w:val="en-US"/>
        </w:rPr>
        <w:t xml:space="preserve">Kemp, 2002). </w:t>
      </w:r>
      <w:r w:rsidR="003F699A" w:rsidRPr="00211DF0">
        <w:rPr>
          <w:lang w:val="en-US"/>
        </w:rPr>
        <w:t xml:space="preserve">Within the licensing context, patent litigation is considered to be mostly a distraction for TTOs </w:t>
      </w:r>
      <w:r w:rsidR="003F699A" w:rsidRPr="00211DF0">
        <w:rPr>
          <w:lang w:val="en-US"/>
        </w:rPr>
        <w:fldChar w:fldCharType="begin" w:fldLock="1"/>
      </w:r>
      <w:r w:rsidR="003F699A" w:rsidRPr="00211DF0">
        <w:rPr>
          <w:lang w:val="en-US"/>
        </w:rPr>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efforts","type":"article-journal","volume":"63"},"uris":["http://www.mendeley.com/documents/?uuid=72cfedbf-933e-4035-b1f0-e62e27c49f65"]}],"mendeley":{"formattedCitation":"(Shane and Somaya, 2007)","plainTextFormattedCitation":"(Shane and Somaya, 2007)","previouslyFormattedCitation":"(Shane and Somaya, 2007)"},"properties":{"noteIndex":0},"schema":"https://github.com/citation-style-language/schema/raw/master/csl-citation.json"}</w:instrText>
      </w:r>
      <w:r w:rsidR="003F699A" w:rsidRPr="00211DF0">
        <w:rPr>
          <w:lang w:val="en-US"/>
        </w:rPr>
        <w:fldChar w:fldCharType="separate"/>
      </w:r>
      <w:r w:rsidR="003F699A" w:rsidRPr="00211DF0">
        <w:rPr>
          <w:noProof/>
          <w:lang w:val="en-US"/>
        </w:rPr>
        <w:t>(Shane and Somaya, 2007)</w:t>
      </w:r>
      <w:r w:rsidR="003F699A" w:rsidRPr="00211DF0">
        <w:rPr>
          <w:lang w:val="en-US"/>
        </w:rPr>
        <w:fldChar w:fldCharType="end"/>
      </w:r>
      <w:r w:rsidR="003F699A" w:rsidRPr="00211DF0">
        <w:rPr>
          <w:lang w:val="en-US"/>
        </w:rPr>
        <w:t xml:space="preserve">. </w:t>
      </w:r>
      <w:r w:rsidR="00141545" w:rsidRPr="00211DF0">
        <w:rPr>
          <w:lang w:val="en-US"/>
        </w:rPr>
        <w:t xml:space="preserve">This </w:t>
      </w:r>
      <w:r w:rsidR="00117D5B" w:rsidRPr="00211DF0">
        <w:rPr>
          <w:lang w:val="en-US"/>
        </w:rPr>
        <w:t xml:space="preserve">assumption is at odds with theory about patent strategy in which patent litigation is not merely a legal exchange but reveals important information about the commercial value of patents to </w:t>
      </w:r>
      <w:r w:rsidR="00C556E4" w:rsidRPr="00211DF0">
        <w:rPr>
          <w:lang w:val="en-US"/>
        </w:rPr>
        <w:t xml:space="preserve">investors, competitors and </w:t>
      </w:r>
      <w:r w:rsidR="00117D5B" w:rsidRPr="00211DF0">
        <w:rPr>
          <w:lang w:val="en-US"/>
        </w:rPr>
        <w:t>the broader public</w:t>
      </w:r>
      <w:r w:rsidR="00E10461" w:rsidRPr="00211DF0">
        <w:rPr>
          <w:lang w:val="en-US"/>
        </w:rPr>
        <w:t xml:space="preserve"> </w:t>
      </w:r>
      <w:r w:rsidR="00E10461" w:rsidRPr="00211DF0">
        <w:rPr>
          <w:lang w:val="en-US"/>
        </w:rPr>
        <w:fldChar w:fldCharType="begin" w:fldLock="1"/>
      </w:r>
      <w:r w:rsidR="00476CCC">
        <w:rPr>
          <w:lang w:val="en-US"/>
        </w:rPr>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Agarwal","given":"Rajshree","non-dropping-particle":"","parse-names":false,"suffix":""},{"dropping-particle":"","family":"Ganco","given":"Martin","non-dropping-particle":"","parse-names":false,"suffix":""},{"dropping-particle":"","family":"Ziedonis","given":"Rosemarie H","non-dropping-particle":"","parse-names":false,"suffix":""}],"container-title":"Strategic Management Journal","id":"ITEM-1","issued":{"date-parts":[["2009"]]},"page":"1349-1374","title":"Reputations for toughness in patent enforcement: Implications for knowledge spillovers via inventor mobility","type":"article-journal","volume":"30"},"uris":["http://www.mendeley.com/documents/?uuid=6ad61b5b-bf69-47c8-9f9e-54e883a5fb30"]},{"id":"ITEM-2","itemData":{"DOI":"10.1016/j.respol.2021.104263","ISSN":"00487333","abstract":"Prior research suggests that firms’ ability to benefit from their technologies is determined by the strength of intellectual property (IP) laws and the inimitability of their technologies. We complement this explanation by suggesting that the generation of profits from technology is also driven by how effectively firms engage in patent infringement litigation (i.e., take legal action against their rivals) to create isolating mechanisms and protect their technologies. We contend that patent infringement litigation is characterized by industry and geographic specificity that affect (disproportionately) revenue generation and costs and, therefore, its net effect on firm profitability. By identifying contingencies that influence the economic returns from patent litigation, the analysis helps us understand why firms experience different profitability outcomes even when they operate in similar IP regimes and possess similar portfolios of technologies.","author":[{"dropping-particle":"","family":"Kafouros","given":"Mario","non-dropping-particle":"","parse-names":false,"suffix":""},{"dropping-particle":"","family":"Aliyev","given":"Murod","non-dropping-particle":"","parse-names":false,"suffix":""},{"dropping-particle":"","family":"Krammer","given":"Sorin M.S.","non-dropping-particle":"","parse-names":false,"suffix":""}],"container-title":"Research Policy","id":"ITEM-2","issue":"6","issued":{"date-parts":[["2021"]]},"page":"104263","publisher":"Elsevier B.V.","title":"Do firms profit from patent litigation? The contingent roles of diversification and intangible assets","type":"article-journal","volume":"50"},"uris":["http://www.mendeley.com/documents/?uuid=8ebdb7c7-d5df-4c3e-975f-3eebee19cc9b"]},{"id":"ITEM-3","itemData":{"DOI":"10.1016/j.respol.2015.07.002","ISSN":"00487333","abstract":"This paper empirically investigates the statistical relationship between levels of patent litigation and venture capital investment in the U.S. We find that VC investment, a major funding source for entrepreneurial activity, initially increases with the number of litigated patents. However, there is a \"tipping point\" where further increases in the number of patents litigated are associated with decreased VC investment, which suggests an inverted U-shaped relation between patent litigation and VC investment. This appears strongest for technology patents, and negligible for products such as pharmaceuticals. Strikingly, we find evidence that litigation by frequent patent litigators, a proxy for litigation by patent assertion entities, is directly associated with decreased VC investment, with no positive effects initially.","author":[{"dropping-particle":"","family":"Kiebzak","given":"Stephen","non-dropping-particle":"","parse-names":false,"suffix":""},{"dropping-particle":"","family":"Rafert","given":"Greg","non-dropping-particle":"","parse-names":false,"suffix":""},{"dropping-particle":"","family":"Tucker","given":"Catherine E.","non-dropping-particle":"","parse-names":false,"suffix":""}],"container-title":"Research Policy","id":"ITEM-3","issue":"1","issued":{"date-parts":[["2016"]]},"page":"218-231","publisher":"Elsevier B.V.","title":"The effect of patent litigation and patent assertion entities on entrepreneurial activity","type":"article-journal","volume":"45"},"uris":["http://www.mendeley.com/documents/?uuid=ba97354f-5879-44b0-93b6-379cb3d3ec6f"]},{"id":"ITEM-4","itemData":{"DOI":"10.2307/116869","ISSN":"00028282","abstract":"Patent litigation reveals important information about the validity of the contested patent to other potential entrants. This pa</w:instrText>
      </w:r>
      <w:r w:rsidR="00476CCC" w:rsidRPr="00F24472">
        <w:rPr>
          <w:lang w:val="da-DK"/>
        </w:rPr>
        <w:instrText>per explores the implications of such informational externalities for entry dynamics in the presence of multiple potential entrants. The nature of the entry game can be one of either waiting or preemption depending on the degree of patent protection. Therefore, the payoffs for the patentee and the initial imitator are discontinuous in the degree of patent protection. Furthermore, strengthening intellectual property rights is not necessarily desirable for the patentee. The analysis may also help explain the apparently puzzling practice of delaying patent suits. (JEL L13, O34, K41).","author":[{"dropping-particle":"","family":"Choi","given":"Jay Pil","non-dropping-particle":"","parse-names":false,"suffix":""}],"container-title":"American Economic Review","id":"ITEM-4","issue":"5","issued":{"date-parts":[["1998"]]},"page":"1249-1263","title":"Patent Litigation as an Information-Transmission Mechanism","type":"article-journal","volume":"88"},"uris":["http://www.mendeley.com/documents/?uuid=4459e2b2-660a-44a8-8f42-88e7047fb50e"]}],"mendeley":{"formattedCitation":"(Agarwal et al., 2009; Choi, 1998; Kafouros et al., 2021; Kiebzak et al., 2016)","plainTextFormattedCitation":"(Agarwal et al., 2009; Choi, 1998; Kafouros et al., 2021; Kiebzak et al., 2016)","previouslyFormattedCitation":"(Agarwal et al., 2009; Choi, 1998; Kafouros et al., 2021; Kiebzak et al., 2016)"},"properties":{"noteIndex":0},"schema":"https://github.com/citation-style-language/schema/raw/master/csl-citation.json"}</w:instrText>
      </w:r>
      <w:r w:rsidR="00E10461" w:rsidRPr="00211DF0">
        <w:rPr>
          <w:lang w:val="en-US"/>
        </w:rPr>
        <w:fldChar w:fldCharType="separate"/>
      </w:r>
      <w:r w:rsidR="007D4BEC" w:rsidRPr="00F24472">
        <w:rPr>
          <w:noProof/>
          <w:lang w:val="da-DK"/>
        </w:rPr>
        <w:t>(Agarwal et al., 2009; Choi, 1998; Kafouros et al., 2021; Kiebzak et al., 2016)</w:t>
      </w:r>
      <w:r w:rsidR="00E10461" w:rsidRPr="00211DF0">
        <w:rPr>
          <w:lang w:val="en-US"/>
        </w:rPr>
        <w:fldChar w:fldCharType="end"/>
      </w:r>
      <w:r w:rsidR="00F2705C" w:rsidRPr="00F24472">
        <w:rPr>
          <w:lang w:val="da-DK"/>
        </w:rPr>
        <w:t>.</w:t>
      </w:r>
      <w:r w:rsidR="003B7AC8" w:rsidRPr="00F24472">
        <w:rPr>
          <w:lang w:val="da-DK"/>
        </w:rPr>
        <w:t xml:space="preserve"> </w:t>
      </w:r>
      <w:r w:rsidR="003B7AC8" w:rsidRPr="00211DF0">
        <w:rPr>
          <w:lang w:val="en-US"/>
        </w:rPr>
        <w:t>Th</w:t>
      </w:r>
      <w:r w:rsidR="00646A1B" w:rsidRPr="00211DF0">
        <w:rPr>
          <w:lang w:val="en-US"/>
        </w:rPr>
        <w:t>e</w:t>
      </w:r>
      <w:r w:rsidR="003B7AC8" w:rsidRPr="00211DF0">
        <w:rPr>
          <w:lang w:val="en-US"/>
        </w:rPr>
        <w:t xml:space="preserve"> disconnect in existing theory</w:t>
      </w:r>
      <w:r w:rsidR="00646A1B" w:rsidRPr="00211DF0">
        <w:rPr>
          <w:lang w:val="en-US"/>
        </w:rPr>
        <w:t xml:space="preserve"> about the effect of patent litigation on university licensing income</w:t>
      </w:r>
      <w:r w:rsidR="003B7AC8" w:rsidRPr="00211DF0">
        <w:rPr>
          <w:lang w:val="en-US"/>
        </w:rPr>
        <w:t xml:space="preserve"> is consequential because universities may systematically avoid patent litigation as defendants and enter unfavorable pre-litigation agreements with potential plaintiffs because of concerns about how litigation will affect their overall licensing income.</w:t>
      </w:r>
    </w:p>
    <w:p w14:paraId="34113FEF" w14:textId="3FCBC779" w:rsidR="00A328D7" w:rsidRPr="00211DF0" w:rsidRDefault="00670E22" w:rsidP="00963C3B">
      <w:pPr>
        <w:pStyle w:val="2ndparagraph"/>
      </w:pPr>
      <w:r w:rsidRPr="00211DF0">
        <w:t xml:space="preserve">In this study, </w:t>
      </w:r>
      <w:r w:rsidR="004A7DFA" w:rsidRPr="00211DF0">
        <w:t xml:space="preserve">we </w:t>
      </w:r>
      <w:r w:rsidR="009B75BF" w:rsidRPr="00211DF0">
        <w:t xml:space="preserve">want </w:t>
      </w:r>
      <w:r w:rsidR="00FA4885" w:rsidRPr="00211DF0">
        <w:t xml:space="preserve">to </w:t>
      </w:r>
      <w:r w:rsidR="009B75BF" w:rsidRPr="00211DF0">
        <w:t>shift the consensus of existing research by investigating the impact of universities becoming defendants in patent litigation on their licensing income.</w:t>
      </w:r>
      <w:r w:rsidR="004A7DFA" w:rsidRPr="00211DF0">
        <w:t xml:space="preserve"> To address this </w:t>
      </w:r>
      <w:r w:rsidR="009B75BF" w:rsidRPr="00211DF0">
        <w:t xml:space="preserve">research </w:t>
      </w:r>
      <w:r w:rsidR="004A7DFA" w:rsidRPr="00211DF0">
        <w:t>question, we</w:t>
      </w:r>
      <w:r w:rsidRPr="00211DF0">
        <w:t xml:space="preserve"> integrate theoretical mechanisms from signaling theory</w:t>
      </w:r>
      <w:r w:rsidR="00B00F97" w:rsidRPr="00211DF0">
        <w:t xml:space="preserve"> </w:t>
      </w:r>
      <w:r w:rsidR="00B00F97" w:rsidRPr="00211DF0">
        <w:fldChar w:fldCharType="begin" w:fldLock="1"/>
      </w:r>
      <w:r w:rsidR="000E4CFD" w:rsidRPr="00211DF0">
        <w:instrText>ADDIN CSL_CITATION {"citationItems":[{"id":"ITEM-1","itemData":{"DOI":"10.1257/00028280260136200","ISSN":"00028282","author":[{"dropping-particle":"","family":"Spence","given":"Michael","non-dropping-particle":"","parse-names":false,"suffix":""}],"container-title":"American Economic Review","id":"ITEM-1","issue":"3","issued":{"date-parts":[["2002"]]},"page":"434-459","title":"Signaling in retrospect and the informational structure of markets","type":"article-journal","volume":"92"},"uris":["http://www.mendeley.com/documents/?uuid=971cd2c0-a7aa-4f54-85a4-188bfb750a86"]},{"id":"ITEM-2","itemData":{"DOI":"10.1177/0149206310388419","ISSN":"01492063","abstract":"Signaling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Management","id":"ITEM-2","issue":"1","issued":{"date-parts":[["2011"]]},"page":"39-67","title":"Signaling theory: A review and assessment","type":"article-journal","volume":"37"},"uris":["http://www.mendeley.com/documents/?uuid=19ef3456-a348-456b-b72d-ab43a2d05a2c"]}],"mendeley":{"formattedCitation":"(Connelly et al., 2011; Spence, 2002)","plainTextFormattedCitation":"(Connelly et al., 2011; Spence, 2002)","previouslyFormattedCitation":"(Connelly et al., 2011; Spence, 2002)"},"properties":{"noteIndex":0},"schema":"https://github.com/citation-style-language/schema/raw/master/csl-citation.json"}</w:instrText>
      </w:r>
      <w:r w:rsidR="00B00F97" w:rsidRPr="00211DF0">
        <w:fldChar w:fldCharType="separate"/>
      </w:r>
      <w:r w:rsidR="00B00F97" w:rsidRPr="00211DF0">
        <w:rPr>
          <w:noProof/>
        </w:rPr>
        <w:t>(Connelly et al., 2011; Spence, 2002)</w:t>
      </w:r>
      <w:r w:rsidR="00B00F97" w:rsidRPr="00211DF0">
        <w:fldChar w:fldCharType="end"/>
      </w:r>
      <w:r w:rsidR="00B00F97" w:rsidRPr="00211DF0">
        <w:t xml:space="preserve"> </w:t>
      </w:r>
      <w:r w:rsidR="00383B3B" w:rsidRPr="00211DF0">
        <w:t xml:space="preserve">in general and patent litigation in particular </w:t>
      </w:r>
      <w:r w:rsidR="00383B3B" w:rsidRPr="00211DF0">
        <w:fldChar w:fldCharType="begin" w:fldLock="1"/>
      </w:r>
      <w:r w:rsidR="00383B3B" w:rsidRPr="00211DF0">
        <w:instrText>ADDIN CSL_CITATION {"citationItems":[{"id":"ITEM-1","itemData":{"DOI":"10.1177/0149206312444447","ISSN":"01492063","abstract":"This review reorganizes and reconceptualizes extant research on patent strategy, which has emerged from diverse roots in economics, law, and management. Accordingly, it is anticipated that this review will help provide structure and direction to what is currently a somewhat disparate and fractured field of study within management. The main proposed framework highlights two important themes within patent strategy research-generic patent strategies and the strategic management of patents. In addition, it is noted that research in each of these themes generally maps onto one or more of three key domains-rights, licensing, or enforcement-within which patent-related strategic actions are typically undertaken. Two summary tables of prior research are provided that juxtapose the three patent strategy domains with different theory lenses adopted in patent strategy research. Finally, the article highlights two promising areas whose connections with patent strategy are beginning to be addressed by research-firms' overall appropriability strategies and value creation strategies. An overarching conceptual figure maps the different research areas reviewed in the article and highlights the relationships between these research literatures. The reconceptualization and reframing of prior research advanced in this review promises to advance scholarship on patent strategy by illuminating its many links with the broader management field and by identifying opportunities to address important unanswered research questions. It thus provides a useful roadmap to help stimulate and guide future management research in this vital area. © The Author(s) 2012.","author":[{"dropping-particle":"","family":"Somaya","given":"Deepak","non-dropping-particle":"","parse-names":false,"suffix":""}],"container-title":"Journal of Management","id":"ITEM-1","issue":"4","issued":{"date-parts":[["2012"]]},"page":"1084-1114","title":"Patent Strategy and Management: An Integrative Review and Research Agenda","type":"article-journal","volume":"38"},"uris":["http://www.mendeley.com/documents/?uuid=8e73d8b6-aa88-4e0f-93df-64c4c5afdf47"]}],"mendeley":{"formattedCitation":"(Somaya, 2012)","plainTextFormattedCitation":"(Somaya, 2012)","previouslyFormattedCitation":"(Somaya, 2012)"},"properties":{"noteIndex":0},"schema":"https://github.com/citation-style-language/schema/raw/master/csl-citation.json"}</w:instrText>
      </w:r>
      <w:r w:rsidR="00383B3B" w:rsidRPr="00211DF0">
        <w:fldChar w:fldCharType="separate"/>
      </w:r>
      <w:r w:rsidR="00383B3B" w:rsidRPr="00211DF0">
        <w:rPr>
          <w:noProof/>
        </w:rPr>
        <w:t>(Somaya, 2012)</w:t>
      </w:r>
      <w:r w:rsidR="00383B3B" w:rsidRPr="00211DF0">
        <w:fldChar w:fldCharType="end"/>
      </w:r>
      <w:r w:rsidR="00383B3B" w:rsidRPr="00211DF0">
        <w:t xml:space="preserve"> </w:t>
      </w:r>
      <w:r w:rsidRPr="00211DF0">
        <w:t>into models explaining the licensing income of universities</w:t>
      </w:r>
      <w:r w:rsidR="00963C3B" w:rsidRPr="00211DF0">
        <w:t xml:space="preserve"> </w:t>
      </w:r>
      <w:r w:rsidR="00963C3B" w:rsidRPr="00211DF0">
        <w:fldChar w:fldCharType="begin" w:fldLock="1"/>
      </w:r>
      <w:r w:rsidR="00963C3B" w:rsidRPr="00211DF0">
        <w:instrText>ADDIN CSL_CITATION {"citationItems":[{"id":"ITEM-1","itemData":{"DOI":"10.1016/S0048-7333(01)00196-2","ISSN":"00487333","abstract":"We present quantitative and qualitative evidence on the relative productivity of university technology transfer offices (TTOs). Our empirical results suggest that TTO activity is characterized by constant returns to scale and that environmental and institutional factors explain some of the variation in performance. Productivity may also depend on organizational practices. Unfortunately, there are no quantitative measures available on such practices, so we rely on inductive, qualitative methods to identify them. Based on 55 interviews of 98 entrepreneurs, scientists, and administrators at five research universities, we conclude that the most critical organizational factors are faculty reward systems, TTO staffing/compensation practices, and cultural barriers between universities and firms. © 2002 Elsevier Science B.V. All rights reserved.","author":[{"dropping-particle":"","family":"Siegel","given":"Donald S.","non-dropping-particle":"","parse-names":false,"suffix":""},{"dropping-particle":"","family":"Waldman","given":"David","non-dropping-particle":"","parse-names":false,"suffix":""},{"dropping-particle":"","family":"Link","given":"Albert","non-dropping-particle":"","parse-names":false,"suffix":""}],"container-title":"Research Policy","id":"ITEM-1","issue":"1","issued":{"date-parts":[["2003"]]},"page":"27-48","title":"Assessing the impact of organizational practices on the relative productivity of university technology transfer offices: An exploratory study","type":"article-journal","volume":"32"},"uris":["http://www.mendeley.com/documents/?uuid=dd5eae74-0dcb-4dee-8c3a-430cba4a6bf7"]},{"id":"ITEM-2","itemData":{"DOI":"10.1016/j.respol.2017.03.008","ISSN":"00487333","abstract":"This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Policy","id":"ITEM-2","issue":"5","issued":{"date-parts":[["2017"]]},"page":"881-897","publisher":"Elsevier B.V.","title":"University research and knowledge transfer: A dynamic view of ambidexterity in british universities","type":"article-journal","volume":"46"},"uris":["http://www.mendeley.com/documents/?uuid=1bae52b2-2b76-4a4b-9383-c1e21964cb01"]}],"mendeley":{"formattedCitation":"(Sengupta and Ray, 2017; D. S. Siegel et al., 2003)","manualFormatting":"(Sengupta and Ray, 2017; Siegel et al., 2003)","plainTextFormattedCitation":"(Sengupta and Ray, 2017; D. S. Siegel et al., 2003)","previouslyFormattedCitation":"(Sengupta and Ray, 2017; D. S. Siegel et al., 2003)"},"properties":{"noteIndex":0},"schema":"https://github.com/citation-style-language/schema/raw/master/csl-citation.json"}</w:instrText>
      </w:r>
      <w:r w:rsidR="00963C3B" w:rsidRPr="00211DF0">
        <w:fldChar w:fldCharType="separate"/>
      </w:r>
      <w:r w:rsidR="00963C3B" w:rsidRPr="00211DF0">
        <w:rPr>
          <w:noProof/>
        </w:rPr>
        <w:t>(Sengupta and Ray, 2017; Siegel et al., 2003)</w:t>
      </w:r>
      <w:r w:rsidR="00963C3B" w:rsidRPr="00211DF0">
        <w:fldChar w:fldCharType="end"/>
      </w:r>
      <w:r w:rsidRPr="00211DF0">
        <w:t xml:space="preserve">. We predict that the licensing income of universities is higher when they are defendants in patent litigations because the latter produces an unintended signal about the commercial value of the university’s patents. </w:t>
      </w:r>
      <w:r w:rsidR="00FE726E" w:rsidRPr="00211DF0">
        <w:t xml:space="preserve">This signal can overcome the information asymmetry between a university and potential </w:t>
      </w:r>
      <w:r w:rsidR="00BC0E95" w:rsidRPr="00211DF0">
        <w:t>licensees, which</w:t>
      </w:r>
      <w:r w:rsidR="00FE726E" w:rsidRPr="00211DF0">
        <w:t xml:space="preserve"> cannot directly observe the commer</w:t>
      </w:r>
      <w:r w:rsidR="00172343" w:rsidRPr="00211DF0">
        <w:t>cial value of university</w:t>
      </w:r>
      <w:r w:rsidR="00FE726E" w:rsidRPr="00211DF0">
        <w:t xml:space="preserve"> technologies. </w:t>
      </w:r>
      <w:r w:rsidR="00DF576A" w:rsidRPr="00211DF0">
        <w:t>We reason that this signaling effect is strong since (a) patent litigation is costly, (b) observable to other firms interested in the technologi</w:t>
      </w:r>
      <w:r w:rsidR="00DF576A" w:rsidRPr="00211DF0">
        <w:lastRenderedPageBreak/>
        <w:t>cal field</w:t>
      </w:r>
      <w:r w:rsidR="00BC0E95" w:rsidRPr="00211DF0">
        <w:t xml:space="preserve"> as well as</w:t>
      </w:r>
      <w:r w:rsidR="00DF576A" w:rsidRPr="00211DF0">
        <w:t xml:space="preserve"> (c) has a strong fit with the unobserved</w:t>
      </w:r>
      <w:r w:rsidR="00723A5A" w:rsidRPr="00211DF0">
        <w:t xml:space="preserve"> quality of a university producing technology with commercial value. </w:t>
      </w:r>
      <w:r w:rsidR="00B12C69" w:rsidRPr="00211DF0">
        <w:t xml:space="preserve">Further, we theorize that the signaling effect for universities as defendants in patent litigation </w:t>
      </w:r>
      <w:r w:rsidR="00172343" w:rsidRPr="00211DF0">
        <w:t>has boundary conditions based on the</w:t>
      </w:r>
      <w:r w:rsidR="004A7DFA" w:rsidRPr="00211DF0">
        <w:t xml:space="preserve"> scale of </w:t>
      </w:r>
      <w:r w:rsidR="00865630" w:rsidRPr="00211DF0">
        <w:t xml:space="preserve">the university’s </w:t>
      </w:r>
      <w:r w:rsidR="004A7DFA" w:rsidRPr="00211DF0">
        <w:t>licensing activit</w:t>
      </w:r>
      <w:r w:rsidR="00865630" w:rsidRPr="00211DF0">
        <w:t>ies</w:t>
      </w:r>
      <w:r w:rsidR="00172343" w:rsidRPr="00211DF0">
        <w:t xml:space="preserve"> and </w:t>
      </w:r>
      <w:r w:rsidR="004A7DFA" w:rsidRPr="00211DF0">
        <w:t>scope of the patent litigation in which they are defendants</w:t>
      </w:r>
      <w:r w:rsidR="00A328D7" w:rsidRPr="00211DF0">
        <w:t>, i.</w:t>
      </w:r>
      <w:r w:rsidR="00E71AB7" w:rsidRPr="00211DF0">
        <w:t xml:space="preserve">e. whether the university has </w:t>
      </w:r>
      <w:r w:rsidR="00A328D7" w:rsidRPr="00211DF0">
        <w:t>private firms as co-defendant</w:t>
      </w:r>
      <w:r w:rsidR="007741B0">
        <w:t>s</w:t>
      </w:r>
      <w:r w:rsidR="00E71AB7" w:rsidRPr="00211DF0">
        <w:t xml:space="preserve"> which already use the technology</w:t>
      </w:r>
      <w:r w:rsidR="004A7DFA" w:rsidRPr="00211DF0">
        <w:t>.</w:t>
      </w:r>
    </w:p>
    <w:p w14:paraId="68DECC82" w14:textId="3473931A" w:rsidR="00BC35CA" w:rsidRPr="00211DF0" w:rsidRDefault="00335925" w:rsidP="009A2B7B">
      <w:pPr>
        <w:pStyle w:val="2ndparagraph"/>
      </w:pPr>
      <w:r>
        <w:t xml:space="preserve">Our integrated theoretical logic builds on studies that have started to explore </w:t>
      </w:r>
      <w:r w:rsidR="00B34FEC">
        <w:t>issues related to</w:t>
      </w:r>
      <w:r w:rsidR="009D750C">
        <w:t xml:space="preserve"> patent</w:t>
      </w:r>
      <w:r w:rsidR="00B34FEC">
        <w:t xml:space="preserve"> litigation in the context of university technology licensing </w:t>
      </w:r>
      <w:r w:rsidR="00B34FEC">
        <w:fldChar w:fldCharType="begin" w:fldLock="1"/>
      </w:r>
      <w:r w:rsidR="00BB039F">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efforts","type":"article-journal","volume":"63"},"uris":["http://www.mendeley.com/documents/?uuid=72cfedbf-933e-4035-b1f0-e62e27c49f65"]}],"mendeley":{"formattedCitation":"(Shane and Somaya, 2007)","plainTextFormattedCitation":"(Shane and Somaya, 2007)","previouslyFormattedCitation":"(Shane and Somaya, 2007)"},"properties":{"noteIndex":0},"schema":"https://github.com/citation-style-language/schema/raw/master/csl-citation.json"}</w:instrText>
      </w:r>
      <w:r w:rsidR="00B34FEC">
        <w:fldChar w:fldCharType="separate"/>
      </w:r>
      <w:r w:rsidR="00B34FEC" w:rsidRPr="00B34FEC">
        <w:rPr>
          <w:noProof/>
        </w:rPr>
        <w:t>(Shane and Somaya, 2007)</w:t>
      </w:r>
      <w:r w:rsidR="00B34FEC">
        <w:fldChar w:fldCharType="end"/>
      </w:r>
      <w:r w:rsidR="00B34FEC">
        <w:t xml:space="preserve">, connecting research on university technology transfer with research on patent enforcement strategy. </w:t>
      </w:r>
      <w:r w:rsidR="003A7ED0" w:rsidRPr="00211DF0">
        <w:t xml:space="preserve">On the one hand, university patenting as a prerequisite for licensing technologies and generating royalty income is largely acknowledged as a priority for universities </w:t>
      </w:r>
      <w:r w:rsidR="003A7ED0" w:rsidRPr="00211DF0">
        <w:fldChar w:fldCharType="begin" w:fldLock="1"/>
      </w:r>
      <w:r w:rsidR="003A7ED0" w:rsidRPr="00211DF0">
        <w:instrText>ADDIN CSL_CITATION {"citationItems":[{"id":"ITEM-1","itemData":{"DOI":"10.1023/A:1007884111883","ISSN":"0892-9912","abstract":"This paper describes results of our survey of licensing at 62 research universities. We consider ownership, income splits, stage of development, marketing, license policies and characteristics, goals of licensing and the role of the inventor in licensing. Based on these results we analyze the relationship between licensing outcomes and both the objectives of the TTO and the characteristics of the technologies. Patent applications grow one-to-one with disclosures, while sponsored research grows similarly with licenses executed. Royalties are typically larger the higher the quality of the faculty and the higher the fraction of licenses that are executed at latter stages of development. Sponsored research is more likely to be included in a license if the new technology is at an early stage of development or if the TTO evaluates it as important. We find that additional disclosures generate smaller percentage increases in licenses, and those increases in licenses generate smaller percentage increases in royalties.","author":[{"dropping-particle":"","family":"Thursby","given":"Jerry G. Jg Jerry G.","non-dropping-particle":"","parse-names":false,"suffix":""},{"dropping-particle":"","family":"Jensen","given":"Richard a.","non-dropping-particle":"","parse-names":false,"suffix":""},{"dropping-particle":"","family":"Thursby","given":"Marie C. Mc","non-dropping-particle":"","parse-names":false,"suffix":""}],"container-title":"The Journal of Technology Transfer","id":"ITEM-1","issue":"1","issued":{"date-parts":[["2001"]]},"page":"59–72","title":"Objectives, characteristics and outcomes of university licensing: A survey of major US universities","type":"article-journal","volume":"26"},"uris":["http://www.mendeley.com/documents/?uuid=c0f5386a-485e-4689-80ad-d5d16d71aa11"]},{"id":"ITEM-2","itemData":{"DOI":"10.1016/j.respol.2012.09.007","ISBN":"0048-7333","ISSN":"00487333","abstract":"A considerable body of work highlights the relevance of collaborative research, contract research, consulting and informal relationships for university-industry knowledge transfer. We present a systematic review of research on academic scientists' involvement in these activities to which we refer as 'academic engagement'. Apart from extracting findings that are generalisable across studies, we ask how academic engagement differs from commercialisation, defined as intellectual property creation and academic entrepreneurship. We identify the individual, organisational and institutional antecedents and consequences of academic engagement, and then compare these findings with the antecedents and consequences of commercialisation. Apart from being more widely practiced, academic engagement is distinct from commercialisation in that it is closely aligned with traditional academic research activities, and pursued by academics to access resources supporting their research agendas. We conclude by identifying future research needs, opportunities for methodological improvement and policy interventions. © 2012 Elsevier B.V.","author":[{"dropping-particle":"","family":"Perkmann","given":"Markus","non-dropping-particle":"","parse-names":false,"suffix":""},{"dropping-particle":"","family":"Tartari","given":"Valentina","non-dropping-particle":"","parse-names":false,"suffix":""},{"dropping-particle":"","family":"McKelvey","given":"Maureen","non-dropping-particle":"","parse-names":false,"suffix":""},{"dropping-particle":"","family":"Autio","given":"Erkko","non-dropping-particle":"","parse-names":false,"suffix":""},{"dropping-particle":"","family":"Broström","given":"Anders","non-dropping-particle":"","parse-names":false,"suffix":""},{"dropping-particle":"","family":"D'Este","given":"Pablo","non-dropping-particle":"","parse-names":false,"suffix":""},{"dropping-particle":"","family":"Fini","given":"Riccardo","non-dropping-particle":"","parse-names":false,"suffix":""},{"dropping-particle":"","family":"Geuna","given":"Aldo","non-dropping-particle":"","parse-names":false,"suffix":""},{"dropping-particle":"","family":"Grimaldi","given":"Rosa","non-dropping-particle":"","parse-names":false,"suffix":""},{"dropping-particle":"","family":"Hughes","given":"Alan","non-dropping-particle":"","parse-names":false,"suffix":""},{"dropping-particle":"","family":"Krabel","given":"Stefan","non-dropping-particle":"","parse-names":false,"suffix":""},{"dropping-particle":"","family":"Kitson","given":"Michael","non-dropping-particle":"","parse-names":false,"suffix":""},{"dropping-particle":"","family":"Llerena","given":"Patrick","non-dropping-particle":"","parse-names":false,"suffix":""},{"dropping-particle":"","family":"Lissoni","given":"Franceso","non-dropping-particle":"","parse-names":false,"suffix":""},{"dropping-particle":"","family":"Salter","given":"Ammon","non-dropping-particle":"","parse-names":false,"suffix":""},{"dropping-particle":"","family":"Sobrero","given":"Maurizio","non-dropping-particle":"","parse-names":false,"suffix":""}],"container-title":"Research Policy","id":"ITEM-2","issue":"2","issued":{"date-parts":[["2013"]]},"page":"423-442","publisher":"Elsevier B.V.","title":"Academic engagement and commercialisation: A review of the literature on university-industry relations","type":"article-journal","volume":"42"},"uris":["http://www.mendeley.com/documents/?uuid=f40c6ec3-7d7a-4995-902e-d99cab391c98"]}],"mendeley":{"formattedCitation":"(Perkmann et al., 2013a; Thursby et al., 2001)","plainTextFormattedCitation":"(Perkmann et al., 2013a; Thursby et al., 2001)","previouslyFormattedCitation":"(Perkmann et al., 2013a; Thursby et al., 2001)"},"properties":{"noteIndex":0},"schema":"https://github.com/citation-style-language/schema/raw/master/csl-citation.json"}</w:instrText>
      </w:r>
      <w:r w:rsidR="003A7ED0" w:rsidRPr="00211DF0">
        <w:fldChar w:fldCharType="separate"/>
      </w:r>
      <w:r w:rsidR="003A7ED0" w:rsidRPr="00211DF0">
        <w:rPr>
          <w:noProof/>
        </w:rPr>
        <w:t>(Perkmann et al., 2013a; Thursby et al., 2001)</w:t>
      </w:r>
      <w:r w:rsidR="003A7ED0" w:rsidRPr="00211DF0">
        <w:fldChar w:fldCharType="end"/>
      </w:r>
      <w:r w:rsidR="003A7ED0" w:rsidRPr="00211DF0">
        <w:t xml:space="preserve">. </w:t>
      </w:r>
      <w:r w:rsidR="00B4095A" w:rsidRPr="00211DF0">
        <w:t xml:space="preserve">Naturally, this exposes universities to </w:t>
      </w:r>
      <w:r w:rsidR="007154BD" w:rsidRPr="00211DF0">
        <w:t xml:space="preserve">the management of their patent rights </w:t>
      </w:r>
      <w:r w:rsidR="007154BD" w:rsidRPr="00211DF0">
        <w:fldChar w:fldCharType="begin" w:fldLock="1"/>
      </w:r>
      <w:r w:rsidR="007154BD" w:rsidRPr="00211DF0">
        <w:instrText>ADDIN CSL_CITATION {"citationItems":[{"id":"ITEM-1","itemData":{"DOI":"10.1007/s10961-009-9123-5","ISBN":"1096100991","ISSN":"08929912","abstract":"Drawing on histories of technological innovation originating from research by faculty at The Pennsylvania State University and Johns Hopkins University, this paper presents evidence for a “technology” as well as an “intellectual property rights” research approach to the commercialization of academic patents. By describing how inventor and firm activities and strategies affect the technical development and commercial positioning of university patents, a technology focus adds depth to the general proposition that university patents are embryonic technologies. It likewise serves as an analytical probe to reconsider other mainstream propositions about university technology transfer.","author":[{"dropping-particle":"","family":"Feller","given":"Irwin","non-dropping-particle":"","parse-names":false,"suffix":""},{"dropping-particle":"","family":"Feldman","given":"Maryann","non-dropping-particle":"","parse-names":false,"suffix":""}],"container-title":"Journal of Technology Transfer","id":"ITEM-1","issue":"6","issued":{"date-parts":[["2010"]]},"page":"597-616","title":"The commercialization of academic patents: Black boxes, pipelines, and Rubik's cubes","type":"article-journal","volume":"35"},"uris":["http://www.mendeley.com/documents/?uuid=937ca8bb-4616-44cc-8242-ca57562f6391"]}],"mendeley":{"formattedCitation":"(Feller and Feldman, 2010)","plainTextFormattedCitation":"(Feller and Feldman, 2010)","previouslyFormattedCitation":"(Feller and Feldman, 2010)"},"properties":{"noteIndex":0},"schema":"https://github.com/citation-style-language/schema/raw/master/csl-citation.json"}</w:instrText>
      </w:r>
      <w:r w:rsidR="007154BD" w:rsidRPr="00211DF0">
        <w:fldChar w:fldCharType="separate"/>
      </w:r>
      <w:r w:rsidR="007154BD" w:rsidRPr="00211DF0">
        <w:rPr>
          <w:noProof/>
        </w:rPr>
        <w:t>(Feller and Feldman, 2010)</w:t>
      </w:r>
      <w:r w:rsidR="007154BD" w:rsidRPr="00211DF0">
        <w:fldChar w:fldCharType="end"/>
      </w:r>
      <w:r w:rsidR="007154BD" w:rsidRPr="00211DF0">
        <w:t xml:space="preserve"> including defending them in litigation</w:t>
      </w:r>
      <w:r w:rsidR="00277F95" w:rsidRPr="00211DF0">
        <w:t xml:space="preserve"> </w:t>
      </w:r>
      <w:r w:rsidR="00277F95" w:rsidRPr="00211DF0">
        <w:fldChar w:fldCharType="begin" w:fldLock="1"/>
      </w:r>
      <w:r w:rsidR="00277F95" w:rsidRPr="00211DF0">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efforts","type":"article-journal","volume":"63"},"uris":["http://www.mendeley.com/documents/?uuid=72cfedbf-933e-4035-b1f0-e62e27c49f65"]}],"mendeley":{"formattedCitation":"(Shane and Somaya, 2007)","plainTextFormattedCitation":"(Shane and Somaya, 2007)","previouslyFormattedCitation":"(Shane and Somaya, 2007)"},"properties":{"noteIndex":0},"schema":"https://github.com/citation-style-language/schema/raw/master/csl-citation.json"}</w:instrText>
      </w:r>
      <w:r w:rsidR="00277F95" w:rsidRPr="00211DF0">
        <w:fldChar w:fldCharType="separate"/>
      </w:r>
      <w:r w:rsidR="00277F95" w:rsidRPr="00211DF0">
        <w:rPr>
          <w:noProof/>
        </w:rPr>
        <w:t>(Shane and Somaya, 2007)</w:t>
      </w:r>
      <w:r w:rsidR="00277F95" w:rsidRPr="00211DF0">
        <w:fldChar w:fldCharType="end"/>
      </w:r>
      <w:r w:rsidR="007154BD" w:rsidRPr="00211DF0">
        <w:t xml:space="preserve">. </w:t>
      </w:r>
      <w:r w:rsidR="00545A3F" w:rsidRPr="00211DF0">
        <w:t xml:space="preserve">However, the broader consequences that patent litigation cases have for the perception of a </w:t>
      </w:r>
      <w:r w:rsidR="00B641C5" w:rsidRPr="00211DF0">
        <w:t>university’s</w:t>
      </w:r>
      <w:r w:rsidR="00545A3F" w:rsidRPr="00211DF0">
        <w:t xml:space="preserve"> overall technological capabilities within a broader community of potential licensees is not well understood. </w:t>
      </w:r>
      <w:r w:rsidR="00B433F8" w:rsidRPr="00211DF0">
        <w:t xml:space="preserve">On the other hand, </w:t>
      </w:r>
      <w:r w:rsidR="007508AF" w:rsidRPr="00211DF0">
        <w:t>research on p</w:t>
      </w:r>
      <w:r w:rsidR="00D94983" w:rsidRPr="00211DF0">
        <w:t xml:space="preserve">atent strategy of firms delineates how patent litigation is not just a legal act concerning the infringement of a specific technology but </w:t>
      </w:r>
      <w:r w:rsidR="00C274C1" w:rsidRPr="00211DF0">
        <w:t>has symbolic meaning</w:t>
      </w:r>
      <w:r w:rsidR="005D145F" w:rsidRPr="00211DF0">
        <w:t>,</w:t>
      </w:r>
      <w:r w:rsidR="00C274C1" w:rsidRPr="00211DF0">
        <w:t xml:space="preserve"> </w:t>
      </w:r>
      <w:r w:rsidR="00B4274A" w:rsidRPr="00211DF0">
        <w:t>shaping</w:t>
      </w:r>
      <w:r w:rsidR="00C274C1" w:rsidRPr="00211DF0">
        <w:t xml:space="preserve"> a firm’s reputation</w:t>
      </w:r>
      <w:r w:rsidR="00963C3B" w:rsidRPr="00211DF0">
        <w:t xml:space="preserve"> </w:t>
      </w:r>
      <w:r w:rsidR="00963C3B" w:rsidRPr="00211DF0">
        <w:fldChar w:fldCharType="begin" w:fldLock="1"/>
      </w:r>
      <w:r w:rsidR="00963C3B" w:rsidRPr="00211DF0">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Agarwal","given":"Rajshree","non-dropping-particle":"","parse-names":false,"suffix":""},{"dropping-particle":"","family":"Ganco","given":"Martin","non-dropping-particle":"","parse-names":false,"suffix":""},{"dropping-particle":"","family":"Ziedonis","given":"Rosemarie H","non-dropping-particle":"","parse-names":false,"suffix":""}],"container-title":"Strategic Management Journal","id":"ITEM-1","issued":{"date-parts":[["2009"]]},"page":"1349-1374","title":"Reputations for toughness in patent enforcement: Implications for knowledge spillovers via inventor mobility","type":"article-journal","volume":"30"},"uris":["http://www.mendeley.com/documents/?uuid=6ad61b5b-bf69-47c8-9f9e-54e883a5fb30"]}],"mendeley":{"formattedCitation":"(Agarwal et al., 2009)","plainTextFormattedCitation":"(Agarwal et al., 2009)","previouslyFormattedCitation":"(Agarwal et al., 2009)"},"properties":{"noteIndex":0},"schema":"https://github.com/citation-style-language/schema/raw/master/csl-citation.json"}</w:instrText>
      </w:r>
      <w:r w:rsidR="00963C3B" w:rsidRPr="00211DF0">
        <w:fldChar w:fldCharType="separate"/>
      </w:r>
      <w:r w:rsidR="00963C3B" w:rsidRPr="00211DF0">
        <w:rPr>
          <w:noProof/>
        </w:rPr>
        <w:t>(Agarwal et al., 2009)</w:t>
      </w:r>
      <w:r w:rsidR="00963C3B" w:rsidRPr="00211DF0">
        <w:fldChar w:fldCharType="end"/>
      </w:r>
      <w:r w:rsidR="00C274C1" w:rsidRPr="00211DF0">
        <w:t xml:space="preserve"> or </w:t>
      </w:r>
      <w:r w:rsidR="00B4274A" w:rsidRPr="00211DF0">
        <w:t>attractiveness for</w:t>
      </w:r>
      <w:r w:rsidR="00C274C1" w:rsidRPr="00211DF0">
        <w:t xml:space="preserve"> investors</w:t>
      </w:r>
      <w:r w:rsidR="00963C3B" w:rsidRPr="00211DF0">
        <w:t xml:space="preserve"> </w:t>
      </w:r>
      <w:r w:rsidR="00963C3B" w:rsidRPr="00211DF0">
        <w:fldChar w:fldCharType="begin" w:fldLock="1"/>
      </w:r>
      <w:r w:rsidR="00476CCC">
        <w:instrText>ADDIN CSL_CITATION {"citationItems":[{"id":"ITEM-1","itemData":{"DOI":"10.1016/j.respol.2015.07.002","ISSN":"00487333","abstract":"This paper empirically investigates the statistical relationship between levels of patent litigation and venture capital investment in the U.S. We find that VC investment, a major funding source for entrepreneurial activity, initially increases with the number of litigated patents. However, there is a \"tipping point\" where further increases in the number of patents litigated are associated with decreased VC investment, which suggests an inverted U-shaped relation between patent litigation and VC investment. This appears strongest for technology patents, and negligible for products such as pharmaceuticals. Strikingly, we find evidence that litigation by frequent patent litigators, a proxy for litigation by patent assertion entities, is directly associated with decreased VC investment, with no positive effects initially.","author":[{"dropping-particle":"","family":"Kiebzak","given":"Stephen","non-dropping-particle":"","parse-names":false,"suffix":""},{"dropping-particle":"","family":"Rafert","given":"Greg","non-dropping-particle":"","parse-names":false,"suffix":""},{"dropping-particle":"","family":"Tucker","given":"Catherine E.","non-dropping-particle":"","parse-names":false,"suffix":""}],"container-title":"Research Policy","id":"ITEM-1","issue":"1","issued":{"date-parts":[["2016"]]},"page":"218-231","publisher":"Elsevier B.V.","title":"The effect of patent litigation and patent assertion entities on entrepreneurial activity","type":"article-journal","volume":"45"},"uris":["http://www.mendeley.com/documents/?uuid=ba97354f-5879-44b0-93b6-379cb3d3ec6f"]}],"mendeley":{"formattedCitation":"(Kiebzak et al., 2016)","plainTextFormattedCitation":"(Kiebzak et al., 2016)","previouslyFormattedCitation":"(Kiebzak et al., 2016)"},"properties":{"noteIndex":0},"schema":"https://github.com/citation-style-language/schema/raw/master/csl-citation.json"}</w:instrText>
      </w:r>
      <w:r w:rsidR="00963C3B" w:rsidRPr="00211DF0">
        <w:fldChar w:fldCharType="separate"/>
      </w:r>
      <w:r w:rsidR="007D4BEC" w:rsidRPr="007D4BEC">
        <w:rPr>
          <w:noProof/>
        </w:rPr>
        <w:t>(Kiebzak et al., 2016)</w:t>
      </w:r>
      <w:r w:rsidR="00963C3B" w:rsidRPr="00211DF0">
        <w:fldChar w:fldCharType="end"/>
      </w:r>
      <w:r w:rsidR="00C274C1" w:rsidRPr="00211DF0">
        <w:t>.</w:t>
      </w:r>
      <w:r w:rsidR="00F55DE4" w:rsidRPr="00211DF0">
        <w:t xml:space="preserve"> </w:t>
      </w:r>
      <w:r w:rsidR="007F6D62" w:rsidRPr="00211DF0">
        <w:t xml:space="preserve">Hence, </w:t>
      </w:r>
      <w:r w:rsidR="00857538" w:rsidRPr="00211DF0">
        <w:t>a</w:t>
      </w:r>
      <w:r w:rsidR="007F6D62" w:rsidRPr="00211DF0">
        <w:t xml:space="preserve"> theory incorporating the signaling effects of universities defending their patents in court provides a more comprehensive </w:t>
      </w:r>
      <w:r w:rsidR="00857538" w:rsidRPr="00211DF0">
        <w:t xml:space="preserve">understanding </w:t>
      </w:r>
      <w:r w:rsidR="0060033A" w:rsidRPr="00211DF0">
        <w:t>of</w:t>
      </w:r>
      <w:r w:rsidR="00857538" w:rsidRPr="00211DF0">
        <w:t xml:space="preserve"> factors determining the licensing income of universities.</w:t>
      </w:r>
    </w:p>
    <w:p w14:paraId="3CB6FAFD" w14:textId="778626E9" w:rsidR="006C7395" w:rsidRPr="00211DF0" w:rsidRDefault="00857538" w:rsidP="00DF12F0">
      <w:pPr>
        <w:pStyle w:val="2ndparagraph"/>
      </w:pPr>
      <w:r w:rsidRPr="00211DF0">
        <w:t>We test our theoretical predictions by using</w:t>
      </w:r>
      <w:r w:rsidR="004A7DFA" w:rsidRPr="00211DF0">
        <w:t xml:space="preserve"> a unique dataset </w:t>
      </w:r>
      <w:r w:rsidRPr="00211DF0">
        <w:t xml:space="preserve">combining both </w:t>
      </w:r>
      <w:r w:rsidR="004A7DFA" w:rsidRPr="00211DF0">
        <w:t xml:space="preserve">university participation in </w:t>
      </w:r>
      <w:r w:rsidRPr="00211DF0">
        <w:t xml:space="preserve">patent </w:t>
      </w:r>
      <w:r w:rsidR="004A7DFA" w:rsidRPr="00211DF0">
        <w:t>litigation and technology licensing performance</w:t>
      </w:r>
      <w:r w:rsidR="00305B7F" w:rsidRPr="00211DF0">
        <w:t xml:space="preserve"> in the US</w:t>
      </w:r>
      <w:r w:rsidR="004A7DFA" w:rsidRPr="00211DF0">
        <w:t xml:space="preserve">. </w:t>
      </w:r>
      <w:r w:rsidR="00305B7F" w:rsidRPr="00211DF0">
        <w:t>Our d</w:t>
      </w:r>
      <w:r w:rsidR="004A7DFA" w:rsidRPr="00211DF0">
        <w:t xml:space="preserve">ata consists of 1,408 university-year observations that include 157 unique US universities over the period 2005-2016. </w:t>
      </w:r>
      <w:r w:rsidR="00994963" w:rsidRPr="00211DF0">
        <w:t xml:space="preserve">We rely on a combination of </w:t>
      </w:r>
      <w:r w:rsidR="006C7395" w:rsidRPr="00211DF0">
        <w:t>entropy balancing and university-fixed effect panel regressions for conducting the empirical test</w:t>
      </w:r>
      <w:r w:rsidR="00537D0C">
        <w:t>s</w:t>
      </w:r>
      <w:r w:rsidR="006C7395" w:rsidRPr="00211DF0">
        <w:t>. The r</w:t>
      </w:r>
      <w:r w:rsidR="004A7DFA" w:rsidRPr="00211DF0">
        <w:t>esults of our modelling provide support</w:t>
      </w:r>
      <w:r w:rsidR="004E1B4F" w:rsidRPr="00211DF0">
        <w:t xml:space="preserve"> for</w:t>
      </w:r>
      <w:r w:rsidR="004A7DFA" w:rsidRPr="00211DF0">
        <w:t xml:space="preserve"> </w:t>
      </w:r>
      <w:r w:rsidR="006C7395" w:rsidRPr="00211DF0">
        <w:t xml:space="preserve">all hypotheses. </w:t>
      </w:r>
      <w:r w:rsidR="005D4C39" w:rsidRPr="00211DF0">
        <w:t xml:space="preserve">The licensing income for universities increases with the number of patent litigations that they defend in court and this effect is stronger for universities with more licensing experience and when the patent litigation involves private firms which </w:t>
      </w:r>
      <w:r w:rsidR="00F23363">
        <w:t>are</w:t>
      </w:r>
      <w:r w:rsidR="00F23363" w:rsidRPr="00211DF0">
        <w:t xml:space="preserve"> </w:t>
      </w:r>
      <w:r w:rsidR="005D4C39" w:rsidRPr="00211DF0">
        <w:t>already using the technology.</w:t>
      </w:r>
    </w:p>
    <w:p w14:paraId="5B611B61" w14:textId="5D90E14F" w:rsidR="009D7CCC" w:rsidRPr="00211DF0" w:rsidRDefault="004A7DFA" w:rsidP="00DF12F0">
      <w:pPr>
        <w:pStyle w:val="2ndparagraph"/>
      </w:pPr>
      <w:r w:rsidRPr="00211DF0">
        <w:lastRenderedPageBreak/>
        <w:t xml:space="preserve">Thus, our study makes </w:t>
      </w:r>
      <w:r w:rsidR="003D0E4F" w:rsidRPr="00211DF0">
        <w:t xml:space="preserve">two </w:t>
      </w:r>
      <w:r w:rsidRPr="00211DF0">
        <w:t>main contributions</w:t>
      </w:r>
      <w:r w:rsidR="00BF39F6" w:rsidRPr="00211DF0">
        <w:t xml:space="preserve"> to academic research. First</w:t>
      </w:r>
      <w:r w:rsidRPr="00211DF0">
        <w:t>,</w:t>
      </w:r>
      <w:r w:rsidR="004A710E" w:rsidRPr="00211DF0">
        <w:t xml:space="preserve"> </w:t>
      </w:r>
      <w:r w:rsidR="00A41DF5" w:rsidRPr="00211DF0">
        <w:t xml:space="preserve">we extend the scope of existing theory explaining how universities can provide information to prospective licensees effectively and increase their potential for generating new licensing income (Hsu et al., 2021; Macho-Stadler et al., 2007; Siegel et al., 2007). </w:t>
      </w:r>
      <w:r w:rsidR="00175471" w:rsidRPr="00211DF0">
        <w:t>Within our logic, valuable information is not just created by universities</w:t>
      </w:r>
      <w:r w:rsidR="007D4823" w:rsidRPr="00211DF0">
        <w:t xml:space="preserve"> themselves</w:t>
      </w:r>
      <w:r w:rsidR="00175471" w:rsidRPr="00211DF0">
        <w:t xml:space="preserve"> but also by third parties incurring substantial costs by filing for patent litigation. </w:t>
      </w:r>
      <w:r w:rsidR="00675EF8" w:rsidRPr="00211DF0">
        <w:t xml:space="preserve">While the resulting signal is unintended, potential licensees can infer from the </w:t>
      </w:r>
      <w:r w:rsidR="00850640" w:rsidRPr="00211DF0">
        <w:t>signal that the university develops technologies with substantial commercial value. Hence, our theoretical reasoning provides a more comprehensive understanding about (a) the sources of information that potential licensees take into account and (b) defending patent litigation</w:t>
      </w:r>
      <w:r w:rsidR="00437251">
        <w:t>, that</w:t>
      </w:r>
      <w:r w:rsidR="00850640" w:rsidRPr="00211DF0">
        <w:t xml:space="preserve"> does not necessarily send negative signals to them. </w:t>
      </w:r>
      <w:r w:rsidR="00434A13" w:rsidRPr="00211DF0">
        <w:t xml:space="preserve">This theoretical model can be extended to other </w:t>
      </w:r>
      <w:r w:rsidR="009D7CCC" w:rsidRPr="00211DF0">
        <w:t>unintended signaling effects, e.g. university scientists being hired by high-technology firms because of the usefulness of their research outside of academia.</w:t>
      </w:r>
    </w:p>
    <w:p w14:paraId="3EAC69AF" w14:textId="50C93EDA" w:rsidR="004270E3" w:rsidRPr="00211DF0" w:rsidRDefault="004A7DFA" w:rsidP="00DF12F0">
      <w:pPr>
        <w:pStyle w:val="2ndparagraph"/>
      </w:pPr>
      <w:r w:rsidRPr="00211DF0">
        <w:t xml:space="preserve">Second, </w:t>
      </w:r>
      <w:r w:rsidR="00B91963" w:rsidRPr="00211DF0">
        <w:t>unintended signals are an understudied topic of signaling theory</w:t>
      </w:r>
      <w:r w:rsidR="00D1013E" w:rsidRPr="00211DF0">
        <w:t xml:space="preserve"> </w:t>
      </w:r>
      <w:r w:rsidR="00D1013E" w:rsidRPr="00211DF0">
        <w:fldChar w:fldCharType="begin" w:fldLock="1"/>
      </w:r>
      <w:r w:rsidR="00D1013E" w:rsidRPr="00211DF0">
        <w:instrText>ADDIN CSL_CITATION {"citationItems":[{"id":"ITEM-1","itemData":{"DOI":"10.1177/0149206310388419","ISSN":"01492063","abstract":"Signaling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assessment","type":"article-journal","volume":"37"},"uris":["http://www.mendeley.com/documents/?uuid=19ef3456-a348-456b-b72d-ab43a2d05a2c"]}],"mendeley":{"formattedCitation":"(Connelly et al., 2011)","plainTextFormattedCitation":"(Connelly et al., 2011)","previouslyFormattedCitation":"(Connelly et al., 2011)"},"properties":{"noteIndex":0},"schema":"https://github.com/citation-style-language/schema/raw/master/csl-citation.json"}</w:instrText>
      </w:r>
      <w:r w:rsidR="00D1013E" w:rsidRPr="00211DF0">
        <w:fldChar w:fldCharType="separate"/>
      </w:r>
      <w:r w:rsidR="00D1013E" w:rsidRPr="00211DF0">
        <w:rPr>
          <w:noProof/>
        </w:rPr>
        <w:t>(Connelly et al., 2011)</w:t>
      </w:r>
      <w:r w:rsidR="00D1013E" w:rsidRPr="00211DF0">
        <w:fldChar w:fldCharType="end"/>
      </w:r>
      <w:r w:rsidR="00B91963" w:rsidRPr="00211DF0">
        <w:t xml:space="preserve">. </w:t>
      </w:r>
      <w:r w:rsidR="00D1013E" w:rsidRPr="00211DF0">
        <w:t xml:space="preserve">This is due to the fact that many organizations are unaware </w:t>
      </w:r>
      <w:r w:rsidR="000535E0">
        <w:t>of</w:t>
      </w:r>
      <w:r w:rsidR="00537D0C" w:rsidRPr="00211DF0">
        <w:t xml:space="preserve"> </w:t>
      </w:r>
      <w:r w:rsidR="00D1013E" w:rsidRPr="00211DF0">
        <w:t xml:space="preserve">the multitude of signals that they are sending </w:t>
      </w:r>
      <w:r w:rsidR="00F55F22" w:rsidRPr="00211DF0">
        <w:t xml:space="preserve">through a </w:t>
      </w:r>
      <w:r w:rsidR="00F23363">
        <w:t>variety</w:t>
      </w:r>
      <w:r w:rsidR="00F23363" w:rsidRPr="00211DF0">
        <w:t xml:space="preserve"> </w:t>
      </w:r>
      <w:r w:rsidR="00F55F22" w:rsidRPr="00211DF0">
        <w:t>of actions</w:t>
      </w:r>
      <w:r w:rsidR="00D1013E" w:rsidRPr="00211DF0">
        <w:t xml:space="preserve"> which can be interpreted </w:t>
      </w:r>
      <w:r w:rsidR="00454C05" w:rsidRPr="00211DF0">
        <w:t>heterogeneously</w:t>
      </w:r>
      <w:r w:rsidR="008E7ED9" w:rsidRPr="00211DF0">
        <w:t xml:space="preserve"> </w:t>
      </w:r>
      <w:r w:rsidR="008E7ED9" w:rsidRPr="00211DF0">
        <w:fldChar w:fldCharType="begin" w:fldLock="1"/>
      </w:r>
      <w:r w:rsidR="00944BB5" w:rsidRPr="00211DF0">
        <w:instrText>ADDIN CSL_CITATION {"citationItems":[{"id":"ITEM-1","itemData":{"DOI":"10.1257/00028280260136200","ISSN":"00028282","author":[{"dropping-particle":"","family":"Spence","given":"Michael","non-dropping-particle":"","parse-names":false,"suffix":""}],"container-title":"American Economic Review","id":"ITEM-1","issue":"3","issued":{"date-parts":[["2002"]]},"page":"434-459","title":"Signaling in retrospect and the informational structure of markets","type":"article-journal","volume":"92"},"uris":["http://www.mendeley.com/documents/?uuid=971cd2c0-a7aa-4f54-85a4-188bfb750a86"]}],"mendeley":{"formattedCitation":"(Spence, 2002)","plainTextFormattedCitation":"(Spence, 2002)","previouslyFormattedCitation":"(Spence, 2002)"},"properties":{"noteIndex":0},"schema":"https://github.com/citation-style-language/schema/raw/master/csl-citation.json"}</w:instrText>
      </w:r>
      <w:r w:rsidR="008E7ED9" w:rsidRPr="00211DF0">
        <w:fldChar w:fldCharType="separate"/>
      </w:r>
      <w:r w:rsidR="008E7ED9" w:rsidRPr="00211DF0">
        <w:rPr>
          <w:noProof/>
        </w:rPr>
        <w:t>(Spence, 2002)</w:t>
      </w:r>
      <w:r w:rsidR="008E7ED9" w:rsidRPr="00211DF0">
        <w:fldChar w:fldCharType="end"/>
      </w:r>
      <w:r w:rsidR="00D1013E" w:rsidRPr="00211DF0">
        <w:t>.</w:t>
      </w:r>
      <w:r w:rsidR="005B576A" w:rsidRPr="00211DF0">
        <w:t xml:space="preserve"> </w:t>
      </w:r>
      <w:r w:rsidR="00F55F22" w:rsidRPr="00211DF0">
        <w:t>These unintended signaling effects should also enter theory on</w:t>
      </w:r>
      <w:r w:rsidR="005B576A" w:rsidRPr="00211DF0">
        <w:t xml:space="preserve"> patent strategy and patent litigation</w:t>
      </w:r>
      <w:r w:rsidRPr="00211DF0">
        <w:t xml:space="preserve"> </w:t>
      </w:r>
      <w:r w:rsidRPr="00211DF0">
        <w:fldChar w:fldCharType="begin" w:fldLock="1"/>
      </w:r>
      <w:r w:rsidRPr="00211DF0">
        <w:instrText>ADDIN CSL_CITATION {"citationItems":[{"id":"ITEM-1","itemData":{"DOI":"10.1177/0149206312444447","ISSN":"01492063","abstract":"This review reorganizes and reconceptualizes extant research on patent strategy, which has emerged from diverse roots in economics, law, and management. Accordingly, it is anticipated that this review will help provide structure and direction to what is currently a somewhat disparate and fractured field of study within management. The main proposed framework highlights two important themes within patent strategy research-generic patent strategies and the strategic management of patents. In addition, it is noted that research in each of these themes generally maps onto one or more of three key domains-rights, licensing, or enforcement-within which patent-related strategic actions are typically undertaken. Two summary tables of prior research are provided that juxtapose the three patent strategy domains with different theory lenses adopted in patent strategy research. Finally, the article highlights two promising areas whose connections with patent strategy are beginning to be addressed by research-firms' overall appropriability strategies and value creation strategies. An overarching conceptual figure maps the different research areas reviewed in the article and highlights the relationships between these research literatures. The reconceptualization and reframing of prior research advanced in this review promises to advance scholarship on patent strategy by illuminating its many links with the broader management field and by identifying opportunities to address important unanswered research questions. It thus provides a useful roadmap to help stimulate and guide future management research in this vital area. © The Author(s) 2012.","author":[{"dropping-particle":"","family":"Somaya","given":"Deepak","non-dropping-particle":"","parse-names":false,"suffix":""}],"container-title":"Journal of Management","id":"ITEM-1","issue":"4","issued":{"date-parts":[["2012"]]},"page":"1084-1114","title":"Patent Strategy and Management: An Integrative Review and Research Agenda","type":"article-journal","volume":"38"},"uris":["http://www.mendeley.com/documents/?uuid=8e73d8b6-aa88-4e0f-93df-64c4c5afdf47"]}],"mendeley":{"formattedCitation":"(Somaya, 2012)","plainTextFormattedCitation":"(Somaya, 2012)","previouslyFormattedCitation":"(Somaya, 2012)"},"properties":{"noteIndex":0},"schema":"https://github.com/citation-style-language/schema/raw/master/csl-citation.json"}</w:instrText>
      </w:r>
      <w:r w:rsidRPr="00211DF0">
        <w:fldChar w:fldCharType="separate"/>
      </w:r>
      <w:r w:rsidRPr="00211DF0">
        <w:rPr>
          <w:noProof/>
        </w:rPr>
        <w:t>(Somaya, 2012)</w:t>
      </w:r>
      <w:r w:rsidRPr="00211DF0">
        <w:fldChar w:fldCharType="end"/>
      </w:r>
      <w:r w:rsidRPr="00211DF0">
        <w:t xml:space="preserve">. </w:t>
      </w:r>
      <w:r w:rsidR="00000698" w:rsidRPr="00211DF0">
        <w:t xml:space="preserve">We show how plaintiffs in patent litigation might actually improve the perception of the commercial value of university </w:t>
      </w:r>
      <w:r w:rsidR="00F23363">
        <w:t>technologies</w:t>
      </w:r>
      <w:r w:rsidR="00F23363" w:rsidRPr="00211DF0">
        <w:t xml:space="preserve"> </w:t>
      </w:r>
      <w:r w:rsidR="00000698" w:rsidRPr="00211DF0">
        <w:t xml:space="preserve">instead of </w:t>
      </w:r>
      <w:r w:rsidR="003879C9" w:rsidRPr="00211DF0">
        <w:t xml:space="preserve">having a punitive effect. </w:t>
      </w:r>
      <w:r w:rsidR="00753EBA" w:rsidRPr="00211DF0">
        <w:t>This insight has wider t</w:t>
      </w:r>
      <w:r w:rsidR="00454C05" w:rsidRPr="00211DF0">
        <w:t xml:space="preserve">heoretical implications for the strategic considerations of patent litigation because plaintiffs might have increased incentives to settle cases with universities before they </w:t>
      </w:r>
      <w:r w:rsidR="009D3D65">
        <w:t>file a patent lawsuit</w:t>
      </w:r>
      <w:r w:rsidR="00454C05" w:rsidRPr="00211DF0">
        <w:t xml:space="preserve"> given the positive signaling effect for </w:t>
      </w:r>
      <w:r w:rsidR="00404F56" w:rsidRPr="00211DF0">
        <w:t>universities</w:t>
      </w:r>
      <w:r w:rsidR="00454C05" w:rsidRPr="00211DF0">
        <w:t xml:space="preserve"> as defendants.</w:t>
      </w:r>
    </w:p>
    <w:p w14:paraId="008559BE" w14:textId="0C4FD3E4" w:rsidR="006F0BE9" w:rsidRPr="00211DF0" w:rsidRDefault="006F0BE9" w:rsidP="008530BC">
      <w:pPr>
        <w:pStyle w:val="Heading1"/>
        <w:rPr>
          <w:lang w:val="en-US"/>
        </w:rPr>
      </w:pPr>
      <w:r w:rsidRPr="00211DF0">
        <w:rPr>
          <w:lang w:val="en-US"/>
        </w:rPr>
        <w:t>Theory and Hypotheses</w:t>
      </w:r>
    </w:p>
    <w:p w14:paraId="6050198C" w14:textId="4CA6431F" w:rsidR="00DD0B73" w:rsidRPr="00211DF0" w:rsidRDefault="00094ABA" w:rsidP="00DD0B73">
      <w:pPr>
        <w:pStyle w:val="Heading2"/>
      </w:pPr>
      <w:r w:rsidRPr="00211DF0">
        <w:t>University patenting and its importance for university income</w:t>
      </w:r>
    </w:p>
    <w:p w14:paraId="67D7E494" w14:textId="6318ABEF" w:rsidR="00E71F2E" w:rsidRPr="00211DF0" w:rsidRDefault="000770FC" w:rsidP="00E71F2E">
      <w:pPr>
        <w:ind w:firstLine="0"/>
        <w:rPr>
          <w:lang w:val="en-US"/>
        </w:rPr>
      </w:pPr>
      <w:r w:rsidRPr="00211DF0">
        <w:rPr>
          <w:lang w:val="en-US"/>
        </w:rPr>
        <w:t xml:space="preserve">Following legislative developments that encouraged the assignment of patent rights to academic institutions, such as the Bayh-Dole act, a dramatic increase in university patenting activity has been observed </w:t>
      </w:r>
      <w:r w:rsidRPr="00211DF0">
        <w:rPr>
          <w:lang w:val="en-US"/>
        </w:rPr>
        <w:fldChar w:fldCharType="begin" w:fldLock="1"/>
      </w:r>
      <w:r w:rsidRPr="00211DF0">
        <w:rPr>
          <w:lang w:val="en-US"/>
        </w:rPr>
        <w:instrText>ADDIN CSL_CITATION {"citationItems":[{"id":"ITEM-1","itemData":{"DOI":"10.1016/j.respol.2011.04.005","ISBN":"0048-7333","ISSN":"00487333","PMID":"63979345","abstract":"On the 30th anniversary of enactment of the Bayh-Dole Act in the U.S., we consider the rationale for academic entrepreneurship and describe the evolving role of universities in the commercialization of research. We also discuss and appraise the effects of legislative reform in several OECD countries relating to academic entrepreneurship. The article synthesizes papers from the special section and outlines an agenda for additional research on various aspects of academic entrepreneurship in terms of system, university and individual levels. We also consider measurement and methodological issues that must be addressed in additional research. © 2011 Elsevier B.V. All rights reserved.","author":[{"dropping-particle":"","family":"Grimaldi","given":"Rosa","non-dropping-particle":"","parse-names":false,"suffix":""},{"dropping-particle":"","family":"Kenney","given":"Martin","non-dropping-particle":"","parse-names":false,"suffix":""},{"dropping-particle":"","family":"Siegel","given":"Donald","non-dropping-particle":"","parse-names":false,"suffix":""},{"dropping-particle":"","family":"Wright","given":"Mike","non-dropping-particle":"","parse-names":false,"suffix":""}],"container-title":"Research Policy","id":"ITEM-1","issue":"8","issued":{"date-parts":[["2011"]]},"page":"1045-1057","publisher":"Elsevier B.V.","title":"30 years after Bayh-Dole: Reassessing academic entrepreneurship","type":"article-journal","volume":"40"},"uris":["http://www.mendeley.com/documents/?uuid=f76d5f6a-d7d8-44f5-97d3-959ec6741a69"]},{"id":"ITEM-2","itemData":{"DOI":"10.1093/cje/bes006","ISSN":"0309166X","abstract":"According to some, universities and academic research are under threat. As we move towards a more knowledge-intensive economy, academics face pressures to link their work more closely to economic needs, with potentially adverse long-term consequences. This has been characterised as a fundamental change in the 'social contract' between universities and the state, with the latter now having more specific expectations regarding the outputs sought from the former. Others have described this as a transition from 'Mode 1' to 'Mode 2' knowledge production, or in terms of the emergence of a 'Triple Helix' relationship between universities, government and industry. This article critically examines these claims, setting them in historical context. We analyse the history of the university and its evolving functions as it responded to changing external demands. Adopting an evolutionary model, we describe how different university 'species' emerged and co-evolved, each with different emphases on the functions of teaching, research and contributing to the economy and society. Turning to the current environment facing universities, we identify the main drivers for change and assess their likely impact, before arriving at conclusions about the future of the university and university research. What we are witnessing today appears to be not so much the appearance of a new (and hence worrying) phenomenon, but more a shift back towards a social contract for the university closer to the one in effect before the second half of the twentieth century-one which, as it did then, may bring about the emergence of new university species. © The Author 2012. Published by Oxford University Press on behalf of the Cambridge Political Economy Society. All rights reserved.","author":[{"dropping-particle":"","family":"Martin","given":"Ben R.","non-dropping-particle":"","parse-names":false,"suffix":""}],"container-title":"Cambridge Journal of Economics","id":"ITEM-2","issue":"3","issued":{"date-parts":[["2012"]]},"page":"543-565","title":"Are universities and university research under threat? Towards an evolutionary model of university speciation","type":"article-journal","volume":"36"},"uris":["http://www.mendeley.com/documents/?uuid=6db14a21-f4cd-463a-8179-4aa97dc9c28f"]}],"mendeley":{"formattedCitation":"(Grimaldi et al., 2011; Martin, 2012)","plainTextFormattedCitation":"(Grimaldi et al., 2011; Martin, 2012)","previouslyFormattedCitation":"(Grimaldi et al., 2011; Martin, 2012)"},"properties":{"noteIndex":0},"schema":"https://github.com/citation-style-language/schema/raw/master/csl-citation.json"}</w:instrText>
      </w:r>
      <w:r w:rsidRPr="00211DF0">
        <w:rPr>
          <w:lang w:val="en-US"/>
        </w:rPr>
        <w:fldChar w:fldCharType="separate"/>
      </w:r>
      <w:r w:rsidRPr="00211DF0">
        <w:rPr>
          <w:noProof/>
          <w:lang w:val="en-US"/>
        </w:rPr>
        <w:t>(Grimaldi et al., 2011; Martin, 2012)</w:t>
      </w:r>
      <w:r w:rsidRPr="00211DF0">
        <w:rPr>
          <w:lang w:val="en-US"/>
        </w:rPr>
        <w:fldChar w:fldCharType="end"/>
      </w:r>
      <w:r w:rsidRPr="00211DF0">
        <w:rPr>
          <w:lang w:val="en-US"/>
        </w:rPr>
        <w:t xml:space="preserve">. Patenting lies at the core of university commercialization efforts </w:t>
      </w:r>
      <w:r w:rsidRPr="00211DF0">
        <w:rPr>
          <w:lang w:val="en-US"/>
        </w:rPr>
        <w:fldChar w:fldCharType="begin" w:fldLock="1"/>
      </w:r>
      <w:r w:rsidR="00C167BF" w:rsidRPr="00211DF0">
        <w:rPr>
          <w:lang w:val="en-US"/>
        </w:rPr>
        <w:instrText>ADDIN CSL_CITATION {"citationItems":[{"id":"ITEM-1","itemData":{"DOI":"10.1016/j.respol.2012.09.007","ISBN":"0048-7333","ISSN":"00487333","abstract":"A considerable body of work highlights the relevance of collaborative research, contract research, consulting and informal relationships for university-industry knowledge transfer. We present a systematic review of research on academic scientists' involvement in these activities to which we refer as 'academic engagement'. Apart from extracting findings that are generalisable across studies, we ask how academic engagement differs from commercialisation, defined as intellectual property creation and academic entrepreneurship. We identify the individual, organisational and institutional antecedents and consequences of academic engagement, and then compare these findings with the antecedents and consequences of commercialisation. Apart from being more widely practiced, academic engagement is distinct from commercialisation in that it is closely aligned with traditional academic research activities, and pursued by academics to access resources supporting their research agendas. We conclude by identifying future research needs, opportunities for methodological improvement and policy interventions. © 2012 Elsevier B.V.","author":[{"dropping-particle":"","family":"Perkmann","given":"Markus","non-dropping-particle":"","parse-names":false,"suffix":""},{"dropping-particle":"","family":"Tartari","given":"Valentina","non-dropping-particle":"","parse-names":false,"suffix":""},{"dropping-particle":"","family":"McKelvey","given":"Maureen","non-dropping-particle":"","parse-names":false,"suffix":""},{"dropping-particle":"","family":"Autio","given":"Erkko","non-dropping-particle":"","parse-names":false,"suffix":""},{"dropping-particle":"","family":"Broström","given":"Anders","non-dropping-particle":"","parse-names":false,"suffix":""},{"dropping-particle":"","family":"D'Este","given":"Pablo","non-dropping-particle":"","parse-names":false,"suffix":""},{"dropping-particle":"","family":"Fini","given":"Riccardo","non-dropping-particle":"","parse-names":false,"suffix":""},{"dropping-particle":"","family":"Geuna","given":"Aldo","non-dropping-particle":"","parse-names":false,"suffix":""},{"dropping-particle":"","family":"Grimaldi","given":"Rosa","non-dropping-particle":"","parse-names":false,"suffix":""},{"dropping-particle":"","family":"Hughes","given":"Alan","non-dropping-particle":"","parse-names":false,"suffix":""},{"dropping-particle":"","family":"Krabel","given":"Stefan","non-dropping-particle":"","parse-names":false,"suffix":""},{"dropping-particle":"","family":"Kitson","given":"Michael","non-dropping-particle":"","parse-names":false,"suffix":""},{"dropping-particle":"","family":"Llerena","given":"Patrick","non-dropping-particle":"","parse-names":false,"suffix":""},{"dropping-particle":"","family":"Lissoni","given":"Franceso","non-dropping-particle":"","parse-names":false,"suffix":""},{"dropping-particle":"","family":"Salter","given":"Ammon","non-dropping-particle":"","parse-names":false,"suffix":""},{"dropping-particle":"","family":"Sobrero","given":"Maurizio","non-dropping-particle":"","parse-names":false,"suffix":""}],"container-title":"Research Policy","id":"ITEM-1","issue":"2","issued":{"date-parts":[["2013"]]},"page":"423-442","publisher":"Elsevier B.V.","title":"Academic engagement and commercialisation: A review of the literature on university-industry relations","type":"article-journal","volume":"42"},"uris":["http://www.mendeley.com/documents/?uuid=f40c6ec3-7d7a-4995-902e-d99cab391c98"]}],"mendeley":{"formattedCitation":"(Perkmann et al., 2013a)","plainTextFormattedCitation":"(Perkmann et al., 2013a)","previouslyFormattedCitation":"(Perkmann et al., 2013a)"},"properties":{"noteIndex":0},"schema":"https://github.com/citation-style-language/schema/raw/master/csl-citation.json"}</w:instrText>
      </w:r>
      <w:r w:rsidRPr="00211DF0">
        <w:rPr>
          <w:lang w:val="en-US"/>
        </w:rPr>
        <w:fldChar w:fldCharType="separate"/>
      </w:r>
      <w:r w:rsidR="00001857" w:rsidRPr="00211DF0">
        <w:rPr>
          <w:noProof/>
          <w:lang w:val="en-US"/>
        </w:rPr>
        <w:t>(Perkmann et al., 2013a)</w:t>
      </w:r>
      <w:r w:rsidRPr="00211DF0">
        <w:rPr>
          <w:lang w:val="en-US"/>
        </w:rPr>
        <w:fldChar w:fldCharType="end"/>
      </w:r>
      <w:r w:rsidRPr="00211DF0">
        <w:rPr>
          <w:lang w:val="en-US"/>
        </w:rPr>
        <w:t xml:space="preserve"> which focus on the commercial exploitation of university-owned </w:t>
      </w:r>
      <w:r w:rsidR="00A81BEB">
        <w:rPr>
          <w:lang w:val="en-US"/>
        </w:rPr>
        <w:t>intellectual property (</w:t>
      </w:r>
      <w:r w:rsidRPr="00211DF0">
        <w:rPr>
          <w:lang w:val="en-US"/>
        </w:rPr>
        <w:t>IP</w:t>
      </w:r>
      <w:r w:rsidR="00A81BEB">
        <w:rPr>
          <w:lang w:val="en-US"/>
        </w:rPr>
        <w:t>)</w:t>
      </w:r>
      <w:r w:rsidRPr="00211DF0">
        <w:rPr>
          <w:lang w:val="en-US"/>
        </w:rPr>
        <w:t xml:space="preserve">. Commercialization typically unfolds either through the establishment of a </w:t>
      </w:r>
      <w:r w:rsidRPr="00211DF0">
        <w:rPr>
          <w:lang w:val="en-US"/>
        </w:rPr>
        <w:lastRenderedPageBreak/>
        <w:t>spin-off firm (i.e</w:t>
      </w:r>
      <w:r w:rsidR="003F10E4" w:rsidRPr="00211DF0">
        <w:rPr>
          <w:lang w:val="en-US"/>
        </w:rPr>
        <w:t>.</w:t>
      </w:r>
      <w:r w:rsidRPr="00211DF0">
        <w:rPr>
          <w:lang w:val="en-US"/>
        </w:rPr>
        <w:t xml:space="preserve"> academic entrepreneurship) or through licensing agreements with non-academic organizations. A core objective of commercialization, </w:t>
      </w:r>
      <w:r w:rsidR="007D1FFF">
        <w:rPr>
          <w:lang w:val="en-US"/>
        </w:rPr>
        <w:t xml:space="preserve">for </w:t>
      </w:r>
      <w:r w:rsidRPr="00211DF0">
        <w:rPr>
          <w:lang w:val="en-US"/>
        </w:rPr>
        <w:t xml:space="preserve">both academic entrepreneurship and licensing, is the generation of revenues for the university, either through sales of shares in spin-off firms or through royalties from licensing agreements </w:t>
      </w:r>
      <w:r w:rsidRPr="00211DF0">
        <w:rPr>
          <w:lang w:val="en-US"/>
        </w:rPr>
        <w:fldChar w:fldCharType="begin" w:fldLock="1"/>
      </w:r>
      <w:r w:rsidR="00C167BF" w:rsidRPr="00211DF0">
        <w:rPr>
          <w:lang w:val="en-US"/>
        </w:rPr>
        <w:instrText>ADDIN CSL_CITATION {"citationItems":[{"id":"ITEM-1","itemData":{"DOI":"10.1023/A:1007884111883","ISSN":"0892-9912","abstract":"This paper describes results of our survey of licensing at 62 research universities. We consider ownership, income splits, stage of development, marketing, license policies and characteristics, goals of licensing and the role of the inventor in licensing. Based on these results we analyze the relationship between licensing outcomes and both the objectives of the TTO and the characteristics of the technologies. Patent applications grow one-to-one with disclosures, while sponsored research grows similarly with licenses executed. Royalties are typically larger the higher the quality of the faculty and the higher the fraction of licenses that are executed at latter stages of development. Sponsored research is more likely to be included in a license if the new technology is at an early stage of development or if the TTO evaluates it as important. We find that additional disclosures generate smaller percentage increases in licenses, and those increases in licenses generate smaller percentage increases in royalties.","author":[{"dropping-particle":"","family":"Thursby","given":"Jerry G. Jg Jerry G.","non-dropping-particle":"","parse-names":false,"suffix":""},{"dropping-particle":"","family":"Jensen","given":"Richard a.","non-dropping-particle":"","parse-names":false,"suffix":""},{"dropping-particle":"","family":"Thursby","given":"Marie C. Mc","non-dropping-particle":"","parse-names":false,"suffix":""}],"container-title":"The Journal of Technology Transfer","id":"ITEM-1","issue":"1","issued":{"date-parts":[["2001"]]},"page":"59–72","title":"Objectives, characteristics and outcomes of university licensing: A survey of major US universities","type":"article-journal","volume":"26"},"uris":["http://www.mendeley.com/documents/?uuid=c0f5386a-485e-4689-80ad-d5d16d71aa11"]},{"id":"ITEM-2","itemData":{"DOI":"10.1016/j.respol.2012.09.007","ISBN":"0048-7333","ISSN":"00487333","abstract":"A considerable body of work highlights the relevance of collaborative research, contract research, consulting and informal relationships for university-industry knowledge transfer. We present a systematic review of research on academic scientists' involvement in these activities to which we refer as 'academic engagement'. Apart from extracting findings that are generalisable across studies, we ask how academic engagement differs from commercialisation, defined as intellectual property creation and academic entrepreneurship. We identify the individual, organisational and institutional antecedents and consequences of academic engagement, and then compare these findings with the antecedents and consequences of commercialisation. Apart from being more widely practiced, academic engagement is distinct from commercialisation in that it is closely aligned with traditional academic research activities, and pursued by academics to access resources supporting their research agendas. We conclude by identifying future research needs, opportunities for methodological improvement and policy interventions. © 2012 Elsevier B.V.","author":[{"dropping-particle":"","family":"Perkmann","given":"Markus","non-dropping-particle":"","parse-names":false,"suffix":""},{"dropping-particle":"","family":"Tartari","given":"Valentina","non-dropping-particle":"","parse-names":false,"suffix":""},{"dropping-particle":"","family":"McKelvey","given":"Maureen","non-dropping-particle":"","parse-names":false,"suffix":""},{"dropping-particle":"","family":"Autio","given":"Erkko","non-dropping-particle":"","parse-names":false,"suffix":""},{"dropping-particle":"","family":"Broström","given":"Anders","non-dropping-particle":"","parse-names":false,"suffix":""},{"dropping-particle":"","family":"D'Este","given":"Pablo","non-dropping-particle":"","parse-names":false,"suffix":""},{"dropping-particle":"","family":"Fini","given":"Riccardo","non-dropping-particle":"","parse-names":false,"suffix":""},{"dropping-particle":"","family":"Geuna","given":"Aldo","non-dropping-particle":"","parse-names":false,"suffix":""},{"dropping-particle":"","family":"Grimaldi","given":"Rosa","non-dropping-particle":"","parse-names":false,"suffix":""},{"dropping-particle":"","family":"Hughes","given":"Alan","non-dropping-particle":"","parse-names":false,"suffix":""},{"dropping-particle":"","family":"Krabel","given":"Stefan","non-dropping-particle":"","parse-names":false,"suffix":""},{"dropping-particle":"","family":"Kitson","given":"Michael","non-dropping-particle":"","parse-names":false,"suffix":""},{"dropping-particle":"","family":"Llerena","given":"Patrick","non-dropping-particle":"","parse-names":false,"suffix":""},{"dropping-particle":"","family":"Lissoni","given":"Franceso","non-dropping-particle":"","parse-names":false,"suffix":""},{"dropping-particle":"","family":"Salter","given":"Ammon","non-dropping-particle":"","parse-names":false,"suffix":""},{"dropping-particle":"","family":"Sobrero","given":"Maurizio","non-dropping-particle":"","parse-names":false,"suffix":""}],"container-title":"Research Policy","id":"ITEM-2","issue":"2","issued":{"date-parts":[["2013"]]},"page":"423-442","publisher":"Elsevier B.V.","title":"Academic engagement and commercialisation: A review of the literature on university-industry relations","type":"article-journal","volume":"42"},"uris":["http://www.mendeley.com/documents/?uuid=f40c6ec3-7d7a-4995-902e-d99cab391c98"]}],"mendeley":{"formattedCitation":"(Perkmann et al., 2013a; Thursby et al., 2001)","plainTextFormattedCitation":"(Perkmann et al., 2013a; Thursby et al., 2001)","previouslyFormattedCitation":"(Perkmann et al., 2013a; Thursby et al., 2001)"},"properties":{"noteIndex":0},"schema":"https://github.com/citation-style-language/schema/raw/master/csl-citation.json"}</w:instrText>
      </w:r>
      <w:r w:rsidRPr="00211DF0">
        <w:rPr>
          <w:lang w:val="en-US"/>
        </w:rPr>
        <w:fldChar w:fldCharType="separate"/>
      </w:r>
      <w:r w:rsidR="00001857" w:rsidRPr="00211DF0">
        <w:rPr>
          <w:noProof/>
          <w:lang w:val="en-US"/>
        </w:rPr>
        <w:t>(Perkmann et al., 2013a; Thursby et al., 2001)</w:t>
      </w:r>
      <w:r w:rsidRPr="00211DF0">
        <w:rPr>
          <w:lang w:val="en-US"/>
        </w:rPr>
        <w:fldChar w:fldCharType="end"/>
      </w:r>
      <w:r w:rsidRPr="00211DF0">
        <w:rPr>
          <w:lang w:val="en-US"/>
        </w:rPr>
        <w:t xml:space="preserve">. </w:t>
      </w:r>
    </w:p>
    <w:p w14:paraId="3FA50DE5" w14:textId="42B06214" w:rsidR="00291BB3" w:rsidRPr="00211DF0" w:rsidRDefault="00BA6858" w:rsidP="003E4FA3">
      <w:pPr>
        <w:pStyle w:val="2ndparagraph"/>
      </w:pPr>
      <w:r w:rsidRPr="00211DF0">
        <w:t xml:space="preserve">Despite increased levels of patenting across all types of universities, the efficiency of commercialization efforts across institutions varies significantly </w:t>
      </w:r>
      <w:r w:rsidRPr="00211DF0">
        <w:fldChar w:fldCharType="begin" w:fldLock="1"/>
      </w:r>
      <w:r w:rsidR="004A7DFA" w:rsidRPr="00211DF0">
        <w:instrText>ADDIN CSL_CITATION {"citationItems":[{"id":"ITEM-1","itemData":{"DOI":"10.1016/j.respol.2008.04.021","ISBN":"0048-7333","ISSN":"00487333","PMID":"2985","abstract":"We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Policy","id":"ITEM-1","issue":"8","issued":{"date-parts":[["2008"]]},"page":"1205-1223","title":"Mid-range universities' linkages with industry: Knowledge types and the role of intermediaries","type":"article-journal","volume":"37"},"uris":["http://www.mendeley.com/documents/?uuid=4ad24ced-5185-432e-a5f4-697ce97472d8"]},{"id":"ITEM-2","itemData":{"DOI":"10.1016/j.respol.2005.01.007","ISBN":"0048-7333","ISSN":"00487333","PMID":"2878","abstract":"We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Policy","id":"ITEM-2","issue":"3","issued":{"date-parts":[["2005"]]},"page":"369-384","title":"Assessing the relative performance of U.K. university technology transfer offices: Parametric and non-parametric evidence","type":"article-journal","volume":"34"},"uris":["http://www.mendeley.com/documents/?uuid=79f66bd1-a68a-42e0-a3e7-f5910e5a9097"]},{"id":"ITEM-3","itemData":{"author":[{"dropping-particle":"","family":"Siegel","given":"Donald","non-dropping-particle":"","parse-names":false,"suffix":""},{"dropping-particle":"","family":"Wright","given":"Mike","non-dropping-particle":"","parse-names":false,"suffix":""}],"container-title":"The Chicago Handbook of University Technology Transfer and Academic Entrepreneurship","id":"ITEM-3","issued":{"date-parts":[["2015"]]},"page":"1-40","title":"University Technology Transfer Offices, Licensing and Start-Ups","type":"article-journal"},"uris":["http://www.mendeley.com/documents/?uuid=fe76100e-4794-40f5-abd9-8ecf8418b924"]}],"mendeley":{"formattedCitation":"(Chapple et al., 2005a; Siegel and Wright, 2015a; Wright et al., 2008)","plainTextFormattedCitation":"(Chapple et al., 2005a; Siegel and Wright, 2015a; Wright et al., 2008)","previouslyFormattedCitation":"(Chapple et al., 2005a; Siegel and Wright, 2015a; Wright et al., 2008)"},"properties":{"noteIndex":0},"schema":"https://github.com/citation-style-language/schema/raw/master/csl-citation.json"}</w:instrText>
      </w:r>
      <w:r w:rsidRPr="00211DF0">
        <w:fldChar w:fldCharType="separate"/>
      </w:r>
      <w:r w:rsidR="004A7DFA" w:rsidRPr="00211DF0">
        <w:rPr>
          <w:noProof/>
        </w:rPr>
        <w:t>(Chapple et al., 2005a; Siegel and Wright, 2015a; Wright et al., 2008)</w:t>
      </w:r>
      <w:r w:rsidRPr="00211DF0">
        <w:fldChar w:fldCharType="end"/>
      </w:r>
      <w:r w:rsidRPr="00211DF0">
        <w:t xml:space="preserve">. It is increasingly acknowledged that not all universities may be able to productively engage in technology commercialization </w:t>
      </w:r>
      <w:r w:rsidRPr="00211DF0">
        <w:fldChar w:fldCharType="begin" w:fldLock="1"/>
      </w:r>
      <w:r w:rsidR="004A7DFA" w:rsidRPr="00211DF0">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Rethink?","type":"article-journal","volume":"26"},"uris":["http://www.mendeley.com/documents/?uuid=fd36b1d1-c4c9-405f-8f53-67de72694463"]}],"mendeley":{"formattedCitation":"(Siegel and Wright, 2015b)","plainTextFormattedCitation":"(Siegel and Wright, 2015b)","previouslyFormattedCitation":"(Siegel and Wright, 2015b)"},"properties":{"noteIndex":0},"schema":"https://github.com/citation-style-language/schema/raw/master/csl-citation.json"}</w:instrText>
      </w:r>
      <w:r w:rsidRPr="00211DF0">
        <w:fldChar w:fldCharType="separate"/>
      </w:r>
      <w:r w:rsidR="004A7DFA" w:rsidRPr="00211DF0">
        <w:rPr>
          <w:noProof/>
        </w:rPr>
        <w:t>(Siegel and Wright, 2015b)</w:t>
      </w:r>
      <w:r w:rsidRPr="00211DF0">
        <w:fldChar w:fldCharType="end"/>
      </w:r>
      <w:r w:rsidRPr="00211DF0">
        <w:t xml:space="preserve">, yet commercialization remains an important priority for university administrators </w:t>
      </w:r>
      <w:r w:rsidRPr="00211DF0">
        <w:fldChar w:fldCharType="begin" w:fldLock="1"/>
      </w:r>
      <w:r w:rsidR="004A7DFA" w:rsidRPr="00211DF0">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Rethink?","type":"article-journal","volume":"26"},"uris":["http://www.mendeley.com/documents/?uuid=fd36b1d1-c4c9-405f-8f53-67de72694463"]},{"id":"ITEM-2","itemData":{"DOI":"10.1016/j.respol.2019.01.015","ISSN":"00487333","abstract":"Current theorising about the contingencies underpinning the effectiveness of university technology transfer has emphasised the importance of organisational support, namely the scale of Technology Transfer Office (TTO) support and the provision of incentives. Empirical results pertaining to the effects of these organisational supports are mixed. More recently, academic research and policy reviews have highlighted the potential significance of the strategic choices made by university managers in contributing to the effectiveness of technology transfer activity. Our research attempts to reconcile these two streams of technology transfer research by drawing on Child's strategic choice theory as an integrating framework. Through operationalising a strategic choice framework and drawing upon data from 115 UK universities (collected through multiple waves of the HE-BCI Survey), this research shows that supporting organisational infrastructure is necessary but not sufficient to account for improved technology transfer effectiveness. Specifically, it highlights the key mediating role of strategic choice, suggesting that it is the alignment between strategic choices made by university managers and the supporting organisational infrastructure that accounts for variations in technology transfer effectiveness. Furthermore, we find the mediation relationship between strategic alignment and technology transfer effectiveness is moderated by the breadth of strategic planning efforts, with those universities that engage a wider number of faculty in strategic planning efforts benefiting most from the alignment between strategic choices and supporting organisational infrastructure.","author":[{"dropping-particle":"","family":"Horner","given":"Sam","non-dropping-particle":"","parse-names":false,"suffix":""},{"dropping-particle":"","family":"Jayawarna","given":"Dilani","non-dropping-particle":"","parse-names":false,"suffix":""},{"dropping-particle":"","family":"Giordano","given":"Benito","non-dropping-particle":"","parse-names":false,"suffix":""},{"dropping-particle":"","family":"Jones","given":"Oswald","non-dropping-particle":"","parse-names":false,"suffix":""}],"container-title":"Research Policy","id":"ITEM-2","issue":"5","issued":{"date-parts":[["2019","6","1"]]},"page":"1297-1309","publisher":"Elsevier B.V.","title":"Strategic choice in universities: Managerial agency and effective technology transfer","type":"article-journal","volume":"48"},"uris":["http://www.mendeley.com/documents/?uuid=9af9f3b8-85ed-3f49-bd88-021b5a19930d"]},{"id":"ITEM-3","itemData":{"DOI":"10.1111/1467-8551.12069","ISBN":"1045-3172","ISSN":"14678551","abstract":"In this paper we examine the institutionalization of a new organizational practice around third stream activities in UK higher education from 1994 to 2008. Employing a longi- tudinal research design, involving archival, survey and contemporary interview data, we show how a new organizational practice diffused through the use of discourse and metrics around commercialization but over time was threatened on pure economic criteria. In response to the threat we explore how actors worked to institutionalize the new practice, reshaping</w:instrText>
      </w:r>
      <w:r w:rsidR="004A7DFA" w:rsidRPr="00872DF5">
        <w:rPr>
          <w:lang w:val="da-DK"/>
        </w:rPr>
        <w:instrText xml:space="preserve"> both discourse and metrics to ensure that they were robust so that they could align with the interests and values of major stakeholders. In addition, actors worked to align discourse and metrics, as any misalignment between the two would have under- mined the institutionalization of the new organizational practice. Institutional","author":[{"dropping-particle":"","family":"Lockett","given":"Andy","non-dropping-particle":"","parse-names":false,"suffix":""},{"dropping-particle":"","family":"Wright","given":"Mike","non-dropping-particle":"","parse-names":false,"suffix":""},{"dropping-particle":"","family":"Wild","given":"Andrew","non-dropping-particle":"","parse-names":false,"suffix":""}],"container-title":"British Journal of Management","id":"ITEM-3","issue":"1","issued":{"date-parts":[["2015"]]},"page":"78-92","title":"The institutionalization of third stream activities in UK higher education: The role of discourse and metrics","type":"article-journal","volume":"26"},"uris":["http://www.mendeley.com/documents/?uuid=a4cc6f22-23a6-4758-8258-e247adeba6ea"]}],"mendeley":{"formattedCitation":"(Horner et al., 2019; Lockett et al., 2015; Siegel and Wright, 2015b)","plainTextFormattedCitation":"(Horner et al., 2019; Lockett et al., 2015; Siegel and Wright, 2015b)","previouslyFormattedCitation":"(Horner et al., 2019; Lockett et al., 2015; Siegel and Wright, 2015b)"},"properties":{"noteIndex":0},"schema":"https://github.com/citation-style-language/schema/raw/master/csl-citation.json"}</w:instrText>
      </w:r>
      <w:r w:rsidRPr="00211DF0">
        <w:fldChar w:fldCharType="separate"/>
      </w:r>
      <w:r w:rsidR="004A7DFA" w:rsidRPr="00872DF5">
        <w:rPr>
          <w:noProof/>
          <w:lang w:val="da-DK"/>
        </w:rPr>
        <w:t>(Horner et al., 2019; Lockett et al., 2015; Siegel and Wright, 2015b)</w:t>
      </w:r>
      <w:r w:rsidRPr="00211DF0">
        <w:fldChar w:fldCharType="end"/>
      </w:r>
      <w:r w:rsidRPr="00872DF5">
        <w:rPr>
          <w:lang w:val="da-DK"/>
        </w:rPr>
        <w:t xml:space="preserve">. </w:t>
      </w:r>
      <w:r w:rsidR="00E5511B" w:rsidRPr="00211DF0">
        <w:t>This is largely due to</w:t>
      </w:r>
      <w:r w:rsidRPr="00211DF0">
        <w:t xml:space="preserve"> competitive and financial pressures</w:t>
      </w:r>
      <w:r w:rsidR="00E5511B" w:rsidRPr="00211DF0">
        <w:t xml:space="preserve"> facing universities</w:t>
      </w:r>
      <w:r w:rsidRPr="00211DF0">
        <w:t xml:space="preserve"> and </w:t>
      </w:r>
      <w:r w:rsidR="00E5511B" w:rsidRPr="00211DF0">
        <w:t>the</w:t>
      </w:r>
      <w:r w:rsidRPr="00211DF0">
        <w:t xml:space="preserve"> perceived complementarities to the wider research mission of universities </w:t>
      </w:r>
      <w:r w:rsidRPr="00211DF0">
        <w:fldChar w:fldCharType="begin" w:fldLock="1"/>
      </w:r>
      <w:r w:rsidR="004A7DFA" w:rsidRPr="00211DF0">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Rethink?","type":"article-journal","volume":"26"},"uris":["http://www.mendeley.com/documents/?uuid=fd36b1d1-c4c9-405f-8f53-67de72694463"]},{"id":"ITEM-2","itemData":{"DOI":"10.1016/j.respol.2010.09.013","ISSN":"00487333","abstract":"Concerns have been raised that the growing emphasis on the commercial value of academic research may have negative, unintended consequences, notably that it may have a deleterious effect on the production and dissemination of scientific knowledge or on the open-ended nature of public science. These concerns have catalyzed an expanding set of empirical studies, the evidence from which is vast and mixed. We review this body of investigative work, teasing out some preliminary conclusions regarding the broader implications of academic enterprise and promising avenues for further research. © 2010 Elsevier B.V. All rights reserved.","author":[{"dropping-particle":"","family":"Larsen","given":"Maria Theresa","non-dropping-particle":"","parse-names":false,"suffix":""}],"container-title":"Research Policy","id":"ITEM-2","issue":"1","issued":{"date-parts":[["2011"]]},"page":"6-19","publisher":"Elsevier B.V.","title":"The implications of academic enterprise for public science: An overview of the empirical evidence","type":"article-journal","volume":"40"},"uris":["http://www.mendeley.com/documents/?uuid=7ae3afbf-1e66-4f1b-ac78-780edfeb76ef"]}],"mendeley":{"formattedCitation":"(Larsen, 2011; Siegel and Wright, 2015b)","plainTextFormattedCitation":"(Larsen, 2011; Siegel and Wright, 2015b)","previouslyFormattedCitation":"(Larsen, 2011; Siegel and Wright, 2015b)"},"properties":{"noteIndex":0},"schema":"https://github.com/citation-style-language/schema/raw/master/csl-citation.json"}</w:instrText>
      </w:r>
      <w:r w:rsidRPr="00211DF0">
        <w:fldChar w:fldCharType="separate"/>
      </w:r>
      <w:r w:rsidR="004A7DFA" w:rsidRPr="00211DF0">
        <w:rPr>
          <w:noProof/>
        </w:rPr>
        <w:t>(Larsen, 2011; Siegel and Wright, 2015b)</w:t>
      </w:r>
      <w:r w:rsidRPr="00211DF0">
        <w:fldChar w:fldCharType="end"/>
      </w:r>
      <w:r w:rsidRPr="00211DF0">
        <w:t>.</w:t>
      </w:r>
      <w:r w:rsidR="00E5511B" w:rsidRPr="00211DF0">
        <w:t xml:space="preserve"> </w:t>
      </w:r>
    </w:p>
    <w:p w14:paraId="50B224B2" w14:textId="7B563B2B" w:rsidR="003F10E4" w:rsidRPr="00211DF0" w:rsidRDefault="003F10E4" w:rsidP="003F10E4">
      <w:pPr>
        <w:pStyle w:val="Heading2"/>
      </w:pPr>
      <w:r w:rsidRPr="00211DF0">
        <w:t xml:space="preserve">The challenge of </w:t>
      </w:r>
      <w:r w:rsidR="00E43787" w:rsidRPr="00211DF0">
        <w:t>attracting</w:t>
      </w:r>
      <w:r w:rsidRPr="00211DF0">
        <w:t xml:space="preserve"> licensees for university patents</w:t>
      </w:r>
    </w:p>
    <w:p w14:paraId="67E97822" w14:textId="6A562A72" w:rsidR="00786FCE" w:rsidRPr="00211DF0" w:rsidRDefault="001C0BBD" w:rsidP="008E7ED9">
      <w:pPr>
        <w:ind w:firstLine="0"/>
        <w:rPr>
          <w:lang w:val="en-US"/>
        </w:rPr>
      </w:pPr>
      <w:bookmarkStart w:id="2" w:name="_Hlk73538029"/>
      <w:r w:rsidRPr="00211DF0">
        <w:rPr>
          <w:lang w:val="en-US"/>
        </w:rPr>
        <w:t>Despite the increasing importance of commercialization to university administrators, and the development of complementary research and commercialization capabilities</w:t>
      </w:r>
      <w:r w:rsidR="00752294" w:rsidRPr="00211DF0">
        <w:rPr>
          <w:lang w:val="en-US"/>
        </w:rPr>
        <w:t xml:space="preserve"> within universities</w:t>
      </w:r>
      <w:r w:rsidRPr="00211DF0">
        <w:rPr>
          <w:lang w:val="en-US"/>
        </w:rPr>
        <w:t xml:space="preserve">, the licensing of university-generated </w:t>
      </w:r>
      <w:r w:rsidR="007D1FFF">
        <w:rPr>
          <w:lang w:val="en-US"/>
        </w:rPr>
        <w:t>IP</w:t>
      </w:r>
      <w:r w:rsidRPr="00211DF0">
        <w:rPr>
          <w:lang w:val="en-US"/>
        </w:rPr>
        <w:t xml:space="preserve"> remains a fraught affair</w:t>
      </w:r>
      <w:r w:rsidR="00752294" w:rsidRPr="00211DF0">
        <w:rPr>
          <w:lang w:val="en-US"/>
        </w:rPr>
        <w:t xml:space="preserve"> </w:t>
      </w:r>
      <w:r w:rsidR="00752294" w:rsidRPr="00211DF0">
        <w:rPr>
          <w:lang w:val="en-US"/>
        </w:rPr>
        <w:fldChar w:fldCharType="begin" w:fldLock="1"/>
      </w:r>
      <w:r w:rsidR="00752294" w:rsidRPr="00211DF0">
        <w:rPr>
          <w:lang w:val="en-US"/>
        </w:rPr>
        <w:instrText>ADDIN CSL_CITATION {"citationItems":[{"id":"ITEM-1","itemData":{"DOI":"10.1007/s10961-009-9123-5","ISBN":"1096100991","ISSN":"08929912","abstract":"Drawing on histories of technological innovation originating from research by faculty at The Pennsylvania State University and Johns Hopkins University, this paper presents evidence for a “technology” as well as an “intellectual property rights” research approach to the commercialization of academic patents. By describing how inventor and firm activities and strategies affect the technical development and commercial positioning of university patents, a technology focus adds depth to the general proposition that university patents are embryonic technologies. It likewise serves as an analytical probe to reconsider other mainstream propositions about university technology transfer.","author":[{"dropping-particle":"","family":"Feller","given":"Irwin","non-dropping-particle":"","parse-names":false,"suffix":""},{"dropping-particle":"","family":"Feldman","given":"Maryann","non-dropping-particle":"","parse-names":false,"suffix":""}],"container-title":"Journal of Technology Transfer","id":"ITEM-1","issue":"6","issued":{"date-parts":[["2010"]]},"page":"597-616","title":"The commercialization of academic patents: Black boxes, pipelines, and Rubik's cubes","type":"article-journal","volume":"35"},"uris":["http://www.mendeley.com/documents/?uuid=937ca8bb-4616-44cc-8242-ca57562f6391"]}],"mendeley":{"formattedCitation":"(Feller and Feldman, 2010)","plainTextFormattedCitation":"(Feller and Feldman, 2010)","previouslyFormattedCitation":"(Feller and Feldman, 2010)"},"properties":{"noteIndex":0},"schema":"https://github.com/citation-style-language/schema/raw/master/csl-citation.json"}</w:instrText>
      </w:r>
      <w:r w:rsidR="00752294" w:rsidRPr="00211DF0">
        <w:rPr>
          <w:lang w:val="en-US"/>
        </w:rPr>
        <w:fldChar w:fldCharType="separate"/>
      </w:r>
      <w:r w:rsidR="00752294" w:rsidRPr="00211DF0">
        <w:rPr>
          <w:noProof/>
          <w:lang w:val="en-US"/>
        </w:rPr>
        <w:t>(Feller and Feldman, 2010)</w:t>
      </w:r>
      <w:r w:rsidR="00752294" w:rsidRPr="00211DF0">
        <w:rPr>
          <w:lang w:val="en-US"/>
        </w:rPr>
        <w:fldChar w:fldCharType="end"/>
      </w:r>
      <w:r w:rsidRPr="00211DF0">
        <w:rPr>
          <w:lang w:val="en-US"/>
        </w:rPr>
        <w:t xml:space="preserve">. </w:t>
      </w:r>
      <w:r w:rsidR="00786FCE" w:rsidRPr="00211DF0">
        <w:rPr>
          <w:lang w:val="en-US"/>
        </w:rPr>
        <w:t xml:space="preserve">In principle, universities are attractive licensing partners for firms </w:t>
      </w:r>
      <w:r w:rsidR="00786FCE" w:rsidRPr="00211DF0">
        <w:rPr>
          <w:lang w:val="en-US"/>
        </w:rPr>
        <w:fldChar w:fldCharType="begin" w:fldLock="1"/>
      </w:r>
      <w:r w:rsidR="00786FCE" w:rsidRPr="00211DF0">
        <w:rPr>
          <w:lang w:val="en-US"/>
        </w:rPr>
        <w:instrText>ADDIN CSL_CITATION {"citationItems":[{"id":"ITEM-1","itemData":{"DOI":"10.1016/j.respol.2020.104076","ISSN":"00487333","abstract":"Despite the economic significance of patented university research, it is difficult to measure the economic value of academic patented inventions and observe the extent to which universities are able to capture such value through patent licensing. Moving beyond assessing commercialization performance by simple statistics, we propose a new approach to benchmarking university patents and commercialization performance based on comparative corporate patent value. Our procedure involves matching university patents to patents with similar patent characteristics granted to public corporations, then estimating the “potential value” of these university patents by stock market reactions to grants of the matched corporate patents. These estimated values of university patents can significantly explain the technology-level income from licensing by a leading US research university and the annual licensing income of the member universities of the Association of University Technology Managers’ (AUTM). We find that AUTM universities realize an average of 16% of the estimated value of matched corporate patents. We also investigate correlates of university‐level potential patent value and suggest avenues for future research.","author":[{"dropping-particle":"","family":"Hsu","given":"David H.","non-dropping-particle":"","parse-names":false,"suffix":""},{"dropping-particle":"","family":"Hsu","given":"Po Hsuan","non-dropping-particle":"","parse-names":false,"suffix":""},{"dropping-particle":"","family":"Zhou","given":"Tong","non-dropping-particle":"","parse-names":false,"suffix":""},{"dropping-particle":"","family":"Ziedonis","given":"Arvids A.","non-dropping-particle":"","parse-names":false,"suffix":""}],"container-title":"Research Policy","id":"ITEM-1","issue":"1","issued":{"date-parts":[["2021"]]},"page":"104076","publisher":"Elsevier","title":"Benchmarking U.S. university patent value and commercialization efforts: A new approach","type":"article-journal","volume":"50"},"uris":["http://www.mendeley.com/documents/?uuid=50ee612d-d224-44cb-8cf9-a0a2a8ff55c7"]}],"mendeley":{"formattedCitation":"(Hsu et al., 2021)","plainTextFormattedCitation":"(Hsu et al., 2021)","previouslyFormattedCitation":"(Hsu et al., 2021)"},"properties":{"noteIndex":0},"schema":"https://github.com/citation-style-language/schema/raw/master/csl-citation.json"}</w:instrText>
      </w:r>
      <w:r w:rsidR="00786FCE" w:rsidRPr="00211DF0">
        <w:rPr>
          <w:lang w:val="en-US"/>
        </w:rPr>
        <w:fldChar w:fldCharType="separate"/>
      </w:r>
      <w:r w:rsidR="00786FCE" w:rsidRPr="00211DF0">
        <w:rPr>
          <w:noProof/>
          <w:lang w:val="en-US"/>
        </w:rPr>
        <w:t>(Hsu et al., 2021)</w:t>
      </w:r>
      <w:r w:rsidR="00786FCE" w:rsidRPr="00211DF0">
        <w:rPr>
          <w:lang w:val="en-US"/>
        </w:rPr>
        <w:fldChar w:fldCharType="end"/>
      </w:r>
      <w:r w:rsidR="00786FCE" w:rsidRPr="00211DF0">
        <w:rPr>
          <w:lang w:val="en-US"/>
        </w:rPr>
        <w:t xml:space="preserve">. Universities typically lack complementary capabilities required to commercialize their patents internally, despite the increasing prevalence of incubator and accelerator programs </w:t>
      </w:r>
      <w:r w:rsidR="00786FCE" w:rsidRPr="00211DF0">
        <w:rPr>
          <w:lang w:val="en-US"/>
        </w:rPr>
        <w:fldChar w:fldCharType="begin" w:fldLock="1"/>
      </w:r>
      <w:r w:rsidR="00786FCE" w:rsidRPr="00211DF0">
        <w:rPr>
          <w:lang w:val="en-US"/>
        </w:rPr>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Rethink?","type":"article-journal","volume":"26"},"uris":["http://www.mendeley.com/documents/?uuid=fd36b1d1-c4c9-405f-8f53-67de72694463"]},{"id":"ITEM-2","itemData":{"DOI":"10.1016/j.respol.2017.03.008","ISSN":"00487333","abstract":"This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Policy","id":"ITEM-2","issue":"5","issued":{"date-parts":[["2017"]]},"page":"881-897","publisher":"Elsevier B.V.","title":"University research and knowledge transfer: A dynamic view of ambidexterity in british universities","type":"article-journal","volume":"46"},"uris":["http://www.mendeley.com/documents/?uuid=1bae52b2-2b76-4a4b-9383-c1e21964cb01"]}],"mendeley":{"formattedCitation":"(Sengupta and Ray, 2017; Siegel and Wright, 2015b)","manualFormatting":"(Sengupta and Ray, 2017; Siegel and Wright, 2015b)","plainTextFormattedCitation":"(Sengupta and Ray, 2017; Siegel and Wright, 2015b)","previouslyFormattedCitation":"(Sengupta and Ray, 2017; Siegel and Wright, 2015b)"},"properties":{"noteIndex":0},"schema":"https://github.com/citation-style-language/schema/raw/master/csl-citation.json"}</w:instrText>
      </w:r>
      <w:r w:rsidR="00786FCE" w:rsidRPr="00211DF0">
        <w:rPr>
          <w:lang w:val="en-US"/>
        </w:rPr>
        <w:fldChar w:fldCharType="separate"/>
      </w:r>
      <w:r w:rsidR="00786FCE" w:rsidRPr="00211DF0">
        <w:rPr>
          <w:noProof/>
          <w:lang w:val="en-US"/>
        </w:rPr>
        <w:t>(Sengupta and Ray, 2017; Siegel and Wright, 2015b)</w:t>
      </w:r>
      <w:r w:rsidR="00786FCE" w:rsidRPr="00211DF0">
        <w:rPr>
          <w:lang w:val="en-US"/>
        </w:rPr>
        <w:fldChar w:fldCharType="end"/>
      </w:r>
      <w:r w:rsidR="00786FCE" w:rsidRPr="00211DF0">
        <w:rPr>
          <w:lang w:val="en-US"/>
        </w:rPr>
        <w:t xml:space="preserve">. However, the uncertainty about the commercial value of university patents presents a persistent problem for firms looking to universities as a source of technology </w:t>
      </w:r>
      <w:r w:rsidR="00786FCE" w:rsidRPr="00211DF0">
        <w:rPr>
          <w:lang w:val="en-US"/>
        </w:rPr>
        <w:fldChar w:fldCharType="begin" w:fldLock="1"/>
      </w:r>
      <w:r w:rsidR="00963C3B" w:rsidRPr="00211DF0">
        <w:rPr>
          <w:lang w:val="en-US"/>
        </w:rPr>
        <w:instrText>ADDIN CSL_CITATION {"citationItems":[{"id":"ITEM-1","itemData":{"DOI":"10.1287/mnsc.48.1.1.14273","ISBN":"0025-1909","ISSN":"0025-1909","PMID":"6284384","abstract":"I n this paper, we use data from the Carnegie Mellon Survey on industrial R&amp;D to evaluate for the U.S. manufacturing sector the influence of “public” (i.e., university and government R&amp;D lab) research on industrial R&amp;D, the role that public research plays in industrial R&amp;D, and the pathways through which that effect is exercised.We find that public research is criti- cal to industrial R&amp;D in a small number of industries and importantly affects industrial R&amp;D across much of the manufacturing sector. Contrary to the notion that university research largely generates new ideas for industrial R&amp;D projects, the survey responses demonstrate that public research both suggests new R&amp;D projects and contributes to the completion of existing projects in roughly equal measure overall. The results also indicate that the key chan- nels through which university research impacts industrial R&amp;D include published papers and reports, public conferences and meetings, informal information exchange, and consulting. We also find that, after controlling for industry, the influence of public research on industrial R&amp;D is disproportionately greater for larger firms as well as start-ups","author":[{"dropping-particle":"","family":"Cohen","given":"Wesley M.","non-dropping-particle":"","parse-names":false,"suffix":""},{"dropping-particle":"","family":"Nelson","given":"Richard R.","non-dropping-particle":"","parse-names":false,"suffix":""},{"dropping-particle":"","family":"Walsh","given":"John P.","non-dropping-particle":"","parse-names":false,"suffix":""}],"container-title":"Management Science","id":"ITEM-1","issue":"1","issued":{"date-parts":[["2002"]]},"page":"1-23","title":"Links and Impacts: The Influence of Public Research on Industrial R&amp;D","type":"article-journal","volume":"48"},"uris":["http://www.mendeley.com/documents/?uuid=2ead2054-0609-41ca-a051-6a3b3b449524"]},{"id":"ITEM-2","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Policy","id":"ITEM-2","issue":"1","issued":{"date-parts":[["2003","1"]]},"page":"27-48","title":"Assessing the impact of organizational practices on the relative productivity of university technology transfer offices: an exploratory study","type":"article-journal","volume":"32"},"uris":["http://www.mendeley.com/documents/?uuid=e46987f6-89c5-3b6f-b14b-8fc764f55f9f"]},{"id":"ITEM-3","itemData":{"DOI":"10.1016/j.respol.2007.03.002","ISBN":"0048-7333","ISSN":"00487333","abstract":"This paper examines how innovation strategy influences firms' level of involvement with university-based research. Our results suggest that firms with internal R&amp;D strategies more heavily weighted toward exploratory activities allocate a greater share of their R&amp;D resources to exploratory university research and develop deeper multifaceted relationships with their university research partners. In addition, firms with more centralized internal R&amp;D organizations spend a greater share of their R&amp;D dollars on exploratory research conducted at universities. In contrast to other external partners, we find evidence suggesting that universities are preferred when the firm perceives potential conflicts over intellectual property. © 2007 Elsevier B.V. All rights reserved.","author":[{"dropping-particle":"","family":"Bercovitz","given":"Janet E.L.","non-dropping-particle":"","parse-names":false,"suffix":""},{"dropping-particle":"","family":"Feldman","given":"Maryann P.","non-dropping-particle":"","parse-names":false,"suffix":""}],"container-title":"Research Policy","id":"ITEM-3","issue":"7","issued":{"date-parts":[["2007"]]},"page":"930-948","title":"Fishing upstream: Firm innovation strategy and university research alliances","type":"article-journal","volume":"36"},"uris":["http://www.mendeley.com/documents/?uuid=670c295d-be35-4edf-836e-298b68f82777"]}],"mendeley":{"formattedCitation":"(Bercovitz and Feldman, 2007; Cohen et al., 2002; D. Siegel et al., 2003)","manualFormatting":"(Bercovitz and Feldman, 2007; Cohen et al., 2002; Siegel et al., 2003)","plainTextFormattedCitation":"(Bercovitz and Feldman, 2007; Cohen et al., 2002; D. Siegel et al., 2003)","previouslyFormattedCitation":"(Bercovitz and Feldman, 2007; Cohen et al., 2002; D. Siegel et al., 2003)"},"properties":{"noteIndex":0},"schema":"https://github.com/citation-style-language/schema/raw/master/csl-citation.json"}</w:instrText>
      </w:r>
      <w:r w:rsidR="00786FCE" w:rsidRPr="00211DF0">
        <w:rPr>
          <w:lang w:val="en-US"/>
        </w:rPr>
        <w:fldChar w:fldCharType="separate"/>
      </w:r>
      <w:r w:rsidR="00786FCE" w:rsidRPr="00211DF0">
        <w:rPr>
          <w:noProof/>
          <w:lang w:val="en-US"/>
        </w:rPr>
        <w:t>(Bercovitz and Feldman, 2007; Cohen et al., 2002; Siegel et al., 2003)</w:t>
      </w:r>
      <w:r w:rsidR="00786FCE" w:rsidRPr="00211DF0">
        <w:rPr>
          <w:lang w:val="en-US"/>
        </w:rPr>
        <w:fldChar w:fldCharType="end"/>
      </w:r>
      <w:r w:rsidR="00786FCE" w:rsidRPr="00211DF0">
        <w:rPr>
          <w:lang w:val="en-US"/>
        </w:rPr>
        <w:t>.</w:t>
      </w:r>
    </w:p>
    <w:p w14:paraId="5E8C26B6" w14:textId="06A75A18" w:rsidR="00752294" w:rsidRPr="00211DF0" w:rsidRDefault="001C0BBD" w:rsidP="00786FCE">
      <w:pPr>
        <w:pStyle w:val="2ndparagraph"/>
      </w:pPr>
      <w:r w:rsidRPr="00211DF0">
        <w:t xml:space="preserve">Markets for </w:t>
      </w:r>
      <w:r w:rsidR="00C610CD">
        <w:t>IP</w:t>
      </w:r>
      <w:r w:rsidR="003F10E4" w:rsidRPr="00211DF0">
        <w:t xml:space="preserve"> </w:t>
      </w:r>
      <w:r w:rsidRPr="00211DF0">
        <w:t>are beset by uncertainty a</w:t>
      </w:r>
      <w:r w:rsidR="00083740" w:rsidRPr="00211DF0">
        <w:t>bout</w:t>
      </w:r>
      <w:r w:rsidRPr="00211DF0">
        <w:t xml:space="preserve"> </w:t>
      </w:r>
      <w:r w:rsidR="00DE3DF1" w:rsidRPr="00211DF0">
        <w:t xml:space="preserve">its </w:t>
      </w:r>
      <w:r w:rsidRPr="00211DF0">
        <w:t xml:space="preserve">value and quality, and these issues are exacerbated by the ‘embryonic’ nature of university-generated technology, which is typically licensed at the proof-of-concept stage before commercial feasibility can be established </w:t>
      </w:r>
      <w:r w:rsidRPr="00211DF0">
        <w:fldChar w:fldCharType="begin" w:fldLock="1"/>
      </w:r>
      <w:r w:rsidR="005A3301" w:rsidRPr="00211DF0">
        <w:instrText>ADDIN CSL_CITATION {"citationItems":[{"id":"ITEM-1","itemData":{"DOI":"10.1023/A:1007884111883","ISSN":"0892-9912","abstract":"This paper describes results of our survey of licensing at 62 research universities. We consider ownership, income splits, stage of development, marketing, license policies and characteristics, goals of licensing and the role of the inventor in licensing. Based on these results we analyze the relationship between licensing outcomes and both the objectives of the TTO and the characteristics of the technologies. Patent applications grow one-to-one with disclosures, while sponsored research grows similarly with licenses executed. Royalties are typically larger the higher the quality of the faculty and the higher the fraction of licenses that are executed at latter stages of development. Sponsored research is more likely to be included in a license if the new technology is at an early stage of development or if the TTO evaluates it as important. We find that additional disclosures generate smaller percentage increases in licenses, and those increases in licenses generate smaller percentage increases in royalties.","author":[{"dropping-particle":"","family":"Thursby","given":"Jerry G. Jg Jerry G.","non-dropping-particle":"","parse-names":false,"suffix":""},{"dropping-particle":"","family":"Jensen","given":"Richard a.","non-dropping-particle":"","parse-names":false,"suffix":""},{"dropping-particle":"","family":"Thursby","given":"Marie C. Mc","non-dropping-particle":"","parse-names":false,"suffix":""}],"container-title":"The Journal of Technology Transfer","id":"ITEM-1","issue":"1","issued":{"date-parts":[["2001"]]},"page":"59–72","title":"Objectives, characteristics and outcomes of university licensing: A survey of major US universities","type":"article-journal","volume":"26"},"uris":["http://www.mendeley.com/documents/?uuid=c0f5386a-485e-4689-80ad-d5d16d71aa11"]},{"id":"ITEM-2","itemData":{"DOI":"10.1287/mnsc.1070.0705","ISSN":"00251909","abstract":"This paper examines the use of options contracts by firms acquiring rights to commercialize university technologies. By combining information about the sequence of licensing decisions with characteristics of the firms and technologies involved, I explore factors that shape decisions to purchase and exercise option contracts for these technologies. Decisions by firms that considered but did not purchase an option or a license are included in the sample. Consistent with the basic premise of real-options theory, I find that firms are more likely to purchase option contracts for more uncertain technologies. Also in line with theoretical predictions, I find that firms that are better able to evaluate an external technology are less likely to purchase options before licensing. The results also highlight more complex motives for exercising options in technology licensing. On the one hand, firms appear to benefit from their ability to learn about the technology during the option period. On the other hand, firms that are better able to \"absorb\" the technology during the contract period may have reduced incentives to subsequently license the invention. © 2007 INFORMS.","author":[{"dropping-particle":"","family":"Ziedonis","given":"Arvids A.","non-dropping-particle":"","parse-names":false,"suffix":""}],"container-title":"Management Science","id":"ITEM-2","issue":"10","issued":{"date-parts":[["2007"]]},"page":"1618-1633","title":"Real options in technology licensing","type":"article-journal","volume":"53"},"uris":["http://www.mendeley.com/documents/?uuid=36e8f07e-b6fc-4464-b1a6-60ef2747fb6b"]}],"mendeley":{"formattedCitation":"(Thursby et al., 2001; Ziedonis, 2007)","plainTextFormattedCitation":"(Thursby et al., 2001; Ziedonis, 2007)","previouslyFormattedCitation":"(Thursby et al., 2001; Ziedonis, 2007)"},"properties":{"noteIndex":0},"schema":"https://github.com/citation-style-language/schema/raw/master/csl-citation.json"}</w:instrText>
      </w:r>
      <w:r w:rsidRPr="00211DF0">
        <w:fldChar w:fldCharType="separate"/>
      </w:r>
      <w:r w:rsidRPr="00211DF0">
        <w:rPr>
          <w:noProof/>
        </w:rPr>
        <w:t>(Thursby et al., 2001; Ziedonis, 2007)</w:t>
      </w:r>
      <w:r w:rsidRPr="00211DF0">
        <w:fldChar w:fldCharType="end"/>
      </w:r>
      <w:r w:rsidRPr="00211DF0">
        <w:t xml:space="preserve">. </w:t>
      </w:r>
      <w:r w:rsidR="003F10E4" w:rsidRPr="00211DF0">
        <w:t>At these early stages, the commercial potential of university technologies is either impossible to predict or suffers from</w:t>
      </w:r>
      <w:r w:rsidR="005A3301" w:rsidRPr="00211DF0">
        <w:t xml:space="preserve"> information asymmetries, </w:t>
      </w:r>
      <w:r w:rsidR="00F93F82" w:rsidRPr="00211DF0">
        <w:t xml:space="preserve">i.e. </w:t>
      </w:r>
      <w:r w:rsidR="005A3301" w:rsidRPr="00211DF0">
        <w:t>the university</w:t>
      </w:r>
      <w:r w:rsidR="00F93F82" w:rsidRPr="00211DF0">
        <w:t xml:space="preserve"> as the seller</w:t>
      </w:r>
      <w:r w:rsidR="005A3301" w:rsidRPr="00211DF0">
        <w:t xml:space="preserve"> has more information</w:t>
      </w:r>
      <w:r w:rsidR="00752294" w:rsidRPr="00211DF0">
        <w:t xml:space="preserve"> </w:t>
      </w:r>
      <w:r w:rsidR="005A3301" w:rsidRPr="00211DF0">
        <w:t>than the buyer (i.e</w:t>
      </w:r>
      <w:r w:rsidR="00F93F82" w:rsidRPr="00211DF0">
        <w:t>.</w:t>
      </w:r>
      <w:r w:rsidR="005A3301" w:rsidRPr="00211DF0">
        <w:t xml:space="preserve"> potential licensee) about the quality of the technology and the </w:t>
      </w:r>
      <w:r w:rsidR="005A3301" w:rsidRPr="00211DF0">
        <w:lastRenderedPageBreak/>
        <w:t xml:space="preserve">conditions under which it functions effectively </w:t>
      </w:r>
      <w:r w:rsidR="005A3301" w:rsidRPr="00211DF0">
        <w:fldChar w:fldCharType="begin" w:fldLock="1"/>
      </w:r>
      <w:r w:rsidR="003513DD">
        <w:instrText xml:space="preserve">ADDIN CSL_CITATION {"citationItems":[{"id":"ITEM-1","itemData":{"DOI":"10.1016/j.respol.2020.104076","ISSN":"00487333","abstract":"Despite the economic significance of patented university research, it is difficult to measure the economic value of academic patented inventions and observe the extent to which universities are able to capture such value through patent licensing. Moving beyond assessing commercialization performance by simple statistics, we propose a new approach to benchmarking university patents and commercialization performance based on comparative corporate patent value. Our procedure involves matching university patents to patents with similar patent characteristics granted to public corporations, then estimating the “potential value” of these university patents by stock market reactions to grants of the matched corporate patents. These estimated values of university patents can significantly explain the technology-level income from licensing by a leading US research university and the annual licensing income of the member universities of the Association of University Technology Managers’ (AUTM). We find that AUTM universities realize an average of 16% of the estimated value of matched corporate patents. We also investigate correlates of university‐level potential patent value and suggest avenues for future research.","author":[{"dropping-particle":"","family":"Hsu","given":"David H.","non-dropping-particle":"","parse-names":false,"suffix":""},{"dropping-particle":"","family":"Hsu","given":"Po Hsuan","non-dropping-particle":"","parse-names":false,"suffix":""},{"dropping-particle":"","family":"Zhou","given":"Tong","non-dropping-particle":"","parse-names":false,"suffix":""},{"dropping-particle":"","family":"Ziedonis","given":"Arvids A.","non-dropping-particle":"","parse-names":false,"suffix":""}],"container-title":"Research Policy","id":"ITEM-1","issue":"1","issued":{"date-parts":[["2021"]]},"page":"104076","publisher":"Elsevier","title":"Benchmarking U.S. university patent value and commercialization efforts: A new approach","type":"article-journal","volume":"50"},"uris":["http://www.mendeley.com/documents/?uuid=50ee612d-d224-44cb-8cf9-a0a2a8ff55c7"]},{"id":"ITEM-2","itemData":{"DOI":"10.1093/oxrep/grm036","ISBN":"0266-903X","ISSN":"0266903X","abstract":"The recent increase in the rate of commercialization of intellectual property at US and European universities has important performance and policy implications.We review recent studies of the antecedents and consequences of these activities and then draw some lessons learned for policy-makers. A key conclusion is that universities and regions must formulate and implement coherent and feasible technology transfer/commercialization strategies. Key","author":[{"dropping-particle":"","family":"Siegel","given":"Donald","non-dropping-particle":"","parse-names":false,"suffix":""},{"dropping-particle":"","family":"Veugelers","given":"Reinhilde","non-dropping-particle":"","parse-names":false,"suffix":""},{"dropping-particle":"","family":"Wright","given":"Mike","non-dropping-particle":"","parse-names":false,"suffix":""}],"container-title":"Oxford Review of Economic Policy","id":"ITEM-2","issue":"4","issued":{"date-parts":[["2007"]]},"page":"640-660","title":"Technology transfer offices and commercialization of university intellectual property: Performance and policy implications","type":"article-journal","volume":"23"},"uris":["http://www.mendeley.com/documents/?uuid=6514c89c-40a3-4f63-9a8f-ae78eacd7438"]},{"id":"ITEM-3","itemData":{"DOI":"10.1016/j.ijindorg.2006.06.001","ISBN":"0167-7187","ISSN":"01677187","abstract":"We develop a theoretical model to explain the specific role of Technology Transfer Offices (TTOs) in licensing university inventions. Using a framework where firms have incomplete information on the quality of inventions, we develop a reputation argument for the TTO to reduce the asymmetric information problem. Our results indicate that a TTO is often able to benefit from its capacity to pool innovations across research units (and to build a reputation) within universities. We identify when the technology seller will have an incentive to \"shelve\" some of the projects, thus raising the buyer's beliefs on expected quality; this results in fewer but more valuable innovations being sold at higher prices. We explain the importance of a critical size for the TTO to be successful as well as the stylized fact that TTOs may lead to fewer licensing agreements but higher income from innovation transfers. © 2006 Elsevier B.V. All rights reserved.","author":[{"dropping-particle":"","family":"Macho-Stadler","given":"Inés","non-dropping-particle":"","parse-names":false,"suffix":""},{"dropping-particle":"","family":"Pérez-Castrillo","given":"David","non-dropping-particle":"","parse-names":false,"suffix":""},{"dropping-particle":"","family":"Veugelers","given":"Reinhilde","non-dropping-particle":"","parse-names":false,"suffix":""}],"container-title":"International Journal of Industrial Organization","id":"ITEM-3","issue":"3","issued":{"date-parts":[["2007"]]},"page":"483-510","title":"Licensing of university inventions: The role of a technology transfer office","type":"article-journal","volume":"25"},"uris":["http://www.mendeley.com/documents/?uuid=2d5a5d25-b3e5-4f63-82b2-32a9a7c27bcc"]},{"id":"ITEM-4","itemData":{"DOI":"10.1093/icc/dtab036","ISSN":"0960-6491","abstract":"Emerging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w:instrText>
      </w:r>
      <w:r w:rsidR="003513DD" w:rsidRPr="00905350">
        <w:rPr>
          <w:lang w:val="da-DK"/>
        </w:rPr>
        <w:instrText>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Change","id":"ITEM-4","issued":{"date-parts":[["2021"]]},"page":"1-27","title":"Knowledge exchange under asymmetric information in emerging economies: impact of signals from Indian universities","type":"article-journal"},"uris":["http://www.mendeley.com/documents/?uuid=eaad0201-d4ea-437d-8174-f04068f367a3"]}],"mendeley":{"formattedCitation":"(Hsu et al., 2021; Macho-Stadler et al., 2007; Ray and Sengupta, 2021; Siegel et al., 2007)","plainTextFormattedCitation":"(Hsu et al., 2021; Macho-Stadler et al., 2007; Ray and Sengupta, 2021; Siegel et al., 2007)","previouslyFormattedCitation":"(Hsu et al., 2021; Macho-Stadler et al., 2007; Ray and Sengupta, 2021; Siegel et al., 2007)"},"properties":{"noteIndex":0},"schema":"https://github.com/citation-style-language/schema/raw/master/csl-citation.json"}</w:instrText>
      </w:r>
      <w:r w:rsidR="005A3301" w:rsidRPr="00211DF0">
        <w:fldChar w:fldCharType="separate"/>
      </w:r>
      <w:r w:rsidR="00693BEB" w:rsidRPr="00693BEB">
        <w:rPr>
          <w:noProof/>
          <w:lang w:val="da-DK"/>
        </w:rPr>
        <w:t>(Hsu et al., 2021; Macho-Stadler et al., 2007; Ray and Sengupta, 2021; Siegel et al., 2007)</w:t>
      </w:r>
      <w:r w:rsidR="005A3301" w:rsidRPr="00211DF0">
        <w:fldChar w:fldCharType="end"/>
      </w:r>
      <w:r w:rsidR="005A3301" w:rsidRPr="0080622B">
        <w:rPr>
          <w:lang w:val="da-DK"/>
        </w:rPr>
        <w:t>.</w:t>
      </w:r>
      <w:r w:rsidR="00752294" w:rsidRPr="0080622B">
        <w:rPr>
          <w:lang w:val="da-DK"/>
        </w:rPr>
        <w:t xml:space="preserve"> </w:t>
      </w:r>
      <w:r w:rsidR="00F93F82" w:rsidRPr="00211DF0">
        <w:t>Many</w:t>
      </w:r>
      <w:r w:rsidR="00752294" w:rsidRPr="00211DF0">
        <w:t xml:space="preserve"> buyers</w:t>
      </w:r>
      <w:r w:rsidR="00F93F82" w:rsidRPr="00211DF0">
        <w:t xml:space="preserve"> consider university patents merely as technological options for future products</w:t>
      </w:r>
      <w:r w:rsidR="00752294" w:rsidRPr="00211DF0">
        <w:t xml:space="preserve"> </w:t>
      </w:r>
      <w:r w:rsidR="00752294" w:rsidRPr="00211DF0">
        <w:fldChar w:fldCharType="begin" w:fldLock="1"/>
      </w:r>
      <w:r w:rsidR="00752294" w:rsidRPr="00211DF0">
        <w:instrText>ADDIN CSL_CITATION {"citationItems":[{"id":"ITEM-1","itemData":{"DOI":"10.1287/mnsc.1070.0705","ISSN":"00251909","abstract":"This paper examines the use of options contracts by firms acquiring rights to commercialize university technologies. By combining information about the sequence of licensing decisions with characteristics of the firms and technologies involved, I explore factors that shape decisions to purchase and exercise option contracts for these technologies. Decisions by firms that considered but did not purchase an option or a license are included in the sample. Consistent with the basic premise of real-options theory, I find that firms are more likely to purchase option contracts for more uncertain technologies. Also in line with theoretical predictions, I find that firms that are better able to evaluate an external technology are less likely to purchase options before licensing. The results also highlight more complex motives for exercising options in technology licensing. On the one hand, firms appear to benefit from their ability to learn about the technology during the option period. On the other hand, firms that are better able to \"absorb\" the technology during the contract period may have reduced incentives to subsequently license the invention. © 2007 INFORMS.","author":[{"dropping-particle":"","family":"Ziedonis","given":"Arvids A.","non-dropping-particle":"","parse-names":false,"suffix":""}],"container-title":"Management Science","id":"ITEM-1","issue":"10","issued":{"date-parts":[["2007"]]},"page":"1618-1633","title":"Real options in technology licensing","type":"article-journal","volume":"53"},"uris":["http://www.mendeley.com/documents/?uuid=36e8f07e-b6fc-4464-b1a6-60ef2747fb6b"]}],"mendeley":{"formattedCitation":"(Ziedonis, 2007)","plainTextFormattedCitation":"(Ziedonis, 2007)","previouslyFormattedCitation":"(Ziedonis, 2007)"},"properties":{"noteIndex":0},"schema":"https://github.com/citation-style-language/schema/raw/master/csl-citation.json"}</w:instrText>
      </w:r>
      <w:r w:rsidR="00752294" w:rsidRPr="00211DF0">
        <w:fldChar w:fldCharType="separate"/>
      </w:r>
      <w:r w:rsidR="00752294" w:rsidRPr="00211DF0">
        <w:rPr>
          <w:noProof/>
        </w:rPr>
        <w:t>(Ziedonis, 2007)</w:t>
      </w:r>
      <w:r w:rsidR="00752294" w:rsidRPr="00211DF0">
        <w:fldChar w:fldCharType="end"/>
      </w:r>
      <w:r w:rsidR="00C167BF" w:rsidRPr="00211DF0">
        <w:t xml:space="preserve"> </w:t>
      </w:r>
      <w:r w:rsidR="00F93F82" w:rsidRPr="00211DF0">
        <w:t>or expect that</w:t>
      </w:r>
      <w:r w:rsidR="00752294" w:rsidRPr="00211DF0">
        <w:t xml:space="preserve"> academic inventors </w:t>
      </w:r>
      <w:r w:rsidR="00F93F82" w:rsidRPr="00211DF0">
        <w:t>remain involved</w:t>
      </w:r>
      <w:r w:rsidR="00752294" w:rsidRPr="00211DF0">
        <w:t xml:space="preserve"> </w:t>
      </w:r>
      <w:r w:rsidR="00752294" w:rsidRPr="00211DF0">
        <w:fldChar w:fldCharType="begin" w:fldLock="1"/>
      </w:r>
      <w:r w:rsidR="00752294" w:rsidRPr="00211DF0">
        <w:instrText>ADDIN CSL_CITATION {"citationItems":[{"id":"ITEM-1","itemData":{"DOI":"10.1007/s10961-009-9123-5","ISBN":"1096100991","ISSN":"08929912","abstract":"Drawing on histories of technological innovation originating from research by faculty at The Pennsylvania State University and Johns Hopkins University, this paper presents evidence for a “technology” as well as an “intellectual property rights” research approach to the commercialization of academic patents. By describing how inventor and firm activities and strategies affect the technical development and commercial positioning of university patents, a technology focus adds depth to the general proposition that university patents are embryonic technologies. It likewise serves as an analytical probe to reconsider other mainstream propositions about university technology transfer.","author":[{"dropping-particle":"","family":"Feller","given":"Irwin","non-dropping-particle":"","parse-names":false,"suffix":""},{"dropping-particle":"","family":"Feldman","given":"Maryann","non-dropping-particle":"","parse-names":false,"suffix":""}],"container-title":"Journal of Technology Transfer","id":"ITEM-1","issue":"6","issued":{"date-parts":[["2010"]]},"page":"597-616","title":"The commercialization of academic patents: Black boxes, pipelines, and Rubik's cubes","type":"article-journal","volume":"35"},"uris":["http://www.mendeley.com/documents/?uuid=937ca8bb-4616-44cc-8242-ca57562f6391"]},{"id":"ITEM-2","itemData":{"DOI":"10.1023/A:1007884111883","ISSN":"0892-9912","abstract":"This paper describes results of our survey of licensing at 62 research universities. We consider ownership, income splits, stage of development, marketing, license policies and characteristics, goals of licensing and the role of the inventor in licensing. Based on these results we analyze the relationship between licensing outcomes and both the objectives of the TTO and the characteristics of the technologies. Patent applications grow one-to-one with disclosures, while sponsored research grows similarly with licenses executed. Royalties are typically larger the higher the quality of the faculty and the higher the fraction of licenses that are executed at latter stages of development. Sponsored research is more likely to be included in a license if the new technology is at an early stage of development or if the TTO evaluates it as important. We find that additional disclosures generate smaller percentage increases in licenses, and those increases in licenses generate smaller percentage increases in royalties.","author":[{"dropping-particle":"","family":"Thursby","given":"Jerry G. Jg Jerry G.","non-dropping-particle":"","parse-names":false,"suffix":""},{"dropping-particle":"","family":"Jensen","given":"Richard a.","non-dropping-particle":"","parse-names":false,"suffix":""},{"dropping-particle":"","family":"Thursby","given":"Marie C. Mc","non-dropping-particle":"","parse-names":false,"suffix":""}],"container-title":"The Journal of Technology Transfer","id":"ITEM-2","issue":"1","issued":{"date-parts":[["2001"]]},"page":"59–72","title":"Objectives, characteristics and outcomes of university licensing: A survey of major US universities","type":"article-journal","volume":"26"},"uris":["http://www.mendeley.com/documents/?uuid=c0f5386a-485e-4689-80ad-d5d16d71aa11"]}],"mendeley":{"formattedCitation":"(Feller and Feldman, 2010; Thursby et al., 2001)","plainTextFormattedCitation":"(Feller and Feldman, 2010; Thursby et al., 2001)","previouslyFormattedCitation":"(Feller and Feldman, 2010; Thursby et al., 2001)"},"properties":{"noteIndex":0},"schema":"https://github.com/citation-style-language/schema/raw/master/csl-citation.json"}</w:instrText>
      </w:r>
      <w:r w:rsidR="00752294" w:rsidRPr="00211DF0">
        <w:fldChar w:fldCharType="separate"/>
      </w:r>
      <w:r w:rsidR="00752294" w:rsidRPr="00211DF0">
        <w:rPr>
          <w:noProof/>
        </w:rPr>
        <w:t>(Feller and Feldman, 2010; Thursby et al., 2001)</w:t>
      </w:r>
      <w:r w:rsidR="00752294" w:rsidRPr="00211DF0">
        <w:fldChar w:fldCharType="end"/>
      </w:r>
      <w:r w:rsidR="00752294" w:rsidRPr="00211DF0">
        <w:t xml:space="preserve">. </w:t>
      </w:r>
      <w:bookmarkEnd w:id="2"/>
      <w:r w:rsidR="00786FCE" w:rsidRPr="00211DF0">
        <w:t>Even when firms identify promising university technologies negotiations about licens</w:t>
      </w:r>
      <w:r w:rsidR="00DE3DF1" w:rsidRPr="00211DF0">
        <w:t>ing fee</w:t>
      </w:r>
      <w:r w:rsidR="00786FCE" w:rsidRPr="00211DF0">
        <w:t xml:space="preserve">s can be contentious </w:t>
      </w:r>
      <w:r w:rsidR="00786FCE" w:rsidRPr="00211DF0">
        <w:fldChar w:fldCharType="begin" w:fldLock="1"/>
      </w:r>
      <w:r w:rsidR="00786FCE" w:rsidRPr="00211DF0">
        <w:instrText>ADDIN CSL_CITATION {"citationItems":[{"id":"ITEM-1","itemData":{"author":[{"dropping-particle":"","family":"Dowling","given":"A","non-dropping-particle":"","parse-names":false,"suffix":""}],"id":"ITEM-1","issue":"July","issued":{"date-parts":[["2015"]]},"publisher-place":"London","title":"The Dowling Review ofBusiness-University Collaborations","type":"report"},"uris":["http://www.mendeley.com/documents/?uuid=aee59791-be71-4f3e-845d-fc320181c85b"]},{"id":"ITEM-2","itemData":{"DOI":"10.1093/icc/dtm019","ISSN":"14643650","abstract":"In this article we examine the influence of formal technology transfer from a public research organization (PRO) on the amount of capital a spin-off raises at start-up and the increase in capital post start-up. We examine these relationships using a unique sample of 135 spin-offs from PROs across five European countries. Our findings suggest that spin-offs with formal technology transfer start with a larger amount of capital but subsequently do not raise more capital than spin-offs without formal technology transfer. © The Author 2007. Published by Oxford University Press on behalf of Associazione ICC. All rights reserved.","author":[{"dropping-particle":"","family":"Clarysse","given":"Bart","non-dropping-particle":"","parse-names":false,"suffix":""},{"dropping-particle":"","family":"Wright","given":"Mike","non-dropping-particle":"","parse-names":false,"suffix":""},{"dropping-particle":"","family":"Lockett","given":"Andy","non-dropping-particle":"","parse-names":false,"suffix":""},{"dropping-particle":"","family":"Mustar","given":"Philippe","non-dropping-particle":"","parse-names":false,"suffix":""},{"dropping-particle":"","family":"Knockaert","given":"Mirjam","non-dropping-particle":"","parse-names":false,"suffix":""}],"container-title":"Industrial and Corporate Change","id":"ITEM-2","issue":"4","issued":{"date-parts":[["2007"]]},"page":"609-640","title":"Academic spin-offs, formal technology transfer and capital raising","type":"article-journal","volume":"16"},"uris":["http://www.mendeley.com/documents/?uuid=5bda756d-3d38-4af2-b73b-6bbd6dd64313"]}],"mendeley":{"formattedCitation":"(Clarysse et al., 2007; Dowling, 2015)","plainTextFormattedCitation":"(Clarysse et al., 2007; Dowling, 2015)","previouslyFormattedCitation":"(Clarysse et al., 2007; Dowling, 2015)"},"properties":{"noteIndex":0},"schema":"https://github.com/citation-style-language/schema/raw/master/csl-citation.json"}</w:instrText>
      </w:r>
      <w:r w:rsidR="00786FCE" w:rsidRPr="00211DF0">
        <w:fldChar w:fldCharType="separate"/>
      </w:r>
      <w:r w:rsidR="00786FCE" w:rsidRPr="00211DF0">
        <w:rPr>
          <w:noProof/>
        </w:rPr>
        <w:t>(Clarysse et al., 2007; Dowling, 2015)</w:t>
      </w:r>
      <w:r w:rsidR="00786FCE" w:rsidRPr="00211DF0">
        <w:fldChar w:fldCharType="end"/>
      </w:r>
      <w:r w:rsidR="00786FCE" w:rsidRPr="00211DF0">
        <w:t xml:space="preserve"> or firms prefer non-commercial forms of university-industry interaction </w:t>
      </w:r>
      <w:r w:rsidR="00786FCE" w:rsidRPr="00211DF0">
        <w:fldChar w:fldCharType="begin" w:fldLock="1"/>
      </w:r>
      <w:r w:rsidR="00786FCE" w:rsidRPr="00211DF0">
        <w:instrText>ADDIN CSL_CITATION {"citationItems":[{"id":"ITEM-1","itemData":{"DOI":"10.1016/j.respol.2020.104114","ISSN":"00487333","abstract":"We provide a systematic review of the literature on academic engagement from 2011 onwards, which was the cut-off year of a previous review article published in Research Policy. Academic engagement refers to knowledge-related interactions of academic scientists with external organisations. It includes activities such as collaborative research with industry, contract research, consulting and informal ties. We consolidate what is known about the individual, organisational and institutional antecedents of academic engagement, and its consequences for research, commercialisation, and society at large. Our results suggest that individual characteristics associated with academic engagement include being scientifically productive, senior, male, locally trained, and commercially experienced. Academic engagement is also socially conditioned by peer effects and disciplinary characteristics. In terms of consequences, academic engagement is positively associated with academics’ subsequent scientific productivity. We propose new areas of investigation where evidence remains inconclusive, including individual life cycle effects, the role of organisational contexts and incentives, cross-national comparisons, and the impact of academic engagement on the quality of subsequent research as well as the educational, commercial and society-wide impact.","author":[{"dropping-particle":"","family":"Perkmann","given":"Markus","non-dropping-particle":"","parse-names":false,"suffix":""},{"dropping-particle":"","family":"Salandra","given":"Rossella","non-dropping-particle":"","parse-names":false,"suffix":""},{"dropping-particle":"","family":"Tartari","given":"Valentina","non-dropping-particle":"","parse-names":false,"suffix":""},{"dropping-particle":"","family":"McKelvey","given":"Maureen","non-dropping-particle":"","parse-names":false,"suffix":""},{"dropping-particle":"","family":"Hughes","given":"Alan","non-dropping-particle":"","parse-names":false,"suffix":""}],"container-title":"Research Policy","id":"ITEM-1","issue":"1","issued":{"date-parts":[["2021"]]},"title":"Academic engagement: A review of the literature 2011-2019","type":"article-journal","volume":"50"},"uris":["http://www.mendeley.com/documents/?uuid=2f63ae94-4a70-45c1-b8df-3bc254cabb52"]},{"id":"ITEM-2","itemData":{"abstract":"n this chapter, we investigate how firms work with universities in the course of their innovation activities. We provide an overview of three main modes of direct interaction between firms and universities: IP licensing, research services and research partnerships. We outline the main characteristics of each mode, its relative importance for firms as well as benefits and challenges. While licensing remains an important mode in which public research finds its way into firms laboratories, we highlight the significant role of relationship-based modes of interaction which include research services and research partnerships ­ between firms and universities. While some of these relationship-based interactions enable appropriation via intellectual property rights, others are more aligned with the norms of open science and create benefits for firms by generating basic knowledge, creating skills and enabling follow-on innovation. We conclude with open questions for future research.","author":[{"dropping-particle":"","family":"Perkmann","given":"Markus","non-dropping-particle":"","parse-names":false,"suffix":""},{"dropping-particle":"","family":"West","given":"Joel","non-dropping-particle":"","parse-names":false,"suffix":""},{"dropping-particle":"","family":"Link","given":"Albert","non-dropping-particle":"","parse-names":false,"suffix":""},{"dropping-particle":"","family":"Siegel","given":"Donald","non-dropping-particle":"","parse-names":false,"suffix":""},{"dropping-particle":"","family":"Wright","given":"Mike","non-dropping-particle":"","parse-names":false,"suffix":""}],"container-title":"Handbook of University Technology Transfer","id":"ITEM-2","issued":{"date-parts":[["2013"]]},"page":"1-41","title":"Open Science and Open Innovation: Sourcing Knowledge from Universities","type":"article-journal"},"uris":["http://www.mendeley.com/documents/?uuid=163e99ae-7d31-465a-8f83-3a38e9a19e71"]}],"mendeley":{"formattedCitation":"(Perkmann et al., 2021, 2013b)","plainTextFormattedCitation":"(Perkmann et al., 2021, 2013b)","previouslyFormattedCitation":"(Perkmann et al., 2021, 2013b)"},"properties":{"noteIndex":0},"schema":"https://github.com/citation-style-language/schema/raw/master/csl-citation.json"}</w:instrText>
      </w:r>
      <w:r w:rsidR="00786FCE" w:rsidRPr="00211DF0">
        <w:fldChar w:fldCharType="separate"/>
      </w:r>
      <w:r w:rsidR="00786FCE" w:rsidRPr="00211DF0">
        <w:rPr>
          <w:noProof/>
        </w:rPr>
        <w:t>(Perkmann et al., 2021, 2013b)</w:t>
      </w:r>
      <w:r w:rsidR="00786FCE" w:rsidRPr="00211DF0">
        <w:fldChar w:fldCharType="end"/>
      </w:r>
      <w:r w:rsidR="00786FCE" w:rsidRPr="00211DF0">
        <w:t xml:space="preserve">. </w:t>
      </w:r>
    </w:p>
    <w:p w14:paraId="25405087" w14:textId="46DDA452" w:rsidR="00463AFC" w:rsidRPr="00211DF0" w:rsidRDefault="00FB4920" w:rsidP="003E4FA3">
      <w:pPr>
        <w:pStyle w:val="2ndparagraph"/>
      </w:pPr>
      <w:r w:rsidRPr="00211DF0">
        <w:t>Often times, universities try to attract licensees by building a reputation for technology development with substantial commercial potential.</w:t>
      </w:r>
      <w:r w:rsidR="00E60497" w:rsidRPr="00211DF0">
        <w:t xml:space="preserve"> </w:t>
      </w:r>
      <w:r w:rsidR="00E60497" w:rsidRPr="00211DF0">
        <w:fldChar w:fldCharType="begin" w:fldLock="1"/>
      </w:r>
      <w:r w:rsidR="00E60497" w:rsidRPr="00211DF0">
        <w:instrText>ADDIN CSL_CITATION {"citationItems":[{"id":"ITEM-1","itemData":{"DOI":"10.1016/j.ijindorg.2006.06.001","ISBN":"0167-7187","ISSN":"01677187","abstract":"We develop a theoretical model to explain the specific role of Technology Transfer Offices (TTOs) in licensing university inventions. Using a framework where firms have incomplete information on the quality of inventions, we develop a reputation argument for the TTO to reduce the asymmetric information problem. Our results indicate that a TTO is often able to benefit from its capacity to pool innovations across research units (and to build a reputation) within universities. We identify when the technology seller will have an incentive to \"shelve\" some of the projects, thus raising the buyer's beliefs on expected quality; this results in fewer but more valuable innovations being sold at higher prices. We explain the importance of a critical size for the TTO to be successful as well as the stylized fact that TTOs may lead to fewer licensing agreements but higher income from innovation transfers. © 2006 Elsevier B.V. All rights reserved.","author":[{"dropping-particle":"","family":"Macho-Stadler","given":"Inés","non-dropping-particle":"","parse-names":false,"suffix":""},{"dropping-particle":"","family":"Pérez-Castrillo","given":"David","non-dropping-particle":"","parse-names":false,"suffix":""},{"dropping-particle":"","family":"Veugelers","given":"Reinhilde","non-dropping-particle":"","parse-names":false,"suffix":""}],"container-title":"International Journal of Industrial Organization","id":"ITEM-1","issue":"3","issued":{"date-parts":[["2007"]]},"page":"483-510","title":"Licensing of university inventions: The role of a technology transfer office","type":"article-journal","volume":"25"},"uris":["http://www.mendeley.com/documents/?uuid=2d5a5d25-b3e5-4f63-82b2-32a9a7c27bcc"]}],"mendeley":{"formattedCitation":"(Macho-Stadler et al., 2007)","manualFormatting":"Macho-Stadler et al (2007)","plainTextFormattedCitation":"(Macho-Stadler et al., 2007)","previouslyFormattedCitation":"(Macho-Stadler et al., 2007)"},"properties":{"noteIndex":0},"schema":"https://github.com/citation-style-language/schema/raw/master/csl-citation.json"}</w:instrText>
      </w:r>
      <w:r w:rsidR="00E60497" w:rsidRPr="00211DF0">
        <w:fldChar w:fldCharType="separate"/>
      </w:r>
      <w:r w:rsidR="00E60497" w:rsidRPr="00211DF0">
        <w:rPr>
          <w:noProof/>
        </w:rPr>
        <w:t>Macho-Stadler et al (2007)</w:t>
      </w:r>
      <w:r w:rsidR="00E60497" w:rsidRPr="00211DF0">
        <w:fldChar w:fldCharType="end"/>
      </w:r>
      <w:r w:rsidR="00E60497" w:rsidRPr="00211DF0">
        <w:t xml:space="preserve"> develop a reputation argument, suggesting that once TTOs reach a critical size, they can be more selective in their commercialization activity which raises the quality expectations of licensees. This builds on earlier work by </w:t>
      </w:r>
      <w:r w:rsidR="00E60497" w:rsidRPr="00211DF0">
        <w:fldChar w:fldCharType="begin" w:fldLock="1"/>
      </w:r>
      <w:r w:rsidR="00E60497" w:rsidRPr="00211DF0">
        <w:instrText>ADDIN CSL_CITATION {"citationItems":[{"id":"ITEM-1","itemData":{"DOI":"10.1287/mnsc.49.4.478.14416","ISSN":"00251909","abstract":"Sociologists and organizational theorists have long claimed that the processes of knowledge creation and distribution are fundamentally social. Following in this tradition, we explore the effect of institutional prestige on university technology licensing. Empirically, we examine the influence of university prestige on the annual rate of technology licensing by 102 universities from 1991-1998. We show that institutional prestige increases a university's licensing rate over and above the rate that is explained by the university's past licensing performance. Because licensing success positively impacts future invention production, we argue that institutional prestige leads to stratification in the creation and distribution of university-generated knowledge.","author":[{"dropping-particle":"","family":"Sine","given":"Wesley David","non-dropping-particle":"","parse-names":false,"suffix":""},{"dropping-particle":"","family":"Shane","given":"Scott","non-dropping-particle":"","parse-names":false,"suffix":""},{"dropping-particle":"","family":"Gregorio","given":"Dante","non-dropping-particle":"Di","parse-names":false,"suffix":""}],"container-title":"Management Science","id":"ITEM-1","issue":"4","issued":{"date-parts":[["2003"]]},"page":"478-496","title":"The Halo effect and technology licensing: The influence of institutional prestige on the licensing of university inventions","type":"article-journal","volume":"49"},"uris":["http://www.mendeley.com/documents/?uuid=67481617-59ec-492c-9f04-6e193880c875"]}],"mendeley":{"formattedCitation":"(Sine et al., 2003)","manualFormatting":"Sine et al (2003)","plainTextFormattedCitation":"(Sine et al., 2003)","previouslyFormattedCitation":"(Sine et al., 2003)"},"properties":{"noteIndex":0},"schema":"https://github.com/citation-style-language/schema/raw/master/csl-citation.json"}</w:instrText>
      </w:r>
      <w:r w:rsidR="00E60497" w:rsidRPr="00211DF0">
        <w:fldChar w:fldCharType="separate"/>
      </w:r>
      <w:r w:rsidR="00E60497" w:rsidRPr="00211DF0">
        <w:rPr>
          <w:noProof/>
        </w:rPr>
        <w:t>Sine et al (2003)</w:t>
      </w:r>
      <w:r w:rsidR="00E60497" w:rsidRPr="00211DF0">
        <w:fldChar w:fldCharType="end"/>
      </w:r>
      <w:r w:rsidR="00E60497" w:rsidRPr="00211DF0">
        <w:t xml:space="preserve"> who show that past licensing performance and scholarly reputation are used by firms to address information problems related to the quality of university technology. These reputation-based arguments are supported by research that demonstrates positive associations between the ‘quality’ </w:t>
      </w:r>
      <w:r w:rsidR="00234FDA">
        <w:t xml:space="preserve">of </w:t>
      </w:r>
      <w:r w:rsidR="00E60497" w:rsidRPr="00211DF0">
        <w:t xml:space="preserve">university research and licensing performance </w:t>
      </w:r>
      <w:r w:rsidR="00E60497" w:rsidRPr="00211DF0">
        <w:fldChar w:fldCharType="begin" w:fldLock="1"/>
      </w:r>
      <w:r w:rsidR="00E60497" w:rsidRPr="00211DF0">
        <w:instrText>ADDIN CSL_CITATION {"citationItems":[{"id":"ITEM-1","itemData":{"DOI":"10.1016/j.respol.2011.10.010","ISSN":"00487333","abstract":"As the innovation process has become more open and networked, Government policy in the UK has sought to promote both research excellence in the university sector and the translation of this into economic benefit through university–business engagement. However, this policy approach has tended to be applied uniformly with little account for organisational differences within the sector. In this paper we consider if differences between universities in their research performance is reflected in their knowledge transfer activity. Specifically, as universities develop a commercialization agenda are the strategic priorities for knowledge transfer, the organisational supports in place to facilitate knowledge transfer and the scale and scope of knowledge transfer activity different for high research intensive (HRI) and low research intensive (LRI) universities? The findings demonstrate that universities’ approach to knowledge transfer is shaped by institutional and organisational resources, in particular their ethos and research quality, rather than the capability to undertake knowledge transfer through a Technology Transfer Office (TTO). Strategic priorities for knowledge transfer are reflected in activity, in terms of the dominance of specific knowledge transfer channels, the partners with which universities engage and the geography of business engagement.","author":[{"dropping-particle":"","family":"Hewitt-Dundas","given":"Nola","non-dropping-particle":"","parse-names":false,"suffix":""}],"container-title":"Research Policy","id":"ITEM-1","issue":"2","issued":{"date-parts":[["2012","3"]]},"page":"262-275","title":"Research intensity and knowledge transfer activity in UK universities","type":"article-journal","volume":"41"},"uris":["http://www.mendeley.com/documents/?uuid=dfda44a2-56de-4343-aba6-7ecd31ff1890"]},{"id":"ITEM-2","itemData":{"DOI":"10.1016/S0048-7333(00)00160-8","ISBN":"0048-7333","ISSN":"00487333","PMID":"2875","abstract":"Licensing activity of US universities has increased substantially in recent years. We examine this increase focusing on the ‘productivity’ and ‘changes in productivity’ of licensing activity. While it is generally acknowledged that there has been a dramatic increase in licensing, there is little understanding of the licensing process as it relates to university characteristics, nor is there evidence on the extent to which this is the result of increased resources devoted to commercialization or whether it stems from other factors. This paper employs data envelopment analysis (DEA) combined with regression analysis to examine the overall productivity of university licensing activity as well as the productivity of individual universities. We find that licensing has increased for reasons other than increases in overall university resources. Given input levels, universities are today more commercially productive than they were in the recent past; we propose reasons for this shift and analyze factors associated with the shift and factors associated with relative levels of commercialization. © Elsevier Science Ltd. All rights reserved.","author":[{"dropping-particle":"","family":"Thursby","given":"Jerry G.","non-dropping-particle":"","parse-names":false,"suffix":""},{"dropping-particle":"","family":"Kemp","given":"Sukanya","non-dropping-particle":"","parse-names":false,"suffix":""}],"container-title":"Research Policy","id":"ITEM-2","issue":"1","issued":{"date-parts":[["2002"]]},"page":"109-124","title":"Growth and productive efficiency of university intellectual property licensing","type":"article-journal","volume":"31"},"uris":["http://www.mendeley.com/documents/?uuid=e8f7222f-4771-44e7-9565-8aa869baee17"]}],"mendeley":{"formattedCitation":"(Hewitt-Dundas, 2012; Thursby and Kemp, 2002)","plainTextFormattedCitation":"(Hewitt-Dundas, 2012; Thursby and Kemp, 2002)","previouslyFormattedCitation":"(Hewitt-Dundas, 2012; Thursby and Kemp, 2002)"},"properties":{"noteIndex":0},"schema":"https://github.com/citation-style-language/schema/raw/master/csl-citation.json"}</w:instrText>
      </w:r>
      <w:r w:rsidR="00E60497" w:rsidRPr="00211DF0">
        <w:fldChar w:fldCharType="separate"/>
      </w:r>
      <w:r w:rsidR="00E60497" w:rsidRPr="00211DF0">
        <w:rPr>
          <w:noProof/>
        </w:rPr>
        <w:t>(Hewitt-Dundas, 2012; Thursby and Kemp, 2002)</w:t>
      </w:r>
      <w:r w:rsidR="00E60497" w:rsidRPr="00211DF0">
        <w:fldChar w:fldCharType="end"/>
      </w:r>
      <w:r w:rsidR="00E60497" w:rsidRPr="00211DF0">
        <w:t>.</w:t>
      </w:r>
      <w:r w:rsidR="007A0DC5" w:rsidRPr="00211DF0">
        <w:t xml:space="preserve"> </w:t>
      </w:r>
      <w:r w:rsidR="009804E2">
        <w:t>More recent</w:t>
      </w:r>
      <w:r w:rsidR="003513DD">
        <w:t xml:space="preserve">ly, </w:t>
      </w:r>
      <w:r w:rsidR="003513DD">
        <w:fldChar w:fldCharType="begin" w:fldLock="1"/>
      </w:r>
      <w:r w:rsidR="003513DD">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universities","type":"article-journal"},"uris":["http://www.mendeley.com/documents/?uuid=eaad0201-d4ea-437d-8174-f04068f367a3"]}],"mendeley":{"formattedCitation":"(Ray and Sengupta, 2021)","manualFormatting":"Ray and Sengupta (2021)","plainTextFormattedCitation":"(Ray and Sengupta, 2021)","previouslyFormattedCitation":"(Ray and Sengupta, 2021)"},"properties":{"noteIndex":0},"schema":"https://github.com/citation-style-language/schema/raw/master/csl-citation.json"}</w:instrText>
      </w:r>
      <w:r w:rsidR="003513DD">
        <w:fldChar w:fldCharType="separate"/>
      </w:r>
      <w:r w:rsidR="003513DD" w:rsidRPr="003513DD">
        <w:rPr>
          <w:noProof/>
        </w:rPr>
        <w:t>Ray and Sengupta</w:t>
      </w:r>
      <w:r w:rsidR="003513DD">
        <w:rPr>
          <w:noProof/>
        </w:rPr>
        <w:t xml:space="preserve"> (</w:t>
      </w:r>
      <w:r w:rsidR="003513DD" w:rsidRPr="003513DD">
        <w:rPr>
          <w:noProof/>
        </w:rPr>
        <w:t>2021)</w:t>
      </w:r>
      <w:r w:rsidR="003513DD">
        <w:fldChar w:fldCharType="end"/>
      </w:r>
      <w:r w:rsidR="009804E2">
        <w:t xml:space="preserve"> focus on contexts in which it is difficult for industrial stakeholders to make quality assessments of university research, such as emerging and developing countries</w:t>
      </w:r>
      <w:r w:rsidR="003513DD">
        <w:t xml:space="preserve">. Drawing on signaling theory, they suggest universities in these contexts may file patents to send signals about research quality and commercialization intentions to external commercial parties </w:t>
      </w:r>
      <w:r w:rsidR="003513DD">
        <w:fldChar w:fldCharType="begin" w:fldLock="1"/>
      </w:r>
      <w:r w:rsidR="004A39D0">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universities","type":"article-journal"},"uris":["http://www.mendeley.com/documents/?uuid=eaad0201-d4ea-437d-8174-f04068f367a3"]}],"mendeley":{"formattedCitation":"(Ray and Sengupta, 2021)","plainTextFormattedCitation":"(Ray and Sengupta, 2021)","previouslyFormattedCitation":"(Ray and Sengupta, 2021)"},"properties":{"noteIndex":0},"schema":"https://github.com/citation-style-language/schema/raw/master/csl-citation.json"}</w:instrText>
      </w:r>
      <w:r w:rsidR="003513DD">
        <w:fldChar w:fldCharType="separate"/>
      </w:r>
      <w:r w:rsidR="003513DD" w:rsidRPr="003513DD">
        <w:rPr>
          <w:noProof/>
        </w:rPr>
        <w:t>(Ray and Sengupta, 2021)</w:t>
      </w:r>
      <w:r w:rsidR="003513DD">
        <w:fldChar w:fldCharType="end"/>
      </w:r>
      <w:r w:rsidR="003513DD">
        <w:t xml:space="preserve">. </w:t>
      </w:r>
      <w:r w:rsidR="00952668">
        <w:t xml:space="preserve">It is also found that some university characteristics exhibit passive signaling effects, which influence firm engagement in other channels of knowledge exchange, such as sponsored research and </w:t>
      </w:r>
      <w:r w:rsidR="004A39D0">
        <w:t xml:space="preserve">academic consulting </w:t>
      </w:r>
      <w:r w:rsidR="004A39D0">
        <w:fldChar w:fldCharType="begin" w:fldLock="1"/>
      </w:r>
      <w:r w:rsidR="004A39D0">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universities","type":"article-journal"},"uris":["http://www.mendeley.com/documents/?uuid=eaad0201-d4ea-437d-8174-f04068f367a3"]},{"id":"ITEM-2","itemData":{"DOI":"10.1016/j.respol.2011.01.007","ISSN":"00487333","abstract":"We investigate how universities’ research quality shapes their engagement with industry. Previous research has predominantly found a positive relationship between academics’ research quality and their commercialization activities. Here we use industry involvement measures that are broader than commercialization and indicate actual collaboration, i.e. collaborative research, contract research and consulting. We hypothesise that the relationship between faculty quality and industry engagement differs across disciplines, depending on complementarities between industrial and academic work, and resource requirements. Using a dataset covering all UK universities, we find that in technology-oriented disciplines, departmental faculty quality is positively related to industry involvement. In the medical and biological sciences we find a positive effect of departmental faculty quality but establish that this does not apply to star scientists. In the social sciences, we find some support for a negative relationship between faculty quality and particularly the more applied forms of industry involvement. The implication for science policy makers and university managers is that differentiated approaches to promoting university–industry relationships are required.","author":[{"dropping-particle":"","family":"Perkmann","given":"Markus","non-dropping-particle":"","parse-names":false,"suffix":""},{"dropping-particle":"","family":"King","given":"Zella","non-dropping-particle":"","parse-names":false,"suffix":""},{"dropping-particle":"","family":"Pavelin","given":"Stephen","non-dropping-particle":"","parse-names":false,"suffix":""}],"container-title":"Research Policy","id":"ITEM-2","issue":"4","issued":{"date-parts":[["2011","5"]]},"page":"539-552","title":"Engaging excellence? Effects of faculty quality on university engagement with industry","type":"article-journal","volume":"40"},"uris":["http://www.mendeley.com/documents/?uuid=7315f251-4405-45f5-8e41-eaf30070e4c5"]}],"mendeley":{"formattedCitation":"(Perkmann et al., 2011; Ray and Sengupta, 2021)","plainTextFormattedCitation":"(Perkmann et al., 2011; Ray and Sengupta, 2021)","previouslyFormattedCitation":"(Perkmann et al., 2011; Ray and Sengupta, 2021)"},"properties":{"noteIndex":0},"schema":"https://github.com/citation-style-language/schema/raw/master/csl-citation.json"}</w:instrText>
      </w:r>
      <w:r w:rsidR="004A39D0">
        <w:fldChar w:fldCharType="separate"/>
      </w:r>
      <w:r w:rsidR="004A39D0" w:rsidRPr="004A39D0">
        <w:rPr>
          <w:noProof/>
        </w:rPr>
        <w:t>(Perkmann et al., 2011; Ray and Sengupta, 2021)</w:t>
      </w:r>
      <w:r w:rsidR="004A39D0">
        <w:fldChar w:fldCharType="end"/>
      </w:r>
      <w:r w:rsidR="004A39D0">
        <w:t>. Others have suggested that patenting activity by SMEs has a signaling effect, revealing information about technical and scientific capabilities of firms to potential university partners</w:t>
      </w:r>
      <w:r w:rsidR="00C610CD">
        <w:t>.</w:t>
      </w:r>
      <w:r w:rsidR="004A39D0">
        <w:t xml:space="preserve"> </w:t>
      </w:r>
      <w:r w:rsidR="00C610CD">
        <w:t>T</w:t>
      </w:r>
      <w:r w:rsidR="004A39D0">
        <w:t xml:space="preserve">his signaling activity increased the intensity of R&amp;D collaboration between innovative SMEs and universities </w:t>
      </w:r>
      <w:r w:rsidR="004A39D0">
        <w:fldChar w:fldCharType="begin" w:fldLock="1"/>
      </w:r>
      <w:r w:rsidR="002E4577">
        <w:instrText>ADDIN CSL_CITATION {"citationItems":[{"id":"ITEM-1","itemData":{"DOI":"10.1016/j.respol.2005.12.001","ISSN":"00487333","abstract":"This paper presents an empirical analysis of the determinants of research cooperation between firms and Public research organisations (PROs) for a sample of innovating small and medium-sized enterprises (SMEs). The econometric analysis is based on the results of the KNOW survey carried out in seven EU countries during 2000. In contrast to earlier works that provide information about the importance of PROs' research, we know the number of firm/PRO collaborative research and development (R and D) projects. This allows us to study the determinants of firm collaboration with PROs in terms of both the propensity of a firm to undertake R and D projects with a university (do they cooperate or not) and the extent of this collaboration (number of R and D projects). Two questions are addressed. Which firms cooperated with PROs? And what are the firm characteristics that might explain the number of R and D projects with PROs? The results of our analysis point to two major phenomena. First, the propensity to forge an agreement with an academic partner depends on the 'absolute size' of the industrial partner. Second the openness of firms to the external environment, as measured by their willingness to search, screen and signal, significantly affects the development of R and D projects with PROs. Our findings suggest that acquiring knowledge through the screening of publications and involvement in public policies positively affects the probability of signing an agreement with a PRO, but not the number of R and D projects developed. In fact, firms that outsource research and development, and patent to protect innovation and to signal competencies show higher levels of collaboration. © 2005 Elsevier B.V. All rights reserved.","author":[{"dropping-particle":"","family":"Fontana","given":"Roberto","non-dropping-particle":"","parse-names":false,"suffix":""},{"dropping-particle":"","family":"Geuna","given":"Aldo","non-dropping-particle":"","parse-names":false,"suffix":""},{"dropping-particle":"","family":"Matt","given":"Mireille","non-dropping-particle":"","parse-names":false,"suffix":""}],"container-title":"Research Policy","id":"ITEM-1","issue":"2","issued":{"date-parts":[["2006"]]},"page":"309-323","title":"Factors affecting university-industry R and D projects: The importance of searching, screening and signalling","type":"article-journal","volume":"35"},"uris":["http://www.mendeley.com/documents/?uuid=407217fe-b29f-4c1b-840d-3b17ae9b398c"]}],"mendeley":{"formattedCitation":"(Fontana et al., 2006)","plainTextFormattedCitation":"(Fontana et al., 2006)","previouslyFormattedCitation":"(Fontana et al., 2006)"},"properties":{"noteIndex":0},"schema":"https://github.com/citation-style-language/schema/raw/master/csl-citation.json"}</w:instrText>
      </w:r>
      <w:r w:rsidR="004A39D0">
        <w:fldChar w:fldCharType="separate"/>
      </w:r>
      <w:r w:rsidR="004A39D0" w:rsidRPr="004A39D0">
        <w:rPr>
          <w:noProof/>
        </w:rPr>
        <w:t>(Fontana et al., 2006)</w:t>
      </w:r>
      <w:r w:rsidR="004A39D0">
        <w:fldChar w:fldCharType="end"/>
      </w:r>
    </w:p>
    <w:p w14:paraId="588F483A" w14:textId="50AF2BDE" w:rsidR="00E60497" w:rsidRPr="00211DF0" w:rsidRDefault="00D41E7D" w:rsidP="003E4FA3">
      <w:pPr>
        <w:pStyle w:val="2ndparagraph"/>
      </w:pPr>
      <w:r w:rsidRPr="00211DF0">
        <w:t>In sum, uncertainties and information asymmetries about the commercial value of p</w:t>
      </w:r>
      <w:r w:rsidR="00222F13" w:rsidRPr="00211DF0">
        <w:t xml:space="preserve">atented technologies constrain the licensing opportunities </w:t>
      </w:r>
      <w:r w:rsidR="00234FDA">
        <w:t xml:space="preserve">of </w:t>
      </w:r>
      <w:r w:rsidR="00222F13" w:rsidRPr="00211DF0">
        <w:t xml:space="preserve">universities. Extant research suggests that universities can mitigate the problem by providing more information to potential licensees, e.g. through large </w:t>
      </w:r>
      <w:r w:rsidR="00222F13" w:rsidRPr="00211DF0">
        <w:lastRenderedPageBreak/>
        <w:t>TTOs. We reaso</w:t>
      </w:r>
      <w:r w:rsidR="00377D25" w:rsidRPr="00211DF0">
        <w:t xml:space="preserve">n that </w:t>
      </w:r>
      <w:r w:rsidR="007B682F" w:rsidRPr="00211DF0">
        <w:t xml:space="preserve">an alternative mechanism for information revealing are instances in which universities have to defend </w:t>
      </w:r>
      <w:r w:rsidR="00297A0A">
        <w:t>against patent litigation</w:t>
      </w:r>
      <w:r w:rsidR="007B682F" w:rsidRPr="00211DF0">
        <w:t xml:space="preserve">. </w:t>
      </w:r>
      <w:r w:rsidR="00397CF7" w:rsidRPr="00211DF0">
        <w:t>Such patent litigations can send signals about the commercial value of a university’s patents to a wider audience of potential licensees.</w:t>
      </w:r>
    </w:p>
    <w:p w14:paraId="6E5E384C" w14:textId="381B8DF6" w:rsidR="00C167BF" w:rsidRPr="00211DF0" w:rsidRDefault="00397CF7" w:rsidP="00C167BF">
      <w:pPr>
        <w:pStyle w:val="Heading2"/>
      </w:pPr>
      <w:r w:rsidRPr="00211DF0">
        <w:t>P</w:t>
      </w:r>
      <w:r w:rsidR="00006E7C" w:rsidRPr="00211DF0">
        <w:t xml:space="preserve">atent litigation and its signaling effects </w:t>
      </w:r>
    </w:p>
    <w:p w14:paraId="2175C31C" w14:textId="09DB959D" w:rsidR="00A9374A" w:rsidRPr="00211DF0" w:rsidRDefault="00D120BD" w:rsidP="00D120BD">
      <w:pPr>
        <w:ind w:firstLine="0"/>
        <w:rPr>
          <w:lang w:val="en-US"/>
        </w:rPr>
      </w:pPr>
      <w:r w:rsidRPr="00211DF0">
        <w:rPr>
          <w:lang w:val="en-US"/>
        </w:rPr>
        <w:t xml:space="preserve">Emerging out of efforts to capture the informational aspects of market structures, signaling theory focuses on how information asymmetries between two parties can be alleviated </w:t>
      </w:r>
      <w:r w:rsidRPr="00211DF0">
        <w:rPr>
          <w:lang w:val="en-US"/>
        </w:rPr>
        <w:fldChar w:fldCharType="begin" w:fldLock="1"/>
      </w:r>
      <w:r w:rsidR="00873549" w:rsidRPr="00211DF0">
        <w:rPr>
          <w:lang w:val="en-US"/>
        </w:rPr>
        <w:instrText>ADDIN CSL_CITATION {"citationItems":[{"id":"ITEM-1","itemData":{"DOI":"10.1257/00028280260136200","ISSN":"00028282","author":[{"dropping-particle":"","family":"Spence","given":"Michael","non-dropping-particle":"","parse-names":false,"suffix":""}],"container-title":"American Economic Review","id":"ITEM-1","issue":"3","issued":{"date-parts":[["2002"]]},"page":"434-459","title":"Signaling in retrospect and the informational structure of markets","type":"article-journal","volume":"92"},"uris":["http://www.mendeley.com/documents/?uuid=971cd2c0-a7aa-4f54-85a4-188bfb750a86"]},{"id":"ITEM-2","itemData":{"DOI":"10.1177/0149206310388419","ISSN":"01492063","abstract":"Signaling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Management","id":"ITEM-2","issue":"1","issued":{"date-parts":[["2011"]]},"page":"39-67","title":"Signaling theory: A review and assessment","type":"article-journal","volume":"37"},"uris":["http://www.mendeley.com/documents/?uuid=19ef3456-a348-456b-b72d-ab43a2d05a2c"]}],"mendeley":{"formattedCitation":"(Connelly et al., 2011; Spence, 2002)","plainTextFormattedCitation":"(Connelly et al., 2011; Spence, 2002)","previouslyFormattedCitation":"(Connelly et al., 2011; Spence, 2002)"},"properties":{"noteIndex":0},"schema":"https://github.com/citation-style-language/schema/raw/master/csl-citation.json"}</w:instrText>
      </w:r>
      <w:r w:rsidRPr="00211DF0">
        <w:rPr>
          <w:lang w:val="en-US"/>
        </w:rPr>
        <w:fldChar w:fldCharType="separate"/>
      </w:r>
      <w:r w:rsidRPr="00211DF0">
        <w:rPr>
          <w:noProof/>
          <w:lang w:val="en-US"/>
        </w:rPr>
        <w:t>(Connelly et al., 2011; Spence, 2002)</w:t>
      </w:r>
      <w:r w:rsidRPr="00211DF0">
        <w:rPr>
          <w:lang w:val="en-US"/>
        </w:rPr>
        <w:fldChar w:fldCharType="end"/>
      </w:r>
      <w:r w:rsidRPr="00211DF0">
        <w:rPr>
          <w:lang w:val="en-US"/>
        </w:rPr>
        <w:t>. Under conditions of information asymmetry, where the underlying ‘quality’ of a target object (e.g</w:t>
      </w:r>
      <w:r w:rsidR="00A134AF" w:rsidRPr="00211DF0">
        <w:rPr>
          <w:lang w:val="en-US"/>
        </w:rPr>
        <w:t>.</w:t>
      </w:r>
      <w:r w:rsidRPr="00211DF0">
        <w:rPr>
          <w:lang w:val="en-US"/>
        </w:rPr>
        <w:t xml:space="preserve"> job candidate, firm, product, technology) remains unclear, transacting parties that have</w:t>
      </w:r>
      <w:r w:rsidR="00873549" w:rsidRPr="00211DF0">
        <w:rPr>
          <w:lang w:val="en-US"/>
        </w:rPr>
        <w:t xml:space="preserve"> access to </w:t>
      </w:r>
      <w:r w:rsidRPr="00211DF0">
        <w:rPr>
          <w:lang w:val="en-US"/>
        </w:rPr>
        <w:t>different</w:t>
      </w:r>
      <w:r w:rsidR="00873549" w:rsidRPr="00211DF0">
        <w:rPr>
          <w:lang w:val="en-US"/>
        </w:rPr>
        <w:t xml:space="preserve"> </w:t>
      </w:r>
      <w:r w:rsidRPr="00211DF0">
        <w:rPr>
          <w:lang w:val="en-US"/>
        </w:rPr>
        <w:t>information about underlying quality may engage in signaling behavior to reduce information asymmetries</w:t>
      </w:r>
      <w:r w:rsidR="00873549" w:rsidRPr="00211DF0">
        <w:rPr>
          <w:lang w:val="en-US"/>
        </w:rPr>
        <w:t xml:space="preserve"> </w:t>
      </w:r>
      <w:r w:rsidR="00873549" w:rsidRPr="00211DF0">
        <w:rPr>
          <w:lang w:val="en-US"/>
        </w:rPr>
        <w:fldChar w:fldCharType="begin" w:fldLock="1"/>
      </w:r>
      <w:r w:rsidR="00873549" w:rsidRPr="00211DF0">
        <w:rPr>
          <w:lang w:val="en-US"/>
        </w:rPr>
        <w:instrText>ADDIN CSL_CITATION {"citationItems":[{"id":"ITEM-1","itemData":{"DOI":"10.1257/00028280260136200","ISSN":"00028282","author":[{"dropping-particle":"","family":"Spence","given":"Michael","non-dropping-particle":"","parse-names":false,"suffix":""}],"container-title":"American Economic Review","id":"ITEM-1","issue":"3","issued":{"date-parts":[["2002"]]},"page":"434-459","title":"Signaling in retrospect and the informational structure of markets","type":"article-journal","volume":"92"},"uris":["http://www.mendeley.com/documents/?uuid=971cd2c0-a7aa-4f54-85a4-188bfb750a86"]},{"id":"ITEM-2","itemData":{"DOI":"10.1177/0149206310388419","ISSN":"01492063","abstract":"Signaling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Management","id":"ITEM-2","issue":"1","issued":{"date-parts":[["2011"]]},"page":"39-67","title":"Signaling theory: A review and assessment","type":"article-journal","volume":"37"},"uris":["http://www.mendeley.com/documents/?uuid=19ef3456-a348-456b-b72d-ab43a2d05a2c"]}],"mendeley":{"formattedCitation":"(Connelly et al., 2011; Spence, 2002)","plainTextFormattedCitation":"(Connelly et al., 2011; Spence, 2002)","previouslyFormattedCitation":"(Connelly et al., 2011; Spence, 2002)"},"properties":{"noteIndex":0},"schema":"https://github.com/citation-style-language/schema/raw/master/csl-citation.json"}</w:instrText>
      </w:r>
      <w:r w:rsidR="00873549" w:rsidRPr="00211DF0">
        <w:rPr>
          <w:lang w:val="en-US"/>
        </w:rPr>
        <w:fldChar w:fldCharType="separate"/>
      </w:r>
      <w:r w:rsidR="00873549" w:rsidRPr="00211DF0">
        <w:rPr>
          <w:noProof/>
          <w:lang w:val="en-US"/>
        </w:rPr>
        <w:t>(Connelly et al., 2011; Spence, 2002)</w:t>
      </w:r>
      <w:r w:rsidR="00873549" w:rsidRPr="00211DF0">
        <w:rPr>
          <w:lang w:val="en-US"/>
        </w:rPr>
        <w:fldChar w:fldCharType="end"/>
      </w:r>
      <w:r w:rsidR="00873549" w:rsidRPr="00211DF0">
        <w:rPr>
          <w:lang w:val="en-US"/>
        </w:rPr>
        <w:t xml:space="preserve">. Quality typically refers to “the underlying, unobservable ability of </w:t>
      </w:r>
      <w:r w:rsidR="00234FDA">
        <w:rPr>
          <w:lang w:val="en-US"/>
        </w:rPr>
        <w:t xml:space="preserve">a </w:t>
      </w:r>
      <w:r w:rsidR="00873549" w:rsidRPr="00211DF0">
        <w:rPr>
          <w:lang w:val="en-US"/>
        </w:rPr>
        <w:t xml:space="preserve">signaler to fulfil the needs or demands of an outsider observing the signal” </w:t>
      </w:r>
      <w:r w:rsidR="00873549" w:rsidRPr="00211DF0">
        <w:rPr>
          <w:lang w:val="en-US"/>
        </w:rPr>
        <w:fldChar w:fldCharType="begin" w:fldLock="1"/>
      </w:r>
      <w:r w:rsidR="00873549" w:rsidRPr="00211DF0">
        <w:rPr>
          <w:lang w:val="en-US"/>
        </w:rPr>
        <w:instrText>ADDIN CSL_CITATION {"citationItems":[{"id":"ITEM-1","itemData":{"DOI":"10.1177/0149206310388419","ISSN":"01492063","abstract":"Signaling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assessment","type":"article-journal","volume":"37"},"locator":"43","uris":["http://www.mendeley.com/documents/?uuid=19ef3456-a348-456b-b72d-ab43a2d05a2c"]}],"mendeley":{"formattedCitation":"(Connelly et al., 2011, p. 43)","plainTextFormattedCitation":"(Connelly et al., 2011, p. 43)","previouslyFormattedCitation":"(Connelly et al., 2011, p. 43)"},"properties":{"noteIndex":0},"schema":"https://github.com/citation-style-language/schema/raw/master/csl-citation.json"}</w:instrText>
      </w:r>
      <w:r w:rsidR="00873549" w:rsidRPr="00211DF0">
        <w:rPr>
          <w:lang w:val="en-US"/>
        </w:rPr>
        <w:fldChar w:fldCharType="separate"/>
      </w:r>
      <w:r w:rsidR="00873549" w:rsidRPr="00211DF0">
        <w:rPr>
          <w:noProof/>
          <w:lang w:val="en-US"/>
        </w:rPr>
        <w:t>(Connelly et al., 2011, p. 43)</w:t>
      </w:r>
      <w:r w:rsidR="00873549" w:rsidRPr="00211DF0">
        <w:rPr>
          <w:lang w:val="en-US"/>
        </w:rPr>
        <w:fldChar w:fldCharType="end"/>
      </w:r>
      <w:r w:rsidR="00873549" w:rsidRPr="00211DF0">
        <w:rPr>
          <w:lang w:val="en-US"/>
        </w:rPr>
        <w:t xml:space="preserve">. A signaler, who has access to private information that would enable outsiders to make more </w:t>
      </w:r>
      <w:r w:rsidR="00A632C3" w:rsidRPr="00211DF0">
        <w:rPr>
          <w:lang w:val="en-US"/>
        </w:rPr>
        <w:t>informed</w:t>
      </w:r>
      <w:r w:rsidR="00873549" w:rsidRPr="00211DF0">
        <w:rPr>
          <w:lang w:val="en-US"/>
        </w:rPr>
        <w:t xml:space="preserve"> assessments of quality, can “take actions to intentionally communicate the positive, imperceptible qualities</w:t>
      </w:r>
      <w:r w:rsidR="000535E0">
        <w:rPr>
          <w:lang w:val="en-US"/>
        </w:rPr>
        <w:t>”.</w:t>
      </w:r>
      <w:r w:rsidR="00873549" w:rsidRPr="00211DF0">
        <w:rPr>
          <w:lang w:val="en-US"/>
        </w:rPr>
        <w:fldChar w:fldCharType="begin" w:fldLock="1"/>
      </w:r>
      <w:r w:rsidR="00A632C3" w:rsidRPr="00211DF0">
        <w:rPr>
          <w:lang w:val="en-US"/>
        </w:rPr>
        <w:instrText>ADDIN CSL_CITATION {"citationItems":[{"id":"ITEM-1","itemData":{"DOI":"10.1177/0149206310388419","ISSN":"01492063","abstract":"Signaling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assessment","type":"article-journal","volume":"37"},"uris":["http://www.mendeley.com/documents/?uuid=19ef3456-a348-456b-b72d-ab43a2d05a2c"]}],"mendeley":{"formattedCitation":"(Connelly et al., 2011)","plainTextFormattedCitation":"(Connelly et al., 2011)","previouslyFormattedCitation":"(Connelly et al., 2011)"},"properties":{"noteIndex":0},"schema":"https://github.com/citation-style-language/schema/raw/master/csl-citation.json"}</w:instrText>
      </w:r>
      <w:r w:rsidR="00873549" w:rsidRPr="00211DF0">
        <w:rPr>
          <w:lang w:val="en-US"/>
        </w:rPr>
        <w:fldChar w:fldCharType="separate"/>
      </w:r>
      <w:r w:rsidR="00873549" w:rsidRPr="00211DF0">
        <w:rPr>
          <w:noProof/>
          <w:lang w:val="en-US"/>
        </w:rPr>
        <w:t>(Connelly et al., 2011)</w:t>
      </w:r>
      <w:r w:rsidR="00873549" w:rsidRPr="00211DF0">
        <w:rPr>
          <w:lang w:val="en-US"/>
        </w:rPr>
        <w:fldChar w:fldCharType="end"/>
      </w:r>
      <w:r w:rsidR="00873549" w:rsidRPr="00211DF0">
        <w:rPr>
          <w:lang w:val="en-US"/>
        </w:rPr>
        <w:t xml:space="preserve">. </w:t>
      </w:r>
    </w:p>
    <w:p w14:paraId="4B1472EB" w14:textId="68634054" w:rsidR="003B2FF0" w:rsidRPr="00211DF0" w:rsidRDefault="00A632C3" w:rsidP="00FB283A">
      <w:pPr>
        <w:rPr>
          <w:lang w:val="en-US"/>
        </w:rPr>
      </w:pPr>
      <w:r w:rsidRPr="00211DF0">
        <w:rPr>
          <w:lang w:val="en-US"/>
        </w:rPr>
        <w:t>Through engaging in signaling, insiders can reduce information asymmetries, enabling external parties to make more robust assessments of quality, thus lowering the</w:t>
      </w:r>
      <w:r w:rsidR="00CE16AE" w:rsidRPr="00211DF0">
        <w:rPr>
          <w:lang w:val="en-US"/>
        </w:rPr>
        <w:t xml:space="preserve"> transaction costs and</w:t>
      </w:r>
      <w:r w:rsidRPr="00211DF0">
        <w:rPr>
          <w:lang w:val="en-US"/>
        </w:rPr>
        <w:t xml:space="preserve"> risks associated with </w:t>
      </w:r>
      <w:r w:rsidR="00CE16AE" w:rsidRPr="00211DF0">
        <w:rPr>
          <w:lang w:val="en-US"/>
        </w:rPr>
        <w:t>information asymmetries</w:t>
      </w:r>
      <w:r w:rsidRPr="00211DF0">
        <w:rPr>
          <w:lang w:val="en-US"/>
        </w:rPr>
        <w:t xml:space="preserve"> (</w:t>
      </w:r>
      <w:r w:rsidR="00274D4E" w:rsidRPr="00211DF0">
        <w:rPr>
          <w:lang w:val="en-US"/>
        </w:rPr>
        <w:t>e.g</w:t>
      </w:r>
      <w:r w:rsidR="0080622B">
        <w:rPr>
          <w:lang w:val="en-US"/>
        </w:rPr>
        <w:t>.</w:t>
      </w:r>
      <w:r w:rsidR="00274D4E" w:rsidRPr="00211DF0">
        <w:rPr>
          <w:lang w:val="en-US"/>
        </w:rPr>
        <w:t xml:space="preserve"> </w:t>
      </w:r>
      <w:r w:rsidRPr="00211DF0">
        <w:rPr>
          <w:lang w:val="en-US"/>
        </w:rPr>
        <w:t>moral hazard, adverse selection). Of course, some actors may engage in signaling behavior despite lacking underlying quality, in order to deceive external parties into making (incorrect) assessments (false signaling). However, when the cost of signaling itself is substantial, then the ri</w:t>
      </w:r>
      <w:r w:rsidR="00274D4E" w:rsidRPr="00211DF0">
        <w:rPr>
          <w:lang w:val="en-US"/>
        </w:rPr>
        <w:t>sks of false signaling are obviated,</w:t>
      </w:r>
      <w:r w:rsidRPr="00211DF0">
        <w:rPr>
          <w:lang w:val="en-US"/>
        </w:rPr>
        <w:t xml:space="preserve"> and signaling can be used to differentiate high-quality options from low-quality options </w:t>
      </w:r>
      <w:r w:rsidR="00944BB5" w:rsidRPr="00211DF0">
        <w:rPr>
          <w:lang w:val="en-US"/>
        </w:rPr>
        <w:fldChar w:fldCharType="begin" w:fldLock="1"/>
      </w:r>
      <w:r w:rsidR="00944BB5" w:rsidRPr="00211DF0">
        <w:rPr>
          <w:lang w:val="en-US"/>
        </w:rPr>
        <w:instrText>ADDIN CSL_CITATION {"citationItems":[{"id":"ITEM-1","itemData":{"author":[{"dropping-particle":"","family":"Spence","given":"Michael","non-dropping-particle":"","parse-names":false,"suffix":""}],"container-title":"Quarterly Journal of Economics","id":"ITEM-1","issue":"3","issued":{"date-parts":[["1973"]]},"page":"355-374","title":"Job Market Signaling","type":"article-journal","volume":"87"},"uris":["http://www.mendeley.com/documents/?uuid=27a3e4c0-1a96-4747-bc53-4f4bf3c249a2"]}],"mendeley":{"formattedCitation":"(Spence, 1973)","plainTextFormattedCitation":"(Spence, 1973)","previouslyFormattedCitation":"(Spence, 1973)"},"properties":{"noteIndex":0},"schema":"https://github.com/citation-style-language/schema/raw/master/csl-citation.json"}</w:instrText>
      </w:r>
      <w:r w:rsidR="00944BB5" w:rsidRPr="00211DF0">
        <w:rPr>
          <w:lang w:val="en-US"/>
        </w:rPr>
        <w:fldChar w:fldCharType="separate"/>
      </w:r>
      <w:r w:rsidR="00944BB5" w:rsidRPr="00211DF0">
        <w:rPr>
          <w:noProof/>
          <w:lang w:val="en-US"/>
        </w:rPr>
        <w:t>(Spence, 1973)</w:t>
      </w:r>
      <w:r w:rsidR="00944BB5" w:rsidRPr="00211DF0">
        <w:rPr>
          <w:lang w:val="en-US"/>
        </w:rPr>
        <w:fldChar w:fldCharType="end"/>
      </w:r>
      <w:r w:rsidR="00944BB5" w:rsidRPr="00211DF0">
        <w:rPr>
          <w:lang w:val="en-US"/>
        </w:rPr>
        <w:t>.</w:t>
      </w:r>
    </w:p>
    <w:p w14:paraId="327ADEA5" w14:textId="66E05880" w:rsidR="00A632C3" w:rsidRPr="00211DF0" w:rsidRDefault="003B2FF0" w:rsidP="00FB283A">
      <w:pPr>
        <w:rPr>
          <w:lang w:val="en-US"/>
        </w:rPr>
      </w:pPr>
      <w:r w:rsidRPr="00211DF0">
        <w:rPr>
          <w:lang w:val="en-US"/>
        </w:rPr>
        <w:t xml:space="preserve">Important for our theorizing is the notion that signals can be unintentional, i.e. actors are unaware about the information that their behavior or actions reveal </w:t>
      </w:r>
      <w:r w:rsidR="00944BB5" w:rsidRPr="00211DF0">
        <w:rPr>
          <w:lang w:val="en-US"/>
        </w:rPr>
        <w:fldChar w:fldCharType="begin" w:fldLock="1"/>
      </w:r>
      <w:r w:rsidR="00134D5D" w:rsidRPr="00211DF0">
        <w:rPr>
          <w:lang w:val="en-US"/>
        </w:rPr>
        <w:instrText>ADDIN CSL_CITATION {"citationItems":[{"id":"ITEM-1","itemData":{"DOI":"10.1257/00028280260136200","ISSN":"00028282","author":[{"dropping-particle":"","family":"Spence","given":"Michael","non-dropping-particle":"","parse-names":false,"suffix":""}],"container-title":"American Economic Review","id":"ITEM-1","issue":"3","issued":{"date-parts":[["2002"]]},"page":"434-459","title":"Signaling in retrospect and the informational structure of markets","type":"article-journal","volume":"92"},"uris":["http://www.mendeley.com/documents/?uuid=971cd2c0-a7aa-4f54-85a4-188bfb750a86"]}],"mendeley":{"formattedCitation":"(Spence, 2002)","plainTextFormattedCitation":"(Spence, 2002)","previouslyFormattedCitation":"(Spence, 2002)"},"properties":{"noteIndex":0},"schema":"https://github.com/citation-style-language/schema/raw/master/csl-citation.json"}</w:instrText>
      </w:r>
      <w:r w:rsidR="00944BB5" w:rsidRPr="00211DF0">
        <w:rPr>
          <w:lang w:val="en-US"/>
        </w:rPr>
        <w:fldChar w:fldCharType="separate"/>
      </w:r>
      <w:r w:rsidR="00944BB5" w:rsidRPr="00211DF0">
        <w:rPr>
          <w:noProof/>
          <w:lang w:val="en-US"/>
        </w:rPr>
        <w:t>(Spence, 2002)</w:t>
      </w:r>
      <w:r w:rsidR="00944BB5" w:rsidRPr="00211DF0">
        <w:rPr>
          <w:lang w:val="en-US"/>
        </w:rPr>
        <w:fldChar w:fldCharType="end"/>
      </w:r>
      <w:r w:rsidRPr="00211DF0">
        <w:rPr>
          <w:lang w:val="en-US"/>
        </w:rPr>
        <w:t xml:space="preserve">. If signals are unintentional, the interpretation of receivers becomes salient, i.e. the way in which they turn the signal into a perceived </w:t>
      </w:r>
      <w:r w:rsidR="0002551B" w:rsidRPr="00211DF0">
        <w:rPr>
          <w:lang w:val="en-US"/>
        </w:rPr>
        <w:t xml:space="preserve">meaning </w:t>
      </w:r>
      <w:r w:rsidR="0002551B" w:rsidRPr="00211DF0">
        <w:rPr>
          <w:lang w:val="en-US"/>
        </w:rPr>
        <w:fldChar w:fldCharType="begin" w:fldLock="1"/>
      </w:r>
      <w:r w:rsidR="00021986">
        <w:rPr>
          <w:lang w:val="en-US"/>
        </w:rPr>
        <w:instrText>ADDIN CSL_CITATION {"citationItems":[{"id":"ITEM-1","itemData":{"DOI":"10.1177/0149206310388419","ISSN":"01492063","abstract":"Signaling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assessment","type":"article-journal","volume":"37"},"uris":["http://www.mendeley.com/documents/?uuid=19ef3456-a348-456b-b72d-ab43a2d05a2c"]},{"id":"ITEM-2","itemData":{"DOI":"10.1057/s41267-021-00486-3","ISSN":"1478-6990","abstract":"We explore how companies with a history of offshoring attract their future employees. We reason that offshoring decisions send unintended signals about job insecurity to companies’ onshore labor markets. This signaling effect implies that offshoring companies must pay higher salaries for new hires than non-offshoring companies. We tested our predictions on a sample of 7971 matched managers and professionals recently hired by offshoring and non-offshoring companies. Our results indicate a 3–7% wage penalty for offshoring companies. Thus, we conclude that not only is offshoring challenging to implement, but it can also entail a number of general ramifications for the domestic labor market.","author":[{"dropping-particle":"","family":"Grecu","given":"Alina","non-dropping-particle":"","parse-names":false,"suffix":""},{"dropping-particle":"","family":"Sofka","given":"Wolfgang","non-dropping-particle":"","parse-names":false,"suffix":""},{"dropping-particle":"","family":"Larsen","given":"Marcus M","non-dropping-particle":"","parse-names":false,"suffix":""},{"dropping-particle":"","family":"Pedersen","given":"Torben","non-dropping-particle":"","parse-names":false,"suffix":""}],"container-title":"Journal of International Business Studies","id":"ITEM-2","issued":{"date-parts":[["2022"]]},"title":"Unintended signals: Why companies with a history of offshoring have to pay wage penalties for new hires","type":"article-journal"},"uris":["http://www.mendeley.com/documents/?uuid=b7b83fe4-2825-4972-a2c6-7e30d9d894f9"]}],"mendeley":{"formattedCitation":"(Connelly et al., 2011; Grecu et al., 2022)","plainTextFormattedCitation":"(Connelly et al., 2011; Grecu et al., 2022)","previouslyFormattedCitation":"(Connelly et al., 2011; Grecu et al., 2022)"},"properties":{"noteIndex":0},"schema":"https://github.com/citation-style-language/schema/raw/master/csl-citation.json"}</w:instrText>
      </w:r>
      <w:r w:rsidR="0002551B" w:rsidRPr="00211DF0">
        <w:rPr>
          <w:lang w:val="en-US"/>
        </w:rPr>
        <w:fldChar w:fldCharType="separate"/>
      </w:r>
      <w:r w:rsidR="000535E0" w:rsidRPr="000535E0">
        <w:rPr>
          <w:noProof/>
          <w:lang w:val="en-US"/>
        </w:rPr>
        <w:t>(Connelly et al., 2011; Grecu et al., 2022)</w:t>
      </w:r>
      <w:r w:rsidR="0002551B" w:rsidRPr="00211DF0">
        <w:rPr>
          <w:lang w:val="en-US"/>
        </w:rPr>
        <w:fldChar w:fldCharType="end"/>
      </w:r>
      <w:r w:rsidR="0002551B" w:rsidRPr="00211DF0">
        <w:rPr>
          <w:lang w:val="en-US"/>
        </w:rPr>
        <w:t xml:space="preserve">. </w:t>
      </w:r>
      <w:r w:rsidR="00641CAC" w:rsidRPr="00211DF0">
        <w:rPr>
          <w:lang w:val="en-US"/>
        </w:rPr>
        <w:t>The interpretation process has two major components</w:t>
      </w:r>
      <w:r w:rsidR="00134D5D" w:rsidRPr="00211DF0">
        <w:rPr>
          <w:lang w:val="en-US"/>
        </w:rPr>
        <w:t xml:space="preserve"> </w:t>
      </w:r>
      <w:r w:rsidR="00134D5D" w:rsidRPr="00211DF0">
        <w:rPr>
          <w:lang w:val="en-US"/>
        </w:rPr>
        <w:fldChar w:fldCharType="begin" w:fldLock="1"/>
      </w:r>
      <w:r w:rsidR="004C5BB3" w:rsidRPr="00211DF0">
        <w:rPr>
          <w:lang w:val="en-US"/>
        </w:rPr>
        <w:instrText>ADDIN CSL_CITATION {"citationItems":[{"id":"ITEM-1","itemData":{"DOI":"10.1002/smj.409","ISSN":"01432095","abstract":"This study examines how Chinese firms began responding to worsening environmental concerns in the late 1990s. Combining predictions from control theory, escalation of commitment, and goal theory, we seek to explain how leaders' cognitions shape the formation of novel responses to the value-laden issue of corporate greening. We propose an iterative model that links leaders' principles with corporate actions and test it using survey data gathered from 360 firms. The model views strategy organically, as a set of adaptive goals and behaviors, and highlights the role of systemic and local feedback loops in strategy formation. We find that top executives who champion new strategic initiatives monitor early success or failure, and adjust their efforts to match early performance feedback. Perceptions of satisfactory performance strengthen leaders' efforts towards their initial target, while perceptions of unsatisfactory performance diminish them. This feedback relationship is invariant throughout favorable or unfavorable expectancies of success, contrary to the contingent prediction of control theory. The model also examines how top-down and bottom-up strategic initiatives combine to help firms maintain a positive momentum of change when champions' efforts decline in the face of premature failure signals. Copyright © 2004 John Wiley &amp; Sons, Ltd.","author":[{"dropping-particle":"","family":"Branzei","given":"Oana","non-dropping-particle":"","parse-names":false,"suffix":""},{"dropping-particle":"","family":"Ursacki-Bryant","given":"Teri Jane","non-dropping-particle":"","parse-names":false,"suffix":""},{"dropping-particle":"","family":"Vertinsky","given":"Ilan","non-dropping-particle":"","parse-names":false,"suffix":""},{"dropping-particle":"","family":"Zhang","given":"Weijiong","non-dropping-particle":"","parse-names":false,"suffix":""}],"container-title":"Strategic Management Journal","id":"ITEM-1","issue":"11","issued":{"date-parts":[["2004"]]},"page":"1075-1095","title":"The formation of green strategies in chinese firms: Matching corporate environmental responses and individual principles","type":"article-journal","volume":"25"},"uris":["http://www.mendeley.com/documents/?uuid=c30f4fcc-1491-4185-8195-b2de8d1c1caf"]}],"mendeley":{"formattedCitation":"(Branzei et al., 2004)","plainTextFormattedCitation":"(Branzei et al., 2004)","previouslyFormattedCitation":"(Branzei et al., 2004)"},"properties":{"noteIndex":0},"schema":"https://github.com/citation-style-language/schema/raw/master/csl-citation.json"}</w:instrText>
      </w:r>
      <w:r w:rsidR="00134D5D" w:rsidRPr="00211DF0">
        <w:rPr>
          <w:lang w:val="en-US"/>
        </w:rPr>
        <w:fldChar w:fldCharType="separate"/>
      </w:r>
      <w:r w:rsidR="00134D5D" w:rsidRPr="00211DF0">
        <w:rPr>
          <w:noProof/>
          <w:lang w:val="en-US"/>
        </w:rPr>
        <w:t>(Branzei et al., 2004)</w:t>
      </w:r>
      <w:r w:rsidR="00134D5D" w:rsidRPr="00211DF0">
        <w:rPr>
          <w:lang w:val="en-US"/>
        </w:rPr>
        <w:fldChar w:fldCharType="end"/>
      </w:r>
      <w:r w:rsidR="00641CAC" w:rsidRPr="00211DF0">
        <w:rPr>
          <w:lang w:val="en-US"/>
        </w:rPr>
        <w:t xml:space="preserve">: (a) the signal needs to be strong enough to reach receivers and (b) receivers need to be able to infer meaning from it. </w:t>
      </w:r>
      <w:r w:rsidR="00476620" w:rsidRPr="00211DF0">
        <w:rPr>
          <w:lang w:val="en-US"/>
        </w:rPr>
        <w:t>Within our specific logic, we reason that universi</w:t>
      </w:r>
      <w:r w:rsidR="00476620" w:rsidRPr="00211DF0">
        <w:rPr>
          <w:lang w:val="en-US"/>
        </w:rPr>
        <w:lastRenderedPageBreak/>
        <w:t>ties becoming defendants in patent litigation creates unintended but strong signals for potential licensees as receivers who can infer meaning about the commercial value of university patents from it. We develop each step of this theoretical logic.</w:t>
      </w:r>
    </w:p>
    <w:p w14:paraId="5821C0B7" w14:textId="456ED515" w:rsidR="00C87957" w:rsidRPr="00211DF0" w:rsidRDefault="00DF50EC" w:rsidP="00C87957">
      <w:pPr>
        <w:rPr>
          <w:szCs w:val="22"/>
          <w:lang w:val="en-US"/>
        </w:rPr>
      </w:pPr>
      <w:r w:rsidRPr="00211DF0">
        <w:rPr>
          <w:lang w:val="en-US"/>
        </w:rPr>
        <w:t xml:space="preserve">First, patent litigation creates unintended signals. </w:t>
      </w:r>
      <w:r w:rsidR="00E54ACB" w:rsidRPr="00211DF0">
        <w:rPr>
          <w:lang w:val="en-US"/>
        </w:rPr>
        <w:t>The filing of a patent litigation case is a strategic decision that plaintiff</w:t>
      </w:r>
      <w:r w:rsidR="008A3D38" w:rsidRPr="00211DF0">
        <w:rPr>
          <w:lang w:val="en-US"/>
        </w:rPr>
        <w:t>s</w:t>
      </w:r>
      <w:r w:rsidR="00E54ACB" w:rsidRPr="00211DF0">
        <w:rPr>
          <w:lang w:val="en-US"/>
        </w:rPr>
        <w:t xml:space="preserve"> take when their initial amicable attempts to resolve and settle a patent infringement dispute with a defendant fail. </w:t>
      </w:r>
      <w:r w:rsidR="00FA5493" w:rsidRPr="00211DF0">
        <w:rPr>
          <w:lang w:val="en-US"/>
        </w:rPr>
        <w:t xml:space="preserve">When </w:t>
      </w:r>
      <w:r w:rsidR="008A3D38" w:rsidRPr="00211DF0">
        <w:rPr>
          <w:lang w:val="en-US"/>
        </w:rPr>
        <w:t>plaintiffs</w:t>
      </w:r>
      <w:r w:rsidR="00FA5493" w:rsidRPr="00211DF0">
        <w:rPr>
          <w:lang w:val="en-US"/>
        </w:rPr>
        <w:t xml:space="preserve"> identify the potential infringement of their </w:t>
      </w:r>
      <w:r w:rsidR="008A3D38" w:rsidRPr="00211DF0">
        <w:rPr>
          <w:lang w:val="en-US"/>
        </w:rPr>
        <w:t xml:space="preserve">patent </w:t>
      </w:r>
      <w:r w:rsidR="00FA5493" w:rsidRPr="00211DF0">
        <w:rPr>
          <w:lang w:val="en-US"/>
        </w:rPr>
        <w:t>rights and decide to act against the infringer</w:t>
      </w:r>
      <w:r w:rsidR="008A3D38" w:rsidRPr="00211DF0">
        <w:rPr>
          <w:lang w:val="en-US"/>
        </w:rPr>
        <w:t xml:space="preserve"> (defendant)</w:t>
      </w:r>
      <w:r w:rsidR="00FA5493" w:rsidRPr="00211DF0">
        <w:rPr>
          <w:lang w:val="en-US"/>
        </w:rPr>
        <w:t xml:space="preserve">, they </w:t>
      </w:r>
      <w:r w:rsidR="008A3D38" w:rsidRPr="00211DF0">
        <w:rPr>
          <w:lang w:val="en-US"/>
        </w:rPr>
        <w:t xml:space="preserve">first </w:t>
      </w:r>
      <w:r w:rsidR="00FA5493" w:rsidRPr="00211DF0">
        <w:rPr>
          <w:lang w:val="en-US"/>
        </w:rPr>
        <w:t xml:space="preserve">attempt to engage in private negotiations </w:t>
      </w:r>
      <w:r w:rsidR="00BC7B0C" w:rsidRPr="00211DF0">
        <w:rPr>
          <w:lang w:val="en-US"/>
        </w:rPr>
        <w:t xml:space="preserve">to resolve the dispute with an out of court </w:t>
      </w:r>
      <w:r w:rsidR="00E7737B" w:rsidRPr="00211DF0">
        <w:rPr>
          <w:lang w:val="en-US"/>
        </w:rPr>
        <w:t>settlement</w:t>
      </w:r>
      <w:r w:rsidR="00BC7B0C" w:rsidRPr="00211DF0">
        <w:rPr>
          <w:lang w:val="en-US"/>
        </w:rPr>
        <w:t xml:space="preserve"> such as a licensing agreement </w:t>
      </w:r>
      <w:r w:rsidR="00046F9D" w:rsidRPr="00211DF0">
        <w:rPr>
          <w:lang w:val="en-US"/>
        </w:rPr>
        <w:fldChar w:fldCharType="begin" w:fldLock="1"/>
      </w:r>
      <w:r w:rsidR="00046F9D" w:rsidRPr="00211DF0">
        <w:rPr>
          <w:lang w:val="en-US"/>
        </w:rPr>
        <w:instrText>ADDIN CSL_CITATION {"citationItems":[{"id":"ITEM-1","itemData":{"author":[{"dropping-particle":"","family":"Cremers","given":"M","non-dropping-particle":"","parse-names":false,"suffix":""}],"container-title":"ZEW-Centre for European Economic Research Discussion Paper","id":"ITEM-1","issued":{"date-parts":[["2004"]]},"page":"4-72","title":"Determinants of patent litigation in Germany","type":"article-journal"},"uris":["http://www.mendeley.com/documents/?uuid=e0b733f2-2125-44c1-bfa3-bfc28af9f647"]}],"mendeley":{"formattedCitation":"(Cremers, 2004)","plainTextFormattedCitation":"(Cremers, 2004)","previouslyFormattedCitation":"(Cremers, 2004)"},"properties":{"noteIndex":0},"schema":"https://github.com/citation-style-language/schema/raw/master/csl-citation.json"}</w:instrText>
      </w:r>
      <w:r w:rsidR="00046F9D" w:rsidRPr="00211DF0">
        <w:rPr>
          <w:lang w:val="en-US"/>
        </w:rPr>
        <w:fldChar w:fldCharType="separate"/>
      </w:r>
      <w:r w:rsidR="00046F9D" w:rsidRPr="00211DF0">
        <w:rPr>
          <w:noProof/>
          <w:lang w:val="en-US"/>
        </w:rPr>
        <w:t>(Cremers, 2004)</w:t>
      </w:r>
      <w:r w:rsidR="00046F9D" w:rsidRPr="00211DF0">
        <w:rPr>
          <w:lang w:val="en-US"/>
        </w:rPr>
        <w:fldChar w:fldCharType="end"/>
      </w:r>
      <w:r w:rsidR="00BC7B0C" w:rsidRPr="00211DF0">
        <w:rPr>
          <w:lang w:val="en-US"/>
        </w:rPr>
        <w:t xml:space="preserve">. </w:t>
      </w:r>
      <w:r w:rsidR="008A3D38" w:rsidRPr="00211DF0">
        <w:rPr>
          <w:lang w:val="en-US"/>
        </w:rPr>
        <w:t>T</w:t>
      </w:r>
      <w:r w:rsidR="00BC7B0C" w:rsidRPr="00211DF0">
        <w:rPr>
          <w:lang w:val="en-US"/>
        </w:rPr>
        <w:t>he even</w:t>
      </w:r>
      <w:r w:rsidR="00833A33" w:rsidRPr="00211DF0">
        <w:rPr>
          <w:lang w:val="en-US"/>
        </w:rPr>
        <w:t>t</w:t>
      </w:r>
      <w:r w:rsidR="00BC7B0C" w:rsidRPr="00211DF0">
        <w:rPr>
          <w:lang w:val="en-US"/>
        </w:rPr>
        <w:t xml:space="preserve"> of a patent litigation being filed to a court is </w:t>
      </w:r>
      <w:r w:rsidR="008A3D38" w:rsidRPr="00211DF0">
        <w:rPr>
          <w:lang w:val="en-US"/>
        </w:rPr>
        <w:t xml:space="preserve">relatively </w:t>
      </w:r>
      <w:r w:rsidR="00BC7B0C" w:rsidRPr="00211DF0">
        <w:rPr>
          <w:lang w:val="en-US"/>
        </w:rPr>
        <w:t>rare</w:t>
      </w:r>
      <w:r w:rsidR="008A3D38" w:rsidRPr="00211DF0">
        <w:rPr>
          <w:lang w:val="en-US"/>
        </w:rPr>
        <w:t xml:space="preserve">, with most patent infringement disputes ending without litigation </w:t>
      </w:r>
      <w:r w:rsidR="00046F9D" w:rsidRPr="00211DF0">
        <w:rPr>
          <w:lang w:val="en-US"/>
        </w:rPr>
        <w:fldChar w:fldCharType="begin" w:fldLock="1"/>
      </w:r>
      <w:r w:rsidR="00046F9D" w:rsidRPr="00211DF0">
        <w:rPr>
          <w:lang w:val="en-US"/>
        </w:rPr>
        <w:instrText>ADDIN CSL_CITATION {"citationItems":[{"id":"ITEM-1","itemData":{"DOI":"10.1145/170657.170764","ISBN":"0897917219","author":[{"dropping-particle":"","family":"Lanjouw","given":"Jean O","non-dropping-particle":"","parse-names":false,"suffix":""},{"dropping-particle":"","family":"Schankerman","given":"Mark","non-dropping-particle":"","parse-names":false,"suffix":""}],"container-title":"The Journal of Law &amp; Economics","id":"ITEM-1","issue":"1","issued":{"date-parts":[["2004"]]},"page":"45-74","title":"Protecting Intellectual Property Rights: Are Small Firms Handicapped?","type":"article-journal","volume":"41"},"uris":["http://www.mendeley.com/documents/?uuid=75be04c4-2517-4aa6-9880-a04be364819b"]},{"id":"ITEM-2","itemData":{"DOI":"10.1177/0149206312444447","ISSN":"01492063","abstract":"This review reorganizes and reconceptualizes extant research on patent strategy, which has emerged from diverse roots in economics, law, and management. Accordingly, it is anticipated that this review will help provide structure and direction to what is currently a somewhat disparate and fractured field of study within management. The main proposed framework highlights two important themes within patent strategy research-generic patent strategies and the strategic management of patents. In addition, it is noted that research in each of these themes generally maps onto one or more of three key domains-rights, licensing, or enforcement-within which patent-related strategic actions are typically undertaken. Two summary tables of prior research are provided that juxtapose the three patent strategy domains with different theory lenses adopted in patent strategy research. Finally, the article highlights two promising areas whose connections with patent strategy are beginning to be addressed by research-firms' overall appropriability strategies and value creation strategies. An overarching conceptual figure maps the different research areas reviewed in the article and highlights the relationships between these research literatures. The reconceptualization and reframing of prior research advanced in this review promises to advance scholarship on patent strategy by illuminating its many links with the broader management field and by identifying opportunities to address important unanswered research questions. It thus provides a useful roadmap to help stimulate and guide future management research in this vital area. © The Author(s) 2012.","author":[{"dropping-particle":"","family":"Somaya","given":"Deepak","non-dropping-particle":"","parse-names":false,"suffix":""}],"container-title":"Journal of Management","id":"ITEM-2","issue":"4","issued":{"date-parts":[["2012"]]},"page":"1084-1114","title":"Patent Strategy and Management: An Integrative Review and Research Agenda","type":"article-journal","volume":"38"},"uris":["http://www.mendeley.com/documents/?uuid=8e73d8b6-aa88-4e0f-93df-64c4c5afdf47"]}],"mendeley":{"formattedCitation":"(Lanjouw and Schankerman, 2004; Somaya, 2012)","plainTextFormattedCitation":"(Lanjouw and Schankerman, 2004; Somaya, 2012)","previouslyFormattedCitation":"(Lanjouw and Schankerman, 2004; Somaya, 2012)"},"properties":{"noteIndex":0},"schema":"https://github.com/citation-style-language/schema/raw/master/csl-citation.json"}</w:instrText>
      </w:r>
      <w:r w:rsidR="00046F9D" w:rsidRPr="00211DF0">
        <w:rPr>
          <w:lang w:val="en-US"/>
        </w:rPr>
        <w:fldChar w:fldCharType="separate"/>
      </w:r>
      <w:r w:rsidR="00046F9D" w:rsidRPr="00211DF0">
        <w:rPr>
          <w:noProof/>
          <w:lang w:val="en-US"/>
        </w:rPr>
        <w:t>(Lanjouw and Schankerman, 2004; Somaya, 2012)</w:t>
      </w:r>
      <w:r w:rsidR="00046F9D" w:rsidRPr="00211DF0">
        <w:rPr>
          <w:lang w:val="en-US"/>
        </w:rPr>
        <w:fldChar w:fldCharType="end"/>
      </w:r>
      <w:r w:rsidR="00BC7B0C" w:rsidRPr="00211DF0">
        <w:rPr>
          <w:lang w:val="en-US"/>
        </w:rPr>
        <w:t xml:space="preserve">. </w:t>
      </w:r>
      <w:r w:rsidR="00F3333D">
        <w:rPr>
          <w:lang w:val="en-US"/>
        </w:rPr>
        <w:t>However, when patent litigation is filed the costs are high, reaching between 3 to 5 million US$ for a case with average levels of complexity</w:t>
      </w:r>
      <w:r w:rsidR="00AC0A35">
        <w:rPr>
          <w:lang w:val="en-US"/>
        </w:rPr>
        <w:t xml:space="preserve"> </w:t>
      </w:r>
      <w:r w:rsidR="00AC0A35">
        <w:rPr>
          <w:lang w:val="en-US"/>
        </w:rPr>
        <w:fldChar w:fldCharType="begin" w:fldLock="1"/>
      </w:r>
      <w:r w:rsidR="00AC0A35">
        <w:rPr>
          <w:lang w:val="en-US"/>
        </w:rPr>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Agarwal","given":"Rajshree","non-dropping-particle":"","parse-names":false,"suffix":""},{"dropping-particle":"","family":"Ganco","given":"Martin","non-dropping-particle":"","parse-names":false,"suffix":""},{"dropping-particle":"","family":"Ziedonis","given":"Rosemarie H","non-dropping-particle":"","parse-names":false,"suffix":""}],"container-title":"Strategic Management Journal","id":"ITEM-1","issued":{"date-parts":[["2009"]]},"page":"1349-1374","title":"Reputations for toughness in patent enforcement: Implications for knowledge spillovers via inventor mobility","type":"article-journal","volume":"30"},"uris":["http://www.mendeley.com/documents/?uuid=6ad61b5b-bf69-47c8-9f9e-54e883a5fb30"]}],"mendeley":{"formattedCitation":"(Agarwal et al., 2009)","plainTextFormattedCitation":"(Agarwal et al., 2009)","previouslyFormattedCitation":"(Agarwal et al., 2009)"},"properties":{"noteIndex":0},"schema":"https://github.com/citation-style-language/schema/raw/master/csl-citation.json"}</w:instrText>
      </w:r>
      <w:r w:rsidR="00AC0A35">
        <w:rPr>
          <w:lang w:val="en-US"/>
        </w:rPr>
        <w:fldChar w:fldCharType="separate"/>
      </w:r>
      <w:r w:rsidR="00AC0A35" w:rsidRPr="00AC0A35">
        <w:rPr>
          <w:noProof/>
          <w:lang w:val="en-US"/>
        </w:rPr>
        <w:t>(Agarwal et al., 2009)</w:t>
      </w:r>
      <w:r w:rsidR="00AC0A35">
        <w:rPr>
          <w:lang w:val="en-US"/>
        </w:rPr>
        <w:fldChar w:fldCharType="end"/>
      </w:r>
      <w:r w:rsidR="00AC0A35">
        <w:rPr>
          <w:lang w:val="en-US"/>
        </w:rPr>
        <w:t>.</w:t>
      </w:r>
    </w:p>
    <w:p w14:paraId="6546A425" w14:textId="65EF2B0F" w:rsidR="006472A6" w:rsidRPr="00211DF0" w:rsidRDefault="00833A33" w:rsidP="004C5BB3">
      <w:pPr>
        <w:rPr>
          <w:lang w:val="en-US"/>
        </w:rPr>
      </w:pPr>
      <w:r w:rsidRPr="00211DF0">
        <w:rPr>
          <w:szCs w:val="22"/>
          <w:lang w:val="en-US"/>
        </w:rPr>
        <w:t>The distinct</w:t>
      </w:r>
      <w:r w:rsidR="00080E5A">
        <w:rPr>
          <w:szCs w:val="22"/>
          <w:lang w:val="en-US"/>
        </w:rPr>
        <w:t>ive</w:t>
      </w:r>
      <w:r w:rsidRPr="00211DF0">
        <w:rPr>
          <w:szCs w:val="22"/>
          <w:lang w:val="en-US"/>
        </w:rPr>
        <w:t xml:space="preserve"> feature </w:t>
      </w:r>
      <w:r w:rsidR="00080E5A">
        <w:rPr>
          <w:szCs w:val="22"/>
          <w:lang w:val="en-US"/>
        </w:rPr>
        <w:t>separating</w:t>
      </w:r>
      <w:r w:rsidR="00080E5A" w:rsidRPr="00211DF0">
        <w:rPr>
          <w:szCs w:val="22"/>
          <w:lang w:val="en-US"/>
        </w:rPr>
        <w:t xml:space="preserve"> </w:t>
      </w:r>
      <w:r w:rsidRPr="00211DF0">
        <w:rPr>
          <w:szCs w:val="22"/>
          <w:lang w:val="en-US"/>
        </w:rPr>
        <w:t xml:space="preserve">plaintiffs and defendants in a litigation case is that the plaintiff is the active party. </w:t>
      </w:r>
      <w:r w:rsidR="00BC7B0C" w:rsidRPr="00211DF0">
        <w:rPr>
          <w:lang w:val="en-US"/>
        </w:rPr>
        <w:t>Plaintiffs</w:t>
      </w:r>
      <w:r w:rsidR="00BC7B0C" w:rsidRPr="00211DF0">
        <w:rPr>
          <w:szCs w:val="22"/>
          <w:lang w:val="en-US"/>
        </w:rPr>
        <w:t xml:space="preserve"> ch</w:t>
      </w:r>
      <w:r w:rsidRPr="00211DF0">
        <w:rPr>
          <w:szCs w:val="22"/>
          <w:lang w:val="en-US"/>
        </w:rPr>
        <w:t>o</w:t>
      </w:r>
      <w:r w:rsidR="00BC7B0C" w:rsidRPr="00211DF0">
        <w:rPr>
          <w:szCs w:val="22"/>
          <w:lang w:val="en-US"/>
        </w:rPr>
        <w:t>ose to act and file a lawsuit in the expectation that the potential benefits from engaging in patent litigation are greater than the risks related to litigation</w:t>
      </w:r>
      <w:r w:rsidR="00046F9D" w:rsidRPr="00211DF0">
        <w:rPr>
          <w:szCs w:val="22"/>
          <w:lang w:val="en-US"/>
        </w:rPr>
        <w:t xml:space="preserve"> </w:t>
      </w:r>
      <w:r w:rsidR="00046F9D" w:rsidRPr="00211DF0">
        <w:rPr>
          <w:szCs w:val="22"/>
          <w:lang w:val="en-US"/>
        </w:rPr>
        <w:fldChar w:fldCharType="begin" w:fldLock="1"/>
      </w:r>
      <w:r w:rsidR="00476CCC">
        <w:rPr>
          <w:szCs w:val="22"/>
          <w:lang w:val="en-US"/>
        </w:rPr>
        <w:instrText>ADDIN CSL_CITATION {"citationItems":[{"id":"ITEM-1","itemData":{"DOI":"10.1016/j.respol.2015.07.002","ISSN":"00487333","abstract":"This paper empirically investigates the statistical relationship between levels of patent litigation and venture capital investment in the U.S. We find that VC investment, a major funding source for entrepreneurial activity, initially increases with the number of litigated patents. However, there is a \"tipping point\" where further increases in the number of patents litigated are associated with decreased VC investment, which suggests an inverted U-shaped relation between patent litigation and VC investment. This appears strongest for technology patents, and negligible for products such as pharmaceuticals. Strikingly, we find evidence that litigation by frequent patent litigators, a proxy for litigation by patent assertion entities, is directly associated with decreased VC investment, with no positive effects initially.","author":[{"dropping-particle":"","family":"Kiebzak","given":"Stephen","non-dropping-particle":"","parse-names":false,"suffix":""},{"dropping-particle":"","family":"Rafert","given":"Greg","non-dropping-particle":"","parse-names":false,"suffix":""},{"dropping-particle":"","family":"Tucker","given":"Catherine E.","non-dropping-particle":"","parse-names":false,"suffix":""}],"container-title":"Research Policy","id":"ITEM-1","issue":"1","issued":{"date-parts":[["2016"]]},"page":"218-231","publisher":"Elsevier B.V.","title":"The effect of patent litigation and patent assertion entities on entrepreneurial activity","type":"article-journal","volume":"45"},"uris":["http://www.mendeley.com/documents/?uuid=ba97354f-5879-44b0-93b6-379cb3d3ec6f"]}],"mendeley":{"formattedCitation":"(Kiebzak et al., 2016)","plainTextFormattedCitation":"(Kiebzak et al., 2016)","previouslyFormattedCitation":"(Kiebzak et al., 2016)"},"properties":{"noteIndex":0},"schema":"https://github.com/citation-style-language/schema/raw/master/csl-citation.json"}</w:instrText>
      </w:r>
      <w:r w:rsidR="00046F9D" w:rsidRPr="00211DF0">
        <w:rPr>
          <w:szCs w:val="22"/>
          <w:lang w:val="en-US"/>
        </w:rPr>
        <w:fldChar w:fldCharType="separate"/>
      </w:r>
      <w:r w:rsidR="007D4BEC" w:rsidRPr="007D4BEC">
        <w:rPr>
          <w:noProof/>
          <w:szCs w:val="22"/>
          <w:lang w:val="en-US"/>
        </w:rPr>
        <w:t>(Kiebzak et al., 2016)</w:t>
      </w:r>
      <w:r w:rsidR="00046F9D" w:rsidRPr="00211DF0">
        <w:rPr>
          <w:szCs w:val="22"/>
          <w:lang w:val="en-US"/>
        </w:rPr>
        <w:fldChar w:fldCharType="end"/>
      </w:r>
      <w:r w:rsidRPr="00211DF0">
        <w:rPr>
          <w:szCs w:val="22"/>
          <w:lang w:val="en-US"/>
        </w:rPr>
        <w:t xml:space="preserve">. However, while defendants do not trigger the filing of a patent litigation case, their actions and </w:t>
      </w:r>
      <w:r w:rsidR="008A3D38" w:rsidRPr="00211DF0">
        <w:rPr>
          <w:szCs w:val="22"/>
          <w:lang w:val="en-US"/>
        </w:rPr>
        <w:t>negotiating position</w:t>
      </w:r>
      <w:r w:rsidRPr="00211DF0">
        <w:rPr>
          <w:szCs w:val="22"/>
          <w:lang w:val="en-US"/>
        </w:rPr>
        <w:t xml:space="preserve"> in not settling the dispute in pre-litigation private negotiations with the plaintiff also demonstrates their confidence in that they can successfully defend their interests despite the high costs </w:t>
      </w:r>
      <w:r w:rsidR="006472A6" w:rsidRPr="00211DF0">
        <w:rPr>
          <w:szCs w:val="22"/>
          <w:lang w:val="en-US"/>
        </w:rPr>
        <w:t xml:space="preserve">and significant disruptions </w:t>
      </w:r>
      <w:r w:rsidRPr="00211DF0">
        <w:rPr>
          <w:szCs w:val="22"/>
          <w:lang w:val="en-US"/>
        </w:rPr>
        <w:t>of patent litigation</w:t>
      </w:r>
      <w:r w:rsidR="006472A6" w:rsidRPr="00211DF0">
        <w:rPr>
          <w:szCs w:val="22"/>
          <w:lang w:val="en-US"/>
        </w:rPr>
        <w:t xml:space="preserve"> which affect defendants in particular</w:t>
      </w:r>
      <w:r w:rsidR="00E76068" w:rsidRPr="00211DF0">
        <w:rPr>
          <w:lang w:val="en-US"/>
        </w:rPr>
        <w:t xml:space="preserve"> </w:t>
      </w:r>
      <w:r w:rsidR="00E76068" w:rsidRPr="00211DF0">
        <w:rPr>
          <w:lang w:val="en-US"/>
        </w:rPr>
        <w:fldChar w:fldCharType="begin" w:fldLock="1"/>
      </w:r>
      <w:r w:rsidR="0003278B" w:rsidRPr="00211DF0">
        <w:rPr>
          <w:lang w:val="en-US"/>
        </w:rPr>
        <w:instrText>ADDIN CSL_CITATION {"citationItems":[{"id":"ITEM-1","itemData":{"DOI":"10.1016/S1048-4736(04)01504-8","ISBN":"0762311029","ISSN":"10484736","abstract":"Patent litigation has been rising rapidly in the United States since the mid-1980s, and particularly so in high-technology industries. The strategies pursued by firms with their patents have a significant influence on their decisions to file suit, and on the outcomes within litigation. The influence of strategic motivations on settlement outcomes is studied in two illustratively different industries - computers and research medicines. Evidence is found for two types of influences - the use of patents (as isolating mechanisms) to protect valuable strategic stakes, and their \"defensive\" role in obtaining access to external technologies (through mutual hold-up). © 2004 Elsevier Ltd. All rights reserved.","author":[{"dropping-particle":"","family":"Somaya","given":"Deepak","non-dropping-particle":"","parse-names":false,"suffix":""}],"container-title":"Advances in the Study of Entrepreneurship, Innovation, and Economic Growth","id":"ITEM-1","issue":"04","issued":{"date-parts":[["2004"]]},"page":"103-147","title":"Firm Strategies and Trends in Patent Litigation in the United States","type":"article-journal","volume":"15"},"uris":["http://www.mendeley.com/documents/?uuid=47461fcf-9a99-47a3-adf1-ae4f7e359b1d"]}],"mendeley":{"formattedCitation":"(Somaya, 2004)","plainTextFormattedCitation":"(Somaya, 2004)","previouslyFormattedCitation":"(Somaya, 2004)"},"properties":{"noteIndex":0},"schema":"https://github.com/citation-style-language/schema/raw/master/csl-citation.json"}</w:instrText>
      </w:r>
      <w:r w:rsidR="00E76068" w:rsidRPr="00211DF0">
        <w:rPr>
          <w:lang w:val="en-US"/>
        </w:rPr>
        <w:fldChar w:fldCharType="separate"/>
      </w:r>
      <w:r w:rsidR="00E76068" w:rsidRPr="00211DF0">
        <w:rPr>
          <w:noProof/>
          <w:lang w:val="en-US"/>
        </w:rPr>
        <w:t>(Somaya, 2004)</w:t>
      </w:r>
      <w:r w:rsidR="00E76068" w:rsidRPr="00211DF0">
        <w:rPr>
          <w:lang w:val="en-US"/>
        </w:rPr>
        <w:fldChar w:fldCharType="end"/>
      </w:r>
      <w:r w:rsidR="0018209D" w:rsidRPr="00211DF0">
        <w:rPr>
          <w:lang w:val="en-US"/>
        </w:rPr>
        <w:t xml:space="preserve">. </w:t>
      </w:r>
      <w:r w:rsidR="00C87957" w:rsidRPr="00211DF0">
        <w:rPr>
          <w:lang w:val="en-US"/>
        </w:rPr>
        <w:t>From the outset, d</w:t>
      </w:r>
      <w:r w:rsidR="0018209D" w:rsidRPr="00211DF0">
        <w:rPr>
          <w:lang w:val="en-US"/>
        </w:rPr>
        <w:t xml:space="preserve">irect financial costs </w:t>
      </w:r>
      <w:r w:rsidR="00C87957" w:rsidRPr="00211DF0">
        <w:rPr>
          <w:lang w:val="en-US"/>
        </w:rPr>
        <w:t xml:space="preserve">such as the fees of attorneys </w:t>
      </w:r>
      <w:r w:rsidR="0018209D" w:rsidRPr="00211DF0">
        <w:rPr>
          <w:lang w:val="en-US"/>
        </w:rPr>
        <w:t xml:space="preserve">are substantial, but pursing patent litigation also makes significant demands of managers in terms of their attentional resources, which can result in disruptions to organizational activity </w:t>
      </w:r>
      <w:r w:rsidR="0018209D" w:rsidRPr="00211DF0">
        <w:rPr>
          <w:lang w:val="en-US"/>
        </w:rPr>
        <w:fldChar w:fldCharType="begin" w:fldLock="1"/>
      </w:r>
      <w:r w:rsidR="004A7DFA" w:rsidRPr="00211DF0">
        <w:rPr>
          <w:lang w:val="en-US"/>
        </w:rPr>
        <w:instrText>ADDIN CSL_CITATION {"citationItems":[{"id":"ITEM-1","itemData":{"DOI":"10.1016/S1048-4736(04)01504-8","ISBN":"0762311029","ISSN":"10484736","abstract":"Patent litigation has been rising rapidly in the United States since the mid-1980s, and particularly so in high-technology industries. The strategies pursued by firms with their patents have a significant influence on their decisions to file suit, and on the outcomes within litigation. The influence of strategic motivations on settlement outcomes is studied in two illustratively different industries - computers and research medicines. Evidence is found for two types of influences - the use of patents (as isolating mechanisms) to protect valuable strategic stakes, and their \"defensive\" role in obtaining access to external technologies (through mutual hold-up). © 2004 Elsevier Ltd. All rights reserved.","author":[{"dropping-particle":"","family":"Somaya","given":"Deepak","non-dropping-particle":"","parse-names":false,"suffix":""}],"container-title":"Advances in the Study of Entrepreneurship, Innovation, and Economic Growth","id":"ITEM-1","issue":"04","issued":{"date-parts":[["2004"]]},"page":"103-147","title":"Firm Strategies and Trends in Patent Litigation in the United States","type":"article-journal","volume":"15"},"uris":["http://www.mendeley.com/documents/?uuid=47461fcf-9a99-47a3-adf1-ae4f7e359b1d"]},{"id":"ITEM-2","itemData":{"DOI":"10.1016/j.jebo.2006.05.012","ISSN":"01672681","abstract":"One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Organization","id":"ITEM-2","issue":"4","issued":{"date-parts":[["2007"]]},"page":"739-755","title":"The effects of patent litigation on university licensing efforts","type":"article-journal","volume":"63"},"uris":["http://www.mendeley.com/documents/?uuid=72cfedbf-933e-4035-b1f0-e62e27c49f65"]}],"mendeley":{"formattedCitation":"(Shane and Somaya, 2007; Somaya, 2004)","plainTextFormattedCitation":"(Shane and Somaya, 2007; Somaya, 2004)","previouslyFormattedCitation":"(Shane and Somaya, 2007; Somaya, 2004)"},"properties":{"noteIndex":0},"schema":"https://github.com/citation-style-language/schema/raw/master/csl-citation.json"}</w:instrText>
      </w:r>
      <w:r w:rsidR="0018209D" w:rsidRPr="00211DF0">
        <w:rPr>
          <w:lang w:val="en-US"/>
        </w:rPr>
        <w:fldChar w:fldCharType="separate"/>
      </w:r>
      <w:r w:rsidR="004A7DFA" w:rsidRPr="00211DF0">
        <w:rPr>
          <w:noProof/>
          <w:lang w:val="en-US"/>
        </w:rPr>
        <w:t>(Shane and Somaya, 2007; Somaya, 2004)</w:t>
      </w:r>
      <w:r w:rsidR="0018209D" w:rsidRPr="00211DF0">
        <w:rPr>
          <w:lang w:val="en-US"/>
        </w:rPr>
        <w:fldChar w:fldCharType="end"/>
      </w:r>
      <w:r w:rsidR="0018209D" w:rsidRPr="00211DF0">
        <w:rPr>
          <w:lang w:val="en-US"/>
        </w:rPr>
        <w:t>.</w:t>
      </w:r>
    </w:p>
    <w:p w14:paraId="0BF3B577" w14:textId="7454AA05" w:rsidR="00247F6B" w:rsidRPr="00211DF0" w:rsidRDefault="0062301B" w:rsidP="00247F6B">
      <w:pPr>
        <w:rPr>
          <w:lang w:val="en-US"/>
        </w:rPr>
      </w:pPr>
      <w:r w:rsidRPr="00211DF0">
        <w:rPr>
          <w:lang w:val="en-US"/>
        </w:rPr>
        <w:t>Second, the interpretation of unintended signals depends on their observab</w:t>
      </w:r>
      <w:r w:rsidR="002226C3" w:rsidRPr="00211DF0">
        <w:rPr>
          <w:lang w:val="en-US"/>
        </w:rPr>
        <w:t xml:space="preserve">ility </w:t>
      </w:r>
      <w:r w:rsidRPr="00211DF0">
        <w:rPr>
          <w:lang w:val="en-US"/>
        </w:rPr>
        <w:t xml:space="preserve">since only strong signals </w:t>
      </w:r>
      <w:r w:rsidR="002226C3" w:rsidRPr="00211DF0">
        <w:rPr>
          <w:lang w:val="en-US"/>
        </w:rPr>
        <w:t xml:space="preserve">cross the cognitive filters for being recognized, processed and </w:t>
      </w:r>
      <w:r w:rsidR="00A001EF" w:rsidRPr="00211DF0">
        <w:rPr>
          <w:lang w:val="en-US"/>
        </w:rPr>
        <w:t xml:space="preserve">acted on by receivers </w:t>
      </w:r>
      <w:r w:rsidR="004C5BB3" w:rsidRPr="00211DF0">
        <w:rPr>
          <w:lang w:val="en-US"/>
        </w:rPr>
        <w:fldChar w:fldCharType="begin" w:fldLock="1"/>
      </w:r>
      <w:r w:rsidR="009F098B" w:rsidRPr="00211DF0">
        <w:rPr>
          <w:lang w:val="en-US"/>
        </w:rPr>
        <w:instrText>ADDIN CSL_CITATION {"citationItems":[{"id":"ITEM-1","itemData":{"DOI":"10.1016/j.futures.2005.12.019","ISSN":"00163287","abstract":"Already two decades ago strategy literature started a discussion on weak signals (H.I. Ansoff, Implanting Strategic Management, Prentice-Hall International, Englewood-Cliffs, NJ, 1984). Currently the weak signals approach is experiencing a renaissance in strategic planning but now either in the context of strategic flexibility or peripheral vision. In this paper we aim, firstly, to present theories describing filters that a weak signal has to pass in the strategy-creation process. Secondly, we present a construction for information filters in the strategy process and prove that the nature of objectives and the method used in environment scanning have a major impact on the outcome. Thirdly, we introduce an application that opens filters for weak signals in the strategy process and thus provides the organization with an opportunity for pro-active decision-making. © 2006 Elsevier Ltd. All rights reserved.","author":[{"dropping-particle":"","family":"Ilmola","given":"Leena","non-dropping-particle":"","parse-names":false,"suffix":""},{"dropping-particle":"","family":"Kuusi","given":"Osmo","non-dropping-particle":"","parse-names":false,"suffix":""}],"container-title":"Futures","id":"ITEM-1","issue":"8","issued":{"date-parts":[["2006"]]},"page":"908-924","title":"Filters of weak signals hinder foresight: Monitoring weak signals efficiently in corporate decision-making","type":"article-journal","volume":"38"},"uris":["http://www.mendeley.com/documents/?uuid=a9d8829f-2dc7-436d-adc7-1ab04de81aab"]}],"mendeley":{"formattedCitation":"(Ilmola and Kuusi, 2006)","plainTextFormattedCitation":"(Ilmola and Kuusi, 2006)","previouslyFormattedCitation":"(Ilmola and Kuusi, 2006)"},"properties":{"noteIndex":0},"schema":"https://github.com/citation-style-language/schema/raw/master/csl-citation.json"}</w:instrText>
      </w:r>
      <w:r w:rsidR="004C5BB3" w:rsidRPr="00211DF0">
        <w:rPr>
          <w:lang w:val="en-US"/>
        </w:rPr>
        <w:fldChar w:fldCharType="separate"/>
      </w:r>
      <w:r w:rsidR="004C5BB3" w:rsidRPr="00211DF0">
        <w:rPr>
          <w:noProof/>
          <w:lang w:val="en-US"/>
        </w:rPr>
        <w:t>(Ilmola and Kuusi, 2006)</w:t>
      </w:r>
      <w:r w:rsidR="004C5BB3" w:rsidRPr="00211DF0">
        <w:rPr>
          <w:lang w:val="en-US"/>
        </w:rPr>
        <w:fldChar w:fldCharType="end"/>
      </w:r>
      <w:r w:rsidR="004C5BB3" w:rsidRPr="00211DF0">
        <w:rPr>
          <w:lang w:val="en-US"/>
        </w:rPr>
        <w:t>.</w:t>
      </w:r>
      <w:r w:rsidRPr="00211DF0">
        <w:rPr>
          <w:lang w:val="en-US"/>
        </w:rPr>
        <w:t xml:space="preserve"> </w:t>
      </w:r>
      <w:r w:rsidR="00573A85" w:rsidRPr="00211DF0">
        <w:rPr>
          <w:lang w:val="en-US"/>
        </w:rPr>
        <w:t xml:space="preserve">Patent litigation creates </w:t>
      </w:r>
      <w:r w:rsidR="00737BAD" w:rsidRPr="00211DF0">
        <w:rPr>
          <w:lang w:val="en-US"/>
        </w:rPr>
        <w:t xml:space="preserve">such strong signals for two reasons. First, </w:t>
      </w:r>
      <w:r w:rsidR="00955332" w:rsidRPr="00211DF0">
        <w:rPr>
          <w:lang w:val="en-US"/>
        </w:rPr>
        <w:t xml:space="preserve">patent litigation filings enter public records </w:t>
      </w:r>
      <w:r w:rsidR="00B17827" w:rsidRPr="00211DF0">
        <w:rPr>
          <w:lang w:val="en-US"/>
        </w:rPr>
        <w:t xml:space="preserve">and detail the involved parties, the patents under consideration and the </w:t>
      </w:r>
      <w:r w:rsidR="00346613" w:rsidRPr="00211DF0">
        <w:rPr>
          <w:lang w:val="en-US"/>
        </w:rPr>
        <w:t>supposed infringements. Even if potential licensees do not inspect court documents directly, the information enters databases of specialized suppliers which are readily searchable. Second</w:t>
      </w:r>
      <w:r w:rsidR="00573A85" w:rsidRPr="00211DF0">
        <w:rPr>
          <w:lang w:val="en-US"/>
        </w:rPr>
        <w:t>,</w:t>
      </w:r>
      <w:r w:rsidR="00346613" w:rsidRPr="00211DF0">
        <w:rPr>
          <w:lang w:val="en-US"/>
        </w:rPr>
        <w:t xml:space="preserve"> </w:t>
      </w:r>
      <w:r w:rsidR="00C91C2C" w:rsidRPr="00211DF0">
        <w:rPr>
          <w:lang w:val="en-US"/>
        </w:rPr>
        <w:t xml:space="preserve">the signaling </w:t>
      </w:r>
      <w:r w:rsidR="00C91C2C" w:rsidRPr="00211DF0">
        <w:rPr>
          <w:lang w:val="en-US"/>
        </w:rPr>
        <w:lastRenderedPageBreak/>
        <w:t>strength is amplified by media coverage. Patent litigation cases</w:t>
      </w:r>
      <w:r w:rsidR="00573A85" w:rsidRPr="00211DF0">
        <w:rPr>
          <w:lang w:val="en-US"/>
        </w:rPr>
        <w:t xml:space="preserve"> are frequently reported by the media and observable for investors and other external stakeholders </w:t>
      </w:r>
      <w:r w:rsidR="00573A85" w:rsidRPr="00211DF0">
        <w:rPr>
          <w:lang w:val="en-US"/>
        </w:rPr>
        <w:fldChar w:fldCharType="begin" w:fldLock="1"/>
      </w:r>
      <w:r w:rsidR="00573A85" w:rsidRPr="00211DF0">
        <w:rPr>
          <w:lang w:val="en-US"/>
        </w:rPr>
        <w:instrText>ADDIN CSL_CITATION {"citationItems":[{"id":"ITEM-1","itemData":{"DOI":"10.1016/j.techfore.2015.01.015","ISSN":"00401625","abstract":"In recent years, patent lawsuits in the smartphone industry have become a sensitive issue. While numerous studies have investigated the wealth effect of patent and corporate litigation, few have examined current patent litigation in the smartphone industry. This paper investigates the wealth effect of patent lawsuits between Apple and other smartphone manufacturers, such as Samsung and HTC, using an event study method. The empirical results show that a firm in a vantage position in a patent lawsuit experiences a positive stock price return when it sues a rival firm for patent infringement, but one that does not have a vantage position in a patent lawsuit experiences a negative stock price return when sued by a rival firm. The results also show that in contrast to the general findings, Apple experienced negative stock returns regardless of its litigation position when it fought Nokia, but it did not experience any abnormal stock return regardless of its litigation position in disputes with Asian firms. However, consistent with the general findings, Asian firms experienced negative stock returns when they were sued by Apple.","author":[{"dropping-particle":"","family":"Nam","given":"Sangjun","non-dropping-particle":"","parse-names":false,"suffix":""},{"dropping-particle":"","family":"Nam","given":"Changi","non-dropping-particle":"","parse-names":false,"suffix":""},{"dropping-particle":"","family":"Kim","given":"Seongcheol","non-dropping-particle":"","parse-names":false,"suffix":""}],"container-title":"Technological Forecasting and Social Change","id":"ITEM-1","issued":{"date-parts":[["2015"]]},"page":"182-190","publisher":"Elsevier Inc.","title":"The impact of patent litigation on shareholder value in the smartphone industry","type":"article-journal","volume":"95"},"uris":["http://www.mendeley.com/documents/?uuid=78da9260-3862-4205-8235-187f959633a4"]},{"id":"ITEM-2","itemData":{"DOI":"10.1002/smj","ISBN":"1097-0266","ISSN":"01432095","abstract":"Examining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level.","author":[{"dropping-particle":"","family":"Tan","given":"David","non-dropping-particle":"","parse-names":false,"suffix":""}],"container-title":"Strategic Management Journal","id":"ITEM-2","issued":{"date-parts":[["2016"]]},"page":"1341-1353","title":"MAKING THE NEWS: HETEROGENOUS MEDIA COVERAGE AND CORPORATE LITIGATION","type":"article-journal","volume":"37"},"uris":["http://www.mendeley.com/documents/?uuid=a9ced973-3fa5-4e6c-9f61-78955434af52"]},{"id":"ITEM-3","itemData":{"DOI":"10.1111/ijmr.12202","ISSN":"14682370","abstract":"Patent litigation has attracted scholarly attention to reconcile multiple views for new research. Accordingly, this paper addresses patent litigation strategy and its effect on the firm. Based on 106 papers and articles, six books, the author's logic and practice impressions, it first defines patent litigation strategy and differentiates similar concepts. Second, based on the process, the author fine-tunes patent litigation strategy into three tactics: threat, filing and verdict. Then, she categorizes and examines the impact of patent litigation on market value, monetary gain/loss and strategic collaboration. The findings show that the effect on the market value is more complex and ambiguous than anticipated, and sometimes contradictory. The analysis shows the consistency of monetary effect in practice, that firms tend to have higher monetary gains from private settlement than from legal awards. It also demonstrates that existing studies lag behind reality in investigating the detailed role of patent litigation on strategic collaboration from partnership (e.g. licensing and strategic alliance) to takeover (i.e. merger and acquisition). Finally, the author reflects on the findings, and maps out critical paths toward new research. This process also reveals that stakeholders, industrial settings and country environments moderate the studied relationship. This paper contributes to knowledge and practice: appreciates the interdisciplinary endeavors to draw the findings; categorizes patent litigation and its effect; and critiques prior studies on the relationship to integrate knowledge for future research.","author":[{"dropping-particle":"","family":"Yang","given":"Deli","non-dropping-particle":"","parse-names":false,"suffix":""}],"container-title":"International Journal of Management Reviews","id":"ITEM-3","issue":"4","issued":{"date-parts":[["2019"]]},"page":"427-446","title":"Patent Litigation Strategy and Its Effects on the Firm","type":"article-journal","volume":"21"},"uris":["http://www.mendeley.com/documents/?uuid=f1009a64-cba1-49ce-9442-f96be48c190f"]}],"mendeley":{"formattedCitation":"(Nam et al., 2015; Tan, 2016; Yang, 2019)","plainTextFormattedCitation":"(Nam et al., 2015; Tan, 2016; Yang, 2019)","previouslyFormattedCitation":"(Nam et al., 2015; Tan, 2016; Yang, 2019)"},"properties":{"noteIndex":0},"schema":"https://github.com/citation-style-language/schema/raw/master/csl-citation.json"}</w:instrText>
      </w:r>
      <w:r w:rsidR="00573A85" w:rsidRPr="00211DF0">
        <w:rPr>
          <w:lang w:val="en-US"/>
        </w:rPr>
        <w:fldChar w:fldCharType="separate"/>
      </w:r>
      <w:r w:rsidR="00573A85" w:rsidRPr="00211DF0">
        <w:rPr>
          <w:noProof/>
          <w:lang w:val="en-US"/>
        </w:rPr>
        <w:t>(Nam et al., 2015; Tan, 2016; Yang, 2019)</w:t>
      </w:r>
      <w:r w:rsidR="00573A85" w:rsidRPr="00211DF0">
        <w:rPr>
          <w:lang w:val="en-US"/>
        </w:rPr>
        <w:fldChar w:fldCharType="end"/>
      </w:r>
      <w:r w:rsidR="00573A85" w:rsidRPr="00211DF0">
        <w:rPr>
          <w:lang w:val="en-US"/>
        </w:rPr>
        <w:t xml:space="preserve">. </w:t>
      </w:r>
      <w:r w:rsidR="002A126C" w:rsidRPr="00211DF0">
        <w:rPr>
          <w:lang w:val="en-US"/>
        </w:rPr>
        <w:t>Media coverage can be so substantial that</w:t>
      </w:r>
      <w:r w:rsidR="007C224C" w:rsidRPr="00211DF0">
        <w:rPr>
          <w:lang w:val="en-US"/>
        </w:rPr>
        <w:t xml:space="preserve"> lawyers encourage defendants to settle and avoid </w:t>
      </w:r>
      <w:r w:rsidR="008A1C02" w:rsidRPr="00211DF0">
        <w:rPr>
          <w:lang w:val="en-US"/>
        </w:rPr>
        <w:t xml:space="preserve">a </w:t>
      </w:r>
      <w:r w:rsidR="007C224C" w:rsidRPr="00211DF0">
        <w:rPr>
          <w:lang w:val="en-US"/>
        </w:rPr>
        <w:t xml:space="preserve">patent litigation case </w:t>
      </w:r>
      <w:r w:rsidR="002A126C" w:rsidRPr="00211DF0">
        <w:rPr>
          <w:lang w:val="en-US"/>
        </w:rPr>
        <w:t xml:space="preserve">in the first place </w:t>
      </w:r>
      <w:r w:rsidR="007C224C" w:rsidRPr="00211DF0">
        <w:rPr>
          <w:lang w:val="en-US"/>
        </w:rPr>
        <w:t>(Tan, 2016).</w:t>
      </w:r>
    </w:p>
    <w:p w14:paraId="70D605E3" w14:textId="4E89B085" w:rsidR="00C1623E" w:rsidRPr="00211DF0" w:rsidRDefault="00977875" w:rsidP="00C75E6D">
      <w:pPr>
        <w:rPr>
          <w:lang w:val="en-US"/>
        </w:rPr>
      </w:pPr>
      <w:r w:rsidRPr="00211DF0">
        <w:rPr>
          <w:lang w:val="en-US"/>
        </w:rPr>
        <w:t>Finally, receivers infer meaning from unintended signals based on the information that is available to them</w:t>
      </w:r>
      <w:r w:rsidR="009F098B" w:rsidRPr="00211DF0">
        <w:rPr>
          <w:lang w:val="en-US"/>
        </w:rPr>
        <w:t xml:space="preserve"> </w:t>
      </w:r>
      <w:r w:rsidR="009F098B" w:rsidRPr="00211DF0">
        <w:rPr>
          <w:lang w:val="en-US"/>
        </w:rPr>
        <w:fldChar w:fldCharType="begin" w:fldLock="1"/>
      </w:r>
      <w:r w:rsidR="009F098B" w:rsidRPr="00211DF0">
        <w:rPr>
          <w:lang w:val="en-US"/>
        </w:rPr>
        <w:instrText>ADDIN CSL_CITATION {"citationItems":[{"id":"ITEM-1","itemData":{"DOI":"10.1006/obhd.2000.2936","ISSN":"07495978","abstract":"Two experiments tested a sequential bargaining model with one-sided incomplete information and time discounting. The findings suggest that although the comparative statics of the normative model are somewhat descriptive of the qualitative features of the data, bargainers do not conform to the signaling process that underlies bargaining models with incomplete information. Rather than assess and refine a probabilistic assessment of the private information based on the informed bargainer's behavior, uninformed bargainers infer their opponents' competitiveness. Further, bargainers are unable to use cost of delay in the strategic manner dictated by the equilibrium solution. The evidence suggests that although bargaining behavior is primarily determined by situational constraints, bargainers attribute their opponents' behavior to personal disposition, such as their level of competitiveness. © 2001 Academic Press.","author":[{"dropping-particle":"","family":"Srivastava","given":"Joydeep","non-dropping-particle":"","parse-names":false,"suffix":""}],"container-title":"Organizational Behavior and Human Decision Processes","id":"ITEM-1","issue":"1","issued":{"date-parts":[["2001"]]},"page":"166-187","title":"The Role of Inferences in Sequential Bargaining with One-Sided Incomplete Information: Some Experimental Evidence","type":"article-journal","volume":"85"},"uris":["http://www.mendeley.com/documents/?uuid=3673c8ec-acc2-42e1-87aa-0ab8290e349a"]}],"mendeley":{"formattedCitation":"(Srivastava, 2001)","plainTextFormattedCitation":"(Srivastava, 2001)","previouslyFormattedCitation":"(Srivastava, 2001)"},"properties":{"noteIndex":0},"schema":"https://github.com/citation-style-language/schema/raw/master/csl-citation.json"}</w:instrText>
      </w:r>
      <w:r w:rsidR="009F098B" w:rsidRPr="00211DF0">
        <w:rPr>
          <w:lang w:val="en-US"/>
        </w:rPr>
        <w:fldChar w:fldCharType="separate"/>
      </w:r>
      <w:r w:rsidR="009F098B" w:rsidRPr="00211DF0">
        <w:rPr>
          <w:noProof/>
          <w:lang w:val="en-US"/>
        </w:rPr>
        <w:t>(Srivastava, 2001)</w:t>
      </w:r>
      <w:r w:rsidR="009F098B" w:rsidRPr="00211DF0">
        <w:rPr>
          <w:lang w:val="en-US"/>
        </w:rPr>
        <w:fldChar w:fldCharType="end"/>
      </w:r>
      <w:r w:rsidRPr="00211DF0">
        <w:rPr>
          <w:lang w:val="en-US"/>
        </w:rPr>
        <w:t xml:space="preserve">. </w:t>
      </w:r>
      <w:r w:rsidR="00F427AF" w:rsidRPr="00211DF0">
        <w:rPr>
          <w:lang w:val="en-US"/>
        </w:rPr>
        <w:t>Pot</w:t>
      </w:r>
      <w:r w:rsidR="00FF0F43" w:rsidRPr="00211DF0">
        <w:rPr>
          <w:lang w:val="en-US"/>
        </w:rPr>
        <w:t>ential licensees cannot objectively</w:t>
      </w:r>
      <w:r w:rsidR="00F427AF" w:rsidRPr="00211DF0">
        <w:rPr>
          <w:lang w:val="en-US"/>
        </w:rPr>
        <w:t xml:space="preserve"> observe the commercial value of a university’s patented technologies </w:t>
      </w:r>
      <w:r w:rsidR="000A3290" w:rsidRPr="00211DF0">
        <w:rPr>
          <w:lang w:val="en-US"/>
        </w:rPr>
        <w:t xml:space="preserve">but patent litigation provides them with a signal that </w:t>
      </w:r>
      <w:r w:rsidR="00FF0F43" w:rsidRPr="00211DF0">
        <w:rPr>
          <w:lang w:val="en-US"/>
        </w:rPr>
        <w:t>allows them to develop subjective perceptions</w:t>
      </w:r>
      <w:r w:rsidR="000A3290" w:rsidRPr="00211DF0">
        <w:rPr>
          <w:lang w:val="en-US"/>
        </w:rPr>
        <w:t xml:space="preserve">. </w:t>
      </w:r>
      <w:r w:rsidR="00CD5279" w:rsidRPr="00211DF0">
        <w:rPr>
          <w:lang w:val="en-US"/>
        </w:rPr>
        <w:t>These perceptions are not created in isolation but rely on a collective belief system</w:t>
      </w:r>
      <w:r w:rsidR="009F098B" w:rsidRPr="00211DF0">
        <w:rPr>
          <w:lang w:val="en-US"/>
        </w:rPr>
        <w:t xml:space="preserve"> </w:t>
      </w:r>
      <w:r w:rsidR="009F098B" w:rsidRPr="00211DF0">
        <w:rPr>
          <w:lang w:val="en-US"/>
        </w:rPr>
        <w:fldChar w:fldCharType="begin" w:fldLock="1"/>
      </w:r>
      <w:r w:rsidR="000C729D" w:rsidRPr="00211DF0">
        <w:rPr>
          <w:lang w:val="en-US"/>
        </w:rPr>
        <w:instrText>ADDIN CSL_CITATION {"citationItems":[{"id":"ITEM-1","itemData":{"DOI":"10.1002/smj.489","ISSN":"01432095","abstract":"We treat the sudden technology sector crash as a natural experiment to investigate how dramatic changes in resource availability in the e-commerce sector affect stock market response to interfirm alliances. This environmental jolt demarcated two distinctly different periods of e-commerce resource munificence: pre-crash, characterized by high munificence, and post-crash, characterized by low munificence. Using data on alliances involving 75 e-commerce firms from 1995 to 2001, we find that the stock market responds more favorably to alliances during the less munificent period. Further, stock market response to alliance partner and type is also affected by the change in environmental munificence between the two periods. Our findings demonstrate the importance of environmental conditions and how these affect stock market interpretation of signals inherent in alliance announcements. Copyright © 2005 John Wiley &amp; Sons, Ltd.","author":[{"dropping-particle":"","family":"Park","given":"Namgyoo K.","non-dropping-particle":"","parse-names":false,"suffix":""},{"dropping-particle":"","family":"Mezias","given":"John M.","non-dropping-particle":"","parse-names":false,"suffix":""}],"container-title":"Strategic Management Journal","id":"ITEM-1","issue":"11","issued":{"date-parts":[["2005"]]},"page":"987-1007","title":"Before and after the technology sector crash: The effect of environmental munificence on stock market response to alliances of e-commerce firms","type":"article-journal","volume":"26"},"uris":["http://www.mendeley.com/documents/?uuid=07b7b71c-cc50-4710-bf50-111a80b69416"]}],"mendeley":{"formattedCitation":"(Park and Mezias, 2005)","plainTextFormattedCitation":"(Park and Mezias, 2005)","previouslyFormattedCitation":"(Park and Mezias, 2005)"},"properties":{"noteIndex":0},"schema":"https://github.com/citation-style-language/schema/raw/master/csl-citation.json"}</w:instrText>
      </w:r>
      <w:r w:rsidR="009F098B" w:rsidRPr="00211DF0">
        <w:rPr>
          <w:lang w:val="en-US"/>
        </w:rPr>
        <w:fldChar w:fldCharType="separate"/>
      </w:r>
      <w:r w:rsidR="009F098B" w:rsidRPr="00211DF0">
        <w:rPr>
          <w:noProof/>
          <w:lang w:val="en-US"/>
        </w:rPr>
        <w:t>(Park and Mezias, 2005)</w:t>
      </w:r>
      <w:r w:rsidR="009F098B" w:rsidRPr="00211DF0">
        <w:rPr>
          <w:lang w:val="en-US"/>
        </w:rPr>
        <w:fldChar w:fldCharType="end"/>
      </w:r>
      <w:r w:rsidR="00CD5279" w:rsidRPr="00211DF0">
        <w:rPr>
          <w:lang w:val="en-US"/>
        </w:rPr>
        <w:t>.</w:t>
      </w:r>
      <w:r w:rsidR="000A3290" w:rsidRPr="00211DF0">
        <w:rPr>
          <w:lang w:val="en-US"/>
        </w:rPr>
        <w:t xml:space="preserve"> </w:t>
      </w:r>
      <w:r w:rsidR="00CD5279" w:rsidRPr="00211DF0">
        <w:rPr>
          <w:lang w:val="en-US"/>
        </w:rPr>
        <w:t xml:space="preserve">Within our context, this refers </w:t>
      </w:r>
      <w:r w:rsidR="00080E5A">
        <w:rPr>
          <w:lang w:val="en-US"/>
        </w:rPr>
        <w:t xml:space="preserve">to </w:t>
      </w:r>
      <w:r w:rsidR="00CD5279" w:rsidRPr="00211DF0">
        <w:rPr>
          <w:lang w:val="en-US"/>
        </w:rPr>
        <w:t xml:space="preserve">the collective belief system about the type of technology for which a plaintiff would </w:t>
      </w:r>
      <w:r w:rsidR="00DB78F1">
        <w:rPr>
          <w:lang w:val="en-US"/>
        </w:rPr>
        <w:t>litigate</w:t>
      </w:r>
      <w:r w:rsidR="00CD5279" w:rsidRPr="00211DF0">
        <w:rPr>
          <w:lang w:val="en-US"/>
        </w:rPr>
        <w:t xml:space="preserve"> and a university would defend it</w:t>
      </w:r>
      <w:r w:rsidR="00F12895" w:rsidRPr="00211DF0">
        <w:rPr>
          <w:lang w:val="en-US"/>
        </w:rPr>
        <w:t xml:space="preserve">s rights </w:t>
      </w:r>
      <w:r w:rsidR="00DB78F1">
        <w:rPr>
          <w:lang w:val="en-US"/>
        </w:rPr>
        <w:t>against litigation</w:t>
      </w:r>
      <w:r w:rsidR="00CD5279" w:rsidRPr="00211DF0">
        <w:rPr>
          <w:lang w:val="en-US"/>
        </w:rPr>
        <w:t xml:space="preserve">. </w:t>
      </w:r>
      <w:r w:rsidR="00F12895" w:rsidRPr="00211DF0">
        <w:rPr>
          <w:lang w:val="en-US"/>
        </w:rPr>
        <w:t xml:space="preserve">These decisions occur generally in situations in </w:t>
      </w:r>
      <w:r w:rsidR="00E63FF4" w:rsidRPr="00211DF0">
        <w:rPr>
          <w:lang w:val="en-US"/>
        </w:rPr>
        <w:t xml:space="preserve">which </w:t>
      </w:r>
      <w:r w:rsidR="00F12895" w:rsidRPr="00211DF0">
        <w:rPr>
          <w:lang w:val="en-US"/>
        </w:rPr>
        <w:t xml:space="preserve">patent rights confer </w:t>
      </w:r>
      <w:r w:rsidR="002C33E1" w:rsidRPr="00211DF0">
        <w:rPr>
          <w:lang w:val="en-US"/>
        </w:rPr>
        <w:t xml:space="preserve">substantial </w:t>
      </w:r>
      <w:r w:rsidR="00F12895" w:rsidRPr="00211DF0">
        <w:rPr>
          <w:lang w:val="en-US"/>
        </w:rPr>
        <w:t xml:space="preserve">competitive advantages for example, when they enable firms to generate rents from co-specialized resources, or when they facilitate product development and follow-on innovation </w:t>
      </w:r>
      <w:r w:rsidR="00F12895" w:rsidRPr="00211DF0">
        <w:rPr>
          <w:lang w:val="en-US"/>
        </w:rPr>
        <w:fldChar w:fldCharType="begin" w:fldLock="1"/>
      </w:r>
      <w:r w:rsidR="00F12895" w:rsidRPr="00211DF0">
        <w:rPr>
          <w:lang w:val="en-US"/>
        </w:rPr>
        <w:instrText>ADDIN CSL_CITATION {"citationItems":[{"id":"ITEM-1","itemData":{"DOI":"10.1016/S1048-4736(04)01504-8","ISBN":"0762311029","ISSN":"10484736","abstract":"Patent litigation has been rising rapidly in the United States since the mid-1980s, and particularly so in high-technology industries. The strategies pursued by firms with their patents have a significant influence on their decisions to file suit, and on the outcomes within litigation. The influence of strategic motivations on settlement outcomes is studied in two illustratively different industries - computers and research medicines. Evidence is found for two types of influences - the use of patents (as isolating mechanisms) to protect valuable strategic stakes, and their \"defensive\" role in obtaining access to external technologies (through mutual hold-up). © 2004 Elsevier Ltd. All rights reserved.","author":[{"dropping-particle":"","family":"Somaya","given":"Deepak","non-dropping-particle":"","parse-names":false,"suffix":""}],"container-title":"Advances in the Study of Entrepreneurship, Innovation, and Economic Growth","id":"ITEM-1","issue":"04","issued":{"date-parts":[["2004"]]},"page":"103-147","title":"Firm Strategies and Trends in Patent Litigation in the United States","type":"article-journal","volume":"15"},"uris":["http://www.mendeley.com/documents/?uuid=47461fcf-9a99-47a3-adf1-ae4f7e359b1d"]},{"id":"ITEM-2","itemData":{"DOI":"10.1177/0149206312444447","ISSN":"01492063","abstract":"This review reorganizes and reconceptualizes extant research on patent strategy, which has emerged from diverse roots in economics, law, and management. Accordingly, it is anticipated that this review will help provide structure and direction to what is currently a somewhat disparate and fractured field of study within management. The main proposed framework highlights two important themes within patent strategy research-generic patent strategies and the strategic management of patents. In addition, it is noted that research in each of these themes generally maps onto one or more of three key domains-rights, licensing, or enforcement-within which patent-related strategic actions are typically undertaken. Two summary tables of prior research are provided that juxtapose the three patent strategy domains with different theory lenses adopted in patent strategy research. Finally, the article highlights two promising areas whose connections with patent strategy are beginning to be addressed by research-firms' overall appropriability strategies and value creation strategies. An overarching conceptual figure maps the different research areas reviewed in the article and highlights the relationships between these research literatures. The reconceptualization and reframing of prior research advanced in this review promises to advance scholarship on patent strategy by illuminating its many links with the broader management field and by identifying opportunities to address important unanswered research questions. It thus provides a useful roadmap to help stimulate and guide future management research in this vital area. © The Author(s) 2012.","author":[{"dropping-particle":"","family":"Somaya","given":"Deepak","non-dropping-particle":"","parse-names":false,"suffix":""}],"container-title":"Journal of Management","id":"ITEM-2","issue":"4","issued":{"date-parts":[["2012"]]},"page":"1084-1114","title":"Patent Strategy and Management: An Integrative Review and Research Agenda","type":"article-journal","volume":"38"},"uris":["http://www.mendeley.com/documents/?uuid=8e73d8b6-aa88-4e0f-93df-64c4c5afdf47"]},{"id":"ITEM-3","itemData":{"DOI":"10.1002/smj.281","ISSN":"01432095","abstract":"Settlement outcomes in patent litigation are modeled as resulting from strategies pursued by firms with their patented technologies. Hypotheses are derived for two types of influences: the use of patents as isolating mechanisms to protect valuable strategic stakes, and their 'defensive' role in obtaining access to external technologies through mutual hold-up. Parameter estimates from a sample selection probit model provide support for the strategic stakes hypotheses, while the evidence for mutual hold-up is inconclusive. Interindustry comparisons show that nonsettlement of patent suits in both research medicines and computers is increased by strategic stakes and, in addition, mutual hold-up appears to play an important role in computer patent suits.","author":[{"dropping-particle":"","family":"Somaya","given":"Deepak","non-dropping-particle":"","parse-names":false,"suffix":""}],"container-title":"Strategic Management Journal","id":"ITEM-3","issue":"1","issued":{"date-parts":[["2003"]]},"page":"17-38","title":"Strategic determinants of decisions not to settle patent litigation","type":"article-journal","volume":"24"},"uris":["http://www.mendeley.com/documents/?uuid=7c793e9e-6d66-4973-8634-fbaa3510d741"]}],"mendeley":{"formattedCitation":"(Somaya, 2012, 2004, 2003)","plainTextFormattedCitation":"(Somaya, 2012, 2004, 2003)","previouslyFormattedCitation":"(Somaya, 2012, 2004, 2003)"},"properties":{"noteIndex":0},"schema":"https://github.com/citation-style-language/schema/raw/master/csl-citation.json"}</w:instrText>
      </w:r>
      <w:r w:rsidR="00F12895" w:rsidRPr="00211DF0">
        <w:rPr>
          <w:lang w:val="en-US"/>
        </w:rPr>
        <w:fldChar w:fldCharType="separate"/>
      </w:r>
      <w:r w:rsidR="00F12895" w:rsidRPr="00211DF0">
        <w:rPr>
          <w:noProof/>
          <w:lang w:val="en-US"/>
        </w:rPr>
        <w:t>(Somaya, 2012, 2004, 2003)</w:t>
      </w:r>
      <w:r w:rsidR="00F12895" w:rsidRPr="00211DF0">
        <w:rPr>
          <w:lang w:val="en-US"/>
        </w:rPr>
        <w:fldChar w:fldCharType="end"/>
      </w:r>
      <w:r w:rsidR="00F12895" w:rsidRPr="00211DF0">
        <w:rPr>
          <w:lang w:val="en-US"/>
        </w:rPr>
        <w:t>.</w:t>
      </w:r>
      <w:r w:rsidR="006656CC" w:rsidRPr="00211DF0">
        <w:rPr>
          <w:lang w:val="en-US"/>
        </w:rPr>
        <w:t xml:space="preserve"> </w:t>
      </w:r>
      <w:r w:rsidR="00C75E6D" w:rsidRPr="00211DF0">
        <w:rPr>
          <w:lang w:val="en-US"/>
        </w:rPr>
        <w:t xml:space="preserve">Hence, a potential licensee is likely to infer that the plaintiff has private information about the competitive value of a university’s patents that is important enough to incur the substantial costs of litigation </w:t>
      </w:r>
      <w:r w:rsidR="00046F9D" w:rsidRPr="00211DF0">
        <w:rPr>
          <w:lang w:val="en-US"/>
        </w:rPr>
        <w:fldChar w:fldCharType="begin" w:fldLock="1"/>
      </w:r>
      <w:r w:rsidR="00046F9D" w:rsidRPr="00211DF0">
        <w:rPr>
          <w:lang w:val="en-US"/>
        </w:rPr>
        <w:instrText>ADDIN CSL_CITATION {"citationItems":[{"id":"ITEM-1","itemData":{"DOI":"10.1007/s10657-014-9472-x","ISSN":"15729990","abstract":"This paper looks at the decision to settle patent litigation in Germany by focusing on detailed data on within-trial actions and motivations by plaintiff, defendant and the courts. Using a new dataset covering about 80 % of all patent litigation cases in Germany between 2000 and 2008 we estimate the likelihood of within-trial settlement. We find that the within-trial settlement decision is to some degree driven by the proceedings that change the pre-trial setting of the negotiations in terms of information and stakes and make previously refused settlement a new option. Additionally, firm-specific stakes as measured by the relation of the involved parties to the disputed patent as well as firm-specific strategies are found to affect the general willingness to settle after the filing of a court case. The results suggest that pre-trial failure of settlement negotiations can to some extent be offset by within-trial settlement through efforts made by the court, but that the disposition to settle is to a larger degree determined by firm-specific stakes and strategies in the case.","author":[{"dropping-particle":"","family":"Cremers","given":"Katrin","non-dropping-particle":"","parse-names":false,"suffix":""},{"dropping-particle":"","family":"Schliessler","given":"Paula","non-dropping-particle":"","parse-names":false,"suffix":""}],"container-title":"European Journal of Law and Economics","id":"ITEM-1","issue":"2","issued":{"date-parts":[["2015"]]},"page":"185-208","publisher":"Springer US","title":"Patent litigation settlement in Germany: why parties settle during trial","type":"article-journal","volume":"40"},"uris":["http://www.mendeley.com/documents/?uuid=04ab45d3-1ab8-4e30-a0e1-4a25cc2c97f0"]},{"id":"ITEM-2","itemData":{"DOI":"10.1086/467397","ISSN":"00222186","abstract":"Both asymmetric information (AI) and divergent expectations (DE) theories offer possible explanations of the litigation puzzle. Under DE, cases proceed to trial when, by chance, the plaintiff is more optimistic than the defendant. As the fraction of cases tried (T) declines, this leads to a tendency toward 50 percent plaintiff win rates at trial (P), regardless of the fraction of plaintiff winners in the filed population. Under AI, by contrast, informed parties proceed to trial only when they expect to win. Hence, as the fraction of cases tried declines, plaintiff win rates at trial tends toward either 0 or 1. I present evidence that the relationship between T and P generated by the litigation process is consistent with DE and not AI. I also offer evidence of the presence of AI early in litigation in the form of one-sided plaintiff win rates in cases adjudicated prior to trial. I reconcile these two findings with evidence that pretrial adjudication and settlement culls both likely plaintiff winners and likely plaintiff losers from the filed pool, causing a tendency toward central rather than extreme plaintiff win rates at trial.","author":[{"dropping-particle":"","family":"Waldfogel","given":"Joel","non-dropping-particle":"","parse-names":false,"suffix":""}],"container-title":"Journal of Law and Economics","id":"ITEM-2","issue":"2","issued":{"date-parts":[["1998"]]},"page":"451-476","title":"Reconciling asymmetric information and divergent expectations theories of litigation","type":"article-journal","volume":"41"},"uris":["http://www.mendeley.com/documents/?uuid=5a10b0d7-1045-49a0-8c14-7a91f5172b60"]}],"mendeley":{"formattedCitation":"(Cremers and Schliessler, 2015; Waldfogel, 1998)","plainTextFormattedCitation":"(Cremers and Schliessler, 2015; Waldfogel, 1998)","previouslyFormattedCitation":"(Cremers and Schliessler, 2015; Waldfogel, 1998)"},"properties":{"noteIndex":0},"schema":"https://github.com/citation-style-language/schema/raw/master/csl-citation.json"}</w:instrText>
      </w:r>
      <w:r w:rsidR="00046F9D" w:rsidRPr="00211DF0">
        <w:rPr>
          <w:lang w:val="en-US"/>
        </w:rPr>
        <w:fldChar w:fldCharType="separate"/>
      </w:r>
      <w:r w:rsidR="00046F9D" w:rsidRPr="00211DF0">
        <w:rPr>
          <w:noProof/>
          <w:lang w:val="en-US"/>
        </w:rPr>
        <w:t>(Cremers and Schliessler, 2015; Waldfogel, 1998)</w:t>
      </w:r>
      <w:r w:rsidR="00046F9D" w:rsidRPr="00211DF0">
        <w:rPr>
          <w:lang w:val="en-US"/>
        </w:rPr>
        <w:fldChar w:fldCharType="end"/>
      </w:r>
      <w:bookmarkStart w:id="3" w:name="_Hlk73715635"/>
      <w:r w:rsidR="00922144" w:rsidRPr="00211DF0">
        <w:rPr>
          <w:lang w:val="en-US"/>
        </w:rPr>
        <w:t xml:space="preserve">. </w:t>
      </w:r>
      <w:bookmarkEnd w:id="3"/>
      <w:r w:rsidR="007B5982" w:rsidRPr="00211DF0">
        <w:rPr>
          <w:lang w:val="en-US"/>
        </w:rPr>
        <w:t xml:space="preserve">Potential licensees may therefore reasonably conclude that the </w:t>
      </w:r>
      <w:r w:rsidR="00CC00BF">
        <w:rPr>
          <w:lang w:val="en-US"/>
        </w:rPr>
        <w:t xml:space="preserve">substantial </w:t>
      </w:r>
      <w:r w:rsidR="007B5982" w:rsidRPr="00211DF0">
        <w:rPr>
          <w:lang w:val="en-US"/>
        </w:rPr>
        <w:t xml:space="preserve">commercial value of </w:t>
      </w:r>
      <w:r w:rsidR="00E63FF4" w:rsidRPr="00211DF0">
        <w:rPr>
          <w:lang w:val="en-US"/>
        </w:rPr>
        <w:t>a university’s</w:t>
      </w:r>
      <w:r w:rsidR="000F45BA" w:rsidRPr="00211DF0">
        <w:rPr>
          <w:lang w:val="en-US"/>
        </w:rPr>
        <w:t xml:space="preserve"> patents </w:t>
      </w:r>
      <w:r w:rsidR="00CC00BF">
        <w:rPr>
          <w:lang w:val="en-US"/>
        </w:rPr>
        <w:t>is</w:t>
      </w:r>
      <w:r w:rsidR="000F45BA" w:rsidRPr="00211DF0">
        <w:rPr>
          <w:lang w:val="en-US"/>
        </w:rPr>
        <w:t xml:space="preserve"> not limited to the </w:t>
      </w:r>
      <w:r w:rsidR="00C55472">
        <w:rPr>
          <w:lang w:val="en-US"/>
        </w:rPr>
        <w:t>technologies</w:t>
      </w:r>
      <w:r w:rsidR="00C55472" w:rsidRPr="00211DF0">
        <w:rPr>
          <w:lang w:val="en-US"/>
        </w:rPr>
        <w:t xml:space="preserve"> </w:t>
      </w:r>
      <w:r w:rsidR="00777F79" w:rsidRPr="00211DF0">
        <w:rPr>
          <w:lang w:val="en-US"/>
        </w:rPr>
        <w:t xml:space="preserve">that </w:t>
      </w:r>
      <w:r w:rsidR="00CC00BF">
        <w:rPr>
          <w:lang w:val="en-US"/>
        </w:rPr>
        <w:t>are</w:t>
      </w:r>
      <w:r w:rsidR="00777F79" w:rsidRPr="00211DF0">
        <w:rPr>
          <w:lang w:val="en-US"/>
        </w:rPr>
        <w:t xml:space="preserve"> currently litigated but appl</w:t>
      </w:r>
      <w:r w:rsidR="0080622B">
        <w:rPr>
          <w:lang w:val="en-US"/>
        </w:rPr>
        <w:t>i</w:t>
      </w:r>
      <w:r w:rsidR="00CC00BF">
        <w:rPr>
          <w:lang w:val="en-US"/>
        </w:rPr>
        <w:t>es</w:t>
      </w:r>
      <w:r w:rsidR="00777F79" w:rsidRPr="00211DF0">
        <w:rPr>
          <w:lang w:val="en-US"/>
        </w:rPr>
        <w:t xml:space="preserve"> to the wider set of university technologies. </w:t>
      </w:r>
      <w:r w:rsidR="006D6F15" w:rsidRPr="00211DF0">
        <w:rPr>
          <w:lang w:val="en-US"/>
        </w:rPr>
        <w:t xml:space="preserve">These inferences would make </w:t>
      </w:r>
      <w:r w:rsidR="00B0482E" w:rsidRPr="00211DF0">
        <w:rPr>
          <w:lang w:val="en-US"/>
        </w:rPr>
        <w:t xml:space="preserve">universities defending </w:t>
      </w:r>
      <w:r w:rsidR="00DB78F1">
        <w:rPr>
          <w:lang w:val="en-US"/>
        </w:rPr>
        <w:t>against patent litigation</w:t>
      </w:r>
      <w:r w:rsidR="00B0482E" w:rsidRPr="00211DF0">
        <w:rPr>
          <w:lang w:val="en-US"/>
        </w:rPr>
        <w:t xml:space="preserve"> more attractive licensing partners which should ultimately increase their licensing income.</w:t>
      </w:r>
    </w:p>
    <w:p w14:paraId="2417F1F1" w14:textId="19C130F7" w:rsidR="005F78A6" w:rsidRPr="00211DF0" w:rsidRDefault="006B0C4F" w:rsidP="005F78A6">
      <w:pPr>
        <w:rPr>
          <w:lang w:val="en-US"/>
        </w:rPr>
      </w:pPr>
      <w:r w:rsidRPr="00211DF0">
        <w:rPr>
          <w:lang w:val="en-US"/>
        </w:rPr>
        <w:t xml:space="preserve">Naturally, the positive signaling effects should be judged relative to the substantial administrative costs for universities defending </w:t>
      </w:r>
      <w:r w:rsidR="00DB78F1">
        <w:rPr>
          <w:lang w:val="en-US"/>
        </w:rPr>
        <w:t xml:space="preserve">against </w:t>
      </w:r>
      <w:r w:rsidRPr="00211DF0">
        <w:rPr>
          <w:lang w:val="en-US"/>
        </w:rPr>
        <w:t>patent</w:t>
      </w:r>
      <w:r w:rsidR="00DB78F1">
        <w:rPr>
          <w:lang w:val="en-US"/>
        </w:rPr>
        <w:t xml:space="preserve"> litigation</w:t>
      </w:r>
      <w:r w:rsidRPr="00211DF0">
        <w:rPr>
          <w:lang w:val="en-US"/>
        </w:rPr>
        <w:t>.</w:t>
      </w:r>
      <w:r w:rsidR="005F78A6" w:rsidRPr="00211DF0">
        <w:rPr>
          <w:lang w:val="en-US"/>
        </w:rPr>
        <w:t xml:space="preserve"> The limited existing research suggests that involvement in patent litigation has adverse effects on university technology licensing efforts, principally due to the high attentional costs, which limit the capacity of TTOs to develop new licensing agreements </w:t>
      </w:r>
      <w:r w:rsidR="005F78A6" w:rsidRPr="00211DF0">
        <w:rPr>
          <w:lang w:val="en-US"/>
        </w:rPr>
        <w:fldChar w:fldCharType="begin" w:fldLock="1"/>
      </w:r>
      <w:r w:rsidR="00021986">
        <w:rPr>
          <w:lang w:val="en-US"/>
        </w:rPr>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efforts","type":"article-journal","volume":"63"},"uris":["http://www.mendeley.com/documents/?uuid=d01082fe-3071-45b1-b4b7-e8b95731a296"]}],"mendeley":{"formattedCitation":"(Shane and Somaya, 2007)","manualFormatting":"(Shane and Somaya, 2007)","plainTextFormattedCitation":"(Shane and Somaya, 2007)","previouslyFormattedCitation":"(Shane and Somaya, 2007)"},"properties":{"noteIndex":0},"schema":"https://github.com/citation-style-language/schema/raw/master/csl-citation.json"}</w:instrText>
      </w:r>
      <w:r w:rsidR="005F78A6" w:rsidRPr="00211DF0">
        <w:rPr>
          <w:lang w:val="en-US"/>
        </w:rPr>
        <w:fldChar w:fldCharType="separate"/>
      </w:r>
      <w:r w:rsidR="005F78A6" w:rsidRPr="00211DF0">
        <w:rPr>
          <w:noProof/>
          <w:lang w:val="en-US"/>
        </w:rPr>
        <w:t xml:space="preserve">(Shane </w:t>
      </w:r>
      <w:r w:rsidR="00021986">
        <w:rPr>
          <w:noProof/>
          <w:lang w:val="en-US"/>
        </w:rPr>
        <w:t>and</w:t>
      </w:r>
      <w:r w:rsidR="005F78A6" w:rsidRPr="00211DF0">
        <w:rPr>
          <w:noProof/>
          <w:lang w:val="en-US"/>
        </w:rPr>
        <w:t xml:space="preserve"> Somaya, 2007)</w:t>
      </w:r>
      <w:r w:rsidR="005F78A6" w:rsidRPr="00211DF0">
        <w:rPr>
          <w:lang w:val="en-US"/>
        </w:rPr>
        <w:fldChar w:fldCharType="end"/>
      </w:r>
      <w:r w:rsidR="005F78A6" w:rsidRPr="00211DF0">
        <w:rPr>
          <w:lang w:val="en-US"/>
        </w:rPr>
        <w:t xml:space="preserve">. </w:t>
      </w:r>
      <w:r w:rsidR="00437F68" w:rsidRPr="00211DF0">
        <w:rPr>
          <w:lang w:val="en-US"/>
        </w:rPr>
        <w:t xml:space="preserve">We formulate a testable hypothesis for the positive signaling effect of universities defending </w:t>
      </w:r>
      <w:r w:rsidR="00DB78F1">
        <w:rPr>
          <w:lang w:val="en-US"/>
        </w:rPr>
        <w:t>against patent litigation</w:t>
      </w:r>
      <w:r w:rsidR="00437F68" w:rsidRPr="00211DF0">
        <w:rPr>
          <w:lang w:val="en-US"/>
        </w:rPr>
        <w:t xml:space="preserve"> on their licensing income while being cognizant of the fact that the presence of substantial TTO attention tradeoffs reduce</w:t>
      </w:r>
      <w:r w:rsidR="007E4E88" w:rsidRPr="00211DF0">
        <w:rPr>
          <w:lang w:val="en-US"/>
        </w:rPr>
        <w:t>s</w:t>
      </w:r>
      <w:r w:rsidR="00437F68" w:rsidRPr="00211DF0">
        <w:rPr>
          <w:lang w:val="en-US"/>
        </w:rPr>
        <w:t xml:space="preserve"> the odds of finding significant </w:t>
      </w:r>
      <w:r w:rsidR="007E4E88" w:rsidRPr="00211DF0">
        <w:rPr>
          <w:lang w:val="en-US"/>
        </w:rPr>
        <w:t>effects</w:t>
      </w:r>
      <w:r w:rsidR="00437F68" w:rsidRPr="00211DF0">
        <w:rPr>
          <w:lang w:val="en-US"/>
        </w:rPr>
        <w:t>.</w:t>
      </w:r>
    </w:p>
    <w:p w14:paraId="10814FC0" w14:textId="0902102F" w:rsidR="00A76876" w:rsidRPr="00211DF0" w:rsidRDefault="009F52A5" w:rsidP="00FB283A">
      <w:pPr>
        <w:rPr>
          <w:b/>
          <w:lang w:val="en-US"/>
        </w:rPr>
      </w:pPr>
      <w:r w:rsidRPr="00211DF0">
        <w:rPr>
          <w:lang w:val="en-US"/>
        </w:rPr>
        <w:lastRenderedPageBreak/>
        <w:t xml:space="preserve">In sum, </w:t>
      </w:r>
      <w:r w:rsidR="001A2A3F" w:rsidRPr="00211DF0">
        <w:rPr>
          <w:lang w:val="en-US"/>
        </w:rPr>
        <w:t xml:space="preserve">we conclude that universities becoming defendants in patent litigation sends unintended signals about the commercial value of their patents to potential licensees. The latter are likely to respond to the patent litigation signal because of the strength of the signal which is publicly observable and often times covered in the media. </w:t>
      </w:r>
      <w:r w:rsidR="00882B11" w:rsidRPr="00211DF0">
        <w:rPr>
          <w:lang w:val="en-US"/>
        </w:rPr>
        <w:t xml:space="preserve">What is more, they can infer from the patent litigation signal that the university’s </w:t>
      </w:r>
      <w:r w:rsidR="0004218E">
        <w:rPr>
          <w:lang w:val="en-US"/>
        </w:rPr>
        <w:t>technology</w:t>
      </w:r>
      <w:r w:rsidR="0004218E" w:rsidRPr="00211DF0">
        <w:rPr>
          <w:lang w:val="en-US"/>
        </w:rPr>
        <w:t xml:space="preserve"> </w:t>
      </w:r>
      <w:r w:rsidR="00882B11" w:rsidRPr="00211DF0">
        <w:rPr>
          <w:lang w:val="en-US"/>
        </w:rPr>
        <w:t>ha</w:t>
      </w:r>
      <w:r w:rsidR="0004218E">
        <w:rPr>
          <w:lang w:val="en-US"/>
        </w:rPr>
        <w:t>s</w:t>
      </w:r>
      <w:r w:rsidR="00882B11" w:rsidRPr="00211DF0">
        <w:rPr>
          <w:lang w:val="en-US"/>
        </w:rPr>
        <w:t xml:space="preserve"> substantial competitive importance for plaintiffs and the university to engage in a litigation instead of settling the dispute out of court. </w:t>
      </w:r>
      <w:r w:rsidR="00020602" w:rsidRPr="00211DF0">
        <w:rPr>
          <w:lang w:val="en-US"/>
        </w:rPr>
        <w:t>Hence, potential license</w:t>
      </w:r>
      <w:r w:rsidR="009839E9">
        <w:rPr>
          <w:lang w:val="en-US"/>
        </w:rPr>
        <w:t>e</w:t>
      </w:r>
      <w:r w:rsidR="00020602" w:rsidRPr="00211DF0">
        <w:rPr>
          <w:lang w:val="en-US"/>
        </w:rPr>
        <w:t>s are likely to perceive the technologies of those universitie</w:t>
      </w:r>
      <w:r w:rsidR="0034605A" w:rsidRPr="00211DF0">
        <w:rPr>
          <w:lang w:val="en-US"/>
        </w:rPr>
        <w:t>s as having comparatively more commercial value and are worth licensing</w:t>
      </w:r>
      <w:r w:rsidR="00DD7E3A" w:rsidRPr="00211DF0">
        <w:rPr>
          <w:lang w:val="en-US"/>
        </w:rPr>
        <w:t xml:space="preserve">, </w:t>
      </w:r>
      <w:r w:rsidR="0034605A" w:rsidRPr="00211DF0">
        <w:rPr>
          <w:lang w:val="en-US"/>
        </w:rPr>
        <w:t>T</w:t>
      </w:r>
      <w:r w:rsidR="00DD7E3A" w:rsidRPr="00211DF0">
        <w:rPr>
          <w:lang w:val="en-US"/>
        </w:rPr>
        <w:t>herefore</w:t>
      </w:r>
      <w:r w:rsidR="0034605A" w:rsidRPr="00211DF0">
        <w:rPr>
          <w:lang w:val="en-US"/>
        </w:rPr>
        <w:t>,</w:t>
      </w:r>
      <w:r w:rsidR="00DD7E3A" w:rsidRPr="00211DF0">
        <w:rPr>
          <w:lang w:val="en-US"/>
        </w:rPr>
        <w:t xml:space="preserve"> we hypothesize:</w:t>
      </w:r>
    </w:p>
    <w:p w14:paraId="329BE33E" w14:textId="214C7B96" w:rsidR="00B64E31" w:rsidRPr="00211DF0" w:rsidRDefault="00B64E31" w:rsidP="00E95462">
      <w:pPr>
        <w:widowControl w:val="0"/>
        <w:spacing w:after="240"/>
        <w:ind w:left="567" w:right="573" w:firstLine="0"/>
        <w:rPr>
          <w:i/>
          <w:lang w:val="en-US"/>
        </w:rPr>
      </w:pPr>
      <w:r w:rsidRPr="00211DF0">
        <w:rPr>
          <w:i/>
          <w:lang w:val="en-US"/>
        </w:rPr>
        <w:t xml:space="preserve">Hypothesis 1: </w:t>
      </w:r>
      <w:r w:rsidR="0055439B">
        <w:rPr>
          <w:i/>
          <w:lang w:val="en-US"/>
        </w:rPr>
        <w:t>Controlling for prior licensing activity, t</w:t>
      </w:r>
      <w:r w:rsidR="00A76876" w:rsidRPr="00211DF0">
        <w:rPr>
          <w:i/>
          <w:lang w:val="en-US"/>
        </w:rPr>
        <w:t>he licensing income of universities increases with the number of patent litigation cases that they face as d</w:t>
      </w:r>
      <w:r w:rsidR="00D376F0" w:rsidRPr="00211DF0">
        <w:rPr>
          <w:i/>
          <w:lang w:val="en-US"/>
        </w:rPr>
        <w:t>efendants.</w:t>
      </w:r>
    </w:p>
    <w:p w14:paraId="45CD656D" w14:textId="067FFB80" w:rsidR="009C6C1B" w:rsidRPr="00211DF0" w:rsidRDefault="00D376F0" w:rsidP="009C6C1B">
      <w:pPr>
        <w:pStyle w:val="Heading2"/>
      </w:pPr>
      <w:r w:rsidRPr="00211DF0">
        <w:t>Boundary conditions for the strength of the signaling effect from patent litigation</w:t>
      </w:r>
    </w:p>
    <w:p w14:paraId="572E1203" w14:textId="2F339957" w:rsidR="009F4616" w:rsidRPr="00211DF0" w:rsidRDefault="00AB7A8C" w:rsidP="00E71F2E">
      <w:pPr>
        <w:ind w:firstLine="0"/>
        <w:rPr>
          <w:lang w:val="en-US"/>
        </w:rPr>
      </w:pPr>
      <w:r>
        <w:rPr>
          <w:lang w:val="en-US"/>
        </w:rPr>
        <w:t xml:space="preserve">We establish boundary conditions for isolating the </w:t>
      </w:r>
      <w:r w:rsidR="00C4064D">
        <w:rPr>
          <w:lang w:val="en-US"/>
        </w:rPr>
        <w:t xml:space="preserve">signaling mechanism which is at the heart of our theorizing. </w:t>
      </w:r>
      <w:r w:rsidR="00AD2DB6" w:rsidRPr="00211DF0">
        <w:rPr>
          <w:lang w:val="en-US"/>
        </w:rPr>
        <w:t xml:space="preserve">An important assumption in our theoretical reasoning is that potential licensees will interpret </w:t>
      </w:r>
      <w:r w:rsidR="009D3D65">
        <w:rPr>
          <w:lang w:val="en-US"/>
        </w:rPr>
        <w:t xml:space="preserve">a </w:t>
      </w:r>
      <w:r w:rsidR="00AD2DB6" w:rsidRPr="00211DF0">
        <w:rPr>
          <w:lang w:val="en-US"/>
        </w:rPr>
        <w:t xml:space="preserve">university’s defending </w:t>
      </w:r>
      <w:r w:rsidR="00DB78F1">
        <w:rPr>
          <w:lang w:val="en-US"/>
        </w:rPr>
        <w:t>against patent litigation</w:t>
      </w:r>
      <w:r w:rsidR="00AD2DB6" w:rsidRPr="00211DF0">
        <w:rPr>
          <w:lang w:val="en-US"/>
        </w:rPr>
        <w:t xml:space="preserve"> as a signal for the commercial value of its technologies. However, this inference may not apply for all types of universities and all types of patent litigations. </w:t>
      </w:r>
      <w:r w:rsidR="00114C09" w:rsidRPr="00211DF0">
        <w:rPr>
          <w:lang w:val="en-US"/>
        </w:rPr>
        <w:t>We reason that the strength of the</w:t>
      </w:r>
      <w:r w:rsidR="009F4616" w:rsidRPr="00211DF0">
        <w:rPr>
          <w:lang w:val="en-US"/>
        </w:rPr>
        <w:t xml:space="preserve"> signal</w:t>
      </w:r>
      <w:r w:rsidR="00114C09" w:rsidRPr="00211DF0">
        <w:rPr>
          <w:lang w:val="en-US"/>
        </w:rPr>
        <w:t>ing effect depends on the consistency of the patent litigation signal with university and litigation attributes</w:t>
      </w:r>
      <w:r w:rsidR="009F4616" w:rsidRPr="00211DF0">
        <w:rPr>
          <w:lang w:val="en-US"/>
        </w:rPr>
        <w:t xml:space="preserve"> </w:t>
      </w:r>
      <w:r w:rsidR="009F4616" w:rsidRPr="00211DF0">
        <w:rPr>
          <w:lang w:val="en-US"/>
        </w:rPr>
        <w:fldChar w:fldCharType="begin" w:fldLock="1"/>
      </w:r>
      <w:r w:rsidR="004B2CF8" w:rsidRPr="00211DF0">
        <w:rPr>
          <w:lang w:val="en-US"/>
        </w:rPr>
        <w:instrText>ADDIN CSL_CITATION {"citationItems":[{"id":"ITEM-1","itemData":{"DOI":"10.1177/0149206310388419","ISSN":"01492063","abstract":"Signaling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assessment","type":"article-journal","volume":"37"},"uris":["http://www.mendeley.com/documents/?uuid=19ef3456-a348-456b-b72d-ab43a2d05a2c"]},{"id":"ITEM-2","itemData":{"DOI":"10.1002/smj.287","ISSN":"01432095","abstract":"This paper investigates the contingent value of interorganizational relationships at the time of a young firm's initial public offering (IPO). We compare the signaling value to young firms of having ties with two types of interorganizational partnerships: endorsement relationships such as those with venture capital firms and investment banks, and strategic alliance partnerships. We propose that, under different equity market conditions, potential investors in an issuing firm attend to different types of uncertainty; attention to these different types of uncertainty affects investors' perceptions of the relative value of a young firm's different kinds of endorsements and partnerships and, hence, IPO success. Results from a sample of young biotechnology firms show that ties to prominent venture capital firms are particularly beneficial to IPO success during cold markets, while ties to prominent investment banks are particularly beneficial to IPO success during hot markets; a firm's strategic alliances with major pharmaceutical/health care firms did riot have such contingent effects. Implications for understanding the contingent value of interorganizational ties are discussed. Copyright © 2003 John Wiley &amp; Sons, Ltd.","author":[{"dropping-particle":"","family":"Gulati","given":"Ranjay","non-dropping-particle":"","parse-names":false,"suffix":""},{"dropping-particle":"","family":"Higgins","given":"Monica C.","non-dropping-particle":"","parse-names":false,"suffix":""}],"container-title":"Strategic Management Journal","id":"ITEM-2","issue":"2","issued":{"date-parts":[["2003"]]},"page":"127-144","title":"Which ties matter when? The contingent effects of interorganizational partnerships on IPO success","type":"article-journal","volume":"24"},"uris":["http://www.mendeley.com/documents/?uuid=57ea7b27-2502-42f8-944c-91a548d426cc"]}],"mendeley":{"formattedCitation":"(Connelly et al., 2011; Gulati and Higgins, 2003)","plainTextFormattedCitation":"(Connelly et al., 2011; Gulati and Higgins, 2003)","previouslyFormattedCitation":"(Connelly et al., 2011; Gulati and Higgins, 2003)"},"properties":{"noteIndex":0},"schema":"https://github.com/citation-style-language/schema/raw/master/csl-citation.json"}</w:instrText>
      </w:r>
      <w:r w:rsidR="009F4616" w:rsidRPr="00211DF0">
        <w:rPr>
          <w:lang w:val="en-US"/>
        </w:rPr>
        <w:fldChar w:fldCharType="separate"/>
      </w:r>
      <w:r w:rsidR="0057137E" w:rsidRPr="00211DF0">
        <w:rPr>
          <w:noProof/>
          <w:lang w:val="en-US"/>
        </w:rPr>
        <w:t>(Connelly et al., 2011; Gulati and Higgins, 2003)</w:t>
      </w:r>
      <w:r w:rsidR="009F4616" w:rsidRPr="00211DF0">
        <w:rPr>
          <w:lang w:val="en-US"/>
        </w:rPr>
        <w:fldChar w:fldCharType="end"/>
      </w:r>
      <w:r w:rsidR="0057137E" w:rsidRPr="00211DF0">
        <w:rPr>
          <w:lang w:val="en-US"/>
        </w:rPr>
        <w:t>.</w:t>
      </w:r>
      <w:r w:rsidR="004B2CF8" w:rsidRPr="00211DF0">
        <w:rPr>
          <w:lang w:val="en-US"/>
        </w:rPr>
        <w:t xml:space="preserve"> The consistency of a signal concerns the concordance of multiple signals from a single so</w:t>
      </w:r>
      <w:r w:rsidR="00865DDF" w:rsidRPr="00211DF0">
        <w:rPr>
          <w:lang w:val="en-US"/>
        </w:rPr>
        <w:t xml:space="preserve">urce, meaning that signaling behavior needs to be consistent with other signals that might be perceived by external parties </w:t>
      </w:r>
      <w:r w:rsidR="00865DDF" w:rsidRPr="00211DF0">
        <w:rPr>
          <w:lang w:val="en-US"/>
        </w:rPr>
        <w:fldChar w:fldCharType="begin" w:fldLock="1"/>
      </w:r>
      <w:r w:rsidR="00865DDF" w:rsidRPr="00211DF0">
        <w:rPr>
          <w:lang w:val="en-US"/>
        </w:rPr>
        <w:instrText>ADDIN CSL_CITATION {"citationItems":[{"id":"ITEM-1","itemData":{"DOI":"10.1177/0149206310388419","ISSN":"01492063","abstract":"Signaling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 The Author(s) 2011.","author":[{"dropping-particle":"","family":"Connelly","given":"Brian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assessment","type":"article-journal","volume":"37"},"uris":["http://www.mendeley.com/documents/?uuid=19ef3456-a348-456b-b72d-ab43a2d05a2c"]},{"id":"ITEM-2","itemData":{"DOI":"10.1177/0021943607309349","ISBN":"0021943607309","ISSN":"00219436","abstract":"A clear corporate strategy communication can be a signal to financial analysts and public investors at the time of an initial public offering (IPO). This study examines IPO prospectuses of 57 biotechnology firms listed on the NASDAQ between 1997 and 2002. Using regression analysis, this article shows that the clarity, intensity, and consistency of the corporate strategy signal are not strong enough to affect the 1st-day initial returns. However, consistent communication of a prospector strategy negatively impacts 30-day initial returns, whereas consistent communication of a defender strategy positively impacts 30-day initial returns. © 2008 by the Association for Business Communication.","author":[{"dropping-particle":"","family":"Gao","given":"Hongzhi","non-dropping-particle":"","parse-names":false,"suffix":""},{"dropping-particle":"","family":"Darroch","given":"Jenny","non-dropping-particle":"","parse-names":false,"suffix":""},{"dropping-particle":"","family":"Mather","given":"Damien","non-dropping-particle":"","parse-names":false,"suffix":""},{"dropping-particle":"","family":"MacGregor","given":"Alan","non-dropping-particle":"","parse-names":false,"suffix":""}],"container-title":"Journal of Business Communication","id":"ITEM-2","issue":"1","issued":{"date-parts":[["2008"]]},"page":"3-30","title":"Signaling corporate strategy in IPO communication: A study of biotechnology IPOs on the NASDAQ","type":"article-journal","volume":"45"},"uris":["http://www.mendeley.com/documents/?uuid=2e196d98-bc72-4977-99e4-cdceb372b30b"]}],"mendeley":{"formattedCitation":"(Connelly et al., 2011; Gao et al., 2008)","plainTextFormattedCitation":"(Connelly et al., 2011; Gao et al., 2008)","previouslyFormattedCitation":"(Connelly et al., 2011; Gao et al., 2008)"},"properties":{"noteIndex":0},"schema":"https://github.com/citation-style-language/schema/raw/master/csl-citation.json"}</w:instrText>
      </w:r>
      <w:r w:rsidR="00865DDF" w:rsidRPr="00211DF0">
        <w:rPr>
          <w:lang w:val="en-US"/>
        </w:rPr>
        <w:fldChar w:fldCharType="separate"/>
      </w:r>
      <w:r w:rsidR="00865DDF" w:rsidRPr="00211DF0">
        <w:rPr>
          <w:noProof/>
          <w:lang w:val="en-US"/>
        </w:rPr>
        <w:t>(Connelly et al., 2011; Gao et al., 2008)</w:t>
      </w:r>
      <w:r w:rsidR="00865DDF" w:rsidRPr="00211DF0">
        <w:rPr>
          <w:lang w:val="en-US"/>
        </w:rPr>
        <w:fldChar w:fldCharType="end"/>
      </w:r>
      <w:r w:rsidR="00865DDF" w:rsidRPr="00211DF0">
        <w:rPr>
          <w:lang w:val="en-US"/>
        </w:rPr>
        <w:t>.</w:t>
      </w:r>
      <w:r w:rsidR="00640CAD" w:rsidRPr="00211DF0">
        <w:rPr>
          <w:lang w:val="en-US"/>
        </w:rPr>
        <w:t xml:space="preserve"> </w:t>
      </w:r>
      <w:r w:rsidR="00C25BCD" w:rsidRPr="00211DF0">
        <w:rPr>
          <w:lang w:val="en-US"/>
        </w:rPr>
        <w:t>We consider two types of consistency which tie directly with the commercial value of university patents, i.e. the licensing track-record of the university and the co-defendants of the</w:t>
      </w:r>
      <w:r w:rsidR="009D3D65">
        <w:rPr>
          <w:lang w:val="en-US"/>
        </w:rPr>
        <w:t xml:space="preserve"> university in the</w:t>
      </w:r>
      <w:r w:rsidR="00C25BCD" w:rsidRPr="00211DF0">
        <w:rPr>
          <w:lang w:val="en-US"/>
        </w:rPr>
        <w:t xml:space="preserve"> patent litigation</w:t>
      </w:r>
      <w:r w:rsidR="009D3D65">
        <w:rPr>
          <w:lang w:val="en-US"/>
        </w:rPr>
        <w:t xml:space="preserve"> case</w:t>
      </w:r>
      <w:r w:rsidR="00C25BCD" w:rsidRPr="00211DF0">
        <w:rPr>
          <w:lang w:val="en-US"/>
        </w:rPr>
        <w:t>.</w:t>
      </w:r>
      <w:r w:rsidR="00865DDF" w:rsidRPr="00211DF0">
        <w:rPr>
          <w:lang w:val="en-US"/>
        </w:rPr>
        <w:t xml:space="preserve"> </w:t>
      </w:r>
    </w:p>
    <w:p w14:paraId="6E3CF2B7" w14:textId="5BEA14FB" w:rsidR="0057137E" w:rsidRPr="00211DF0" w:rsidRDefault="006A1897" w:rsidP="00FB283A">
      <w:pPr>
        <w:rPr>
          <w:lang w:val="en-US"/>
        </w:rPr>
      </w:pPr>
      <w:r w:rsidRPr="00211DF0">
        <w:rPr>
          <w:lang w:val="en-US"/>
        </w:rPr>
        <w:t>A</w:t>
      </w:r>
      <w:r w:rsidR="00FE3C2B" w:rsidRPr="00211DF0">
        <w:rPr>
          <w:lang w:val="en-US"/>
        </w:rPr>
        <w:t xml:space="preserve">s indicated above, existing research concerned with university technology licensing shows that universities are heterogenous in terms of their capacity to engage in technology commercialization </w:t>
      </w:r>
      <w:r w:rsidR="00FE3C2B" w:rsidRPr="00211DF0">
        <w:rPr>
          <w:lang w:val="en-US"/>
        </w:rPr>
        <w:fldChar w:fldCharType="begin" w:fldLock="1"/>
      </w:r>
      <w:r w:rsidR="004A7DFA" w:rsidRPr="00211DF0">
        <w:rPr>
          <w:lang w:val="en-US"/>
        </w:rPr>
        <w:instrText>ADDIN CSL_CITATION {"citationItems":[{"id":"ITEM-1","itemData":{"DOI":"10.1111/1467-8551.12116","ISBN":"1467-8551","ISSN":"14678551","PMID":"3749","abstract":"Academic entrepreneurship, which refers to efforts undertaken by universities to promote commercialization on campus and in surrounding regions of the university, has changed dramatically in recent years. Two key consequences of this change are that more stakeholders have become involved in academic entrepreneurship and that universities have become more ‘strategic’ in their approach to this activity. The authors assert that the time is ripe to rethink academic entrepreneurship. Specifically, theoretical and empirical research on academic entrepreneurship needs to take account of these changes, so as to improve the rigour and relevance of future studies on this topic. We outline such a framework and provide examples of key research questions that need to be addressed to broaden understanding of academic entrepreneurship.","author":[{"dropping-particle":"","family":"Siegel","given":"Donald","non-dropping-particle":"","parse-names":false,"suffix":""},{"dropping-particle":"","family":"Wright","given":"Mike","non-dropping-particle":"","parse-names":false,"suffix":""}],"container-title":"British Journal of Management","id":"ITEM-1","issue":"4","issued":{"date-parts":[["2015"]]},"page":"582-595","title":"Academic Entrepreneurship: Time for a Rethink?","type":"article-journal","volume":"26"},"uris":["http://www.mendeley.com/documents/?uuid=fd36b1d1-c4c9-405f-8f53-67de72694463"]},{"id":"ITEM-2","itemData":{"DOI":"10.1016/j.respol.2008.04.021","ISBN":"0048-7333","ISSN":"00487333","PMID":"2985","abstract":"We analyze how mid-range universities can contribute to industrial change through the transfer of tacit and codified knowledge in the areas of spin-offs; licensing and patents; contract research, consultancy and reach-out; and graduate and researcher mobility. We use archival, survey and interview data relating to mid-range universities in mid-range environments in the UK, Belgium, Germany and Sweden. Our findings suggest that mid-range universities primarily need to focus on generating world-class research and critical mass in areas of expertise, as well as developing different types of intermediaries. Mid-range universities may need to develop a portfolio of university-industry linkages in terms of the scope of activities and the types of firms with which they interact. We also show that different intermediaries have important roles to play in developing university-industry linkages for mid-range universities. © 2008.","author":[{"dropping-particle":"","family":"Wright","given":"Mike","non-dropping-particle":"","parse-names":false,"suffix":""},{"dropping-particle":"","family":"Clarysse","given":"Bart","non-dropping-particle":"","parse-names":false,"suffix":""},{"dropping-particle":"","family":"Lockett","given":"Andy","non-dropping-particle":"","parse-names":false,"suffix":""},{"dropping-particle":"","family":"Knockaert","given":"Mirjam","non-dropping-particle":"","parse-names":false,"suffix":""}],"container-title":"Research Policy","id":"ITEM-2","issue":"8","issued":{"date-parts":[["2008"]]},"page":"1205-1223","title":"Mid-range universities' linkages with industry: Knowledge types and the role of intermediaries","type":"article-journal","volume":"37"},"uris":["http://www.mendeley.com/documents/?uuid=4ad24ced-5185-432e-a5f4-697ce97472d8"]}],"mendeley":{"formattedCitation":"(Siegel and Wright, 2015b; Wright et al., 2008)","manualFormatting":"(Siegel and Wright, 2015b; Wright et al., 2008)","plainTextFormattedCitation":"(Siegel and Wright, 2015b; Wright et al., 2008)","previouslyFormattedCitation":"(Siegel and Wright, 2015b; Wright et al., 2008)"},"properties":{"noteIndex":0},"schema":"https://github.com/citation-style-language/schema/raw/master/csl-citation.json"}</w:instrText>
      </w:r>
      <w:r w:rsidR="00FE3C2B" w:rsidRPr="00211DF0">
        <w:rPr>
          <w:lang w:val="en-US"/>
        </w:rPr>
        <w:fldChar w:fldCharType="separate"/>
      </w:r>
      <w:r w:rsidR="00FE3C2B" w:rsidRPr="00211DF0">
        <w:rPr>
          <w:noProof/>
          <w:lang w:val="en-US"/>
        </w:rPr>
        <w:t>(Siegel and Wright, 2015b; Wright et al., 2008)</w:t>
      </w:r>
      <w:r w:rsidR="00FE3C2B" w:rsidRPr="00211DF0">
        <w:rPr>
          <w:lang w:val="en-US"/>
        </w:rPr>
        <w:fldChar w:fldCharType="end"/>
      </w:r>
      <w:r w:rsidR="00FE3C2B" w:rsidRPr="00211DF0">
        <w:rPr>
          <w:lang w:val="en-US"/>
        </w:rPr>
        <w:t>. This heterogeneity is reflected by empirical observations demonstrating that the distribution of commercialization activity is concentrated</w:t>
      </w:r>
      <w:r w:rsidR="00BE0B71">
        <w:rPr>
          <w:lang w:val="en-US"/>
        </w:rPr>
        <w:t xml:space="preserve"> in</w:t>
      </w:r>
      <w:r w:rsidR="00FE3C2B" w:rsidRPr="00211DF0">
        <w:rPr>
          <w:lang w:val="en-US"/>
        </w:rPr>
        <w:t xml:space="preserve"> a relatively </w:t>
      </w:r>
      <w:r w:rsidR="00FE3C2B" w:rsidRPr="00211DF0">
        <w:rPr>
          <w:lang w:val="en-US"/>
        </w:rPr>
        <w:lastRenderedPageBreak/>
        <w:t xml:space="preserve">small number of universities that are typically research intensive, have well-developed support infrastructure and prestigious reputations </w:t>
      </w:r>
      <w:r w:rsidR="00FE3C2B" w:rsidRPr="00211DF0">
        <w:rPr>
          <w:lang w:val="en-US"/>
        </w:rPr>
        <w:fldChar w:fldCharType="begin" w:fldLock="1"/>
      </w:r>
      <w:r w:rsidR="00AC0A35">
        <w:rPr>
          <w:lang w:val="en-US"/>
        </w:rPr>
        <w:instrText>ADDIN CSL_CITATION {"citationItems":[{"id":"ITEM-1","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Policy","id":"ITEM-1","issue":"1","issued":{"date-parts":[["2003","1"]]},"page":"27-48","title":"Assessing the impact of organizational practices on the relative productivity of university technology transfer offices: an exploratory study","type":"article-journal","volume":"32"},"uris":["http://www.mendeley.com/documents/?uuid=e46987f6-89c5-3b6f-b14b-8fc764f55f9f"]},{"id":"ITEM-2","itemData":{"author":[{"dropping-particle":"","family":"Siegel","given":"Donald","non-dropping-particle":"","parse-names":false,"suffix":""},{"dropping-particle":"","family":"Wright","given":"Mike","non-dropping-particle":"","parse-names":false,"suffix":""}],"container-title":"The Chicago Handbook of University Technology Transfer and Academic Entrepreneurship","editor":[{"dropping-particle":"","family":"Link","given":"A. N","non-dropping-particle":"","parse-names":false,"suffix":""},{"dropping-particle":"","family":"Siegel","given":"D","non-dropping-particle":"","parse-names":false,"suffix":""},{"dropping-particle":"","family":"Wright","given":"M","non-dropping-particle":"","parse-names":false,"suffix":""}],"id":"ITEM-2","issued":{"date-parts":[["2015"]]},"page":"1-40","publisher":"University of Chicago Press","publisher-place":"Chicago","title":"University Technology Transfer Offices, Licensing and Start-Ups","type":"chapter"},"uris":["http://www.mendeley.com/documents/?uuid=d5f20115-9423-4974-bf63-de317e6eab37"]},{"id":"ITEM-3","itemData":{"DOI":"10.1016/j.respol.2005.01.005","ISBN":"0048-7333","ISSN":"00487333","PMID":"599","abstract":"This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Policy","id":"ITEM-3","issue":"3","issued":{"date-parts":[["2005"]]},"page":"253-257","title":"University-based technology initiatives: Quantitative and qualitative evidence","type":"article-journal","volume":"34"},"uris":["http://www.mendeley.com/documents/?uuid=898545c9-834c-423a-aa3f-4da3b3627a38"]},{"id":"ITEM-4","itemData":{"DOI":"10.1007/s10961-012-9286-3","ISBN":"1096101292863","ISSN":"0892-9912","abstract":"I outline a synthesis of micro and macro levels that attempts to provide a broader conceptualization of academic entrepreneurship and an appreciation of the contextual heterogeneity of academic entrepreneurship and the implications for how it occurs. The micro-level concerns how firms orchestrate their resources and capabilities, specifically knowing where resources come from and how to accumulate, bundle and configure them to generate sustainable returns. At the macro level, I analyse four different dimensions of context: temporal, institutional, social and spatial. Consequently, I argue that there is a need for a reconciliation of utilitarian and education-for-education’s sake perspectives on the role of universities.","author":[{"dropping-particle":"","family":"Wright","given":"Mike","non-dropping-particle":"","parse-names":false,"suffix":""}],"container-title":"The Journal of Technology Transfer","id":"ITEM-4","issue":"3","issued":{"date-parts":[["2014"]]},"page":"322-334","title":"Academic entrepreneurship, technology transfer and society: where next?","type":"article-journal","volume":"39"},"uris":["http://www.mendeley.com/documents/?uuid=74d14693-5216-45be-a249-9a74b2c54489"]},{"id":"ITEM-5","itemData":{"DOI":"10.1016/j.respol.2005.01.007","ISSN":"00487333","abstract":"We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Policy","id":"ITEM-5","issue":"3","issued":{"date-parts":[["2005"]]},"page":"369-384","title":"Assessing the relative performance of U.K. university technology transfer offices: Parametric and non-parametric evidence","type":"article-journal","volume":"34"},"uris":["http://www.mendeley.com/documents/?uuid=63367b96-a9e4-42a7-96d9-fb9fabf2b771"]},{"id":"ITEM-6","itemData":{"DOI":"10.1093/cje/bes017","ISBN":"0309-166X, 1464-3545","ISSN":"0309166X","abstract":"There has been an increasing focus on the strategic role of universities in stimulating innovation and economic growth, primarily though the transfer of technology. This paper interrogates some of the key aspects of much of the conventional wisdom concerning the transfer of technology and the knowledge exchange process in general. It analyses the results from two unique surveys: a survey of the UK academic community that generated more than 22,000 responses; and a stratified survey of businesses that generated more than 2,500 responses. The results suggest that much of the conventional wisdom concerning knowledge exchange involving academia is too narrowly confined or is misinformed. First, there is an excessive focus in much of the academic and policy discourse on commercialisation and technology transfer--there are many knowledge exchange mechanisms used by academics--these include commercialisation processes but also many other hidden' connections. Second, the focus on the science base ignores that knowledge exchange involves academics from all disciplines. Third, the preoccupation with improving innovation and business performance tends to ignore that knowledge exchange involves partners from the public and third (not for profit) sectors as well as private sector businesses. Fourth, the main constraints that hinder or limit the knowledge exchange process include a lack of time, insufficient internal capability to manage relationships and insufficient information to identify partners. Problems concerning cultural differences between academics and business, and disputes concerning intellectual property are not prominent. Overall, the paper suggests that the notion of an academic ivory tower' seems to be a myth as far as the UK is concerned. It also suggests that a strategic focus on strengthening connections between academia and the rest of society may generate long-term benefits, but it will also face challenges and should not distort or divert from the wider foundations of scholarship on which the success of universities are built.","author":[{"dropping-particle":"","family":"Hughes","given":"Alan","non-dropping-particle":"","parse-names":false,"suffix":""},{"dropping-particle":"","family":"Kitson","given":"Michael","non-dropping-particle":"","parse-names":false,"suffix":""}],"container-title":"Cambridge Journal of Economics","id":"ITEM-6","issue":"3","issued":{"date-parts":[["2012"]]},"page":"723-750","title":"Pathways to impact and the strategic role of universities: New evidence on the breadth and depth of university knowledge exchange in the UK and the factors constraining its development","type":"article-journal","volume":"36"},"uris":["http://www.mendeley.com/documents/?uuid=cf5d33dc-43ed-456b-acec-c3cd4305ca28"]}],"mendeley":{"formattedCitation":"(Chapple et al., 2005b; Hughes and Kitson, 2012; Link and Siegel, 2005; D. Siegel et al., 2003; Siegel and Wright, 2015c; Wright, 2014)","manualFormatting":"(Chapple et al., 2005b; Hughes and Kitson, 2012; Link and Siegel, 2005; Siegel et al., 2003; Siegel and Wright, 2015; Wright, 2014)","plainTextFormattedCitation":"(Chapple et al., 2005b; Hughes and Kitson, 2012; Link and Siegel, 2005; D. Siegel et al., 2003; Siegel and Wright, 2015c; Wright, 2014)","previouslyFormattedCitation":"(Chapple et al., 2005b; Hughes and Kitson, 2012; Link and Siegel, 2005; D. Siegel et al., 2003; Siegel and Wright, 2015c; Wright, 2014)"},"properties":{"noteIndex":0},"schema":"https://github.com/citation-style-language/schema/raw/master/csl-citation.json"}</w:instrText>
      </w:r>
      <w:r w:rsidR="00FE3C2B" w:rsidRPr="00211DF0">
        <w:rPr>
          <w:lang w:val="en-US"/>
        </w:rPr>
        <w:fldChar w:fldCharType="separate"/>
      </w:r>
      <w:r w:rsidR="00FE3C2B" w:rsidRPr="00211DF0">
        <w:rPr>
          <w:noProof/>
          <w:lang w:val="en-US"/>
        </w:rPr>
        <w:t>(Chapple et al., 2005b; Hughes and Kitson, 2012; Link and Siegel, 2005; Siegel et al., 2003; Siegel and Wright, 2015; Wright, 2014)</w:t>
      </w:r>
      <w:r w:rsidR="00FE3C2B" w:rsidRPr="00211DF0">
        <w:rPr>
          <w:lang w:val="en-US"/>
        </w:rPr>
        <w:fldChar w:fldCharType="end"/>
      </w:r>
      <w:r w:rsidR="00FE3C2B" w:rsidRPr="00211DF0">
        <w:rPr>
          <w:lang w:val="en-US"/>
        </w:rPr>
        <w:t xml:space="preserve">. Furthermore, evidence suggests that even amongst those universities that are engaged in technology licensing, revenues are largely derived from a small number of profitable licenses, with many universities amassing </w:t>
      </w:r>
      <w:r w:rsidR="001B23B0" w:rsidRPr="00211DF0">
        <w:rPr>
          <w:lang w:val="en-US"/>
        </w:rPr>
        <w:t xml:space="preserve">portfolios of non-preforming </w:t>
      </w:r>
      <w:r w:rsidR="009D3D65">
        <w:rPr>
          <w:lang w:val="en-US"/>
        </w:rPr>
        <w:t>IP</w:t>
      </w:r>
      <w:r w:rsidR="001B23B0" w:rsidRPr="00211DF0">
        <w:rPr>
          <w:lang w:val="en-US"/>
        </w:rPr>
        <w:t xml:space="preserve"> assets </w:t>
      </w:r>
      <w:r w:rsidR="001B23B0" w:rsidRPr="00211DF0">
        <w:rPr>
          <w:lang w:val="en-US"/>
        </w:rPr>
        <w:fldChar w:fldCharType="begin" w:fldLock="1"/>
      </w:r>
      <w:r w:rsidR="00021986">
        <w:rPr>
          <w:lang w:val="en-US"/>
        </w:rPr>
        <w:instrText>ADDIN CSL_CITATION {"citationItems":[{"id":"ITEM-1","itemData":{"DOI":"10.1016/j.respol.2017.03.008","ISSN":"00487333","abstract":"This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Policy","id":"ITEM-1","issue":"5","issued":{"date-parts":[["2017"]]},"page":"881-897","publisher":"Elsevier B.V.","title":"University research and knowledge transfer: A dynamic view of ambidexterity in british universities","type":"article-journal","volume":"46"},"uris":["http://www.mendeley.com/documents/?uuid=1bae52b2-2b76-4a4b-9383-c1e21964cb01"]}],"mendeley":{"formattedCitation":"(Sengupta and Ray, 2017)","plainTextFormattedCitation":"(Sengupta and Ray, 2017)","previouslyFormattedCitation":"(Sengupta and Ray, 2017, p. 895)"},"properties":{"noteIndex":0},"schema":"https://github.com/citation-style-language/schema/raw/master/csl-citation.json"}</w:instrText>
      </w:r>
      <w:r w:rsidR="001B23B0" w:rsidRPr="00211DF0">
        <w:rPr>
          <w:lang w:val="en-US"/>
        </w:rPr>
        <w:fldChar w:fldCharType="separate"/>
      </w:r>
      <w:r w:rsidR="00021986" w:rsidRPr="00021986">
        <w:rPr>
          <w:noProof/>
          <w:lang w:val="en-US"/>
        </w:rPr>
        <w:t>(Sengupta and Ray, 2017)</w:t>
      </w:r>
      <w:r w:rsidR="001B23B0" w:rsidRPr="00211DF0">
        <w:rPr>
          <w:lang w:val="en-US"/>
        </w:rPr>
        <w:fldChar w:fldCharType="end"/>
      </w:r>
      <w:r w:rsidR="00156787" w:rsidRPr="00211DF0">
        <w:rPr>
          <w:lang w:val="en-US"/>
        </w:rPr>
        <w:t xml:space="preserve">. </w:t>
      </w:r>
    </w:p>
    <w:p w14:paraId="2B56AEA2" w14:textId="0BFC4F5D" w:rsidR="00156787" w:rsidRPr="00211DF0" w:rsidRDefault="00156787" w:rsidP="00FB283A">
      <w:pPr>
        <w:rPr>
          <w:lang w:val="en-US"/>
        </w:rPr>
      </w:pPr>
      <w:r w:rsidRPr="00211DF0">
        <w:rPr>
          <w:lang w:val="en-US"/>
        </w:rPr>
        <w:t>Given the heterogeneity of university commercialization activity, we suggest that the signaling value of defending patent infringement cases through litigation will be diminished for those universities that</w:t>
      </w:r>
      <w:r w:rsidR="00BA3C53" w:rsidRPr="00211DF0">
        <w:rPr>
          <w:lang w:val="en-US"/>
        </w:rPr>
        <w:t xml:space="preserve"> have a poor track-record</w:t>
      </w:r>
      <w:r w:rsidRPr="00211DF0">
        <w:rPr>
          <w:lang w:val="en-US"/>
        </w:rPr>
        <w:t xml:space="preserve"> </w:t>
      </w:r>
      <w:r w:rsidR="00BA3C53" w:rsidRPr="00211DF0">
        <w:rPr>
          <w:lang w:val="en-US"/>
        </w:rPr>
        <w:t>of</w:t>
      </w:r>
      <w:r w:rsidRPr="00211DF0">
        <w:rPr>
          <w:lang w:val="en-US"/>
        </w:rPr>
        <w:t xml:space="preserve"> technology licensing. This contention is based on the consistency argument outlined above</w:t>
      </w:r>
      <w:r w:rsidR="00BE0B71">
        <w:rPr>
          <w:lang w:val="en-US"/>
        </w:rPr>
        <w:t>.</w:t>
      </w:r>
      <w:r w:rsidRPr="00211DF0">
        <w:rPr>
          <w:lang w:val="en-US"/>
        </w:rPr>
        <w:t xml:space="preserve"> </w:t>
      </w:r>
      <w:r w:rsidR="00BE0B71">
        <w:rPr>
          <w:lang w:val="en-US"/>
        </w:rPr>
        <w:t>S</w:t>
      </w:r>
      <w:r w:rsidRPr="00211DF0">
        <w:rPr>
          <w:lang w:val="en-US"/>
        </w:rPr>
        <w:t>pecifically</w:t>
      </w:r>
      <w:r w:rsidR="00BE0B71">
        <w:rPr>
          <w:lang w:val="en-US"/>
        </w:rPr>
        <w:t>,</w:t>
      </w:r>
      <w:r w:rsidRPr="00211DF0">
        <w:rPr>
          <w:lang w:val="en-US"/>
        </w:rPr>
        <w:t xml:space="preserve"> the regularity with which universities license technologies indicates the commercial value of university IP</w:t>
      </w:r>
      <w:r w:rsidR="00BE0B71">
        <w:rPr>
          <w:lang w:val="en-US"/>
        </w:rPr>
        <w:t xml:space="preserve"> and</w:t>
      </w:r>
      <w:r w:rsidRPr="00211DF0">
        <w:rPr>
          <w:lang w:val="en-US"/>
        </w:rPr>
        <w:t xml:space="preserve"> the signaling behavior of defending patent litigation is </w:t>
      </w:r>
      <w:r w:rsidRPr="00211DF0">
        <w:rPr>
          <w:i/>
          <w:iCs/>
          <w:lang w:val="en-US"/>
        </w:rPr>
        <w:t xml:space="preserve">consistent </w:t>
      </w:r>
      <w:r w:rsidRPr="00211DF0">
        <w:rPr>
          <w:lang w:val="en-US"/>
        </w:rPr>
        <w:t xml:space="preserve">with this other indication of quality. Conversely, for those universities that do not regularly license their </w:t>
      </w:r>
      <w:r w:rsidR="009D3D65">
        <w:rPr>
          <w:lang w:val="en-US"/>
        </w:rPr>
        <w:t>IP</w:t>
      </w:r>
      <w:r w:rsidRPr="00211DF0">
        <w:rPr>
          <w:lang w:val="en-US"/>
        </w:rPr>
        <w:t xml:space="preserve">, the signal of defending patent infringement litigation is </w:t>
      </w:r>
      <w:r w:rsidRPr="00211DF0">
        <w:rPr>
          <w:i/>
          <w:iCs/>
          <w:lang w:val="en-US"/>
        </w:rPr>
        <w:t xml:space="preserve">inconsistent </w:t>
      </w:r>
      <w:r w:rsidRPr="00211DF0">
        <w:rPr>
          <w:lang w:val="en-US"/>
        </w:rPr>
        <w:t>with other indications of quality</w:t>
      </w:r>
      <w:r w:rsidR="00BA3C53" w:rsidRPr="00211DF0">
        <w:rPr>
          <w:lang w:val="en-US"/>
        </w:rPr>
        <w:t xml:space="preserve">. In these scenarios, defending patent infringement charges may instead </w:t>
      </w:r>
      <w:r w:rsidRPr="00211DF0">
        <w:rPr>
          <w:lang w:val="en-US"/>
        </w:rPr>
        <w:t>s</w:t>
      </w:r>
      <w:r w:rsidR="00BA3C53" w:rsidRPr="00211DF0">
        <w:rPr>
          <w:lang w:val="en-US"/>
        </w:rPr>
        <w:t>ignal the</w:t>
      </w:r>
      <w:r w:rsidRPr="00211DF0">
        <w:rPr>
          <w:lang w:val="en-US"/>
        </w:rPr>
        <w:t xml:space="preserve"> inexperience </w:t>
      </w:r>
      <w:r w:rsidR="00BA3C53" w:rsidRPr="00211DF0">
        <w:rPr>
          <w:lang w:val="en-US"/>
        </w:rPr>
        <w:t>of the university in</w:t>
      </w:r>
      <w:r w:rsidRPr="00211DF0">
        <w:rPr>
          <w:lang w:val="en-US"/>
        </w:rPr>
        <w:t xml:space="preserve"> </w:t>
      </w:r>
      <w:r w:rsidR="00BA3C53" w:rsidRPr="00211DF0">
        <w:rPr>
          <w:lang w:val="en-US"/>
        </w:rPr>
        <w:t>technology commercialization</w:t>
      </w:r>
      <w:r w:rsidRPr="00211DF0">
        <w:rPr>
          <w:lang w:val="en-US"/>
        </w:rPr>
        <w:t xml:space="preserve">. Thus, we hypothesize: </w:t>
      </w:r>
    </w:p>
    <w:p w14:paraId="07B61F33" w14:textId="69F87A78" w:rsidR="00BD6FB6" w:rsidRPr="00211DF0" w:rsidRDefault="00172343" w:rsidP="00FB283A">
      <w:pPr>
        <w:spacing w:after="240"/>
        <w:ind w:left="567" w:right="573" w:firstLine="0"/>
        <w:rPr>
          <w:i/>
          <w:lang w:val="en-US"/>
        </w:rPr>
      </w:pPr>
      <w:r w:rsidRPr="00211DF0">
        <w:rPr>
          <w:i/>
          <w:lang w:val="en-US"/>
        </w:rPr>
        <w:t xml:space="preserve">Hypothesis 2: </w:t>
      </w:r>
      <w:r w:rsidR="0055439B">
        <w:rPr>
          <w:i/>
          <w:lang w:val="en-US"/>
        </w:rPr>
        <w:t>Controlling for prior licensing activity, t</w:t>
      </w:r>
      <w:r w:rsidRPr="00211DF0">
        <w:rPr>
          <w:i/>
          <w:lang w:val="en-US"/>
        </w:rPr>
        <w:t>he licensing income of universities increases with the number of patent litigation cases that they face as defendants, and this effect is stronger for universities licensing many of their patents.</w:t>
      </w:r>
    </w:p>
    <w:p w14:paraId="25A9070C" w14:textId="539A7F9F" w:rsidR="00D62C69" w:rsidRDefault="00B724ED" w:rsidP="00FB283A">
      <w:pPr>
        <w:ind w:firstLine="0"/>
        <w:rPr>
          <w:iCs/>
          <w:lang w:val="en-US"/>
        </w:rPr>
      </w:pPr>
      <w:r w:rsidRPr="00211DF0">
        <w:rPr>
          <w:iCs/>
          <w:lang w:val="en-US"/>
        </w:rPr>
        <w:t xml:space="preserve">At the litigation level, some litigations may carry more signaling value when they are increasingly consistent with </w:t>
      </w:r>
      <w:r w:rsidR="00BE5CC9" w:rsidRPr="00211DF0">
        <w:rPr>
          <w:iCs/>
          <w:lang w:val="en-US"/>
        </w:rPr>
        <w:t xml:space="preserve">the perception of potential licensees that the university creates </w:t>
      </w:r>
      <w:r w:rsidR="009D3D65">
        <w:rPr>
          <w:iCs/>
          <w:lang w:val="en-US"/>
        </w:rPr>
        <w:t>technology</w:t>
      </w:r>
      <w:r w:rsidR="009D3D65" w:rsidRPr="00211DF0">
        <w:rPr>
          <w:iCs/>
          <w:lang w:val="en-US"/>
        </w:rPr>
        <w:t xml:space="preserve"> </w:t>
      </w:r>
      <w:r w:rsidR="00BE5CC9" w:rsidRPr="00211DF0">
        <w:rPr>
          <w:iCs/>
          <w:lang w:val="en-US"/>
        </w:rPr>
        <w:t>with high commercial value.</w:t>
      </w:r>
      <w:r w:rsidR="003F3266">
        <w:rPr>
          <w:iCs/>
          <w:lang w:val="en-US"/>
        </w:rPr>
        <w:t xml:space="preserve"> </w:t>
      </w:r>
      <w:r w:rsidR="00D62C69">
        <w:rPr>
          <w:iCs/>
          <w:lang w:val="en-US"/>
        </w:rPr>
        <w:t xml:space="preserve">More specifically, we focus on </w:t>
      </w:r>
      <w:r w:rsidR="00080E5A">
        <w:rPr>
          <w:iCs/>
          <w:lang w:val="en-US"/>
        </w:rPr>
        <w:t xml:space="preserve">a </w:t>
      </w:r>
      <w:r w:rsidR="00D62C69">
        <w:rPr>
          <w:iCs/>
          <w:lang w:val="en-US"/>
        </w:rPr>
        <w:t xml:space="preserve">situation in which plaintiffs sue multiple defendants, including a university, at the same time. </w:t>
      </w:r>
      <w:r w:rsidR="00A93A30">
        <w:rPr>
          <w:iCs/>
          <w:lang w:val="en-US"/>
        </w:rPr>
        <w:t>Potential licensees can then infer information from the litigation not just about the university but also from the presence of private firms as co-defendants.</w:t>
      </w:r>
    </w:p>
    <w:p w14:paraId="0146CFF0" w14:textId="1D12051F" w:rsidR="0036129A" w:rsidRDefault="00A93A30" w:rsidP="00C55472">
      <w:pPr>
        <w:rPr>
          <w:iCs/>
          <w:lang w:val="en-US"/>
        </w:rPr>
      </w:pPr>
      <w:r>
        <w:rPr>
          <w:iCs/>
          <w:lang w:val="en-US"/>
        </w:rPr>
        <w:t xml:space="preserve">In the absence of co-defendants, potential licensees can have doubts about how they can interpret a patent litigation case against a university. </w:t>
      </w:r>
      <w:r w:rsidR="003F3266">
        <w:rPr>
          <w:iCs/>
          <w:lang w:val="en-US"/>
        </w:rPr>
        <w:t>As outlined above, establishing reliable perceptions of the commercial potential of university patents is particularly difficult, given the embryonic nature of such technology</w:t>
      </w:r>
      <w:r w:rsidR="00476CCC">
        <w:rPr>
          <w:iCs/>
          <w:lang w:val="en-US"/>
        </w:rPr>
        <w:t xml:space="preserve"> </w:t>
      </w:r>
      <w:r w:rsidR="00476CCC">
        <w:rPr>
          <w:iCs/>
          <w:lang w:val="en-US"/>
        </w:rPr>
        <w:fldChar w:fldCharType="begin" w:fldLock="1"/>
      </w:r>
      <w:r w:rsidR="006541E7">
        <w:rPr>
          <w:iCs/>
          <w:lang w:val="en-US"/>
        </w:rPr>
        <w:instrText>ADDIN CSL_CITATION {"citationItems":[{"id":"ITEM-1","itemData":{"DOI":"10.1287/mnsc.1070.0705","ISSN":"00251909","abstract":"This paper examines the use of options contracts by firms acquiring rights to commercialize university technologies. By combining information about the sequence of licensing decisions with characteristics of the firms and technologies involved, I explore factors that shape decisions to purchase and exercise option contracts for these technologies. Decisions by firms that considered but did not purchase an option or a license are included in the sample. Consistent with the basic premise of real-options theory, I find that firms are more likely to purchase option contracts for more uncertain technologies. Also in line with theoretical predictions, I find that firms that are better able to evaluate an external technology are less likely to purchase options before licensing. The results also highlight more complex motives for exercising options in technology licensing. On the one hand, firms appear to benefit from their ability to learn about the technology during the option period. On the other hand, firms that are better able to \"absorb\" the technology during the contract period may have reduced incentives to subsequently license the invention. © 2007 INFORMS.","author":[{"dropping-particle":"","family":"Ziedonis","given":"Arvids A.","non-dropping-particle":"","parse-names":false,"suffix":""}],"container-title":"Management Science","id":"ITEM-1","issue":"10","issued":{"date-parts":[["2007"]]},"page":"1618-1633","title":"Real options in technology licensing","type":"article-journal","volume":"53"},"uris":["http://www.mendeley.com/documents/?uuid=36e8f07e-b6fc-4464-b1a6-60ef2747fb6b"]}],"mendeley":{"formattedCitation":"(Ziedonis, 2007)","plainTextFormattedCitation":"(Ziedonis, 2007)","previouslyFormattedCitation":"(Ziedonis, 2007)"},"properties":{"noteIndex":0},"schema":"https://github.com/citation-style-language/schema/raw/master/csl-citation.json"}</w:instrText>
      </w:r>
      <w:r w:rsidR="00476CCC">
        <w:rPr>
          <w:iCs/>
          <w:lang w:val="en-US"/>
        </w:rPr>
        <w:fldChar w:fldCharType="separate"/>
      </w:r>
      <w:r w:rsidR="00476CCC" w:rsidRPr="00476CCC">
        <w:rPr>
          <w:iCs/>
          <w:noProof/>
          <w:lang w:val="en-US"/>
        </w:rPr>
        <w:t>(Ziedonis, 2007)</w:t>
      </w:r>
      <w:r w:rsidR="00476CCC">
        <w:rPr>
          <w:iCs/>
          <w:lang w:val="en-US"/>
        </w:rPr>
        <w:fldChar w:fldCharType="end"/>
      </w:r>
      <w:r w:rsidR="00476CCC">
        <w:rPr>
          <w:iCs/>
          <w:lang w:val="en-US"/>
        </w:rPr>
        <w:t xml:space="preserve">. Furthermore, there is evidence to suggest that the patenting activity of </w:t>
      </w:r>
      <w:r w:rsidR="00476CCC">
        <w:rPr>
          <w:iCs/>
          <w:lang w:val="en-US"/>
        </w:rPr>
        <w:lastRenderedPageBreak/>
        <w:t>universities is not always strategic and is partially driven by isomorphic pressure</w:t>
      </w:r>
      <w:r w:rsidR="006541E7">
        <w:rPr>
          <w:iCs/>
          <w:lang w:val="en-US"/>
        </w:rPr>
        <w:t xml:space="preserve">s </w:t>
      </w:r>
      <w:r w:rsidR="006541E7">
        <w:rPr>
          <w:iCs/>
          <w:lang w:val="en-US"/>
        </w:rPr>
        <w:fldChar w:fldCharType="begin" w:fldLock="1"/>
      </w:r>
      <w:r w:rsidR="006541E7">
        <w:rPr>
          <w:iCs/>
          <w:lang w:val="en-US"/>
        </w:rPr>
        <w:instrText>ADDIN CSL_CITATION {"citationItems":[{"id":"ITEM-1","itemData":{"DOI":"10.1111/1467-8551.12069","ISBN":"1045-3172","ISSN":"14678551","abstract":"In this paper we examine the institutionalization of a new organizational practice around third stream activities in UK higher education from 1994 to 2008. Employing a longi- tudinal research design, involving archival, survey and contemporary interview data, we show how a new organizational practice diffused through the use of discourse and metrics around commercialization but over time was threatened on pure economic criteria. In response to the threat we explore how actors worked to institutionalize the new practice, reshaping both discourse and metrics to ensure that they were robust so that they could align with the interests and values of major stakeholders. In addition, actors worked to align discourse and metrics, as any misalignment between the two would have under- mined the institutionalization of the new organizational practice. Institutional","author":[{"dropping-particle":"","family":"Lockett","given":"Andy","non-dropping-particle":"","parse-names":false,"suffix":""},{"dropping-particle":"","family":"Wright","given":"Mike","non-dropping-particle":"","parse-names":false,"suffix":""},{"dropping-particle":"","family":"Wild","given":"Andrew","non-dropping-particle":"","parse-names":false,"suffix":""}],"container-title":"British Journal of Management","id":"ITEM-1","issue":"1","issued":{"date-parts":[["2015"]]},"page":"78-92","title":"The institutionalization of third stream activities in UK higher education: The role of discourse and metrics","type":"article-journal","volume":"26"},"uris":["http://www.mendeley.com/documents/?uuid=a4cc6f22-23a6-4758-8258-e247adeba6ea"]}],"mendeley":{"formattedCitation":"(Lockett et al., 2015)","plainTextFormattedCitation":"(Lockett et al., 2015)","previouslyFormattedCitation":"(Lockett et al., 2015)"},"properties":{"noteIndex":0},"schema":"https://github.com/citation-style-language/schema/raw/master/csl-citation.json"}</w:instrText>
      </w:r>
      <w:r w:rsidR="006541E7">
        <w:rPr>
          <w:iCs/>
          <w:lang w:val="en-US"/>
        </w:rPr>
        <w:fldChar w:fldCharType="separate"/>
      </w:r>
      <w:r w:rsidR="006541E7" w:rsidRPr="006541E7">
        <w:rPr>
          <w:iCs/>
          <w:noProof/>
          <w:lang w:val="en-US"/>
        </w:rPr>
        <w:t>(Lockett et al., 2015)</w:t>
      </w:r>
      <w:r w:rsidR="006541E7">
        <w:rPr>
          <w:iCs/>
          <w:lang w:val="en-US"/>
        </w:rPr>
        <w:fldChar w:fldCharType="end"/>
      </w:r>
      <w:r w:rsidR="006541E7">
        <w:rPr>
          <w:iCs/>
          <w:lang w:val="en-US"/>
        </w:rPr>
        <w:t xml:space="preserve">, resulting in a situation in which universities develop large, but non-performing, patent portfolios </w:t>
      </w:r>
      <w:r w:rsidR="006541E7">
        <w:rPr>
          <w:iCs/>
          <w:lang w:val="en-US"/>
        </w:rPr>
        <w:fldChar w:fldCharType="begin" w:fldLock="1"/>
      </w:r>
      <w:r w:rsidR="006541E7">
        <w:rPr>
          <w:iCs/>
          <w:lang w:val="en-US"/>
        </w:rPr>
        <w:instrText>ADDIN CSL_CITATION {"citationItems":[{"id":"ITEM-1","itemData":{"DOI":"10.1016/j.respol.2017.03.008","ISSN":"00487333","abstract":"This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Policy","id":"ITEM-1","issue":"5","issued":{"date-parts":[["2017"]]},"page":"881-897","publisher":"Elsevier B.V.","title":"University research and knowledge transfer: A dynamic view of ambidexterity in british universities","type":"article-journal","volume":"46"},"uris":["http://www.mendeley.com/documents/?uuid=1bae52b2-2b76-4a4b-9383-c1e21964cb01"]}],"mendeley":{"formattedCitation":"(Sengupta and Ray, 2017)","plainTextFormattedCitation":"(Sengupta and Ray, 2017)","previouslyFormattedCitation":"(Sengupta and Ray, 2017)"},"properties":{"noteIndex":0},"schema":"https://github.com/citation-style-language/schema/raw/master/csl-citation.json"}</w:instrText>
      </w:r>
      <w:r w:rsidR="006541E7">
        <w:rPr>
          <w:iCs/>
          <w:lang w:val="en-US"/>
        </w:rPr>
        <w:fldChar w:fldCharType="separate"/>
      </w:r>
      <w:r w:rsidR="006541E7" w:rsidRPr="006541E7">
        <w:rPr>
          <w:iCs/>
          <w:noProof/>
          <w:lang w:val="en-US"/>
        </w:rPr>
        <w:t>(Sengupta and Ray, 2017)</w:t>
      </w:r>
      <w:r w:rsidR="006541E7">
        <w:rPr>
          <w:iCs/>
          <w:lang w:val="en-US"/>
        </w:rPr>
        <w:fldChar w:fldCharType="end"/>
      </w:r>
      <w:r w:rsidR="006541E7">
        <w:rPr>
          <w:iCs/>
          <w:lang w:val="en-US"/>
        </w:rPr>
        <w:t xml:space="preserve">. </w:t>
      </w:r>
      <w:r w:rsidR="00616DD7">
        <w:rPr>
          <w:iCs/>
          <w:lang w:val="en-US"/>
        </w:rPr>
        <w:t>T</w:t>
      </w:r>
      <w:r w:rsidR="006541E7">
        <w:rPr>
          <w:iCs/>
          <w:lang w:val="en-US"/>
        </w:rPr>
        <w:t xml:space="preserve">ypically, universities generate licensing revenues from a very small number of ‘blockbuster’ patents, whilst most of their patent portfolio remains unproductive </w:t>
      </w:r>
      <w:r w:rsidR="006541E7">
        <w:rPr>
          <w:iCs/>
          <w:lang w:val="en-US"/>
        </w:rPr>
        <w:fldChar w:fldCharType="begin" w:fldLock="1"/>
      </w:r>
      <w:r w:rsidR="00413B9B">
        <w:rPr>
          <w:iCs/>
          <w:lang w:val="en-US"/>
        </w:rPr>
        <w:instrText>ADDIN CSL_CITATION {"citationItems":[{"id":"ITEM-1","itemData":{"DOI":"10.1016/j.respol.2017.03.008","ISSN":"00487333","abstract":"This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Policy","id":"ITEM-1","issue":"5","issued":{"date-parts":[["2017"]]},"page":"881-897","publisher":"Elsevier B.V.","title":"University research and knowledge transfer: A dynamic view of ambidexterity in british universities","type":"article-journal","volume":"46"},"uris":["http://www.mendeley.com/documents/?uuid=1bae52b2-2b76-4a4b-9383-c1e21964cb01"]},{"id":"ITEM-2","itemData":{"DOI":"10.1016/j.respol.2005.01.007","ISBN":"0048-7333","ISSN":"00487333","PMID":"2878","abstract":"We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Policy","id":"ITEM-2","issue":"3","issued":{"date-parts":[["2005"]]},"page":"369-384","title":"Assessing the relative performance of U.K. university technology transfer offices: Parametric and non-parametric evidence","type":"article-journal","volume":"34"},"uris":["http://www.mendeley.com/documents/?uuid=79f66bd1-a68a-42e0-a3e7-f5910e5a9097"]}],"mendeley":{"formattedCitation":"(Chapple et al., 2005a; Sengupta and Ray, 2017)","plainTextFormattedCitation":"(Chapple et al., 2005a; Sengupta and Ray, 2017)","previouslyFormattedCitation":"(Chapple et al., 2005a; Sengupta and Ray, 2017)"},"properties":{"noteIndex":0},"schema":"https://github.com/citation-style-language/schema/raw/master/csl-citation.json"}</w:instrText>
      </w:r>
      <w:r w:rsidR="006541E7">
        <w:rPr>
          <w:iCs/>
          <w:lang w:val="en-US"/>
        </w:rPr>
        <w:fldChar w:fldCharType="separate"/>
      </w:r>
      <w:r w:rsidR="006541E7" w:rsidRPr="006541E7">
        <w:rPr>
          <w:iCs/>
          <w:noProof/>
          <w:lang w:val="en-US"/>
        </w:rPr>
        <w:t>(Chapple et al., 2005a; Sengupta and Ray, 2017)</w:t>
      </w:r>
      <w:r w:rsidR="006541E7">
        <w:rPr>
          <w:iCs/>
          <w:lang w:val="en-US"/>
        </w:rPr>
        <w:fldChar w:fldCharType="end"/>
      </w:r>
      <w:r w:rsidR="006541E7">
        <w:rPr>
          <w:iCs/>
          <w:lang w:val="en-US"/>
        </w:rPr>
        <w:t xml:space="preserve">. </w:t>
      </w:r>
      <w:r w:rsidR="0036129A">
        <w:rPr>
          <w:iCs/>
          <w:lang w:val="en-US"/>
        </w:rPr>
        <w:t>T</w:t>
      </w:r>
      <w:r w:rsidR="006541E7">
        <w:rPr>
          <w:iCs/>
          <w:lang w:val="en-US"/>
        </w:rPr>
        <w:t>he skewed nature of university patent portfolios</w:t>
      </w:r>
      <w:r w:rsidR="0036129A">
        <w:rPr>
          <w:iCs/>
          <w:lang w:val="en-US"/>
        </w:rPr>
        <w:t xml:space="preserve"> makes the role of</w:t>
      </w:r>
      <w:r w:rsidR="00BE5CC9" w:rsidRPr="00211DF0">
        <w:rPr>
          <w:iCs/>
          <w:lang w:val="en-US"/>
        </w:rPr>
        <w:t xml:space="preserve"> university’s co-defendants in a patent lawsuit </w:t>
      </w:r>
      <w:r w:rsidR="0036129A">
        <w:rPr>
          <w:iCs/>
          <w:lang w:val="en-US"/>
        </w:rPr>
        <w:t>salient for its signaling effect to potential licenses.</w:t>
      </w:r>
    </w:p>
    <w:p w14:paraId="362D4429" w14:textId="027AEE50" w:rsidR="009510C0" w:rsidRPr="00211DF0" w:rsidRDefault="004F6215" w:rsidP="00C55472">
      <w:pPr>
        <w:rPr>
          <w:iCs/>
          <w:lang w:val="en-US"/>
        </w:rPr>
      </w:pPr>
      <w:r>
        <w:rPr>
          <w:iCs/>
          <w:lang w:val="en-US"/>
        </w:rPr>
        <w:t>Litigations involving both a university and private firms as co-defendants indicate that not just the plaintiff has substantial commercial interests in the university’s technologies but</w:t>
      </w:r>
      <w:r w:rsidR="00BE5CC9" w:rsidRPr="00211DF0">
        <w:rPr>
          <w:iCs/>
          <w:lang w:val="en-US"/>
        </w:rPr>
        <w:t xml:space="preserve"> th</w:t>
      </w:r>
      <w:r w:rsidR="006541E7">
        <w:rPr>
          <w:iCs/>
          <w:lang w:val="en-US"/>
        </w:rPr>
        <w:t xml:space="preserve">at </w:t>
      </w:r>
      <w:r>
        <w:rPr>
          <w:iCs/>
          <w:lang w:val="en-US"/>
        </w:rPr>
        <w:t xml:space="preserve">other </w:t>
      </w:r>
      <w:r w:rsidR="00BE5CC9" w:rsidRPr="00211DF0">
        <w:rPr>
          <w:iCs/>
          <w:lang w:val="en-US"/>
        </w:rPr>
        <w:t>private firms are already using the technology in question.</w:t>
      </w:r>
      <w:r w:rsidR="009E229D" w:rsidRPr="00211DF0">
        <w:rPr>
          <w:iCs/>
          <w:lang w:val="en-US"/>
        </w:rPr>
        <w:t xml:space="preserve"> </w:t>
      </w:r>
      <w:r w:rsidR="00B857E5" w:rsidRPr="00211DF0">
        <w:rPr>
          <w:iCs/>
          <w:lang w:val="en-US"/>
        </w:rPr>
        <w:t xml:space="preserve">These co-defendants can increase the consistency of the litigation signal because they also had opportunities to settle </w:t>
      </w:r>
      <w:r w:rsidR="009D3D65">
        <w:rPr>
          <w:iCs/>
          <w:lang w:val="en-US"/>
        </w:rPr>
        <w:t>and avoid the litigation</w:t>
      </w:r>
      <w:r w:rsidR="00B857E5" w:rsidRPr="00211DF0">
        <w:rPr>
          <w:iCs/>
          <w:lang w:val="en-US"/>
        </w:rPr>
        <w:t>.</w:t>
      </w:r>
    </w:p>
    <w:p w14:paraId="1D5EE4A3" w14:textId="091D7B7B" w:rsidR="00BD6FB6" w:rsidRPr="00211DF0" w:rsidRDefault="009F0B13" w:rsidP="00FB283A">
      <w:pPr>
        <w:rPr>
          <w:iCs/>
          <w:lang w:val="en-US"/>
        </w:rPr>
      </w:pPr>
      <w:r w:rsidRPr="00211DF0">
        <w:rPr>
          <w:iCs/>
          <w:lang w:val="en-US"/>
        </w:rPr>
        <w:t xml:space="preserve">Thus, we hypothesize: </w:t>
      </w:r>
    </w:p>
    <w:p w14:paraId="1F6591E3" w14:textId="381804AE" w:rsidR="00481873" w:rsidRDefault="00C54717" w:rsidP="00C55472">
      <w:pPr>
        <w:spacing w:after="240"/>
        <w:ind w:left="567" w:right="573" w:firstLine="0"/>
        <w:rPr>
          <w:i/>
          <w:lang w:val="en-US"/>
        </w:rPr>
      </w:pPr>
      <w:r w:rsidRPr="00211DF0">
        <w:rPr>
          <w:i/>
          <w:lang w:val="en-US"/>
        </w:rPr>
        <w:t>Hypothesis 3</w:t>
      </w:r>
      <w:r w:rsidR="003756C8" w:rsidRPr="00211DF0">
        <w:rPr>
          <w:i/>
          <w:lang w:val="en-US"/>
        </w:rPr>
        <w:t>:</w:t>
      </w:r>
      <w:r w:rsidR="0055439B">
        <w:rPr>
          <w:i/>
          <w:lang w:val="en-US"/>
        </w:rPr>
        <w:t xml:space="preserve"> Controlling for prior licensing activity,</w:t>
      </w:r>
      <w:r w:rsidR="003756C8" w:rsidRPr="00211DF0">
        <w:rPr>
          <w:i/>
          <w:lang w:val="en-US"/>
        </w:rPr>
        <w:t xml:space="preserve"> </w:t>
      </w:r>
      <w:r w:rsidR="0055439B">
        <w:rPr>
          <w:i/>
          <w:lang w:val="en-US"/>
        </w:rPr>
        <w:t>t</w:t>
      </w:r>
      <w:r w:rsidR="00B745F1" w:rsidRPr="00211DF0">
        <w:rPr>
          <w:i/>
          <w:lang w:val="en-US"/>
        </w:rPr>
        <w:t xml:space="preserve">he </w:t>
      </w:r>
      <w:r w:rsidR="00481873">
        <w:rPr>
          <w:i/>
          <w:lang w:val="en-US"/>
        </w:rPr>
        <w:t xml:space="preserve">increase of </w:t>
      </w:r>
      <w:r w:rsidR="00B745F1" w:rsidRPr="00211DF0">
        <w:rPr>
          <w:i/>
          <w:lang w:val="en-US"/>
        </w:rPr>
        <w:t xml:space="preserve">licensing income </w:t>
      </w:r>
      <w:r w:rsidR="00481873">
        <w:rPr>
          <w:i/>
          <w:lang w:val="en-US"/>
        </w:rPr>
        <w:t>for</w:t>
      </w:r>
      <w:r w:rsidR="00481873" w:rsidRPr="00211DF0">
        <w:rPr>
          <w:i/>
          <w:lang w:val="en-US"/>
        </w:rPr>
        <w:t xml:space="preserve"> </w:t>
      </w:r>
      <w:r w:rsidR="00B745F1" w:rsidRPr="00211DF0">
        <w:rPr>
          <w:i/>
          <w:lang w:val="en-US"/>
        </w:rPr>
        <w:t xml:space="preserve">universities </w:t>
      </w:r>
      <w:r w:rsidR="00481873">
        <w:rPr>
          <w:i/>
          <w:lang w:val="en-US"/>
        </w:rPr>
        <w:t>is stronger for universities facing</w:t>
      </w:r>
      <w:r w:rsidR="00B745F1" w:rsidRPr="00211DF0">
        <w:rPr>
          <w:i/>
          <w:lang w:val="en-US"/>
        </w:rPr>
        <w:t xml:space="preserve"> patent litigation cases as co-defendants compared with cases as sole defendant.</w:t>
      </w:r>
    </w:p>
    <w:p w14:paraId="52BC3E67" w14:textId="1FCC6B13" w:rsidR="008C31B9" w:rsidRDefault="008C31B9" w:rsidP="00481873">
      <w:pPr>
        <w:pStyle w:val="Heading1"/>
        <w:rPr>
          <w:lang w:val="en-US"/>
        </w:rPr>
      </w:pPr>
      <w:r w:rsidRPr="00211DF0">
        <w:rPr>
          <w:lang w:val="en-US"/>
        </w:rPr>
        <w:t>Data and Method</w:t>
      </w:r>
      <w:r w:rsidR="00481873">
        <w:rPr>
          <w:lang w:val="en-US"/>
        </w:rPr>
        <w:t>s</w:t>
      </w:r>
    </w:p>
    <w:p w14:paraId="6BE131FE" w14:textId="77777777" w:rsidR="001B67EF" w:rsidRPr="00071DC8" w:rsidRDefault="001B67EF" w:rsidP="001B67EF">
      <w:pPr>
        <w:pStyle w:val="Heading2"/>
      </w:pPr>
      <w:r w:rsidRPr="00071DC8">
        <w:t>Data</w:t>
      </w:r>
    </w:p>
    <w:p w14:paraId="3947CC51" w14:textId="7B1A8D8C" w:rsidR="001B67EF" w:rsidRPr="00C170AB" w:rsidRDefault="00C55472" w:rsidP="001B67EF">
      <w:pPr>
        <w:ind w:firstLine="0"/>
        <w:rPr>
          <w:lang w:val="en-US"/>
        </w:rPr>
      </w:pPr>
      <w:r>
        <w:rPr>
          <w:lang w:val="en-US"/>
        </w:rPr>
        <w:t>We</w:t>
      </w:r>
      <w:r w:rsidRPr="00C170AB">
        <w:rPr>
          <w:lang w:val="en-US"/>
        </w:rPr>
        <w:t xml:space="preserve"> </w:t>
      </w:r>
      <w:r w:rsidR="001B67EF" w:rsidRPr="00C170AB">
        <w:rPr>
          <w:lang w:val="en-US"/>
        </w:rPr>
        <w:t>test our hypotheses</w:t>
      </w:r>
      <w:r w:rsidR="00E14BC0">
        <w:rPr>
          <w:lang w:val="en-US"/>
        </w:rPr>
        <w:t xml:space="preserve"> using data</w:t>
      </w:r>
      <w:r w:rsidR="001B67EF" w:rsidRPr="00C170AB">
        <w:rPr>
          <w:lang w:val="en-US"/>
        </w:rPr>
        <w:t xml:space="preserve"> from US universities. US universities </w:t>
      </w:r>
      <w:r w:rsidR="00E14BC0">
        <w:rPr>
          <w:lang w:val="en-US"/>
        </w:rPr>
        <w:t>are an</w:t>
      </w:r>
      <w:r w:rsidR="00E14BC0" w:rsidRPr="00C170AB">
        <w:rPr>
          <w:lang w:val="en-US"/>
        </w:rPr>
        <w:t xml:space="preserve"> </w:t>
      </w:r>
      <w:r w:rsidR="001B67EF" w:rsidRPr="00C170AB">
        <w:rPr>
          <w:lang w:val="en-US"/>
        </w:rPr>
        <w:t xml:space="preserve">appropriate </w:t>
      </w:r>
      <w:r w:rsidR="00E14BC0">
        <w:rPr>
          <w:lang w:val="en-US"/>
        </w:rPr>
        <w:t xml:space="preserve">setting </w:t>
      </w:r>
      <w:r w:rsidR="001B67EF" w:rsidRPr="00C170AB">
        <w:rPr>
          <w:lang w:val="en-US"/>
        </w:rPr>
        <w:t xml:space="preserve">for </w:t>
      </w:r>
      <w:r w:rsidR="001B67EF">
        <w:rPr>
          <w:lang w:val="en-US"/>
        </w:rPr>
        <w:t xml:space="preserve">studying patent litigation, as the contribution of universities to domestic patenting activity is particularly </w:t>
      </w:r>
      <w:r w:rsidR="00E14BC0">
        <w:rPr>
          <w:lang w:val="en-US"/>
        </w:rPr>
        <w:t xml:space="preserve">high </w:t>
      </w:r>
      <w:r w:rsidR="001B67EF">
        <w:rPr>
          <w:lang w:val="en-US"/>
        </w:rPr>
        <w:t>in the US</w:t>
      </w:r>
      <w:r w:rsidR="00021986">
        <w:rPr>
          <w:lang w:val="en-US"/>
        </w:rPr>
        <w:t xml:space="preserve"> </w:t>
      </w:r>
      <w:r w:rsidR="001B67EF">
        <w:t xml:space="preserve">(Blumenstyk, 2010; Farmer, 2007). </w:t>
      </w:r>
      <w:r w:rsidR="00073DEC">
        <w:rPr>
          <w:lang w:val="en-US"/>
        </w:rPr>
        <w:t>We construct</w:t>
      </w:r>
      <w:r w:rsidR="001B67EF" w:rsidRPr="00C170AB">
        <w:rPr>
          <w:lang w:val="en-US"/>
        </w:rPr>
        <w:t xml:space="preserve"> a</w:t>
      </w:r>
      <w:r w:rsidR="00073DEC">
        <w:rPr>
          <w:lang w:val="en-US"/>
        </w:rPr>
        <w:t xml:space="preserve"> unique</w:t>
      </w:r>
      <w:r w:rsidR="001B67EF" w:rsidRPr="00071DC8">
        <w:rPr>
          <w:lang w:val="en-US"/>
        </w:rPr>
        <w:t xml:space="preserve"> dataset </w:t>
      </w:r>
      <w:r w:rsidR="00073DEC">
        <w:rPr>
          <w:lang w:val="en-US"/>
        </w:rPr>
        <w:t>by merging</w:t>
      </w:r>
      <w:r w:rsidR="00073DEC" w:rsidRPr="00C170AB">
        <w:rPr>
          <w:lang w:val="en-US"/>
        </w:rPr>
        <w:t xml:space="preserve"> </w:t>
      </w:r>
      <w:r w:rsidR="001B67EF" w:rsidRPr="00C170AB">
        <w:rPr>
          <w:lang w:val="en-US"/>
        </w:rPr>
        <w:t>two data</w:t>
      </w:r>
      <w:r w:rsidR="001B67EF" w:rsidRPr="00071DC8">
        <w:rPr>
          <w:lang w:val="en-US"/>
        </w:rPr>
        <w:t xml:space="preserve"> sources. The first </w:t>
      </w:r>
      <w:r w:rsidR="001B67EF" w:rsidRPr="00C170AB">
        <w:rPr>
          <w:lang w:val="en-US"/>
        </w:rPr>
        <w:t>database consist</w:t>
      </w:r>
      <w:r w:rsidR="00073DEC">
        <w:rPr>
          <w:lang w:val="en-US"/>
        </w:rPr>
        <w:t>s</w:t>
      </w:r>
      <w:r w:rsidR="001B67EF" w:rsidRPr="00C170AB">
        <w:rPr>
          <w:lang w:val="en-US"/>
        </w:rPr>
        <w:t xml:space="preserve"> of university-level responses in the annual licensing surveys of the Association of University Technology Managers (AUTM STATT). AUTM STATT covers the </w:t>
      </w:r>
      <w:r w:rsidR="001B67EF" w:rsidRPr="00071DC8">
        <w:rPr>
          <w:lang w:val="en-US"/>
        </w:rPr>
        <w:t xml:space="preserve">technology transfer activity of all US universities. The second source is </w:t>
      </w:r>
      <w:r w:rsidR="008B6317">
        <w:rPr>
          <w:lang w:val="en-US"/>
        </w:rPr>
        <w:t>the USPTO’s</w:t>
      </w:r>
      <w:r w:rsidR="008B6317" w:rsidRPr="00071DC8">
        <w:rPr>
          <w:lang w:val="en-US"/>
        </w:rPr>
        <w:t xml:space="preserve"> </w:t>
      </w:r>
      <w:r w:rsidR="008B6317" w:rsidRPr="008B6317">
        <w:rPr>
          <w:lang w:val="en-US"/>
        </w:rPr>
        <w:t>Patent Litigation Docket Reports Data</w:t>
      </w:r>
      <w:r w:rsidR="001B67EF" w:rsidRPr="00071DC8">
        <w:rPr>
          <w:lang w:val="en-US"/>
        </w:rPr>
        <w:t>, which is used to access patent infringement litigations data for all US universities</w:t>
      </w:r>
      <w:r w:rsidR="00AC0A35">
        <w:rPr>
          <w:lang w:val="en-US"/>
        </w:rPr>
        <w:t xml:space="preserve"> </w:t>
      </w:r>
      <w:r w:rsidR="00AC0A35">
        <w:rPr>
          <w:lang w:val="en-US"/>
        </w:rPr>
        <w:fldChar w:fldCharType="begin" w:fldLock="1"/>
      </w:r>
      <w:r w:rsidR="00AC0A35">
        <w:rPr>
          <w:lang w:val="en-US"/>
        </w:rPr>
        <w:instrText>ADDIN CSL_CITATION {"citationItems":[{"id":"ITEM-1","itemData":{"author":[{"dropping-particle":"","family":"USPTO","given":"","non-dropping-particle":"","parse-names":false,"suffix":""}],"id":"ITEM-1","issued":{"date-parts":[["2021"]]},"title":"Patent Litigation Dockets Report Data","type":"webpage"},"uris":["http://www.mendeley.com/documents/?uuid=ee5dd56e-da51-4ddc-9fd1-f5f67387d7c9"]},{"id":"ITEM-2","itemData":{"DOI":"10.2139/ssrn.3507607","ISSN":"1556-5068","abstract":"Researchers studying the U.S. patent litigation system have typically had to rely on proprietary, commercial databases to retrieve comprehensive lists of litigated patents and associated case information, precluding publication or release of the underlying data and the verification of study results. In other situations, researchers have used incomplete datasets, potentially resulting in biased or incorrect results. In order to overcome these limitations, the authors and their research teams reviewed every available initial complaint and related documents in roughly 99 percent of all patent cases filed in U.S. district courts between 2003 and 2016 in order to generate a comprehensive list of litigated patents in those cases. In addition, the authors and their teams coded the case “type” for all of these actions, such as infringement, declaratory judgment, false marking, ownership dispute, malpractice, among others. The resulting dataset can be downloaded in bulk and be used and reproduced with no licensing restrictions. These data have been married to USPTO’s Patent Litigation Docket Reports Dataset, which provides full case and docket information for every one of these cases. Thus, for the first time, researchers can now use a single, comprehensive dataset of patents, case types, and related case information to conduct empirical studies of patent litigation in the U.S. district courts.","author":[{"dropping-particle":"","family":"Schwartz","given":"David L.","non-dropping-particle":"","parse-names":false,"suffix":""},{"dropping-particle":"","family":"Sichelman","given":"Ted M.","non-dropping-particle":"","parse-names":false,"suffix":""},{"dropping-particle":"","family":"Miller","given":"Richard","non-dropping-particle":"","parse-names":false,"suffix":""}],"container-title":"SSRN Electronic Journal","id":"ITEM-2","issue":"December","issued":{"date-parts":[["2019"]]},"title":"USPTO Patent Number and Case Code File Dataset Documentation","type":"article-journal"},"uris":["http://www.mendeley.com/documents/?uuid=b6be9ce2-5bcb-4883-ae51-508f5b242ff2"]}],"mendeley":{"formattedCitation":"(Schwartz et al., 2019; USPTO, 2021)","plainTextFormattedCitation":"(Schwartz et al., 2019; USPTO, 2021)","previouslyFormattedCitation":"(Schwartz et al., 2019; USPTO, 2021)"},"properties":{"noteIndex":0},"schema":"https://github.com/citation-style-language/schema/raw/master/csl-citation.json"}</w:instrText>
      </w:r>
      <w:r w:rsidR="00AC0A35">
        <w:rPr>
          <w:lang w:val="en-US"/>
        </w:rPr>
        <w:fldChar w:fldCharType="separate"/>
      </w:r>
      <w:r w:rsidR="00AC0A35" w:rsidRPr="00AC0A35">
        <w:rPr>
          <w:noProof/>
          <w:lang w:val="en-US"/>
        </w:rPr>
        <w:t>(Schwartz et al., 2019; USPTO, 2021)</w:t>
      </w:r>
      <w:r w:rsidR="00AC0A35">
        <w:rPr>
          <w:lang w:val="en-US"/>
        </w:rPr>
        <w:fldChar w:fldCharType="end"/>
      </w:r>
      <w:r w:rsidR="00AC0A35">
        <w:rPr>
          <w:lang w:val="en-US"/>
        </w:rPr>
        <w:t xml:space="preserve">. </w:t>
      </w:r>
      <w:r w:rsidR="001B67EF" w:rsidRPr="00C170AB">
        <w:rPr>
          <w:lang w:val="en-US"/>
        </w:rPr>
        <w:t xml:space="preserve">The data cover the period between 2005 and 2016. After excluding </w:t>
      </w:r>
      <w:r w:rsidR="00073DEC">
        <w:rPr>
          <w:lang w:val="en-US"/>
        </w:rPr>
        <w:t>cases with</w:t>
      </w:r>
      <w:r w:rsidR="00073DEC" w:rsidRPr="00C170AB">
        <w:rPr>
          <w:lang w:val="en-US"/>
        </w:rPr>
        <w:t xml:space="preserve"> </w:t>
      </w:r>
      <w:r w:rsidR="001B67EF" w:rsidRPr="00C170AB">
        <w:rPr>
          <w:lang w:val="en-US"/>
        </w:rPr>
        <w:t>missing data, our sample consist</w:t>
      </w:r>
      <w:r w:rsidR="00073DEC">
        <w:rPr>
          <w:lang w:val="en-US"/>
        </w:rPr>
        <w:t>s</w:t>
      </w:r>
      <w:r w:rsidR="001B67EF" w:rsidRPr="00C170AB">
        <w:rPr>
          <w:lang w:val="en-US"/>
        </w:rPr>
        <w:t xml:space="preserve"> of 1,408 university-year observations </w:t>
      </w:r>
      <w:r w:rsidR="00073DEC">
        <w:rPr>
          <w:lang w:val="en-US"/>
        </w:rPr>
        <w:t>from</w:t>
      </w:r>
      <w:r w:rsidR="001B67EF" w:rsidRPr="00C170AB">
        <w:rPr>
          <w:lang w:val="en-US"/>
        </w:rPr>
        <w:t xml:space="preserve"> 157 unique US universities.</w:t>
      </w:r>
    </w:p>
    <w:p w14:paraId="127620C3" w14:textId="77777777" w:rsidR="001B67EF" w:rsidRPr="00071DC8" w:rsidRDefault="001B67EF" w:rsidP="001B67EF">
      <w:pPr>
        <w:pStyle w:val="Heading2"/>
      </w:pPr>
      <w:r w:rsidRPr="00071DC8">
        <w:lastRenderedPageBreak/>
        <w:t>Measures</w:t>
      </w:r>
    </w:p>
    <w:p w14:paraId="58D38A71" w14:textId="77777777" w:rsidR="001B67EF" w:rsidRPr="00071DC8" w:rsidRDefault="001B67EF" w:rsidP="001B67EF">
      <w:pPr>
        <w:pStyle w:val="Heading3"/>
      </w:pPr>
      <w:r w:rsidRPr="00071DC8">
        <w:t xml:space="preserve">Dependent variable. </w:t>
      </w:r>
    </w:p>
    <w:p w14:paraId="4672F455" w14:textId="11142B2A" w:rsidR="001B67EF" w:rsidRPr="00C170AB" w:rsidRDefault="001B67EF" w:rsidP="001B67EF">
      <w:pPr>
        <w:ind w:firstLine="0"/>
        <w:rPr>
          <w:lang w:val="en-US"/>
        </w:rPr>
      </w:pPr>
      <w:r w:rsidRPr="00C170AB">
        <w:rPr>
          <w:lang w:val="en-US"/>
        </w:rPr>
        <w:t xml:space="preserve">To measure </w:t>
      </w:r>
      <w:r w:rsidRPr="00CE1D99">
        <w:rPr>
          <w:lang w:val="en-US"/>
        </w:rPr>
        <w:t>licensing</w:t>
      </w:r>
      <w:r w:rsidRPr="00C170AB">
        <w:rPr>
          <w:lang w:val="en-US"/>
        </w:rPr>
        <w:t xml:space="preserve"> income, we use the value of gross licensing revenues from both licensing fees and royalties in </w:t>
      </w:r>
      <w:r w:rsidR="00AE4F1E">
        <w:rPr>
          <w:lang w:val="en-US"/>
        </w:rPr>
        <w:t>the next</w:t>
      </w:r>
      <w:r w:rsidRPr="00C170AB">
        <w:rPr>
          <w:lang w:val="en-US"/>
        </w:rPr>
        <w:t xml:space="preserve"> year</w:t>
      </w:r>
      <w:r w:rsidR="00AE4F1E">
        <w:rPr>
          <w:lang w:val="en-US"/>
        </w:rPr>
        <w:t xml:space="preserve"> (t+1)</w:t>
      </w:r>
      <w:r w:rsidRPr="00C170AB">
        <w:rPr>
          <w:lang w:val="en-US"/>
        </w:rPr>
        <w:t xml:space="preserve"> (</w:t>
      </w:r>
      <w:r w:rsidRPr="00CE1D99">
        <w:rPr>
          <w:i/>
          <w:lang w:val="en-US"/>
        </w:rPr>
        <w:t>Licensing</w:t>
      </w:r>
      <w:r w:rsidRPr="00C170AB">
        <w:rPr>
          <w:i/>
          <w:lang w:val="en-US"/>
        </w:rPr>
        <w:t xml:space="preserve"> Revenues</w:t>
      </w:r>
      <w:r w:rsidRPr="00C170AB">
        <w:rPr>
          <w:lang w:val="en-US"/>
        </w:rPr>
        <w:t xml:space="preserve">). All of our models use logarithmic transformations of the dependent variable because </w:t>
      </w:r>
      <w:r w:rsidRPr="00CE1D99">
        <w:rPr>
          <w:lang w:val="en-US"/>
        </w:rPr>
        <w:t>licensing</w:t>
      </w:r>
      <w:r w:rsidRPr="00C170AB">
        <w:rPr>
          <w:lang w:val="en-US"/>
        </w:rPr>
        <w:t xml:space="preserve"> income is strongly skewed.</w:t>
      </w:r>
    </w:p>
    <w:p w14:paraId="43142E34" w14:textId="77777777" w:rsidR="001B67EF" w:rsidRPr="00071DC8" w:rsidRDefault="001B67EF" w:rsidP="001B67EF">
      <w:pPr>
        <w:rPr>
          <w:i/>
          <w:lang w:val="en-US"/>
        </w:rPr>
      </w:pPr>
      <w:r w:rsidRPr="00071DC8">
        <w:rPr>
          <w:i/>
          <w:lang w:val="en-US"/>
        </w:rPr>
        <w:t xml:space="preserve">Explanatory variables. </w:t>
      </w:r>
    </w:p>
    <w:p w14:paraId="783D6C1C" w14:textId="22A5FA80" w:rsidR="001B67EF" w:rsidRPr="00C170AB" w:rsidRDefault="001B67EF" w:rsidP="001B67EF">
      <w:pPr>
        <w:ind w:firstLine="0"/>
        <w:rPr>
          <w:lang w:val="en-US"/>
        </w:rPr>
      </w:pPr>
      <w:r w:rsidRPr="00C170AB">
        <w:rPr>
          <w:lang w:val="en-US"/>
        </w:rPr>
        <w:t>Our independent variable in hypothesis 1 measures the number of patent litigation cases that a university faces as a defendant in a given year (</w:t>
      </w:r>
      <w:r w:rsidRPr="00C170AB">
        <w:rPr>
          <w:i/>
          <w:lang w:val="en-US"/>
        </w:rPr>
        <w:t>Litigations as Defendant</w:t>
      </w:r>
      <w:r w:rsidRPr="00C170AB">
        <w:rPr>
          <w:lang w:val="en-US"/>
        </w:rPr>
        <w:t xml:space="preserve">). To measure our moderating variable in hypothesis 2, </w:t>
      </w:r>
      <w:r w:rsidRPr="00C170AB">
        <w:rPr>
          <w:i/>
          <w:lang w:val="en-US"/>
        </w:rPr>
        <w:t>Licensing Patents</w:t>
      </w:r>
      <w:r w:rsidRPr="00C170AB">
        <w:rPr>
          <w:lang w:val="en-US"/>
        </w:rPr>
        <w:t xml:space="preserve">, we use the total number of licenses executed by the university </w:t>
      </w:r>
      <w:r w:rsidR="00590609">
        <w:rPr>
          <w:lang w:val="en-US"/>
        </w:rPr>
        <w:t>scaled</w:t>
      </w:r>
      <w:r w:rsidR="00590609" w:rsidRPr="00C170AB">
        <w:rPr>
          <w:lang w:val="en-US"/>
        </w:rPr>
        <w:t xml:space="preserve"> </w:t>
      </w:r>
      <w:r w:rsidRPr="00C170AB">
        <w:rPr>
          <w:lang w:val="en-US"/>
        </w:rPr>
        <w:t>by the total number of patents issued to the university for a given year. We compute two additional independent variables for testing hypothesis 3: The number of patent litigation cases that a university faces as a co-defendant (</w:t>
      </w:r>
      <w:r w:rsidRPr="00C170AB">
        <w:rPr>
          <w:i/>
          <w:lang w:val="en-US"/>
        </w:rPr>
        <w:t>Litigations as Co-defendant</w:t>
      </w:r>
      <w:r w:rsidRPr="00C170AB">
        <w:rPr>
          <w:lang w:val="en-US"/>
        </w:rPr>
        <w:t>) and the number of patent litigation cases that a university faces as a sole defendant (</w:t>
      </w:r>
      <w:r w:rsidRPr="00C170AB">
        <w:rPr>
          <w:i/>
          <w:lang w:val="en-US"/>
        </w:rPr>
        <w:t>Litigations as Sole Defendant</w:t>
      </w:r>
      <w:r w:rsidRPr="00C170AB">
        <w:rPr>
          <w:lang w:val="en-US"/>
        </w:rPr>
        <w:t>) in a given year.</w:t>
      </w:r>
    </w:p>
    <w:p w14:paraId="5251CF7B" w14:textId="77777777" w:rsidR="001B67EF" w:rsidRPr="00071DC8" w:rsidRDefault="001B67EF" w:rsidP="001B67EF">
      <w:pPr>
        <w:rPr>
          <w:i/>
          <w:lang w:val="en-US"/>
        </w:rPr>
      </w:pPr>
      <w:r w:rsidRPr="00071DC8">
        <w:rPr>
          <w:i/>
          <w:lang w:val="en-US"/>
        </w:rPr>
        <w:t>Control variables.</w:t>
      </w:r>
    </w:p>
    <w:p w14:paraId="034F8100" w14:textId="7643E1A7" w:rsidR="002A5EAA" w:rsidRDefault="001B67EF" w:rsidP="001B67EF">
      <w:pPr>
        <w:ind w:firstLine="0"/>
        <w:rPr>
          <w:lang w:val="en-US"/>
        </w:rPr>
      </w:pPr>
      <w:r w:rsidRPr="00C170AB">
        <w:rPr>
          <w:lang w:val="en-US"/>
        </w:rPr>
        <w:t>To mitigate the possibility that our results are driven by omitted variable bias</w:t>
      </w:r>
      <w:r w:rsidR="002A5EAA">
        <w:rPr>
          <w:lang w:val="en-US"/>
        </w:rPr>
        <w:t>es</w:t>
      </w:r>
      <w:r w:rsidRPr="00C170AB">
        <w:rPr>
          <w:lang w:val="en-US"/>
        </w:rPr>
        <w:t xml:space="preserve"> (Barkema, 1996), we include </w:t>
      </w:r>
      <w:r w:rsidR="002A5EAA">
        <w:rPr>
          <w:lang w:val="en-US"/>
        </w:rPr>
        <w:t>a rich set of</w:t>
      </w:r>
      <w:r w:rsidR="002A5EAA" w:rsidRPr="00C170AB">
        <w:rPr>
          <w:lang w:val="en-US"/>
        </w:rPr>
        <w:t xml:space="preserve"> </w:t>
      </w:r>
      <w:r w:rsidRPr="00C170AB">
        <w:rPr>
          <w:lang w:val="en-US"/>
        </w:rPr>
        <w:t xml:space="preserve">control variables in our models. </w:t>
      </w:r>
      <w:r w:rsidR="002A5EAA">
        <w:rPr>
          <w:lang w:val="en-US"/>
        </w:rPr>
        <w:t>In line with earlier research, these c</w:t>
      </w:r>
      <w:r w:rsidR="0008757D">
        <w:rPr>
          <w:lang w:val="en-US"/>
        </w:rPr>
        <w:t>ontrol variables fall into four</w:t>
      </w:r>
      <w:r w:rsidR="002A5EAA">
        <w:rPr>
          <w:lang w:val="en-US"/>
        </w:rPr>
        <w:t xml:space="preserve"> broad categories, covering differences at the level of technologies, TTOs</w:t>
      </w:r>
      <w:r w:rsidR="0008757D">
        <w:rPr>
          <w:lang w:val="en-US"/>
        </w:rPr>
        <w:t xml:space="preserve">, </w:t>
      </w:r>
      <w:r w:rsidR="002A5EAA">
        <w:rPr>
          <w:lang w:val="en-US"/>
        </w:rPr>
        <w:t xml:space="preserve">the overall </w:t>
      </w:r>
      <w:r w:rsidR="0008757D">
        <w:rPr>
          <w:lang w:val="en-US"/>
        </w:rPr>
        <w:t>university and its litigation experiences</w:t>
      </w:r>
      <w:r w:rsidR="002A5EAA">
        <w:rPr>
          <w:lang w:val="en-US"/>
        </w:rPr>
        <w:t>.</w:t>
      </w:r>
    </w:p>
    <w:p w14:paraId="2FCB6B84" w14:textId="3189AEC9" w:rsidR="005462D5" w:rsidRDefault="005462D5" w:rsidP="0096482A">
      <w:pPr>
        <w:pStyle w:val="2ndparagraph"/>
      </w:pPr>
      <w:r>
        <w:t xml:space="preserve">At the technology level, </w:t>
      </w:r>
      <w:r w:rsidR="002A5EAA">
        <w:t xml:space="preserve">the number of </w:t>
      </w:r>
      <w:r w:rsidR="001B67EF" w:rsidRPr="00C170AB">
        <w:t>patents affect</w:t>
      </w:r>
      <w:r w:rsidR="002A5EAA">
        <w:t>s potential</w:t>
      </w:r>
      <w:r w:rsidR="001B67EF" w:rsidRPr="00C170AB">
        <w:t xml:space="preserve"> </w:t>
      </w:r>
      <w:r w:rsidR="001B67EF" w:rsidRPr="00CE1D99">
        <w:t>licensing</w:t>
      </w:r>
      <w:r w:rsidR="001B67EF" w:rsidRPr="00C170AB">
        <w:t xml:space="preserve"> income, </w:t>
      </w:r>
      <w:r w:rsidR="0096482A">
        <w:t xml:space="preserve">so </w:t>
      </w:r>
      <w:r w:rsidR="001B67EF" w:rsidRPr="00C170AB">
        <w:t>we control for the total number of patents issued to the university (</w:t>
      </w:r>
      <w:r w:rsidR="001B67EF" w:rsidRPr="00C170AB">
        <w:rPr>
          <w:i/>
        </w:rPr>
        <w:t>No. of Patents</w:t>
      </w:r>
      <w:r w:rsidR="001B67EF" w:rsidRPr="00C170AB">
        <w:t>). We also control for the logarithmic transformation of total research expenses (</w:t>
      </w:r>
      <w:r w:rsidR="001B67EF" w:rsidRPr="00C170AB">
        <w:rPr>
          <w:i/>
        </w:rPr>
        <w:t>Research Expenses</w:t>
      </w:r>
      <w:r w:rsidR="001B67EF" w:rsidRPr="00C170AB">
        <w:t>) and research expenses that come from industry sources as a percentage of total research expenses (</w:t>
      </w:r>
      <w:r w:rsidR="001B67EF" w:rsidRPr="00C170AB">
        <w:rPr>
          <w:i/>
        </w:rPr>
        <w:t>Applied Research</w:t>
      </w:r>
      <w:r w:rsidR="001B67EF" w:rsidRPr="00C170AB">
        <w:t xml:space="preserve">), which is a proxy for the university’s 'commercial proclivity' and dedication to 'applied' research </w:t>
      </w:r>
      <w:r w:rsidR="001B67EF" w:rsidRPr="00C170AB">
        <w:fldChar w:fldCharType="begin" w:fldLock="1"/>
      </w:r>
      <w:r w:rsidR="00AC0A35">
        <w:instrText>ADDIN CSL_CITATION {"citationItems":[{"id":"ITEM-1","itemData":{"DOI":"10.1016/j.respol.2011.10.010","ISSN":"00487333","abstract":"As the innovation process has become more open and networked, Government policy in the UK has sought to promote both research excellence in the university sector and the translation of this into economic benefit through university–business engagement. However, this policy approach has tended to be applied uniformly with little account for organisational differences within the sector. In this paper we consider if differences between universities in their research performance is reflected in their knowledge transfer activity. Specifically, as universities develop a commercialization agenda are the strategic priorities for knowledge transfer, the organisational supports in place to facilitate knowledge transfer and the scale and scope of knowledge transfer activity different for high research intensive (HRI) and low research intensive (LRI) universities? The findings demonstrate that universities’ approach to knowledge transfer is shaped by institutional and organisational resources, in particular their ethos and research quality, rather than the capability to undertake knowledge transfer through a Technology Transfer Office (TTO). Strategic priorities for knowledge transfer are reflected in activity, in terms of the dominance of specific knowledge transfer channels, the partners with which universities engage and the geography of business engagement.","author":[{"dropping-particle":"","family":"Hewitt-Dundas","given":"Nola","non-dropping-particle":"","parse-names":false,"suffix":""}],"container-title":"Research Policy","id":"ITEM-1","issue":"2","issued":{"date-parts":[["2012","3"]]},"page":"262-275","title":"Research intensity and knowledge transfer activity in UK universities","type":"article-journal","volume":"41"},"uris":["http://www.mendeley.com/documents/?uuid=dfda44a2-56de-4343-aba6-7ecd31ff1890"]},{"id":"ITEM-2","itemData":{"DOI":"10.1016/j.respol.2005.01.005","ISBN":"0048-7333","ISSN":"00487333","PMID":"599","abstract":"This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Policy","id":"ITEM-2","issue":"3","issued":{"date-parts":[["2005"]]},"page":"253-257","title":"University-based technology initiatives: Quantitative and qualitative evidence","type":"article-journal","volume":"34"},"uris":["http://www.mendeley.com/documents/?uuid=898545c9-834c-423a-aa3f-4da3b3627a38"]}],"mendeley":{"formattedCitation":"(Hewitt-Dundas, 2012; Link and Siegel, 2005)","plainTextFormattedCitation":"(Hewitt-Dundas, 2012; Link and Siegel, 2005)","previouslyFormattedCitation":"(Hewitt-Dundas, 2012; Link and Siegel, 2005)"},"properties":{"noteIndex":0},"schema":"https://github.com/citation-style-language/schema/raw/master/csl-citation.json"}</w:instrText>
      </w:r>
      <w:r w:rsidR="001B67EF" w:rsidRPr="00C170AB">
        <w:fldChar w:fldCharType="separate"/>
      </w:r>
      <w:r w:rsidR="00AC0A35" w:rsidRPr="00AC0A35">
        <w:rPr>
          <w:noProof/>
        </w:rPr>
        <w:t>(Hewitt-Dundas, 2012; Link and Siegel, 2005)</w:t>
      </w:r>
      <w:r w:rsidR="001B67EF" w:rsidRPr="00C170AB">
        <w:fldChar w:fldCharType="end"/>
      </w:r>
      <w:r w:rsidR="001B67EF" w:rsidRPr="00C170AB">
        <w:t xml:space="preserve">. </w:t>
      </w:r>
    </w:p>
    <w:p w14:paraId="23163C38" w14:textId="23919B9F" w:rsidR="00147019" w:rsidRDefault="00147019" w:rsidP="0096482A">
      <w:pPr>
        <w:pStyle w:val="2ndparagraph"/>
      </w:pPr>
      <w:r>
        <w:t>At the TTO level, p</w:t>
      </w:r>
      <w:r w:rsidR="001B67EF" w:rsidRPr="00C170AB">
        <w:t xml:space="preserve">rior research has </w:t>
      </w:r>
      <w:r w:rsidR="002A5EAA" w:rsidRPr="00C170AB">
        <w:t xml:space="preserve">also </w:t>
      </w:r>
      <w:r w:rsidR="001B67EF" w:rsidRPr="00C170AB">
        <w:t xml:space="preserve">shown that older technology transfer offices tend to out-perform their younger counterparts </w:t>
      </w:r>
      <w:r w:rsidR="001B67EF" w:rsidRPr="00C170AB">
        <w:fldChar w:fldCharType="begin" w:fldLock="1"/>
      </w:r>
      <w:r w:rsidR="001B67EF" w:rsidRPr="00C170AB">
        <w:instrText>ADDIN CSL_CITATION {"citationItems":[{"id":"ITEM-1","itemData":{"DOI":"10.1023/A:1021674618658","ISBN":"0892-9912","ISSN":"0892-9912","abstract":"University technology transfer activities are increasingly important as a source of regional economic development and revenue for the university. We use regression analysis, a two-stage model and the most recent data to examine the determinants of technology transfer. Our analysis strongly support four factors, not previously examined in the literature, enhancing university technology transfer: greater rewards for faculty involvement in technology transfer, location of the university in a region with a concentration of high technology firms, a clear university mission in support of technology transfer and the experience of the university's technology transfer office.","author":[{"dropping-particle":"","family":"Friedman","given":"Joseph","non-dropping-particle":"","parse-names":false,"suffix":""},{"dropping-particle":"","family":"Silberman","given":"Jonathan","non-dropping-particle":"","parse-names":false,"suffix":""}],"container-title":"The Journal of Technology Transfer","id":"ITEM-1","issue":"1","issued":{"date-parts":[["2003"]]},"page":"17-30","title":"University Technology Transfer: Do Incentives, Management, and Location Matter?","type":"article-journal","volume":"28"},"uris":["http://www.mendeley.com/documents/?uuid=374e8e75-56c8-4c4e-a6bd-e5796bfc2ca5"]}],"mendeley":{"formattedCitation":"(Friedman and Silberman, 2003)","plainTextFormattedCitation":"(Friedman and Silberman, 2003)","previouslyFormattedCitation":"(Friedman and Silberman, 2003)"},"properties":{"noteIndex":0},"schema":"https://github.com/citation-style-language/schema/raw/master/csl-citation.json"}</w:instrText>
      </w:r>
      <w:r w:rsidR="001B67EF" w:rsidRPr="00C170AB">
        <w:fldChar w:fldCharType="separate"/>
      </w:r>
      <w:r w:rsidR="001B67EF" w:rsidRPr="00C170AB">
        <w:rPr>
          <w:noProof/>
        </w:rPr>
        <w:t>(Friedman and Silberman, 2003)</w:t>
      </w:r>
      <w:r w:rsidR="001B67EF" w:rsidRPr="00C170AB">
        <w:fldChar w:fldCharType="end"/>
      </w:r>
      <w:r w:rsidR="001B67EF" w:rsidRPr="00C170AB">
        <w:t>. We thus include the age of the transfer offices (</w:t>
      </w:r>
      <w:r w:rsidR="001B67EF" w:rsidRPr="00C170AB">
        <w:rPr>
          <w:i/>
        </w:rPr>
        <w:t>TTO Age</w:t>
      </w:r>
      <w:r w:rsidR="001B67EF" w:rsidRPr="00C170AB">
        <w:t>), to control for the</w:t>
      </w:r>
      <w:r w:rsidR="00F95025">
        <w:t xml:space="preserve"> impact of</w:t>
      </w:r>
      <w:r w:rsidR="001B67EF" w:rsidRPr="00C170AB">
        <w:t xml:space="preserve"> </w:t>
      </w:r>
      <w:r w:rsidR="00F95025">
        <w:t xml:space="preserve">their </w:t>
      </w:r>
      <w:r w:rsidR="001B67EF" w:rsidRPr="00C170AB">
        <w:t xml:space="preserve">experience on </w:t>
      </w:r>
      <w:r w:rsidR="001B67EF" w:rsidRPr="00CE1D99">
        <w:t>licensing</w:t>
      </w:r>
      <w:r w:rsidR="001B67EF" w:rsidRPr="00C170AB">
        <w:t xml:space="preserve"> income. We </w:t>
      </w:r>
      <w:r w:rsidR="001B67EF" w:rsidRPr="00C170AB">
        <w:lastRenderedPageBreak/>
        <w:t>also include the number of full</w:t>
      </w:r>
      <w:r w:rsidR="00787779">
        <w:t>-</w:t>
      </w:r>
      <w:r w:rsidR="001B67EF" w:rsidRPr="00C170AB">
        <w:t>time employees (FTEs) working in the university’s technology transfer office (</w:t>
      </w:r>
      <w:r w:rsidR="001B67EF" w:rsidRPr="00C170AB">
        <w:rPr>
          <w:i/>
        </w:rPr>
        <w:t>Total FTEs</w:t>
      </w:r>
      <w:r w:rsidR="001B67EF" w:rsidRPr="00C170AB">
        <w:t xml:space="preserve">), as this number </w:t>
      </w:r>
      <w:r w:rsidR="002A5EAA">
        <w:t>determines a university’s capacity for</w:t>
      </w:r>
      <w:r w:rsidR="001B67EF" w:rsidRPr="00C170AB">
        <w:t xml:space="preserve"> technology transfer (Lockett and Wright, 2005). We further include legal fees in our models (</w:t>
      </w:r>
      <w:r w:rsidR="001B67EF" w:rsidRPr="00C170AB">
        <w:rPr>
          <w:i/>
        </w:rPr>
        <w:t>Legal Fees</w:t>
      </w:r>
      <w:r w:rsidR="001B67EF" w:rsidRPr="00C170AB">
        <w:t xml:space="preserve">), to proxy protection of the university’s </w:t>
      </w:r>
      <w:r w:rsidR="00F95025">
        <w:t>IP</w:t>
      </w:r>
      <w:r w:rsidR="001B67EF" w:rsidRPr="00C170AB">
        <w:t xml:space="preserve">, which is deemed to be a decisive driver of </w:t>
      </w:r>
      <w:r w:rsidR="001B67EF" w:rsidRPr="00CE1D99">
        <w:t>licensing</w:t>
      </w:r>
      <w:r w:rsidR="001B67EF" w:rsidRPr="00C170AB">
        <w:t xml:space="preserve"> income (Lockett and Wright, 2005). We use the natural logarithm of this measure. </w:t>
      </w:r>
    </w:p>
    <w:p w14:paraId="2791880A" w14:textId="0EBE0537" w:rsidR="001B67EF" w:rsidRPr="00C170AB" w:rsidRDefault="00800A3C" w:rsidP="0096482A">
      <w:pPr>
        <w:pStyle w:val="2ndparagraph"/>
      </w:pPr>
      <w:r>
        <w:t>At the university level, p</w:t>
      </w:r>
      <w:r w:rsidR="001B67EF" w:rsidRPr="00C170AB">
        <w:t xml:space="preserve">rior research has shown that having a medical school can </w:t>
      </w:r>
      <w:r w:rsidR="0008757D">
        <w:t>have</w:t>
      </w:r>
      <w:r w:rsidR="0008757D" w:rsidRPr="00C170AB">
        <w:t xml:space="preserve"> </w:t>
      </w:r>
      <w:r w:rsidR="001B67EF" w:rsidRPr="00C170AB">
        <w:t xml:space="preserve">positive influence on </w:t>
      </w:r>
      <w:r w:rsidR="001B67EF" w:rsidRPr="00CE1D99">
        <w:t>licensing</w:t>
      </w:r>
      <w:r w:rsidR="001B67EF" w:rsidRPr="00C170AB">
        <w:t xml:space="preserve"> income </w:t>
      </w:r>
      <w:r w:rsidR="001B67EF" w:rsidRPr="00C170AB">
        <w:fldChar w:fldCharType="begin" w:fldLock="1"/>
      </w:r>
      <w:r w:rsidR="001B67EF" w:rsidRPr="00C170AB">
        <w:instrText>ADDIN CSL_CITATION {"citationItems":[{"id":"ITEM-1","itemData":{"DOI":"10.1016/j.respol.2005.05.014","ISSN":"00487333","abstract":"This study empirically tests a model of a university's selectivity and support policy orientation for technology licensing and its interaction with the external environment for entrepreneurship. Using a sample of 134 US research universities, we investigate main, two-way and three-way interaction effects for two measures of technology transfer performance - licenses with companies that subsequently go public and product royalties. Results indicate both main and moderating effects for both measures of performance. Implications for practice and policy are offered, with special attention to public universities. © 2005 Elsevier B.V. All rights reserved.","author":[{"dropping-particle":"","family":"Powers","given":"Joshua B.","non-dropping-particle":"","parse-names":false,"suffix":""},{"dropping-particle":"","family":"McDougall","given":"Patricia","non-dropping-particle":"","parse-names":false,"suffix":""}],"container-title":"Research Policy","id":"ITEM-1","issue":"7","issued":{"date-parts":[["2005"]]},"page":"1028-1042","title":"Policy orientation effects on performance with licensing to start-ups and small companies","type":"article-journal","volume":"34"},"uris":["http://www.mendeley.com/documents/?uuid=6930249d-57b1-4209-978d-4aa557b97c20"]},{"id":"ITEM-2","itemData":{"DOI":"10.1016/S0048-7333(00)00160-8","ISBN":"0048-7333","ISSN":"00487333","PMID":"2875","abstract":"Licensing activity of US universities has increased substantially in recent years. We examine this increase focusing on the ‘productivity’ and ‘changes in productivity’ of licensing activity. While it is generally acknowledged that there has been a dramatic increase in licensing, there is little understanding of the licensing process as it relates to university characteristics, nor is there evidence on the extent to which this is the result of increased resources devoted to commercialization or whether it stems from other factors. This paper employs data envelopment analysis (DEA) combined with regression analysis to examine the overall productivity of university licensing activity as well as the productivity of individual universities. We find that licensing has increased for reasons other than increases in overall university resources. Given input levels, universities are today more commercially productive than they were in the recent past; we propose reasons for this shift and analyze factors associated with the shift and factors associated with relative levels of commercialization. © Elsevier Science Ltd. All rights reserved.","author":[{"dropping-particle":"","family":"Thursby","given":"Jerry G.","non-dropping-particle":"","parse-names":false,"suffix":""},{"dropping-particle":"","family":"Kemp","given":"Sukanya","non-dropping-particle":"","parse-names":false,"suffix":""}],"container-title":"Research Policy","id":"ITEM-2","issue":"1","issued":{"date-parts":[["2002"]]},"page":"109-124","title":"Growth and productive efficiency of university intellectual property licensing","type":"article-journal","volume":"31"},"uris":["http://www.mendeley.com/documents/?uuid=e8f7222f-4771-44e7-9565-8aa869baee17"]}],"mendeley":{"formattedCitation":"(Powers and McDougall, 2005; Thursby and Kemp, 2002)","plainTextFormattedCitation":"(Powers and McDougall, 2005; Thursby and Kemp, 2002)","previouslyFormattedCitation":"(Powers and McDougall, 2005; Thursby and Kemp, 2002)"},"properties":{"noteIndex":0},"schema":"https://github.com/citation-style-language/schema/raw/master/csl-citation.json"}</w:instrText>
      </w:r>
      <w:r w:rsidR="001B67EF" w:rsidRPr="00C170AB">
        <w:fldChar w:fldCharType="separate"/>
      </w:r>
      <w:r w:rsidR="001B67EF" w:rsidRPr="00C170AB">
        <w:rPr>
          <w:noProof/>
        </w:rPr>
        <w:t>(Powers and McDougall, 2005; Thursby and Kemp, 2002)</w:t>
      </w:r>
      <w:r w:rsidR="001B67EF" w:rsidRPr="00C170AB">
        <w:fldChar w:fldCharType="end"/>
      </w:r>
      <w:r w:rsidR="001B67EF" w:rsidRPr="00C170AB">
        <w:t>. Therefore, we use a dummy variable indicating the presence of a medical school in the university (</w:t>
      </w:r>
      <w:r w:rsidR="001B67EF" w:rsidRPr="00C170AB">
        <w:rPr>
          <w:i/>
        </w:rPr>
        <w:t>Medical School</w:t>
      </w:r>
      <w:r w:rsidR="001B67EF" w:rsidRPr="00C170AB">
        <w:t xml:space="preserve">). </w:t>
      </w:r>
      <w:r w:rsidR="0008757D">
        <w:t>P</w:t>
      </w:r>
      <w:r w:rsidR="001B67EF" w:rsidRPr="00C170AB">
        <w:t xml:space="preserve">rivate universities </w:t>
      </w:r>
      <w:r w:rsidR="0008757D">
        <w:t>can be</w:t>
      </w:r>
      <w:r w:rsidR="001B67EF" w:rsidRPr="00C170AB">
        <w:t xml:space="preserve"> more effective in generating licensing income </w:t>
      </w:r>
      <w:r w:rsidR="0008757D">
        <w:t>compared with</w:t>
      </w:r>
      <w:r w:rsidR="0008757D" w:rsidRPr="00C170AB">
        <w:t xml:space="preserve"> </w:t>
      </w:r>
      <w:r w:rsidR="001B67EF" w:rsidRPr="00C170AB">
        <w:t>public universities (e.g.</w:t>
      </w:r>
      <w:r w:rsidR="00A35B20">
        <w:t xml:space="preserve"> </w:t>
      </w:r>
      <w:r w:rsidR="001B67EF" w:rsidRPr="00C170AB">
        <w:fldChar w:fldCharType="begin" w:fldLock="1"/>
      </w:r>
      <w:r w:rsidR="00021986">
        <w:instrText>ADDIN CSL_CITATION {"citationItems":[{"id":"ITEM-1","itemData":{"DOI":"10.1111/j.0741-6261.2008.00020.x","ISBN":"0741-6261","ISSN":"07416261","PMID":"2877","abstract":"We show that universities in the United States that provide stronger royalty incentives to faculty scientists generate greater license income, controlling for university characteristics. We use pre-sample data on university patenting to control for the potential endogeneity of royalty shares. Faculty responds to royalties both in the form of cash and research lab support, indicating both pecuniary and intrinsic research motivations. The impact of incentives is larger in private than in public universities, and we provide new survey evidence on the organization and objectives of university licensing offices to explain this difference. Royalty incentives work both by raising faculty effort and sorting scientists across universities. The primary impact of incentives is to increase the quality rather than the quantity of inventions.","author":[{"dropping-particle":"","family":"Lach","given":"Saul","non-dropping-particle":"","parse-names":false,"suffix":""},{"dropping-particle":"","family":"Schankerman","given":"Mark","non-dropping-particle":"","parse-names":false,"suffix":""}],"container-title":"RAND Journal of Economics","id":"ITEM-1","issue":"2","issued":{"date-parts":[["2008"]]},"page":"403-433","title":"Incentives and invention in universities","type":"article-journal","volume":"39"},"uris":["http://www.mendeley.com/documents/?uuid=5cc5deac-babe-4731-9ce4-35098d057334"]}],"mendeley":{"formattedCitation":"(Lach and Schankerman, 2008)","manualFormatting":"Lach and Schankerman, 2008)","plainTextFormattedCitation":"(Lach and Schankerman, 2008)","previouslyFormattedCitation":"(Lach and Schankerman, 2008)"},"properties":{"noteIndex":0},"schema":"https://github.com/citation-style-language/schema/raw/master/csl-citation.json"}</w:instrText>
      </w:r>
      <w:r w:rsidR="001B67EF" w:rsidRPr="00C170AB">
        <w:fldChar w:fldCharType="separate"/>
      </w:r>
      <w:r w:rsidR="001B67EF" w:rsidRPr="00C170AB">
        <w:rPr>
          <w:noProof/>
        </w:rPr>
        <w:t xml:space="preserve">Lach </w:t>
      </w:r>
      <w:r w:rsidR="00021986">
        <w:rPr>
          <w:noProof/>
        </w:rPr>
        <w:t>and</w:t>
      </w:r>
      <w:r w:rsidR="001B67EF" w:rsidRPr="00C170AB">
        <w:rPr>
          <w:noProof/>
        </w:rPr>
        <w:t xml:space="preserve"> Schankerman</w:t>
      </w:r>
      <w:r w:rsidR="00892C87">
        <w:rPr>
          <w:noProof/>
        </w:rPr>
        <w:t xml:space="preserve">, </w:t>
      </w:r>
      <w:r w:rsidR="001B67EF" w:rsidRPr="00C170AB">
        <w:rPr>
          <w:noProof/>
        </w:rPr>
        <w:t>2008)</w:t>
      </w:r>
      <w:r w:rsidR="001B67EF" w:rsidRPr="00C170AB">
        <w:fldChar w:fldCharType="end"/>
      </w:r>
      <w:r w:rsidR="00892C87">
        <w:t>. W</w:t>
      </w:r>
      <w:r w:rsidR="001B67EF" w:rsidRPr="00C170AB">
        <w:t>e include a dummy variable which indicates whether the university is private as control (</w:t>
      </w:r>
      <w:r w:rsidR="001B67EF" w:rsidRPr="00C170AB">
        <w:rPr>
          <w:i/>
        </w:rPr>
        <w:t>Private</w:t>
      </w:r>
      <w:r w:rsidR="001B67EF" w:rsidRPr="00C170AB">
        <w:t xml:space="preserve">). </w:t>
      </w:r>
    </w:p>
    <w:p w14:paraId="151C9FC2" w14:textId="2C751545" w:rsidR="001B67EF" w:rsidRPr="00C170AB" w:rsidRDefault="00253B7D" w:rsidP="001B67EF">
      <w:pPr>
        <w:ind w:firstLine="720"/>
        <w:rPr>
          <w:lang w:val="en-US"/>
        </w:rPr>
      </w:pPr>
      <w:r>
        <w:rPr>
          <w:lang w:val="en-US"/>
        </w:rPr>
        <w:t xml:space="preserve">Finally, </w:t>
      </w:r>
      <w:r w:rsidR="004848DF">
        <w:rPr>
          <w:lang w:val="en-US"/>
        </w:rPr>
        <w:t>universities can have a variety of patent litigation experiences. They</w:t>
      </w:r>
      <w:r w:rsidR="001B67EF" w:rsidRPr="00C170AB">
        <w:rPr>
          <w:lang w:val="en-US"/>
        </w:rPr>
        <w:t xml:space="preserve"> can be involved in a litigation as defendants, plaintiffs, counter defendants or counter plaintiffs</w:t>
      </w:r>
      <w:r w:rsidR="004848DF">
        <w:rPr>
          <w:lang w:val="en-US"/>
        </w:rPr>
        <w:t>. Therefore</w:t>
      </w:r>
      <w:r w:rsidR="001B67EF" w:rsidRPr="00C170AB">
        <w:rPr>
          <w:lang w:val="en-US"/>
        </w:rPr>
        <w:t xml:space="preserve">, we </w:t>
      </w:r>
      <w:r w:rsidR="00A35B20">
        <w:rPr>
          <w:lang w:val="en-US"/>
        </w:rPr>
        <w:t xml:space="preserve">also </w:t>
      </w:r>
      <w:r w:rsidR="001B67EF" w:rsidRPr="00C170AB">
        <w:rPr>
          <w:lang w:val="en-US"/>
        </w:rPr>
        <w:t>include in the models testing hypothesis 1 &amp; 2 separate measures that reflect the number of patent litigation cases that a university faces as a plaintiff (</w:t>
      </w:r>
      <w:r w:rsidR="001B67EF" w:rsidRPr="00C170AB">
        <w:rPr>
          <w:i/>
          <w:lang w:val="en-US"/>
        </w:rPr>
        <w:t>Litigations as Plaintiff</w:t>
      </w:r>
      <w:r w:rsidR="001B67EF" w:rsidRPr="00C170AB">
        <w:rPr>
          <w:lang w:val="en-US"/>
        </w:rPr>
        <w:t>), counter defendant (</w:t>
      </w:r>
      <w:r w:rsidR="001B67EF" w:rsidRPr="00C170AB">
        <w:rPr>
          <w:i/>
          <w:lang w:val="en-US"/>
        </w:rPr>
        <w:t>Litigations as Counter Defendant</w:t>
      </w:r>
      <w:r w:rsidR="001B67EF" w:rsidRPr="00C170AB">
        <w:rPr>
          <w:lang w:val="en-US"/>
        </w:rPr>
        <w:t>), and counter plaintiff (</w:t>
      </w:r>
      <w:r w:rsidR="001B67EF" w:rsidRPr="00C170AB">
        <w:rPr>
          <w:i/>
          <w:lang w:val="en-US"/>
        </w:rPr>
        <w:t xml:space="preserve">Litigations as Counter </w:t>
      </w:r>
      <w:r w:rsidR="001B67EF" w:rsidRPr="00021986">
        <w:rPr>
          <w:i/>
          <w:lang w:val="en-US"/>
        </w:rPr>
        <w:t>Plaintiff</w:t>
      </w:r>
      <w:r w:rsidR="001B67EF" w:rsidRPr="00C170AB">
        <w:rPr>
          <w:lang w:val="en-US"/>
        </w:rPr>
        <w:t xml:space="preserve">) in a given year. Accordingly, in </w:t>
      </w:r>
      <w:r w:rsidR="004848DF">
        <w:rPr>
          <w:lang w:val="en-US"/>
        </w:rPr>
        <w:t xml:space="preserve">the </w:t>
      </w:r>
      <w:r w:rsidR="001B67EF" w:rsidRPr="00C170AB">
        <w:rPr>
          <w:lang w:val="en-US"/>
        </w:rPr>
        <w:t>model testing hypothesis 3, we include separate measures for the number of patent litigation cases that a university faces as a counter defendant (</w:t>
      </w:r>
      <w:r w:rsidR="001B67EF" w:rsidRPr="00C170AB">
        <w:rPr>
          <w:i/>
          <w:lang w:val="en-US"/>
        </w:rPr>
        <w:t xml:space="preserve">Litigations </w:t>
      </w:r>
      <w:r w:rsidR="00503064">
        <w:rPr>
          <w:i/>
          <w:lang w:val="en-US"/>
        </w:rPr>
        <w:t>as Counter Defendant</w:t>
      </w:r>
      <w:r w:rsidR="001B67EF" w:rsidRPr="00C170AB">
        <w:rPr>
          <w:lang w:val="en-US"/>
        </w:rPr>
        <w:t>), counter plaintiff (</w:t>
      </w:r>
      <w:r w:rsidR="001B67EF" w:rsidRPr="00C170AB">
        <w:rPr>
          <w:i/>
          <w:lang w:val="en-US"/>
        </w:rPr>
        <w:t xml:space="preserve">Litigations as Counter </w:t>
      </w:r>
      <w:r w:rsidR="001B67EF" w:rsidRPr="00503064">
        <w:rPr>
          <w:i/>
          <w:lang w:val="en-US"/>
        </w:rPr>
        <w:t>Plaintiff</w:t>
      </w:r>
      <w:r w:rsidR="001B67EF" w:rsidRPr="00C170AB">
        <w:rPr>
          <w:lang w:val="en-US"/>
        </w:rPr>
        <w:t>), co-plaintiff (</w:t>
      </w:r>
      <w:r w:rsidR="001B67EF" w:rsidRPr="00C170AB">
        <w:rPr>
          <w:i/>
          <w:lang w:val="en-US"/>
        </w:rPr>
        <w:t>Litigations as Co-plaintiff</w:t>
      </w:r>
      <w:r w:rsidR="001B67EF" w:rsidRPr="00C170AB">
        <w:rPr>
          <w:lang w:val="en-US"/>
        </w:rPr>
        <w:t>) and sole plaintiff (</w:t>
      </w:r>
      <w:r w:rsidR="001B67EF" w:rsidRPr="00C170AB">
        <w:rPr>
          <w:i/>
          <w:lang w:val="en-US"/>
        </w:rPr>
        <w:t>Litigations as Sole Plaintiff</w:t>
      </w:r>
      <w:r w:rsidR="001B67EF" w:rsidRPr="00C170AB">
        <w:rPr>
          <w:lang w:val="en-US"/>
        </w:rPr>
        <w:t xml:space="preserve">) as control variables. Further, we control for both year- and state-fixed effects in all models. All the independent and control variables are lagged by one year to rule out reverse causality. </w:t>
      </w:r>
    </w:p>
    <w:p w14:paraId="06298AD4" w14:textId="77777777" w:rsidR="001B67EF" w:rsidRPr="00CB5C00" w:rsidRDefault="001B67EF" w:rsidP="001B67EF">
      <w:pPr>
        <w:pStyle w:val="Heading2"/>
      </w:pPr>
      <w:r w:rsidRPr="00CB5C00">
        <w:t>Estimation approach</w:t>
      </w:r>
    </w:p>
    <w:p w14:paraId="02BFA715" w14:textId="194D1066" w:rsidR="001B67EF" w:rsidRPr="00C170AB" w:rsidRDefault="001B67EF" w:rsidP="001B67EF">
      <w:pPr>
        <w:ind w:firstLine="0"/>
        <w:rPr>
          <w:lang w:val="en-US"/>
        </w:rPr>
      </w:pPr>
      <w:r w:rsidRPr="00071DC8">
        <w:rPr>
          <w:lang w:val="en-US"/>
        </w:rPr>
        <w:t xml:space="preserve">Our </w:t>
      </w:r>
      <w:r w:rsidRPr="00C170AB">
        <w:rPr>
          <w:lang w:val="en-US"/>
        </w:rPr>
        <w:t xml:space="preserve">independent variable, </w:t>
      </w:r>
      <w:r w:rsidRPr="00CE1D99">
        <w:rPr>
          <w:lang w:val="en-US"/>
        </w:rPr>
        <w:t>licensing</w:t>
      </w:r>
      <w:r w:rsidRPr="00C170AB">
        <w:rPr>
          <w:lang w:val="en-US"/>
        </w:rPr>
        <w:t xml:space="preserve"> income, is a continuous variable, making ordinary least squares (OLS) regression analysis the estimation method of choice. </w:t>
      </w:r>
      <w:r>
        <w:rPr>
          <w:lang w:val="en-US"/>
        </w:rPr>
        <w:t>We use university fixed-effects models to eliminate any potential bias from unobserved time-invariant heterogeneity at the university level.</w:t>
      </w:r>
      <w:r w:rsidR="0052669C">
        <w:rPr>
          <w:lang w:val="en-US"/>
        </w:rPr>
        <w:t xml:space="preserve"> </w:t>
      </w:r>
      <w:r w:rsidR="0052669C" w:rsidRPr="00754098">
        <w:rPr>
          <w:lang w:val="en-US"/>
        </w:rPr>
        <w:t xml:space="preserve">As empirical confirmation, we run a Hausman specification test which indicated that a fixed-effects </w:t>
      </w:r>
      <w:r w:rsidR="0052669C" w:rsidRPr="00754098">
        <w:rPr>
          <w:lang w:val="en-US"/>
        </w:rPr>
        <w:lastRenderedPageBreak/>
        <w:t xml:space="preserve">model was </w:t>
      </w:r>
      <w:r w:rsidR="0052669C">
        <w:rPr>
          <w:lang w:val="en-US"/>
        </w:rPr>
        <w:t xml:space="preserve">indeed </w:t>
      </w:r>
      <w:r w:rsidR="0052669C" w:rsidRPr="00754098">
        <w:rPr>
          <w:lang w:val="en-US"/>
        </w:rPr>
        <w:t>appropriate for our panel data.</w:t>
      </w:r>
      <w:r>
        <w:rPr>
          <w:lang w:val="en-US"/>
        </w:rPr>
        <w:t xml:space="preserve"> Further, we account for potentially </w:t>
      </w:r>
      <w:r w:rsidR="00A35B20">
        <w:rPr>
          <w:lang w:val="en-US"/>
        </w:rPr>
        <w:t>endogenous</w:t>
      </w:r>
      <w:r>
        <w:rPr>
          <w:lang w:val="en-US"/>
        </w:rPr>
        <w:t xml:space="preserve"> relationships</w:t>
      </w:r>
      <w:r w:rsidRPr="00C170AB">
        <w:rPr>
          <w:lang w:val="en-US"/>
        </w:rPr>
        <w:t xml:space="preserve">. Specifically, many predictors of </w:t>
      </w:r>
      <w:r w:rsidRPr="00071DC8">
        <w:rPr>
          <w:lang w:val="en-US"/>
        </w:rPr>
        <w:t>licensing</w:t>
      </w:r>
      <w:r w:rsidRPr="00C170AB">
        <w:rPr>
          <w:lang w:val="en-US"/>
        </w:rPr>
        <w:t xml:space="preserve"> income may covary with involvement in patent litigation as defendant. This close coupling of involvement in patent litigation as defendant to other predictors of </w:t>
      </w:r>
      <w:r w:rsidRPr="00071DC8">
        <w:rPr>
          <w:lang w:val="en-US"/>
        </w:rPr>
        <w:t>licensing</w:t>
      </w:r>
      <w:r w:rsidRPr="00C170AB">
        <w:rPr>
          <w:lang w:val="en-US"/>
        </w:rPr>
        <w:t xml:space="preserve"> income is likely to create a covariate imbalance between universities involved in patent litigations as defendants and those universities that do not. Such imbalance can potentially lead to biased estimates of causal effects (e.g.</w:t>
      </w:r>
      <w:r w:rsidR="00AC0A35">
        <w:rPr>
          <w:lang w:val="en-US"/>
        </w:rPr>
        <w:t xml:space="preserve"> </w:t>
      </w:r>
      <w:r w:rsidR="00AC0A35">
        <w:rPr>
          <w:lang w:val="en-US"/>
        </w:rPr>
        <w:fldChar w:fldCharType="begin" w:fldLock="1"/>
      </w:r>
      <w:r w:rsidR="00AC0A35">
        <w:rPr>
          <w:lang w:val="en-US"/>
        </w:rPr>
        <w:instrText>ADDIN CSL_CITATION {"citationItems":[{"id":"ITEM-1","itemData":{"DOI":"10.1086/426036","ISSN":"00223808","abstract":"In this paper we measure the effect of Catholic high school attendance on educational attainment and scores. Because we do not have a good intrumental variable for Catholic school attendance, we develop new estimation methods based on the idea that the amount of selection on the observed explanatory variables in a model provided a guide to the amount of selection on the unobservables. We also propose an informal way to assess selectivity bias based on measuring the ratio of selection on unobservables to selection on observables that would be required if one is to attribute the entire effect of Catholic school attendance to selection bias. We use our methods to estimate the effect of attending a Catholic high school on a variety of outcomes. Our main conclusion is that Catholic high schools substantially increase the probability of graduating from high school and, more tentatively, attending college. We find little evidence of an effect on test scores. © 2005 by The University of Chicago. All rights reserved.","author":[{"dropping-particle":"","family":"Altonji","given":"Joseph G.","non-dropping-particle":"","parse-names":false,"suffix":""},{"dropping-particle":"","family":"Elder","given":"Todd E.","non-dropping-particle":"","parse-names":false,"suffix":""},{"dropping-particle":"","family":"Taber","given":"Christopher R.","non-dropping-particle":"","parse-names":false,"suffix":""}],"container-title":"Journal of Political Economy","id":"ITEM-1","issue":"1","issued":{"date-parts":[["2005"]]},"page":"151-184","title":"Selection on observed and unobserved variables: Assessing the effectiveness of Catholic schools","type":"article-journal","volume":"113"},"uris":["http://www.mendeley.com/documents/?uuid=5887e672-54c2-46b9-b396-7200bdd40b3f"]}],"mendeley":{"formattedCitation":"(Altonji et al., 2005)","manualFormatting":"Altonji et al., 2005)","plainTextFormattedCitation":"(Altonji et al., 2005)","previouslyFormattedCitation":"(Altonji et al., 2005)"},"properties":{"noteIndex":0},"schema":"https://github.com/citation-style-language/schema/raw/master/csl-citation.json"}</w:instrText>
      </w:r>
      <w:r w:rsidR="00AC0A35">
        <w:rPr>
          <w:lang w:val="en-US"/>
        </w:rPr>
        <w:fldChar w:fldCharType="separate"/>
      </w:r>
      <w:r w:rsidR="00AC0A35" w:rsidRPr="00AC0A35">
        <w:rPr>
          <w:noProof/>
          <w:lang w:val="en-US"/>
        </w:rPr>
        <w:t>Altonji et al., 2005)</w:t>
      </w:r>
      <w:r w:rsidR="00AC0A35">
        <w:rPr>
          <w:lang w:val="en-US"/>
        </w:rPr>
        <w:fldChar w:fldCharType="end"/>
      </w:r>
      <w:r w:rsidRPr="00C170AB">
        <w:rPr>
          <w:lang w:val="en-US"/>
        </w:rPr>
        <w:t>.</w:t>
      </w:r>
    </w:p>
    <w:p w14:paraId="0D798FB9" w14:textId="216028B3" w:rsidR="001B67EF" w:rsidRPr="00C170AB" w:rsidRDefault="001B67EF" w:rsidP="001B67EF">
      <w:pPr>
        <w:ind w:firstLine="720"/>
        <w:rPr>
          <w:lang w:val="en-US"/>
        </w:rPr>
      </w:pPr>
      <w:r w:rsidRPr="00C170AB">
        <w:rPr>
          <w:lang w:val="en-US"/>
        </w:rPr>
        <w:t>To address this issue, we apply entropy balancing</w:t>
      </w:r>
      <w:r w:rsidR="00AC0A35">
        <w:rPr>
          <w:lang w:val="en-US"/>
        </w:rPr>
        <w:t xml:space="preserve"> </w:t>
      </w:r>
      <w:r w:rsidR="00AC0A35">
        <w:rPr>
          <w:lang w:val="en-US"/>
        </w:rPr>
        <w:fldChar w:fldCharType="begin" w:fldLock="1"/>
      </w:r>
      <w:r w:rsidR="00AC0A35">
        <w:rPr>
          <w:lang w:val="en-US"/>
        </w:rPr>
        <w:instrText>ADDIN CSL_CITATION {"citationItems":[{"id":"ITEM-1","itemData":{"DOI":"10.1093/pan/mpr025","ISSN":"10471987","abstract":"This paper proposes entropy balancing, a data preprocessing method to achieve covariate balance in observational studies with binary treatments. Entropy balancing relies on a maximum entropy reweighting scheme that calibrates unit weights so that the reweighted treatment and control group satisfy a potentially large set of prespecified balance conditions that incorporate information about known sample moments. Entropy balancing thereby exactly adjusts inequalities in representation with respect to the first, second, and possibly higher moments of the covariate distributions. These balance improvements can reduce model dependence for the subsequent estimation of treatment effects. The method assures that balance improves on all covariate moments included in the reweighting. It also obviates the need for continual balance checking and iterative searching over propensity score models that may stochastically balance the covariate moments. We demonstrate the use of entropy balancing with Monte Carlo simulations and empirical applications. © The Author 2011. Published by Oxford University Press on behalf of the Society for Political Methodology. All rights reserved.","author":[{"dropping-particle":"","family":"Hainmueller","given":"Jens","non-dropping-particle":"","parse-names":false,"suffix":""}],"container-title":"Political Analysis","id":"ITEM-1","issue":"1","issued":{"date-parts":[["2012"]]},"page":"25-46","title":"Entropy balancing for causal effects: A multivariate reweighting method to produce balanced samples in observational studies","type":"article-journal","volume":"20"},"uris":["http://www.mendeley.com/documents/?uuid=b05bd8b9-d529-4425-adbc-500e8a7fa186"]}],"mendeley":{"formattedCitation":"(Hainmueller, 2012)","plainTextFormattedCitation":"(Hainmueller, 2012)","previouslyFormattedCitation":"(Hainmueller, 2012)"},"properties":{"noteIndex":0},"schema":"https://github.com/citation-style-language/schema/raw/master/csl-citation.json"}</w:instrText>
      </w:r>
      <w:r w:rsidR="00AC0A35">
        <w:rPr>
          <w:lang w:val="en-US"/>
        </w:rPr>
        <w:fldChar w:fldCharType="separate"/>
      </w:r>
      <w:r w:rsidR="00AC0A35" w:rsidRPr="00AC0A35">
        <w:rPr>
          <w:noProof/>
          <w:lang w:val="en-US"/>
        </w:rPr>
        <w:t>(Hainmueller, 2012)</w:t>
      </w:r>
      <w:r w:rsidR="00AC0A35">
        <w:rPr>
          <w:lang w:val="en-US"/>
        </w:rPr>
        <w:fldChar w:fldCharType="end"/>
      </w:r>
      <w:r w:rsidRPr="00C170AB">
        <w:rPr>
          <w:lang w:val="en-US"/>
        </w:rPr>
        <w:t>. This approach creates a control group, reweighting its observations in such a way that the distributional moments</w:t>
      </w:r>
      <w:r w:rsidR="00CA54F6">
        <w:rPr>
          <w:lang w:val="en-US"/>
        </w:rPr>
        <w:t xml:space="preserve"> (mean, standard deviation and skewness)</w:t>
      </w:r>
      <w:r w:rsidRPr="00C170AB">
        <w:rPr>
          <w:lang w:val="en-US"/>
        </w:rPr>
        <w:t xml:space="preserve"> of the matching variables for this sample are indistinguishable from the moments of the distributions of the matching variables for the sample of the treatment group</w:t>
      </w:r>
      <w:r w:rsidR="00AC0A35">
        <w:rPr>
          <w:lang w:val="en-US"/>
        </w:rPr>
        <w:t xml:space="preserve"> </w:t>
      </w:r>
      <w:r w:rsidR="00AC0A35">
        <w:rPr>
          <w:lang w:val="en-US"/>
        </w:rPr>
        <w:fldChar w:fldCharType="begin" w:fldLock="1"/>
      </w:r>
      <w:r w:rsidR="00AD6D24">
        <w:rPr>
          <w:lang w:val="en-US"/>
        </w:rPr>
        <w:instrText>ADDIN CSL_CITATION {"citationItems":[{"id":"ITEM-1","itemData":{"author":[{"dropping-particle":"","family":"Abadie","given":"Alberto","non-dropping-particle":"","parse-names":false,"suffix":""},{"dropping-particle":"","family":"Diamond","given":"Alexis","non-dropping-particle":"","parse-names":false,"suffix":""},{"dropping-particle":"","family":"Hainmueller","given":"Jens","non-dropping-particle":"","parse-names":false,"suffix":""}],"container-title":"Journal of the American Statistical Association","id":"ITEM-1","issue":"490","issued":{"date-parts":[["2010"]]},"page":"493-505","title":"Synthetic Control Methods for Comparative Case Studies: Estimating the Effect of California's Tobacco Control Program","type":"article-journal","volume":"105"},"uris":["http://www.mendeley.com/documents/?uuid=5320a312-05db-46d8-a3c4-6e3568567495"]},{"id":"ITEM-2","itemData":{"DOI":"10.1093/pan/mpr025","ISSN":"10471987","abstract":"This paper proposes entropy balancing, a data preprocessing method to achieve covariate balance in observational studies with binary treatments. Entropy balancing relies on a maximum entropy reweighting scheme that calibrates unit weights so that the reweighted treatment and control group satisfy a potentially large set of prespecified balance conditions that incorporate information about known sample moments. Entropy balancing thereby exactly adjusts inequalities in representation with respect to the first, second, and possibly higher moments of the covariate distributions. These balance improvements can reduce model dependence for the subsequent estimation of treatment effects. The method assures that balance improves on all covariate moments included in the reweighting. It also obviates the need for continual balance checking and iterative searching over propensity score models that may stochastically balance the covariate moments. We demonstrate the use of entropy balancing with Monte Carlo simulations and empirical applications. © The Author 2011. Published by Oxford University Press on behalf of the Society for Political Methodology. All rights reserved.","author":[{"dropping-particle":"","family":"Hainmueller","given":"Jens","non-dropping-particle":"","parse-names":false,"suffix":""}],"container-title":"Political Analysis","id":"ITEM-2","issue":"1","issued":{"date-parts":[["2012"]]},"page":"25-46","title":"Entropy balancing for causal effects: A multivariate reweighting method to produce balanced samples in observational studies","type":"article-journal","volume":"20"},"uris":["http://www.mendeley.com/documents/?uuid=b05bd8b9-d529-4425-adbc-500e8a7fa186"]}],"mendeley":{"formattedCitation":"(Abadie et al., 2010; Hainmueller, 2012)","plainTextFormattedCitation":"(Abadie et al., 2010; Hainmueller, 2012)","previouslyFormattedCitation":"(Abadie et al., 2010; Hainmueller, 2012)"},"properties":{"noteIndex":0},"schema":"https://github.com/citation-style-language/schema/raw/master/csl-citation.json"}</w:instrText>
      </w:r>
      <w:r w:rsidR="00AC0A35">
        <w:rPr>
          <w:lang w:val="en-US"/>
        </w:rPr>
        <w:fldChar w:fldCharType="separate"/>
      </w:r>
      <w:r w:rsidR="00AC0A35" w:rsidRPr="00AC0A35">
        <w:rPr>
          <w:noProof/>
          <w:lang w:val="en-US"/>
        </w:rPr>
        <w:t>(Abadie et al., 2010; Hainmueller, 2012)</w:t>
      </w:r>
      <w:r w:rsidR="00AC0A35">
        <w:rPr>
          <w:lang w:val="en-US"/>
        </w:rPr>
        <w:fldChar w:fldCharType="end"/>
      </w:r>
      <w:r w:rsidRPr="00C170AB">
        <w:rPr>
          <w:lang w:val="en-US"/>
        </w:rPr>
        <w:t>. In the current application, our entropy-balancing algorithm develops weights that balance sample moments between universities with involvement and universities with no involvement in patent litigations as defendants, approximating the statistical equivalence achieved via true random assignment. Such a pre-processing step reduces model dependence for the subsequent estimation of treatment effects with regression</w:t>
      </w:r>
      <w:r w:rsidR="00AD6D24">
        <w:rPr>
          <w:lang w:val="en-US"/>
        </w:rPr>
        <w:t xml:space="preserve"> </w:t>
      </w:r>
      <w:r w:rsidR="00AD6D24">
        <w:rPr>
          <w:lang w:val="en-US"/>
        </w:rPr>
        <w:fldChar w:fldCharType="begin" w:fldLock="1"/>
      </w:r>
      <w:r w:rsidR="00AD6D24">
        <w:rPr>
          <w:lang w:val="en-US"/>
        </w:rPr>
        <w:instrText>ADDIN CSL_CITATION {"citationItems":[{"id":"ITEM-1","itemData":{"DOI":"10.1198/jbes.2009.07333","ISSN":"07350015","abstract":"In Abadie and Imbens (2006), it was shown that simple nearest-neighbor matching estimators include a conditional bias term that converges to zero at a rate that may be slower than N1/2. As a result, matching estimators are not N1/2-consistent in general. In this article, we propose a bias correction that renders matching estimators N1/2-consistent and asymptotically normal. To demonstrate the methods proposed in this article, we apply them to the National Supported Work (NSW) data, originally analyzed in Lalonde (1986). We also carry out a small simulation study based on the NSW example. In this simulation study, a simple implementation of the bias-corrected matching estimator performs well compared to both simple matching estimators and to regression estimators in terms of bias, root-mean-squared-error,and coverage rates. Software to compute the estimators proposed in this article is available on the authors' web pages (http://www.economics.harvard.edu/ faculty/imbens/software.html) and documented in Abadie et al. (2003). © 2011 American Statistical Association.","author":[{"dropping-particle":"","family":"Abadie","given":"Alberto","non-dropping-particle":"","parse-names":false,"suffix":""},{"dropping-particle":"","family":"Imbens","given":"Guido W.","non-dropping-particle":"","parse-names":false,"suffix":""}],"container-title":"Journal of Business and Economic Statistics","id":"ITEM-1","issue":"1","issued":{"date-parts":[["2011"]]},"page":"1-11","title":"Bias-corrected matching estimators for average treatment effects","type":"article-journal","volume":"29"},"uris":["http://www.mendeley.com/documents/?uuid=4a215bd9-af81-49f1-a9f4-91e8e8645913"]},{"id":"ITEM-2","itemData":{"DOI":"10.1093/pan/mpl013","ISSN":"10471987","abstract":"Although published works rarely include causal estimates from more than a few model specifications, authors usually choose the presented estimates from numerous trial runs readers never see. Given the often large variation in estimates across choices of control variables, functional forms, and other modeling assumptions, how can researchers ensure that the few estimates presented are accurate or representative? How do readers know that publications are not merely demonstrations that it is possible to find a specification that fits the author's favorite hypothesis? And how do we evaluate or even define statistical properties like unbiasedness or mean squared error when no unique model or estimator even exists? Matching methods, which offer the promise of causal inference with fewer assumptions, constitute one possible way forward, but crucial results in this fast-growing methodological literature are often grossly misinterpreted. We explain how to avoid these misinterpretations and propose a unified approach that makes it possible for researchers to preprocess data with matching (such as with the easy-to-use software we offer) and then to apply the best parametric techniques they would have used anyway. This procedure makes parametric models produce more accurate and considerably less model-dependent causal inferences. © The Author 2007. Published by Oxford University Press on behalf of the Society for Political Methodology. All rights reserved.","author":[{"dropping-particle":"","family":"Ho","given":"Daniel E.","non-dropping-particle":"","parse-names":false,"suffix":""},{"dropping-particle":"","family":"Imai","given":"Kosuke","non-dropping-particle":"","parse-names":false,"suffix":""},{"dropping-particle":"","family":"King","given":"Gary","non-dropping-particle":"","parse-names":false,"suffix":""},{"dropping-particle":"","family":"Stuart","given":"Elizabeth A.","non-dropping-particle":"","parse-names":false,"suffix":""}],"container-title":"Political Analysis","id":"ITEM-2","issue":"3","issued":{"date-parts":[["2007"]]},"page":"199-236","title":"Matching as nonparametric preprocessing for reducing model dependence in parametric causal inference","type":"article-journal","volume":"15"},"uris":["http://www.mendeley.com/documents/?uuid=3a980724-81d7-41c4-a431-6247dae9446d"]}],"mendeley":{"formattedCitation":"(Abadie and Imbens, 2011; Ho et al., 2007)","plainTextFormattedCitation":"(Abadie and Imbens, 2011; Ho et al., 2007)","previouslyFormattedCitation":"(Abadie and Imbens, 2011; Ho et al., 2007)"},"properties":{"noteIndex":0},"schema":"https://github.com/citation-style-language/schema/raw/master/csl-citation.json"}</w:instrText>
      </w:r>
      <w:r w:rsidR="00AD6D24">
        <w:rPr>
          <w:lang w:val="en-US"/>
        </w:rPr>
        <w:fldChar w:fldCharType="separate"/>
      </w:r>
      <w:r w:rsidR="00AD6D24" w:rsidRPr="00AD6D24">
        <w:rPr>
          <w:noProof/>
          <w:lang w:val="en-US"/>
        </w:rPr>
        <w:t>(Abadie and Imbens, 2011; Ho et al., 2007)</w:t>
      </w:r>
      <w:r w:rsidR="00AD6D24">
        <w:rPr>
          <w:lang w:val="en-US"/>
        </w:rPr>
        <w:fldChar w:fldCharType="end"/>
      </w:r>
      <w:r w:rsidR="00AD6D24">
        <w:rPr>
          <w:lang w:val="en-US"/>
        </w:rPr>
        <w:t>.</w:t>
      </w:r>
      <w:r w:rsidRPr="00C170AB">
        <w:rPr>
          <w:lang w:val="en-US"/>
        </w:rPr>
        <w:t xml:space="preserve"> </w:t>
      </w:r>
    </w:p>
    <w:p w14:paraId="0B8B5D71" w14:textId="734F1CC2" w:rsidR="001B67EF" w:rsidRPr="00C170AB" w:rsidRDefault="001B67EF" w:rsidP="001B67EF">
      <w:pPr>
        <w:ind w:firstLine="720"/>
        <w:rPr>
          <w:lang w:val="en-US"/>
        </w:rPr>
      </w:pPr>
      <w:r w:rsidRPr="00C170AB">
        <w:rPr>
          <w:lang w:val="en-US"/>
        </w:rPr>
        <w:t xml:space="preserve">Re-weighting was carried out by feeding into our entropy-balancing algorithm a set of covariates or pre-treatment variables that are likely to influence the university’s involvement in patent litigation as defendant. In particular, we employ the total number of patents issued to the university, the number of FTEs working in the university’s technology transfer office and the age of the technology transfer office. We also include two dummy variables that indicate whether the university has a medical school and whether the university is private. Table 1 reports descriptive statistics for the treatment and control group before and after entropy balancing. It is evident from the results that weights determined by entropy balancing were successful at constraining the means, </w:t>
      </w:r>
      <w:r w:rsidR="00FD032F">
        <w:rPr>
          <w:lang w:val="en-US"/>
        </w:rPr>
        <w:t>standard deviations</w:t>
      </w:r>
      <w:r w:rsidR="00FD032F" w:rsidRPr="00C170AB">
        <w:rPr>
          <w:lang w:val="en-US"/>
        </w:rPr>
        <w:t xml:space="preserve"> </w:t>
      </w:r>
      <w:r w:rsidRPr="00C170AB">
        <w:rPr>
          <w:lang w:val="en-US"/>
        </w:rPr>
        <w:t xml:space="preserve">and skewness for all pre-treatment variables. As the distributions reveal, there are </w:t>
      </w:r>
      <w:r>
        <w:rPr>
          <w:lang w:val="en-US"/>
        </w:rPr>
        <w:t xml:space="preserve">no </w:t>
      </w:r>
      <w:r w:rsidRPr="00C170AB">
        <w:rPr>
          <w:lang w:val="en-US"/>
        </w:rPr>
        <w:t>significant differences between the control and the treatment group after implementing the entropy balancing approach.</w:t>
      </w:r>
      <w:r w:rsidR="006A61A3" w:rsidRPr="006A61A3">
        <w:rPr>
          <w:lang w:val="en-US"/>
        </w:rPr>
        <w:t xml:space="preserve"> </w:t>
      </w:r>
      <w:r w:rsidR="006A61A3" w:rsidRPr="00C170AB">
        <w:rPr>
          <w:lang w:val="en-US"/>
        </w:rPr>
        <w:t xml:space="preserve">As a next step, </w:t>
      </w:r>
      <w:r w:rsidR="006A61A3">
        <w:rPr>
          <w:lang w:val="en-US"/>
        </w:rPr>
        <w:t xml:space="preserve">we apply </w:t>
      </w:r>
      <w:r w:rsidR="006A61A3" w:rsidRPr="00C170AB">
        <w:rPr>
          <w:lang w:val="en-US"/>
        </w:rPr>
        <w:t>the entropy balancing weights in all regression models.</w:t>
      </w:r>
      <w:r w:rsidR="006A61A3">
        <w:rPr>
          <w:lang w:val="en-US"/>
        </w:rPr>
        <w:t xml:space="preserve"> </w:t>
      </w:r>
      <w:r w:rsidR="006A61A3" w:rsidRPr="00C170AB">
        <w:rPr>
          <w:lang w:val="en-US"/>
        </w:rPr>
        <w:t xml:space="preserve">In addition to applying </w:t>
      </w:r>
      <w:r w:rsidR="006A61A3" w:rsidRPr="00C170AB">
        <w:rPr>
          <w:lang w:val="en-US"/>
        </w:rPr>
        <w:lastRenderedPageBreak/>
        <w:t>entropy balancing weights in our regressions, we also employed university-clustered standard errors to control for unobserved university effects</w:t>
      </w:r>
      <w:r w:rsidR="006A61A3">
        <w:rPr>
          <w:lang w:val="en-US"/>
        </w:rPr>
        <w:t xml:space="preserve"> </w:t>
      </w:r>
      <w:r w:rsidR="006A61A3">
        <w:rPr>
          <w:lang w:val="en-US"/>
        </w:rPr>
        <w:fldChar w:fldCharType="begin" w:fldLock="1"/>
      </w:r>
      <w:r w:rsidR="006A61A3">
        <w:rPr>
          <w:lang w:val="en-US"/>
        </w:rPr>
        <w:instrText>ADDIN CSL_CITATION {"citationItems":[{"id":"ITEM-1","itemData":{"DOI":"10.1093/rfs/hhn053","ISSN":"08939454","abstract":"In corporate finance and asset pricing empirical work, researchers are often confronted with panel data. In these data sets, the residuals may be correlated across firms or across time, and OLS standard errors can be biased. Historically, researchers in the two literatures have used different solutions to this problem. This paper examines the different methods used in the literature and explains when the different methods yield the same (and correct) standard errors and when they diverge. The intent is to provide intuition as to why the different approaches sometimes give different answers and give researchers guidance for their use. © The Author 2008.","author":[{"dropping-particle":"","family":"Petersen","given":"Mitchell","non-dropping-particle":"","parse-names":false,"suffix":""}],"container-title":"Review of Financial Studies","id":"ITEM-1","issue":"1","issued":{"date-parts":[["2009"]]},"page":"435-480","title":"Estimating standard errors in finance panel data sets: Comparing approaches","type":"article-journal","volume":"22"},"uris":["http://www.mendeley.com/documents/?uuid=bc451002-65c1-4e02-ad97-333eafb372a5"]}],"mendeley":{"formattedCitation":"(Petersen, 2009)","plainTextFormattedCitation":"(Petersen, 2009)","previouslyFormattedCitation":"(Petersen, 2009)"},"properties":{"noteIndex":0},"schema":"https://github.com/citation-style-language/schema/raw/master/csl-citation.json"}</w:instrText>
      </w:r>
      <w:r w:rsidR="006A61A3">
        <w:rPr>
          <w:lang w:val="en-US"/>
        </w:rPr>
        <w:fldChar w:fldCharType="separate"/>
      </w:r>
      <w:r w:rsidR="006A61A3" w:rsidRPr="00AB6178">
        <w:rPr>
          <w:noProof/>
          <w:lang w:val="en-US"/>
        </w:rPr>
        <w:t>(Petersen, 2009)</w:t>
      </w:r>
      <w:r w:rsidR="006A61A3">
        <w:rPr>
          <w:lang w:val="en-US"/>
        </w:rPr>
        <w:fldChar w:fldCharType="end"/>
      </w:r>
      <w:r w:rsidR="006A61A3">
        <w:rPr>
          <w:lang w:val="en-US"/>
        </w:rPr>
        <w:t>.</w:t>
      </w:r>
    </w:p>
    <w:p w14:paraId="7C8C6920" w14:textId="77777777" w:rsidR="001B67EF" w:rsidRPr="00071DC8" w:rsidRDefault="001B67EF" w:rsidP="001B67EF">
      <w:pPr>
        <w:ind w:firstLine="0"/>
        <w:jc w:val="center"/>
        <w:rPr>
          <w:lang w:val="en-US"/>
        </w:rPr>
      </w:pPr>
      <w:r w:rsidRPr="00071DC8">
        <w:rPr>
          <w:lang w:val="en-US"/>
        </w:rPr>
        <w:t>[Insert Table 1 about here]</w:t>
      </w:r>
    </w:p>
    <w:p w14:paraId="31A9EFDB" w14:textId="52BBABD2" w:rsidR="001B67EF" w:rsidRPr="00C170AB" w:rsidRDefault="00625476" w:rsidP="001B67EF">
      <w:pPr>
        <w:ind w:firstLine="0"/>
        <w:rPr>
          <w:lang w:val="en-US"/>
        </w:rPr>
      </w:pPr>
      <w:r>
        <w:rPr>
          <w:lang w:val="en-US"/>
        </w:rPr>
        <w:t xml:space="preserve">Entropy balancing compares favorably with other types of matching approaches. </w:t>
      </w:r>
      <w:r w:rsidR="001B67EF" w:rsidRPr="00C170AB">
        <w:rPr>
          <w:lang w:val="en-US"/>
        </w:rPr>
        <w:t>As noted above, entropy balancing has the advantage of improving covariate balance</w:t>
      </w:r>
      <w:r>
        <w:rPr>
          <w:lang w:val="en-US"/>
        </w:rPr>
        <w:t xml:space="preserve"> not just based on variable means but also </w:t>
      </w:r>
      <w:r w:rsidR="002F3A8C">
        <w:rPr>
          <w:lang w:val="en-US"/>
        </w:rPr>
        <w:t>other variable moments such as standard deviation</w:t>
      </w:r>
      <w:r w:rsidR="001B67EF" w:rsidRPr="00C170AB">
        <w:rPr>
          <w:lang w:val="en-US"/>
        </w:rPr>
        <w:t xml:space="preserve"> </w:t>
      </w:r>
      <w:r w:rsidR="00AD6D24">
        <w:rPr>
          <w:lang w:val="en-US"/>
        </w:rPr>
        <w:fldChar w:fldCharType="begin" w:fldLock="1"/>
      </w:r>
      <w:r w:rsidR="00AC295B">
        <w:rPr>
          <w:lang w:val="en-US"/>
        </w:rPr>
        <w:instrText>ADDIN CSL_CITATION {"citationItems":[{"id":"ITEM-1","itemData":{"DOI":"10.1093/pan/mpl013","ISSN":"10471987","abstract":"Although published works rarely include causal estimates from more than a few model specifications, authors usually choose the presented estimates from numerous trial runs readers never see. Given the often large variation in estimates across choices of control variables, functional forms, and other modeling assumptions, how can researchers ensure that the few estimates presented are accurate or representative? How do readers know that publications are not merely demonstrations that it is possible to find a specification that fits the author's favorite hypothesis? And how do we evaluate or even define statistical properties like unbiasedness or mean squared error when no unique model or estimator even exists? Matching methods, which offer the promise of causal inference with fewer assumptions, constitute one possible way forward, but crucial results in this fast-growing methodological literature are often grossly misinterpreted. We explain how to avoid these misinterpretations and propose a unified approach that makes it possible for researchers to preprocess data with matching (such as with the easy-to-use software we offer) and then to apply the best parametric techniques they would have used anyway. This procedure makes parametric models produce more accurate and considerably less model-dependent causal inferences. © The Author 2007. Published by Oxford University Press on behalf of the Society for Political Methodology. All rights reserved.","author":[{"dropping-particle":"","family":"Ho","given":"Daniel E.","non-dropping-particle":"","parse-names":false,"suffix":""},{"dropping-particle":"","family":"Imai","given":"Kosuke","non-dropping-particle":"","parse-names":false,"suffix":""},{"dropping-particle":"","family":"King","given":"Gary","non-dropping-particle":"","parse-names":false,"suffix":""},{"dropping-particle":"","family":"Stuart","given":"Elizabeth A.","non-dropping-particle":"","parse-names":false,"suffix":""}],"container-title":"Political Analysis","id":"ITEM-1","issue":"3","issued":{"date-parts":[["2007"]]},"page":"199-236","title":"Matching as nonparametric preprocessing for reducing model dependence in parametric causal inference","type":"article-journal","volume":"15"},"uris":["http://www.mendeley.com/documents/?uuid=3a980724-81d7-41c4-a431-6247dae9446d"]}],"mendeley":{"formattedCitation":"(Ho et al., 2007)","plainTextFormattedCitation":"(Ho et al., 2007)","previouslyFormattedCitation":"(Ho et al., 2007)"},"properties":{"noteIndex":0},"schema":"https://github.com/citation-style-language/schema/raw/master/csl-citation.json"}</w:instrText>
      </w:r>
      <w:r w:rsidR="00AD6D24">
        <w:rPr>
          <w:lang w:val="en-US"/>
        </w:rPr>
        <w:fldChar w:fldCharType="separate"/>
      </w:r>
      <w:r w:rsidR="00AD6D24" w:rsidRPr="00AD6D24">
        <w:rPr>
          <w:noProof/>
          <w:lang w:val="en-US"/>
        </w:rPr>
        <w:t>(Ho et al., 2007)</w:t>
      </w:r>
      <w:r w:rsidR="00AD6D24">
        <w:rPr>
          <w:lang w:val="en-US"/>
        </w:rPr>
        <w:fldChar w:fldCharType="end"/>
      </w:r>
      <w:r w:rsidR="00AD6D24">
        <w:rPr>
          <w:lang w:val="en-US"/>
        </w:rPr>
        <w:t>.</w:t>
      </w:r>
      <w:r w:rsidR="001B67EF" w:rsidRPr="00C170AB">
        <w:rPr>
          <w:lang w:val="en-US"/>
        </w:rPr>
        <w:t xml:space="preserve"> </w:t>
      </w:r>
      <w:r w:rsidR="002F3A8C">
        <w:rPr>
          <w:lang w:val="en-US"/>
        </w:rPr>
        <w:t>Further, a</w:t>
      </w:r>
      <w:r w:rsidR="001B67EF" w:rsidRPr="00C170AB">
        <w:rPr>
          <w:lang w:val="en-US"/>
        </w:rPr>
        <w:t xml:space="preserve">s </w:t>
      </w:r>
      <w:r w:rsidR="002F3A8C">
        <w:rPr>
          <w:lang w:val="en-US"/>
        </w:rPr>
        <w:t>entropy balancing algorithmically</w:t>
      </w:r>
      <w:r w:rsidR="001B67EF" w:rsidRPr="00C170AB">
        <w:rPr>
          <w:lang w:val="en-US"/>
        </w:rPr>
        <w:t xml:space="preserve"> searches for an optimal weighting solution, it is less sensitive to researcher discretion compared to propensity score matching approaches</w:t>
      </w:r>
      <w:r w:rsidR="002F3A8C">
        <w:rPr>
          <w:lang w:val="en-US"/>
        </w:rPr>
        <w:t xml:space="preserve"> or the definition of appropriate strat</w:t>
      </w:r>
      <w:r w:rsidR="00787779">
        <w:rPr>
          <w:lang w:val="en-US"/>
        </w:rPr>
        <w:t>a</w:t>
      </w:r>
      <w:r w:rsidR="002F3A8C">
        <w:rPr>
          <w:lang w:val="en-US"/>
        </w:rPr>
        <w:t xml:space="preserve"> in coarsened exact matching (CEM)</w:t>
      </w:r>
      <w:r w:rsidR="001B67EF" w:rsidRPr="00C170AB">
        <w:rPr>
          <w:lang w:val="en-US"/>
        </w:rPr>
        <w:t xml:space="preserve">. </w:t>
      </w:r>
      <w:r w:rsidR="002F3A8C">
        <w:rPr>
          <w:lang w:val="en-US"/>
        </w:rPr>
        <w:t>Finally, i</w:t>
      </w:r>
      <w:r w:rsidR="001B67EF" w:rsidRPr="00C170AB">
        <w:rPr>
          <w:lang w:val="en-US"/>
        </w:rPr>
        <w:t xml:space="preserve">n propensity score matching, researchers should manually search for matching and subsequently trim data sets of unmatched cases. In contrast, with entropy matching such cases do not have to be discarded </w:t>
      </w:r>
      <w:r w:rsidR="002F3A8C">
        <w:rPr>
          <w:lang w:val="en-US"/>
        </w:rPr>
        <w:t xml:space="preserve">but have weights attached to them </w:t>
      </w:r>
      <w:r w:rsidR="001B67EF" w:rsidRPr="00C170AB">
        <w:rPr>
          <w:lang w:val="en-US"/>
        </w:rPr>
        <w:t>and thus, the efficiency of the estimation procedure is significantly improved</w:t>
      </w:r>
      <w:r w:rsidR="00413B9B">
        <w:rPr>
          <w:lang w:val="en-US"/>
        </w:rPr>
        <w:t xml:space="preserve"> </w:t>
      </w:r>
      <w:r w:rsidR="00413B9B">
        <w:rPr>
          <w:lang w:val="en-US"/>
        </w:rPr>
        <w:fldChar w:fldCharType="begin" w:fldLock="1"/>
      </w:r>
      <w:r w:rsidR="00413B9B">
        <w:rPr>
          <w:lang w:val="en-US"/>
        </w:rPr>
        <w:instrText>ADDIN CSL_CITATION {"citationItems":[{"id":"ITEM-1","itemData":{"DOI":"10.1057/s41267-019-00274-0","ISSN":"14786990","abstract":"MNC subsidiaries benefit from managers with entrepreneurial skills for finding superior combinations of MNC and host-country resources. However, such management skills are scarce. We reason that subsidiaries can improve their performance by hiring host-country entrepreneurs as managers since they develop similar skills in start-ups. Our theoretical model integrates mechanisms from entrepreneurial experience into theory on the microfoundations of dynamic capabilities. We test and support our prediction using longitudinal employer–employee data for 5587 foreign MNC subsidiaries in Portugal. Further, we show that performance effects are weaker when a subsidiary’s management is internationally diverse and stronger in dynamic host-country environments.","author":[{"dropping-particle":"","family":"Distel","given":"Andreas P.","non-dropping-particle":"","parse-names":false,"suffix":""},{"dropping-particle":"","family":"Sofka","given":"Wolfgang","non-dropping-particle":"","parse-names":false,"suffix":""},{"dropping-particle":"","family":"Faria","given":"Pedro","non-dropping-particle":"de","parse-names":false,"suffix":""},{"dropping-particle":"","family":"Preto","given":"Miguel Torres","non-dropping-particle":"","parse-names":false,"suffix":""},{"dropping-particle":"","family":"Ribeiro","given":"António Sérgio","non-dropping-particle":"","parse-names":false,"suffix":""}],"container-title":"Journal of International Business Studies","id":"ITEM-1","issue":"August","issued":{"date-parts":[["2019"]]},"title":"Dynamic capabilities for hire – How former host-country entrepreneurs as MNC subsidiary managers affect performance","type":"article-journal"},"uris":["http://www.mendeley.com/documents/?uuid=d0ba4b1d-78a1-4ee7-a003-49af27187699"]}],"mendeley":{"formattedCitation":"(Distel et al., 2019)","plainTextFormattedCitation":"(Distel et al., 2019)","previouslyFormattedCitation":"(Distel et al., 2019)"},"properties":{"noteIndex":0},"schema":"https://github.com/citation-style-language/schema/raw/master/csl-citation.json"}</w:instrText>
      </w:r>
      <w:r w:rsidR="00413B9B">
        <w:rPr>
          <w:lang w:val="en-US"/>
        </w:rPr>
        <w:fldChar w:fldCharType="separate"/>
      </w:r>
      <w:r w:rsidR="00413B9B" w:rsidRPr="00413B9B">
        <w:rPr>
          <w:noProof/>
          <w:lang w:val="en-US"/>
        </w:rPr>
        <w:t>(Distel et al., 2019)</w:t>
      </w:r>
      <w:r w:rsidR="00413B9B">
        <w:rPr>
          <w:lang w:val="en-US"/>
        </w:rPr>
        <w:fldChar w:fldCharType="end"/>
      </w:r>
      <w:r w:rsidR="001B67EF" w:rsidRPr="00C170AB">
        <w:rPr>
          <w:lang w:val="en-US"/>
        </w:rPr>
        <w:t xml:space="preserve">. </w:t>
      </w:r>
      <w:r w:rsidR="00765194">
        <w:rPr>
          <w:lang w:val="en-US"/>
        </w:rPr>
        <w:t>In sum, we adopt the entropy balancing approach for testing our hypotheses in the main models but go through alternative approaches as robustness checks to demonstrate the stability of the findings.</w:t>
      </w:r>
    </w:p>
    <w:p w14:paraId="5F636884" w14:textId="77777777" w:rsidR="001B67EF" w:rsidRPr="00071DC8" w:rsidRDefault="001B67EF" w:rsidP="001B67EF">
      <w:pPr>
        <w:pStyle w:val="Heading1"/>
        <w:rPr>
          <w:lang w:val="en-US"/>
        </w:rPr>
      </w:pPr>
      <w:r w:rsidRPr="00071DC8">
        <w:rPr>
          <w:lang w:val="en-US"/>
        </w:rPr>
        <w:t>Results</w:t>
      </w:r>
    </w:p>
    <w:p w14:paraId="0D8B2F6A" w14:textId="2E63A1BE" w:rsidR="00501891" w:rsidRDefault="00501891" w:rsidP="00501891">
      <w:pPr>
        <w:ind w:firstLine="0"/>
        <w:rPr>
          <w:lang w:val="en-US"/>
        </w:rPr>
      </w:pPr>
      <w:r>
        <w:rPr>
          <w:lang w:val="en-US"/>
        </w:rPr>
        <w:t xml:space="preserve">Table 2 reports the descriptive statistics for the entire sample. On average, universities issue </w:t>
      </w:r>
      <w:r w:rsidRPr="007F066A">
        <w:rPr>
          <w:lang w:val="en-US"/>
        </w:rPr>
        <w:t xml:space="preserve">24 patents per year. </w:t>
      </w:r>
      <w:r>
        <w:rPr>
          <w:lang w:val="en-US"/>
        </w:rPr>
        <w:t xml:space="preserve">The average </w:t>
      </w:r>
      <w:r w:rsidRPr="00C170AB">
        <w:rPr>
          <w:lang w:val="en-US"/>
        </w:rPr>
        <w:t xml:space="preserve">of licenses executed by </w:t>
      </w:r>
      <w:r w:rsidR="00D55621">
        <w:rPr>
          <w:lang w:val="en-US"/>
        </w:rPr>
        <w:t>a</w:t>
      </w:r>
      <w:r w:rsidR="00D55621" w:rsidRPr="00C170AB">
        <w:rPr>
          <w:lang w:val="en-US"/>
        </w:rPr>
        <w:t xml:space="preserve"> </w:t>
      </w:r>
      <w:r w:rsidRPr="00C170AB">
        <w:rPr>
          <w:lang w:val="en-US"/>
        </w:rPr>
        <w:t xml:space="preserve">university </w:t>
      </w:r>
      <w:r>
        <w:rPr>
          <w:lang w:val="en-US"/>
        </w:rPr>
        <w:t>scaled</w:t>
      </w:r>
      <w:r w:rsidRPr="00C170AB">
        <w:rPr>
          <w:lang w:val="en-US"/>
        </w:rPr>
        <w:t xml:space="preserve"> by the total number of patents issued to the university</w:t>
      </w:r>
      <w:r>
        <w:rPr>
          <w:lang w:val="en-US"/>
        </w:rPr>
        <w:t xml:space="preserve"> is </w:t>
      </w:r>
      <w:r w:rsidRPr="007F066A">
        <w:rPr>
          <w:lang w:val="en-US"/>
        </w:rPr>
        <w:t>1.506.</w:t>
      </w:r>
      <w:r>
        <w:rPr>
          <w:lang w:val="en-US"/>
        </w:rPr>
        <w:t xml:space="preserve"> The average number of </w:t>
      </w:r>
      <w:r w:rsidRPr="00A6755D">
        <w:rPr>
          <w:lang w:val="en-US"/>
        </w:rPr>
        <w:t xml:space="preserve">litigations </w:t>
      </w:r>
      <w:r>
        <w:rPr>
          <w:lang w:val="en-US"/>
        </w:rPr>
        <w:t xml:space="preserve">where </w:t>
      </w:r>
      <w:r w:rsidR="00D55621">
        <w:rPr>
          <w:lang w:val="en-US"/>
        </w:rPr>
        <w:t xml:space="preserve">a </w:t>
      </w:r>
      <w:r>
        <w:rPr>
          <w:lang w:val="en-US"/>
        </w:rPr>
        <w:t xml:space="preserve">university acts as a </w:t>
      </w:r>
      <w:r w:rsidRPr="007F066A">
        <w:rPr>
          <w:lang w:val="en-US"/>
        </w:rPr>
        <w:t>defendant range</w:t>
      </w:r>
      <w:r>
        <w:rPr>
          <w:lang w:val="en-US"/>
        </w:rPr>
        <w:t>s</w:t>
      </w:r>
      <w:r w:rsidRPr="007F066A">
        <w:rPr>
          <w:lang w:val="en-US"/>
        </w:rPr>
        <w:t xml:space="preserve"> from 0 to 8 and the mean is 0.03. </w:t>
      </w:r>
      <w:r>
        <w:rPr>
          <w:lang w:val="en-US"/>
        </w:rPr>
        <w:t xml:space="preserve">The average university engages in </w:t>
      </w:r>
      <w:r w:rsidRPr="007F066A">
        <w:rPr>
          <w:lang w:val="en-US"/>
        </w:rPr>
        <w:t xml:space="preserve">0.023 litigation cases where it acts </w:t>
      </w:r>
      <w:r w:rsidRPr="00C170AB">
        <w:rPr>
          <w:lang w:val="en-US"/>
        </w:rPr>
        <w:t xml:space="preserve">as a co-defendant </w:t>
      </w:r>
      <w:r>
        <w:rPr>
          <w:lang w:val="en-US"/>
        </w:rPr>
        <w:t xml:space="preserve">and in 0.007 cases where it acts as a </w:t>
      </w:r>
      <w:r w:rsidRPr="00C170AB">
        <w:rPr>
          <w:lang w:val="en-US"/>
        </w:rPr>
        <w:t>sole defendant</w:t>
      </w:r>
      <w:r>
        <w:rPr>
          <w:lang w:val="en-US"/>
        </w:rPr>
        <w:t xml:space="preserve">. </w:t>
      </w:r>
      <w:r w:rsidRPr="007F066A">
        <w:rPr>
          <w:lang w:val="en-US"/>
        </w:rPr>
        <w:t>The overall sample mean of licen</w:t>
      </w:r>
      <w:r w:rsidR="00787779">
        <w:rPr>
          <w:lang w:val="en-US"/>
        </w:rPr>
        <w:t>s</w:t>
      </w:r>
      <w:r w:rsidRPr="007F066A">
        <w:rPr>
          <w:lang w:val="en-US"/>
        </w:rPr>
        <w:t xml:space="preserve">ing revenue is 13.581. </w:t>
      </w:r>
    </w:p>
    <w:p w14:paraId="6DAE842F" w14:textId="64D02F54" w:rsidR="00332372" w:rsidRPr="000E234B" w:rsidRDefault="00332372" w:rsidP="00332372">
      <w:pPr>
        <w:ind w:firstLine="720"/>
        <w:rPr>
          <w:lang w:val="en-US"/>
        </w:rPr>
      </w:pPr>
      <w:r w:rsidRPr="00C170AB">
        <w:rPr>
          <w:lang w:val="en-US"/>
        </w:rPr>
        <w:t xml:space="preserve">Table </w:t>
      </w:r>
      <w:r>
        <w:rPr>
          <w:lang w:val="en-US"/>
        </w:rPr>
        <w:t>3</w:t>
      </w:r>
      <w:r w:rsidRPr="00C170AB">
        <w:rPr>
          <w:lang w:val="en-US"/>
        </w:rPr>
        <w:t xml:space="preserve"> shows correlation coefficients of the variables used in the analyses. </w:t>
      </w:r>
      <w:r>
        <w:rPr>
          <w:lang w:val="en-US"/>
        </w:rPr>
        <w:t>We inspect the</w:t>
      </w:r>
      <w:r w:rsidRPr="00C170AB">
        <w:rPr>
          <w:lang w:val="en-US"/>
        </w:rPr>
        <w:t xml:space="preserve"> regression diagnostics and f</w:t>
      </w:r>
      <w:r>
        <w:rPr>
          <w:lang w:val="en-US"/>
        </w:rPr>
        <w:t>i</w:t>
      </w:r>
      <w:r w:rsidRPr="00C170AB">
        <w:rPr>
          <w:lang w:val="en-US"/>
        </w:rPr>
        <w:t>nd that the highest average</w:t>
      </w:r>
      <w:r>
        <w:rPr>
          <w:lang w:val="en-US"/>
        </w:rPr>
        <w:t xml:space="preserve"> variance inflation factor</w:t>
      </w:r>
      <w:r w:rsidRPr="00C170AB">
        <w:rPr>
          <w:lang w:val="en-US"/>
        </w:rPr>
        <w:t xml:space="preserve"> </w:t>
      </w:r>
      <w:r>
        <w:rPr>
          <w:lang w:val="en-US"/>
        </w:rPr>
        <w:t>(</w:t>
      </w:r>
      <w:r w:rsidRPr="00C170AB">
        <w:rPr>
          <w:lang w:val="en-US"/>
        </w:rPr>
        <w:t>VIF</w:t>
      </w:r>
      <w:r>
        <w:rPr>
          <w:lang w:val="en-US"/>
        </w:rPr>
        <w:t>)</w:t>
      </w:r>
      <w:r w:rsidRPr="00C170AB">
        <w:rPr>
          <w:lang w:val="en-US"/>
        </w:rPr>
        <w:t xml:space="preserve"> </w:t>
      </w:r>
      <w:r w:rsidRPr="00376D2B">
        <w:rPr>
          <w:lang w:val="en-US"/>
        </w:rPr>
        <w:t xml:space="preserve">in our models </w:t>
      </w:r>
      <w:r>
        <w:rPr>
          <w:lang w:val="en-US"/>
        </w:rPr>
        <w:t>i</w:t>
      </w:r>
      <w:r w:rsidRPr="00C170AB">
        <w:rPr>
          <w:lang w:val="en-US"/>
        </w:rPr>
        <w:t xml:space="preserve">s 2.38. </w:t>
      </w:r>
      <w:r w:rsidRPr="000E234B">
        <w:rPr>
          <w:lang w:val="en-US"/>
        </w:rPr>
        <w:t xml:space="preserve">The maximum estimated VIF for each coefficient </w:t>
      </w:r>
      <w:r>
        <w:rPr>
          <w:lang w:val="en-US"/>
        </w:rPr>
        <w:t xml:space="preserve">also </w:t>
      </w:r>
      <w:r w:rsidRPr="000E234B">
        <w:rPr>
          <w:lang w:val="en-US"/>
        </w:rPr>
        <w:t xml:space="preserve">is </w:t>
      </w:r>
      <w:r>
        <w:rPr>
          <w:lang w:val="en-US"/>
        </w:rPr>
        <w:t>4.02</w:t>
      </w:r>
      <w:r w:rsidRPr="00C170AB">
        <w:rPr>
          <w:lang w:val="en-US"/>
        </w:rPr>
        <w:t xml:space="preserve">, far below the critical value of 10 (Gujarati, 2003). </w:t>
      </w:r>
      <w:r w:rsidRPr="000E234B">
        <w:rPr>
          <w:lang w:val="en-US"/>
        </w:rPr>
        <w:t xml:space="preserve">We further </w:t>
      </w:r>
      <w:r>
        <w:rPr>
          <w:lang w:val="en-US"/>
        </w:rPr>
        <w:t xml:space="preserve">use </w:t>
      </w:r>
      <w:r w:rsidRPr="000E234B">
        <w:rPr>
          <w:lang w:val="en-US"/>
        </w:rPr>
        <w:t>the Durbin-Watson test statistic</w:t>
      </w:r>
      <w:r>
        <w:rPr>
          <w:lang w:val="en-US"/>
        </w:rPr>
        <w:t xml:space="preserve"> to </w:t>
      </w:r>
      <w:r w:rsidRPr="000E234B">
        <w:rPr>
          <w:lang w:val="en-US"/>
        </w:rPr>
        <w:t>assess whether our results are biased by serial correlation. The Durbin-Watson scores for the analyses presented here range from 1.90 to 1.99, supporting the conclusion that there is no significant serial correlation bias present in our models.</w:t>
      </w:r>
    </w:p>
    <w:p w14:paraId="29B02612" w14:textId="3F40D0FD" w:rsidR="00501891" w:rsidRDefault="00501891" w:rsidP="00501891">
      <w:pPr>
        <w:ind w:firstLine="0"/>
        <w:jc w:val="center"/>
        <w:rPr>
          <w:lang w:val="en-US"/>
        </w:rPr>
      </w:pPr>
      <w:r w:rsidRPr="00071DC8">
        <w:rPr>
          <w:lang w:val="en-US"/>
        </w:rPr>
        <w:lastRenderedPageBreak/>
        <w:t>[Insert Table 2 about here]</w:t>
      </w:r>
    </w:p>
    <w:p w14:paraId="5B183752" w14:textId="7E5E8F88" w:rsidR="004132E1" w:rsidRPr="00071DC8" w:rsidRDefault="004132E1" w:rsidP="004132E1">
      <w:pPr>
        <w:ind w:firstLine="0"/>
        <w:jc w:val="center"/>
        <w:rPr>
          <w:lang w:val="en-US"/>
        </w:rPr>
      </w:pPr>
      <w:r w:rsidRPr="00071DC8">
        <w:rPr>
          <w:lang w:val="en-US"/>
        </w:rPr>
        <w:t>[Insert Tabl</w:t>
      </w:r>
      <w:r>
        <w:rPr>
          <w:lang w:val="en-US"/>
        </w:rPr>
        <w:t>e 3</w:t>
      </w:r>
      <w:r w:rsidRPr="00071DC8">
        <w:rPr>
          <w:lang w:val="en-US"/>
        </w:rPr>
        <w:t xml:space="preserve"> about here]</w:t>
      </w:r>
    </w:p>
    <w:p w14:paraId="65B15129" w14:textId="1575A5F6" w:rsidR="00501891" w:rsidRPr="00C170AB" w:rsidRDefault="00501891" w:rsidP="00501891">
      <w:pPr>
        <w:ind w:firstLine="0"/>
        <w:rPr>
          <w:lang w:val="en-US"/>
        </w:rPr>
      </w:pPr>
      <w:r w:rsidRPr="00C170AB">
        <w:rPr>
          <w:lang w:val="en-US"/>
        </w:rPr>
        <w:t xml:space="preserve">Table </w:t>
      </w:r>
      <w:r>
        <w:rPr>
          <w:lang w:val="en-US"/>
        </w:rPr>
        <w:t>4</w:t>
      </w:r>
      <w:r w:rsidRPr="00C170AB">
        <w:rPr>
          <w:lang w:val="en-US"/>
        </w:rPr>
        <w:t xml:space="preserve"> shows the </w:t>
      </w:r>
      <w:r>
        <w:rPr>
          <w:lang w:val="en-US"/>
        </w:rPr>
        <w:t>fixed effect regression results step-wise</w:t>
      </w:r>
      <w:r w:rsidRPr="00C170AB">
        <w:rPr>
          <w:lang w:val="en-US"/>
        </w:rPr>
        <w:t xml:space="preserve">. We first estimate a baseline model including only control variables. Model 2 estimates </w:t>
      </w:r>
      <w:r>
        <w:rPr>
          <w:lang w:val="en-US"/>
        </w:rPr>
        <w:t xml:space="preserve">additionally </w:t>
      </w:r>
      <w:r w:rsidRPr="00C170AB">
        <w:rPr>
          <w:lang w:val="en-US"/>
        </w:rPr>
        <w:t xml:space="preserve">the coefficient of the number of patent litigation cases that the university faces as defendant. As hypothesized, this model demonstrates a positive and significant relationship between litigations as defendant and </w:t>
      </w:r>
      <w:r w:rsidRPr="00071DC8">
        <w:rPr>
          <w:lang w:val="en-US"/>
        </w:rPr>
        <w:t>licensing</w:t>
      </w:r>
      <w:r w:rsidRPr="00C170AB">
        <w:rPr>
          <w:lang w:val="en-US"/>
        </w:rPr>
        <w:t xml:space="preserve"> income</w:t>
      </w:r>
      <w:r>
        <w:rPr>
          <w:lang w:val="en-US"/>
        </w:rPr>
        <w:t xml:space="preserve"> (b=0.217, p</w:t>
      </w:r>
      <w:r w:rsidRPr="00376D2B">
        <w:rPr>
          <w:lang w:val="en-US"/>
        </w:rPr>
        <w:t>&lt;0.01)</w:t>
      </w:r>
      <w:r>
        <w:rPr>
          <w:lang w:val="en-US"/>
        </w:rPr>
        <w:t>. These results</w:t>
      </w:r>
      <w:r w:rsidRPr="00C170AB">
        <w:rPr>
          <w:lang w:val="en-US"/>
        </w:rPr>
        <w:t xml:space="preserve"> support Hypothesis 1. In model 3, we interact the number of patent litigation cases that the university faces as defendant with universities licensing and expect the coefficient for the interaction term </w:t>
      </w:r>
      <w:r>
        <w:rPr>
          <w:lang w:val="en-US"/>
        </w:rPr>
        <w:t>to be</w:t>
      </w:r>
      <w:r w:rsidRPr="00C170AB">
        <w:rPr>
          <w:lang w:val="en-US"/>
        </w:rPr>
        <w:t xml:space="preserve"> positive. As predicted, the results indicate that the coefficient of the interaction term, Litigations as Defendant*Licensing Patents, is both positive and significant (b=0.184, p&lt;0.01). To facilitate interpretation, we plot the respective moderating effects</w:t>
      </w:r>
      <w:r>
        <w:rPr>
          <w:lang w:val="en-US"/>
        </w:rPr>
        <w:t xml:space="preserve"> </w:t>
      </w:r>
      <w:r w:rsidRPr="00C170AB">
        <w:rPr>
          <w:lang w:val="en-US"/>
        </w:rPr>
        <w:t xml:space="preserve">and test the simple slope of </w:t>
      </w:r>
      <w:r w:rsidRPr="00376D2B">
        <w:rPr>
          <w:lang w:val="en-US"/>
        </w:rPr>
        <w:t xml:space="preserve">universities </w:t>
      </w:r>
      <w:r w:rsidRPr="00071DC8">
        <w:rPr>
          <w:lang w:val="en-US"/>
        </w:rPr>
        <w:t>licensing</w:t>
      </w:r>
      <w:r w:rsidRPr="00C170AB">
        <w:rPr>
          <w:lang w:val="en-US"/>
        </w:rPr>
        <w:t xml:space="preserve"> at one standard deviation below and above the mean. We f</w:t>
      </w:r>
      <w:r w:rsidR="00D55621">
        <w:rPr>
          <w:lang w:val="en-US"/>
        </w:rPr>
        <w:t>i</w:t>
      </w:r>
      <w:r w:rsidRPr="00C170AB">
        <w:rPr>
          <w:lang w:val="en-US"/>
        </w:rPr>
        <w:t xml:space="preserve">nd that </w:t>
      </w:r>
      <w:r w:rsidRPr="00376D2B">
        <w:rPr>
          <w:lang w:val="en-US"/>
        </w:rPr>
        <w:t xml:space="preserve">the number of patent litigation cases that </w:t>
      </w:r>
      <w:r w:rsidR="00D55621">
        <w:rPr>
          <w:lang w:val="en-US"/>
        </w:rPr>
        <w:t>a</w:t>
      </w:r>
      <w:r w:rsidR="00D55621" w:rsidRPr="00376D2B">
        <w:rPr>
          <w:lang w:val="en-US"/>
        </w:rPr>
        <w:t xml:space="preserve"> </w:t>
      </w:r>
      <w:r w:rsidRPr="00376D2B">
        <w:rPr>
          <w:lang w:val="en-US"/>
        </w:rPr>
        <w:t>university faces as defendant</w:t>
      </w:r>
      <w:r w:rsidRPr="00C170AB">
        <w:rPr>
          <w:lang w:val="en-US"/>
        </w:rPr>
        <w:t xml:space="preserve"> is more positively related to </w:t>
      </w:r>
      <w:r w:rsidRPr="00071DC8">
        <w:rPr>
          <w:lang w:val="en-US"/>
        </w:rPr>
        <w:t>licensing</w:t>
      </w:r>
      <w:r w:rsidRPr="00376D2B">
        <w:rPr>
          <w:lang w:val="en-US"/>
        </w:rPr>
        <w:t xml:space="preserve"> income</w:t>
      </w:r>
      <w:r>
        <w:rPr>
          <w:lang w:val="en-US"/>
        </w:rPr>
        <w:t xml:space="preserve"> </w:t>
      </w:r>
      <w:r w:rsidRPr="00C170AB">
        <w:rPr>
          <w:lang w:val="en-US"/>
        </w:rPr>
        <w:t xml:space="preserve">when </w:t>
      </w:r>
      <w:r w:rsidRPr="00376D2B">
        <w:rPr>
          <w:lang w:val="en-US"/>
        </w:rPr>
        <w:t xml:space="preserve">universities </w:t>
      </w:r>
      <w:r w:rsidRPr="00071DC8">
        <w:rPr>
          <w:lang w:val="en-US"/>
        </w:rPr>
        <w:t>licensing</w:t>
      </w:r>
      <w:r>
        <w:rPr>
          <w:lang w:val="en-US"/>
        </w:rPr>
        <w:t xml:space="preserve"> is</w:t>
      </w:r>
      <w:r w:rsidRPr="00376D2B">
        <w:rPr>
          <w:lang w:val="en-US"/>
        </w:rPr>
        <w:t xml:space="preserve"> higher</w:t>
      </w:r>
      <w:r w:rsidRPr="00C170AB">
        <w:rPr>
          <w:lang w:val="en-US"/>
        </w:rPr>
        <w:t xml:space="preserve"> (simple slope test: </w:t>
      </w:r>
      <w:r>
        <w:rPr>
          <w:lang w:val="en-US"/>
        </w:rPr>
        <w:t>b=0.564, p</w:t>
      </w:r>
      <w:r w:rsidRPr="00376D2B">
        <w:rPr>
          <w:lang w:val="en-US"/>
        </w:rPr>
        <w:t>&lt;0.01</w:t>
      </w:r>
      <w:r w:rsidRPr="00C170AB">
        <w:rPr>
          <w:lang w:val="en-US"/>
        </w:rPr>
        <w:t>).</w:t>
      </w:r>
      <w:r>
        <w:rPr>
          <w:lang w:val="en-US"/>
        </w:rPr>
        <w:t xml:space="preserve"> </w:t>
      </w:r>
      <w:r w:rsidRPr="00C170AB">
        <w:rPr>
          <w:lang w:val="en-US"/>
        </w:rPr>
        <w:t xml:space="preserve">Figure 1 graphically depicts these findings. </w:t>
      </w:r>
      <w:r>
        <w:rPr>
          <w:lang w:val="en-US"/>
        </w:rPr>
        <w:t xml:space="preserve">These results </w:t>
      </w:r>
      <w:r w:rsidRPr="00376D2B">
        <w:rPr>
          <w:lang w:val="en-US"/>
        </w:rPr>
        <w:t>jointly</w:t>
      </w:r>
      <w:r>
        <w:rPr>
          <w:lang w:val="en-US"/>
        </w:rPr>
        <w:t xml:space="preserve"> </w:t>
      </w:r>
      <w:r w:rsidRPr="00C170AB">
        <w:rPr>
          <w:lang w:val="en-US"/>
        </w:rPr>
        <w:t>render support to Hypothesis 2.</w:t>
      </w:r>
    </w:p>
    <w:p w14:paraId="5E837CD1" w14:textId="3ECA2FE6" w:rsidR="00501891" w:rsidRDefault="00501891" w:rsidP="00501891">
      <w:pPr>
        <w:ind w:firstLine="720"/>
        <w:rPr>
          <w:lang w:val="en-US"/>
        </w:rPr>
      </w:pPr>
      <w:r w:rsidRPr="00C170AB">
        <w:rPr>
          <w:lang w:val="en-US"/>
        </w:rPr>
        <w:t>Model 4 examines whether the licensing income increases more with the number of patent litigations that universities face as co-defendants compared to the number of patent litigations that universities face as sole defendants. To explore this asymmetric effect, we introduce two variables in model 4, namely litigations as co-defendant and litigations as sole defendant. As can be seen, the coefficient of litigations as co-defendant is positive and significant (b= 0.200, p&lt;0.01). The effect of the number of litigations as sole defendant is insignificant (p=&gt;0.10)</w:t>
      </w:r>
      <w:r w:rsidRPr="00376D2B">
        <w:rPr>
          <w:lang w:val="en-US"/>
        </w:rPr>
        <w:t>.</w:t>
      </w:r>
      <w:r>
        <w:rPr>
          <w:lang w:val="en-US"/>
        </w:rPr>
        <w:t xml:space="preserve"> </w:t>
      </w:r>
      <w:r w:rsidRPr="00C170AB">
        <w:rPr>
          <w:lang w:val="en-US"/>
        </w:rPr>
        <w:t xml:space="preserve">Hence, hypothesis 3, is supported. </w:t>
      </w:r>
    </w:p>
    <w:p w14:paraId="75583F7B" w14:textId="28369C33" w:rsidR="00501891" w:rsidRDefault="00501891" w:rsidP="00501891">
      <w:pPr>
        <w:rPr>
          <w:lang w:val="en-US"/>
        </w:rPr>
      </w:pPr>
      <w:r>
        <w:rPr>
          <w:lang w:val="en-US"/>
        </w:rPr>
        <w:t xml:space="preserve">Among our control variables, </w:t>
      </w:r>
      <w:r w:rsidRPr="00C170AB">
        <w:rPr>
          <w:lang w:val="en-US"/>
        </w:rPr>
        <w:t xml:space="preserve">five </w:t>
      </w:r>
      <w:r>
        <w:rPr>
          <w:lang w:val="en-US"/>
        </w:rPr>
        <w:t>variables are</w:t>
      </w:r>
      <w:r w:rsidRPr="00C170AB">
        <w:rPr>
          <w:lang w:val="en-US"/>
        </w:rPr>
        <w:t xml:space="preserve"> statistically significant</w:t>
      </w:r>
      <w:r>
        <w:rPr>
          <w:lang w:val="en-US"/>
        </w:rPr>
        <w:t xml:space="preserve"> across all models</w:t>
      </w:r>
      <w:r w:rsidRPr="00C170AB">
        <w:rPr>
          <w:lang w:val="en-US"/>
        </w:rPr>
        <w:t xml:space="preserve">. </w:t>
      </w:r>
      <w:r>
        <w:rPr>
          <w:lang w:val="en-US"/>
        </w:rPr>
        <w:t xml:space="preserve">The amount of </w:t>
      </w:r>
      <w:r w:rsidRPr="00DF51E6">
        <w:rPr>
          <w:lang w:val="en-US"/>
        </w:rPr>
        <w:t xml:space="preserve">legal fees </w:t>
      </w:r>
      <w:r>
        <w:rPr>
          <w:lang w:val="en-US"/>
        </w:rPr>
        <w:t xml:space="preserve">spent by the university has a positive effect on </w:t>
      </w:r>
      <w:r w:rsidRPr="00CE1D99">
        <w:rPr>
          <w:lang w:val="en-US"/>
        </w:rPr>
        <w:t>licensing</w:t>
      </w:r>
      <w:r w:rsidRPr="00DF51E6">
        <w:rPr>
          <w:lang w:val="en-US"/>
        </w:rPr>
        <w:t xml:space="preserve"> income</w:t>
      </w:r>
      <w:r>
        <w:rPr>
          <w:lang w:val="en-US"/>
        </w:rPr>
        <w:t xml:space="preserve">, suggesting its important role in protecting </w:t>
      </w:r>
      <w:r w:rsidR="00D55621">
        <w:rPr>
          <w:lang w:val="en-US"/>
        </w:rPr>
        <w:t>IP</w:t>
      </w:r>
      <w:r>
        <w:rPr>
          <w:lang w:val="en-US"/>
        </w:rPr>
        <w:t xml:space="preserve">. Similarly, universities with a </w:t>
      </w:r>
      <w:r w:rsidRPr="00DF51E6">
        <w:rPr>
          <w:lang w:val="en-US"/>
        </w:rPr>
        <w:t>medical school</w:t>
      </w:r>
      <w:r>
        <w:rPr>
          <w:lang w:val="en-US"/>
        </w:rPr>
        <w:t xml:space="preserve"> and</w:t>
      </w:r>
      <w:r w:rsidRPr="00DF51E6">
        <w:rPr>
          <w:lang w:val="en-US"/>
        </w:rPr>
        <w:t xml:space="preserve"> </w:t>
      </w:r>
      <w:r>
        <w:t xml:space="preserve">those who are private have significantly higher </w:t>
      </w:r>
      <w:r w:rsidRPr="00CE1D99">
        <w:rPr>
          <w:lang w:val="en-US"/>
        </w:rPr>
        <w:t>licensing</w:t>
      </w:r>
      <w:r w:rsidRPr="00DF51E6">
        <w:rPr>
          <w:lang w:val="en-US"/>
        </w:rPr>
        <w:t xml:space="preserve"> income</w:t>
      </w:r>
      <w:r w:rsidRPr="00C170AB">
        <w:rPr>
          <w:lang w:val="en-US"/>
        </w:rPr>
        <w:t xml:space="preserve"> compared to their counterparts. Interestingly</w:t>
      </w:r>
      <w:r>
        <w:rPr>
          <w:lang w:val="en-US"/>
        </w:rPr>
        <w:t>, t</w:t>
      </w:r>
      <w:r w:rsidRPr="00DF51E6">
        <w:rPr>
          <w:lang w:val="en-US"/>
        </w:rPr>
        <w:t>he number of full</w:t>
      </w:r>
      <w:r w:rsidR="00787779">
        <w:rPr>
          <w:lang w:val="en-US"/>
        </w:rPr>
        <w:t>-</w:t>
      </w:r>
      <w:r w:rsidRPr="00DF51E6">
        <w:rPr>
          <w:lang w:val="en-US"/>
        </w:rPr>
        <w:t>time employees working in the university’s technology transfer office</w:t>
      </w:r>
      <w:r>
        <w:rPr>
          <w:lang w:val="en-US"/>
        </w:rPr>
        <w:t xml:space="preserve"> and the</w:t>
      </w:r>
      <w:r w:rsidRPr="00DF51E6">
        <w:rPr>
          <w:lang w:val="en-US"/>
        </w:rPr>
        <w:t xml:space="preserve"> number </w:t>
      </w:r>
      <w:r w:rsidRPr="00DF51E6">
        <w:rPr>
          <w:lang w:val="en-US"/>
        </w:rPr>
        <w:lastRenderedPageBreak/>
        <w:t>of patent litigation ca</w:t>
      </w:r>
      <w:r>
        <w:rPr>
          <w:lang w:val="en-US"/>
        </w:rPr>
        <w:t xml:space="preserve">ses that a university faces as a </w:t>
      </w:r>
      <w:r w:rsidRPr="00C170AB">
        <w:rPr>
          <w:lang w:val="en-US"/>
        </w:rPr>
        <w:t>counter plaintiff</w:t>
      </w:r>
      <w:r>
        <w:rPr>
          <w:lang w:val="en-US"/>
        </w:rPr>
        <w:t xml:space="preserve"> both had a negative effect on </w:t>
      </w:r>
      <w:r w:rsidRPr="00CE1D99">
        <w:rPr>
          <w:lang w:val="en-US"/>
        </w:rPr>
        <w:t>licensing</w:t>
      </w:r>
      <w:r w:rsidRPr="00DF51E6">
        <w:rPr>
          <w:lang w:val="en-US"/>
        </w:rPr>
        <w:t xml:space="preserve"> income</w:t>
      </w:r>
      <w:r>
        <w:rPr>
          <w:lang w:val="en-US"/>
        </w:rPr>
        <w:t>. The coefficients should be interpreted directly since they are re-weighted based on the likelihood to become a defendant in patent litigation.</w:t>
      </w:r>
    </w:p>
    <w:p w14:paraId="3A716703" w14:textId="3E87A0FD" w:rsidR="00D13F0A" w:rsidRDefault="00501891" w:rsidP="009B4C37">
      <w:pPr>
        <w:ind w:firstLine="0"/>
        <w:jc w:val="center"/>
        <w:rPr>
          <w:lang w:val="en-US"/>
        </w:rPr>
      </w:pPr>
      <w:r w:rsidRPr="00071DC8">
        <w:rPr>
          <w:lang w:val="en-US"/>
        </w:rPr>
        <w:t xml:space="preserve">[Insert Table </w:t>
      </w:r>
      <w:r w:rsidR="004132E1">
        <w:rPr>
          <w:lang w:val="en-US"/>
        </w:rPr>
        <w:t>4</w:t>
      </w:r>
      <w:r w:rsidRPr="00071DC8">
        <w:rPr>
          <w:lang w:val="en-US"/>
        </w:rPr>
        <w:t xml:space="preserve"> about here]</w:t>
      </w:r>
    </w:p>
    <w:p w14:paraId="34A5F901" w14:textId="77777777" w:rsidR="007A6F02" w:rsidRDefault="007A6F02" w:rsidP="007A6F02">
      <w:pPr>
        <w:pStyle w:val="Heading3"/>
      </w:pPr>
      <w:r w:rsidRPr="00071DC8">
        <w:t>Robustness checks</w:t>
      </w:r>
    </w:p>
    <w:p w14:paraId="5E4E6098" w14:textId="1029BB3E" w:rsidR="007A6F02" w:rsidRDefault="007A6F02" w:rsidP="007A6F02">
      <w:pPr>
        <w:ind w:firstLine="0"/>
      </w:pPr>
      <w:r>
        <w:rPr>
          <w:lang w:val="en-US"/>
        </w:rPr>
        <w:t xml:space="preserve">To </w:t>
      </w:r>
      <w:r>
        <w:t>check the robustness of our results, we run a number of additional analyses. These consistency checks fall into three broad categories, i.e. the operationalization of the dependent variable (licensing income and time lags), the operationalization of the independent variable (patent litigation as defendant) and the estimation procedures (alternative matching</w:t>
      </w:r>
      <w:r w:rsidR="00310B51">
        <w:t xml:space="preserve"> </w:t>
      </w:r>
      <w:r>
        <w:t>approaches). We include the results in table 5</w:t>
      </w:r>
      <w:r w:rsidR="00C54FA4">
        <w:t xml:space="preserve"> </w:t>
      </w:r>
      <w:r>
        <w:t>for major findings. All other regression tables are available upon request.</w:t>
      </w:r>
    </w:p>
    <w:p w14:paraId="3025A794" w14:textId="14760449" w:rsidR="007662DE" w:rsidRDefault="007F4F31" w:rsidP="00503064">
      <w:pPr>
        <w:ind w:firstLine="0"/>
        <w:jc w:val="center"/>
        <w:rPr>
          <w:lang w:val="en-US"/>
        </w:rPr>
      </w:pPr>
      <w:r w:rsidRPr="00071DC8">
        <w:rPr>
          <w:lang w:val="en-US"/>
        </w:rPr>
        <w:t xml:space="preserve">[Insert Table </w:t>
      </w:r>
      <w:r>
        <w:rPr>
          <w:lang w:val="en-US"/>
        </w:rPr>
        <w:t>5</w:t>
      </w:r>
      <w:r w:rsidRPr="00071DC8">
        <w:rPr>
          <w:lang w:val="en-US"/>
        </w:rPr>
        <w:t xml:space="preserve"> about here]</w:t>
      </w:r>
    </w:p>
    <w:p w14:paraId="3F46C29C" w14:textId="74E01126" w:rsidR="00501891" w:rsidRDefault="00501891" w:rsidP="00D55621">
      <w:pPr>
        <w:ind w:firstLine="720"/>
      </w:pPr>
      <w:r>
        <w:t xml:space="preserve">First, we explore the consistency of our estimation results with regards to the operationalization of licensing income as our dependent variable. Inherent in our theoretical reasoning is the notion that patent litigations as defendants will have a signaling affect for many potential licensees. Accordingly, it should not just affect the overall licensing income but also the average licensing deal. Hence, we use the </w:t>
      </w:r>
      <w:r w:rsidRPr="00694991">
        <w:t xml:space="preserve">average annual income per license </w:t>
      </w:r>
      <w:r>
        <w:t xml:space="preserve">in models </w:t>
      </w:r>
      <w:r w:rsidR="00AC22F9">
        <w:t>5</w:t>
      </w:r>
      <w:r>
        <w:t xml:space="preserve">, </w:t>
      </w:r>
      <w:r w:rsidR="00AC22F9">
        <w:t>6</w:t>
      </w:r>
      <w:r>
        <w:t xml:space="preserve"> and </w:t>
      </w:r>
      <w:r w:rsidR="00AC22F9">
        <w:t>7</w:t>
      </w:r>
      <w:r>
        <w:t xml:space="preserve"> of table </w:t>
      </w:r>
      <w:r w:rsidR="00AC22F9">
        <w:t>5</w:t>
      </w:r>
      <w:r>
        <w:t xml:space="preserve"> </w:t>
      </w:r>
      <w:r w:rsidRPr="00694991">
        <w:t xml:space="preserve">as </w:t>
      </w:r>
      <w:r>
        <w:t xml:space="preserve">an alternative </w:t>
      </w:r>
      <w:r w:rsidRPr="00694991">
        <w:t>dependent variable</w:t>
      </w:r>
      <w:r>
        <w:t xml:space="preserve">. All hypothesized effects remain consistent. Further, the signaling effect might take time to translate into additional licensing income. Accordingly, we use the average licensing income over the subsequent two years as dependent variable in line with prior literature </w:t>
      </w:r>
      <w:r>
        <w:fldChar w:fldCharType="begin" w:fldLock="1"/>
      </w:r>
      <w:r w:rsidR="00C42162">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efforts","type":"article-journal","volume":"63"},"uris":["http://www.mendeley.com/documents/?uuid=d01082fe-3071-45b1-b4b7-e8b95731a296"]}],"mendeley":{"formattedCitation":"(Shane and Somaya, 2007)","plainTextFormattedCitation":"(Shane and Somaya, 2007)","previouslyFormattedCitation":"(Shane and Somaya, 2007)"},"properties":{"noteIndex":0},"schema":"https://github.com/citation-style-language/schema/raw/master/csl-citation.json"}</w:instrText>
      </w:r>
      <w:r>
        <w:fldChar w:fldCharType="separate"/>
      </w:r>
      <w:r w:rsidRPr="00FD645A">
        <w:rPr>
          <w:noProof/>
        </w:rPr>
        <w:t>(Shane and Somaya, 2007)</w:t>
      </w:r>
      <w:r>
        <w:fldChar w:fldCharType="end"/>
      </w:r>
      <w:r>
        <w:t xml:space="preserve"> and find consistent results (models </w:t>
      </w:r>
      <w:r w:rsidR="00AC22F9">
        <w:t>8</w:t>
      </w:r>
      <w:r>
        <w:t xml:space="preserve">, </w:t>
      </w:r>
      <w:r w:rsidR="00AC22F9">
        <w:t>9</w:t>
      </w:r>
      <w:r>
        <w:t xml:space="preserve"> and </w:t>
      </w:r>
      <w:r w:rsidR="00AC22F9">
        <w:t>10</w:t>
      </w:r>
      <w:r>
        <w:t xml:space="preserve"> of table </w:t>
      </w:r>
      <w:r w:rsidR="00AC22F9">
        <w:t>5</w:t>
      </w:r>
      <w:r>
        <w:t>). The coefficient of the main effect relationship is larger for the two</w:t>
      </w:r>
      <w:r w:rsidR="00787779">
        <w:t>-</w:t>
      </w:r>
      <w:r>
        <w:t>year time lag compared with the main models. Subsequently, we repeat the analysis using the average of licensing income over the next three years as dependent variable and find consistent results.</w:t>
      </w:r>
      <w:r w:rsidR="00C54FA4">
        <w:t xml:space="preserve"> Finally, </w:t>
      </w:r>
      <w:r w:rsidR="0015251B">
        <w:t>we use time lags separately, i.e. in each one of the four subsequent years to explore the dynamic pattern of the effect.</w:t>
      </w:r>
      <w:r w:rsidR="00C54FA4">
        <w:t xml:space="preserve"> Interestingly, these results suggest that the signaling effect grows in strength over the short term (t+1, t+2) but weakens </w:t>
      </w:r>
      <w:r w:rsidR="0015251B">
        <w:t>after</w:t>
      </w:r>
      <w:r w:rsidR="00C54FA4">
        <w:t xml:space="preserve"> t+3.</w:t>
      </w:r>
      <w:r w:rsidR="00C54FA4">
        <w:rPr>
          <w:rStyle w:val="FootnoteReference"/>
        </w:rPr>
        <w:footnoteReference w:id="2"/>
      </w:r>
      <w:r w:rsidR="00C54FA4">
        <w:t xml:space="preserve"> These results are </w:t>
      </w:r>
      <w:r w:rsidR="00C54FA4">
        <w:lastRenderedPageBreak/>
        <w:t xml:space="preserve">consistent </w:t>
      </w:r>
      <w:r w:rsidR="0015251B">
        <w:t xml:space="preserve">with </w:t>
      </w:r>
      <w:r w:rsidR="00C54FA4">
        <w:t xml:space="preserve">our signaling logic, in that the strength of the signal is contingent on their observability. </w:t>
      </w:r>
      <w:r w:rsidR="0015251B">
        <w:t>Potential licensees need time to observe the litigation signal, interpret it and initiate licensing negotiations</w:t>
      </w:r>
      <w:r w:rsidR="00C54FA4">
        <w:t>.</w:t>
      </w:r>
      <w:r w:rsidR="0015251B">
        <w:t xml:space="preserve"> Then again, they are less likely to rely on a signal that is potentially no longer reliable several years after the litigation has occurred.</w:t>
      </w:r>
    </w:p>
    <w:p w14:paraId="18A4C107" w14:textId="4720F0AD" w:rsidR="00501891" w:rsidRPr="006F48CF" w:rsidRDefault="00501891" w:rsidP="00BE0D7C">
      <w:pPr>
        <w:ind w:firstLine="720"/>
        <w:rPr>
          <w:lang w:val="en-US"/>
        </w:rPr>
      </w:pPr>
      <w:r>
        <w:rPr>
          <w:lang w:val="en-US"/>
        </w:rPr>
        <w:t xml:space="preserve">Second, </w:t>
      </w:r>
      <w:r w:rsidRPr="00495E3A">
        <w:rPr>
          <w:lang w:val="en-US"/>
        </w:rPr>
        <w:t xml:space="preserve">we assess the </w:t>
      </w:r>
      <w:r>
        <w:rPr>
          <w:lang w:val="en-US"/>
        </w:rPr>
        <w:t xml:space="preserve">stability of results with regard to the independent variable. </w:t>
      </w:r>
      <w:r>
        <w:fldChar w:fldCharType="begin" w:fldLock="1"/>
      </w:r>
      <w:r>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efforts","type":"article-journal","volume":"63"},"uris":["http://www.mendeley.com/documents/?uuid=d01082fe-3071-45b1-b4b7-e8b95731a296"]}],"mendeley":{"formattedCitation":"(Shane and Somaya, 2007)","manualFormatting":"Shane and Somaya (2007)","plainTextFormattedCitation":"(Shane and Somaya, 2007)","previouslyFormattedCitation":"(Shane and Somaya, 2007)"},"properties":{"noteIndex":0},"schema":"https://github.com/citation-style-language/schema/raw/master/csl-citation.json"}</w:instrText>
      </w:r>
      <w:r>
        <w:fldChar w:fldCharType="separate"/>
      </w:r>
      <w:r w:rsidRPr="0031440A">
        <w:rPr>
          <w:noProof/>
        </w:rPr>
        <w:t xml:space="preserve">Shane and Somaya </w:t>
      </w:r>
      <w:r>
        <w:rPr>
          <w:noProof/>
        </w:rPr>
        <w:t>(</w:t>
      </w:r>
      <w:r w:rsidRPr="0031440A">
        <w:rPr>
          <w:noProof/>
        </w:rPr>
        <w:t>2007)</w:t>
      </w:r>
      <w:r>
        <w:fldChar w:fldCharType="end"/>
      </w:r>
      <w:r>
        <w:t xml:space="preserve"> show that patent litigation imposes a significant strain on TTO attentional resources. Hence, effects may depend on TTO size. </w:t>
      </w:r>
      <w:r>
        <w:rPr>
          <w:lang w:val="en-US"/>
        </w:rPr>
        <w:t xml:space="preserve">To account for this effect, </w:t>
      </w:r>
      <w:r>
        <w:t>we rerun our main analyses incorporating an additional interaction term—</w:t>
      </w:r>
      <w:r w:rsidRPr="00897B27">
        <w:rPr>
          <w:lang w:val="en-US"/>
        </w:rPr>
        <w:t xml:space="preserve"> </w:t>
      </w:r>
      <w:r w:rsidRPr="008C2DB9">
        <w:rPr>
          <w:lang w:val="en-US"/>
        </w:rPr>
        <w:t>the number of full</w:t>
      </w:r>
      <w:r w:rsidR="00787779">
        <w:rPr>
          <w:lang w:val="en-US"/>
        </w:rPr>
        <w:t>-</w:t>
      </w:r>
      <w:r w:rsidRPr="008C2DB9">
        <w:rPr>
          <w:lang w:val="en-US"/>
        </w:rPr>
        <w:t xml:space="preserve">time employees working in </w:t>
      </w:r>
      <w:r>
        <w:rPr>
          <w:lang w:val="en-US"/>
        </w:rPr>
        <w:t xml:space="preserve">the </w:t>
      </w:r>
      <w:r w:rsidRPr="008C2DB9">
        <w:rPr>
          <w:lang w:val="en-US"/>
        </w:rPr>
        <w:t>office (</w:t>
      </w:r>
      <w:r w:rsidRPr="008C2DB9">
        <w:rPr>
          <w:i/>
          <w:lang w:val="en-US"/>
        </w:rPr>
        <w:t>Total FTEs</w:t>
      </w:r>
      <w:r w:rsidRPr="008C2DB9">
        <w:rPr>
          <w:lang w:val="en-US"/>
        </w:rPr>
        <w:t>)</w:t>
      </w:r>
      <w:r>
        <w:rPr>
          <w:lang w:val="en-US"/>
        </w:rPr>
        <w:t xml:space="preserve"> and </w:t>
      </w:r>
      <w:r>
        <w:t>t</w:t>
      </w:r>
      <w:r w:rsidRPr="009D23AB">
        <w:rPr>
          <w:lang w:val="en-US"/>
        </w:rPr>
        <w:t>he number of patent litigation cases that the university faces as defendant</w:t>
      </w:r>
      <w:r>
        <w:rPr>
          <w:lang w:val="en-US"/>
        </w:rPr>
        <w:t xml:space="preserve"> (</w:t>
      </w:r>
      <w:r w:rsidRPr="00C170AB">
        <w:rPr>
          <w:i/>
          <w:lang w:val="en-US"/>
        </w:rPr>
        <w:t>Litigations as Defendant</w:t>
      </w:r>
      <w:r w:rsidRPr="00C170AB">
        <w:rPr>
          <w:lang w:val="en-US"/>
        </w:rPr>
        <w:t>)</w:t>
      </w:r>
      <w:r>
        <w:rPr>
          <w:lang w:val="en-US"/>
        </w:rPr>
        <w:t>. Model 1</w:t>
      </w:r>
      <w:r w:rsidR="00AC22F9">
        <w:rPr>
          <w:lang w:val="en-US"/>
        </w:rPr>
        <w:t>1</w:t>
      </w:r>
      <w:r>
        <w:rPr>
          <w:lang w:val="en-US"/>
        </w:rPr>
        <w:t xml:space="preserve"> of table </w:t>
      </w:r>
      <w:r w:rsidR="00AC22F9">
        <w:rPr>
          <w:lang w:val="en-US"/>
        </w:rPr>
        <w:t>5</w:t>
      </w:r>
      <w:r>
        <w:rPr>
          <w:lang w:val="en-US"/>
        </w:rPr>
        <w:t xml:space="preserve"> shows the results. T</w:t>
      </w:r>
      <w:r>
        <w:t>he interaction term has a negative and significant effect but the main effect of litigations as defendant remains positive and significant, as hypothesized.</w:t>
      </w:r>
      <w:r w:rsidR="000239B6">
        <w:t xml:space="preserve"> </w:t>
      </w:r>
      <w:r w:rsidR="00451541" w:rsidRPr="00C23425">
        <w:t xml:space="preserve">Unreported models also consider two alternative proxies for TTO capacity, namely the age of TTO </w:t>
      </w:r>
      <w:r w:rsidR="00451541">
        <w:t xml:space="preserve">and the </w:t>
      </w:r>
      <w:r w:rsidR="00C12AE6">
        <w:t>invention stock</w:t>
      </w:r>
      <w:r w:rsidR="00451541">
        <w:t xml:space="preserve"> of the TTO measured by</w:t>
      </w:r>
      <w:r w:rsidR="00451541" w:rsidRPr="00C23425">
        <w:t xml:space="preserve"> the number of disclosures</w:t>
      </w:r>
      <w:r w:rsidR="00326A5D">
        <w:t>.</w:t>
      </w:r>
      <w:r w:rsidR="00BE0D7C" w:rsidRPr="00326A5D">
        <w:t xml:space="preserve"> Again, the overall effect of our main dependent variable </w:t>
      </w:r>
      <w:r w:rsidR="00104AA6">
        <w:t>remains</w:t>
      </w:r>
      <w:r w:rsidR="00BE0D7C" w:rsidRPr="00326A5D">
        <w:t xml:space="preserve"> positive and significant.</w:t>
      </w:r>
      <w:r w:rsidR="00BE0D7C">
        <w:t xml:space="preserve"> </w:t>
      </w:r>
      <w:r w:rsidR="00104AA6">
        <w:t>In sum, TTO capacity is important for dealing with the administrative burdens of patent litigation and/or informing potential licensees but it does not dominate the signaling mechanism</w:t>
      </w:r>
      <w:r w:rsidR="00104AA6" w:rsidRPr="00520092">
        <w:t>.</w:t>
      </w:r>
      <w:r w:rsidR="00104AA6">
        <w:t xml:space="preserve"> </w:t>
      </w:r>
      <w:r>
        <w:t>In a separate consistency check estimation, we explore whether the positive effects of patent litigation as defendant on licensing income diminish with increasing numbers and add the squared term of t</w:t>
      </w:r>
      <w:r w:rsidRPr="009D23AB">
        <w:rPr>
          <w:lang w:val="en-US"/>
        </w:rPr>
        <w:t xml:space="preserve">he number of patent litigation cases that the university faces as defendant </w:t>
      </w:r>
      <w:r>
        <w:t>to our regression model. This is not the case. The squared term has no significant effect. We suspect that the signaling effect of patent litigation remains strong even if it occurs repeatedly, given the public nature of the legal process and the substantial costs for every case.</w:t>
      </w:r>
    </w:p>
    <w:p w14:paraId="7E7D210B" w14:textId="284C2FDC" w:rsidR="009C2A71" w:rsidRDefault="007E5043" w:rsidP="00C71A30">
      <w:r>
        <w:t>Third, we explore the sensitivity of results with regards to alternative estimation approaches</w:t>
      </w:r>
      <w:r w:rsidR="00310B51">
        <w:t xml:space="preserve"> </w:t>
      </w:r>
      <w:r>
        <w:t>in terms of matching</w:t>
      </w:r>
      <w:r w:rsidR="00310B51">
        <w:t xml:space="preserve"> techniques. Specifically,</w:t>
      </w:r>
      <w:r w:rsidR="00C71A30" w:rsidRPr="00965131">
        <w:t xml:space="preserve"> </w:t>
      </w:r>
      <w:r w:rsidR="009C2A71">
        <w:t>we focus on the frequently used propensity score (PSM) and coarsen</w:t>
      </w:r>
      <w:r w:rsidR="00326A5D">
        <w:t>e</w:t>
      </w:r>
      <w:r w:rsidR="009C2A71">
        <w:t xml:space="preserve">d exact matching (CEM) approaches and use the same vector of matching variables that we apply in the entropy balancing. Propensity-score matching (PSM) </w:t>
      </w:r>
      <w:r w:rsidR="009C2A71" w:rsidRPr="008074E5">
        <w:t>match</w:t>
      </w:r>
      <w:r w:rsidR="009C2A71">
        <w:t>es</w:t>
      </w:r>
      <w:r w:rsidR="009C2A71" w:rsidRPr="008074E5">
        <w:t xml:space="preserve"> universities with involvement in patent litigations as defendants (treatment group) </w:t>
      </w:r>
      <w:r w:rsidR="009C2A71">
        <w:t>with comparable</w:t>
      </w:r>
      <w:r w:rsidR="009C2A71" w:rsidRPr="008074E5">
        <w:t xml:space="preserve"> universities with no involvement in patent litigations as defendants (control group)</w:t>
      </w:r>
      <w:r w:rsidR="006016B4">
        <w:t xml:space="preserve"> based on their probability (i.e. estimated propensity) to be treated</w:t>
      </w:r>
      <w:r w:rsidR="009C2A71" w:rsidRPr="008074E5">
        <w:t xml:space="preserve"> (</w:t>
      </w:r>
      <w:r w:rsidR="009C2A71">
        <w:t xml:space="preserve">Dehejia and Wahba, 2002; </w:t>
      </w:r>
      <w:r w:rsidR="009C2A71" w:rsidRPr="008074E5">
        <w:t xml:space="preserve">Leuven and Sianesi, 2003). </w:t>
      </w:r>
      <w:r w:rsidR="006016B4">
        <w:t xml:space="preserve">In contrast to </w:t>
      </w:r>
      <w:r w:rsidR="006016B4">
        <w:lastRenderedPageBreak/>
        <w:t>entropy balancing, PSM requires the discretion of researchers for trimming the sample until balance between the treated and control group is achieved at the expense of reducing the sample size by dropping cases that cannot be matched.</w:t>
      </w:r>
      <w:r w:rsidR="009C2A71">
        <w:t xml:space="preserve"> </w:t>
      </w:r>
      <w:r w:rsidR="006016B4">
        <w:t>Therefore, e</w:t>
      </w:r>
      <w:r w:rsidR="009C2A71">
        <w:t>ntropy balancing</w:t>
      </w:r>
      <w:r w:rsidR="006016B4">
        <w:t xml:space="preserve"> </w:t>
      </w:r>
      <w:r w:rsidR="009C2A71">
        <w:t xml:space="preserve">is still our preferred method. </w:t>
      </w:r>
      <w:r w:rsidR="006016B4">
        <w:t>Nevertheless, r</w:t>
      </w:r>
      <w:r w:rsidR="009C2A71" w:rsidRPr="008F53E5">
        <w:t xml:space="preserve">esults of the </w:t>
      </w:r>
      <w:r w:rsidR="009C2A71" w:rsidRPr="00592059">
        <w:t>OLS regression with PSM of the treatment and control groups are</w:t>
      </w:r>
      <w:r w:rsidR="009C2A71">
        <w:t xml:space="preserve"> </w:t>
      </w:r>
      <w:r w:rsidR="009C2A71" w:rsidRPr="008F53E5">
        <w:t>consistent with our main analysis</w:t>
      </w:r>
      <w:r w:rsidR="009C2A71" w:rsidRPr="00592059">
        <w:t>.</w:t>
      </w:r>
    </w:p>
    <w:p w14:paraId="762F6D8F" w14:textId="0DD4D567" w:rsidR="00C71A30" w:rsidRDefault="002C0853" w:rsidP="00C71A30">
      <w:r>
        <w:t xml:space="preserve">Subsequently, </w:t>
      </w:r>
      <w:r w:rsidR="00C71A30">
        <w:t>we use</w:t>
      </w:r>
      <w:r w:rsidR="00C71A30" w:rsidRPr="000E234B">
        <w:t xml:space="preserve"> </w:t>
      </w:r>
      <w:r w:rsidR="00C71A30" w:rsidRPr="00BF1EB6">
        <w:t>CEM</w:t>
      </w:r>
      <w:r w:rsidR="00C71A30">
        <w:t xml:space="preserve"> as an alternative </w:t>
      </w:r>
      <w:r w:rsidR="00C71A30" w:rsidRPr="000E234B">
        <w:t xml:space="preserve">matching </w:t>
      </w:r>
      <w:r w:rsidR="00C71A30">
        <w:t xml:space="preserve">approach. </w:t>
      </w:r>
      <w:r w:rsidR="00C71A30" w:rsidRPr="000E234B">
        <w:t>CEM requires researcher</w:t>
      </w:r>
      <w:r w:rsidR="00C71A30">
        <w:t>s</w:t>
      </w:r>
      <w:r w:rsidR="00C71A30" w:rsidRPr="000E234B">
        <w:t xml:space="preserve"> to specify appropriate </w:t>
      </w:r>
      <w:r w:rsidR="00C71A30" w:rsidRPr="00C9489C">
        <w:t>cut</w:t>
      </w:r>
      <w:r w:rsidR="00C71A30">
        <w:t xml:space="preserve">-off </w:t>
      </w:r>
      <w:r w:rsidR="00C71A30" w:rsidRPr="000E234B">
        <w:t xml:space="preserve">points for each variable </w:t>
      </w:r>
      <w:r>
        <w:t>and matching of treated and control universities occurs within these strata. CEM</w:t>
      </w:r>
      <w:r w:rsidR="00C71A30" w:rsidRPr="000E234B">
        <w:t xml:space="preserve"> </w:t>
      </w:r>
      <w:r w:rsidR="00C71A30">
        <w:t xml:space="preserve">is demanding in terms of the number of observations, as the model drops all the observations that </w:t>
      </w:r>
      <w:r w:rsidR="00A63885">
        <w:t>cannot be</w:t>
      </w:r>
      <w:r w:rsidR="00C71A30">
        <w:t xml:space="preserve"> matched </w:t>
      </w:r>
      <w:r w:rsidR="00C71A30" w:rsidRPr="000829B9">
        <w:t>(</w:t>
      </w:r>
      <w:r w:rsidR="00C71A30" w:rsidRPr="000E234B">
        <w:t>Chen and Feldman, 2018; Hendricks, Howell, and Bingham, 2019)</w:t>
      </w:r>
      <w:r w:rsidR="00C71A30" w:rsidRPr="000829B9">
        <w:t xml:space="preserve">. </w:t>
      </w:r>
      <w:r w:rsidR="00C71A30">
        <w:t>The latter concern applies also to our case and the number of matched observations drops substantially to 680.</w:t>
      </w:r>
      <w:r w:rsidR="00C71A30" w:rsidRPr="000E234B">
        <w:t xml:space="preserve"> </w:t>
      </w:r>
      <w:r w:rsidR="00C71A30">
        <w:t xml:space="preserve">Such a loss in sample size can impact the statistical power of our model parameters. </w:t>
      </w:r>
      <w:r w:rsidR="00AE0F8C">
        <w:t xml:space="preserve">Nevertheless, </w:t>
      </w:r>
      <w:r w:rsidR="00326A5D">
        <w:t>m</w:t>
      </w:r>
      <w:r w:rsidR="00C71A30" w:rsidRPr="000E234B">
        <w:t>odel 1</w:t>
      </w:r>
      <w:r w:rsidR="00C03A8D">
        <w:t>2</w:t>
      </w:r>
      <w:r w:rsidR="00C71A30" w:rsidRPr="000E234B">
        <w:t xml:space="preserve"> reports the results </w:t>
      </w:r>
      <w:r w:rsidR="00C71A30">
        <w:t xml:space="preserve">and </w:t>
      </w:r>
      <w:r w:rsidR="00AE0F8C">
        <w:t>supports the results of the entropy balance approach in the main models.</w:t>
      </w:r>
      <w:r w:rsidR="00787779">
        <w:t xml:space="preserve"> </w:t>
      </w:r>
      <w:r w:rsidR="00602816">
        <w:t>We conclude that the type of matching approach does not affect the hypothesis tests.</w:t>
      </w:r>
    </w:p>
    <w:p w14:paraId="7B877D70" w14:textId="343BDCE9" w:rsidR="00C71A30" w:rsidRDefault="00C71A30" w:rsidP="00376F54">
      <w:r>
        <w:t>For further comparison</w:t>
      </w:r>
      <w:r w:rsidRPr="006D3F77">
        <w:rPr>
          <w:lang w:val="en-US"/>
        </w:rPr>
        <w:t xml:space="preserve">, </w:t>
      </w:r>
      <w:r w:rsidR="00326A5D">
        <w:t>w</w:t>
      </w:r>
      <w:r>
        <w:t>e</w:t>
      </w:r>
      <w:r w:rsidR="00FF3ACC">
        <w:t xml:space="preserve"> also </w:t>
      </w:r>
      <w:r>
        <w:t>demonstrate the validity of our original results, via a difference-in-differences approach</w:t>
      </w:r>
      <w:r w:rsidR="00602816">
        <w:t xml:space="preserve"> on the matched sample</w:t>
      </w:r>
      <w:r>
        <w:rPr>
          <w:lang w:val="en-US"/>
        </w:rPr>
        <w:t xml:space="preserve">. Rather than </w:t>
      </w:r>
      <w:r w:rsidRPr="00C47392">
        <w:rPr>
          <w:lang w:val="en-US"/>
        </w:rPr>
        <w:t>estimating</w:t>
      </w:r>
      <w:r>
        <w:rPr>
          <w:lang w:val="en-US"/>
        </w:rPr>
        <w:t xml:space="preserve"> </w:t>
      </w:r>
      <w:r w:rsidRPr="00C47392">
        <w:rPr>
          <w:lang w:val="en-US"/>
        </w:rPr>
        <w:t xml:space="preserve">the before-to-after change in </w:t>
      </w:r>
      <w:r>
        <w:rPr>
          <w:lang w:val="en-US"/>
        </w:rPr>
        <w:t xml:space="preserve">licensing income </w:t>
      </w:r>
      <w:r w:rsidRPr="00C47392">
        <w:rPr>
          <w:lang w:val="en-US"/>
        </w:rPr>
        <w:t>for</w:t>
      </w:r>
      <w:r>
        <w:rPr>
          <w:lang w:val="en-US"/>
        </w:rPr>
        <w:t xml:space="preserve"> </w:t>
      </w:r>
      <w:r w:rsidRPr="00C47392">
        <w:rPr>
          <w:lang w:val="en-US"/>
        </w:rPr>
        <w:t xml:space="preserve">the treatment group and assuming the difference is the effect of being involved in patent litigation as defendant, </w:t>
      </w:r>
      <w:r>
        <w:rPr>
          <w:lang w:val="en-US"/>
        </w:rPr>
        <w:t xml:space="preserve">this approach </w:t>
      </w:r>
      <w:r w:rsidRPr="00C47392">
        <w:rPr>
          <w:lang w:val="en-US"/>
        </w:rPr>
        <w:t xml:space="preserve">adjusts for the counterfactual trend of what would have happened to the treatment group in the absence of the treatment. The </w:t>
      </w:r>
      <w:r w:rsidRPr="006D3F77">
        <w:rPr>
          <w:lang w:val="en-US"/>
        </w:rPr>
        <w:t>difference-in-differences</w:t>
      </w:r>
      <w:r w:rsidRPr="00C47392">
        <w:rPr>
          <w:lang w:val="en-US"/>
        </w:rPr>
        <w:t xml:space="preserve"> </w:t>
      </w:r>
      <w:r>
        <w:rPr>
          <w:lang w:val="en-US"/>
        </w:rPr>
        <w:t xml:space="preserve">approach can achieve this adjustment </w:t>
      </w:r>
      <w:r w:rsidRPr="00C47392">
        <w:rPr>
          <w:lang w:val="en-US"/>
        </w:rPr>
        <w:t xml:space="preserve">by estimating the change of the licensing income of </w:t>
      </w:r>
      <w:r w:rsidRPr="00C170AB">
        <w:rPr>
          <w:lang w:val="en-US"/>
        </w:rPr>
        <w:t>universities with involvement in patent litigations as defendants</w:t>
      </w:r>
      <w:r>
        <w:rPr>
          <w:lang w:val="en-US"/>
        </w:rPr>
        <w:t xml:space="preserve"> and t</w:t>
      </w:r>
      <w:r w:rsidRPr="00C47392">
        <w:rPr>
          <w:lang w:val="en-US"/>
        </w:rPr>
        <w:t xml:space="preserve">he change of licensing income in comparison universities </w:t>
      </w:r>
      <w:r>
        <w:rPr>
          <w:lang w:val="en-US"/>
        </w:rPr>
        <w:t>and then taking t</w:t>
      </w:r>
      <w:r w:rsidRPr="00C47392">
        <w:rPr>
          <w:lang w:val="en-US"/>
        </w:rPr>
        <w:t xml:space="preserve">he difference of those </w:t>
      </w:r>
      <w:r>
        <w:rPr>
          <w:lang w:val="en-US"/>
        </w:rPr>
        <w:t>differences. In our analysis, we</w:t>
      </w:r>
      <w:r w:rsidRPr="006D3F77">
        <w:rPr>
          <w:lang w:val="en-US"/>
        </w:rPr>
        <w:t xml:space="preserve"> compare licensing income changes between one year before and </w:t>
      </w:r>
      <w:r>
        <w:rPr>
          <w:lang w:val="en-US"/>
        </w:rPr>
        <w:t xml:space="preserve">one year </w:t>
      </w:r>
      <w:r w:rsidRPr="006D3F77">
        <w:rPr>
          <w:lang w:val="en-US"/>
        </w:rPr>
        <w:t>after universities become</w:t>
      </w:r>
      <w:r>
        <w:rPr>
          <w:lang w:val="en-US"/>
        </w:rPr>
        <w:t xml:space="preserve"> involved</w:t>
      </w:r>
      <w:r w:rsidRPr="00C170AB">
        <w:rPr>
          <w:lang w:val="en-US"/>
        </w:rPr>
        <w:t xml:space="preserve"> in patent litigations as defendants</w:t>
      </w:r>
      <w:r w:rsidRPr="00687639">
        <w:rPr>
          <w:lang w:val="en-US"/>
        </w:rPr>
        <w:t>.</w:t>
      </w:r>
      <w:r>
        <w:rPr>
          <w:lang w:val="en-US"/>
        </w:rPr>
        <w:t xml:space="preserve"> To ensure </w:t>
      </w:r>
      <w:r>
        <w:t>that control universities are as similar as possible to the treated universities ex ante, w</w:t>
      </w:r>
      <w:r>
        <w:rPr>
          <w:lang w:val="en-US"/>
        </w:rPr>
        <w:t xml:space="preserve">e match </w:t>
      </w:r>
      <w:r w:rsidRPr="00CA4628">
        <w:rPr>
          <w:lang w:val="en-US"/>
        </w:rPr>
        <w:t>each treat</w:t>
      </w:r>
      <w:r w:rsidR="00602816">
        <w:rPr>
          <w:lang w:val="en-US"/>
        </w:rPr>
        <w:t>ed</w:t>
      </w:r>
      <w:r w:rsidRPr="00CA4628">
        <w:rPr>
          <w:lang w:val="en-US"/>
        </w:rPr>
        <w:t xml:space="preserve"> university </w:t>
      </w:r>
      <w:r>
        <w:rPr>
          <w:lang w:val="en-US"/>
        </w:rPr>
        <w:t xml:space="preserve">with the </w:t>
      </w:r>
      <w:r>
        <w:t xml:space="preserve">nearest neighbor </w:t>
      </w:r>
      <w:r w:rsidRPr="00CA4628">
        <w:rPr>
          <w:lang w:val="en-US"/>
        </w:rPr>
        <w:t xml:space="preserve">in terms of the same </w:t>
      </w:r>
      <w:r w:rsidRPr="00C170AB">
        <w:rPr>
          <w:lang w:val="en-US"/>
        </w:rPr>
        <w:t>pre-treatment variables</w:t>
      </w:r>
      <w:r>
        <w:rPr>
          <w:lang w:val="en-US"/>
        </w:rPr>
        <w:t xml:space="preserve"> employed in the entropy balancing procedure. </w:t>
      </w:r>
      <w:r>
        <w:t>The nearest neighbor is the university with the lowest Mahalanobis distance to the treated university across these</w:t>
      </w:r>
      <w:r>
        <w:rPr>
          <w:lang w:val="en-US"/>
        </w:rPr>
        <w:t xml:space="preserve"> characteristics. In mode</w:t>
      </w:r>
      <w:r w:rsidR="00AC05FD">
        <w:rPr>
          <w:lang w:val="en-US"/>
        </w:rPr>
        <w:t>l 1</w:t>
      </w:r>
      <w:r w:rsidR="00C03A8D">
        <w:rPr>
          <w:lang w:val="en-US"/>
        </w:rPr>
        <w:t>3</w:t>
      </w:r>
      <w:r>
        <w:rPr>
          <w:lang w:val="en-US"/>
        </w:rPr>
        <w:t>, we</w:t>
      </w:r>
      <w:r w:rsidRPr="005236A1">
        <w:rPr>
          <w:lang w:val="en-US"/>
        </w:rPr>
        <w:t xml:space="preserve"> include an indicator for universities being involved in patent litigations as defendants</w:t>
      </w:r>
      <w:r>
        <w:rPr>
          <w:lang w:val="en-US"/>
        </w:rPr>
        <w:t xml:space="preserve"> </w:t>
      </w:r>
      <w:r>
        <w:rPr>
          <w:lang w:val="en-US"/>
        </w:rPr>
        <w:lastRenderedPageBreak/>
        <w:t>(Defendants)</w:t>
      </w:r>
      <w:r w:rsidRPr="005236A1">
        <w:rPr>
          <w:lang w:val="en-US"/>
        </w:rPr>
        <w:t xml:space="preserve">, an indicator for post-litigations as defendants (Post), and the interaction </w:t>
      </w:r>
      <w:r w:rsidR="00602816">
        <w:rPr>
          <w:lang w:val="en-US"/>
        </w:rPr>
        <w:t>between both variables for assessing the effect</w:t>
      </w:r>
      <w:r w:rsidRPr="005236A1">
        <w:rPr>
          <w:lang w:val="en-US"/>
        </w:rPr>
        <w:t xml:space="preserve"> </w:t>
      </w:r>
      <w:r w:rsidR="00602816">
        <w:rPr>
          <w:lang w:val="en-US"/>
        </w:rPr>
        <w:t>(</w:t>
      </w:r>
      <w:r>
        <w:rPr>
          <w:lang w:val="en-US"/>
        </w:rPr>
        <w:t>Defendants</w:t>
      </w:r>
      <w:r w:rsidRPr="005236A1">
        <w:rPr>
          <w:lang w:val="en-US"/>
        </w:rPr>
        <w:t xml:space="preserve"> × Post</w:t>
      </w:r>
      <w:r w:rsidR="00602816">
        <w:rPr>
          <w:lang w:val="en-US"/>
        </w:rPr>
        <w:t>)</w:t>
      </w:r>
      <w:r w:rsidRPr="005236A1">
        <w:rPr>
          <w:lang w:val="en-US"/>
        </w:rPr>
        <w:t>. The positive and significant</w:t>
      </w:r>
      <w:r>
        <w:rPr>
          <w:lang w:val="en-US"/>
        </w:rPr>
        <w:t xml:space="preserve"> coefficient for this</w:t>
      </w:r>
      <w:r w:rsidRPr="005236A1">
        <w:rPr>
          <w:lang w:val="en-US"/>
        </w:rPr>
        <w:t xml:space="preserve"> interaction </w:t>
      </w:r>
      <w:r>
        <w:rPr>
          <w:lang w:val="en-US"/>
        </w:rPr>
        <w:t>term indicates that universities involved in patent litigations as defendants enjoy higher licensing income following the litigation.</w:t>
      </w:r>
      <w:r w:rsidR="00310B51">
        <w:rPr>
          <w:lang w:val="en-US"/>
        </w:rPr>
        <w:t xml:space="preserve"> </w:t>
      </w:r>
      <w:r>
        <w:t>Overall, all consistency checks confirm the findings of the main models.</w:t>
      </w:r>
    </w:p>
    <w:p w14:paraId="67A39B55" w14:textId="213DFA92" w:rsidR="00503A76" w:rsidRPr="00211DF0" w:rsidRDefault="00AC531E" w:rsidP="005C204A">
      <w:pPr>
        <w:pStyle w:val="Heading1"/>
        <w:rPr>
          <w:lang w:val="en-US"/>
        </w:rPr>
      </w:pPr>
      <w:r w:rsidRPr="00211DF0">
        <w:rPr>
          <w:lang w:val="en-US"/>
        </w:rPr>
        <w:t>Discussion</w:t>
      </w:r>
    </w:p>
    <w:p w14:paraId="4E046684" w14:textId="018554D5" w:rsidR="00105983" w:rsidRDefault="00265FC7" w:rsidP="00E82C89">
      <w:pPr>
        <w:ind w:firstLine="0"/>
      </w:pPr>
      <w:r>
        <w:t>Technology licensing is a major channel of universities for generating income and fulfilling their technology transfer mission</w:t>
      </w:r>
      <w:r w:rsidR="00BD0086" w:rsidRPr="00E82C89">
        <w:t xml:space="preserve"> </w:t>
      </w:r>
      <w:r w:rsidR="00BD0086" w:rsidRPr="00E82C89">
        <w:fldChar w:fldCharType="begin" w:fldLock="1"/>
      </w:r>
      <w:r w:rsidR="00BD0086" w:rsidRPr="00E82C89">
        <w:instrText xml:space="preserve">ADDIN CSL_CITATION {"citationItems":[{"id":"ITEM-1","itemData":{"DOI":"10.1016/j.ijindorg.2006.06.001","ISBN":"0167-7187","ISSN":"01677187","abstract":"We develop a theoretical model to explain the specific role of Technology Transfer Offices (TTOs) in licensing university inventions. Using a framework where firms have incomplete information on the quality of inventions, we develop a reputation argument for the TTO to reduce the asymmetric information problem. Our results indicate that a TTO is often able to benefit from its capacity to pool innovations across research units (and to build a reputation) within universities. We identify when the technology seller will have an incentive to \"shelve\" some of the projects, thus raising the buyer's beliefs on expected quality; this results in fewer but more valuable innovations being sold at higher prices. We explain the importance of a critical size for the TTO to be successful as well as the stylized fact that TTOs may lead to fewer licensing agreements but higher income from innovation transfers. © 2006 Elsevier B.V. All rights reserved.","author":[{"dropping-particle":"","family":"Macho-Stadler","given":"Inés","non-dropping-particle":"","parse-names":false,"suffix":""},{"dropping-particle":"","family":"Pérez-Castrillo","given":"David","non-dropping-particle":"","parse-names":false,"suffix":""},{"dropping-particle":"","family":"Veugelers","given":"Reinhilde","non-dropping-particle":"","parse-names":false,"suffix":""}],"container-title":"International Journal of Industrial Organization","id":"ITEM-1","issue":"3","issued":{"date-parts":[["2007"]]},"page":"483-510","title":"Licensing of university inventions: The role of a technology transfer office","type":"article-journal","volume":"25"},"uris":["http://www.mendeley.com/documents/?uuid=2d5a5d25-b3e5-4f63-82b2-32a9a7c27bcc"]},{"id":"ITEM-2","itemData":{"DOI":"10.1007/s10961-009-9123-5","ISBN":"1096100991","ISSN":"08929912","abstract":"Drawing on histories of technological innovation originating from research by faculty at The Pennsylvania State University and Johns Hopkins University, this paper presents evidence for a “technology” as well as an “intellectual property rights” research approach to the commercialization of academic patents. By describing how inventor and firm activities and strategies affect the technical development and commercial positioning of university patents, a technology focus adds depth to the general proposition that university patents are embryonic technologies. It likewise serves as an analytical probe to reconsider other mainstream propositions about university technology transfer.","author":[{"dropping-particle":"","family":"Feller","given":"Irwin","non-dropping-particle":"","parse-names":false,"suffix":""},{"dropping-particle":"","family":"Feldman","given":"Maryann","non-dropping-particle":"","parse-names":false,"suffix":""}],"container-title":"Journal of Technology Transfer","id":"ITEM-2","issue":"6","issued":{"date-parts":[["2010"]]},"page":"597-616","title":"The commercialization of academic patents: Black boxes, pipelines, and Rubik's cubes","type":"article-journal","volume":"35"},"uris":["http://www.mendeley.com/documents/?uuid=fa5662f2-71d6-4cb9-a6c3-195f1db64f72"]},{"id":"ITEM-3","itemData":{"DOI":"10.1016/j.respol.2020.104076","ISSN":"00487333","abstract":"Despite the economic significance of patented university research, it is difficult to measure the economic value of academic patented inventions and observe the extent to which universities are able to capture such value through patent licensing. Moving beyond assessing commercialization performance by simple statistics, we propose a new approach to benchmarking university patents and commercialization performance based on comparative corporate patent value. Our procedure involves matching university patents to patents with similar patent characteristics granted to public corporations, then estimating the “potential value” of these university patents by stock market reactions to grants of the matched corporate patents. These estimated values of university patents can significantly explain the technology-level income from licensing by a leading US research university and the annual licensing income of the member universities of the Association of University Technology Managers’ (AUTM). We find that </w:instrText>
      </w:r>
      <w:r w:rsidR="00BD0086" w:rsidRPr="00E82C89">
        <w:rPr>
          <w:lang w:val="da-DK"/>
        </w:rPr>
        <w:instrText>AUTM universities realize an average of 16% of the estimated value of matched corporate patents. We also investigate correlates of university‐level potential patent value and suggest avenues for future research.","author":[{"dropping-particle":"","family":"Hsu","given":"David H.","non-dropping-particle":"","parse-names":false,"suffix":""},{"dropping-particle":"","family":"Hsu","given":"Po Hsuan","non-dropping-particle":"","parse-names":false,"suffix":""},{"dropping-particle":"","family":"Zhou","given":"Tong","non-dropping-particle":"","parse-names":false,"suffix":""},{"dropping-particle":"","family":"Ziedonis","given":"Arvids A.","non-dropping-particle":"","parse-names":false,"suffix":""}],"container-title":"Research Policy","id":"ITEM-3","issue":"1","issued":{"date-parts":[["2021"]]},"page":"104076","publisher":"Elsevier","title":"Benchmarking U.S. university patent value and commercialization efforts: A new approach","type":"article-journal","volume":"50"},"uris":["http://www.mendeley.com/documents/?uuid=50ee612d-d224-44cb-8cf9-a0a2a8ff55c7"]}],"mendeley":{"formattedCitation":"(Feller and Feldman, 2010; Hsu et al., 2021; Macho-Stadler et al., 2007)","plainTextFormattedCitation":"(Feller and Feldman, 2010; Hsu et al., 2021; Macho-Stadler et al., 2007)","previouslyFormattedCitation":"(Feller and Feldman, 2010; Hsu et al., 2021; Macho-Stadler et al., 2007)"},"properties":{"noteIndex":0},"schema":"https://github.com/citation-style-language/schema/raw/master/csl-citation.json"}</w:instrText>
      </w:r>
      <w:r w:rsidR="00BD0086" w:rsidRPr="00E82C89">
        <w:fldChar w:fldCharType="separate"/>
      </w:r>
      <w:r w:rsidR="00BD0086" w:rsidRPr="00E82C89">
        <w:rPr>
          <w:noProof/>
          <w:lang w:val="da-DK"/>
        </w:rPr>
        <w:t>(Feller and Feldman, 2010; Hsu et al., 2021; Macho-Stadler et al., 2007)</w:t>
      </w:r>
      <w:r w:rsidR="00BD0086" w:rsidRPr="00E82C89">
        <w:fldChar w:fldCharType="end"/>
      </w:r>
      <w:r w:rsidR="00BD0086" w:rsidRPr="00AD6D24">
        <w:rPr>
          <w:lang w:val="da-DK"/>
        </w:rPr>
        <w:t xml:space="preserve">. </w:t>
      </w:r>
      <w:r w:rsidR="008478D0">
        <w:rPr>
          <w:lang w:val="en-US"/>
        </w:rPr>
        <w:t>The prerequisite for licensing is that universities manage their patent rights</w:t>
      </w:r>
      <w:r w:rsidR="00C07EB9">
        <w:rPr>
          <w:lang w:val="en-US"/>
        </w:rPr>
        <w:t xml:space="preserve"> professionally</w:t>
      </w:r>
      <w:r w:rsidR="008478D0">
        <w:rPr>
          <w:lang w:val="en-US"/>
        </w:rPr>
        <w:t xml:space="preserve"> </w:t>
      </w:r>
      <w:r w:rsidR="00C07EB9">
        <w:rPr>
          <w:lang w:val="en-US"/>
        </w:rPr>
        <w:t xml:space="preserve">and this necessarily includes dealing with disputes which can reach the level of patent litigation in court. </w:t>
      </w:r>
      <w:r w:rsidR="0067145B">
        <w:rPr>
          <w:lang w:val="en-US"/>
        </w:rPr>
        <w:t>However, the consequences for universities facing patent litigation are not well understood</w:t>
      </w:r>
      <w:r w:rsidR="006F60AE">
        <w:rPr>
          <w:lang w:val="en-US"/>
        </w:rPr>
        <w:t xml:space="preserve"> and mostly described as a distraction</w:t>
      </w:r>
      <w:r w:rsidR="0067145B">
        <w:rPr>
          <w:lang w:val="en-US"/>
        </w:rPr>
        <w:t xml:space="preserve"> </w:t>
      </w:r>
      <w:r w:rsidR="0067145B" w:rsidRPr="00810A4B">
        <w:fldChar w:fldCharType="begin" w:fldLock="1"/>
      </w:r>
      <w:r w:rsidR="0067145B" w:rsidRPr="00810A4B">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efforts","type":"article-journal","volume":"63"},"uris":["http://www.mendeley.com/documents/?uuid=d01082fe-3071-45b1-b4b7-e8b95731a296"]}],"mendeley":{"formattedCitation":"(Shane and Somaya, 2007)","plainTextFormattedCitation":"(Shane and Somaya, 2007)","previouslyFormattedCitation":"(Shane and Somaya, 2007)"},"properties":{"noteIndex":0},"schema":"https://github.com/citation-style-language/schema/raw/master/csl-citation.json"}</w:instrText>
      </w:r>
      <w:r w:rsidR="0067145B" w:rsidRPr="00810A4B">
        <w:fldChar w:fldCharType="separate"/>
      </w:r>
      <w:r w:rsidR="0067145B" w:rsidRPr="00810A4B">
        <w:rPr>
          <w:noProof/>
        </w:rPr>
        <w:t>(Shane and Somaya, 2007)</w:t>
      </w:r>
      <w:r w:rsidR="0067145B" w:rsidRPr="00810A4B">
        <w:fldChar w:fldCharType="end"/>
      </w:r>
      <w:r w:rsidR="0067145B">
        <w:t xml:space="preserve">. </w:t>
      </w:r>
      <w:r w:rsidR="00934FAB">
        <w:t>We challenge this assumption and draw from theory in patent strategy emphasizing the potential of patent litigation to reveal information about an organization</w:t>
      </w:r>
      <w:r w:rsidR="00877315">
        <w:t>’</w:t>
      </w:r>
      <w:r w:rsidR="00934FAB">
        <w:t xml:space="preserve">s patents that is otherwise hard to observe </w:t>
      </w:r>
      <w:r w:rsidR="00934FAB" w:rsidRPr="00441858">
        <w:fldChar w:fldCharType="begin" w:fldLock="1"/>
      </w:r>
      <w:r w:rsidR="00934FAB" w:rsidRPr="00441858">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Agarwal","given":"Rajshree","non-dropping-particle":"","parse-names":false,"suffix":""},{"dropping-particle":"","family":"Ganco","given":"Martin","non-dropping-particle":"","parse-names":false,"suffix":""},{"dropping-particle":"","family":"Ziedonis","given":"Rosemarie H","non-dropping-particle":"","parse-names":false,"suffix":""}],"container-title":"Strategic Management Journal","id":"ITEM-1","issued":{"date-parts":[["2009"]]},"page":"1349-1374","title":"Reputations for toughness in patent enforcement: Implications for knowledge spillovers via inventor mobility","type":"article-journal","volume":"30"},"uris":["http://www.mendeley.com/documents/?uuid=6ad61b5b-bf69-47c8-9f9e-54e883a5fb30"]},{"id":"ITEM-2","itemData":{"DOI":"10.1177/0149206312444447","ISSN":"01492063","abstract":"This review reorganizes and reconceptualizes extant research on patent strategy, which has emerged from diverse roots in economics, law, and management. Accordingly, it is anticipated that this review will help provide structure and direction to what is currently a somewhat disparate and fractured field of study within management. The main proposed framework highlights two important themes within patent strategy research-generic patent strategies and the strategic management of patents. In addition, it is noted that research in each of these themes generally maps onto one or more of three key domains-rights, licensing, or enforcement-within which patent-related strategic actions are typically undertaken. Two summary tables of prior research are provided that juxtapose the three patent strategy domains with different theory lenses adopted in patent strategy research. Finally, the article highlights two promising areas whose connections with patent strategy are beginning to be addressed by research-firms' overall appropriability strategies and value creation strategies. An overarching conceptual figure maps the different research areas reviewed in the article and highlights the relationships between these research literatures. The reconceptualization and reframing of prior research advanced in this review promises to advance scholarship on patent strategy by illuminating its many links with the broader management field and by identifying opportunities to address important unanswered research questions. It thus provides a useful roadmap to help stimulate and guide future management research in this vital area. © The Author(s) 2012.","author":[{"dropping-particle":"","family":"Somaya","given":"Deepak","non-dropping-particle":"","parse-names":false,"suffix":""}],"container-title":"Journal of Management","id":"ITEM-2","issue":"4","issued":{"date-parts":[["2012"]]},"page":"1084-1114","title":"Patent Strategy and Management: An Integrative Review and Research Agenda","type":"article-journal","volume":"38"},"uris":["http://www.mendeley.com/documents/?uuid=8e73d8b6-aa88-4e0f-93df-64c4c5afdf47"]},{"id":"ITEM-3","itemData":{"DOI":"10.1016/j.respol.2015.07.002","ISSN":"00487333","abstract":"This paper empirically investigates the statistical relationship between levels of patent litigation and venture capital investment in the U.S. We find that VC investment, a major funding source for entrepreneurial activity, initially increases with the number of litigated patents. However, there is a \"tipping point\" where further increases in the number of patents litigated are associated with decreased VC investment, which suggests an inverted U-shaped relation between patent litigation and VC investment. This appears strongest for technology patents, and negligible for products such as pharmaceuticals. Strikingly, we find evidence that litigation by frequent patent litigators, a proxy for litigation by patent assertion entities, is directly associated with decreased VC investment, with no positive effects initially.","author":[{"dropping-particle":"","family":"Kiebzak","given":"Stephen","non-dropping-particle":"","parse-names":false,"suffix":""},{"dropping-particle":"","family":"Rafert","given":"Greg","non-dropping-particle":"","parse-names":false,"suffix":""},{"dropping-particle":"","family":"Tucker","given":"Catherine E.","non-dropping-particle":"","parse-names":false,"suffix":""}],"container-title":"Research Policy","id":"ITEM-3","issue":"1","issued":{"date-parts":[["2016"]]},"page":"218-231","publisher":"Elsevier B.V.","title":"The effect of patent litigation and patent assertion entities on entrepreneurial activity","type":"article-journal","volume":"45"},"uris":["http://www.mendeley.com/documents/?uuid=8f0e7e65-5f8a-4c54-bfc8-6c150bae92c8"]}],"mendeley":{"formattedCitation":"(Agarwal et al., 2009; Kiebzak et al., 2016; Somaya, 2012)","plainTextFormattedCitation":"(Agarwal et al., 2009; Kiebzak et al., 2016; Somaya, 2012)","previouslyFormattedCitation":"(Agarwal et al., 2009; Kiebzak et al., 2016; Somaya, 2012)"},"properties":{"noteIndex":0},"schema":"https://github.com/citation-style-language/schema/raw/master/csl-citation.json"}</w:instrText>
      </w:r>
      <w:r w:rsidR="00934FAB" w:rsidRPr="00441858">
        <w:fldChar w:fldCharType="separate"/>
      </w:r>
      <w:r w:rsidR="00934FAB" w:rsidRPr="00441858">
        <w:rPr>
          <w:noProof/>
        </w:rPr>
        <w:t>(Agarwal et al., 2009; Kiebzak et al., 2016; Somaya, 2012)</w:t>
      </w:r>
      <w:r w:rsidR="00934FAB" w:rsidRPr="00441858">
        <w:fldChar w:fldCharType="end"/>
      </w:r>
      <w:r w:rsidR="00934FAB">
        <w:t xml:space="preserve">. </w:t>
      </w:r>
      <w:r w:rsidR="00E02BB9">
        <w:t xml:space="preserve">When we integrate these mechanisms into models of university licensing, we conclude that plaintiffs suing universities for patent </w:t>
      </w:r>
      <w:r w:rsidR="00B11D1A">
        <w:t>infringement might</w:t>
      </w:r>
      <w:r w:rsidR="00E02BB9">
        <w:t xml:space="preserve"> inadvertently </w:t>
      </w:r>
      <w:r w:rsidR="00B11D1A">
        <w:t xml:space="preserve">reveal to potential licensees that the university produces technologies with substantial commercial value, a </w:t>
      </w:r>
      <w:r w:rsidR="00BA7C26">
        <w:t xml:space="preserve">quality that is typically hard to judge </w:t>
      </w:r>
      <w:r w:rsidR="002A57A3">
        <w:t xml:space="preserve">for licensees </w:t>
      </w:r>
      <w:r w:rsidR="00BA7C26">
        <w:t xml:space="preserve">given the early stage character of university research </w:t>
      </w:r>
      <w:r w:rsidR="00BD0086" w:rsidRPr="00E82C89">
        <w:fldChar w:fldCharType="begin" w:fldLock="1"/>
      </w:r>
      <w:r w:rsidR="00BD0086" w:rsidRPr="00E82C89">
        <w:instrText>ADDIN CSL_CITATION {"citationItems":[{"id":"ITEM-1","itemData":{"DOI":"10.1287/mnsc.1070.0705","ISSN":"00251909","abstract":"This paper examines the use of options contracts by firms acquiring rights to commercialize university technologies. By combining information about the sequence of licensing decisions with characteristics of the firms and technologies involved, I explore factors that shape decisions to purchase and exercise option contracts for these technologies. Decisions by firms that considered but did not purchase an option or a license are included in the sample. Consistent with the basic premise of real-options theory, I find that firms are more likely to purchase option contracts for more uncertain technologies. Also in line with theoretical predictions, I find that firms that are better able to evaluate an external technology are less likely to purchase options before licensing. The results also highlight more complex motives for exercising options in technology licensing. On the one hand, firms appear to benefit from their ability to learn about the technology during the option period. On the other hand, firms that are better able to \"absorb\" the technology during the contract period may have reduced incentives to subsequently license the invention. © 2007 INFORMS.","author":[{"dropping-particle":"","family":"Ziedonis","given":"Arvids A.","non-dropping-particle":"","parse-names":false,"suffix":""}],"container-title":"Management Science","id":"ITEM-1","issue":"10","issued":{"date-parts":[["2007"]]},"page":"1618-1633","title":"Real options in technology licensing","type":"article-journal","volume":"53"},"uris":["http://www.mendeley.com/documents/?uuid=36e8f07e-b6fc-4464-b1a6-60ef2747fb6b"]}],"mendeley":{"formattedCitation":"(Ziedonis, 2007)","plainTextFormattedCitation":"(Ziedonis, 2007)","previouslyFormattedCitation":"(Ziedonis, 2007)"},"properties":{"noteIndex":0},"schema":"https://github.com/citation-style-language/schema/raw/master/csl-citation.json"}</w:instrText>
      </w:r>
      <w:r w:rsidR="00BD0086" w:rsidRPr="00E82C89">
        <w:fldChar w:fldCharType="separate"/>
      </w:r>
      <w:r w:rsidR="00BD0086" w:rsidRPr="00E82C89">
        <w:rPr>
          <w:noProof/>
        </w:rPr>
        <w:t>(Ziedonis, 2007)</w:t>
      </w:r>
      <w:r w:rsidR="00BD0086" w:rsidRPr="00E82C89">
        <w:fldChar w:fldCharType="end"/>
      </w:r>
      <w:r w:rsidR="00BD0086" w:rsidRPr="00E82C89">
        <w:t xml:space="preserve">. </w:t>
      </w:r>
      <w:r w:rsidR="00551A52">
        <w:t>As a consequence, we hypothesize that this unintended signaling effect from universities facing patent litigation as defendant</w:t>
      </w:r>
      <w:r w:rsidR="002A57A3">
        <w:t>s</w:t>
      </w:r>
      <w:r w:rsidR="00551A52">
        <w:t xml:space="preserve"> increases their </w:t>
      </w:r>
      <w:r w:rsidR="00651B03">
        <w:t xml:space="preserve">licensing income. We use boundary conditions from signaling theory to isolate our core mechanism, i.e. the signaling effects for commercial value become stronger when their </w:t>
      </w:r>
      <w:r w:rsidR="007C3E6D">
        <w:t xml:space="preserve">level of </w:t>
      </w:r>
      <w:r w:rsidR="00651B03">
        <w:t xml:space="preserve">consistency with university (track-record of licensing) and litigation characteristics (private firms as co-defendants) increases. </w:t>
      </w:r>
      <w:r w:rsidR="0048661E">
        <w:t>The results of the empirical study support all of our hypotheses.</w:t>
      </w:r>
    </w:p>
    <w:p w14:paraId="036904D4" w14:textId="4A30FDE8" w:rsidR="00A81E90" w:rsidRDefault="008C0281" w:rsidP="00A81E90">
      <w:pPr>
        <w:pStyle w:val="2ndparagraph"/>
      </w:pPr>
      <w:r>
        <w:t xml:space="preserve">Our insights have important implications for </w:t>
      </w:r>
      <w:r w:rsidR="00F909EF">
        <w:t xml:space="preserve">two specific streams of academic research. First, </w:t>
      </w:r>
      <w:r w:rsidR="003C5CC4">
        <w:t>a rich body of research on the commercialization of university patents acknowledges how difficult it is for universities to attract licensees for technologies that are often times new, unproven and hardly developed</w:t>
      </w:r>
      <w:r w:rsidR="00BC058E" w:rsidRPr="00211DF0">
        <w:t xml:space="preserve"> </w:t>
      </w:r>
      <w:r w:rsidR="00224962" w:rsidRPr="00211DF0">
        <w:fldChar w:fldCharType="begin" w:fldLock="1"/>
      </w:r>
      <w:r w:rsidR="00FE3AA9" w:rsidRPr="00211DF0">
        <w:instrText>ADDIN CSL_CITATION {"citationItems":[{"id":"ITEM-1","itemData":{"DOI":"10.1016/j.respol.2014.06.008","ISBN":"00487333","ISSN":"00487333","PMID":"1478595","abstract":"The purpose of our study is to review and synthesize the rapidly evolving literature on technology transfer effectiveness. Our paper provides a lens into relatively recent work, focusing particularly on empirical studies of US technology transfer conducted within the last 15 years. In doing so, we update and extend the Contingent Effectiveness Model of Technology Transfer developed by Bozeman (2000). Specifically, we include the growing interest in social and public value oriented technology transfer and, thus, the contingent effectiveness model is expanded to consider this literature. We categorize studies according their approaches to measuring effectiveness, draw conclusions regarding the current state of technology transfer evaluation, and offer recommendations for future studies.","author":[{"dropping-particle":"","family":"Bozeman","given":"Barry","non-dropping-particle":"","parse-names":false,"suffix":""},{"dropping-particle":"","family":"Rimes","given":"Heather","non-dropping-particle":"","parse-names":false,"suffix":""},{"dropping-particle":"","family":"Youtie","given":"Jan","non-dropping-particle":"","parse-names":false,"suffix":""}],"container-title":"Research Policy","id":"ITEM-1","issue":"1","issued":{"date-parts":[["2015"]]},"page":"34-49","publisher":"Elsevier B.V.","title":"The evolving state-of-the-art in technology transfer research: Revisiting the contingent effectiveness model","type":"article-journal","volume":"44"},"uris":["http://www.mendeley.com/documents/?uuid=245549ef-970b-4ea4-984e-4a869649a3c5"]},{"id":"ITEM-2","itemData":{"DOI":"10.1016/j.respol.2019.01.015","ISSN":"00487333","abstract":"Current theorising about the contingencies underpinning the effectiveness of university technology transfer has emphasised the importance of organisational support, namely the scale of Technology Transfer Office (TTO) support and the provision of incentives. Empirical results pertaining to the effects of these organisational supports are mixed. More recently, academic research and policy reviews have highlighted the potential significance of the strategic choices made by university managers in contributing to the effectiveness of technology transfer activity. Our research attempts to reconcile these two streams of technology transfer research by drawing on Child's strategic choice theory as an integrating framework. Through operationalising a strategic choice framework and drawing upon data from 115 UK universities (collected through multiple waves of the HE-BCI Survey), this research shows that supporting organisational infrastructure is necessary but not sufficient to account for improved technology transfer effectiveness. Specifically, it highlights the key mediating role of strategic choice, suggesting that it is the alignment between strategic choices made by university managers and the supporting organisational infrastructure that accounts for variations in technology transfer effectiveness. Furthermore, we find the mediation relationship between strategic alignment and technology transfer effectiveness is moderated by the breadth of strategic planning efforts, with those universities that engage a wider number of faculty in strategic planning efforts benefiting most from the alignment between strategic choices and supporting organisational infrastructure.","author":[{"dropping-particle":"","family":"Horner","given":"Sam","non-dropping-particle":"","parse-names":false,"suffix":""},{"dropping-particle":"","family":"Jayawarna","given":"Dilani","non-dropping-particle":"","parse-names":false,"suffix":""},{"dropping-particle":"","family":"Giordano","given":"Benito","non-dropping-particle":"","parse-names":false,"suffix":""},{"dropping-particle":"","family":"Jones","given":"Oswald","non-dropping-particle":"","parse-names":false,"suffix":""}],"container-title":"Research Policy","id":"ITEM-2","issue":"5","issued":{"date-parts":[["2019","6","1"]]},"page":"1297-1309","publisher":"Elsevier B.V.","title":"Strategic choice in universities: Managerial agency and effective technology transfer","type":"article-journal","volume":"48"},"uris":["http://www.mendeley.com/documents/?uuid=9af9f3b8-85ed-3f49-bd88-021b5a19930d"]}],"mendeley":{"formattedCitation":"(Bozeman et al., 2015; Horner et al., 2019)","plainTextFormattedCitation":"(Bozeman et al., 2015; Horner et al., 2019)","previouslyFormattedCitation":"(Bozeman et al., 2015; Horner et al., 2019)"},"properties":{"noteIndex":0},"schema":"https://github.com/citation-style-language/schema/raw/master/csl-citation.json"}</w:instrText>
      </w:r>
      <w:r w:rsidR="00224962" w:rsidRPr="00211DF0">
        <w:fldChar w:fldCharType="separate"/>
      </w:r>
      <w:r w:rsidR="00224962" w:rsidRPr="00211DF0">
        <w:rPr>
          <w:noProof/>
        </w:rPr>
        <w:t>(Bozeman et al., 2015; Horner et al., 2019)</w:t>
      </w:r>
      <w:r w:rsidR="00224962" w:rsidRPr="00211DF0">
        <w:fldChar w:fldCharType="end"/>
      </w:r>
      <w:r w:rsidR="00224962" w:rsidRPr="00211DF0">
        <w:t>.</w:t>
      </w:r>
      <w:r w:rsidR="00BE15FC">
        <w:t xml:space="preserve"> Existing research suggests that some university </w:t>
      </w:r>
      <w:r w:rsidR="00BE15FC">
        <w:lastRenderedPageBreak/>
        <w:t>characteristics are associated with higher licensing revenues, for example research quality</w:t>
      </w:r>
      <w:r w:rsidR="00BE15FC">
        <w:rPr>
          <w:rStyle w:val="FootnoteReference"/>
        </w:rPr>
        <w:footnoteReference w:id="3"/>
      </w:r>
      <w:r w:rsidR="00BE15FC">
        <w:t xml:space="preserve"> </w:t>
      </w:r>
      <w:r w:rsidR="00BE15FC">
        <w:fldChar w:fldCharType="begin" w:fldLock="1"/>
      </w:r>
      <w:r w:rsidR="001F7680">
        <w:instrText>ADDIN CSL_CITATION {"citationItems":[{"id":"ITEM-1","itemData":{"DOI":"10.1016/j.respol.2011.10.010","ISSN":"00487333","abstract":"As the innovation process has become more open and networked, Government policy in the UK has sought to promote both research excellence in the university sector and the translation of this into economic benefit through university–business engagement. However, this policy approach has tended to be applied uniformly with little account for organisational differences within the sector. In this paper we consider if differences between universities in their research performance is reflected in their knowledge transfer activity. Specifically, as universities develop a commercialization agenda are the strategic priorities for knowledge transfer, the organisational supports in place to facilitate knowledge transfer and the scale and scope of knowledge transfer activity different for high research intensive (HRI) and low research intensive (LRI) universities? The findings demonstrate that universities’ approach to knowledge transfer is shaped by institutional and organisational resources, in particular their ethos and research quality, rather than the capability to undertake knowledge transfer through a Technology Transfer Office (TTO). Strategic priorities for knowledge transfer are reflected in activity, in terms of the dominance of specific knowledge transfer channels, the partners with which universities engage and the geography of business engagement.","author":[{"dropping-particle":"","family":"Hewitt-Dundas","given":"Nola","non-dropping-particle":"","parse-names":false,"suffix":""}],"container-title":"Research Policy","id":"ITEM-1","issue":"2","issued":{"date-parts":[["2012","3"]]},"page":"262-275","title":"Research intensity and knowledge transfer activity in UK universities","type":"article-journal","volume":"41"},"uris":["http://www.mendeley.com/documents/?uuid=dfda44a2-56de-4343-aba6-7ecd31ff1890"]},{"id":"ITEM-2","itemData":{"DOI":"10.1162/154247604323067961","ISBN":"15424766","ISSN":"15424774","PMID":"2982","abstract":"Using data for 102 U.S. universities, we show that royalty-sharing arrangements (cash flow rights) vary substantially across universities and that they are largely unrelated to most observed university characteristics including faculty size, quality, research funding, technology mix of the faculty, and size of the technology licensing office. However, higher inventors' royalty shares are associated with higher licensing income at the university, controlling for other factors. The results suggest that monetary incentives from inventions have real effects in the university sector.","author":[{"dropping-particle":"","family":"Lach","given":"Saul","non-dropping-particle":"","parse-names":false,"suffix":""},{"dropping-particle":"","family":"Schankerman","given":"Mark","non-dropping-particle":"","parse-names":false,"suffix":""}],"container-title":"Journal of the European Economic Association","id":"ITEM-2","issue":"2-3","issued":{"date-parts":[["2004"]]},"page":"252-264","title":"Royalty sharing and technology licensing in universities","type":"article-journal","volume":"2"},"uris":["http://www.mendeley.com/documents/?uuid=e231f31f-4136-4996-9639-55e279210b67"]},{"id":"ITEM-3","itemData":{"DOI":"10.1016/j.respol.2017.03.008","ISSN":"00487333","abstract":"This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Policy","id":"ITEM-3","issue":"5","issued":{"date-parts":[["2017"]]},"page":"881-897","publisher":"Elsevier B.V.","title":"University research and knowledge transfer: A dynamic view of ambidexterity in british universities","type":"article-journal","volume":"46"},"uris":["http://www.mendeley.com/documents/?uuid=1bae52b2-2b76-4a4b-9383-c1e21964cb01"]}],"mendeley":{"formattedCitation":"(Hewitt-Dundas, 2012; Lach and Schankerman, 2004; Sengupta and Ray, 2017)","plainTextFormattedCitation":"(Hewitt-Dundas, 2012; Lach and Schankerman, 2004; Sengupta and Ray, 2017)","previouslyFormattedCitation":"(Hewitt-Dundas, 2012; Lach and Schankerman, 2004; Sengupta and Ray, 2017)"},"properties":{"noteIndex":0},"schema":"https://github.com/citation-style-language/schema/raw/master/csl-citation.json"}</w:instrText>
      </w:r>
      <w:r w:rsidR="00BE15FC">
        <w:fldChar w:fldCharType="separate"/>
      </w:r>
      <w:r w:rsidR="001F7680" w:rsidRPr="001F7680">
        <w:rPr>
          <w:noProof/>
        </w:rPr>
        <w:t>(Hewitt-Dundas, 2012; Lach and Schankerman, 2004; Sengupta and Ray, 2017)</w:t>
      </w:r>
      <w:r w:rsidR="00BE15FC">
        <w:fldChar w:fldCharType="end"/>
      </w:r>
      <w:r w:rsidR="00BE15FC">
        <w:t xml:space="preserve">, past licensing performance </w:t>
      </w:r>
      <w:r w:rsidR="00BE15FC">
        <w:fldChar w:fldCharType="begin" w:fldLock="1"/>
      </w:r>
      <w:r w:rsidR="00BE15FC">
        <w:instrText>ADDIN CSL_CITATION {"citationItems":[{"id":"ITEM-1","itemData":{"DOI":"10.1016/j.respol.2010.10.007","ISSN":"00487333","abstract":"Europe is perceived to be lagging behind the US in converting its academic results into economic outcomes. Using new survey data on European and US technology transfer offices (TTOs), we find that differences in academic research, TTO staff and experience explain to a great extent the gap between the US and Europe in terms of the number of license agreements concluded. However, these factors account for only part of the difference in license income. We relate the difference in licensing income to differences in the organization and staffing of TTOs. Our analysis reveals that US TTOs do not attach more importance to generating revenue as an objective than their European counterparts. However, they employ more staff with experience in industry which explains some of the remaining differential in license income performance. © 2010 Elsevier B.V. All rights reserved.","author":[{"dropping-particle":"","family":"Conti","given":"Annamaria","non-dropping-particle":"","parse-names":false,"suffix":""},{"dropping-particle":"","family":"Gaule","given":"Patrick","non-dropping-particle":"","parse-names":false,"suffix":""}],"container-title":"Research Policy","id":"ITEM-1","issue":"1","issued":{"date-parts":[["2011"]]},"page":"123-135","publisher":"Elsevier B.V.","title":"Is the US outperforming Europe in university technology licensing? A new perspective on the European Paradox","type":"article-journal","volume":"40"},"uris":["http://www.mendeley.com/documents/?uuid=f9e8609e-9926-451d-8d6e-e7b702965b85"]},{"id":"ITEM-2","itemData":{"DOI":"10.1007/s10961-009-9129-z","ISBN":"1096100991","author":[{"dropping-particle":"","family":"Heisey","given":"Paul W","non-dropping-particle":"","parse-names":false,"suffix":""},{"dropping-particle":"","family":"Adelman","given":"Sarah W","non-dropping-particle":"","parse-names":false,"suffix":""}],"container-title":"Journal of Technology Transfer","id":"ITEM-2","issued":{"date-parts":[["2011"]]},"page":"38-60","title":"Research expenditures, technology transfer activity, and university licensing revenue","type":"article-journal","volume":"36"},"uris":["http://www.mendeley.com/documents/?uuid=c4ddc740-e8bb-478b-be69-e1d8a02e8d39"]},{"id":"ITEM-3","itemData":{"DOI":"10.1016/j.respol.2017.03.008","ISSN":"00487333","abstract":"This paper examines the dynamic interlinkages between the two pillars of ambidexterity in universities, research and knowledge transfer. We propose a theoretical model linking these two pillars at the organisational level. The model is tested using the longitudinal HE-BCI survey data juxtaposed against two consecutive rounds of research evaluation in the UK higher education sector. Results indicate that a university's past performance along the research pillar strengthens the knowledge transfer pillar over time, through both commercialisation and academic engagement channels. This positive impact is negatively moderated by the university's size and reputation, in the sense that in larger or more reputed universities, the marginal impact of research on knowledge transfer declines significantly. Additionally, we find that knowledge transfer reinforces the research pillar through positive mediation between past and future research, but only through academic engagement channels. The results also indicate that contract research routes provide the maximum benefit for most universities in enhancing their ambidexterity framework, both in the short and the long run. For the relatively more reputed universities, it is the collaboration route which provides the maximum benefit. Interestingly, no such reinforcement could be detected in the case of the research commercialisation channels.","author":[{"dropping-particle":"","family":"Sengupta","given":"Abhijit","non-dropping-particle":"","parse-names":false,"suffix":""},{"dropping-particle":"","family":"Ray","given":"Amit S.","non-dropping-particle":"","parse-names":false,"suffix":""}],"container-title":"Research Policy","id":"ITEM-3","issue":"5","issued":{"date-parts":[["2017"]]},"page":"881-897","publisher":"Elsevier B.V.","title":"University research and knowledge transfer: A dynamic view of ambidexterity in british universities","type":"article-journal","volume":"46"},"uris":["http://www.mendeley.com/documents/?uuid=1bae52b2-2b76-4a4b-9383-c1e21964cb01"]}],"mendeley":{"formattedCitation":"(Conti and Gaule, 2011; Heisey and Adelman, 2011; Sengupta and Ray, 2017)","plainTextFormattedCitation":"(Conti and Gaule, 2011; Heisey and Adelman, 2011; Sengupta and Ray, 2017)","previouslyFormattedCitation":"(Conti and Gaule, 2011; Heisey and Adelman, 2011; Sengupta and Ray, 2017)"},"properties":{"noteIndex":0},"schema":"https://github.com/citation-style-language/schema/raw/master/csl-citation.json"}</w:instrText>
      </w:r>
      <w:r w:rsidR="00BE15FC">
        <w:fldChar w:fldCharType="separate"/>
      </w:r>
      <w:r w:rsidR="00BE15FC" w:rsidRPr="00BE15FC">
        <w:rPr>
          <w:noProof/>
        </w:rPr>
        <w:t>(Conti and Gaule, 2011; Heisey and Adelman, 2011; Sengupta and Ray, 2017)</w:t>
      </w:r>
      <w:r w:rsidR="00BE15FC">
        <w:fldChar w:fldCharType="end"/>
      </w:r>
      <w:r w:rsidR="00BE15FC">
        <w:t xml:space="preserve">, and incentive structures for academic inventors </w:t>
      </w:r>
      <w:r w:rsidR="00BE15FC">
        <w:fldChar w:fldCharType="begin" w:fldLock="1"/>
      </w:r>
      <w:r w:rsidR="001F7680">
        <w:instrText>ADDIN CSL_CITATION {"citationItems":[{"id":"ITEM-1","itemData":{"DOI":"10.1016/j.respol.2016.06.006","ISBN":"00487333 (ISSN)","ISSN":"00487333","abstract":"Portuguese and Spanish universities have adopted well-defined royalty sharing arrangements over the last fifteen years. We investigate whether such royalty sharing arrangements have been effective in stimulating inventors’ efforts and in ultimately improving university outcomes. We base our empirical analysis on university-level data and two new self-collected surveys for both inventors and Technology Transfer Offices (TTOs). Evidence from the inventors’ survey indicates that one third of respondents are incentivised by current royalty sharing arrangements, one third could be incentivised by higher royalty shares, and the remaining third is totally insensitive to royalty sharing. Plain regressions on university level datasets suggest that the incentive effects documented by the inventors’ survey fail to translate into increased patenting or licensing income. It would seem that inventor royalty shares are not as influential as they could be, due to the poor commercial prospects of university inventions. Among other possible reasons, these poor prospects appear to reflect the fact that inventors are unable to produce potentially licensable inventions, or that eventually TTOs may not be focussing enough on commercialising their inventions.","author":[{"dropping-particle":"","family":"Arqué-Castells","given":"Pere","non-dropping-particle":"","parse-names":false,"suffix":""},{"dropping-particle":"","family":"Cartaxo","given":"Rui M.","non-dropping-particle":"","parse-names":false,"suffix":""},{"dropping-particle":"","family":"García-Quevedo","given":"Jose","non-dropping-particle":"","parse-names":false,"suffix":""},{"dropping-particle":"","family":"Godinho","given":"Manuel Mira","non-dropping-particle":"","parse-names":false,"suffix":""}],"container-title":"Research Policy","id":"ITEM-1","issue":"9","issued":{"date-parts":[["2016"]]},"page":"1858-1872","publisher":"Elsevier B.V.","title":"Royalty sharing, effort and invention in universities: Evidence from Portugal and Spain","type":"article-journal","volume":"45"},"uris":["http://www.mendeley.com/documents/?uuid=9dc55724-30e7-4819-98fd-32f02e1caf8d"]},{"id":"ITEM-2","itemData":{"DOI":"10.1086/595763","ISBN":"0022-2186","ISSN":"0022-2186","PMID":"2889","abstract":"We study the impact of private ownership, incentive pay, and local development objectives on university licensing performance. We develop and test a simple contracting model of technology-licensing offices using new survey information together with panel data on U.S. universities for 1995–99. We find that private universities are much more likely to adopt incentive pay than public ones but that ownership does not affect licensing performance conditional on the use of incentive pay. Adopting incentive pay is associated with about 30–40 percent more income per license. Universities with strong local development objectives generate about 30 percent less income per license but are more likely to license to local (in-state) start-up companies. In addition, we show that government constraints on university licensing activity are costly in terms of forgone license income and the creation of start-up companies. These results are robust to controls for observed and unobserved heterogeneity. 1.","author":[{"dropping-particle":"","family":"Belenzon","given":"Sharon","non-dropping-particle":"","parse-names":false,"suffix":""},{"dropping-particle":"","family":"Schankerman","given":"Mark","non-dropping-particle":"","parse-names":false,"suffix":""}],"container-title":"Journal of Law and Economics","id":"ITEM-2","issue":"52","issued":{"date-parts":[["2009"]]},"page":"111-144","title":"University Knowledge Transfer: Private Ownership, Incentives, and Local Development Objectives","type":"article-journal","volume":"52"},"uris":["http://www.mendeley.com/documents/?uuid=7345fea5-4d57-47e5-8f88-6fa68b47799f"]},{"id":"ITEM-3","itemData":{"DOI":"10.1162/154247604323067961","ISBN":"15424766","ISSN":"15424774","PMID":"2982","abstract":"Using data for 102 U.S. universities, we show that royalty-sharing arrangements (cash flow rights) vary substantially across universities and that they are largely unrelated to most observed university characteristics including faculty size, quality, research funding, technology mix of the faculty, and size of the technology licensing office. However, higher inventors' royalty shares are associated with higher licensing income at the university, controlling for other factors. The results suggest that monetary incentives from inventions have real effects in the university sector.","author":[{"dropping-particle":"","family":"Lach","given":"Saul","non-dropping-particle":"","parse-names":false,"suffix":""},{"dropping-particle":"","family":"Schankerman","given":"Mark","non-dropping-particle":"","parse-names":false,"suffix":""}],"container-title":"Journal of the European Economic Association","id":"ITEM-3","issue":"2-3","issued":{"date-parts":[["2004"]]},"page":"252-264","title":"Royalty sharing and technology licensing in universities","type":"article-journal","volume":"2"},"uris":["http://www.mendeley.com/documents/?uuid=e231f31f-4136-4996-9639-55e279210b67"]}],"mendeley":{"formattedCitation":"(Arqué-Castells et al., 2016; Belenzon and Schankerman, 2009; Lach and Schankerman, 2004)","plainTextFormattedCitation":"(Arqué-Castells et al., 2016; Belenzon and Schankerman, 2009; Lach and Schankerman, 2004)","previouslyFormattedCitation":"(Arqué-Castells et al., 2016; Belenzon and Schankerman, 2009; Lach and Schankerman, 2004)"},"properties":{"noteIndex":0},"schema":"https://github.com/citation-style-language/schema/raw/master/csl-citation.json"}</w:instrText>
      </w:r>
      <w:r w:rsidR="00BE15FC">
        <w:fldChar w:fldCharType="separate"/>
      </w:r>
      <w:r w:rsidR="001F7680" w:rsidRPr="001F7680">
        <w:rPr>
          <w:noProof/>
        </w:rPr>
        <w:t>(Arqué-Castells et al., 2016; Belenzon and Schankerman, 2009; Lach and Schankerman, 2004)</w:t>
      </w:r>
      <w:r w:rsidR="00BE15FC">
        <w:fldChar w:fldCharType="end"/>
      </w:r>
      <w:r w:rsidR="00BE15FC">
        <w:t>. Alternatively, TTO characteristics such as size and licensing exper</w:t>
      </w:r>
      <w:r w:rsidR="00D65C6A">
        <w:t>i</w:t>
      </w:r>
      <w:r w:rsidR="00BE15FC">
        <w:t xml:space="preserve">ence have been demonstrated to have an effect on licensing revenues </w:t>
      </w:r>
      <w:r w:rsidR="001F7680">
        <w:fldChar w:fldCharType="begin" w:fldLock="1"/>
      </w:r>
      <w:r w:rsidR="00096A1B">
        <w:instrText>ADDIN CSL_CITATION {"citationItems":[{"id":"ITEM-1","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Policy","id":"ITEM-1","issue":"1","issued":{"date-parts":[["2003","1"]]},"page":"27-48","title":"Assessing the impact of organizational practices on the relative productivity of university technology transfer offices: an exploratory study","type":"article-journal","volume":"32"},"uris":["http://www.mendeley.com/documents/?uuid=e46987f6-89c5-3b6f-b14b-8fc764f55f9f"]},{"id":"ITEM-2","itemData":{"DOI":"10.1016/j.respol.2005.01.005","ISBN":"0048-7333","ISSN":"00487333","PMID":"599","abstract":"This article discusses salient trends in university-based technology initiatives in the United States and Europe, and it summarizes the papers contained in this special issue.","author":[{"dropping-particle":"","family":"Link","given":"Albert N.","non-dropping-particle":"","parse-names":false,"suffix":""},{"dropping-particle":"","family":"Siegel","given":"Donald","non-dropping-particle":"","parse-names":false,"suffix":""}],"container-title":"Research Policy","id":"ITEM-2","issue":"3","issued":{"date-parts":[["2005"]]},"page":"253-257","title":"University-based technology initiatives: Quantitative and qualitative evidence","type":"article-journal","volume":"34"},"uris":["http://www.mendeley.com/documents/?uuid=9057ea78-cb01-4999-adac-5f7614982c2b"]},{"id":"ITEM-3","itemData":{"DOI":"10.1016/j.respol.2005.01.007","ISBN":"0048-7333","ISSN":"00487333","PMID":"2878","abstract":"We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Policy","id":"ITEM-3","issue":"3","issued":{"date-parts":[["2005"]]},"page":"369-384","title":"Assessing the relative performance of U.K. university technology transfer offices: Parametric and non-parametric evidence","type":"article-journal","volume":"34"},"uris":["http://www.mendeley.com/documents/?uuid=79f66bd1-a68a-42e0-a3e7-f5910e5a9097"]}],"mendeley":{"formattedCitation":"(Chapple et al., 2005a; Link and Siegel, 2005; D. Siegel et al., 2003)","manualFormatting":"(Chapple et al., 2005a; Link and Siegel, 2005; Siegel et al., 2003)","plainTextFormattedCitation":"(Chapple et al., 2005a; Link and Siegel, 2005; D. Siegel et al., 2003)","previouslyFormattedCitation":"(Chapple et al., 2005a; Link and Siegel, 2005; D. Siegel et al., 2003)"},"properties":{"noteIndex":0},"schema":"https://github.com/citation-style-language/schema/raw/master/csl-citation.json"}</w:instrText>
      </w:r>
      <w:r w:rsidR="001F7680">
        <w:fldChar w:fldCharType="separate"/>
      </w:r>
      <w:r w:rsidR="001F7680" w:rsidRPr="00096A1B">
        <w:rPr>
          <w:noProof/>
          <w:lang w:val="da-DK"/>
        </w:rPr>
        <w:t>(Chapple et al., 2005a; Link and Siegel, 2005;</w:t>
      </w:r>
      <w:r w:rsidR="00096A1B">
        <w:rPr>
          <w:noProof/>
          <w:lang w:val="da-DK"/>
        </w:rPr>
        <w:t xml:space="preserve"> </w:t>
      </w:r>
      <w:r w:rsidR="001F7680" w:rsidRPr="00096A1B">
        <w:rPr>
          <w:noProof/>
          <w:lang w:val="da-DK"/>
        </w:rPr>
        <w:t>Siegel et al., 2003)</w:t>
      </w:r>
      <w:r w:rsidR="001F7680">
        <w:fldChar w:fldCharType="end"/>
      </w:r>
      <w:r w:rsidR="001F7680" w:rsidRPr="00D65C6A">
        <w:rPr>
          <w:lang w:val="da-DK"/>
        </w:rPr>
        <w:t>.</w:t>
      </w:r>
      <w:r w:rsidR="00BE15FC" w:rsidRPr="00D65C6A">
        <w:rPr>
          <w:lang w:val="da-DK"/>
        </w:rPr>
        <w:t xml:space="preserve"> </w:t>
      </w:r>
      <w:r w:rsidR="007C3E6D" w:rsidRPr="00D65C6A">
        <w:t>O</w:t>
      </w:r>
      <w:r w:rsidR="007C3E6D">
        <w:t>ur research makes a distinct contribution to e</w:t>
      </w:r>
      <w:r w:rsidR="00351B01">
        <w:t>xtant theory suggest</w:t>
      </w:r>
      <w:r w:rsidR="00D65C6A">
        <w:t>ing</w:t>
      </w:r>
      <w:r w:rsidR="001F7680">
        <w:t xml:space="preserve"> that the</w:t>
      </w:r>
      <w:r w:rsidR="00351B01">
        <w:t xml:space="preserve"> </w:t>
      </w:r>
      <w:r w:rsidR="001F7680">
        <w:t>asym</w:t>
      </w:r>
      <w:r w:rsidR="009D5F50">
        <w:t>m</w:t>
      </w:r>
      <w:r w:rsidR="001F7680">
        <w:t>et</w:t>
      </w:r>
      <w:r w:rsidR="009D5F50">
        <w:t>r</w:t>
      </w:r>
      <w:r w:rsidR="001F7680">
        <w:t>ic information problem that characterizes university technology licen</w:t>
      </w:r>
      <w:r w:rsidR="009D5F50">
        <w:t>s</w:t>
      </w:r>
      <w:r w:rsidR="001F7680">
        <w:t>ing</w:t>
      </w:r>
      <w:r w:rsidR="00351B01">
        <w:t xml:space="preserve"> </w:t>
      </w:r>
      <w:r w:rsidR="001F7680">
        <w:t>may be overcome</w:t>
      </w:r>
      <w:r w:rsidR="00351B01">
        <w:t xml:space="preserve"> </w:t>
      </w:r>
      <w:r w:rsidR="001F7680">
        <w:t>if</w:t>
      </w:r>
      <w:r w:rsidR="00351B01">
        <w:t xml:space="preserve"> universities</w:t>
      </w:r>
      <w:r w:rsidR="001F7680">
        <w:t xml:space="preserve"> </w:t>
      </w:r>
      <w:r w:rsidR="00351B01">
        <w:t>provide more information for potential licensees</w:t>
      </w:r>
      <w:r w:rsidR="002E4577">
        <w:t xml:space="preserve">, either through passive or active signaling </w:t>
      </w:r>
      <w:r w:rsidR="002E4577">
        <w:fldChar w:fldCharType="begin" w:fldLock="1"/>
      </w:r>
      <w:r w:rsidR="00BE15FC">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universities","type":"article-journal"},"uris":["http://www.mendeley.com/documents/?uuid=eaad0201-d4ea-437d-8174-f04068f367a3"]},{"id":"ITEM-2","itemData":{"DOI":"10.5465/amj.2015.1233","ISSN":"00014273","abstract":"When commercializing technology, the lack of proven results and a reluctance to invest upfront in resources hamper efforts by firms to work jointly with inventors to bring new discoveries to market. An effective contract payment structure-a mix of upfront and royalty payments-can help overcome these hurdles. We conduct our research in university technology licensing, where licensing managers act as intermediaries to unite inventors and licensee firms. Rather than leveraging their experience to bargain for maximum payments, highly experienced managers offer contractual payment structures that trade lower upfront payments for higher royalty payments in order to signal value. The signal instills confidence in the value of the partnership for skeptical licensee firms, and experienced licensing managers can amplify signals as needed to overcome the uncertainties inherent in technology commercialization. By explicitly addressing these variations in signal strength, we develop new theory that builds on classical signaling principles. We test and confirm these predictions in a sample of over 950 invention-licensing contracts. In addition to advancing signaling theory, our work has implications for academic entrepreneurship, and for how experience shapes value-sharing agreements in collaborative innovations.","author":[{"dropping-particle":"","family":"Kotha","given":"Reddi","non-dropping-particle":"","parse-names":false,"suffix":""},{"dropping-particle":"","family":"Crama","given":"Pascale","non-dropping-particle":"","parse-names":false,"suffix":""},{"dropping-particle":"","family":"Kim","given":"Phillip H.","non-dropping-particle":"","parse-names":false,"suffix":""}],"container-title":"Academy of Management Journal","id":"ITEM-2","issue":"4","issued":{"date-parts":[["2018"]]},"page":"1307-1342","title":"Experience and signaling value in technology licensing contract payment structures","type":"article-journal","volume":"61"},"uris":["http://www.mendeley.com/documents/?uuid=5c3b1e0a-b986-412b-be16-7682ddb18058"]}],"mendeley":{"formattedCitation":"(Kotha et al., 2018; Ray and Sengupta, 2021)","plainTextFormattedCitation":"(Kotha et al., 2018; Ray and Sengupta, 2021)","previouslyFormattedCitation":"(Kotha et al., 2018; Ray and Sengupta, 2021)"},"properties":{"noteIndex":0},"schema":"https://github.com/citation-style-language/schema/raw/master/csl-citation.json"}</w:instrText>
      </w:r>
      <w:r w:rsidR="002E4577">
        <w:fldChar w:fldCharType="separate"/>
      </w:r>
      <w:r w:rsidR="002E4577" w:rsidRPr="002E4577">
        <w:rPr>
          <w:noProof/>
        </w:rPr>
        <w:t>(Kotha et al., 2018; Ray and Sengupta, 2021)</w:t>
      </w:r>
      <w:r w:rsidR="002E4577">
        <w:fldChar w:fldCharType="end"/>
      </w:r>
      <w:r w:rsidR="001F7680">
        <w:t>. Recent research suggest</w:t>
      </w:r>
      <w:r w:rsidR="00D65C6A">
        <w:t>s</w:t>
      </w:r>
      <w:r w:rsidR="001F7680">
        <w:t xml:space="preserve"> that some university characterist</w:t>
      </w:r>
      <w:r w:rsidR="00D65C6A">
        <w:t>i</w:t>
      </w:r>
      <w:r w:rsidR="001F7680">
        <w:t xml:space="preserve">cs function to improve knowledge exchange through passive signaling effects that indicate the quality of underlying research and </w:t>
      </w:r>
      <w:r w:rsidR="007C3E6D">
        <w:t>knowledge exchange</w:t>
      </w:r>
      <w:r w:rsidR="001F7680">
        <w:t xml:space="preserve"> motivations of universities to external parties </w:t>
      </w:r>
      <w:r w:rsidR="001F7680">
        <w:fldChar w:fldCharType="begin" w:fldLock="1"/>
      </w:r>
      <w:r w:rsidR="001F7680">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universities","type":"article-journal"},"uris":["http://www.mendeley.com/documents/?uuid=eaad0201-d4ea-437d-8174-f04068f367a3"]}],"mendeley":{"formattedCitation":"(Ray and Sengupta, 2021)","plainTextFormattedCitation":"(Ray and Sengupta, 2021)","previouslyFormattedCitation":"(Ray and Sengupta, 2021)"},"properties":{"noteIndex":0},"schema":"https://github.com/citation-style-language/schema/raw/master/csl-citation.json"}</w:instrText>
      </w:r>
      <w:r w:rsidR="001F7680">
        <w:fldChar w:fldCharType="separate"/>
      </w:r>
      <w:r w:rsidR="001F7680" w:rsidRPr="001F7680">
        <w:rPr>
          <w:noProof/>
        </w:rPr>
        <w:t>(Ray and Sengupta, 2021)</w:t>
      </w:r>
      <w:r w:rsidR="001F7680">
        <w:fldChar w:fldCharType="end"/>
      </w:r>
      <w:r w:rsidR="001F7680">
        <w:t xml:space="preserve">. This research also suggests that universities can signal their commercialization intentions to potential licensees by filing patents </w:t>
      </w:r>
      <w:r w:rsidR="001F7680">
        <w:fldChar w:fldCharType="begin" w:fldLock="1"/>
      </w:r>
      <w:r w:rsidR="00A81E90">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universities","type":"article-journal"},"uris":["http://www.mendeley.com/documents/?uuid=eaad0201-d4ea-437d-8174-f04068f367a3"]}],"mendeley":{"formattedCitation":"(Ray and Sengupta, 2021)","plainTextFormattedCitation":"(Ray and Sengupta, 2021)","previouslyFormattedCitation":"(Ray and Sengupta, 2021)"},"properties":{"noteIndex":0},"schema":"https://github.com/citation-style-language/schema/raw/master/csl-citation.json"}</w:instrText>
      </w:r>
      <w:r w:rsidR="001F7680">
        <w:fldChar w:fldCharType="separate"/>
      </w:r>
      <w:r w:rsidR="001F7680" w:rsidRPr="001F7680">
        <w:rPr>
          <w:noProof/>
        </w:rPr>
        <w:t>(Ray and Sengupta, 2021)</w:t>
      </w:r>
      <w:r w:rsidR="001F7680">
        <w:fldChar w:fldCharType="end"/>
      </w:r>
      <w:r w:rsidR="001F7680">
        <w:t xml:space="preserve">. Alternatively, experienced TTO managers may signal the value of university-generated technology by </w:t>
      </w:r>
      <w:r w:rsidR="00A81E90">
        <w:t xml:space="preserve">offering particular contract payment structures to potential licensees, for example by trading up-front payment for deferred royalties </w:t>
      </w:r>
      <w:r w:rsidR="00A81E90">
        <w:fldChar w:fldCharType="begin" w:fldLock="1"/>
      </w:r>
      <w:r w:rsidR="005F466B">
        <w:instrText>ADDIN CSL_CITATION {"citationItems":[{"id":"ITEM-1","itemData":{"DOI":"10.5465/amj.2015.1233","ISSN":"00014273","abstract":"When commercializing technology, the lack of proven results and a reluctance to invest upfront in resources hamper efforts by firms to work jointly with inventors to bring new discoveries to market. An effective contract payment structure-a mix of upfront and royalty payments-can help overcome these hurdles. We conduct our research in university technology licensing, where licensing managers act as intermediaries to unite inventors and licensee firms. Rather than leveraging their experience to bargain for maximum payments, highly experienced managers offer contractual payment structures that trade lower upfront payments for higher royalty payments in order to signal value. The signal instills confidence in the value of the partnership for skeptical licensee firms, and experienced licensing managers can amplify signals as needed to overcome the uncertainties inherent in technology commercialization. By explicitly addressing these variations in signal strength, we develop new theory that builds on classical signaling principles. We test and confirm these predictions in a sample of over 950 invention-licensing contracts. In addition to advancing signaling theory, our work has implications for academic entrepreneurship, and for how experience shapes value-sharing agreements in collaborative innovations.","author":[{"dropping-particle":"","family":"Kotha","given":"Reddi","non-dropping-particle":"","parse-names":false,"suffix":""},{"dropping-particle":"","family":"Crama","given":"Pascale","non-dropping-particle":"","parse-names":false,"suffix":""},{"dropping-particle":"","family":"Kim","given":"Phillip H.","non-dropping-particle":"","parse-names":false,"suffix":""}],"container-title":"Academy of Management Journal","id":"ITEM-1","issue":"4","issued":{"date-parts":[["2018"]]},"page":"1307-1342","title":"Experience and signaling value in technology licensing contract payment structures","type":"article-journal","volume":"61"},"uris":["http://www.mendeley.com/documents/?uuid=5c3b1e0a-b986-412b-be16-7682ddb18058"]}],"mendeley":{"formattedCitation":"(Kotha et al., 2018)","plainTextFormattedCitation":"(Kotha et al., 2018)","previouslyFormattedCitation":"(Kotha et al., 2018)"},"properties":{"noteIndex":0},"schema":"https://github.com/citation-style-language/schema/raw/master/csl-citation.json"}</w:instrText>
      </w:r>
      <w:r w:rsidR="00A81E90">
        <w:fldChar w:fldCharType="separate"/>
      </w:r>
      <w:r w:rsidR="00A81E90" w:rsidRPr="00A81E90">
        <w:rPr>
          <w:noProof/>
        </w:rPr>
        <w:t>(Kotha et al., 2018)</w:t>
      </w:r>
      <w:r w:rsidR="00A81E90">
        <w:fldChar w:fldCharType="end"/>
      </w:r>
      <w:r w:rsidR="00A81E90">
        <w:t>.</w:t>
      </w:r>
      <w:r w:rsidR="00A81E90" w:rsidDel="002E4577">
        <w:t xml:space="preserve"> </w:t>
      </w:r>
      <w:r w:rsidR="005F466B">
        <w:t>It is suggested that TTO managers are only willing to offer such contract payment st</w:t>
      </w:r>
      <w:r w:rsidR="009D5F50">
        <w:t>r</w:t>
      </w:r>
      <w:r w:rsidR="005F466B">
        <w:t xml:space="preserve">uctures if they believe that the value generated from royalties will exceed up-front payments, and thus offering these payment structures communicates TTO manager beliefs about the value of the technology </w:t>
      </w:r>
      <w:r w:rsidR="005F466B">
        <w:fldChar w:fldCharType="begin" w:fldLock="1"/>
      </w:r>
      <w:r w:rsidR="00B34FEC">
        <w:instrText>ADDIN CSL_CITATION {"citationItems":[{"id":"ITEM-1","itemData":{"DOI":"10.5465/amj.2015.1233","ISSN":"00014273","abstract":"When commercializing technology, the lack of proven results and a reluctance to invest upfront in resources hamper efforts by firms to work jointly with inventors to bring new discoveries to market. An effective contract payment structure-a mix of upfront and royalty payments-can help overcome these hurdles. We conduct our research in university technology licensing, where licensing managers act as intermediaries to unite inventors and licensee firms. Rather than leveraging their experience to bargain for maximum payments, highly experienced managers offer contractual payment structures that trade lower upfront payments for higher royalty payments in order to signal value. The signal instills confidence in the value of the partnership for skeptical licensee firms, and experienced licensing managers can amplify signals as needed to overcome the uncertainties inherent in technology commercialization. By explicitly addressing these variations in signal strength, we develop new theory that builds on classical signaling principles. We test and confirm these predictions in a sample of over 950 invention-licensing contracts. In addition to advancing signaling theory, our work has implications for academic entrepreneurship, and for how experience shapes value-sharing agreements in collaborative innovations.","author":[{"dropping-particle":"","family":"Kotha","given":"Reddi","non-dropping-particle":"","parse-names":false,"suffix":""},{"dropping-particle":"","family":"Crama","given":"Pascale","non-dropping-particle":"","parse-names":false,"suffix":""},{"dropping-particle":"","family":"Kim","given":"Phillip H.","non-dropping-particle":"","parse-names":false,"suffix":""}],"container-title":"Academy of Management Journal","id":"ITEM-1","issue":"4","issued":{"date-parts":[["2018"]]},"page":"1307-1342","title":"Experience and signaling value in technology licensing contract payment structures","type":"article-journal","volume":"61"},"uris":["http://www.mendeley.com/documents/?uuid=5c3b1e0a-b986-412b-be16-7682ddb18058"]}],"mendeley":{"formattedCitation":"(Kotha et al., 2018)","plainTextFormattedCitation":"(Kotha et al., 2018)","previouslyFormattedCitation":"(Kotha et al., 2018)"},"properties":{"noteIndex":0},"schema":"https://github.com/citation-style-language/schema/raw/master/csl-citation.json"}</w:instrText>
      </w:r>
      <w:r w:rsidR="005F466B">
        <w:fldChar w:fldCharType="separate"/>
      </w:r>
      <w:r w:rsidR="005F466B" w:rsidRPr="005F466B">
        <w:rPr>
          <w:noProof/>
        </w:rPr>
        <w:t>(Kotha et al., 2018)</w:t>
      </w:r>
      <w:r w:rsidR="005F466B">
        <w:fldChar w:fldCharType="end"/>
      </w:r>
      <w:r w:rsidR="005F466B">
        <w:t>.</w:t>
      </w:r>
    </w:p>
    <w:p w14:paraId="0510A70F" w14:textId="3CEA7B35" w:rsidR="00A65C48" w:rsidRPr="00211DF0" w:rsidRDefault="00A81E90" w:rsidP="00A81E90">
      <w:pPr>
        <w:pStyle w:val="2ndparagraph"/>
      </w:pPr>
      <w:r>
        <w:t>A</w:t>
      </w:r>
      <w:r w:rsidR="00866730" w:rsidRPr="00E82C89">
        <w:t xml:space="preserve">ll of these </w:t>
      </w:r>
      <w:r w:rsidR="002A57A3">
        <w:t>approaches</w:t>
      </w:r>
      <w:r w:rsidR="00866730" w:rsidRPr="00E82C89">
        <w:t xml:space="preserve"> have in common that they ask universities to produce a type of information </w:t>
      </w:r>
      <w:r w:rsidR="00866730">
        <w:t xml:space="preserve">for potential licensees that they cannot credibly produce, i.e. whether a university technology can be successfully developed into a product that proves superior in competition. </w:t>
      </w:r>
      <w:r w:rsidR="00B33936">
        <w:t>We suggest an alternative theoretical mechanism for revealing this information about t</w:t>
      </w:r>
      <w:r w:rsidR="00245CFC">
        <w:t xml:space="preserve">he technologies of a university. </w:t>
      </w:r>
      <w:r w:rsidR="00245CFC">
        <w:lastRenderedPageBreak/>
        <w:t xml:space="preserve">Within our logic, the commercial potential of university technologies is revealed when a plaintiff considers them as strategically important enough to incur the substantial costs for suing the university. </w:t>
      </w:r>
      <w:r w:rsidR="002A57A3">
        <w:t>This action produces</w:t>
      </w:r>
      <w:r w:rsidR="00B315E2">
        <w:t xml:space="preserve"> </w:t>
      </w:r>
      <w:r w:rsidR="00D65C6A">
        <w:t xml:space="preserve">an </w:t>
      </w:r>
      <w:r w:rsidR="00B315E2">
        <w:t>unintended but credible signal for potential licensees about a university’</w:t>
      </w:r>
      <w:r w:rsidR="00D8452E">
        <w:t xml:space="preserve">s technologies. This logic has wider implications for research on technology licensing by universities because it (a) shifts the focus to credible information sources outside of the university and (b) </w:t>
      </w:r>
      <w:r w:rsidR="00940A0A">
        <w:t xml:space="preserve">introduces </w:t>
      </w:r>
      <w:r w:rsidR="00715805">
        <w:t>potentially adverse effects for universities, such as facing patent litigation, as having substantial signaling power</w:t>
      </w:r>
      <w:r w:rsidR="00940A0A">
        <w:t xml:space="preserve">. </w:t>
      </w:r>
      <w:r w:rsidR="00715805">
        <w:t xml:space="preserve">Hence, our integrated theory </w:t>
      </w:r>
      <w:r w:rsidR="002146CD">
        <w:t xml:space="preserve">can be a platform </w:t>
      </w:r>
      <w:r w:rsidR="00CA0F1C">
        <w:t xml:space="preserve">for taking a fresh look at the type of information that potential licensees consider and judge as credible, e.g. university scientists joining </w:t>
      </w:r>
      <w:r w:rsidR="00307B97">
        <w:t>private firms as indications for university research with substantial commercial potential.</w:t>
      </w:r>
    </w:p>
    <w:p w14:paraId="11F37A7B" w14:textId="20B1D2AB" w:rsidR="004E1C43" w:rsidRDefault="004E1C43">
      <w:pPr>
        <w:pStyle w:val="2ndparagraph"/>
      </w:pPr>
      <w:r>
        <w:t>Second</w:t>
      </w:r>
      <w:r w:rsidR="005053C7">
        <w:t>, our findings have implications for research on signaling in</w:t>
      </w:r>
      <w:r>
        <w:t xml:space="preserve"> the context of patent strategy</w:t>
      </w:r>
      <w:r w:rsidR="005053C7">
        <w:t xml:space="preserve">, which </w:t>
      </w:r>
      <w:r>
        <w:t>has</w:t>
      </w:r>
      <w:r w:rsidR="005053C7">
        <w:t xml:space="preserve"> focused</w:t>
      </w:r>
      <w:r>
        <w:t xml:space="preserve"> principally on the signaling</w:t>
      </w:r>
      <w:r w:rsidR="005053C7">
        <w:t xml:space="preserve"> effects</w:t>
      </w:r>
      <w:r>
        <w:t xml:space="preserve"> </w:t>
      </w:r>
      <w:r w:rsidR="005053C7">
        <w:t>of</w:t>
      </w:r>
      <w:r>
        <w:t xml:space="preserve"> pate</w:t>
      </w:r>
      <w:r w:rsidR="0055130F">
        <w:t xml:space="preserve">nting </w:t>
      </w:r>
      <w:r>
        <w:fldChar w:fldCharType="begin" w:fldLock="1"/>
      </w:r>
      <w:r w:rsidR="00FB5667">
        <w:instrText>ADDIN CSL_CITATION {"citationItems":[{"id":"ITEM-1","itemData":{"DOI":"10.1177/0149206312444447","ISSN":"01492063","abstract":"This review reorganizes and reconceptualizes extant research on patent strategy, which has emerged from diverse roots in economics, law, and management. Accordingly, it is anticipated that this review will help provide structure and direction to what is currently a somewhat disparate and fractured field of study within management. The main proposed framework highlights two important themes within patent strategy research-generic patent strategies and the strategic management of patents. In addition, it is noted that research in each of these themes generally maps onto one or more of three key domains-rights, licensing, or enforcement-within which patent-related strategic actions are typically undertaken. Two summary tables of prior research are provided that juxtapose the three patent strategy domains with different theory lenses adopted in patent strategy research. Finally, the article highlights two promising areas whose connections with patent strategy are beginning to be addressed by research-firms' overall appropriability strategies and value creation strategies. An overarching conceptual figure maps the different research areas reviewed in the article and highlights the relationships between these research literatures. The reconceptualization and reframing of prior research advanced in this review promises to advance scholarship on patent strategy by illuminating its many links with the broader management field and by identifying opportunities to address important unanswered research questions. It thus provides a useful roadmap to help stimulate and guide future management research in this vital area. © The Author(s) 2012.","author":[{"dropping-particle":"","family":"Somaya","given":"Deepak","non-dropping-particle":"","parse-names":false,"suffix":""}],"container-title":"Journal of Management","id":"ITEM-1","issue":"4","issued":{"date-parts":[["2012"]]},"page":"1084-1114","title":"Patent Strategy and Management: An Integrative Review and Research Agenda","type":"article-journal","volume":"38"},"uris":["http://www.mendeley.com/documents/?uuid=8e73d8b6-aa88-4e0f-93df-64c4c5afdf47"]},{"id":"ITEM-2","itemData":{"DOI":"10.1111/ijmr.12202","ISSN":"14682370","abstract":"Patent litigation has attracted scholarly attention to reconcile multiple views for new research. Accordingly, this paper addresses patent litigation strategy and its effect on the firm. Based on 106 papers and articles, six books, the author's logic and practice impressions, it first defines patent litigation strategy and differentiates similar concepts. Second, based on the process, the author fine-tunes patent litigation strategy into three tactics: threat, filing and verdict. Then, she categorizes and examines the impact of patent litigation on market value, monetary gain/loss and strategic collaboration. The findings show that the effect on the market value is more complex and ambiguous than anticipated, and sometimes contradictory. The analysis shows the consistency of monetary effect in practice, that firms tend to have higher monetary gains from private settlement than from legal awards. It also demonstrates that existing studies lag behind reality in investigating the detailed role of patent litigation on strategic collaboration from partnership (e.g. licensing and strategic alliance) to takeover (i.e. merger and acquisition). Finally, the author reflects on the findings, and maps out critical paths toward new research. This process also reveals that stakeholders, industrial settings and country environments moderate the studied relationship. This paper contributes to knowledge and practice: appreciates the interdisciplinary endeavors to draw the findings; categorizes patent litigation and its effect; and critiques prior studies on the relationship to integrate knowledge for future research.","author":[{"dropping-particle":"","family":"Yang","given":"Deli","non-dropping-particle":"","parse-names":false,"suffix":""}],"container-title":"International Journal of Management Reviews","id":"ITEM-2","issue":"4","issued":{"date-parts":[["2019"]]},"page":"427-446","title":"Patent Litigation Strategy and Its Effects on the Firm","type":"article-journal","volume":"21"},"uris":["http://www.mendeley.com/documents/?uuid=f1009a64-cba1-49ce-9442-f96be48c190f"]},{"id":"ITEM-3","itemData":{"DOI":"10.1016/j.respol.2005.12.001","ISSN":"00487333","abstract":"This paper presents an empirical analysis of the determinants of research cooperation between firms and Public research organisations (PROs) for a sample of innovating small and medium-sized enterprises (SMEs). The econometric analysis is based on the results of the KNOW survey carried out in seven EU countries during 2000. In contrast to earlier works that provide information about the importance of PROs' research, we know the number of firm/PRO collaborative research and development (R and D) projects. This allows us to study the determinants of firm collaboration with PROs in terms of both the propensity of a firm to undertake R and D projects with a university (do they cooperate or not) and the extent of this collaboration (number of R and D projects). Two questions are addressed. Which firms cooperated with PROs? And what are the firm characteristics that might explain the number of R and D projects with PROs? The results of our analysis point to two major phenomena. First, the propensity to forge an agreement with an academic partner depends on the 'absolute size' of the industrial partner. Second the openness of firms to the external environment, as measured by their willingness to search, screen and signal, significantly affects the development of R and D projects with PROs. Our findings suggest that acquiring knowledge through the screening of publications and involvement in public policies positively affects the probability of signing an agreement with a PRO, but not the number of R and D projects developed. In fact, firms that outsource research and development, and patent to protect innovation and to signal competencies show higher levels of collaboration. © 2005 Elsevier B.V. All rights reserved.","author":[{"dropping-particle":"","family":"Fontana","given":"Roberto","non-dropping-particle":"","parse-names":false,"suffix":""},{"dropping-particle":"","family":"Geuna","given":"Aldo","non-dropping-particle":"","parse-names":false,"suffix":""},{"dropping-particle":"","family":"Matt","given":"Mireille","non-dropping-particle":"","parse-names":false,"suffix":""}],"container-title":"Research Policy","id":"ITEM-3","issue":"2","issued":{"date-parts":[["2006"]]},"page":"309-323","title":"Factors affecting university-industry R and D projects: The importance of searching, screening and signalling","type":"article-journal","volume":"35"},"uris":["http://www.mendeley.com/documents/?uuid=407217fe-b29f-4c1b-840d-3b17ae9b398c"]},{"id":"ITEM-4","itemData":{"DOI":"10.1080/09537325.2021.1977790","ISSN":"14653990","abstract":"Patents are often studied as signals that convey invaluable insights into a firm’s inventive capabilities, aiding in the reduction of knowledge asymmetries between the firm and external investors. Yet, most researchers examine patents as providing a single positive signal. We argue patents provide multiple and possibly countervailing signals; some characteristics may increase perceived knowledge asymmetries, while others decrease perceived knowledge asymmetries. We provide evidence patent characteristics provide multiple signals, impacting investors’ perceived knowledge asymmetries.","author":[{"dropping-particle":"","family":"Levitas","given":"Edward","non-dropping-particle":"","parse-names":false,"suffix":""},{"dropping-particle":"","family":"Ann McFadyen","given":"M.","non-dropping-particle":"","parse-names":false,"suffix":""}],"container-title":"Technology Analysis and Strategic Management","id":"ITEM-4","issued":{"date-parts":[["2021"]]},"publisher":"Taylor &amp; Francis","title":"Biopharmaceutical patents: multifaceted signals, reducing and enhancing knowledge asymmetries in drug discovery","type":"article-journal"},"uris":["http://www.mendeley.com/documents/?uuid=eda15c4c-9c0d-4471-a652-a1276ca2328e"]}],"mendeley":{"formattedCitation":"(Fontana et al., 2006; Levitas and Ann McFadyen, 2021; Somaya, 2012; Yang, 2019)","manualFormatting":"(Fontana et al., 2006; Levitas and McFadyen, 2021; Somaya, 2012; Yang, 2019)","plainTextFormattedCitation":"(Fontana et al., 2006; Levitas and Ann McFadyen, 2021; Somaya, 2012; Yang, 2019)","previouslyFormattedCitation":"(Fontana et al., 2006; Levitas and Ann McFadyen, 2021; Somaya, 2012; Yang, 2019)"},"properties":{"noteIndex":0},"schema":"https://github.com/citation-style-language/schema/raw/master/csl-citation.json"}</w:instrText>
      </w:r>
      <w:r>
        <w:fldChar w:fldCharType="separate"/>
      </w:r>
      <w:r w:rsidR="0055130F" w:rsidRPr="0055130F">
        <w:rPr>
          <w:noProof/>
        </w:rPr>
        <w:t>(Fontana et al., 2006; Levitas and</w:t>
      </w:r>
      <w:r w:rsidR="0055130F">
        <w:rPr>
          <w:noProof/>
        </w:rPr>
        <w:t xml:space="preserve"> </w:t>
      </w:r>
      <w:r w:rsidR="0055130F" w:rsidRPr="0055130F">
        <w:rPr>
          <w:noProof/>
        </w:rPr>
        <w:t>McFadyen, 2021; Somaya, 2012; Yang, 2019)</w:t>
      </w:r>
      <w:r>
        <w:fldChar w:fldCharType="end"/>
      </w:r>
      <w:r w:rsidR="008B6AD2">
        <w:t>.</w:t>
      </w:r>
      <w:r w:rsidR="00FB5667">
        <w:t xml:space="preserve"> For example, existing research suggests that patenting signals the underlying quality of SME technology to external investors (typically venture-capitalists), that impacts the likelihood of investment </w:t>
      </w:r>
      <w:r w:rsidR="00FB5667">
        <w:fldChar w:fldCharType="begin" w:fldLock="1"/>
      </w:r>
      <w:r w:rsidR="00FB5667">
        <w:instrText>ADDIN CSL_CITATION {"citationItems":[{"id":"ITEM-1","itemData":{"DOI":"10.1093/icc/dty074","ISSN":"14643650","abstract":"It is argued by many that one of the benefits of the patent system is that it creates a property right to invention that enables firms to obtain financing for the development of that invention. In this paper, I review the reasons why ownership of knowledge assets might be useful in attracting finance and then survey the empirical evidence on patent ownership and its impact on the ability of firms to obtain further financing at different stages of their development, both starting up and after becoming established. Studies that attempt to separately identify the role of patent rights and the underlying quality of the associated innovation(s) will be emphasized, although these are rather rare.","author":[{"dropping-particle":"","family":"Hall","given":"Bronwyn H.","non-dropping-particle":"","parse-names":false,"suffix":""}],"container-title":"Industrial and Corporate Change","id":"ITEM-1","issue":"3","issued":{"date-parts":[["2019"]]},"page":"657-680","title":"Is there a role for patents in the financing of new innovative firms?","type":"article-journal","volume":"28"},"uris":["http://www.mendeley.com/documents/?uuid=ea5c33ea-3c1d-4c7b-b6f5-7830ce493118"]},{"id":"ITEM-2","itemData":{"abstract":"We present a theoretical model of startup signaling with multiple signals and potential differences in external investor preferences. For a novel sample of technology incubator startups, we empirically examine the use of patents and founder, friends, and family (FFF) money as such signals, finding that they are jointly endogenous to venture capital and business angel investment in the startups. For this sample, venture capitalists appear to value patents more highly than FFF money, while the reverse is true for business angels. Moreover, the impact of patents on venture capitalists is larger than the impact of FFF money on business angels.","author":[{"dropping-particle":"","family":"Conti","given":"A","non-dropping-particle":"","parse-names":false,"suffix":""},{"dropping-particle":"","family":"Thursby","given":"M","non-dropping-particle":"","parse-names":false,"suffix":""},{"dropping-particle":"","family":"Rothaermel","given":"Frank T","non-dropping-particle":"","parse-names":false,"suffix":""}],"container-title":"Journal of Economics &amp; Management Strategy","id":"ITEM-2","issue":"2","issued":{"date-parts":[["2013"]]},"page":"341-364","title":"Show Me the Right Stuff: Signals for High-Tech Startups, Working paper,College of Management","type":"article-journal","volume":"22"},"uris":["http://www.mendeley.com/documents/?uuid=6e41f7f4-1fd3-4533-bc60-b2f6875e992a"]}],"mendeley":{"formattedCitation":"(Conti et al., 2013; Hall, 2019)","plainTextFormattedCitation":"(Conti et al., 2013; Hall, 2019)","previouslyFormattedCitation":"(Conti et al., 2013; Hall, 2019)"},"properties":{"noteIndex":0},"schema":"https://github.com/citation-style-language/schema/raw/master/csl-citation.json"}</w:instrText>
      </w:r>
      <w:r w:rsidR="00FB5667">
        <w:fldChar w:fldCharType="separate"/>
      </w:r>
      <w:r w:rsidR="00FB5667" w:rsidRPr="00FB5667">
        <w:rPr>
          <w:noProof/>
        </w:rPr>
        <w:t>(Conti et al., 2013; Hall, 2019)</w:t>
      </w:r>
      <w:r w:rsidR="00FB5667">
        <w:fldChar w:fldCharType="end"/>
      </w:r>
      <w:r w:rsidR="00FB5667">
        <w:t xml:space="preserve">. Others suggest that patenting signals the underlying quality of proprietary technology to potential licensees </w:t>
      </w:r>
      <w:r w:rsidR="00FB5667">
        <w:fldChar w:fldCharType="begin" w:fldLock="1"/>
      </w:r>
      <w:r w:rsidR="00C50586">
        <w:instrText>ADDIN CSL_CITATION {"citationItems":[{"id":"ITEM-1","itemData":{"DOI":"10.1287/mnsc.1070.0814","ISSN":"00251909","abstract":"This paper considers the impact of the intellectual property (IP) system on the timing of cooperation/licensing by start-up technology entrepreneurs. If the market for technology licenses is efficient, the timing of licensing is independent of whether IP has already been granted. In contrast, the need to disclose complementary (yet unprotected) knowledge, asymmetric information or search costs may retard efficient technology transfer. In these cases, reductions in uncertainty surrounding the scope and extent of IP rights may facilitate trade in the market for ideas. We employ a data set combining information about cooperative licensing and the timing of patent allowances (the administrative event when patent rights are clarified). Although preallowance licensing does occur, the hazard rate for achieving a cooperative licensing agreement significantly increases after patent allowance. Moreover, the impact of the patent system depends on the strategic and institutional environment in which firms operate. Patent allowance plays a particularly important role for technologies with longer technology ife cycles or that lack alternative appropriation mechanisms such as copyright, reputation, or brokers. The findings suggest that imperfections in the market for ideas may be important, and that formal IP rights may facilitate gains from technological trade. © 2008 INFORMS.","author":[{"dropping-particle":"","family":"Gans","given":"Joshua S.","non-dropping-particle":"","parse-names":false,"suffix":""},{"dropping-particle":"","family":"Hsu","given":"David H.","non-dropping-particle":"","parse-names":false,"suffix":""},{"dropping-particle":"","family":"Stern","given":"Scott","non-dropping-particle":"","parse-names":false,"suffix":""}],"container-title":"Management Science","id":"ITEM-1","issue":"5","issued":{"date-parts":[["2008"]]},"page":"982-997","title":"The impact of uncertain intellectual property rights on the market for ideas: Evidence from patent grant delays","type":"article-journal","volume":"54"},"uris":["http://www.mendeley.com/documents/?uuid=32fc6d03-4d77-4535-8fcd-f6bac152114c"]},{"id":"ITEM-2","itemData":{"DOI":"10.1093/icc/dtab036","ISSN":"0960-6491","abstract":"Emerging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Change","id":"ITEM-2","issued":{"date-parts":[["2021"]]},"page":"1-27","title":"Knowledge exchange under asymmetric information in emerging economies: impact of signals from Indian universities","type":"article-journal"},"uris":["http://www.mendeley.com/documents/?uuid=eaad0201-d4ea-437d-8174-f04068f367a3"]}],"mendeley":{"formattedCitation":"(Gans et al., 2008; Ray and Sengupta, 2021)","plainTextFormattedCitation":"(Gans et al., 2008; Ray and Sengupta, 2021)","previouslyFormattedCitation":"(Gans et al., 2008; Ray and Sengupta, 2021)"},"properties":{"noteIndex":0},"schema":"https://github.com/citation-style-language/schema/raw/master/csl-citation.json"}</w:instrText>
      </w:r>
      <w:r w:rsidR="00FB5667">
        <w:fldChar w:fldCharType="separate"/>
      </w:r>
      <w:r w:rsidR="00E63B45" w:rsidRPr="00E63B45">
        <w:rPr>
          <w:noProof/>
        </w:rPr>
        <w:t>(Gans et al., 2008; Ray and Sengupta, 2021)</w:t>
      </w:r>
      <w:r w:rsidR="00FB5667">
        <w:fldChar w:fldCharType="end"/>
      </w:r>
      <w:r w:rsidR="00FB5667">
        <w:t xml:space="preserve"> and potential collaboration partners </w:t>
      </w:r>
      <w:r w:rsidR="00FB5667">
        <w:fldChar w:fldCharType="begin" w:fldLock="1"/>
      </w:r>
      <w:r w:rsidR="00E63B45">
        <w:instrText>ADDIN CSL_CITATION {"citationItems":[{"id":"ITEM-1","itemData":{"DOI":"10.1016/j.respol.2005.12.001","ISSN":"00487333","abstract":"This paper presents an empirical analysis of the determinants of research cooperation between firms and Public research organisations (PROs) for a sample of innovating small and medium-sized enterprises (SMEs). The econometric analysis is based on the results of the KNOW survey carried out in seven EU countries during 2000. In contrast to earlier works that provide information about the importance of PROs' research, we know the number of firm/PRO collaborative research and development (R and D) projects. This allows us to study the determinants of firm collaboration with PROs in terms of both the propensity of a firm to undertake R and D projects with a university (do they cooperate or not) and the extent of this collaboration (number of R and D projects). Two questions are addressed. Which firms cooperated with PROs? And what are the firm characteristics that might explain the number of R and D projects with PROs? The results of our analysis point to two major phenomena. First, the propensity to forge an agreement with an academic partner depends on the 'absolute size' of the industrial partner. Second the openness of firms to the external environment, as measured by their willingness to search, screen and signal, significantly affects the development of R and D projects with PROs. Our findings suggest that acquiring knowledge through the screening of publications and involvement in public policies positively affects the probability of signing an agreement with a PRO, but not the number of R and D projects developed. In fact, firms that outsource research and development, and patent to protect innovation and to signal competencies show higher levels of collaboration. © 2005 Elsevier B.V. All rights reserved.","author":[{"dropping-particle":"","family":"Fontana","given":"Roberto","non-dropping-particle":"","parse-names":false,"suffix":""},{"dropping-particle":"","family":"Geuna","given":"Aldo","non-dropping-particle":"","parse-names":false,"suffix":""},{"dropping-particle":"","family":"Matt","given":"Mireille","non-dropping-particle":"","parse-names":false,"suffix":""}],"container-title":"Research Policy","id":"ITEM-1","issue":"2","issued":{"date-parts":[["2006"]]},"page":"309-323","title":"Factors affecting university-industry R and D projects: The importance of searching, screening and signalling","type":"article-journal","volume":"35"},"uris":["http://www.mendeley.com/documents/?uuid=407217fe-b29f-4c1b-840d-3b17ae9b398c"]}],"mendeley":{"formattedCitation":"(Fontana et al., 2006)","plainTextFormattedCitation":"(Fontana et al., 2006)","previouslyFormattedCitation":"(Fontana et al., 2006)"},"properties":{"noteIndex":0},"schema":"https://github.com/citation-style-language/schema/raw/master/csl-citation.json"}</w:instrText>
      </w:r>
      <w:r w:rsidR="00FB5667">
        <w:fldChar w:fldCharType="separate"/>
      </w:r>
      <w:r w:rsidR="00FB5667" w:rsidRPr="00FB5667">
        <w:rPr>
          <w:noProof/>
        </w:rPr>
        <w:t>(Fontana et al., 2006)</w:t>
      </w:r>
      <w:r w:rsidR="00FB5667">
        <w:fldChar w:fldCharType="end"/>
      </w:r>
      <w:r w:rsidR="00FB5667">
        <w:t>. There is comparatively li</w:t>
      </w:r>
      <w:r w:rsidR="00830656">
        <w:t>ttle known about</w:t>
      </w:r>
      <w:r>
        <w:t xml:space="preserve"> </w:t>
      </w:r>
      <w:r w:rsidR="00D65C6A">
        <w:t xml:space="preserve">the </w:t>
      </w:r>
      <w:r>
        <w:t>signaling function</w:t>
      </w:r>
      <w:r w:rsidR="00C07725">
        <w:t>s</w:t>
      </w:r>
      <w:r>
        <w:t xml:space="preserve"> of litigation</w:t>
      </w:r>
      <w:r w:rsidR="00830656">
        <w:t xml:space="preserve"> within this literature</w:t>
      </w:r>
      <w:r w:rsidR="00E63B45">
        <w:t xml:space="preserve">, which </w:t>
      </w:r>
      <w:r w:rsidR="003820E3">
        <w:t>mostly addresse</w:t>
      </w:r>
      <w:r w:rsidR="00830656">
        <w:t>s litigation</w:t>
      </w:r>
      <w:r w:rsidR="003820E3">
        <w:t xml:space="preserve"> from the</w:t>
      </w:r>
      <w:r>
        <w:t xml:space="preserve"> plaintiff</w:t>
      </w:r>
      <w:r w:rsidR="003820E3">
        <w:t>’</w:t>
      </w:r>
      <w:r>
        <w:t>s</w:t>
      </w:r>
      <w:r w:rsidR="003820E3">
        <w:t xml:space="preserve"> perspective</w:t>
      </w:r>
      <w:r w:rsidR="00E63B45">
        <w:t xml:space="preserve">. For example, some </w:t>
      </w:r>
      <w:r w:rsidR="00D65C6A">
        <w:t xml:space="preserve">studies </w:t>
      </w:r>
      <w:r w:rsidR="00E63B45">
        <w:t>have shown that</w:t>
      </w:r>
      <w:r>
        <w:t xml:space="preserve"> filing </w:t>
      </w:r>
      <w:r w:rsidR="003820E3">
        <w:t xml:space="preserve">for </w:t>
      </w:r>
      <w:r>
        <w:t>litigation against rival firms create</w:t>
      </w:r>
      <w:r w:rsidR="00830656">
        <w:t>s</w:t>
      </w:r>
      <w:r>
        <w:t xml:space="preserve"> deterrent effects </w:t>
      </w:r>
      <w:r>
        <w:fldChar w:fldCharType="begin" w:fldLock="1"/>
      </w:r>
      <w:r>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level.","author":[{"dropping-particle":"","family":"Clarkson","given":"Gavin","non-dropping-particle":"","parse-names":false,"suffix":""},{"dropping-particle":"","family":"Toh","given":"Puay Khoon","non-dropping-particle":"","parse-names":false,"suffix":""}],"container-title":"Strategic Management Journal","id":"ITEM-1","issued":{"date-parts":[["2010"]]},"page":"1202-1225","title":"'Keep Out' Signs: The role of deterrence in the competition for resources","type":"article-journal","volume":"31"},"uris":["http://www.mendeley.com/documents/?uuid=53dd4855-5819-4c97-89ff-4ba5e0982f98"]},{"id":"ITEM-2","itemData":{"DOI":"10.1002/smj","ISBN":"1097-0266","ISSN":"01432095","abstract":"Examining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Agarwal","given":"Rajshree","non-dropping-particle":"","parse-names":false,"suffix":""},{"dropping-particle":"","family":"Ganco","given":"Martin","non-dropping-particle":"","parse-names":false,"suffix":""},{"dropping-particle":"","family":"Ziedonis","given":"Rosemarie H","non-dropping-particle":"","parse-names":false,"suffix":""}],"container-title":"Strategic Management Journal","id":"ITEM-2","issued":{"date-parts":[["2009"]]},"page":"1349-1374","title":"Reputations for toughness in patent enforcement: Implications for knowledge spillovers via inventor mobility","type":"article-journal","volume":"30"},"uris":["http://www.mendeley.com/documents/?uuid=6ad61b5b-bf69-47c8-9f9e-54e883a5fb30"]}],"mendeley":{"formattedCitation":"(Agarwal et al., 2009; Clarkson and Toh, 2010)","plainTextFormattedCitation":"(Agarwal et al., 2009; Clarkson and Toh, 2010)","previouslyFormattedCitation":"(Agarwal et al., 2009; Clarkson and Toh, 2010)"},"properties":{"noteIndex":0},"schema":"https://github.com/citation-style-language/schema/raw/master/csl-citation.json"}</w:instrText>
      </w:r>
      <w:r>
        <w:fldChar w:fldCharType="separate"/>
      </w:r>
      <w:r w:rsidRPr="00A27A99">
        <w:rPr>
          <w:noProof/>
        </w:rPr>
        <w:t>(Agarwal et al., 2009; Clarkson and Toh, 2010)</w:t>
      </w:r>
      <w:r>
        <w:fldChar w:fldCharType="end"/>
      </w:r>
      <w:r>
        <w:t>.</w:t>
      </w:r>
      <w:r w:rsidR="00830656">
        <w:t xml:space="preserve"> </w:t>
      </w:r>
      <w:r w:rsidR="00AF2937">
        <w:t>The defendant perspective is much less understood</w:t>
      </w:r>
      <w:r w:rsidR="00C07725">
        <w:t>.</w:t>
      </w:r>
      <w:r w:rsidR="00E63B45">
        <w:t xml:space="preserve"> </w:t>
      </w:r>
      <w:r w:rsidR="00C07725">
        <w:t>H</w:t>
      </w:r>
      <w:r w:rsidR="00E63B45">
        <w:t>owever, our findings shed light on this issue and contribute to the signaling and IP literature by elaborating new signaling fun</w:t>
      </w:r>
      <w:r w:rsidR="009D5F50">
        <w:t>c</w:t>
      </w:r>
      <w:r w:rsidR="00E63B45">
        <w:t>tions of litigation</w:t>
      </w:r>
      <w:r w:rsidR="00AF2937">
        <w:t>.</w:t>
      </w:r>
      <w:r w:rsidR="00E63B45">
        <w:t xml:space="preserve"> In doing so, we </w:t>
      </w:r>
      <w:r w:rsidR="00C07725">
        <w:t>advance</w:t>
      </w:r>
      <w:r w:rsidR="00E63B45">
        <w:t xml:space="preserve"> existing literature that has begun to explore the strategic outcomes of defending patent infringement claims, </w:t>
      </w:r>
      <w:r w:rsidR="00D65C6A">
        <w:t>such as</w:t>
      </w:r>
      <w:r w:rsidR="00E63B45">
        <w:t xml:space="preserve"> </w:t>
      </w:r>
      <w:r>
        <w:fldChar w:fldCharType="begin" w:fldLock="1"/>
      </w:r>
      <w:r>
        <w:instrText>ADDIN CSL_CITATION {"citationItems":[{"id":"ITEM-1","itemData":{"abstract":"While patent litigation is an important appropriability mechanism for protecting firms' proprietary knowledge, through the litigation process, valuable knowledge may unintentionally spill over from firms defending their patents to those they accuse of patent infringement. We examine whether such spillover subsequently enhances the innovation of accused firms by analyzing over 3000 patent litigation cases from 1998 through 2015 in the U.S. pharmaceutical industry. We find that firms accused of infringement have higher levels of innovation following litigation relative to other similar firms. Furthermore, litigation of patents that build on recent and heterogeneous knowledge and those of greater scope more strongly enhanced the accused firms' subsequent innovation. These findings support the argument that patent litigation can facilitate knowledge spillover.","author":[{"dropping-particle":"","family":"Awate","given":"Kiran S","non-dropping-particle":"","parse-names":false,"suffix":""},{"dropping-particle":"","family":"Makhija","given":"Mona","non-dropping-particle":"","parse-names":false,"suffix":""}],"container-title":"Academy of Management Journal","id":"ITEM-1","issued":{"date-parts":[["2021"]]},"title":"A Trojan Horse Inside the Gates? Knowledge Spillovers during Patent Litigation","type":"article-journal"},"uris":["http://www.mendeley.com/documents/?uuid=e519a1d0-cdbb-4f98-8504-a35ee036a16a"]}],"mendeley":{"formattedCitation":"(Awate and Makhija, 2021)","manualFormatting":"Awate and Makhija (2021)","plainTextFormattedCitation":"(Awate and Makhija, 2021)","previouslyFormattedCitation":"(Awate and Makhija, 2021)"},"properties":{"noteIndex":0},"schema":"https://github.com/citation-style-language/schema/raw/master/csl-citation.json"}</w:instrText>
      </w:r>
      <w:r>
        <w:fldChar w:fldCharType="separate"/>
      </w:r>
      <w:r w:rsidRPr="004E6F7C">
        <w:rPr>
          <w:noProof/>
        </w:rPr>
        <w:t xml:space="preserve">Awate and Makhija </w:t>
      </w:r>
      <w:r>
        <w:rPr>
          <w:noProof/>
        </w:rPr>
        <w:t>(</w:t>
      </w:r>
      <w:r w:rsidRPr="004E6F7C">
        <w:rPr>
          <w:noProof/>
        </w:rPr>
        <w:t>2021)</w:t>
      </w:r>
      <w:r>
        <w:fldChar w:fldCharType="end"/>
      </w:r>
      <w:r w:rsidR="00E63B45">
        <w:t xml:space="preserve"> who</w:t>
      </w:r>
      <w:r>
        <w:t xml:space="preserve"> </w:t>
      </w:r>
      <w:r w:rsidR="00E63B45">
        <w:t>show</w:t>
      </w:r>
      <w:r w:rsidR="001B626A">
        <w:t xml:space="preserve"> </w:t>
      </w:r>
      <w:r>
        <w:t>that firms accused of patent infringement may benefit from knowledge spillovers</w:t>
      </w:r>
      <w:r w:rsidR="005B76A5">
        <w:t xml:space="preserve">. Naturally, our context is different because universities do not develop products and compete with firms. </w:t>
      </w:r>
      <w:r w:rsidR="00BC683B">
        <w:t xml:space="preserve">Nevertheless, our theory integration provides new opportunities for theorizing </w:t>
      </w:r>
      <w:r w:rsidR="002A57A3">
        <w:t xml:space="preserve">about patent enforcement </w:t>
      </w:r>
      <w:r w:rsidR="00BC683B">
        <w:t xml:space="preserve">because rational plaintiffs in patent litigation should not just consider the immediate benefits of enforcing their rights but also the unintended signaling effects for defendants which might be interpreted positively by relevant </w:t>
      </w:r>
      <w:r w:rsidR="00BC683B">
        <w:lastRenderedPageBreak/>
        <w:t xml:space="preserve">outside parties such as potential licensees. </w:t>
      </w:r>
      <w:r w:rsidR="002051B8">
        <w:t>This makes the interpretation of unintended patent litigation signals salient for future theorizing, e.g. about the perceptions of students when potential employers litigate against their university.</w:t>
      </w:r>
    </w:p>
    <w:p w14:paraId="18531D3F" w14:textId="11EFFE02" w:rsidR="00D01E66" w:rsidRDefault="00BF2E42" w:rsidP="00E82C89">
      <w:pPr>
        <w:pStyle w:val="2ndparagraph"/>
      </w:pPr>
      <w:r>
        <w:t>Collectively, these results have important practical implications for universities seeking to maximize licensing revenues. W</w:t>
      </w:r>
      <w:r w:rsidR="000A3C6C" w:rsidRPr="00211DF0">
        <w:t>hen universities are confronted with claims of patent infringement, an initial response may be to avoid conflict</w:t>
      </w:r>
      <w:r w:rsidR="00C3493E">
        <w:t>,</w:t>
      </w:r>
      <w:r w:rsidR="00F23C52">
        <w:t xml:space="preserve"> due to</w:t>
      </w:r>
      <w:r w:rsidR="000A3C6C" w:rsidRPr="00211DF0">
        <w:t xml:space="preserve"> </w:t>
      </w:r>
      <w:r w:rsidR="0008587B" w:rsidRPr="00211DF0">
        <w:t>the</w:t>
      </w:r>
      <w:r w:rsidR="000A3C6C" w:rsidRPr="00211DF0">
        <w:t xml:space="preserve"> </w:t>
      </w:r>
      <w:r w:rsidR="00C3493E">
        <w:t>potential</w:t>
      </w:r>
      <w:r w:rsidR="00C3493E" w:rsidRPr="00211DF0">
        <w:t xml:space="preserve"> </w:t>
      </w:r>
      <w:r w:rsidR="000A3C6C" w:rsidRPr="00211DF0">
        <w:t>reputational damage and operational disruption</w:t>
      </w:r>
      <w:r w:rsidR="0008587B" w:rsidRPr="00211DF0">
        <w:t xml:space="preserve"> associated with litigation</w:t>
      </w:r>
      <w:r>
        <w:t xml:space="preserve"> </w:t>
      </w:r>
      <w:r>
        <w:fldChar w:fldCharType="begin" w:fldLock="1"/>
      </w:r>
      <w:r w:rsidR="00423409">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efforts","type":"article-journal","volume":"63"},"uris":["http://www.mendeley.com/documents/?uuid=d01082fe-3071-45b1-b4b7-e8b95731a296"]}],"mendeley":{"formattedCitation":"(Shane and Somaya, 2007)","plainTextFormattedCitation":"(Shane and Somaya, 2007)","previouslyFormattedCitation":"(Shane and Somaya, 2007)"},"properties":{"noteIndex":0},"schema":"https://github.com/citation-style-language/schema/raw/master/csl-citation.json"}</w:instrText>
      </w:r>
      <w:r>
        <w:fldChar w:fldCharType="separate"/>
      </w:r>
      <w:r w:rsidRPr="00BF2E42">
        <w:rPr>
          <w:noProof/>
        </w:rPr>
        <w:t>(Shane and Somaya, 2007)</w:t>
      </w:r>
      <w:r>
        <w:fldChar w:fldCharType="end"/>
      </w:r>
      <w:r w:rsidR="000A3C6C" w:rsidRPr="00211DF0">
        <w:t>.</w:t>
      </w:r>
      <w:r>
        <w:t xml:space="preserve"> This systematic avoidance of litigation means that universities may often enter into unfavorable pre-litigation agreements.</w:t>
      </w:r>
      <w:r w:rsidR="000A3C6C" w:rsidRPr="00211DF0">
        <w:t xml:space="preserve"> Our results indicate that in fact, universities should be more robust in their defense of patent infringement claims, particularly when they have</w:t>
      </w:r>
      <w:r w:rsidR="0008587B" w:rsidRPr="00211DF0">
        <w:t xml:space="preserve"> a</w:t>
      </w:r>
      <w:r w:rsidR="000A3C6C" w:rsidRPr="00211DF0">
        <w:t xml:space="preserve"> strong</w:t>
      </w:r>
      <w:r w:rsidR="00C3493E">
        <w:t xml:space="preserve"> </w:t>
      </w:r>
      <w:r w:rsidR="000A3C6C" w:rsidRPr="00211DF0">
        <w:t>track</w:t>
      </w:r>
      <w:r w:rsidR="00C3493E">
        <w:t>-</w:t>
      </w:r>
      <w:r w:rsidR="000A3C6C" w:rsidRPr="00211DF0">
        <w:t>record in commercialization and when commercial partners are co-</w:t>
      </w:r>
      <w:r w:rsidR="00C3493E">
        <w:t>defendants</w:t>
      </w:r>
      <w:r w:rsidR="000A3C6C" w:rsidRPr="00211DF0">
        <w:t xml:space="preserve">. </w:t>
      </w:r>
      <w:r w:rsidR="00C3493E">
        <w:t>This sheds a new light on</w:t>
      </w:r>
      <w:r w:rsidR="0008587B" w:rsidRPr="00211DF0">
        <w:t xml:space="preserve"> commercialization research </w:t>
      </w:r>
      <w:r w:rsidR="0008587B" w:rsidRPr="00211DF0">
        <w:fldChar w:fldCharType="begin" w:fldLock="1"/>
      </w:r>
      <w:r w:rsidR="00963C3B" w:rsidRPr="00211DF0">
        <w:instrText>ADDIN CSL_CITATION {"citationItems":[{"id":"ITEM-1","itemData":{"DOI":"10.1016/S0048-7333(01)00196-2","ISSN":"00487333","author":[{"dropping-particle":"","family":"Siegel","given":"Donald","non-dropping-particle":"","parse-names":false,"suffix":""},{"dropping-particle":"","family":"Waldman","given":"David","non-dropping-particle":"","parse-names":false,"suffix":""},{"dropping-particle":"","family":"Link","given":"Albert","non-dropping-particle":"","parse-names":false,"suffix":""}],"container-title":"Research Policy","id":"ITEM-1","issue":"1","issued":{"date-parts":[["2003","1"]]},"page":"27-48","title":"Assessing the impact of organizational practices on the relative productivity of university technology transfer offices: an exploratory study","type":"article-journal","volume":"32"},"uris":["http://www.mendeley.com/documents/?uuid=e46987f6-89c5-3b6f-b14b-8fc764f55f9f"]},{"id":"ITEM-2","itemData":{"DOI":"10.1016/j.respol.2005.01.007","ISBN":"0048-7333","ISSN":"00487333","PMID":"2878","abstract":"We present evidence on the relative performance of U.K. university technology transfer offices (TTOs) using data envelopment analysis (DEA) and stochastic frontier estimation (SFE). U.K. TTOs are found to exhibit low-levels of absolute efficiency. There also appear to be decreasing returns to scale, implying that TTOs may need to be reconfigured into smaller units. The development of regionally-based sector focused TTOs is also advised. Consistent with qualitative evidence from U.S. TTOs, we find that there is a need to upgrade the business skills and capabilities of U.K. TTO managers and licensing officers. © 2005 Elsevier B.V. All rights reserved.","author":[{"dropping-particle":"","family":"Chapple","given":"Wendy","non-dropping-particle":"","parse-names":false,"suffix":""},{"dropping-particle":"","family":"Lockett","given":"Andy","non-dropping-particle":"","parse-names":false,"suffix":""},{"dropping-particle":"","family":"Siegel","given":"Donald","non-dropping-particle":"","parse-names":false,"suffix":""},{"dropping-particle":"","family":"Wright","given":"Mike","non-dropping-particle":"","parse-names":false,"suffix":""}],"container-title":"Research Policy","id":"ITEM-2","issue":"3","issued":{"date-parts":[["2005"]]},"page":"369-384","title":"Assessing the relative performance of U.K. university technology transfer offices: Parametric and non-parametric evidence","type":"article-journal","volume":"34"},"uris":["http://www.mendeley.com/documents/?uuid=79f66bd1-a68a-42e0-a3e7-f5910e5a9097"]}],"mendeley":{"formattedCitation":"(Chapple et al., 2005a; D. Siegel et al., 2003)","manualFormatting":"(Chapple et al., 2005a; Siegel et al., 2003)","plainTextFormattedCitation":"(Chapple et al., 2005a; D. Siegel et al., 2003)","previouslyFormattedCitation":"(Chapple et al., 2005a; D. Siegel et al., 2003)"},"properties":{"noteIndex":0},"schema":"https://github.com/citation-style-language/schema/raw/master/csl-citation.json"}</w:instrText>
      </w:r>
      <w:r w:rsidR="0008587B" w:rsidRPr="00211DF0">
        <w:fldChar w:fldCharType="separate"/>
      </w:r>
      <w:r w:rsidR="0008587B" w:rsidRPr="00211DF0">
        <w:rPr>
          <w:noProof/>
        </w:rPr>
        <w:t>(Chapple et al., 2005a; Siegel et al., 2003)</w:t>
      </w:r>
      <w:r w:rsidR="0008587B" w:rsidRPr="00211DF0">
        <w:fldChar w:fldCharType="end"/>
      </w:r>
      <w:r w:rsidR="0008587B" w:rsidRPr="00211DF0">
        <w:t xml:space="preserve"> proposing that universities seeking to grow revenues from commercialization should invest resources in legal functions or on external legal representation. </w:t>
      </w:r>
      <w:r w:rsidR="004A753A">
        <w:t>Within our logic, these investments pay off because they put universities in positions for defend</w:t>
      </w:r>
      <w:r w:rsidR="002A57A3">
        <w:t>ing</w:t>
      </w:r>
      <w:r w:rsidR="004A753A">
        <w:t xml:space="preserve"> patent litigations where they create important signals about the commercial value of their technologies to a broader audience.</w:t>
      </w:r>
      <w:r w:rsidR="00D01E66">
        <w:t xml:space="preserve"> </w:t>
      </w:r>
    </w:p>
    <w:p w14:paraId="3BFCA16F" w14:textId="53FB8BF7" w:rsidR="00DA7701" w:rsidRPr="00211DF0" w:rsidRDefault="00D01E66" w:rsidP="00E82C89">
      <w:pPr>
        <w:pStyle w:val="2ndparagraph"/>
      </w:pPr>
      <w:r>
        <w:t>Another key strategic implication of our findings is that a potential moral hazard problem arises, if universities become aware of the signaling value of defending infringement claims in litigation</w:t>
      </w:r>
      <w:r>
        <w:rPr>
          <w:rStyle w:val="FootnoteReference"/>
        </w:rPr>
        <w:footnoteReference w:id="4"/>
      </w:r>
      <w:r>
        <w:t xml:space="preserve">. Specifically, if a university knows the signaling value of </w:t>
      </w:r>
      <w:r w:rsidR="00F23C52">
        <w:t xml:space="preserve">patent </w:t>
      </w:r>
      <w:r>
        <w:t xml:space="preserve">litigation, it may be more inclined to undertake costly and risky litigation to enhance future licensing revenues than if this signaling value was unknown to them. In considering this strategic trade-off, it is important to remain mindful of the boundary conditions of the signaling effect of litigation that we elaborate above. Importantly, university administrators need to be mindful that signaling effects are stronger when </w:t>
      </w:r>
      <w:r w:rsidR="00C028C0">
        <w:t>they are consistent with previous licensing performance, so we may conclude that moral hazard problems are more likely to arise when the university has a strong record in technology licensing. Another important consideration</w:t>
      </w:r>
      <w:r w:rsidR="00BB039F">
        <w:t xml:space="preserve"> </w:t>
      </w:r>
      <w:r w:rsidR="00BB039F">
        <w:lastRenderedPageBreak/>
        <w:t xml:space="preserve">in relation to this trade-off is the drain on attentional and human resources that patent litigation imposes on university TTOs </w:t>
      </w:r>
      <w:r w:rsidR="00BB039F">
        <w:fldChar w:fldCharType="begin" w:fldLock="1"/>
      </w:r>
      <w:r w:rsidR="008B6AD2">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efforts","type":"article-journal","volume":"63"},"uris":["http://www.mendeley.com/documents/?uuid=72cfedbf-933e-4035-b1f0-e62e27c49f65"]}],"mendeley":{"formattedCitation":"(Shane and Somaya, 2007)","plainTextFormattedCitation":"(Shane and Somaya, 2007)","previouslyFormattedCitation":"(Shane and Somaya, 2007)"},"properties":{"noteIndex":0},"schema":"https://github.com/citation-style-language/schema/raw/master/csl-citation.json"}</w:instrText>
      </w:r>
      <w:r w:rsidR="00BB039F">
        <w:fldChar w:fldCharType="separate"/>
      </w:r>
      <w:r w:rsidR="00BB039F" w:rsidRPr="00BB039F">
        <w:rPr>
          <w:noProof/>
        </w:rPr>
        <w:t>(Shane and Somaya, 2007)</w:t>
      </w:r>
      <w:r w:rsidR="00BB039F">
        <w:fldChar w:fldCharType="end"/>
      </w:r>
      <w:r w:rsidR="00BB039F">
        <w:t xml:space="preserve">, suggesting that moral hazard problems are more likely to arise in </w:t>
      </w:r>
      <w:r w:rsidR="00F46219">
        <w:t>TTOs with greater human resource endowments</w:t>
      </w:r>
      <w:r w:rsidR="00BB039F">
        <w:t xml:space="preserve">. </w:t>
      </w:r>
    </w:p>
    <w:p w14:paraId="76330302" w14:textId="78EBBBE3" w:rsidR="00501471" w:rsidRPr="00501471" w:rsidRDefault="002A57A3" w:rsidP="00501471">
      <w:pPr>
        <w:pStyle w:val="Heading2"/>
      </w:pPr>
      <w:r>
        <w:t>Limitations and d</w:t>
      </w:r>
      <w:r w:rsidR="002667AC" w:rsidRPr="00211DF0">
        <w:t xml:space="preserve">irections for future research </w:t>
      </w:r>
    </w:p>
    <w:p w14:paraId="03AE2FCA" w14:textId="4AA56285" w:rsidR="00AF3B52" w:rsidRDefault="00571FF2" w:rsidP="00FB702C">
      <w:pPr>
        <w:ind w:firstLine="0"/>
        <w:rPr>
          <w:lang w:val="en-US"/>
        </w:rPr>
      </w:pPr>
      <w:r>
        <w:rPr>
          <w:lang w:val="en-US"/>
        </w:rPr>
        <w:t>Although we offer insights into the relationship between patent litigation and university technology licensing, our research has limitations</w:t>
      </w:r>
      <w:r w:rsidR="004E2410">
        <w:rPr>
          <w:lang w:val="en-US"/>
        </w:rPr>
        <w:t xml:space="preserve"> which </w:t>
      </w:r>
      <w:r>
        <w:rPr>
          <w:lang w:val="en-US"/>
        </w:rPr>
        <w:t>we do not address in detail and that fall beyond the scope of a single study</w:t>
      </w:r>
      <w:r w:rsidR="0052324F">
        <w:rPr>
          <w:lang w:val="en-US"/>
        </w:rPr>
        <w:t>.</w:t>
      </w:r>
      <w:r w:rsidR="003652E6">
        <w:rPr>
          <w:lang w:val="en-US"/>
        </w:rPr>
        <w:t xml:space="preserve"> </w:t>
      </w:r>
      <w:r w:rsidR="004E2410">
        <w:rPr>
          <w:lang w:val="en-US"/>
        </w:rPr>
        <w:t>Important limitation</w:t>
      </w:r>
      <w:r w:rsidR="00F23C52">
        <w:rPr>
          <w:lang w:val="en-US"/>
        </w:rPr>
        <w:t>s</w:t>
      </w:r>
      <w:r w:rsidR="004E2410">
        <w:rPr>
          <w:lang w:val="en-US"/>
        </w:rPr>
        <w:t xml:space="preserve"> can be grouped into</w:t>
      </w:r>
      <w:r w:rsidR="0075134D">
        <w:rPr>
          <w:lang w:val="en-US"/>
        </w:rPr>
        <w:t xml:space="preserve"> </w:t>
      </w:r>
      <w:r w:rsidR="00622A89">
        <w:rPr>
          <w:lang w:val="en-US"/>
        </w:rPr>
        <w:t xml:space="preserve">four </w:t>
      </w:r>
      <w:r w:rsidR="0075134D">
        <w:rPr>
          <w:lang w:val="en-US"/>
        </w:rPr>
        <w:t xml:space="preserve">broad categories. </w:t>
      </w:r>
    </w:p>
    <w:p w14:paraId="7ABDB540" w14:textId="4A36BEB1" w:rsidR="00FA74CD" w:rsidRDefault="00633ECA" w:rsidP="00E82C89">
      <w:pPr>
        <w:pStyle w:val="2ndparagraph"/>
      </w:pPr>
      <w:r>
        <w:t>First,</w:t>
      </w:r>
      <w:r w:rsidR="00FA74CD">
        <w:t xml:space="preserve"> we conduct our research in the context of the US</w:t>
      </w:r>
      <w:r w:rsidR="009D4526">
        <w:t>, which may limit the generalizability of our findings</w:t>
      </w:r>
      <w:r w:rsidR="00C50586">
        <w:t xml:space="preserve">. Recent research highlights that there is substantial heterogeneity in the effectiveness and efficiency of patent enforcement across different national and institutional contexts </w:t>
      </w:r>
      <w:r w:rsidR="00C50586">
        <w:fldChar w:fldCharType="begin" w:fldLock="1"/>
      </w:r>
      <w:r w:rsidR="002E0673">
        <w:instrText>ADDIN CSL_CITATION {"citationItems":[{"id":"ITEM-1","itemData":{"DOI":"10.1016/j.jwb.2020.101092","ISSN":"10909516","abstract":"Indices are central for comparing the strength of patent systems across countries in international business research, intellectual property management and policymaking. However, existing approaches rely on book laws while most variance across countries emerges from enforcement. We address this weakness and present the Patent Enforcement Index which tracks differences in patent enforcement for 51 countries between 1998 and 2017. We utilize novel firm-level enforcement data and extend the conceptual framework of the patent systems strength index provided by Papageorgiadis et al. (2014). The new index reveals previously uncaptured volatility in patent enforcement and can be decomposed into three topical sub-indices.","author":[{"dropping-particle":"","family":"Papageorgiadis","given":"Nikolaos","non-dropping-particle":"","parse-names":false,"suffix":""},{"dropping-particle":"","family":"Sofka","given":"Wolfgang","non-dropping-particle":"","parse-names":false,"suffix":""}],"container-title":"Journal of World Business","id":"ITEM-1","issue":"4","issued":{"date-parts":[["2020"]]},"page":"101092","publisher":"Elsevier","title":"Patent enforcement across 51 countries – Patent enforcement index 1998–2017","type":"article-journal","volume":"55"},"uris":["http://www.mendeley.com/documents/?uuid=46d0ccd6-166e-4a97-ba13-a9c6072aefca"]}],"mendeley":{"formattedCitation":"(Papageorgiadis and Sofka, 2020)","plainTextFormattedCitation":"(Papageorgiadis and Sofka, 2020)","previouslyFormattedCitation":"(Papageorgiadis and Sofka, 2020)"},"properties":{"noteIndex":0},"schema":"https://github.com/citation-style-language/schema/raw/master/csl-citation.json"}</w:instrText>
      </w:r>
      <w:r w:rsidR="00C50586">
        <w:fldChar w:fldCharType="separate"/>
      </w:r>
      <w:r w:rsidR="00C50586" w:rsidRPr="00C50586">
        <w:rPr>
          <w:noProof/>
        </w:rPr>
        <w:t>(Papageorgiadis and Sofka, 2020)</w:t>
      </w:r>
      <w:r w:rsidR="00C50586">
        <w:fldChar w:fldCharType="end"/>
      </w:r>
      <w:r w:rsidR="00C50586">
        <w:t>. According to this research, the US is characterized by instit</w:t>
      </w:r>
      <w:r w:rsidR="00F23C52">
        <w:t>u</w:t>
      </w:r>
      <w:r w:rsidR="00C50586">
        <w:t>t</w:t>
      </w:r>
      <w:r w:rsidR="00F23C52">
        <w:t>i</w:t>
      </w:r>
      <w:r w:rsidR="00C50586">
        <w:t>onal arrangements that facilitate effective and efficient enforcement, meaning the threat of litigation is more likely to have consequences on the behavior of firms participating in technology markets. Thus, i</w:t>
      </w:r>
      <w:r w:rsidR="00593F11">
        <w:t>t</w:t>
      </w:r>
      <w:r w:rsidR="00C50586">
        <w:t xml:space="preserve"> may be suggested that the findings of our research are generalizable only to other contexts where institutional arrangements for enforcement are similarly well-developed (e.g</w:t>
      </w:r>
      <w:r w:rsidR="00F23C52">
        <w:t>.</w:t>
      </w:r>
      <w:r w:rsidR="00C50586">
        <w:t xml:space="preserve"> Western Europe and Japan). </w:t>
      </w:r>
      <w:r w:rsidR="002E0673">
        <w:t xml:space="preserve">To address this limitation, we call for future research in emerging and developing contexts, where patent enforcement may not be as effective or efficient </w:t>
      </w:r>
      <w:r w:rsidR="002E0673">
        <w:fldChar w:fldCharType="begin" w:fldLock="1"/>
      </w:r>
      <w:r w:rsidR="002E0673">
        <w:instrText>ADDIN CSL_CITATION {"citationItems":[{"id":"ITEM-1","itemData":{"DOI":"10.1016/j.jwb.2020.101092","ISSN":"10909516","abstract":"Indices are central for comparing the strength of patent systems across countries in international business research, intellectual property management and policymaking. However, existing approaches rely on book laws while most variance across countries emerges from enforcement. We address this weakness and present the Patent Enforcement Index which tracks differences in patent enforcement for 51 countries between 1998 and 2017. We utilize novel firm-level enforcement data and extend the conceptual framework of the patent systems strength index provided by Papageorgiadis et al. (2014). The new index reveals previously uncaptured volatility in patent enforcement and can be decomposed into three topical sub-indices.","author":[{"dropping-particle":"","family":"Papageorgiadis","given":"Nikolaos","non-dropping-particle":"","parse-names":false,"suffix":""},{"dropping-particle":"","family":"Sofka","given":"Wolfgang","non-dropping-particle":"","parse-names":false,"suffix":""}],"container-title":"Journal of World Business","id":"ITEM-1","issue":"4","issued":{"date-parts":[["2020"]]},"page":"101092","publisher":"Elsevier","title":"Patent enforcement across 51 countries – Patent enforcement index 1998–2017","type":"article-journal","volume":"55"},"uris":["http://www.mendeley.com/documents/?uuid=46d0ccd6-166e-4a97-ba13-a9c6072aefca"]}],"mendeley":{"formattedCitation":"(Papageorgiadis and Sofka, 2020)","plainTextFormattedCitation":"(Papageorgiadis and Sofka, 2020)","previouslyFormattedCitation":"(Papageorgiadis and Sofka, 2020)"},"properties":{"noteIndex":0},"schema":"https://github.com/citation-style-language/schema/raw/master/csl-citation.json"}</w:instrText>
      </w:r>
      <w:r w:rsidR="002E0673">
        <w:fldChar w:fldCharType="separate"/>
      </w:r>
      <w:r w:rsidR="002E0673" w:rsidRPr="002E0673">
        <w:rPr>
          <w:noProof/>
        </w:rPr>
        <w:t>(Papageorgiadis and Sofka, 2020)</w:t>
      </w:r>
      <w:r w:rsidR="002E0673">
        <w:fldChar w:fldCharType="end"/>
      </w:r>
      <w:r w:rsidR="002E0673">
        <w:t xml:space="preserve"> and where information asymmetries between universities and industry may be more pronounced </w:t>
      </w:r>
      <w:r w:rsidR="002E0673">
        <w:fldChar w:fldCharType="begin" w:fldLock="1"/>
      </w:r>
      <w:r w:rsidR="004E30D7">
        <w:instrText>ADDIN CSL_CITATION {"citationItems":[{"id":"ITEM-1","itemData":{"DOI":"10.1093/icc/dtab036","ISSN":"0960-6491","abstract":"Emerging and developing countries are characterized by severe information asymmetries in knowledge markets, which when combined with other institutional weaknesses, lead to very low levels of interactions between universities and industry. Using data from a sample of Indian universities, we identify university-specific publicly available organizational characteristics which, acting as “signals,” may reduce the information asymmetry problem and catalyze knowledge exchange (KE) partnerships. We find that strength of passive signals such as university ownership structure and reputation, and active ones such as volume of patents filed, impacts a university’s KE performance positively. The impact of each signal is very KE channel specific, and the magnitude of this impact is large. We also find that signal strength negatively moderates the direct linkage between research and KE, implying that signaling is more relevant for universities where there is greater separation of its research outputs and KE performance.","author":[{"dropping-particle":"","family":"Ray","given":"Amit S","non-dropping-particle":"","parse-names":false,"suffix":""},{"dropping-particle":"","family":"Sengupta","given":"Abhijit","non-dropping-particle":"","parse-names":false,"suffix":""}],"container-title":"Industrial and Corporate Change","id":"ITEM-1","issued":{"date-parts":[["2021"]]},"page":"1-27","title":"Knowledge exchange under asymmetric information in emerging economies: impact of signals from Indian universities","type":"article-journal"},"uris":["http://www.mendeley.com/documents/?uuid=eaad0201-d4ea-437d-8174-f04068f367a3"]}],"mendeley":{"formattedCitation":"(Ray and Sengupta, 2021)","plainTextFormattedCitation":"(Ray and Sengupta, 2021)","previouslyFormattedCitation":"(Ray and Sengupta, 2021)"},"properties":{"noteIndex":0},"schema":"https://github.com/citation-style-language/schema/raw/master/csl-citation.json"}</w:instrText>
      </w:r>
      <w:r w:rsidR="002E0673">
        <w:fldChar w:fldCharType="separate"/>
      </w:r>
      <w:r w:rsidR="002E0673" w:rsidRPr="002E0673">
        <w:rPr>
          <w:noProof/>
        </w:rPr>
        <w:t>(Ray and Sengupta, 2021)</w:t>
      </w:r>
      <w:r w:rsidR="002E0673">
        <w:fldChar w:fldCharType="end"/>
      </w:r>
      <w:r w:rsidR="002E0673">
        <w:t xml:space="preserve">. </w:t>
      </w:r>
    </w:p>
    <w:p w14:paraId="7965E3AF" w14:textId="65C64A9E" w:rsidR="000825F6" w:rsidRDefault="00622A89" w:rsidP="00E82C89">
      <w:pPr>
        <w:pStyle w:val="2ndparagraph"/>
      </w:pPr>
      <w:r>
        <w:t>Second</w:t>
      </w:r>
      <w:r w:rsidR="003F68B3">
        <w:t xml:space="preserve">, </w:t>
      </w:r>
      <w:r w:rsidR="007C12DF">
        <w:t>we currently lack data on motivations and the decision-making process that underpin university decisions to defend again</w:t>
      </w:r>
      <w:r w:rsidR="009D5F50">
        <w:t>s</w:t>
      </w:r>
      <w:r w:rsidR="007C12DF">
        <w:t>t allegations of patent infringement. Consequently, we cannot make any assessment of</w:t>
      </w:r>
      <w:r w:rsidR="003F68B3">
        <w:t xml:space="preserve"> university patent strategies with regards to enforcement, for example we cannot determine whether or not universities are overly cautious or overly aggressive in their litigation activity. This lack of data on lit</w:t>
      </w:r>
      <w:r w:rsidR="007000B7">
        <w:t>i</w:t>
      </w:r>
      <w:r w:rsidR="003F68B3">
        <w:t xml:space="preserve">gation motivations and decision-making also makes it difficult to determine the scope for moral hazard problems. Future research may adopt qualitative designs to uncover the motivations, intentions and decision-making processes through which litigation strategy emerges to further develop our understandings of patent litigation in the context of university technology licensing. Specifically, research </w:t>
      </w:r>
      <w:r w:rsidR="00ED5D25" w:rsidRPr="00211DF0">
        <w:t>might explore the linkages between</w:t>
      </w:r>
      <w:r w:rsidR="00AC539D">
        <w:t xml:space="preserve"> ‘proactive’ </w:t>
      </w:r>
      <w:r w:rsidR="00ED5D25" w:rsidRPr="00211DF0">
        <w:t xml:space="preserve">patent litigation </w:t>
      </w:r>
      <w:r w:rsidR="00ED5D25" w:rsidRPr="00211DF0">
        <w:lastRenderedPageBreak/>
        <w:t>strategies on technology licensing revenues</w:t>
      </w:r>
      <w:r w:rsidR="00AC539D">
        <w:t xml:space="preserve"> </w:t>
      </w:r>
      <w:r w:rsidR="009D4526">
        <w:t>and ‘passive’ patent litigation str</w:t>
      </w:r>
      <w:r w:rsidR="009D5F50">
        <w:t>a</w:t>
      </w:r>
      <w:r w:rsidR="009D4526">
        <w:t xml:space="preserve">tegies </w:t>
      </w:r>
      <w:r w:rsidR="009D4526">
        <w:fldChar w:fldCharType="begin" w:fldLock="1"/>
      </w:r>
      <w:r w:rsidR="009D4526">
        <w:instrText>ADDIN CSL_CITATION {"citationItems":[{"id":"ITEM-1","itemData":{"DOI":"10.1177/0149206315605168","ISSN":"15571211","abstract":"Research has suggested that firms engage in a number of different patent strategies to protect and even gain competitive advantage. However, we know less about the strategies firms employ when engaging in patent litigation. Using proprietary and defensive generic patent strategies as a starting point, this paper describes two types of patent litigation strategies, the types of institutional contexts that would be expected to motivate firms to engage in each, and the performance outcomes of firms undertaking such strategies. Analyzing patent litigation activity between 2002 and 2008 in the pharmaceutical and semiconductor industries, we find that firms in the pharmaceutical industry are more likely to follow a proactive proprietary patent litigation strategy, while firms in the semiconductor industry are more likely to engage in a proactive defensive patent litigation strategy. Furthermore, firms in the semiconductor industry that followed a proactive defensive patent litigation strategy enjoyed better performance than firms that did not engage in this strategy.","author":[{"dropping-particle":"","family":"Rudy","given":"Bruce C.","non-dropping-particle":"","parse-names":false,"suffix":""},{"dropping-particle":"","family":"Black","given":"Stephanie L.","non-dropping-particle":"","parse-names":false,"suffix":""}],"container-title":"Journal of Management","id":"ITEM-1","issue":"3","issued":{"date-parts":[["2018"]]},"page":"1226-1249","title":"Attack or Defend? The Role of Institutional Context on Patent Litigation Strategies","type":"article-journal","volume":"44"},"uris":["http://www.mendeley.com/documents/?uuid=ddf31086-1a1f-4dea-995f-57f27f2f7cad"]}],"mendeley":{"formattedCitation":"(Rudy and Black, 2018)","plainTextFormattedCitation":"(Rudy and Black, 2018)","previouslyFormattedCitation":"(Rudy and Black, 2018)"},"properties":{"noteIndex":0},"schema":"https://github.com/citation-style-language/schema/raw/master/csl-citation.json"}</w:instrText>
      </w:r>
      <w:r w:rsidR="009D4526">
        <w:fldChar w:fldCharType="separate"/>
      </w:r>
      <w:r w:rsidR="009D4526" w:rsidRPr="00AC539D">
        <w:rPr>
          <w:noProof/>
        </w:rPr>
        <w:t>(Rudy and Black, 2018)</w:t>
      </w:r>
      <w:r w:rsidR="009D4526">
        <w:fldChar w:fldCharType="end"/>
      </w:r>
      <w:r w:rsidR="00ED5D25" w:rsidRPr="00211DF0">
        <w:t xml:space="preserve">. </w:t>
      </w:r>
      <w:r w:rsidR="009D4526">
        <w:t>F</w:t>
      </w:r>
      <w:r w:rsidR="00AC539D">
        <w:t xml:space="preserve">uture research might also investigate the effects of litigation outcomes on university technology licensing efforts, for example by examining how litigation success/failure impacts </w:t>
      </w:r>
      <w:r w:rsidR="00F608A5">
        <w:t xml:space="preserve">technology licensing efforts, perhaps exploring the tradeoffs between signaling and reputational effects. </w:t>
      </w:r>
    </w:p>
    <w:p w14:paraId="61C018F5" w14:textId="3F73A614" w:rsidR="006A677D" w:rsidRDefault="00622A89" w:rsidP="00E82C89">
      <w:pPr>
        <w:pStyle w:val="2ndparagraph"/>
      </w:pPr>
      <w:r>
        <w:t>Third</w:t>
      </w:r>
      <w:r w:rsidR="003F68B3">
        <w:t>,</w:t>
      </w:r>
      <w:r w:rsidR="00166426">
        <w:t xml:space="preserve"> recent research has indicated that the media prominence of parties involved in patent disputes has an effect on litigation </w:t>
      </w:r>
      <w:r w:rsidR="00166426">
        <w:fldChar w:fldCharType="begin" w:fldLock="1"/>
      </w:r>
      <w:r w:rsidR="009D4526">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level.","author":[{"dropping-particle":"","family":"Tan","given":"David","non-dropping-particle":"","parse-names":false,"suffix":""}],"container-title":"Strategic Management Journal","id":"ITEM-1","issued":{"date-parts":[["2016"]]},"page":"1341-1353","title":"MAKING THE NEWS: HETEROGENOUS MEDIA COVERAGE AND CORPORATE LITIGATION","type":"article-journal","volume":"37"},"uris":["http://www.mendeley.com/documents/?uuid=a9ced973-3fa5-4e6c-9f61-78955434af52"]}],"mendeley":{"formattedCitation":"(Tan, 2016)","plainTextFormattedCitation":"(Tan, 2016)","previouslyFormattedCitation":"(Tan, 2016)"},"properties":{"noteIndex":0},"schema":"https://github.com/citation-style-language/schema/raw/master/csl-citation.json"}</w:instrText>
      </w:r>
      <w:r w:rsidR="00166426">
        <w:fldChar w:fldCharType="separate"/>
      </w:r>
      <w:r w:rsidR="00166426" w:rsidRPr="00166426">
        <w:rPr>
          <w:noProof/>
        </w:rPr>
        <w:t>(Tan, 2016)</w:t>
      </w:r>
      <w:r w:rsidR="00166426">
        <w:fldChar w:fldCharType="end"/>
      </w:r>
      <w:r w:rsidR="00166426">
        <w:t>. Specifically, it is demonstrated that more high-pr</w:t>
      </w:r>
      <w:r w:rsidR="00B53AA6">
        <w:t xml:space="preserve">ofile litigants </w:t>
      </w:r>
      <w:r w:rsidR="00166426">
        <w:t>(i.e</w:t>
      </w:r>
      <w:r w:rsidR="009D5F50">
        <w:t>.</w:t>
      </w:r>
      <w:r w:rsidR="00B53AA6">
        <w:t xml:space="preserve"> parties</w:t>
      </w:r>
      <w:r w:rsidR="00166426">
        <w:t xml:space="preserve"> that have greater media coverage) can use</w:t>
      </w:r>
      <w:r w:rsidR="00B53AA6">
        <w:t xml:space="preserve"> their profile</w:t>
      </w:r>
      <w:r w:rsidR="00166426">
        <w:t xml:space="preserve"> to influence rivals decisions about </w:t>
      </w:r>
      <w:r w:rsidR="00813B9D">
        <w:t>engaging in patent litigation</w:t>
      </w:r>
      <w:r w:rsidR="00166426">
        <w:t>. In our study, we have no data on the media coverage that the universit</w:t>
      </w:r>
      <w:r w:rsidR="009D5F50">
        <w:t>i</w:t>
      </w:r>
      <w:r w:rsidR="00166426">
        <w:t>es (defend</w:t>
      </w:r>
      <w:r w:rsidR="009D5F50">
        <w:t>a</w:t>
      </w:r>
      <w:r w:rsidR="00166426">
        <w:t>nts) and firms (plaintiffs) receive, but we might expect this to have an influence on the strength of the signaling effect of litigation (i.e</w:t>
      </w:r>
      <w:r w:rsidR="009D5F50">
        <w:t>.</w:t>
      </w:r>
      <w:r w:rsidR="00166426">
        <w:t xml:space="preserve"> for universities with greater media coverage, the signaling effect of litigation</w:t>
      </w:r>
      <w:r w:rsidR="007000B7">
        <w:t xml:space="preserve"> may be stronger</w:t>
      </w:r>
      <w:r w:rsidR="00166426">
        <w:t xml:space="preserve">). Similarly, we do not have data on the level of media coverage that litigation cases themselves receive, but we suspect that the more high-profile the case the stronger the signaling effect of litigation. </w:t>
      </w:r>
      <w:r w:rsidR="009D4526">
        <w:t xml:space="preserve">Future research may collect data on the media coverage of litigants and </w:t>
      </w:r>
      <w:r w:rsidR="007000B7">
        <w:t xml:space="preserve">litigation </w:t>
      </w:r>
      <w:r w:rsidR="009D4526">
        <w:t>cases to explore these issues further.</w:t>
      </w:r>
    </w:p>
    <w:p w14:paraId="72EC9FAD" w14:textId="4813E326" w:rsidR="003A72A4" w:rsidRPr="00211DF0" w:rsidRDefault="00622A89" w:rsidP="007000B7">
      <w:pPr>
        <w:pStyle w:val="2ndparagraph"/>
      </w:pPr>
      <w:r>
        <w:t>Fourth</w:t>
      </w:r>
      <w:r w:rsidR="00E120DD">
        <w:t>, patent litigation can result in</w:t>
      </w:r>
      <w:r w:rsidR="00F608A5">
        <w:t xml:space="preserve"> knowledge spillovers</w:t>
      </w:r>
      <w:r w:rsidR="006149DB">
        <w:t xml:space="preserve"> about the technologies under dispute</w:t>
      </w:r>
      <w:r w:rsidR="00F608A5">
        <w:t xml:space="preserve"> </w:t>
      </w:r>
      <w:r w:rsidR="00F608A5">
        <w:fldChar w:fldCharType="begin" w:fldLock="1"/>
      </w:r>
      <w:r w:rsidR="00F608A5">
        <w:instrText>ADDIN CSL_CITATION {"citationItems":[{"id":"ITEM-1","itemData":{"abstract":"While patent litigation is an important appropriability mechanism for protecting firms' proprietary knowledge, through the litigation process, valuable knowledge may unintentionally spill over from firms defending their patents to those they accuse of patent infringement. We examine whether such spillover subsequently enhances the innovation of accused firms by analyzing over 3000 patent litigation cases from 1998 through 2015 in the U.S. pharmaceutical industry. We find that firms accused of infringement have higher levels of innovation following litigation relative to other similar firms. Furthermore, litigation of patents that build on recent and heterogeneous knowledge and those of greater scope more strongly enhanced the accused firms' subsequent innovation. These findings support the argument that patent litigation can facilitate knowledge spillover.","author":[{"dropping-particle":"","family":"Awate","given":"Kiran S","non-dropping-particle":"","parse-names":false,"suffix":""},{"dropping-particle":"","family":"Makhija","given":"Mona","non-dropping-particle":"","parse-names":false,"suffix":""}],"container-title":"Academy of Management Journal","id":"ITEM-1","issued":{"date-parts":[["2021"]]},"title":"A Trojan Horse Inside the Gates? Knowledge Spillovers during Patent Litigation","type":"article-journal"},"uris":["http://www.mendeley.com/documents/?uuid=e519a1d0-cdbb-4f98-8504-a35ee036a16a"]}],"mendeley":{"formattedCitation":"(Awate and Makhija, 2021)","plainTextFormattedCitation":"(Awate and Makhija, 2021)","previouslyFormattedCitation":"(Awate and Makhija, 2021)"},"properties":{"noteIndex":0},"schema":"https://github.com/citation-style-language/schema/raw/master/csl-citation.json"}</w:instrText>
      </w:r>
      <w:r w:rsidR="00F608A5">
        <w:fldChar w:fldCharType="separate"/>
      </w:r>
      <w:r w:rsidR="00F608A5" w:rsidRPr="00F608A5">
        <w:rPr>
          <w:noProof/>
        </w:rPr>
        <w:t>(Awate and Makhija, 2021)</w:t>
      </w:r>
      <w:r w:rsidR="00F608A5">
        <w:fldChar w:fldCharType="end"/>
      </w:r>
      <w:r w:rsidR="00F608A5">
        <w:t xml:space="preserve">. </w:t>
      </w:r>
      <w:r w:rsidR="006149DB">
        <w:t xml:space="preserve">We suspect that the signaling effect from universities facing patent litigations is similarly specific, i.e. has the strongest effect on licensing for the faculties and research areas of the technologies that are litigated. Then again, there might be a general signaling effect for the university as a whole. </w:t>
      </w:r>
      <w:r w:rsidR="009D4526">
        <w:t>D</w:t>
      </w:r>
      <w:r w:rsidR="0075134D">
        <w:t xml:space="preserve">ue to limitations with our dataset, we </w:t>
      </w:r>
      <w:r w:rsidR="002B7965">
        <w:t>a</w:t>
      </w:r>
      <w:r w:rsidR="0075134D">
        <w:t>re unable to distinguish signialing effects for particular faculties from broader university-level signaling effects. Future studies with dedicated research designs might be able to disentangle these effects within universities</w:t>
      </w:r>
      <w:r w:rsidR="002B7965">
        <w:t>.</w:t>
      </w:r>
      <w:r w:rsidR="0075134D">
        <w:t xml:space="preserve"> </w:t>
      </w:r>
    </w:p>
    <w:p w14:paraId="347C063E" w14:textId="3A86B662" w:rsidR="0092600B" w:rsidRPr="007D4BEC" w:rsidRDefault="0092600B" w:rsidP="0092600B">
      <w:pPr>
        <w:pStyle w:val="Heading2"/>
      </w:pPr>
      <w:r>
        <w:t>Conclusion</w:t>
      </w:r>
    </w:p>
    <w:p w14:paraId="26645679" w14:textId="11067ABD" w:rsidR="00224962" w:rsidRPr="00211DF0" w:rsidRDefault="00DF6D90" w:rsidP="00111AE9">
      <w:pPr>
        <w:ind w:firstLine="0"/>
        <w:rPr>
          <w:lang w:val="en-US"/>
        </w:rPr>
      </w:pPr>
      <w:r w:rsidRPr="00211DF0">
        <w:rPr>
          <w:lang w:val="en-US"/>
        </w:rPr>
        <w:t xml:space="preserve">In </w:t>
      </w:r>
      <w:r w:rsidR="0092600B">
        <w:rPr>
          <w:lang w:val="en-US"/>
        </w:rPr>
        <w:t>sum</w:t>
      </w:r>
      <w:r w:rsidRPr="00211DF0">
        <w:rPr>
          <w:lang w:val="en-US"/>
        </w:rPr>
        <w:t xml:space="preserve">, this study sought to elaborate the impact of patent litigation on university technology licensing </w:t>
      </w:r>
      <w:r w:rsidR="0092600B">
        <w:rPr>
          <w:lang w:val="en-US"/>
        </w:rPr>
        <w:t>income</w:t>
      </w:r>
      <w:r w:rsidRPr="00211DF0">
        <w:rPr>
          <w:lang w:val="en-US"/>
        </w:rPr>
        <w:t xml:space="preserve">. The limited existing research suggests that participation in litigation </w:t>
      </w:r>
      <w:r w:rsidR="0092600B">
        <w:rPr>
          <w:lang w:val="en-US"/>
        </w:rPr>
        <w:t>is mostly distracting for TTOs</w:t>
      </w:r>
      <w:r w:rsidRPr="00211DF0">
        <w:rPr>
          <w:lang w:val="en-US"/>
        </w:rPr>
        <w:t xml:space="preserve"> </w:t>
      </w:r>
      <w:r w:rsidRPr="00211DF0">
        <w:rPr>
          <w:lang w:val="en-US"/>
        </w:rPr>
        <w:fldChar w:fldCharType="begin" w:fldLock="1"/>
      </w:r>
      <w:r w:rsidRPr="00211DF0">
        <w:rPr>
          <w:lang w:val="en-US"/>
        </w:rPr>
        <w:instrText>ADDIN CSL_CITATION {"citationItems":[{"id":"ITEM-1","itemData":{"DOI":"10.1016/j.jebo.2006.05.012","ISSN":"01672681","abstract":"One effect of increased patenting by universities over the past 20 years has been a rise in lawsuits to enforce university patent rights. In this paper we ask what effect patent litigation has on university efforts to license technology. Using secondary data on licensing and interviews with technology licensing office (TLO) directors for research universities, we find both qualitative and quantitative evidence that patent litigation has an adverse effect on university licensing activity. Our interviews suggest that this adverse effect occurs because litigation disrupts overall TLO activity, and reduces the time and resources available for marketing technologies and establishing licenses. © 2007 Elsevier B.V. All rights reserved.","author":[{"dropping-particle":"","family":"Shane","given":"Scott","non-dropping-particle":"","parse-names":false,"suffix":""},{"dropping-particle":"","family":"Somaya","given":"Deepak","non-dropping-particle":"","parse-names":false,"suffix":""}],"container-title":"Journal of Economic Behavior and Organization","id":"ITEM-1","issue":"4","issued":{"date-parts":[["2007"]]},"page":"739-755","title":"The effects of patent litigation on university licensing efforts","type":"article-journal","volume":"63"},"uris":["http://www.mendeley.com/documents/?uuid=d01082fe-3071-45b1-b4b7-e8b95731a296"]}],"mendeley":{"formattedCitation":"(Shane and Somaya, 2007)","plainTextFormattedCitation":"(Shane and Somaya, 2007)","previouslyFormattedCitation":"(Shane and Somaya, 2007)"},"properties":{"noteIndex":0},"schema":"https://github.com/citation-style-language/schema/raw/master/csl-citation.json"}</w:instrText>
      </w:r>
      <w:r w:rsidRPr="00211DF0">
        <w:rPr>
          <w:lang w:val="en-US"/>
        </w:rPr>
        <w:fldChar w:fldCharType="separate"/>
      </w:r>
      <w:r w:rsidRPr="00211DF0">
        <w:rPr>
          <w:noProof/>
          <w:lang w:val="en-US"/>
        </w:rPr>
        <w:t>(Shane and Somaya, 2007)</w:t>
      </w:r>
      <w:r w:rsidRPr="00211DF0">
        <w:rPr>
          <w:lang w:val="en-US"/>
        </w:rPr>
        <w:fldChar w:fldCharType="end"/>
      </w:r>
      <w:r w:rsidR="0092600B">
        <w:rPr>
          <w:lang w:val="en-US"/>
        </w:rPr>
        <w:t xml:space="preserve">. </w:t>
      </w:r>
      <w:r w:rsidRPr="00211DF0">
        <w:rPr>
          <w:lang w:val="en-US"/>
        </w:rPr>
        <w:t xml:space="preserve">We </w:t>
      </w:r>
      <w:r w:rsidR="0092600B">
        <w:rPr>
          <w:lang w:val="en-US"/>
        </w:rPr>
        <w:t>show</w:t>
      </w:r>
      <w:r w:rsidR="0092600B" w:rsidRPr="00211DF0">
        <w:rPr>
          <w:lang w:val="en-US"/>
        </w:rPr>
        <w:t xml:space="preserve"> </w:t>
      </w:r>
      <w:r w:rsidRPr="00211DF0">
        <w:rPr>
          <w:lang w:val="en-US"/>
        </w:rPr>
        <w:t>that th</w:t>
      </w:r>
      <w:r w:rsidR="0092600B">
        <w:rPr>
          <w:lang w:val="en-US"/>
        </w:rPr>
        <w:t>ere</w:t>
      </w:r>
      <w:r w:rsidRPr="00211DF0">
        <w:rPr>
          <w:lang w:val="en-US"/>
        </w:rPr>
        <w:t xml:space="preserve"> </w:t>
      </w:r>
      <w:r w:rsidR="0092600B">
        <w:rPr>
          <w:lang w:val="en-US"/>
        </w:rPr>
        <w:t>are</w:t>
      </w:r>
      <w:r w:rsidRPr="00211DF0">
        <w:rPr>
          <w:lang w:val="en-US"/>
        </w:rPr>
        <w:t xml:space="preserve"> unintentional signaling effects of defending against claims of </w:t>
      </w:r>
      <w:r w:rsidR="00DB78F1">
        <w:rPr>
          <w:lang w:val="en-US"/>
        </w:rPr>
        <w:t xml:space="preserve">patent </w:t>
      </w:r>
      <w:r w:rsidRPr="00211DF0">
        <w:rPr>
          <w:lang w:val="en-US"/>
        </w:rPr>
        <w:t>infringement, which reveal information about the underlying quality, robustness and defensibility of university-generated IP.</w:t>
      </w:r>
      <w:r w:rsidR="007D4BEC">
        <w:rPr>
          <w:lang w:val="en-US"/>
        </w:rPr>
        <w:t xml:space="preserve"> We show that, somewhat paradoxically, firms </w:t>
      </w:r>
      <w:r w:rsidR="007D4BEC">
        <w:rPr>
          <w:lang w:val="en-US"/>
        </w:rPr>
        <w:lastRenderedPageBreak/>
        <w:t xml:space="preserve">seeking the punitive and deterrent effects associated with patent enforcement, may actually enhance the perceived value of a </w:t>
      </w:r>
      <w:r w:rsidR="0092600B">
        <w:rPr>
          <w:lang w:val="en-US"/>
        </w:rPr>
        <w:t>university’s</w:t>
      </w:r>
      <w:r w:rsidR="007D4BEC">
        <w:rPr>
          <w:lang w:val="en-US"/>
        </w:rPr>
        <w:t xml:space="preserve"> technology. </w:t>
      </w:r>
    </w:p>
    <w:p w14:paraId="447AE0CA" w14:textId="7D0B15AD" w:rsidR="00C42162" w:rsidRPr="00C42162" w:rsidRDefault="00C42162" w:rsidP="00C42162">
      <w:pPr>
        <w:pStyle w:val="Heading1"/>
        <w:jc w:val="left"/>
        <w:rPr>
          <w:lang w:val="en-US"/>
        </w:rPr>
      </w:pPr>
    </w:p>
    <w:p w14:paraId="5D1C732B" w14:textId="571933E8" w:rsidR="00046F9D" w:rsidRDefault="00924150" w:rsidP="00C42162">
      <w:pPr>
        <w:pStyle w:val="Heading1"/>
        <w:rPr>
          <w:lang w:val="en-US"/>
        </w:rPr>
      </w:pPr>
      <w:r w:rsidRPr="00211DF0">
        <w:rPr>
          <w:lang w:val="en-US"/>
        </w:rPr>
        <w:t>Reference</w:t>
      </w:r>
      <w:r w:rsidR="00C42162">
        <w:rPr>
          <w:lang w:val="en-US"/>
        </w:rPr>
        <w:t>S</w:t>
      </w:r>
    </w:p>
    <w:p w14:paraId="2E529634" w14:textId="682BED49" w:rsidR="00021986" w:rsidRPr="00021986" w:rsidRDefault="00C42162" w:rsidP="00021986">
      <w:pPr>
        <w:widowControl w:val="0"/>
        <w:autoSpaceDE w:val="0"/>
        <w:autoSpaceDN w:val="0"/>
        <w:adjustRightInd w:val="0"/>
        <w:spacing w:line="240" w:lineRule="auto"/>
        <w:ind w:left="480" w:hanging="480"/>
        <w:rPr>
          <w:rFonts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00021986" w:rsidRPr="00021986">
        <w:rPr>
          <w:rFonts w:cs="Times New Roman"/>
          <w:noProof/>
        </w:rPr>
        <w:t>Abadie, A., Diamond, A., Hainmueller, J., 2010. Synthetic Control Methods for Comparative Case Studies: Estimating the Effect of California’s Tobacco Control Program. J. Am. Stat. Assoc. 105, 493–505.</w:t>
      </w:r>
    </w:p>
    <w:p w14:paraId="315923DB"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Abadie, A., Imbens, G.W., 2011. Bias-corrected matching estimators for average treatment effects. J. Bus. Econ. Stat. 29, 1–11. https://doi.org/10.1198/jbes.2009.07333</w:t>
      </w:r>
    </w:p>
    <w:p w14:paraId="43C14FAA"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Agarwal, R., Ganco, M., Ziedonis, R.H., 2009. Reputations for toughness in patent enforcement: Implications for knowledge spillovers via inventor mobility. Strateg. Manag. J. 30, 1349–1374. https://doi.org/10.1002/smj</w:t>
      </w:r>
    </w:p>
    <w:p w14:paraId="6A1A150E"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Altonji, J.G., Elder, T.E., Taber, C.R., 2005. Selection on observed and unobserved variables: Assessing the effectiveness of Catholic schools. J. Polit. Econ. 113, 151–184. https://doi.org/10.1086/426036</w:t>
      </w:r>
    </w:p>
    <w:p w14:paraId="05A6B44C"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Arqué-Castells, P., Cartaxo, R.M., García-Quevedo, J., Godinho, M.M., 2016. Royalty sharing, effort and invention in universities: Evidence from Portugal and Spain. Res. Policy 45, 1858–1872. https://doi.org/10.1016/j.respol.2016.06.006</w:t>
      </w:r>
    </w:p>
    <w:p w14:paraId="675F84E6"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Awate, K.S., Makhija, M., 2021. A Trojan Horse Inside the Gates? Knowledge Spillovers during Patent Litigation. Acad. Manag. J.</w:t>
      </w:r>
    </w:p>
    <w:p w14:paraId="567A5BB9"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Belenzon, S., Schankerman, M., 2009. University Knowledge Transfer: Private Ownership, Incentives, and Local Development Objectives. J. Law Econ. 52, 111–144. https://doi.org/10.1086/595763</w:t>
      </w:r>
    </w:p>
    <w:p w14:paraId="2F1D9ED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Bercovitz, J.E.L., Feldman, M.P., 2007. Fishing upstream: Firm innovation strategy and university research alliances. Res. Policy 36, 930–948. https://doi.org/10.1016/j.respol.2007.03.002</w:t>
      </w:r>
    </w:p>
    <w:p w14:paraId="1E62DD98"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Bozeman, B., Rimes, H., Youtie, J., 2015. The evolving state-of-the-art in technology transfer research: Revisiting the contingent effectiveness model. Res. Policy 44, 34–49. https://doi.org/10.1016/j.respol.2014.06.008</w:t>
      </w:r>
    </w:p>
    <w:p w14:paraId="51DBDAFF"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Branzei, O., Ursacki-Bryant, T.J., Vertinsky, I., Zhang, W., 2004. The formation of green strategies in chinese firms: Matching corporate environmental responses and individual principles. Strateg. Manag. J. 25, 1075–1095. https://doi.org/10.1002/smj.409</w:t>
      </w:r>
    </w:p>
    <w:p w14:paraId="7A6D4D1D"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Chapple, W., Lockett, A., Siegel, D., Wright, M., 2005a. Assessing the relative performance of U.K. university technology transfer offices: Parametric and non-parametric evidence. Res. Policy 34, 369–384. https://doi.org/10.1016/j.respol.2005.01.007</w:t>
      </w:r>
    </w:p>
    <w:p w14:paraId="4E3441A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Chapple, W., Lockett, A., Siegel, D., Wright, M., 2005b. Assessing the relative performance of U.K. university technology transfer offices: Parametric and non-parametric evidence. Res. Policy 34, 369–384. https://doi.org/10.1016/j.respol.2005.01.007</w:t>
      </w:r>
    </w:p>
    <w:p w14:paraId="45C68D2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Choi, J.P., 1998. Patent Litigation as an Information-Transmission Mechanism. Am. Econ. Rev. 88, 1249–1263. https://doi.org/10.2307/116869</w:t>
      </w:r>
    </w:p>
    <w:p w14:paraId="6D2154C6"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Clarkson, G., Toh, P.K., 2010. “Keep Out” Signs: The role of deterrence in the competition for resources. Strateg. Manag. J. 31, 1202–1225. https://doi.org/10.1002/smj</w:t>
      </w:r>
    </w:p>
    <w:p w14:paraId="32BE20B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Clarysse, B., Wright, M., Lockett, A., Mustar, P., Knockaert, M., 2007. Academic spin-offs, formal technology transfer and capital raising. Ind. Corp. Chang. 16, 609–640. https://doi.org/10.1093/icc/dtm019</w:t>
      </w:r>
    </w:p>
    <w:p w14:paraId="42F934BD"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Cohen, W.M., Nelson, R.R., Walsh, J.P., 2002. Links and Impacts: The Influence of Public Research on Industrial R&amp;D. Manage. Sci. 48, 1–23. https://doi.org/10.1287/mnsc.48.1.1.14273</w:t>
      </w:r>
    </w:p>
    <w:p w14:paraId="6D691BF6"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Connelly, B.L., Certo, S.T., Ireland, R.D., Reutzel, C.R., 2011. Signaling theory: A review and assessment. J. Manage. 37, 39–67. https://doi.org/10.1177/0149206310388419</w:t>
      </w:r>
    </w:p>
    <w:p w14:paraId="74629C62"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Conti, A., Gaule, P., 2011. Is the US outperforming Europe in university technology licensing? A new perspective on the European Paradox. Res. Policy 40, 123–135. https://doi.org/10.1016/j.respol.2010.10.007</w:t>
      </w:r>
    </w:p>
    <w:p w14:paraId="06164AB9"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lastRenderedPageBreak/>
        <w:t>Conti, A., Thursby, M., Rothaermel, F.T., 2013. Show Me the Right Stuff: Signals for High-Tech Startups, Working paper,College of Management. J. Econ. Manag. Strateg. 22, 341–364.</w:t>
      </w:r>
    </w:p>
    <w:p w14:paraId="203D5D12"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Cremers, K., Schliessler, P., 2015. Patent litigation settlement in Germany: why parties settle during trial. Eur. J. Law Econ. 40, 185–208. https://doi.org/10.1007/s10657-014-9472-x</w:t>
      </w:r>
    </w:p>
    <w:p w14:paraId="6D28486A"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Cremers, M., 2004. Determinants of patent litigation in Germany. ZEW-Centre Eur. Econ. Res. Discuss. Pap. 4–72.</w:t>
      </w:r>
    </w:p>
    <w:p w14:paraId="3D6EF249"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Distel, A.P., Sofka, W., de Faria, P., Preto, M.T., Ribeiro, A.S., 2019. Dynamic capabilities for hire – How former host-country entrepreneurs as MNC subsidiary managers affect performance. J. Int. Bus. Stud. https://doi.org/10.1057/s41267-019-00274-0</w:t>
      </w:r>
    </w:p>
    <w:p w14:paraId="6451A406"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Dowling, A., 2015. The Dowling Review ofBusiness-University Collaborations. London.</w:t>
      </w:r>
    </w:p>
    <w:p w14:paraId="2B0E5B4A"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Feller, I., Feldman, M., 2010. The commercialization of academic patents: Black boxes, pipelines, and Rubik’s cubes. J. Technol. Transf. 35, 597–616. https://doi.org/10.1007/s10961-009-9123-5</w:t>
      </w:r>
    </w:p>
    <w:p w14:paraId="60D0E8F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Fontana, R., Geuna, A., Matt, M., 2006. Factors affecting university-industry R and D projects: The importance of searching, screening and signalling. Res. Policy 35, 309–323. https://doi.org/10.1016/j.respol.2005.12.001</w:t>
      </w:r>
    </w:p>
    <w:p w14:paraId="49855532"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Friedman, J., Silberman, J., 2003. University Technology Transfer: Do Incentives, Management, and Location Matter? J. Technol. Transf. 28, 17–30. https://doi.org/10.1023/A:1021674618658</w:t>
      </w:r>
    </w:p>
    <w:p w14:paraId="1B222B5E"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Gans, J.S., Hsu, D.H., Stern, S., 2008. The impact of uncertain intellectual property rights on the market for ideas: Evidence from patent grant delays. Manage. Sci. 54, 982–997. https://doi.org/10.1287/mnsc.1070.0814</w:t>
      </w:r>
    </w:p>
    <w:p w14:paraId="08E6849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Gao, H., Darroch, J., Mather, D., MacGregor, A., 2008. Signaling corporate strategy in IPO communication: A study of biotechnology IPOs on the NASDAQ. J. Bus. Commun. 45, 3–30. https://doi.org/10.1177/0021943607309349</w:t>
      </w:r>
    </w:p>
    <w:p w14:paraId="0E78C390"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Grecu, A., Sofka, W., Larsen, M.M., Pedersen, T., 2022. Unintended signals: Why companies with a history of offshoring have to pay wage penalties for new hires. J. Int. Bus. Stud. https://doi.org/10.1057/s41267-021-00486-3</w:t>
      </w:r>
    </w:p>
    <w:p w14:paraId="49F31BB7"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Grimaldi, R., Kenney, M., Siegel, D., Wright, M., 2011. 30 years after Bayh-Dole: Reassessing academic entrepreneurship. Res. Policy 40, 1045–1057. https://doi.org/10.1016/j.respol.2011.04.005</w:t>
      </w:r>
    </w:p>
    <w:p w14:paraId="0E7B225C"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Gulati, R., Higgins, M.C., 2003. Which ties matter when? The contingent effects of interorganizational partnerships on IPO success. Strateg. Manag. J. 24, 127–144. https://doi.org/10.1002/smj.287</w:t>
      </w:r>
    </w:p>
    <w:p w14:paraId="24E1E5F6"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Hainmueller, J., 2012. Entropy balancing for causal effects: A multivariate reweighting method to produce balanced samples in observational studies. Polit. Anal. 20, 25–46. https://doi.org/10.1093/pan/mpr025</w:t>
      </w:r>
    </w:p>
    <w:p w14:paraId="093FCD3C"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Hall, B.H., 2019. Is there a role for patents in the financing of new innovative firms? Ind. Corp. Chang. 28, 657–680. https://doi.org/10.1093/icc/dty074</w:t>
      </w:r>
    </w:p>
    <w:p w14:paraId="6FB1397B"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Heisey, P.W., Adelman, S.W., 2011. Research expenditures, technology transfer activity, and university licensing revenue. J. Technol. Transf. 36, 38–60. https://doi.org/10.1007/s10961-009-9129-z</w:t>
      </w:r>
    </w:p>
    <w:p w14:paraId="7CF716D8"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Hewitt-Dundas, N., 2012. Research intensity and knowledge transfer activity in UK universities. Res. Policy 41, 262–275. https://doi.org/10.1016/j.respol.2011.10.010</w:t>
      </w:r>
    </w:p>
    <w:p w14:paraId="2E3463B7"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Ho, D.E., Imai, K., King, G., Stuart, E.A., 2007. Matching as nonparametric preprocessing for reducing model dependence in parametric causal inference. Polit. Anal. 15, 199–236. https://doi.org/10.1093/pan/mpl013</w:t>
      </w:r>
    </w:p>
    <w:p w14:paraId="2AE2381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Horner, S., Jayawarna, D., Giordano, B., Jones, O., 2019. Strategic choice in universities: Managerial agency and effective technology transfer. Res. Policy 48, 1297–1309. https://doi.org/10.1016/j.respol.2019.01.015</w:t>
      </w:r>
    </w:p>
    <w:p w14:paraId="438E0D84"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Hsu, D.H., Hsu, P.H., Zhou, T., Ziedonis, A.A., 2021. Benchmarking U.S. university patent value and commercialization efforts: A new approach. Res. Policy 50, 104076. https://doi.org/10.1016/j.respol.2020.104076</w:t>
      </w:r>
    </w:p>
    <w:p w14:paraId="3BA947E9"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Hughes, A., Kitson, M., 2012. Pathways to impact and the strategic role of universities: New evidence on the breadth and depth of university knowledge exchange in the UK and the factors constraining its development. Cambridge J. Econ. 36, 723–750. https://doi.org/10.1093/cje/bes017</w:t>
      </w:r>
    </w:p>
    <w:p w14:paraId="68389002"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lastRenderedPageBreak/>
        <w:t>Ilmola, L., Kuusi, O., 2006. Filters of weak signals hinder foresight: Monitoring weak signals efficiently in corporate decision-making. Futures 38, 908–924. https://doi.org/10.1016/j.futures.2005.12.019</w:t>
      </w:r>
    </w:p>
    <w:p w14:paraId="5CF978D0"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Kafouros, M., Aliyev, M., Krammer, S.M.S., 2021. Do firms profit from patent litigation? The contingent roles of diversification and intangible assets. Res. Policy 50, 104263. https://doi.org/10.1016/j.respol.2021.104263</w:t>
      </w:r>
    </w:p>
    <w:p w14:paraId="699CA677"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Kiebzak, S., Rafert, G., Tucker, C.E., 2016. The effect of patent litigation and patent assertion entities on entrepreneurial activity. Res. Policy 45, 218–231. https://doi.org/10.1016/j.respol.2015.07.002</w:t>
      </w:r>
    </w:p>
    <w:p w14:paraId="39AB1A7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Kotha, R., Crama, P., Kim, P.H., 2018. Experience and signaling value in technology licensing contract payment structures. Acad. Manag. J. 61, 1307–1342. https://doi.org/10.5465/amj.2015.1233</w:t>
      </w:r>
    </w:p>
    <w:p w14:paraId="74223A8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Lach, S., Schankerman, M., 2008. Incentives and invention in universities. RAND J. Econ. 39, 403–433. https://doi.org/10.1111/j.0741-6261.2008.00020.x</w:t>
      </w:r>
    </w:p>
    <w:p w14:paraId="602BAF25"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Lach, S., Schankerman, M., 2004. Royalty sharing and technology licensing in universities. J. Eur. Econ. Assoc. 2, 252–264. https://doi.org/10.1162/154247604323067961</w:t>
      </w:r>
    </w:p>
    <w:p w14:paraId="06EB0C84"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Lanjouw, J.O., Schankerman, M., 2004. Protecting Intellectual Property Rights: Are Small Firms Handicapped? J. Law Econ. 41, 45–74. https://doi.org/10.1145/170657.170764</w:t>
      </w:r>
    </w:p>
    <w:p w14:paraId="024BD0EA"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Larsen, M.T., 2011. The implications of academic enterprise for public science: An overview of the empirical evidence. Res. Policy 40, 6–19. https://doi.org/10.1016/j.respol.2010.09.013</w:t>
      </w:r>
    </w:p>
    <w:p w14:paraId="319A53E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Levitas, E., Ann McFadyen, M., 2021. Biopharmaceutical patents: multifaceted signals, reducing and enhancing knowledge asymmetries in drug discovery. Technol. Anal. Strateg. Manag. https://doi.org/10.1080/09537325.2021.1977790</w:t>
      </w:r>
    </w:p>
    <w:p w14:paraId="0890EBC2"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Link, A.N., Siegel, D., 2005. University-based technology initiatives: Quantitative and qualitative evidence. Res. Policy 34, 253–257. https://doi.org/10.1016/j.respol.2005.01.005</w:t>
      </w:r>
    </w:p>
    <w:p w14:paraId="3AB1361D"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Lockett, A., Wright, M., Wild, A., 2015. The institutionalization of third stream activities in UK higher education: The role of discourse and metrics. Br. J. Manag. 26, 78–92. https://doi.org/10.1111/1467-8551.12069</w:t>
      </w:r>
    </w:p>
    <w:p w14:paraId="3B75B8B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Macho-Stadler, I., Pérez-Castrillo, D., Veugelers, R., 2007. Licensing of university inventions: The role of a technology transfer office. Int. J. Ind. Organ. 25, 483–510. https://doi.org/10.1016/j.ijindorg.2006.06.001</w:t>
      </w:r>
    </w:p>
    <w:p w14:paraId="2E3B6D6A"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Martin, B.R., 2012. Are universities and university research under threat? Towards an evolutionary model of university speciation. Cambridge J. Econ. 36, 543–565. https://doi.org/10.1093/cje/bes006</w:t>
      </w:r>
    </w:p>
    <w:p w14:paraId="38E152CD"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Nam, S., Nam, C., Kim, S., 2015. The impact of patent litigation on shareholder value in the smartphone industry. Technol. Forecast. Soc. Change 95, 182–190. https://doi.org/10.1016/j.techfore.2015.01.015</w:t>
      </w:r>
    </w:p>
    <w:p w14:paraId="37324D67"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Papageorgiadis, N., Sofka, W., 2020. Patent enforcement across 51 countries – Patent enforcement index 1998–2017. J. World Bus. 55, 101092. https://doi.org/10.1016/j.jwb.2020.101092</w:t>
      </w:r>
    </w:p>
    <w:p w14:paraId="1FD03479"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Park, N.K., Mezias, J.M., 2005. Before and after the technology sector crash: The effect of environmental munificence on stock market response to alliances of e-commerce firms. Strateg. Manag. J. 26, 987–1007. https://doi.org/10.1002/smj.489</w:t>
      </w:r>
    </w:p>
    <w:p w14:paraId="1179C773"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Perkmann, M., King, Z., Pavelin, S., 2011. Engaging excellence? Effects of faculty quality on university engagement with industry. Res. Policy 40, 539–552. https://doi.org/10.1016/j.respol.2011.01.007</w:t>
      </w:r>
    </w:p>
    <w:p w14:paraId="07E530D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Perkmann, M., Salandra, R., Tartari, V., McKelvey, M., Hughes, A., 2021. Academic engagement: A review of the literature 2011-2019. Res. Policy 50. https://doi.org/10.1016/j.respol.2020.104114</w:t>
      </w:r>
    </w:p>
    <w:p w14:paraId="7E8E7194"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Perkmann, M., Tartari, V., McKelvey, M., Autio, E., Broström, A., D’Este, P., Fini, R., Geuna, A., Grimaldi, R., Hughes, A., Krabel, S., Kitson, M., Llerena, P., Lissoni, F., Salter, A., Sobrero, M., 2013a. Academic engagement and commercialisation: A review of the literature on university-industry relations. Res. Policy 42, 423–442. https://doi.org/10.1016/j.respol.2012.09.007</w:t>
      </w:r>
    </w:p>
    <w:p w14:paraId="39A828B0"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Perkmann, M., West, J., Link, A., Siegel, D., Wright, M., 2013b. Open Science and Open Innovation: Sourcing Knowledge from Universities. Handb. Univ. Technol. Transf. 1–41.</w:t>
      </w:r>
    </w:p>
    <w:p w14:paraId="032DAD66"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 xml:space="preserve">Petersen, M., 2009. Estimating standard errors in finance panel data sets: Comparing approaches. </w:t>
      </w:r>
      <w:r w:rsidRPr="00021986">
        <w:rPr>
          <w:rFonts w:cs="Times New Roman"/>
          <w:noProof/>
        </w:rPr>
        <w:lastRenderedPageBreak/>
        <w:t>Rev. Financ. Stud. 22, 435–480. https://doi.org/10.1093/rfs/hhn053</w:t>
      </w:r>
    </w:p>
    <w:p w14:paraId="0A61E425"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Powers, J.B., McDougall, P., 2005. Policy orientation effects on performance with licensing to start-ups and small companies. Res. Policy 34, 1028–1042. https://doi.org/10.1016/j.respol.2005.05.014</w:t>
      </w:r>
    </w:p>
    <w:p w14:paraId="687A1ADC"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Ray, A.S., Sengupta, A., 2021. Knowledge exchange under asymmetric information in emerging economies: impact of signals from Indian universities. Ind. Corp. Chang. 1–27. https://doi.org/10.1093/icc/dtab036</w:t>
      </w:r>
    </w:p>
    <w:p w14:paraId="2F655C54"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Rudy, B.C., Black, S.L., 2018. Attack or Defend? The Role of Institutional Context on Patent Litigation Strategies. J. Manage. 44, 1226–1249. https://doi.org/10.1177/0149206315605168</w:t>
      </w:r>
    </w:p>
    <w:p w14:paraId="5E93DB14"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Schwartz, D.L., Sichelman, T.M., Miller, R., 2019. USPTO Patent Number and Case Code File Dataset Documentation. SSRN Electron. J. https://doi.org/10.2139/ssrn.3507607</w:t>
      </w:r>
    </w:p>
    <w:p w14:paraId="694882ED"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Sengupta, A., Ray, A.S., 2017. University research and knowledge transfer: A dynamic view of ambidexterity in british universities. Res. Policy 46, 881–897. https://doi.org/10.1016/j.respol.2017.03.008</w:t>
      </w:r>
    </w:p>
    <w:p w14:paraId="1DD3B72F"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Shane, S., Somaya, D., 2007. The effects of patent litigation on university licensing efforts. J. Econ. Behav. Organ. 63, 739–755. https://doi.org/10.1016/j.jebo.2006.05.012</w:t>
      </w:r>
    </w:p>
    <w:p w14:paraId="5E274DEE"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Siegel, D., Veugelers, R., Wright, M., 2007. Technology transfer offices and commercialization of university intellectual property: Performance and policy implications. Oxford Rev. Econ. Policy 23, 640–660. https://doi.org/10.1093/oxrep/grm036</w:t>
      </w:r>
    </w:p>
    <w:p w14:paraId="24E584B8"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Siegel, D., Waldman, D., Link, A., 2003. Assessing the impact of organizational practices on the relative productivity of university technology transfer offices: an exploratory study. Res. Policy 32, 27–48. https://doi.org/10.1016/S0048-7333(01)00196-2</w:t>
      </w:r>
    </w:p>
    <w:p w14:paraId="142157D8"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Siegel, D., Wright, M., 2015a. University Technology Transfer Offices, Licensing and Start-Ups. Chicago Handb. Univ. Technol. Transf. Acad. Entrep. 1–40.</w:t>
      </w:r>
    </w:p>
    <w:p w14:paraId="5E33BA8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Siegel, D., Wright, M., 2015b. Academic Entrepreneurship: Time for a Rethink? Br. J. Manag. 26, 582–595. https://doi.org/10.1111/1467-8551.12116</w:t>
      </w:r>
    </w:p>
    <w:p w14:paraId="0186DA2F"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Siegel, D.S., Waldman, D., Link, A., 2003. Assessing the impact of organizational practices on the relative productivity of university technology transfer offices: An exploratory study. Res. Policy 32, 27–48. https://doi.org/10.1016/S0048-7333(01)00196-2</w:t>
      </w:r>
    </w:p>
    <w:p w14:paraId="2D6CDF18"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Siegel, Donald, Wright, Mike, 2015c. University Technology Transfer Offices, Licensing and Start-Ups, in: Link, A.N., Siegel, D, Wright, M (Eds.), The Chicago Handbook of University Technology Transfer and Academic Entrepreneurship. University of Chicago Press, Chicago, pp. 1–40.</w:t>
      </w:r>
    </w:p>
    <w:p w14:paraId="44B76107"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Sine, W.D., Shane, S., Di Gregorio, D., 2003. The Halo effect and technology licensing: The influence of institutional prestige on the licensing of university inventions. Manage. Sci. 49, 478–496. https://doi.org/10.1287/mnsc.49.4.478.14416</w:t>
      </w:r>
    </w:p>
    <w:p w14:paraId="4A122F8F"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Somaya, D., 2012. Patent Strategy and Management: An Integrative Review and Research Agenda. J. Manage. 38, 1084–1114. https://doi.org/10.1177/0149206312444447</w:t>
      </w:r>
    </w:p>
    <w:p w14:paraId="36B75339"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Somaya, D., 2004. Firm Strategies and Trends in Patent Litigation in the United States. Adv. Study Entrep. Innov. Econ. Growth 15, 103–147. https://doi.org/10.1016/S1048-4736(04)01504-8</w:t>
      </w:r>
    </w:p>
    <w:p w14:paraId="3200761E"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Somaya, D., 2003. Strategic determinants of decisions not to settle patent litigation. Strateg. Manag. J. 24, 17–38. https://doi.org/10.1002/smj.281</w:t>
      </w:r>
    </w:p>
    <w:p w14:paraId="56C03084"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Spence, M., 2002. Signaling in retrospect and the informational structure of markets. Am. Econ. Rev. 92, 434–459. https://doi.org/10.1257/00028280260136200</w:t>
      </w:r>
    </w:p>
    <w:p w14:paraId="26122D1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Spence, M., 1973. Job Market Signaling. Q. J. Econ. 87, 355–374.</w:t>
      </w:r>
    </w:p>
    <w:p w14:paraId="2257BB58"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Srivastava, J., 2001. The Role of Inferences in Sequential Bargaining with One-Sided Incomplete Information: Some Experimental Evidence. Organ. Behav. Hum. Decis. Process. 85, 166–187. https://doi.org/10.1006/obhd.2000.2936</w:t>
      </w:r>
    </w:p>
    <w:p w14:paraId="1ABAF477"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Tan, D., 2016. MAKING THE NEWS: HETEROGENOUS MEDIA COVERAGE AND CORPORATE LITIGATION. Strateg. Manag. J. 37, 1341–1353. https://doi.org/10.1002/smj</w:t>
      </w:r>
    </w:p>
    <w:p w14:paraId="11413660"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Thursby, J.G., Kemp, S., 2002. Growth and productive efficiency of university intellectual property licensing. Res. Policy 31, 109–124. https://doi.org/10.1016/S0048-7333(00)00160-8</w:t>
      </w:r>
    </w:p>
    <w:p w14:paraId="0DCFBCBF"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Thursby, J.G.J.J.G., Jensen, R. a., Thursby, M.C.M., 2001. Objectives, characteristics and outcomes of university licensing: A survey of major US universities. J. Technol. Transf. 26, 59–72. https://doi.org/10.1023/A:1007884111883</w:t>
      </w:r>
    </w:p>
    <w:p w14:paraId="7588A3E1"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lastRenderedPageBreak/>
        <w:t>USPTO, 2021. Patent Litigation Dockets Report Data [WWW Document].</w:t>
      </w:r>
    </w:p>
    <w:p w14:paraId="1603ED4C"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Waldfogel, J., 1998. Reconciling asymmetric information and divergent expectations theories of litigation. J. Law Econ. 41, 451–476. https://doi.org/10.1086/467397</w:t>
      </w:r>
    </w:p>
    <w:p w14:paraId="2FB32825"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Wright, M., 2014. Academic entrepreneurship, technology transfer and society: where next? J. Technol. Transf. 39, 322–334. https://doi.org/10.1007/s10961-012-9286-3</w:t>
      </w:r>
    </w:p>
    <w:p w14:paraId="0717DB60"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Wright, M., Clarysse, B., Lockett, A., Knockaert, M., 2008. Mid-range universities’ linkages with industry: Knowledge types and the role of intermediaries. Res. Policy 37, 1205–1223. https://doi.org/10.1016/j.respol.2008.04.021</w:t>
      </w:r>
    </w:p>
    <w:p w14:paraId="3947B3BD"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Yang, D., 2019. Patent Litigation Strategy and Its Effects on the Firm. Int. J. Manag. Rev. 21, 427–446. https://doi.org/10.1111/ijmr.12202</w:t>
      </w:r>
    </w:p>
    <w:p w14:paraId="0EC7268A" w14:textId="77777777" w:rsidR="00021986" w:rsidRPr="00021986" w:rsidRDefault="00021986" w:rsidP="00021986">
      <w:pPr>
        <w:widowControl w:val="0"/>
        <w:autoSpaceDE w:val="0"/>
        <w:autoSpaceDN w:val="0"/>
        <w:adjustRightInd w:val="0"/>
        <w:spacing w:line="240" w:lineRule="auto"/>
        <w:ind w:left="480" w:hanging="480"/>
        <w:rPr>
          <w:rFonts w:cs="Times New Roman"/>
          <w:noProof/>
        </w:rPr>
      </w:pPr>
      <w:r w:rsidRPr="00021986">
        <w:rPr>
          <w:rFonts w:cs="Times New Roman"/>
          <w:noProof/>
        </w:rPr>
        <w:t>Ziedonis, A.A., 2007. Real options in technology licensing. Manage. Sci. 53, 1618–1633. https://doi.org/10.1287/mnsc.1070.0705</w:t>
      </w:r>
    </w:p>
    <w:p w14:paraId="7CE932C1" w14:textId="091E3D8D" w:rsidR="00C42162" w:rsidRPr="00C42162" w:rsidRDefault="00C42162" w:rsidP="00021986">
      <w:pPr>
        <w:widowControl w:val="0"/>
        <w:autoSpaceDE w:val="0"/>
        <w:autoSpaceDN w:val="0"/>
        <w:adjustRightInd w:val="0"/>
        <w:spacing w:line="240" w:lineRule="auto"/>
        <w:ind w:left="480" w:hanging="480"/>
        <w:rPr>
          <w:lang w:val="en-US"/>
        </w:rPr>
      </w:pPr>
      <w:r>
        <w:rPr>
          <w:lang w:val="en-US"/>
        </w:rPr>
        <w:fldChar w:fldCharType="end"/>
      </w:r>
    </w:p>
    <w:p w14:paraId="2BD22A65" w14:textId="77777777" w:rsidR="00924150" w:rsidRPr="00211DF0" w:rsidRDefault="00924150" w:rsidP="00924150">
      <w:pPr>
        <w:spacing w:line="240" w:lineRule="auto"/>
        <w:ind w:left="567" w:hanging="567"/>
        <w:rPr>
          <w:szCs w:val="22"/>
          <w:lang w:val="en-US"/>
        </w:rPr>
      </w:pPr>
    </w:p>
    <w:p w14:paraId="38B1292D" w14:textId="77777777" w:rsidR="00924150" w:rsidRPr="00211DF0" w:rsidRDefault="00924150" w:rsidP="00924150">
      <w:pPr>
        <w:pStyle w:val="Heading1"/>
        <w:rPr>
          <w:lang w:val="en-US"/>
        </w:rPr>
      </w:pPr>
      <w:r w:rsidRPr="00211DF0">
        <w:rPr>
          <w:lang w:val="en-US"/>
        </w:rPr>
        <w:t>Tables</w:t>
      </w:r>
    </w:p>
    <w:p w14:paraId="24389305" w14:textId="77777777" w:rsidR="00924150" w:rsidRPr="00211DF0" w:rsidRDefault="00924150" w:rsidP="00924150">
      <w:pPr>
        <w:widowControl w:val="0"/>
        <w:autoSpaceDE w:val="0"/>
        <w:autoSpaceDN w:val="0"/>
        <w:adjustRightInd w:val="0"/>
        <w:spacing w:line="240" w:lineRule="auto"/>
        <w:ind w:firstLine="0"/>
        <w:rPr>
          <w:rFonts w:ascii="Garamond" w:hAnsi="Garamond" w:cs="Times New Roman"/>
          <w:sz w:val="20"/>
          <w:szCs w:val="20"/>
          <w:lang w:val="en-US" w:eastAsia="en-GB"/>
        </w:rPr>
      </w:pPr>
    </w:p>
    <w:p w14:paraId="279DE3FA" w14:textId="3ED0DA89" w:rsidR="0003278B" w:rsidRPr="00211DF0" w:rsidRDefault="0003278B" w:rsidP="0003278B">
      <w:pPr>
        <w:tabs>
          <w:tab w:val="left" w:pos="3399"/>
        </w:tabs>
        <w:spacing w:line="240" w:lineRule="auto"/>
        <w:ind w:firstLine="0"/>
        <w:rPr>
          <w:rFonts w:cs="Times New Roman"/>
          <w:lang w:val="en-US" w:eastAsia="en-GB"/>
        </w:rPr>
      </w:pPr>
      <w:r w:rsidRPr="00211DF0">
        <w:rPr>
          <w:rFonts w:cs="Times New Roman"/>
          <w:lang w:val="en-US" w:eastAsia="en-GB"/>
        </w:rPr>
        <w:tab/>
      </w:r>
    </w:p>
    <w:p w14:paraId="2B3ACCC4" w14:textId="77777777" w:rsidR="00E23022" w:rsidRPr="00071DC8" w:rsidRDefault="00E23022" w:rsidP="00E23022">
      <w:pPr>
        <w:widowControl w:val="0"/>
        <w:autoSpaceDE w:val="0"/>
        <w:autoSpaceDN w:val="0"/>
        <w:adjustRightInd w:val="0"/>
        <w:spacing w:line="240" w:lineRule="auto"/>
        <w:ind w:firstLine="0"/>
        <w:rPr>
          <w:rFonts w:cs="Times New Roman"/>
          <w:szCs w:val="22"/>
          <w:lang w:val="en-US" w:eastAsia="en-GB"/>
        </w:rPr>
      </w:pPr>
      <w:r w:rsidRPr="00071DC8">
        <w:rPr>
          <w:rFonts w:cs="Times New Roman"/>
          <w:szCs w:val="22"/>
          <w:lang w:val="en-US" w:eastAsia="en-GB"/>
        </w:rPr>
        <w:t>Table 1. Descriptive statistics by involvement in patent litigation as defendant, with and without entropy balanced matching</w:t>
      </w:r>
    </w:p>
    <w:p w14:paraId="09CE3C52" w14:textId="77777777" w:rsidR="00E23022" w:rsidRPr="00071DC8" w:rsidRDefault="00E23022" w:rsidP="00E23022">
      <w:pPr>
        <w:widowControl w:val="0"/>
        <w:autoSpaceDE w:val="0"/>
        <w:autoSpaceDN w:val="0"/>
        <w:adjustRightInd w:val="0"/>
        <w:spacing w:line="240" w:lineRule="auto"/>
        <w:ind w:firstLine="0"/>
        <w:rPr>
          <w:rFonts w:cs="Times New Roman"/>
          <w:szCs w:val="22"/>
          <w:lang w:val="en-US" w:eastAsia="en-GB"/>
        </w:rPr>
      </w:pPr>
      <w:r w:rsidRPr="00071DC8">
        <w:rPr>
          <w:rFonts w:cs="Times New Roman"/>
          <w:szCs w:val="22"/>
          <w:lang w:val="en-US" w:eastAsia="en-GB"/>
        </w:rPr>
        <w:br/>
      </w:r>
    </w:p>
    <w:p w14:paraId="47ECC358" w14:textId="77777777" w:rsidR="00E23022" w:rsidRPr="00071DC8" w:rsidRDefault="00E23022" w:rsidP="00E23022">
      <w:pPr>
        <w:widowControl w:val="0"/>
        <w:autoSpaceDE w:val="0"/>
        <w:autoSpaceDN w:val="0"/>
        <w:adjustRightInd w:val="0"/>
        <w:spacing w:line="240" w:lineRule="auto"/>
        <w:ind w:firstLine="0"/>
        <w:rPr>
          <w:rFonts w:cs="Times New Roman"/>
          <w:szCs w:val="22"/>
          <w:lang w:val="en-US" w:eastAsia="en-GB"/>
        </w:rPr>
      </w:pPr>
      <w:r w:rsidRPr="00071DC8">
        <w:rPr>
          <w:rFonts w:cs="Times New Roman"/>
          <w:szCs w:val="22"/>
          <w:lang w:val="en-US" w:eastAsia="en-GB"/>
        </w:rPr>
        <w:t>Before: without weighting</w:t>
      </w:r>
      <w:r w:rsidRPr="00071DC8">
        <w:rPr>
          <w:rFonts w:cs="Times New Roman"/>
          <w:szCs w:val="22"/>
          <w:lang w:val="en-US" w:eastAsia="en-GB"/>
        </w:rPr>
        <w:br/>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268"/>
        <w:gridCol w:w="3240"/>
        <w:gridCol w:w="2997"/>
      </w:tblGrid>
      <w:tr w:rsidR="00E23022" w:rsidRPr="00071DC8" w14:paraId="3C7C8510" w14:textId="77777777" w:rsidTr="00413B9B">
        <w:tc>
          <w:tcPr>
            <w:tcW w:w="2268" w:type="dxa"/>
          </w:tcPr>
          <w:p w14:paraId="610EF197"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p>
        </w:tc>
        <w:tc>
          <w:tcPr>
            <w:tcW w:w="3240" w:type="dxa"/>
          </w:tcPr>
          <w:p w14:paraId="155719E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Universities with involvement</w:t>
            </w:r>
          </w:p>
        </w:tc>
        <w:tc>
          <w:tcPr>
            <w:tcW w:w="2997" w:type="dxa"/>
          </w:tcPr>
          <w:p w14:paraId="498989E9"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Universities with no involvement</w:t>
            </w:r>
          </w:p>
        </w:tc>
      </w:tr>
    </w:tbl>
    <w:p w14:paraId="1009935A"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063AF62D" w14:textId="77777777" w:rsidTr="00413B9B">
        <w:tc>
          <w:tcPr>
            <w:tcW w:w="1608" w:type="dxa"/>
            <w:tcBorders>
              <w:top w:val="nil"/>
              <w:left w:val="nil"/>
              <w:bottom w:val="nil"/>
              <w:right w:val="nil"/>
            </w:tcBorders>
          </w:tcPr>
          <w:p w14:paraId="5A66A3AF"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p>
        </w:tc>
        <w:tc>
          <w:tcPr>
            <w:tcW w:w="1200" w:type="dxa"/>
            <w:tcBorders>
              <w:top w:val="nil"/>
              <w:left w:val="nil"/>
              <w:bottom w:val="nil"/>
              <w:right w:val="nil"/>
            </w:tcBorders>
          </w:tcPr>
          <w:p w14:paraId="2EA24F0F"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Mean</w:t>
            </w:r>
          </w:p>
        </w:tc>
        <w:tc>
          <w:tcPr>
            <w:tcW w:w="1200" w:type="dxa"/>
            <w:tcBorders>
              <w:top w:val="nil"/>
              <w:left w:val="nil"/>
              <w:bottom w:val="nil"/>
              <w:right w:val="nil"/>
            </w:tcBorders>
          </w:tcPr>
          <w:p w14:paraId="23BFCE2A"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SD</w:t>
            </w:r>
          </w:p>
        </w:tc>
        <w:tc>
          <w:tcPr>
            <w:tcW w:w="1200" w:type="dxa"/>
            <w:tcBorders>
              <w:top w:val="nil"/>
              <w:left w:val="nil"/>
              <w:bottom w:val="nil"/>
              <w:right w:val="nil"/>
            </w:tcBorders>
          </w:tcPr>
          <w:p w14:paraId="1054E153"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Skewness</w:t>
            </w:r>
          </w:p>
        </w:tc>
        <w:tc>
          <w:tcPr>
            <w:tcW w:w="1200" w:type="dxa"/>
            <w:tcBorders>
              <w:top w:val="nil"/>
              <w:left w:val="nil"/>
              <w:bottom w:val="nil"/>
              <w:right w:val="nil"/>
            </w:tcBorders>
          </w:tcPr>
          <w:p w14:paraId="2354EC3E"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Mean</w:t>
            </w:r>
          </w:p>
        </w:tc>
        <w:tc>
          <w:tcPr>
            <w:tcW w:w="1200" w:type="dxa"/>
            <w:tcBorders>
              <w:top w:val="nil"/>
              <w:left w:val="nil"/>
              <w:bottom w:val="nil"/>
              <w:right w:val="nil"/>
            </w:tcBorders>
          </w:tcPr>
          <w:p w14:paraId="0BF7DE1E"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SD</w:t>
            </w:r>
          </w:p>
        </w:tc>
        <w:tc>
          <w:tcPr>
            <w:tcW w:w="1200" w:type="dxa"/>
            <w:tcBorders>
              <w:top w:val="nil"/>
              <w:left w:val="nil"/>
              <w:bottom w:val="nil"/>
              <w:right w:val="nil"/>
            </w:tcBorders>
          </w:tcPr>
          <w:p w14:paraId="3F10E55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Skewness</w:t>
            </w:r>
          </w:p>
        </w:tc>
      </w:tr>
    </w:tbl>
    <w:p w14:paraId="1F02DF56"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553B07AE" w14:textId="77777777" w:rsidTr="00413B9B">
        <w:tc>
          <w:tcPr>
            <w:tcW w:w="1608" w:type="dxa"/>
            <w:tcBorders>
              <w:top w:val="nil"/>
              <w:left w:val="nil"/>
              <w:bottom w:val="nil"/>
              <w:right w:val="nil"/>
            </w:tcBorders>
          </w:tcPr>
          <w:p w14:paraId="4C3EA88E"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No. of Patents</w:t>
            </w:r>
          </w:p>
        </w:tc>
        <w:tc>
          <w:tcPr>
            <w:tcW w:w="1200" w:type="dxa"/>
            <w:tcBorders>
              <w:top w:val="nil"/>
              <w:left w:val="nil"/>
              <w:bottom w:val="nil"/>
              <w:right w:val="nil"/>
            </w:tcBorders>
          </w:tcPr>
          <w:p w14:paraId="1AD51FE9"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75.860</w:t>
            </w:r>
          </w:p>
        </w:tc>
        <w:tc>
          <w:tcPr>
            <w:tcW w:w="1200" w:type="dxa"/>
            <w:tcBorders>
              <w:top w:val="nil"/>
              <w:left w:val="nil"/>
              <w:bottom w:val="nil"/>
              <w:right w:val="nil"/>
            </w:tcBorders>
          </w:tcPr>
          <w:p w14:paraId="7D35FCB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10.290</w:t>
            </w:r>
          </w:p>
        </w:tc>
        <w:tc>
          <w:tcPr>
            <w:tcW w:w="1200" w:type="dxa"/>
            <w:tcBorders>
              <w:top w:val="nil"/>
              <w:left w:val="nil"/>
              <w:bottom w:val="nil"/>
              <w:right w:val="nil"/>
            </w:tcBorders>
          </w:tcPr>
          <w:p w14:paraId="1B2C045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2.567</w:t>
            </w:r>
          </w:p>
        </w:tc>
        <w:tc>
          <w:tcPr>
            <w:tcW w:w="1200" w:type="dxa"/>
            <w:tcBorders>
              <w:top w:val="nil"/>
              <w:left w:val="nil"/>
              <w:bottom w:val="nil"/>
              <w:right w:val="nil"/>
            </w:tcBorders>
          </w:tcPr>
          <w:p w14:paraId="02AF6922"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25.140</w:t>
            </w:r>
          </w:p>
        </w:tc>
        <w:tc>
          <w:tcPr>
            <w:tcW w:w="1200" w:type="dxa"/>
            <w:tcBorders>
              <w:top w:val="nil"/>
              <w:left w:val="nil"/>
              <w:bottom w:val="nil"/>
              <w:right w:val="nil"/>
            </w:tcBorders>
          </w:tcPr>
          <w:p w14:paraId="1E60E39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1.518</w:t>
            </w:r>
          </w:p>
        </w:tc>
        <w:tc>
          <w:tcPr>
            <w:tcW w:w="1200" w:type="dxa"/>
            <w:tcBorders>
              <w:top w:val="nil"/>
              <w:left w:val="nil"/>
              <w:bottom w:val="nil"/>
              <w:right w:val="nil"/>
            </w:tcBorders>
          </w:tcPr>
          <w:p w14:paraId="0606FD9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4.635</w:t>
            </w:r>
          </w:p>
        </w:tc>
      </w:tr>
    </w:tbl>
    <w:p w14:paraId="54A29426"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3D1CDADC" w14:textId="77777777" w:rsidTr="00413B9B">
        <w:tc>
          <w:tcPr>
            <w:tcW w:w="1608" w:type="dxa"/>
            <w:tcBorders>
              <w:top w:val="nil"/>
              <w:left w:val="nil"/>
              <w:bottom w:val="nil"/>
              <w:right w:val="nil"/>
            </w:tcBorders>
          </w:tcPr>
          <w:p w14:paraId="7C1A4BE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Total FTEs</w:t>
            </w:r>
          </w:p>
        </w:tc>
        <w:tc>
          <w:tcPr>
            <w:tcW w:w="1200" w:type="dxa"/>
            <w:tcBorders>
              <w:top w:val="nil"/>
              <w:left w:val="nil"/>
              <w:bottom w:val="nil"/>
              <w:right w:val="nil"/>
            </w:tcBorders>
          </w:tcPr>
          <w:p w14:paraId="17DE851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33.930</w:t>
            </w:r>
          </w:p>
        </w:tc>
        <w:tc>
          <w:tcPr>
            <w:tcW w:w="1200" w:type="dxa"/>
            <w:tcBorders>
              <w:top w:val="nil"/>
              <w:left w:val="nil"/>
              <w:bottom w:val="nil"/>
              <w:right w:val="nil"/>
            </w:tcBorders>
          </w:tcPr>
          <w:p w14:paraId="4EA437E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2.112</w:t>
            </w:r>
          </w:p>
        </w:tc>
        <w:tc>
          <w:tcPr>
            <w:tcW w:w="1200" w:type="dxa"/>
            <w:tcBorders>
              <w:top w:val="nil"/>
              <w:left w:val="nil"/>
              <w:bottom w:val="nil"/>
              <w:right w:val="nil"/>
            </w:tcBorders>
          </w:tcPr>
          <w:p w14:paraId="0D0107B0"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2.588</w:t>
            </w:r>
          </w:p>
        </w:tc>
        <w:tc>
          <w:tcPr>
            <w:tcW w:w="1200" w:type="dxa"/>
            <w:tcBorders>
              <w:top w:val="nil"/>
              <w:left w:val="nil"/>
              <w:bottom w:val="nil"/>
              <w:right w:val="nil"/>
            </w:tcBorders>
          </w:tcPr>
          <w:p w14:paraId="7B90A6F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9.854</w:t>
            </w:r>
          </w:p>
        </w:tc>
        <w:tc>
          <w:tcPr>
            <w:tcW w:w="1200" w:type="dxa"/>
            <w:tcBorders>
              <w:top w:val="nil"/>
              <w:left w:val="nil"/>
              <w:bottom w:val="nil"/>
              <w:right w:val="nil"/>
            </w:tcBorders>
          </w:tcPr>
          <w:p w14:paraId="7761CB6F"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233.700</w:t>
            </w:r>
          </w:p>
        </w:tc>
        <w:tc>
          <w:tcPr>
            <w:tcW w:w="1200" w:type="dxa"/>
            <w:tcBorders>
              <w:top w:val="nil"/>
              <w:left w:val="nil"/>
              <w:bottom w:val="nil"/>
              <w:right w:val="nil"/>
            </w:tcBorders>
          </w:tcPr>
          <w:p w14:paraId="7DC657A2"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6.218</w:t>
            </w:r>
          </w:p>
        </w:tc>
      </w:tr>
    </w:tbl>
    <w:p w14:paraId="17051140"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307B3DAC" w14:textId="77777777" w:rsidTr="00413B9B">
        <w:tc>
          <w:tcPr>
            <w:tcW w:w="1608" w:type="dxa"/>
            <w:tcBorders>
              <w:top w:val="nil"/>
              <w:left w:val="nil"/>
              <w:bottom w:val="nil"/>
              <w:right w:val="nil"/>
            </w:tcBorders>
          </w:tcPr>
          <w:p w14:paraId="38738A3C"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TTO Age</w:t>
            </w:r>
          </w:p>
        </w:tc>
        <w:tc>
          <w:tcPr>
            <w:tcW w:w="1200" w:type="dxa"/>
            <w:tcBorders>
              <w:top w:val="nil"/>
              <w:left w:val="nil"/>
              <w:bottom w:val="nil"/>
              <w:right w:val="nil"/>
            </w:tcBorders>
          </w:tcPr>
          <w:p w14:paraId="438AEC4C"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27.730</w:t>
            </w:r>
          </w:p>
        </w:tc>
        <w:tc>
          <w:tcPr>
            <w:tcW w:w="1200" w:type="dxa"/>
            <w:tcBorders>
              <w:top w:val="nil"/>
              <w:left w:val="nil"/>
              <w:bottom w:val="nil"/>
              <w:right w:val="nil"/>
            </w:tcBorders>
          </w:tcPr>
          <w:p w14:paraId="43980AE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136.700</w:t>
            </w:r>
          </w:p>
        </w:tc>
        <w:tc>
          <w:tcPr>
            <w:tcW w:w="1200" w:type="dxa"/>
            <w:tcBorders>
              <w:top w:val="nil"/>
              <w:left w:val="nil"/>
              <w:bottom w:val="nil"/>
              <w:right w:val="nil"/>
            </w:tcBorders>
          </w:tcPr>
          <w:p w14:paraId="3AE7445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0.801</w:t>
            </w:r>
          </w:p>
        </w:tc>
        <w:tc>
          <w:tcPr>
            <w:tcW w:w="1200" w:type="dxa"/>
            <w:tcBorders>
              <w:top w:val="nil"/>
              <w:left w:val="nil"/>
              <w:bottom w:val="nil"/>
              <w:right w:val="nil"/>
            </w:tcBorders>
          </w:tcPr>
          <w:p w14:paraId="5534AFB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19.140</w:t>
            </w:r>
          </w:p>
        </w:tc>
        <w:tc>
          <w:tcPr>
            <w:tcW w:w="1200" w:type="dxa"/>
            <w:tcBorders>
              <w:top w:val="nil"/>
              <w:left w:val="nil"/>
              <w:bottom w:val="nil"/>
              <w:right w:val="nil"/>
            </w:tcBorders>
          </w:tcPr>
          <w:p w14:paraId="6144F217"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182.600</w:t>
            </w:r>
          </w:p>
        </w:tc>
        <w:tc>
          <w:tcPr>
            <w:tcW w:w="1200" w:type="dxa"/>
            <w:tcBorders>
              <w:top w:val="nil"/>
              <w:left w:val="nil"/>
              <w:bottom w:val="nil"/>
              <w:right w:val="nil"/>
            </w:tcBorders>
          </w:tcPr>
          <w:p w14:paraId="2D083F90"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1.984</w:t>
            </w:r>
          </w:p>
        </w:tc>
      </w:tr>
    </w:tbl>
    <w:p w14:paraId="02F9B878"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1365AC55" w14:textId="77777777" w:rsidTr="00413B9B">
        <w:tc>
          <w:tcPr>
            <w:tcW w:w="1608" w:type="dxa"/>
            <w:tcBorders>
              <w:top w:val="nil"/>
              <w:left w:val="nil"/>
              <w:bottom w:val="nil"/>
              <w:right w:val="nil"/>
            </w:tcBorders>
          </w:tcPr>
          <w:p w14:paraId="412683EC"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Private</w:t>
            </w:r>
          </w:p>
        </w:tc>
        <w:tc>
          <w:tcPr>
            <w:tcW w:w="1200" w:type="dxa"/>
            <w:tcBorders>
              <w:top w:val="nil"/>
              <w:left w:val="nil"/>
              <w:bottom w:val="nil"/>
              <w:right w:val="nil"/>
            </w:tcBorders>
          </w:tcPr>
          <w:p w14:paraId="7D9FD4A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0.696</w:t>
            </w:r>
          </w:p>
        </w:tc>
        <w:tc>
          <w:tcPr>
            <w:tcW w:w="1200" w:type="dxa"/>
            <w:tcBorders>
              <w:top w:val="nil"/>
              <w:left w:val="nil"/>
              <w:bottom w:val="nil"/>
              <w:right w:val="nil"/>
            </w:tcBorders>
          </w:tcPr>
          <w:p w14:paraId="77AD9B99"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0.215</w:t>
            </w:r>
          </w:p>
        </w:tc>
        <w:tc>
          <w:tcPr>
            <w:tcW w:w="1200" w:type="dxa"/>
            <w:tcBorders>
              <w:top w:val="nil"/>
              <w:left w:val="nil"/>
              <w:bottom w:val="nil"/>
              <w:right w:val="nil"/>
            </w:tcBorders>
          </w:tcPr>
          <w:p w14:paraId="5A373EE2"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-0.854</w:t>
            </w:r>
          </w:p>
        </w:tc>
        <w:tc>
          <w:tcPr>
            <w:tcW w:w="1200" w:type="dxa"/>
            <w:tcBorders>
              <w:top w:val="nil"/>
              <w:left w:val="nil"/>
              <w:bottom w:val="nil"/>
              <w:right w:val="nil"/>
            </w:tcBorders>
          </w:tcPr>
          <w:p w14:paraId="1474392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0.297</w:t>
            </w:r>
          </w:p>
        </w:tc>
        <w:tc>
          <w:tcPr>
            <w:tcW w:w="1200" w:type="dxa"/>
            <w:tcBorders>
              <w:top w:val="nil"/>
              <w:left w:val="nil"/>
              <w:bottom w:val="nil"/>
              <w:right w:val="nil"/>
            </w:tcBorders>
          </w:tcPr>
          <w:p w14:paraId="49C12080"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0.209</w:t>
            </w:r>
          </w:p>
        </w:tc>
        <w:tc>
          <w:tcPr>
            <w:tcW w:w="1200" w:type="dxa"/>
            <w:tcBorders>
              <w:top w:val="nil"/>
              <w:left w:val="nil"/>
              <w:bottom w:val="nil"/>
              <w:right w:val="nil"/>
            </w:tcBorders>
          </w:tcPr>
          <w:p w14:paraId="1108A319"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0.888</w:t>
            </w:r>
          </w:p>
        </w:tc>
      </w:tr>
    </w:tbl>
    <w:p w14:paraId="3E90FFD6"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Borders>
          <w:bottom w:val="single" w:sz="4" w:space="0" w:color="auto"/>
        </w:tblBorders>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5A2848BE" w14:textId="77777777" w:rsidTr="00413B9B">
        <w:tc>
          <w:tcPr>
            <w:tcW w:w="1608" w:type="dxa"/>
          </w:tcPr>
          <w:p w14:paraId="5BB38F1B"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Medical School</w:t>
            </w:r>
          </w:p>
        </w:tc>
        <w:tc>
          <w:tcPr>
            <w:tcW w:w="1200" w:type="dxa"/>
          </w:tcPr>
          <w:p w14:paraId="1285DAE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0.893</w:t>
            </w:r>
          </w:p>
        </w:tc>
        <w:tc>
          <w:tcPr>
            <w:tcW w:w="1200" w:type="dxa"/>
          </w:tcPr>
          <w:p w14:paraId="342B6619"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0.097</w:t>
            </w:r>
          </w:p>
        </w:tc>
        <w:tc>
          <w:tcPr>
            <w:tcW w:w="1200" w:type="dxa"/>
          </w:tcPr>
          <w:p w14:paraId="7FF89DE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-2.540</w:t>
            </w:r>
          </w:p>
        </w:tc>
        <w:tc>
          <w:tcPr>
            <w:tcW w:w="1200" w:type="dxa"/>
          </w:tcPr>
          <w:p w14:paraId="7FCF8CEC"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0.591</w:t>
            </w:r>
          </w:p>
        </w:tc>
        <w:tc>
          <w:tcPr>
            <w:tcW w:w="1200" w:type="dxa"/>
          </w:tcPr>
          <w:p w14:paraId="585E357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0.242</w:t>
            </w:r>
          </w:p>
        </w:tc>
        <w:tc>
          <w:tcPr>
            <w:tcW w:w="1200" w:type="dxa"/>
          </w:tcPr>
          <w:p w14:paraId="313505B2"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-0.369</w:t>
            </w:r>
          </w:p>
        </w:tc>
      </w:tr>
    </w:tbl>
    <w:p w14:paraId="567B7B03"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p w14:paraId="5A2B01B2"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p w14:paraId="3EED012D"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cs="Times New Roman"/>
          <w:szCs w:val="22"/>
          <w:lang w:val="en-US" w:eastAsia="en-GB"/>
        </w:rPr>
        <w:t>After: with weighting</w:t>
      </w:r>
      <w:r w:rsidRPr="00071DC8">
        <w:rPr>
          <w:rFonts w:cs="Times New Roman"/>
          <w:szCs w:val="22"/>
          <w:lang w:val="en-US" w:eastAsia="en-GB"/>
        </w:rPr>
        <w:br/>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2268"/>
        <w:gridCol w:w="3240"/>
        <w:gridCol w:w="2856"/>
      </w:tblGrid>
      <w:tr w:rsidR="00E23022" w:rsidRPr="00071DC8" w14:paraId="58B01823" w14:textId="77777777" w:rsidTr="00413B9B">
        <w:tc>
          <w:tcPr>
            <w:tcW w:w="2268" w:type="dxa"/>
          </w:tcPr>
          <w:p w14:paraId="2552EA53"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p>
        </w:tc>
        <w:tc>
          <w:tcPr>
            <w:tcW w:w="3240" w:type="dxa"/>
          </w:tcPr>
          <w:p w14:paraId="78F436DC"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Universities with involvement</w:t>
            </w:r>
          </w:p>
        </w:tc>
        <w:tc>
          <w:tcPr>
            <w:tcW w:w="2856" w:type="dxa"/>
          </w:tcPr>
          <w:p w14:paraId="4BE9856A"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Universities with no involvement</w:t>
            </w:r>
          </w:p>
        </w:tc>
      </w:tr>
    </w:tbl>
    <w:p w14:paraId="769ACE61"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114F559F" w14:textId="77777777" w:rsidTr="00413B9B">
        <w:tc>
          <w:tcPr>
            <w:tcW w:w="1608" w:type="dxa"/>
            <w:tcBorders>
              <w:top w:val="nil"/>
              <w:left w:val="nil"/>
              <w:bottom w:val="nil"/>
              <w:right w:val="nil"/>
            </w:tcBorders>
          </w:tcPr>
          <w:p w14:paraId="2BEC4D03"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p>
        </w:tc>
        <w:tc>
          <w:tcPr>
            <w:tcW w:w="1200" w:type="dxa"/>
            <w:tcBorders>
              <w:top w:val="nil"/>
              <w:left w:val="nil"/>
              <w:bottom w:val="nil"/>
              <w:right w:val="nil"/>
            </w:tcBorders>
          </w:tcPr>
          <w:p w14:paraId="2353239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Mean</w:t>
            </w:r>
          </w:p>
        </w:tc>
        <w:tc>
          <w:tcPr>
            <w:tcW w:w="1200" w:type="dxa"/>
            <w:tcBorders>
              <w:top w:val="nil"/>
              <w:left w:val="nil"/>
              <w:bottom w:val="nil"/>
              <w:right w:val="nil"/>
            </w:tcBorders>
          </w:tcPr>
          <w:p w14:paraId="478A085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SD</w:t>
            </w:r>
          </w:p>
        </w:tc>
        <w:tc>
          <w:tcPr>
            <w:tcW w:w="1200" w:type="dxa"/>
            <w:tcBorders>
              <w:top w:val="nil"/>
              <w:left w:val="nil"/>
              <w:bottom w:val="nil"/>
              <w:right w:val="nil"/>
            </w:tcBorders>
          </w:tcPr>
          <w:p w14:paraId="156FB8D2"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skewness</w:t>
            </w:r>
          </w:p>
        </w:tc>
        <w:tc>
          <w:tcPr>
            <w:tcW w:w="1200" w:type="dxa"/>
            <w:tcBorders>
              <w:top w:val="nil"/>
              <w:left w:val="nil"/>
              <w:bottom w:val="nil"/>
              <w:right w:val="nil"/>
            </w:tcBorders>
          </w:tcPr>
          <w:p w14:paraId="7A120C6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Mean</w:t>
            </w:r>
          </w:p>
        </w:tc>
        <w:tc>
          <w:tcPr>
            <w:tcW w:w="1200" w:type="dxa"/>
            <w:tcBorders>
              <w:top w:val="nil"/>
              <w:left w:val="nil"/>
              <w:bottom w:val="nil"/>
              <w:right w:val="nil"/>
            </w:tcBorders>
          </w:tcPr>
          <w:p w14:paraId="2171D901"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SD</w:t>
            </w:r>
          </w:p>
        </w:tc>
        <w:tc>
          <w:tcPr>
            <w:tcW w:w="1200" w:type="dxa"/>
            <w:tcBorders>
              <w:top w:val="nil"/>
              <w:left w:val="nil"/>
              <w:bottom w:val="nil"/>
              <w:right w:val="nil"/>
            </w:tcBorders>
          </w:tcPr>
          <w:p w14:paraId="279EC74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Skewness</w:t>
            </w:r>
          </w:p>
        </w:tc>
      </w:tr>
    </w:tbl>
    <w:p w14:paraId="2B94670A"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712670AB" w14:textId="77777777" w:rsidTr="00413B9B">
        <w:tc>
          <w:tcPr>
            <w:tcW w:w="1608" w:type="dxa"/>
            <w:tcBorders>
              <w:top w:val="nil"/>
              <w:left w:val="nil"/>
              <w:bottom w:val="nil"/>
              <w:right w:val="nil"/>
            </w:tcBorders>
          </w:tcPr>
          <w:p w14:paraId="7741BFE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No. of Patents</w:t>
            </w:r>
          </w:p>
        </w:tc>
        <w:tc>
          <w:tcPr>
            <w:tcW w:w="1200" w:type="dxa"/>
            <w:tcBorders>
              <w:top w:val="nil"/>
              <w:left w:val="nil"/>
              <w:bottom w:val="nil"/>
              <w:right w:val="nil"/>
            </w:tcBorders>
          </w:tcPr>
          <w:p w14:paraId="306BCF8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75.860</w:t>
            </w:r>
          </w:p>
        </w:tc>
        <w:tc>
          <w:tcPr>
            <w:tcW w:w="1200" w:type="dxa"/>
            <w:tcBorders>
              <w:top w:val="nil"/>
              <w:left w:val="nil"/>
              <w:bottom w:val="nil"/>
              <w:right w:val="nil"/>
            </w:tcBorders>
          </w:tcPr>
          <w:p w14:paraId="3304E9A0"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10.290</w:t>
            </w:r>
          </w:p>
        </w:tc>
        <w:tc>
          <w:tcPr>
            <w:tcW w:w="1200" w:type="dxa"/>
            <w:tcBorders>
              <w:top w:val="nil"/>
              <w:left w:val="nil"/>
              <w:bottom w:val="nil"/>
              <w:right w:val="nil"/>
            </w:tcBorders>
          </w:tcPr>
          <w:p w14:paraId="5E835D77"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2.567</w:t>
            </w:r>
          </w:p>
        </w:tc>
        <w:tc>
          <w:tcPr>
            <w:tcW w:w="1200" w:type="dxa"/>
            <w:tcBorders>
              <w:top w:val="nil"/>
              <w:left w:val="nil"/>
              <w:bottom w:val="nil"/>
              <w:right w:val="nil"/>
            </w:tcBorders>
          </w:tcPr>
          <w:p w14:paraId="70A57CD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75.650</w:t>
            </w:r>
          </w:p>
        </w:tc>
        <w:tc>
          <w:tcPr>
            <w:tcW w:w="1200" w:type="dxa"/>
            <w:tcBorders>
              <w:top w:val="nil"/>
              <w:left w:val="nil"/>
              <w:bottom w:val="nil"/>
              <w:right w:val="nil"/>
            </w:tcBorders>
          </w:tcPr>
          <w:p w14:paraId="17B413F0"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10.262</w:t>
            </w:r>
          </w:p>
        </w:tc>
        <w:tc>
          <w:tcPr>
            <w:tcW w:w="1200" w:type="dxa"/>
            <w:tcBorders>
              <w:top w:val="nil"/>
              <w:left w:val="nil"/>
              <w:bottom w:val="nil"/>
              <w:right w:val="nil"/>
            </w:tcBorders>
          </w:tcPr>
          <w:p w14:paraId="726D962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2.577</w:t>
            </w:r>
          </w:p>
        </w:tc>
      </w:tr>
    </w:tbl>
    <w:p w14:paraId="6ABD3EF0"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7AADAC27" w14:textId="77777777" w:rsidTr="00413B9B">
        <w:tc>
          <w:tcPr>
            <w:tcW w:w="1608" w:type="dxa"/>
            <w:tcBorders>
              <w:top w:val="nil"/>
              <w:left w:val="nil"/>
              <w:bottom w:val="nil"/>
              <w:right w:val="nil"/>
            </w:tcBorders>
          </w:tcPr>
          <w:p w14:paraId="79246FE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Total FTEs</w:t>
            </w:r>
          </w:p>
        </w:tc>
        <w:tc>
          <w:tcPr>
            <w:tcW w:w="1200" w:type="dxa"/>
            <w:tcBorders>
              <w:top w:val="nil"/>
              <w:left w:val="nil"/>
              <w:bottom w:val="nil"/>
              <w:right w:val="nil"/>
            </w:tcBorders>
          </w:tcPr>
          <w:p w14:paraId="05E5CE4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33.930</w:t>
            </w:r>
          </w:p>
        </w:tc>
        <w:tc>
          <w:tcPr>
            <w:tcW w:w="1200" w:type="dxa"/>
            <w:tcBorders>
              <w:top w:val="nil"/>
              <w:left w:val="nil"/>
              <w:bottom w:val="nil"/>
              <w:right w:val="nil"/>
            </w:tcBorders>
          </w:tcPr>
          <w:p w14:paraId="5C27603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2.112</w:t>
            </w:r>
          </w:p>
        </w:tc>
        <w:tc>
          <w:tcPr>
            <w:tcW w:w="1200" w:type="dxa"/>
            <w:tcBorders>
              <w:top w:val="nil"/>
              <w:left w:val="nil"/>
              <w:bottom w:val="nil"/>
              <w:right w:val="nil"/>
            </w:tcBorders>
          </w:tcPr>
          <w:p w14:paraId="6DA329CB"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2.588</w:t>
            </w:r>
          </w:p>
        </w:tc>
        <w:tc>
          <w:tcPr>
            <w:tcW w:w="1200" w:type="dxa"/>
            <w:tcBorders>
              <w:top w:val="nil"/>
              <w:left w:val="nil"/>
              <w:bottom w:val="nil"/>
              <w:right w:val="nil"/>
            </w:tcBorders>
          </w:tcPr>
          <w:p w14:paraId="27874EB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33.840</w:t>
            </w:r>
          </w:p>
        </w:tc>
        <w:tc>
          <w:tcPr>
            <w:tcW w:w="1200" w:type="dxa"/>
            <w:tcBorders>
              <w:top w:val="nil"/>
              <w:left w:val="nil"/>
              <w:bottom w:val="nil"/>
              <w:right w:val="nil"/>
            </w:tcBorders>
          </w:tcPr>
          <w:p w14:paraId="0CE30FE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2.106</w:t>
            </w:r>
          </w:p>
        </w:tc>
        <w:tc>
          <w:tcPr>
            <w:tcW w:w="1200" w:type="dxa"/>
            <w:tcBorders>
              <w:top w:val="nil"/>
              <w:left w:val="nil"/>
              <w:bottom w:val="nil"/>
              <w:right w:val="nil"/>
            </w:tcBorders>
          </w:tcPr>
          <w:p w14:paraId="7DE5F9D0"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2.598</w:t>
            </w:r>
          </w:p>
        </w:tc>
      </w:tr>
    </w:tbl>
    <w:p w14:paraId="73B23D4A"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5E97722F" w14:textId="77777777" w:rsidTr="00413B9B">
        <w:tc>
          <w:tcPr>
            <w:tcW w:w="1608" w:type="dxa"/>
            <w:tcBorders>
              <w:top w:val="nil"/>
              <w:left w:val="nil"/>
              <w:bottom w:val="nil"/>
              <w:right w:val="nil"/>
            </w:tcBorders>
          </w:tcPr>
          <w:p w14:paraId="17E63A18"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TTO Age</w:t>
            </w:r>
          </w:p>
        </w:tc>
        <w:tc>
          <w:tcPr>
            <w:tcW w:w="1200" w:type="dxa"/>
            <w:tcBorders>
              <w:top w:val="nil"/>
              <w:left w:val="nil"/>
              <w:bottom w:val="nil"/>
              <w:right w:val="nil"/>
            </w:tcBorders>
          </w:tcPr>
          <w:p w14:paraId="764F681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27.730</w:t>
            </w:r>
          </w:p>
        </w:tc>
        <w:tc>
          <w:tcPr>
            <w:tcW w:w="1200" w:type="dxa"/>
            <w:tcBorders>
              <w:top w:val="nil"/>
              <w:left w:val="nil"/>
              <w:bottom w:val="nil"/>
              <w:right w:val="nil"/>
            </w:tcBorders>
          </w:tcPr>
          <w:p w14:paraId="5F58E4C3"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136.700</w:t>
            </w:r>
          </w:p>
        </w:tc>
        <w:tc>
          <w:tcPr>
            <w:tcW w:w="1200" w:type="dxa"/>
            <w:tcBorders>
              <w:top w:val="nil"/>
              <w:left w:val="nil"/>
              <w:bottom w:val="nil"/>
              <w:right w:val="nil"/>
            </w:tcBorders>
          </w:tcPr>
          <w:p w14:paraId="704D05D9"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0.801</w:t>
            </w:r>
          </w:p>
        </w:tc>
        <w:tc>
          <w:tcPr>
            <w:tcW w:w="1200" w:type="dxa"/>
            <w:tcBorders>
              <w:top w:val="nil"/>
              <w:left w:val="nil"/>
              <w:bottom w:val="nil"/>
              <w:right w:val="nil"/>
            </w:tcBorders>
          </w:tcPr>
          <w:p w14:paraId="55E63D1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27.660</w:t>
            </w:r>
          </w:p>
        </w:tc>
        <w:tc>
          <w:tcPr>
            <w:tcW w:w="1200" w:type="dxa"/>
            <w:tcBorders>
              <w:top w:val="nil"/>
              <w:left w:val="nil"/>
              <w:bottom w:val="nil"/>
              <w:right w:val="nil"/>
            </w:tcBorders>
          </w:tcPr>
          <w:p w14:paraId="7CC23427"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136.400</w:t>
            </w:r>
          </w:p>
        </w:tc>
        <w:tc>
          <w:tcPr>
            <w:tcW w:w="1200" w:type="dxa"/>
            <w:tcBorders>
              <w:top w:val="nil"/>
              <w:left w:val="nil"/>
              <w:bottom w:val="nil"/>
              <w:right w:val="nil"/>
            </w:tcBorders>
          </w:tcPr>
          <w:p w14:paraId="4157C117"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0.821</w:t>
            </w:r>
          </w:p>
        </w:tc>
      </w:tr>
    </w:tbl>
    <w:p w14:paraId="73046550"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1B44FB4C" w14:textId="77777777" w:rsidTr="00413B9B">
        <w:tc>
          <w:tcPr>
            <w:tcW w:w="1608" w:type="dxa"/>
            <w:tcBorders>
              <w:top w:val="nil"/>
              <w:left w:val="nil"/>
              <w:bottom w:val="nil"/>
              <w:right w:val="nil"/>
            </w:tcBorders>
          </w:tcPr>
          <w:p w14:paraId="0AAFB20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Private</w:t>
            </w:r>
          </w:p>
        </w:tc>
        <w:tc>
          <w:tcPr>
            <w:tcW w:w="1200" w:type="dxa"/>
            <w:tcBorders>
              <w:top w:val="nil"/>
              <w:left w:val="nil"/>
              <w:bottom w:val="nil"/>
              <w:right w:val="nil"/>
            </w:tcBorders>
          </w:tcPr>
          <w:p w14:paraId="114CF1F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0.696</w:t>
            </w:r>
          </w:p>
        </w:tc>
        <w:tc>
          <w:tcPr>
            <w:tcW w:w="1200" w:type="dxa"/>
            <w:tcBorders>
              <w:top w:val="nil"/>
              <w:left w:val="nil"/>
              <w:bottom w:val="nil"/>
              <w:right w:val="nil"/>
            </w:tcBorders>
          </w:tcPr>
          <w:p w14:paraId="4FEC22AB"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0.215</w:t>
            </w:r>
          </w:p>
        </w:tc>
        <w:tc>
          <w:tcPr>
            <w:tcW w:w="1200" w:type="dxa"/>
            <w:tcBorders>
              <w:top w:val="nil"/>
              <w:left w:val="nil"/>
              <w:bottom w:val="nil"/>
              <w:right w:val="nil"/>
            </w:tcBorders>
          </w:tcPr>
          <w:p w14:paraId="30FAD6F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-0.854</w:t>
            </w:r>
          </w:p>
        </w:tc>
        <w:tc>
          <w:tcPr>
            <w:tcW w:w="1200" w:type="dxa"/>
            <w:tcBorders>
              <w:top w:val="nil"/>
              <w:left w:val="nil"/>
              <w:bottom w:val="nil"/>
              <w:right w:val="nil"/>
            </w:tcBorders>
          </w:tcPr>
          <w:p w14:paraId="221550DE"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0.691</w:t>
            </w:r>
          </w:p>
        </w:tc>
        <w:tc>
          <w:tcPr>
            <w:tcW w:w="1200" w:type="dxa"/>
            <w:tcBorders>
              <w:top w:val="nil"/>
              <w:left w:val="nil"/>
              <w:bottom w:val="nil"/>
              <w:right w:val="nil"/>
            </w:tcBorders>
          </w:tcPr>
          <w:p w14:paraId="26CC22A7"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0.214</w:t>
            </w:r>
          </w:p>
        </w:tc>
        <w:tc>
          <w:tcPr>
            <w:tcW w:w="1200" w:type="dxa"/>
            <w:tcBorders>
              <w:top w:val="nil"/>
              <w:left w:val="nil"/>
              <w:bottom w:val="nil"/>
              <w:right w:val="nil"/>
            </w:tcBorders>
          </w:tcPr>
          <w:p w14:paraId="005A178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-0.827</w:t>
            </w:r>
          </w:p>
        </w:tc>
      </w:tr>
    </w:tbl>
    <w:p w14:paraId="40694C02" w14:textId="77777777" w:rsidR="00E23022" w:rsidRPr="00071DC8" w:rsidRDefault="00E23022" w:rsidP="00E23022">
      <w:pPr>
        <w:widowControl w:val="0"/>
        <w:autoSpaceDE w:val="0"/>
        <w:autoSpaceDN w:val="0"/>
        <w:adjustRightInd w:val="0"/>
        <w:spacing w:line="240" w:lineRule="auto"/>
        <w:ind w:firstLine="0"/>
        <w:rPr>
          <w:rFonts w:ascii="Garamond" w:hAnsi="Garamond" w:cs="Times New Roman"/>
          <w:sz w:val="20"/>
          <w:szCs w:val="20"/>
          <w:lang w:val="en-US" w:eastAsia="en-GB"/>
        </w:rPr>
      </w:pPr>
    </w:p>
    <w:tbl>
      <w:tblPr>
        <w:tblW w:w="0" w:type="auto"/>
        <w:tblBorders>
          <w:bottom w:val="single" w:sz="4" w:space="0" w:color="auto"/>
        </w:tblBorders>
        <w:tblLayout w:type="fixed"/>
        <w:tblLook w:val="0000" w:firstRow="0" w:lastRow="0" w:firstColumn="0" w:lastColumn="0" w:noHBand="0" w:noVBand="0"/>
      </w:tblPr>
      <w:tblGrid>
        <w:gridCol w:w="1608"/>
        <w:gridCol w:w="1200"/>
        <w:gridCol w:w="1200"/>
        <w:gridCol w:w="1200"/>
        <w:gridCol w:w="1200"/>
        <w:gridCol w:w="1200"/>
        <w:gridCol w:w="1200"/>
      </w:tblGrid>
      <w:tr w:rsidR="00E23022" w:rsidRPr="00071DC8" w14:paraId="09BB6D6B" w14:textId="77777777" w:rsidTr="00413B9B">
        <w:tc>
          <w:tcPr>
            <w:tcW w:w="1608" w:type="dxa"/>
          </w:tcPr>
          <w:p w14:paraId="2295AFD6"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Medical School</w:t>
            </w:r>
          </w:p>
        </w:tc>
        <w:tc>
          <w:tcPr>
            <w:tcW w:w="1200" w:type="dxa"/>
          </w:tcPr>
          <w:p w14:paraId="638766A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0.893</w:t>
            </w:r>
          </w:p>
        </w:tc>
        <w:tc>
          <w:tcPr>
            <w:tcW w:w="1200" w:type="dxa"/>
          </w:tcPr>
          <w:p w14:paraId="5C7AF50E"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0.097</w:t>
            </w:r>
          </w:p>
        </w:tc>
        <w:tc>
          <w:tcPr>
            <w:tcW w:w="1200" w:type="dxa"/>
          </w:tcPr>
          <w:p w14:paraId="7417FDBD"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-2.540</w:t>
            </w:r>
          </w:p>
        </w:tc>
        <w:tc>
          <w:tcPr>
            <w:tcW w:w="1200" w:type="dxa"/>
          </w:tcPr>
          <w:p w14:paraId="576E2BD4"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0.891</w:t>
            </w:r>
          </w:p>
        </w:tc>
        <w:tc>
          <w:tcPr>
            <w:tcW w:w="1200" w:type="dxa"/>
          </w:tcPr>
          <w:p w14:paraId="38943AB5"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0.097</w:t>
            </w:r>
          </w:p>
        </w:tc>
        <w:tc>
          <w:tcPr>
            <w:tcW w:w="1200" w:type="dxa"/>
          </w:tcPr>
          <w:p w14:paraId="299D11AA" w14:textId="77777777" w:rsidR="00E23022" w:rsidRPr="00071DC8" w:rsidRDefault="00E23022" w:rsidP="00413B9B">
            <w:pPr>
              <w:widowControl w:val="0"/>
              <w:autoSpaceDE w:val="0"/>
              <w:autoSpaceDN w:val="0"/>
              <w:adjustRightInd w:val="0"/>
              <w:spacing w:line="240" w:lineRule="auto"/>
              <w:ind w:firstLine="0"/>
              <w:rPr>
                <w:rFonts w:ascii="Garamond" w:hAnsi="Garamond" w:cs="Times New Roman"/>
                <w:sz w:val="20"/>
                <w:szCs w:val="20"/>
                <w:lang w:val="en-US" w:eastAsia="en-GB"/>
              </w:rPr>
            </w:pPr>
            <w:r w:rsidRPr="00071DC8">
              <w:rPr>
                <w:rFonts w:ascii="Garamond" w:hAnsi="Garamond" w:cs="Times New Roman"/>
                <w:sz w:val="20"/>
                <w:szCs w:val="20"/>
                <w:lang w:val="en-US" w:eastAsia="en-GB"/>
              </w:rPr>
              <w:t>-2.503</w:t>
            </w:r>
          </w:p>
        </w:tc>
      </w:tr>
    </w:tbl>
    <w:p w14:paraId="7661605C" w14:textId="77777777" w:rsidR="00E23022" w:rsidRPr="00071DC8" w:rsidRDefault="00E23022" w:rsidP="00E23022">
      <w:pPr>
        <w:widowControl w:val="0"/>
        <w:autoSpaceDE w:val="0"/>
        <w:autoSpaceDN w:val="0"/>
        <w:adjustRightInd w:val="0"/>
        <w:spacing w:line="240" w:lineRule="auto"/>
        <w:ind w:firstLine="720"/>
        <w:rPr>
          <w:rFonts w:cs="Times New Roman"/>
          <w:szCs w:val="22"/>
          <w:lang w:val="en-US" w:eastAsia="en-GB"/>
        </w:rPr>
        <w:sectPr w:rsidR="00E23022" w:rsidRPr="00071DC8" w:rsidSect="00A749A8">
          <w:pgSz w:w="11901" w:h="16840"/>
          <w:pgMar w:top="1440" w:right="1440" w:bottom="1440" w:left="1440" w:header="720" w:footer="720" w:gutter="0"/>
          <w:cols w:space="720"/>
          <w:noEndnote/>
          <w:docGrid w:linePitch="299"/>
        </w:sectPr>
      </w:pPr>
      <w:r w:rsidRPr="00071DC8">
        <w:rPr>
          <w:rFonts w:ascii="Garamond" w:hAnsi="Garamond" w:cs="Times New Roman"/>
          <w:b/>
          <w:bCs/>
          <w:sz w:val="20"/>
          <w:szCs w:val="20"/>
          <w:lang w:val="en-US" w:eastAsia="en-GB"/>
        </w:rPr>
        <w:br/>
      </w:r>
    </w:p>
    <w:p w14:paraId="33C932BB" w14:textId="77777777" w:rsidR="00043492" w:rsidRPr="004D3EDC" w:rsidRDefault="00043492" w:rsidP="00043492">
      <w:pPr>
        <w:widowControl w:val="0"/>
        <w:autoSpaceDE w:val="0"/>
        <w:autoSpaceDN w:val="0"/>
        <w:adjustRightInd w:val="0"/>
        <w:spacing w:line="240" w:lineRule="auto"/>
        <w:ind w:firstLine="720"/>
        <w:rPr>
          <w:rFonts w:cs="Times New Roman"/>
          <w:b/>
          <w:bCs/>
          <w:sz w:val="20"/>
          <w:szCs w:val="20"/>
          <w:lang w:val="en-US" w:eastAsia="en-GB"/>
        </w:rPr>
      </w:pPr>
    </w:p>
    <w:p w14:paraId="48ABF026" w14:textId="77777777" w:rsidR="00043492" w:rsidRPr="004D3EDC" w:rsidRDefault="00043492" w:rsidP="00043492">
      <w:pPr>
        <w:widowControl w:val="0"/>
        <w:autoSpaceDE w:val="0"/>
        <w:autoSpaceDN w:val="0"/>
        <w:adjustRightInd w:val="0"/>
        <w:spacing w:line="240" w:lineRule="auto"/>
        <w:ind w:firstLine="720"/>
        <w:rPr>
          <w:rFonts w:cs="Times New Roman"/>
          <w:b/>
          <w:bCs/>
          <w:sz w:val="20"/>
          <w:szCs w:val="20"/>
          <w:lang w:val="en-US" w:eastAsia="en-GB"/>
        </w:rPr>
      </w:pPr>
    </w:p>
    <w:p w14:paraId="0728AED6" w14:textId="77777777" w:rsidR="00043492" w:rsidRPr="00376D7D" w:rsidRDefault="00043492" w:rsidP="00043492">
      <w:pPr>
        <w:widowControl w:val="0"/>
        <w:autoSpaceDE w:val="0"/>
        <w:autoSpaceDN w:val="0"/>
        <w:adjustRightInd w:val="0"/>
        <w:spacing w:line="240" w:lineRule="auto"/>
        <w:ind w:firstLine="0"/>
        <w:rPr>
          <w:rFonts w:cs="Times New Roman"/>
          <w:szCs w:val="22"/>
          <w:lang w:val="en-US" w:eastAsia="en-GB"/>
        </w:rPr>
      </w:pPr>
      <w:r w:rsidRPr="00376D7D">
        <w:rPr>
          <w:rFonts w:cs="Times New Roman"/>
          <w:szCs w:val="22"/>
          <w:lang w:val="en-US" w:eastAsia="en-GB"/>
        </w:rPr>
        <w:t>Table 2. Descriptive statistics for the entire sample</w:t>
      </w:r>
    </w:p>
    <w:tbl>
      <w:tblPr>
        <w:tblpPr w:leftFromText="180" w:rightFromText="180" w:vertAnchor="page" w:horzAnchor="margin" w:tblpY="2551"/>
        <w:tblW w:w="8221" w:type="dxa"/>
        <w:tblLayout w:type="fixed"/>
        <w:tblLook w:val="0000" w:firstRow="0" w:lastRow="0" w:firstColumn="0" w:lastColumn="0" w:noHBand="0" w:noVBand="0"/>
      </w:tblPr>
      <w:tblGrid>
        <w:gridCol w:w="3402"/>
        <w:gridCol w:w="1275"/>
        <w:gridCol w:w="1276"/>
        <w:gridCol w:w="992"/>
        <w:gridCol w:w="1276"/>
      </w:tblGrid>
      <w:tr w:rsidR="00043492" w:rsidRPr="00376D7D" w14:paraId="392010F3" w14:textId="77777777" w:rsidTr="00501891">
        <w:tc>
          <w:tcPr>
            <w:tcW w:w="3402" w:type="dxa"/>
            <w:tcBorders>
              <w:top w:val="single" w:sz="4" w:space="0" w:color="auto"/>
              <w:left w:val="nil"/>
              <w:bottom w:val="single" w:sz="10" w:space="0" w:color="auto"/>
              <w:right w:val="nil"/>
            </w:tcBorders>
          </w:tcPr>
          <w:p w14:paraId="3EC7F0BA" w14:textId="77777777" w:rsidR="00043492" w:rsidRPr="004D3EDC" w:rsidRDefault="00043492" w:rsidP="00501891">
            <w:pPr>
              <w:widowControl w:val="0"/>
              <w:autoSpaceDE w:val="0"/>
              <w:autoSpaceDN w:val="0"/>
              <w:adjustRightInd w:val="0"/>
              <w:spacing w:line="240" w:lineRule="auto"/>
              <w:ind w:left="-252"/>
              <w:rPr>
                <w:rFonts w:cs="Times New Roman"/>
                <w:sz w:val="20"/>
                <w:szCs w:val="20"/>
                <w:lang w:val="en-US"/>
              </w:rPr>
            </w:pPr>
            <w:r w:rsidRPr="004D3EDC">
              <w:rPr>
                <w:rFonts w:cs="Times New Roman"/>
                <w:sz w:val="20"/>
                <w:szCs w:val="20"/>
                <w:lang w:val="en-US"/>
              </w:rPr>
              <w:t>Variables</w:t>
            </w:r>
          </w:p>
        </w:tc>
        <w:tc>
          <w:tcPr>
            <w:tcW w:w="1275" w:type="dxa"/>
            <w:tcBorders>
              <w:top w:val="single" w:sz="4" w:space="0" w:color="auto"/>
              <w:left w:val="nil"/>
              <w:bottom w:val="single" w:sz="10" w:space="0" w:color="auto"/>
              <w:right w:val="nil"/>
            </w:tcBorders>
          </w:tcPr>
          <w:p w14:paraId="176AF720" w14:textId="77777777" w:rsidR="00043492" w:rsidRPr="004D3EDC" w:rsidRDefault="00043492"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Mean</w:t>
            </w:r>
          </w:p>
        </w:tc>
        <w:tc>
          <w:tcPr>
            <w:tcW w:w="1276" w:type="dxa"/>
            <w:tcBorders>
              <w:top w:val="single" w:sz="4" w:space="0" w:color="auto"/>
              <w:left w:val="nil"/>
              <w:bottom w:val="single" w:sz="10" w:space="0" w:color="auto"/>
              <w:right w:val="nil"/>
            </w:tcBorders>
          </w:tcPr>
          <w:p w14:paraId="7D973B25" w14:textId="77777777" w:rsidR="00043492" w:rsidRPr="004D3EDC" w:rsidRDefault="00043492"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SD</w:t>
            </w:r>
          </w:p>
        </w:tc>
        <w:tc>
          <w:tcPr>
            <w:tcW w:w="992" w:type="dxa"/>
            <w:tcBorders>
              <w:top w:val="single" w:sz="4" w:space="0" w:color="auto"/>
              <w:left w:val="nil"/>
              <w:bottom w:val="single" w:sz="10" w:space="0" w:color="auto"/>
              <w:right w:val="nil"/>
            </w:tcBorders>
          </w:tcPr>
          <w:p w14:paraId="2DC5074F" w14:textId="77777777" w:rsidR="00043492" w:rsidRPr="004D3EDC" w:rsidRDefault="00043492"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Min</w:t>
            </w:r>
          </w:p>
        </w:tc>
        <w:tc>
          <w:tcPr>
            <w:tcW w:w="1276" w:type="dxa"/>
            <w:tcBorders>
              <w:top w:val="single" w:sz="4" w:space="0" w:color="auto"/>
              <w:left w:val="nil"/>
              <w:bottom w:val="single" w:sz="10" w:space="0" w:color="auto"/>
              <w:right w:val="nil"/>
            </w:tcBorders>
          </w:tcPr>
          <w:p w14:paraId="7AB627C1" w14:textId="77777777" w:rsidR="00043492" w:rsidRPr="004D3EDC" w:rsidRDefault="00043492"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Max</w:t>
            </w:r>
          </w:p>
        </w:tc>
      </w:tr>
      <w:tr w:rsidR="002B7965" w:rsidRPr="00376D7D" w14:paraId="2EE4D7D7" w14:textId="77777777" w:rsidTr="00151632">
        <w:tc>
          <w:tcPr>
            <w:tcW w:w="3402" w:type="dxa"/>
            <w:tcBorders>
              <w:top w:val="nil"/>
              <w:left w:val="nil"/>
              <w:bottom w:val="nil"/>
              <w:right w:val="nil"/>
            </w:tcBorders>
          </w:tcPr>
          <w:p w14:paraId="1E36FB3E" w14:textId="0211F57C"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Licensing Revenues</w:t>
            </w:r>
          </w:p>
        </w:tc>
        <w:tc>
          <w:tcPr>
            <w:tcW w:w="1275" w:type="dxa"/>
            <w:tcBorders>
              <w:top w:val="nil"/>
              <w:left w:val="nil"/>
              <w:bottom w:val="nil"/>
              <w:right w:val="nil"/>
            </w:tcBorders>
          </w:tcPr>
          <w:p w14:paraId="3E513F82" w14:textId="06033B24"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13.581</w:t>
            </w:r>
          </w:p>
        </w:tc>
        <w:tc>
          <w:tcPr>
            <w:tcW w:w="1276" w:type="dxa"/>
            <w:tcBorders>
              <w:top w:val="nil"/>
              <w:left w:val="nil"/>
              <w:bottom w:val="nil"/>
              <w:right w:val="nil"/>
            </w:tcBorders>
          </w:tcPr>
          <w:p w14:paraId="4DFE2ABA" w14:textId="4500842F"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3.196</w:t>
            </w:r>
          </w:p>
        </w:tc>
        <w:tc>
          <w:tcPr>
            <w:tcW w:w="992" w:type="dxa"/>
            <w:tcBorders>
              <w:top w:val="nil"/>
              <w:left w:val="nil"/>
              <w:bottom w:val="nil"/>
              <w:right w:val="nil"/>
            </w:tcBorders>
          </w:tcPr>
          <w:p w14:paraId="2ABA0CDF" w14:textId="3FDBE112"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3E8C7EAF" w14:textId="71565092"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20.53</w:t>
            </w:r>
          </w:p>
        </w:tc>
      </w:tr>
      <w:tr w:rsidR="002B7965" w:rsidRPr="00376D7D" w14:paraId="04366019" w14:textId="77777777" w:rsidTr="00501891">
        <w:tc>
          <w:tcPr>
            <w:tcW w:w="3402" w:type="dxa"/>
            <w:tcBorders>
              <w:top w:val="nil"/>
              <w:left w:val="nil"/>
              <w:bottom w:val="nil"/>
              <w:right w:val="nil"/>
            </w:tcBorders>
          </w:tcPr>
          <w:p w14:paraId="1C392BE6" w14:textId="1C06C597"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Defendant</w:t>
            </w:r>
          </w:p>
        </w:tc>
        <w:tc>
          <w:tcPr>
            <w:tcW w:w="1275" w:type="dxa"/>
            <w:tcBorders>
              <w:top w:val="nil"/>
              <w:left w:val="nil"/>
              <w:bottom w:val="nil"/>
              <w:right w:val="nil"/>
            </w:tcBorders>
          </w:tcPr>
          <w:p w14:paraId="5855D365" w14:textId="4AD6F9F0"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0.03</w:t>
            </w:r>
          </w:p>
        </w:tc>
        <w:tc>
          <w:tcPr>
            <w:tcW w:w="1276" w:type="dxa"/>
            <w:tcBorders>
              <w:top w:val="nil"/>
              <w:left w:val="nil"/>
              <w:bottom w:val="nil"/>
              <w:right w:val="nil"/>
            </w:tcBorders>
          </w:tcPr>
          <w:p w14:paraId="6F9BB669" w14:textId="343F3BFD"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0.286</w:t>
            </w:r>
          </w:p>
        </w:tc>
        <w:tc>
          <w:tcPr>
            <w:tcW w:w="992" w:type="dxa"/>
            <w:tcBorders>
              <w:top w:val="nil"/>
              <w:left w:val="nil"/>
              <w:bottom w:val="nil"/>
              <w:right w:val="nil"/>
            </w:tcBorders>
          </w:tcPr>
          <w:p w14:paraId="43B1C97D" w14:textId="78ED1D8B"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168B9741" w14:textId="3B934606"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8</w:t>
            </w:r>
          </w:p>
        </w:tc>
      </w:tr>
      <w:tr w:rsidR="002B7965" w:rsidRPr="00376D7D" w14:paraId="5BD0F99F" w14:textId="77777777" w:rsidTr="00501891">
        <w:tc>
          <w:tcPr>
            <w:tcW w:w="3402" w:type="dxa"/>
            <w:tcBorders>
              <w:top w:val="nil"/>
              <w:left w:val="nil"/>
              <w:bottom w:val="nil"/>
              <w:right w:val="nil"/>
            </w:tcBorders>
          </w:tcPr>
          <w:p w14:paraId="35115D80" w14:textId="315B6FD7"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Plaintiff</w:t>
            </w:r>
          </w:p>
        </w:tc>
        <w:tc>
          <w:tcPr>
            <w:tcW w:w="1275" w:type="dxa"/>
            <w:tcBorders>
              <w:top w:val="nil"/>
              <w:left w:val="nil"/>
              <w:bottom w:val="nil"/>
              <w:right w:val="nil"/>
            </w:tcBorders>
          </w:tcPr>
          <w:p w14:paraId="763CB6BD" w14:textId="1BDE51EA"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0.079</w:t>
            </w:r>
          </w:p>
        </w:tc>
        <w:tc>
          <w:tcPr>
            <w:tcW w:w="1276" w:type="dxa"/>
            <w:tcBorders>
              <w:top w:val="nil"/>
              <w:left w:val="nil"/>
              <w:bottom w:val="nil"/>
              <w:right w:val="nil"/>
            </w:tcBorders>
          </w:tcPr>
          <w:p w14:paraId="123B5631" w14:textId="3AF94A6F"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0.777</w:t>
            </w:r>
          </w:p>
        </w:tc>
        <w:tc>
          <w:tcPr>
            <w:tcW w:w="992" w:type="dxa"/>
            <w:tcBorders>
              <w:top w:val="nil"/>
              <w:left w:val="nil"/>
              <w:bottom w:val="nil"/>
              <w:right w:val="nil"/>
            </w:tcBorders>
          </w:tcPr>
          <w:p w14:paraId="09664E13" w14:textId="08A968A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34CDF230" w14:textId="6620B0D2"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39</w:t>
            </w:r>
          </w:p>
        </w:tc>
      </w:tr>
      <w:tr w:rsidR="002B7965" w:rsidRPr="00376D7D" w14:paraId="52678557" w14:textId="77777777" w:rsidTr="00501891">
        <w:tc>
          <w:tcPr>
            <w:tcW w:w="3402" w:type="dxa"/>
            <w:tcBorders>
              <w:top w:val="nil"/>
              <w:left w:val="nil"/>
              <w:bottom w:val="nil"/>
              <w:right w:val="nil"/>
            </w:tcBorders>
          </w:tcPr>
          <w:p w14:paraId="7B052EF6" w14:textId="3566BECF"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Counter Defendant</w:t>
            </w:r>
          </w:p>
        </w:tc>
        <w:tc>
          <w:tcPr>
            <w:tcW w:w="1275" w:type="dxa"/>
            <w:tcBorders>
              <w:top w:val="nil"/>
              <w:left w:val="nil"/>
              <w:bottom w:val="nil"/>
              <w:right w:val="nil"/>
            </w:tcBorders>
          </w:tcPr>
          <w:p w14:paraId="10E78A48" w14:textId="41B2DCA6"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0.047</w:t>
            </w:r>
          </w:p>
        </w:tc>
        <w:tc>
          <w:tcPr>
            <w:tcW w:w="1276" w:type="dxa"/>
            <w:tcBorders>
              <w:top w:val="nil"/>
              <w:left w:val="nil"/>
              <w:bottom w:val="nil"/>
              <w:right w:val="nil"/>
            </w:tcBorders>
          </w:tcPr>
          <w:p w14:paraId="1DB0A9D3" w14:textId="05C790CB"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0.473</w:t>
            </w:r>
          </w:p>
        </w:tc>
        <w:tc>
          <w:tcPr>
            <w:tcW w:w="992" w:type="dxa"/>
            <w:tcBorders>
              <w:top w:val="nil"/>
              <w:left w:val="nil"/>
              <w:bottom w:val="nil"/>
              <w:right w:val="nil"/>
            </w:tcBorders>
          </w:tcPr>
          <w:p w14:paraId="1D6FC9F0" w14:textId="540A6FF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64A2BE33" w14:textId="2F766E16"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16</w:t>
            </w:r>
          </w:p>
        </w:tc>
      </w:tr>
      <w:tr w:rsidR="002B7965" w:rsidRPr="00376D7D" w14:paraId="405F1782" w14:textId="77777777" w:rsidTr="00501891">
        <w:tc>
          <w:tcPr>
            <w:tcW w:w="3402" w:type="dxa"/>
            <w:tcBorders>
              <w:top w:val="nil"/>
              <w:left w:val="nil"/>
              <w:bottom w:val="nil"/>
              <w:right w:val="nil"/>
            </w:tcBorders>
          </w:tcPr>
          <w:p w14:paraId="68733A23" w14:textId="1A3C11BE"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Counter Plaintiff</w:t>
            </w:r>
          </w:p>
        </w:tc>
        <w:tc>
          <w:tcPr>
            <w:tcW w:w="1275" w:type="dxa"/>
            <w:tcBorders>
              <w:top w:val="nil"/>
              <w:left w:val="nil"/>
              <w:bottom w:val="nil"/>
              <w:right w:val="nil"/>
            </w:tcBorders>
          </w:tcPr>
          <w:p w14:paraId="278A4142" w14:textId="0D817514"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0.002</w:t>
            </w:r>
          </w:p>
        </w:tc>
        <w:tc>
          <w:tcPr>
            <w:tcW w:w="1276" w:type="dxa"/>
            <w:tcBorders>
              <w:top w:val="nil"/>
              <w:left w:val="nil"/>
              <w:bottom w:val="nil"/>
              <w:right w:val="nil"/>
            </w:tcBorders>
          </w:tcPr>
          <w:p w14:paraId="7DF65412" w14:textId="3A752595"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0.101</w:t>
            </w:r>
          </w:p>
        </w:tc>
        <w:tc>
          <w:tcPr>
            <w:tcW w:w="992" w:type="dxa"/>
            <w:tcBorders>
              <w:top w:val="nil"/>
              <w:left w:val="nil"/>
              <w:bottom w:val="nil"/>
              <w:right w:val="nil"/>
            </w:tcBorders>
          </w:tcPr>
          <w:p w14:paraId="6E04213C" w14:textId="3B2F8A23"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2F7BEDD0" w14:textId="29D345B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6</w:t>
            </w:r>
          </w:p>
        </w:tc>
      </w:tr>
      <w:tr w:rsidR="002B7965" w:rsidRPr="00376D7D" w14:paraId="61DEA218" w14:textId="77777777" w:rsidTr="00501891">
        <w:tc>
          <w:tcPr>
            <w:tcW w:w="3402" w:type="dxa"/>
            <w:tcBorders>
              <w:top w:val="nil"/>
              <w:left w:val="nil"/>
              <w:bottom w:val="nil"/>
              <w:right w:val="nil"/>
            </w:tcBorders>
          </w:tcPr>
          <w:p w14:paraId="1B15B2FE" w14:textId="43D5FE13"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Sole Plaintiff</w:t>
            </w:r>
          </w:p>
        </w:tc>
        <w:tc>
          <w:tcPr>
            <w:tcW w:w="1275" w:type="dxa"/>
            <w:tcBorders>
              <w:top w:val="nil"/>
              <w:left w:val="nil"/>
              <w:bottom w:val="nil"/>
              <w:right w:val="nil"/>
            </w:tcBorders>
          </w:tcPr>
          <w:p w14:paraId="2A8068CE" w14:textId="0380FE97"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0.031</w:t>
            </w:r>
          </w:p>
        </w:tc>
        <w:tc>
          <w:tcPr>
            <w:tcW w:w="1276" w:type="dxa"/>
            <w:tcBorders>
              <w:top w:val="nil"/>
              <w:left w:val="nil"/>
              <w:bottom w:val="nil"/>
              <w:right w:val="nil"/>
            </w:tcBorders>
          </w:tcPr>
          <w:p w14:paraId="1B4178F6" w14:textId="06B3989D"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0.649</w:t>
            </w:r>
          </w:p>
        </w:tc>
        <w:tc>
          <w:tcPr>
            <w:tcW w:w="992" w:type="dxa"/>
            <w:tcBorders>
              <w:top w:val="nil"/>
              <w:left w:val="nil"/>
              <w:bottom w:val="nil"/>
              <w:right w:val="nil"/>
            </w:tcBorders>
          </w:tcPr>
          <w:p w14:paraId="39CA2BD7" w14:textId="32F26387"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1C00B2F8" w14:textId="17E0F721"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38</w:t>
            </w:r>
          </w:p>
        </w:tc>
      </w:tr>
      <w:tr w:rsidR="002B7965" w:rsidRPr="00376D7D" w14:paraId="5ECD6FF6" w14:textId="77777777" w:rsidTr="00501891">
        <w:tc>
          <w:tcPr>
            <w:tcW w:w="3402" w:type="dxa"/>
            <w:tcBorders>
              <w:top w:val="nil"/>
              <w:left w:val="nil"/>
              <w:bottom w:val="nil"/>
              <w:right w:val="nil"/>
            </w:tcBorders>
          </w:tcPr>
          <w:p w14:paraId="34FD4FEE" w14:textId="708E3ED8"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Co-plaintiff</w:t>
            </w:r>
          </w:p>
        </w:tc>
        <w:tc>
          <w:tcPr>
            <w:tcW w:w="1275" w:type="dxa"/>
            <w:tcBorders>
              <w:top w:val="nil"/>
              <w:left w:val="nil"/>
              <w:bottom w:val="nil"/>
              <w:right w:val="nil"/>
            </w:tcBorders>
          </w:tcPr>
          <w:p w14:paraId="74F035CC" w14:textId="1C0DE6FF"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0.047</w:t>
            </w:r>
          </w:p>
        </w:tc>
        <w:tc>
          <w:tcPr>
            <w:tcW w:w="1276" w:type="dxa"/>
            <w:tcBorders>
              <w:top w:val="nil"/>
              <w:left w:val="nil"/>
              <w:bottom w:val="nil"/>
              <w:right w:val="nil"/>
            </w:tcBorders>
          </w:tcPr>
          <w:p w14:paraId="3E4CD93B" w14:textId="5C63884C"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0.399</w:t>
            </w:r>
          </w:p>
        </w:tc>
        <w:tc>
          <w:tcPr>
            <w:tcW w:w="992" w:type="dxa"/>
            <w:tcBorders>
              <w:top w:val="nil"/>
              <w:left w:val="nil"/>
              <w:bottom w:val="nil"/>
              <w:right w:val="nil"/>
            </w:tcBorders>
          </w:tcPr>
          <w:p w14:paraId="25368BAB" w14:textId="7170A645"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3898F3CA" w14:textId="09A79D0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11</w:t>
            </w:r>
          </w:p>
        </w:tc>
      </w:tr>
      <w:tr w:rsidR="002B7965" w:rsidRPr="00376D7D" w14:paraId="5916E7E4" w14:textId="77777777" w:rsidTr="00501891">
        <w:tc>
          <w:tcPr>
            <w:tcW w:w="3402" w:type="dxa"/>
            <w:tcBorders>
              <w:top w:val="nil"/>
              <w:left w:val="nil"/>
              <w:bottom w:val="nil"/>
              <w:right w:val="nil"/>
            </w:tcBorders>
          </w:tcPr>
          <w:p w14:paraId="0A4D1992" w14:textId="74B5A0F2"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Sole Defendant</w:t>
            </w:r>
          </w:p>
        </w:tc>
        <w:tc>
          <w:tcPr>
            <w:tcW w:w="1275" w:type="dxa"/>
            <w:tcBorders>
              <w:top w:val="nil"/>
              <w:left w:val="nil"/>
              <w:bottom w:val="nil"/>
              <w:right w:val="nil"/>
            </w:tcBorders>
          </w:tcPr>
          <w:p w14:paraId="4ADAAA6A" w14:textId="76EC518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0.007</w:t>
            </w:r>
          </w:p>
        </w:tc>
        <w:tc>
          <w:tcPr>
            <w:tcW w:w="1276" w:type="dxa"/>
            <w:tcBorders>
              <w:top w:val="nil"/>
              <w:left w:val="nil"/>
              <w:bottom w:val="nil"/>
              <w:right w:val="nil"/>
            </w:tcBorders>
          </w:tcPr>
          <w:p w14:paraId="41C87D13" w14:textId="6300C4B7"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0.127</w:t>
            </w:r>
          </w:p>
        </w:tc>
        <w:tc>
          <w:tcPr>
            <w:tcW w:w="992" w:type="dxa"/>
            <w:tcBorders>
              <w:top w:val="nil"/>
              <w:left w:val="nil"/>
              <w:bottom w:val="nil"/>
              <w:right w:val="nil"/>
            </w:tcBorders>
          </w:tcPr>
          <w:p w14:paraId="43731034" w14:textId="69625E8A"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30416D9D" w14:textId="7DD1CDD0"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6</w:t>
            </w:r>
          </w:p>
        </w:tc>
      </w:tr>
      <w:tr w:rsidR="002B7965" w:rsidRPr="00376D7D" w14:paraId="78034A0C" w14:textId="77777777" w:rsidTr="00501891">
        <w:tc>
          <w:tcPr>
            <w:tcW w:w="3402" w:type="dxa"/>
            <w:tcBorders>
              <w:top w:val="nil"/>
              <w:left w:val="nil"/>
              <w:bottom w:val="nil"/>
              <w:right w:val="nil"/>
            </w:tcBorders>
          </w:tcPr>
          <w:p w14:paraId="5ECAF715" w14:textId="2993C5FC"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Litigations as Co-defendant</w:t>
            </w:r>
          </w:p>
        </w:tc>
        <w:tc>
          <w:tcPr>
            <w:tcW w:w="1275" w:type="dxa"/>
            <w:tcBorders>
              <w:top w:val="nil"/>
              <w:left w:val="nil"/>
              <w:bottom w:val="nil"/>
              <w:right w:val="nil"/>
            </w:tcBorders>
          </w:tcPr>
          <w:p w14:paraId="2B75D7FE" w14:textId="251F2F96"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0.023</w:t>
            </w:r>
          </w:p>
        </w:tc>
        <w:tc>
          <w:tcPr>
            <w:tcW w:w="1276" w:type="dxa"/>
            <w:tcBorders>
              <w:top w:val="nil"/>
              <w:left w:val="nil"/>
              <w:bottom w:val="nil"/>
              <w:right w:val="nil"/>
            </w:tcBorders>
          </w:tcPr>
          <w:p w14:paraId="62EBEC4F" w14:textId="38715B91"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0.239</w:t>
            </w:r>
          </w:p>
        </w:tc>
        <w:tc>
          <w:tcPr>
            <w:tcW w:w="992" w:type="dxa"/>
            <w:tcBorders>
              <w:top w:val="nil"/>
              <w:left w:val="nil"/>
              <w:bottom w:val="nil"/>
              <w:right w:val="nil"/>
            </w:tcBorders>
          </w:tcPr>
          <w:p w14:paraId="0FD58604" w14:textId="6FD2ADDA"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0D830FD6" w14:textId="00647EC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7</w:t>
            </w:r>
          </w:p>
        </w:tc>
      </w:tr>
      <w:tr w:rsidR="002B7965" w:rsidRPr="00376D7D" w14:paraId="465B91A5" w14:textId="77777777" w:rsidTr="00501891">
        <w:tc>
          <w:tcPr>
            <w:tcW w:w="3402" w:type="dxa"/>
            <w:tcBorders>
              <w:top w:val="nil"/>
              <w:left w:val="nil"/>
              <w:bottom w:val="nil"/>
              <w:right w:val="nil"/>
            </w:tcBorders>
          </w:tcPr>
          <w:p w14:paraId="313CAF3D" w14:textId="504A10C5"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No. of Patents</w:t>
            </w:r>
            <w:r w:rsidRPr="004D3EDC">
              <w:rPr>
                <w:rFonts w:cs="Times New Roman"/>
                <w:sz w:val="20"/>
                <w:szCs w:val="20"/>
                <w:lang w:val="en-US"/>
              </w:rPr>
              <w:t xml:space="preserve"> t</w:t>
            </w:r>
          </w:p>
        </w:tc>
        <w:tc>
          <w:tcPr>
            <w:tcW w:w="1275" w:type="dxa"/>
            <w:tcBorders>
              <w:top w:val="nil"/>
              <w:left w:val="nil"/>
              <w:bottom w:val="nil"/>
              <w:right w:val="nil"/>
            </w:tcBorders>
          </w:tcPr>
          <w:p w14:paraId="001B7AD3" w14:textId="44723E77"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24.279</w:t>
            </w:r>
          </w:p>
        </w:tc>
        <w:tc>
          <w:tcPr>
            <w:tcW w:w="1276" w:type="dxa"/>
            <w:tcBorders>
              <w:top w:val="nil"/>
              <w:left w:val="nil"/>
              <w:bottom w:val="nil"/>
              <w:right w:val="nil"/>
            </w:tcBorders>
          </w:tcPr>
          <w:p w14:paraId="3943A4F4" w14:textId="6DD34075"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39.771</w:t>
            </w:r>
          </w:p>
        </w:tc>
        <w:tc>
          <w:tcPr>
            <w:tcW w:w="992" w:type="dxa"/>
            <w:tcBorders>
              <w:top w:val="nil"/>
              <w:left w:val="nil"/>
              <w:bottom w:val="nil"/>
              <w:right w:val="nil"/>
            </w:tcBorders>
          </w:tcPr>
          <w:p w14:paraId="731BF63C" w14:textId="5C5CB18D"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12C262F8" w14:textId="6B146189"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519</w:t>
            </w:r>
          </w:p>
        </w:tc>
      </w:tr>
      <w:tr w:rsidR="002B7965" w:rsidRPr="00376D7D" w14:paraId="22F78B42" w14:textId="77777777" w:rsidTr="00501891">
        <w:tc>
          <w:tcPr>
            <w:tcW w:w="3402" w:type="dxa"/>
            <w:tcBorders>
              <w:top w:val="nil"/>
              <w:left w:val="nil"/>
              <w:bottom w:val="nil"/>
              <w:right w:val="nil"/>
            </w:tcBorders>
          </w:tcPr>
          <w:p w14:paraId="41EF40B5" w14:textId="4C6F6898"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Research Expenses</w:t>
            </w:r>
          </w:p>
        </w:tc>
        <w:tc>
          <w:tcPr>
            <w:tcW w:w="1275" w:type="dxa"/>
            <w:tcBorders>
              <w:top w:val="nil"/>
              <w:left w:val="nil"/>
              <w:bottom w:val="nil"/>
              <w:right w:val="nil"/>
            </w:tcBorders>
          </w:tcPr>
          <w:p w14:paraId="12922A76" w14:textId="690C7126"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18.626</w:t>
            </w:r>
          </w:p>
        </w:tc>
        <w:tc>
          <w:tcPr>
            <w:tcW w:w="1276" w:type="dxa"/>
            <w:tcBorders>
              <w:top w:val="nil"/>
              <w:left w:val="nil"/>
              <w:bottom w:val="nil"/>
              <w:right w:val="nil"/>
            </w:tcBorders>
          </w:tcPr>
          <w:p w14:paraId="0C73A805" w14:textId="1D5DA82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1.647</w:t>
            </w:r>
          </w:p>
        </w:tc>
        <w:tc>
          <w:tcPr>
            <w:tcW w:w="992" w:type="dxa"/>
            <w:tcBorders>
              <w:top w:val="nil"/>
              <w:left w:val="nil"/>
              <w:bottom w:val="nil"/>
              <w:right w:val="nil"/>
            </w:tcBorders>
          </w:tcPr>
          <w:p w14:paraId="4C016F4E" w14:textId="2D08C8D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6E17D29C" w14:textId="450DD6CB"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22.463</w:t>
            </w:r>
          </w:p>
        </w:tc>
      </w:tr>
      <w:tr w:rsidR="002B7965" w:rsidRPr="00376D7D" w14:paraId="7B6A39D8" w14:textId="77777777" w:rsidTr="00501891">
        <w:tc>
          <w:tcPr>
            <w:tcW w:w="3402" w:type="dxa"/>
            <w:tcBorders>
              <w:top w:val="nil"/>
              <w:left w:val="nil"/>
              <w:bottom w:val="nil"/>
              <w:right w:val="nil"/>
            </w:tcBorders>
          </w:tcPr>
          <w:p w14:paraId="0DA61BB3" w14:textId="7D5675C9"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Licensing Patents</w:t>
            </w:r>
          </w:p>
        </w:tc>
        <w:tc>
          <w:tcPr>
            <w:tcW w:w="1275" w:type="dxa"/>
            <w:tcBorders>
              <w:top w:val="nil"/>
              <w:left w:val="nil"/>
              <w:bottom w:val="nil"/>
              <w:right w:val="nil"/>
            </w:tcBorders>
          </w:tcPr>
          <w:p w14:paraId="388168C3" w14:textId="78F18B63"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1.506</w:t>
            </w:r>
          </w:p>
        </w:tc>
        <w:tc>
          <w:tcPr>
            <w:tcW w:w="1276" w:type="dxa"/>
            <w:tcBorders>
              <w:top w:val="nil"/>
              <w:left w:val="nil"/>
              <w:bottom w:val="nil"/>
              <w:right w:val="nil"/>
            </w:tcBorders>
          </w:tcPr>
          <w:p w14:paraId="579CC64C" w14:textId="657D606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2.471</w:t>
            </w:r>
          </w:p>
        </w:tc>
        <w:tc>
          <w:tcPr>
            <w:tcW w:w="992" w:type="dxa"/>
            <w:tcBorders>
              <w:top w:val="nil"/>
              <w:left w:val="nil"/>
              <w:bottom w:val="nil"/>
              <w:right w:val="nil"/>
            </w:tcBorders>
          </w:tcPr>
          <w:p w14:paraId="34703A0F" w14:textId="15E850F9"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5070333B" w14:textId="0C77161C"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52.5</w:t>
            </w:r>
          </w:p>
        </w:tc>
      </w:tr>
      <w:tr w:rsidR="002B7965" w:rsidRPr="00376D7D" w14:paraId="2A9E01B2" w14:textId="77777777" w:rsidTr="00501891">
        <w:tc>
          <w:tcPr>
            <w:tcW w:w="3402" w:type="dxa"/>
            <w:tcBorders>
              <w:top w:val="nil"/>
              <w:left w:val="nil"/>
              <w:bottom w:val="nil"/>
              <w:right w:val="nil"/>
            </w:tcBorders>
          </w:tcPr>
          <w:p w14:paraId="353A0463" w14:textId="1155A55C"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Total FTEs</w:t>
            </w:r>
          </w:p>
        </w:tc>
        <w:tc>
          <w:tcPr>
            <w:tcW w:w="1275" w:type="dxa"/>
            <w:tcBorders>
              <w:top w:val="nil"/>
              <w:left w:val="nil"/>
              <w:bottom w:val="nil"/>
              <w:right w:val="nil"/>
            </w:tcBorders>
          </w:tcPr>
          <w:p w14:paraId="0DC7199E" w14:textId="1DB56D27"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9.65</w:t>
            </w:r>
          </w:p>
        </w:tc>
        <w:tc>
          <w:tcPr>
            <w:tcW w:w="1276" w:type="dxa"/>
            <w:tcBorders>
              <w:top w:val="nil"/>
              <w:left w:val="nil"/>
              <w:bottom w:val="nil"/>
              <w:right w:val="nil"/>
            </w:tcBorders>
          </w:tcPr>
          <w:p w14:paraId="2A2E7919" w14:textId="54292385"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16.054</w:t>
            </w:r>
          </w:p>
        </w:tc>
        <w:tc>
          <w:tcPr>
            <w:tcW w:w="992" w:type="dxa"/>
            <w:tcBorders>
              <w:top w:val="nil"/>
              <w:left w:val="nil"/>
              <w:bottom w:val="nil"/>
              <w:right w:val="nil"/>
            </w:tcBorders>
          </w:tcPr>
          <w:p w14:paraId="53E87E7C" w14:textId="4944818E"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1949430D" w14:textId="5E2227C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223.9</w:t>
            </w:r>
          </w:p>
        </w:tc>
      </w:tr>
      <w:tr w:rsidR="002B7965" w:rsidRPr="00376D7D" w14:paraId="3B591B5D" w14:textId="77777777" w:rsidTr="00501891">
        <w:tc>
          <w:tcPr>
            <w:tcW w:w="3402" w:type="dxa"/>
            <w:tcBorders>
              <w:top w:val="nil"/>
              <w:left w:val="nil"/>
              <w:bottom w:val="nil"/>
              <w:right w:val="nil"/>
            </w:tcBorders>
          </w:tcPr>
          <w:p w14:paraId="0AB3D771" w14:textId="0D84222A"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Legal Fees</w:t>
            </w:r>
          </w:p>
        </w:tc>
        <w:tc>
          <w:tcPr>
            <w:tcW w:w="1275" w:type="dxa"/>
            <w:tcBorders>
              <w:top w:val="nil"/>
              <w:left w:val="nil"/>
              <w:bottom w:val="nil"/>
              <w:right w:val="nil"/>
            </w:tcBorders>
          </w:tcPr>
          <w:p w14:paraId="305CD25C" w14:textId="211F6A0B"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12.962</w:t>
            </w:r>
          </w:p>
        </w:tc>
        <w:tc>
          <w:tcPr>
            <w:tcW w:w="1276" w:type="dxa"/>
            <w:tcBorders>
              <w:top w:val="nil"/>
              <w:left w:val="nil"/>
              <w:bottom w:val="nil"/>
              <w:right w:val="nil"/>
            </w:tcBorders>
          </w:tcPr>
          <w:p w14:paraId="73FED1C2" w14:textId="4D33F81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2.147</w:t>
            </w:r>
          </w:p>
        </w:tc>
        <w:tc>
          <w:tcPr>
            <w:tcW w:w="992" w:type="dxa"/>
            <w:tcBorders>
              <w:top w:val="nil"/>
              <w:left w:val="nil"/>
              <w:bottom w:val="nil"/>
              <w:right w:val="nil"/>
            </w:tcBorders>
          </w:tcPr>
          <w:p w14:paraId="11C2047A" w14:textId="5DC1913A"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5B327FAE" w14:textId="65ED361C"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17.836</w:t>
            </w:r>
          </w:p>
        </w:tc>
      </w:tr>
      <w:tr w:rsidR="002B7965" w:rsidRPr="00376D7D" w14:paraId="0ED4EABB" w14:textId="77777777" w:rsidTr="00501891">
        <w:tc>
          <w:tcPr>
            <w:tcW w:w="3402" w:type="dxa"/>
            <w:tcBorders>
              <w:top w:val="nil"/>
              <w:left w:val="nil"/>
              <w:bottom w:val="nil"/>
              <w:right w:val="nil"/>
            </w:tcBorders>
          </w:tcPr>
          <w:p w14:paraId="647BA0DD" w14:textId="6C998A70"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Applied Research</w:t>
            </w:r>
          </w:p>
        </w:tc>
        <w:tc>
          <w:tcPr>
            <w:tcW w:w="1275" w:type="dxa"/>
            <w:tcBorders>
              <w:top w:val="nil"/>
              <w:left w:val="nil"/>
              <w:bottom w:val="nil"/>
              <w:right w:val="nil"/>
            </w:tcBorders>
          </w:tcPr>
          <w:p w14:paraId="75D73591" w14:textId="5960D649"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0.085</w:t>
            </w:r>
          </w:p>
        </w:tc>
        <w:tc>
          <w:tcPr>
            <w:tcW w:w="1276" w:type="dxa"/>
            <w:tcBorders>
              <w:top w:val="nil"/>
              <w:left w:val="nil"/>
              <w:bottom w:val="nil"/>
              <w:right w:val="nil"/>
            </w:tcBorders>
          </w:tcPr>
          <w:p w14:paraId="5C2F0278" w14:textId="73098210"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0.078</w:t>
            </w:r>
          </w:p>
        </w:tc>
        <w:tc>
          <w:tcPr>
            <w:tcW w:w="992" w:type="dxa"/>
            <w:tcBorders>
              <w:top w:val="nil"/>
              <w:left w:val="nil"/>
              <w:bottom w:val="nil"/>
              <w:right w:val="nil"/>
            </w:tcBorders>
          </w:tcPr>
          <w:p w14:paraId="127EAD1C" w14:textId="4ECF8DF5"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20C3B3C9" w14:textId="0B85CA72"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0.773</w:t>
            </w:r>
          </w:p>
        </w:tc>
      </w:tr>
      <w:tr w:rsidR="002B7965" w:rsidRPr="00376D7D" w14:paraId="337FECF5" w14:textId="77777777" w:rsidTr="00501891">
        <w:tc>
          <w:tcPr>
            <w:tcW w:w="3402" w:type="dxa"/>
            <w:tcBorders>
              <w:top w:val="nil"/>
              <w:left w:val="nil"/>
              <w:bottom w:val="nil"/>
              <w:right w:val="nil"/>
            </w:tcBorders>
          </w:tcPr>
          <w:p w14:paraId="193DD111" w14:textId="6A3FCE97"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TTO Age</w:t>
            </w:r>
          </w:p>
        </w:tc>
        <w:tc>
          <w:tcPr>
            <w:tcW w:w="1275" w:type="dxa"/>
            <w:tcBorders>
              <w:top w:val="nil"/>
              <w:left w:val="nil"/>
              <w:bottom w:val="nil"/>
              <w:right w:val="nil"/>
            </w:tcBorders>
          </w:tcPr>
          <w:p w14:paraId="738A3770" w14:textId="2CE56E71"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18.471</w:t>
            </w:r>
          </w:p>
        </w:tc>
        <w:tc>
          <w:tcPr>
            <w:tcW w:w="1276" w:type="dxa"/>
            <w:tcBorders>
              <w:top w:val="nil"/>
              <w:left w:val="nil"/>
              <w:bottom w:val="nil"/>
              <w:right w:val="nil"/>
            </w:tcBorders>
          </w:tcPr>
          <w:p w14:paraId="187DC1B8" w14:textId="78CABAFE"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13.646</w:t>
            </w:r>
          </w:p>
        </w:tc>
        <w:tc>
          <w:tcPr>
            <w:tcW w:w="992" w:type="dxa"/>
            <w:tcBorders>
              <w:top w:val="nil"/>
              <w:left w:val="nil"/>
              <w:bottom w:val="nil"/>
              <w:right w:val="nil"/>
            </w:tcBorders>
          </w:tcPr>
          <w:p w14:paraId="2B7D7767" w14:textId="1474893A"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bottom w:val="nil"/>
              <w:right w:val="nil"/>
            </w:tcBorders>
          </w:tcPr>
          <w:p w14:paraId="075A6FCE" w14:textId="55C13FB9"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92</w:t>
            </w:r>
          </w:p>
        </w:tc>
      </w:tr>
      <w:tr w:rsidR="002B7965" w:rsidRPr="00376D7D" w14:paraId="0A75FCD1" w14:textId="77777777" w:rsidTr="00812DB7">
        <w:tc>
          <w:tcPr>
            <w:tcW w:w="3402" w:type="dxa"/>
            <w:tcBorders>
              <w:top w:val="nil"/>
              <w:left w:val="nil"/>
              <w:right w:val="nil"/>
            </w:tcBorders>
          </w:tcPr>
          <w:p w14:paraId="4DB2328B" w14:textId="0308F770"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Medical School</w:t>
            </w:r>
          </w:p>
        </w:tc>
        <w:tc>
          <w:tcPr>
            <w:tcW w:w="1275" w:type="dxa"/>
            <w:tcBorders>
              <w:top w:val="nil"/>
              <w:left w:val="nil"/>
              <w:right w:val="nil"/>
            </w:tcBorders>
          </w:tcPr>
          <w:p w14:paraId="4849D989" w14:textId="0A09276F"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0.579</w:t>
            </w:r>
          </w:p>
        </w:tc>
        <w:tc>
          <w:tcPr>
            <w:tcW w:w="1276" w:type="dxa"/>
            <w:tcBorders>
              <w:top w:val="nil"/>
              <w:left w:val="nil"/>
              <w:right w:val="nil"/>
            </w:tcBorders>
          </w:tcPr>
          <w:p w14:paraId="542B2AD8" w14:textId="1C3A731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0.494</w:t>
            </w:r>
          </w:p>
        </w:tc>
        <w:tc>
          <w:tcPr>
            <w:tcW w:w="992" w:type="dxa"/>
            <w:tcBorders>
              <w:top w:val="nil"/>
              <w:left w:val="nil"/>
              <w:right w:val="nil"/>
            </w:tcBorders>
          </w:tcPr>
          <w:p w14:paraId="171784A7" w14:textId="095E18CF"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right w:val="nil"/>
            </w:tcBorders>
          </w:tcPr>
          <w:p w14:paraId="7C48A885" w14:textId="79EA7129"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w:t>
            </w:r>
          </w:p>
        </w:tc>
      </w:tr>
      <w:tr w:rsidR="002B7965" w:rsidRPr="00376D7D" w14:paraId="4A8B1B85" w14:textId="77777777" w:rsidTr="00812DB7">
        <w:trPr>
          <w:trHeight w:val="69"/>
        </w:trPr>
        <w:tc>
          <w:tcPr>
            <w:tcW w:w="3402" w:type="dxa"/>
            <w:tcBorders>
              <w:top w:val="nil"/>
              <w:left w:val="nil"/>
              <w:right w:val="nil"/>
            </w:tcBorders>
          </w:tcPr>
          <w:p w14:paraId="6B709333" w14:textId="62F36E1B"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r w:rsidRPr="004D3EDC">
              <w:rPr>
                <w:rFonts w:cs="Times New Roman"/>
                <w:sz w:val="20"/>
                <w:szCs w:val="20"/>
                <w:lang w:val="en-US"/>
              </w:rPr>
              <w:t xml:space="preserve"> </w:t>
            </w:r>
            <w:r w:rsidRPr="004D3EDC">
              <w:rPr>
                <w:rFonts w:cs="Times New Roman"/>
                <w:sz w:val="20"/>
                <w:szCs w:val="20"/>
                <w:lang w:val="en-US" w:eastAsia="en-GB"/>
              </w:rPr>
              <w:t>Private</w:t>
            </w:r>
          </w:p>
        </w:tc>
        <w:tc>
          <w:tcPr>
            <w:tcW w:w="1275" w:type="dxa"/>
            <w:tcBorders>
              <w:top w:val="nil"/>
              <w:left w:val="nil"/>
              <w:right w:val="nil"/>
            </w:tcBorders>
          </w:tcPr>
          <w:p w14:paraId="58CBEAFC" w14:textId="2FD3F01B"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0.312</w:t>
            </w:r>
          </w:p>
        </w:tc>
        <w:tc>
          <w:tcPr>
            <w:tcW w:w="1276" w:type="dxa"/>
            <w:tcBorders>
              <w:top w:val="nil"/>
              <w:left w:val="nil"/>
              <w:right w:val="nil"/>
            </w:tcBorders>
          </w:tcPr>
          <w:p w14:paraId="2202AF46" w14:textId="70AEFDAB"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0.463</w:t>
            </w:r>
          </w:p>
        </w:tc>
        <w:tc>
          <w:tcPr>
            <w:tcW w:w="992" w:type="dxa"/>
            <w:tcBorders>
              <w:top w:val="nil"/>
              <w:left w:val="nil"/>
              <w:right w:val="nil"/>
            </w:tcBorders>
          </w:tcPr>
          <w:p w14:paraId="5C0ACF38" w14:textId="04467C5D"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0</w:t>
            </w:r>
          </w:p>
        </w:tc>
        <w:tc>
          <w:tcPr>
            <w:tcW w:w="1276" w:type="dxa"/>
            <w:tcBorders>
              <w:top w:val="nil"/>
              <w:left w:val="nil"/>
              <w:right w:val="nil"/>
            </w:tcBorders>
          </w:tcPr>
          <w:p w14:paraId="25BC796D" w14:textId="1F1DBD5A"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r w:rsidRPr="004D3EDC">
              <w:rPr>
                <w:rFonts w:cs="Times New Roman"/>
                <w:sz w:val="20"/>
                <w:szCs w:val="20"/>
                <w:lang w:val="en-US"/>
              </w:rPr>
              <w:t>1</w:t>
            </w:r>
          </w:p>
        </w:tc>
      </w:tr>
      <w:tr w:rsidR="002B7965" w:rsidRPr="00376D7D" w14:paraId="788F44CD" w14:textId="77777777" w:rsidTr="00812DB7">
        <w:tc>
          <w:tcPr>
            <w:tcW w:w="3402" w:type="dxa"/>
            <w:tcBorders>
              <w:left w:val="nil"/>
              <w:bottom w:val="single" w:sz="6" w:space="0" w:color="auto"/>
              <w:right w:val="nil"/>
            </w:tcBorders>
          </w:tcPr>
          <w:p w14:paraId="55AB9DC0" w14:textId="3C3A62ED" w:rsidR="002B7965" w:rsidRPr="004D3EDC" w:rsidRDefault="002B7965" w:rsidP="00501891">
            <w:pPr>
              <w:widowControl w:val="0"/>
              <w:autoSpaceDE w:val="0"/>
              <w:autoSpaceDN w:val="0"/>
              <w:adjustRightInd w:val="0"/>
              <w:spacing w:line="240" w:lineRule="auto"/>
              <w:jc w:val="both"/>
              <w:rPr>
                <w:rFonts w:cs="Times New Roman"/>
                <w:sz w:val="20"/>
                <w:szCs w:val="20"/>
                <w:lang w:val="en-US"/>
              </w:rPr>
            </w:pPr>
          </w:p>
        </w:tc>
        <w:tc>
          <w:tcPr>
            <w:tcW w:w="1275" w:type="dxa"/>
            <w:tcBorders>
              <w:left w:val="nil"/>
              <w:bottom w:val="single" w:sz="6" w:space="0" w:color="auto"/>
              <w:right w:val="nil"/>
            </w:tcBorders>
          </w:tcPr>
          <w:p w14:paraId="33CF9FD3" w14:textId="26F1E608"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p>
        </w:tc>
        <w:tc>
          <w:tcPr>
            <w:tcW w:w="1276" w:type="dxa"/>
            <w:tcBorders>
              <w:left w:val="nil"/>
              <w:bottom w:val="single" w:sz="6" w:space="0" w:color="auto"/>
              <w:right w:val="nil"/>
            </w:tcBorders>
          </w:tcPr>
          <w:p w14:paraId="3F3329A9" w14:textId="291282C5"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p>
        </w:tc>
        <w:tc>
          <w:tcPr>
            <w:tcW w:w="992" w:type="dxa"/>
            <w:tcBorders>
              <w:left w:val="nil"/>
              <w:bottom w:val="single" w:sz="6" w:space="0" w:color="auto"/>
              <w:right w:val="nil"/>
            </w:tcBorders>
          </w:tcPr>
          <w:p w14:paraId="28D2013A" w14:textId="462F8C71"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p>
        </w:tc>
        <w:tc>
          <w:tcPr>
            <w:tcW w:w="1276" w:type="dxa"/>
            <w:tcBorders>
              <w:left w:val="nil"/>
              <w:bottom w:val="single" w:sz="6" w:space="0" w:color="auto"/>
              <w:right w:val="nil"/>
            </w:tcBorders>
          </w:tcPr>
          <w:p w14:paraId="1B85D6D4" w14:textId="292BB2D4" w:rsidR="002B7965" w:rsidRPr="004D3EDC" w:rsidRDefault="002B7965" w:rsidP="00501891">
            <w:pPr>
              <w:widowControl w:val="0"/>
              <w:autoSpaceDE w:val="0"/>
              <w:autoSpaceDN w:val="0"/>
              <w:adjustRightInd w:val="0"/>
              <w:spacing w:line="240" w:lineRule="auto"/>
              <w:jc w:val="center"/>
              <w:rPr>
                <w:rFonts w:cs="Times New Roman"/>
                <w:sz w:val="20"/>
                <w:szCs w:val="20"/>
                <w:lang w:val="en-US"/>
              </w:rPr>
            </w:pPr>
          </w:p>
        </w:tc>
      </w:tr>
    </w:tbl>
    <w:p w14:paraId="6BE1B28B" w14:textId="77777777" w:rsidR="00043492" w:rsidRDefault="00043492" w:rsidP="00043492">
      <w:pPr>
        <w:widowControl w:val="0"/>
        <w:autoSpaceDE w:val="0"/>
        <w:autoSpaceDN w:val="0"/>
        <w:adjustRightInd w:val="0"/>
        <w:spacing w:line="240" w:lineRule="auto"/>
        <w:ind w:firstLine="0"/>
        <w:rPr>
          <w:rFonts w:cs="Times New Roman"/>
          <w:szCs w:val="22"/>
          <w:lang w:val="en-US" w:eastAsia="en-GB"/>
        </w:rPr>
      </w:pPr>
      <w:r w:rsidRPr="004D3EDC">
        <w:rPr>
          <w:rFonts w:cs="Times New Roman"/>
          <w:b/>
          <w:bCs/>
          <w:sz w:val="20"/>
          <w:szCs w:val="20"/>
          <w:lang w:val="en-US" w:eastAsia="en-GB"/>
        </w:rPr>
        <w:br/>
      </w:r>
    </w:p>
    <w:p w14:paraId="1E68CC20" w14:textId="77777777" w:rsidR="00043492" w:rsidRPr="00043492" w:rsidRDefault="00043492" w:rsidP="00043492">
      <w:pPr>
        <w:rPr>
          <w:rFonts w:cs="Times New Roman"/>
          <w:szCs w:val="22"/>
          <w:lang w:val="en-US" w:eastAsia="en-GB"/>
        </w:rPr>
      </w:pPr>
    </w:p>
    <w:p w14:paraId="7D241ADD" w14:textId="77777777" w:rsidR="00043492" w:rsidRPr="00043492" w:rsidRDefault="00043492" w:rsidP="00043492">
      <w:pPr>
        <w:rPr>
          <w:rFonts w:cs="Times New Roman"/>
          <w:szCs w:val="22"/>
          <w:lang w:val="en-US" w:eastAsia="en-GB"/>
        </w:rPr>
      </w:pPr>
    </w:p>
    <w:p w14:paraId="1FD0D4C0" w14:textId="77777777" w:rsidR="00043492" w:rsidRPr="00043492" w:rsidRDefault="00043492" w:rsidP="00043492">
      <w:pPr>
        <w:rPr>
          <w:rFonts w:cs="Times New Roman"/>
          <w:szCs w:val="22"/>
          <w:lang w:val="en-US" w:eastAsia="en-GB"/>
        </w:rPr>
      </w:pPr>
    </w:p>
    <w:p w14:paraId="785140CE" w14:textId="77777777" w:rsidR="00043492" w:rsidRPr="00043492" w:rsidRDefault="00043492" w:rsidP="00043492">
      <w:pPr>
        <w:rPr>
          <w:rFonts w:cs="Times New Roman"/>
          <w:szCs w:val="22"/>
          <w:lang w:val="en-US" w:eastAsia="en-GB"/>
        </w:rPr>
      </w:pPr>
    </w:p>
    <w:p w14:paraId="2D410121" w14:textId="77777777" w:rsidR="00043492" w:rsidRPr="00043492" w:rsidRDefault="00043492" w:rsidP="00043492">
      <w:pPr>
        <w:rPr>
          <w:rFonts w:cs="Times New Roman"/>
          <w:szCs w:val="22"/>
          <w:lang w:val="en-US" w:eastAsia="en-GB"/>
        </w:rPr>
      </w:pPr>
    </w:p>
    <w:p w14:paraId="55BDAA87" w14:textId="77777777" w:rsidR="00043492" w:rsidRPr="00043492" w:rsidRDefault="00043492" w:rsidP="00043492">
      <w:pPr>
        <w:rPr>
          <w:rFonts w:cs="Times New Roman"/>
          <w:szCs w:val="22"/>
          <w:lang w:val="en-US" w:eastAsia="en-GB"/>
        </w:rPr>
      </w:pPr>
    </w:p>
    <w:p w14:paraId="0FEA7302" w14:textId="77777777" w:rsidR="00043492" w:rsidRPr="00043492" w:rsidRDefault="00043492" w:rsidP="00043492">
      <w:pPr>
        <w:rPr>
          <w:rFonts w:cs="Times New Roman"/>
          <w:szCs w:val="22"/>
          <w:lang w:val="en-US" w:eastAsia="en-GB"/>
        </w:rPr>
      </w:pPr>
    </w:p>
    <w:p w14:paraId="3E5BD7FD" w14:textId="77777777" w:rsidR="00043492" w:rsidRPr="00043492" w:rsidRDefault="00043492" w:rsidP="00043492">
      <w:pPr>
        <w:rPr>
          <w:rFonts w:cs="Times New Roman"/>
          <w:szCs w:val="22"/>
          <w:lang w:val="en-US" w:eastAsia="en-GB"/>
        </w:rPr>
      </w:pPr>
    </w:p>
    <w:p w14:paraId="3043F5DE" w14:textId="77777777" w:rsidR="00043492" w:rsidRPr="00043492" w:rsidRDefault="00043492" w:rsidP="00043492">
      <w:pPr>
        <w:rPr>
          <w:rFonts w:cs="Times New Roman"/>
          <w:szCs w:val="22"/>
          <w:lang w:val="en-US" w:eastAsia="en-GB"/>
        </w:rPr>
      </w:pPr>
    </w:p>
    <w:p w14:paraId="2B7D5F07" w14:textId="77777777" w:rsidR="00043492" w:rsidRPr="00043492" w:rsidRDefault="00043492" w:rsidP="00043492">
      <w:pPr>
        <w:rPr>
          <w:rFonts w:cs="Times New Roman"/>
          <w:szCs w:val="22"/>
          <w:lang w:val="en-US" w:eastAsia="en-GB"/>
        </w:rPr>
      </w:pPr>
    </w:p>
    <w:p w14:paraId="14C4C771" w14:textId="77777777" w:rsidR="00043492" w:rsidRPr="00043492" w:rsidRDefault="00043492" w:rsidP="00043492">
      <w:pPr>
        <w:rPr>
          <w:rFonts w:cs="Times New Roman"/>
          <w:szCs w:val="22"/>
          <w:lang w:val="en-US" w:eastAsia="en-GB"/>
        </w:rPr>
      </w:pPr>
    </w:p>
    <w:p w14:paraId="691A08B0" w14:textId="77777777" w:rsidR="00043492" w:rsidRDefault="00043492" w:rsidP="00043492">
      <w:pPr>
        <w:rPr>
          <w:rFonts w:cs="Times New Roman"/>
          <w:szCs w:val="22"/>
          <w:lang w:val="en-US" w:eastAsia="en-GB"/>
        </w:rPr>
      </w:pPr>
    </w:p>
    <w:p w14:paraId="02DC2294" w14:textId="77777777" w:rsidR="00043492" w:rsidRDefault="00043492" w:rsidP="00043492">
      <w:pPr>
        <w:rPr>
          <w:rFonts w:cs="Times New Roman"/>
          <w:szCs w:val="22"/>
          <w:lang w:val="en-US" w:eastAsia="en-GB"/>
        </w:rPr>
      </w:pPr>
    </w:p>
    <w:p w14:paraId="449FFC24" w14:textId="77777777" w:rsidR="00043492" w:rsidRDefault="00043492" w:rsidP="00043492">
      <w:pPr>
        <w:rPr>
          <w:rFonts w:cs="Times New Roman"/>
          <w:szCs w:val="22"/>
          <w:lang w:val="en-US" w:eastAsia="en-GB"/>
        </w:rPr>
      </w:pPr>
    </w:p>
    <w:p w14:paraId="2B4F58BF" w14:textId="5227316D" w:rsidR="00043492" w:rsidRPr="00043492" w:rsidRDefault="00043492" w:rsidP="00043492">
      <w:pPr>
        <w:rPr>
          <w:rFonts w:cs="Times New Roman"/>
          <w:szCs w:val="22"/>
          <w:lang w:val="en-US" w:eastAsia="en-GB"/>
        </w:rPr>
        <w:sectPr w:rsidR="00043492" w:rsidRPr="00043492" w:rsidSect="00A749A8">
          <w:footerReference w:type="default" r:id="rId10"/>
          <w:pgSz w:w="11901" w:h="16840"/>
          <w:pgMar w:top="1440" w:right="1440" w:bottom="1440" w:left="1440" w:header="720" w:footer="720" w:gutter="0"/>
          <w:cols w:space="720"/>
          <w:noEndnote/>
          <w:docGrid w:linePitch="299"/>
        </w:sectPr>
      </w:pPr>
    </w:p>
    <w:p w14:paraId="1E0C5CFF" w14:textId="77777777" w:rsidR="00043492" w:rsidRPr="00376D7D" w:rsidRDefault="00043492" w:rsidP="00043492">
      <w:pPr>
        <w:widowControl w:val="0"/>
        <w:autoSpaceDE w:val="0"/>
        <w:autoSpaceDN w:val="0"/>
        <w:adjustRightInd w:val="0"/>
        <w:spacing w:line="240" w:lineRule="auto"/>
        <w:ind w:firstLine="0"/>
        <w:rPr>
          <w:rFonts w:cs="Times New Roman"/>
          <w:sz w:val="20"/>
          <w:szCs w:val="20"/>
          <w:lang w:val="en-US" w:eastAsia="en-GB"/>
        </w:rPr>
      </w:pPr>
      <w:r w:rsidRPr="00376D7D">
        <w:rPr>
          <w:rFonts w:cs="Times New Roman"/>
          <w:szCs w:val="22"/>
          <w:lang w:val="en-US" w:eastAsia="en-GB"/>
        </w:rPr>
        <w:lastRenderedPageBreak/>
        <w:t>Table 3. Pairwise correlations</w:t>
      </w:r>
    </w:p>
    <w:tbl>
      <w:tblPr>
        <w:tblpPr w:leftFromText="180" w:rightFromText="180" w:vertAnchor="page" w:horzAnchor="margin" w:tblpXSpec="center" w:tblpY="1965"/>
        <w:tblW w:w="15694" w:type="dxa"/>
        <w:tblLayout w:type="fixed"/>
        <w:tblLook w:val="0000" w:firstRow="0" w:lastRow="0" w:firstColumn="0" w:lastColumn="0" w:noHBand="0" w:noVBand="0"/>
      </w:tblPr>
      <w:tblGrid>
        <w:gridCol w:w="3402"/>
        <w:gridCol w:w="743"/>
        <w:gridCol w:w="850"/>
        <w:gridCol w:w="709"/>
        <w:gridCol w:w="711"/>
        <w:gridCol w:w="774"/>
        <w:gridCol w:w="709"/>
        <w:gridCol w:w="709"/>
        <w:gridCol w:w="709"/>
        <w:gridCol w:w="708"/>
        <w:gridCol w:w="709"/>
        <w:gridCol w:w="709"/>
        <w:gridCol w:w="709"/>
        <w:gridCol w:w="708"/>
        <w:gridCol w:w="709"/>
        <w:gridCol w:w="709"/>
        <w:gridCol w:w="709"/>
        <w:gridCol w:w="567"/>
        <w:gridCol w:w="141"/>
      </w:tblGrid>
      <w:tr w:rsidR="00043492" w:rsidRPr="00376D7D" w14:paraId="259F637A" w14:textId="77777777" w:rsidTr="00501891">
        <w:tc>
          <w:tcPr>
            <w:tcW w:w="3402" w:type="dxa"/>
            <w:tcBorders>
              <w:top w:val="single" w:sz="4" w:space="0" w:color="auto"/>
              <w:left w:val="nil"/>
              <w:bottom w:val="single" w:sz="10" w:space="0" w:color="auto"/>
              <w:right w:val="nil"/>
            </w:tcBorders>
          </w:tcPr>
          <w:p w14:paraId="5B5872A9"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Variables</w:t>
            </w:r>
          </w:p>
        </w:tc>
        <w:tc>
          <w:tcPr>
            <w:tcW w:w="743" w:type="dxa"/>
            <w:tcBorders>
              <w:top w:val="single" w:sz="4" w:space="0" w:color="auto"/>
              <w:left w:val="nil"/>
              <w:bottom w:val="single" w:sz="10" w:space="0" w:color="auto"/>
              <w:right w:val="nil"/>
            </w:tcBorders>
          </w:tcPr>
          <w:p w14:paraId="6B3396EE"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w:t>
            </w:r>
          </w:p>
        </w:tc>
        <w:tc>
          <w:tcPr>
            <w:tcW w:w="850" w:type="dxa"/>
            <w:tcBorders>
              <w:top w:val="single" w:sz="4" w:space="0" w:color="auto"/>
              <w:left w:val="nil"/>
              <w:bottom w:val="single" w:sz="10" w:space="0" w:color="auto"/>
              <w:right w:val="nil"/>
            </w:tcBorders>
          </w:tcPr>
          <w:p w14:paraId="35322AFD"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(2)</w:t>
            </w:r>
          </w:p>
        </w:tc>
        <w:tc>
          <w:tcPr>
            <w:tcW w:w="709" w:type="dxa"/>
            <w:tcBorders>
              <w:top w:val="single" w:sz="4" w:space="0" w:color="auto"/>
              <w:left w:val="nil"/>
              <w:bottom w:val="single" w:sz="10" w:space="0" w:color="auto"/>
              <w:right w:val="nil"/>
            </w:tcBorders>
          </w:tcPr>
          <w:p w14:paraId="60A7EF92"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(3)</w:t>
            </w:r>
          </w:p>
        </w:tc>
        <w:tc>
          <w:tcPr>
            <w:tcW w:w="711" w:type="dxa"/>
            <w:tcBorders>
              <w:top w:val="single" w:sz="4" w:space="0" w:color="auto"/>
              <w:left w:val="nil"/>
              <w:bottom w:val="single" w:sz="10" w:space="0" w:color="auto"/>
              <w:right w:val="nil"/>
            </w:tcBorders>
          </w:tcPr>
          <w:p w14:paraId="259E8EB4"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(4)</w:t>
            </w:r>
          </w:p>
        </w:tc>
        <w:tc>
          <w:tcPr>
            <w:tcW w:w="774" w:type="dxa"/>
            <w:tcBorders>
              <w:top w:val="single" w:sz="4" w:space="0" w:color="auto"/>
              <w:left w:val="nil"/>
              <w:bottom w:val="single" w:sz="10" w:space="0" w:color="auto"/>
              <w:right w:val="nil"/>
            </w:tcBorders>
          </w:tcPr>
          <w:p w14:paraId="4ED560FD"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(5)</w:t>
            </w:r>
          </w:p>
        </w:tc>
        <w:tc>
          <w:tcPr>
            <w:tcW w:w="709" w:type="dxa"/>
            <w:tcBorders>
              <w:top w:val="single" w:sz="4" w:space="0" w:color="auto"/>
              <w:left w:val="nil"/>
              <w:bottom w:val="single" w:sz="10" w:space="0" w:color="auto"/>
              <w:right w:val="nil"/>
            </w:tcBorders>
          </w:tcPr>
          <w:p w14:paraId="6AF69C54"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(6)</w:t>
            </w:r>
          </w:p>
        </w:tc>
        <w:tc>
          <w:tcPr>
            <w:tcW w:w="709" w:type="dxa"/>
            <w:tcBorders>
              <w:top w:val="single" w:sz="4" w:space="0" w:color="auto"/>
              <w:left w:val="nil"/>
              <w:bottom w:val="single" w:sz="10" w:space="0" w:color="auto"/>
              <w:right w:val="nil"/>
            </w:tcBorders>
          </w:tcPr>
          <w:p w14:paraId="11D83B3A"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(7)</w:t>
            </w:r>
          </w:p>
        </w:tc>
        <w:tc>
          <w:tcPr>
            <w:tcW w:w="709" w:type="dxa"/>
            <w:tcBorders>
              <w:top w:val="single" w:sz="4" w:space="0" w:color="auto"/>
              <w:left w:val="nil"/>
              <w:bottom w:val="single" w:sz="10" w:space="0" w:color="auto"/>
              <w:right w:val="nil"/>
            </w:tcBorders>
          </w:tcPr>
          <w:p w14:paraId="2F64EB86"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(8)</w:t>
            </w:r>
          </w:p>
        </w:tc>
        <w:tc>
          <w:tcPr>
            <w:tcW w:w="708" w:type="dxa"/>
            <w:tcBorders>
              <w:top w:val="single" w:sz="4" w:space="0" w:color="auto"/>
              <w:left w:val="nil"/>
              <w:bottom w:val="single" w:sz="10" w:space="0" w:color="auto"/>
              <w:right w:val="nil"/>
            </w:tcBorders>
          </w:tcPr>
          <w:p w14:paraId="4DAC4A25"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(9)</w:t>
            </w:r>
          </w:p>
        </w:tc>
        <w:tc>
          <w:tcPr>
            <w:tcW w:w="709" w:type="dxa"/>
            <w:tcBorders>
              <w:top w:val="single" w:sz="4" w:space="0" w:color="auto"/>
              <w:left w:val="nil"/>
              <w:bottom w:val="single" w:sz="10" w:space="0" w:color="auto"/>
              <w:right w:val="nil"/>
            </w:tcBorders>
          </w:tcPr>
          <w:p w14:paraId="65A55ECE"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(10)</w:t>
            </w:r>
          </w:p>
        </w:tc>
        <w:tc>
          <w:tcPr>
            <w:tcW w:w="709" w:type="dxa"/>
            <w:tcBorders>
              <w:top w:val="single" w:sz="4" w:space="0" w:color="auto"/>
              <w:left w:val="nil"/>
              <w:bottom w:val="single" w:sz="10" w:space="0" w:color="auto"/>
              <w:right w:val="nil"/>
            </w:tcBorders>
          </w:tcPr>
          <w:p w14:paraId="1432FE39"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(11)</w:t>
            </w:r>
          </w:p>
        </w:tc>
        <w:tc>
          <w:tcPr>
            <w:tcW w:w="709" w:type="dxa"/>
            <w:tcBorders>
              <w:top w:val="single" w:sz="4" w:space="0" w:color="auto"/>
              <w:left w:val="nil"/>
              <w:bottom w:val="single" w:sz="10" w:space="0" w:color="auto"/>
              <w:right w:val="nil"/>
            </w:tcBorders>
          </w:tcPr>
          <w:p w14:paraId="034F8E14"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(12)</w:t>
            </w:r>
          </w:p>
        </w:tc>
        <w:tc>
          <w:tcPr>
            <w:tcW w:w="708" w:type="dxa"/>
            <w:tcBorders>
              <w:top w:val="single" w:sz="4" w:space="0" w:color="auto"/>
              <w:left w:val="nil"/>
              <w:bottom w:val="single" w:sz="10" w:space="0" w:color="auto"/>
              <w:right w:val="nil"/>
            </w:tcBorders>
          </w:tcPr>
          <w:p w14:paraId="1E0A3FAD"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(13)</w:t>
            </w:r>
          </w:p>
        </w:tc>
        <w:tc>
          <w:tcPr>
            <w:tcW w:w="709" w:type="dxa"/>
            <w:tcBorders>
              <w:top w:val="single" w:sz="4" w:space="0" w:color="auto"/>
              <w:left w:val="nil"/>
              <w:bottom w:val="single" w:sz="10" w:space="0" w:color="auto"/>
              <w:right w:val="nil"/>
            </w:tcBorders>
          </w:tcPr>
          <w:p w14:paraId="0A39A25A"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(14)</w:t>
            </w:r>
          </w:p>
        </w:tc>
        <w:tc>
          <w:tcPr>
            <w:tcW w:w="709" w:type="dxa"/>
            <w:tcBorders>
              <w:top w:val="single" w:sz="4" w:space="0" w:color="auto"/>
              <w:left w:val="nil"/>
              <w:bottom w:val="single" w:sz="10" w:space="0" w:color="auto"/>
              <w:right w:val="nil"/>
            </w:tcBorders>
          </w:tcPr>
          <w:p w14:paraId="6015FA49"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(15)</w:t>
            </w:r>
          </w:p>
        </w:tc>
        <w:tc>
          <w:tcPr>
            <w:tcW w:w="709" w:type="dxa"/>
            <w:tcBorders>
              <w:top w:val="single" w:sz="4" w:space="0" w:color="auto"/>
              <w:left w:val="nil"/>
              <w:bottom w:val="single" w:sz="10" w:space="0" w:color="auto"/>
              <w:right w:val="nil"/>
            </w:tcBorders>
          </w:tcPr>
          <w:p w14:paraId="462FA713"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(16)</w:t>
            </w:r>
          </w:p>
        </w:tc>
        <w:tc>
          <w:tcPr>
            <w:tcW w:w="708" w:type="dxa"/>
            <w:gridSpan w:val="2"/>
            <w:tcBorders>
              <w:top w:val="single" w:sz="4" w:space="0" w:color="auto"/>
              <w:left w:val="nil"/>
              <w:bottom w:val="single" w:sz="10" w:space="0" w:color="auto"/>
              <w:right w:val="nil"/>
            </w:tcBorders>
          </w:tcPr>
          <w:p w14:paraId="2D29549A" w14:textId="77777777" w:rsidR="00043492" w:rsidRPr="004D3EDC" w:rsidRDefault="00043492" w:rsidP="00501891">
            <w:pPr>
              <w:widowControl w:val="0"/>
              <w:autoSpaceDE w:val="0"/>
              <w:autoSpaceDN w:val="0"/>
              <w:adjustRightInd w:val="0"/>
              <w:spacing w:line="240" w:lineRule="auto"/>
              <w:ind w:firstLine="0"/>
              <w:jc w:val="right"/>
              <w:rPr>
                <w:rFonts w:cs="Times New Roman"/>
                <w:sz w:val="20"/>
                <w:szCs w:val="20"/>
                <w:lang w:val="en-US" w:eastAsia="en-GB"/>
              </w:rPr>
            </w:pPr>
            <w:r w:rsidRPr="004D3EDC">
              <w:rPr>
                <w:rFonts w:cs="Times New Roman"/>
                <w:sz w:val="20"/>
                <w:szCs w:val="20"/>
                <w:lang w:val="en-US" w:eastAsia="en-GB"/>
              </w:rPr>
              <w:t xml:space="preserve">  (17)</w:t>
            </w:r>
          </w:p>
        </w:tc>
      </w:tr>
      <w:tr w:rsidR="00043492" w:rsidRPr="009714C5" w14:paraId="61EAA5F2" w14:textId="77777777" w:rsidTr="00501891">
        <w:trPr>
          <w:gridAfter w:val="17"/>
          <w:wAfter w:w="11549" w:type="dxa"/>
        </w:trPr>
        <w:tc>
          <w:tcPr>
            <w:tcW w:w="3402" w:type="dxa"/>
            <w:tcBorders>
              <w:top w:val="nil"/>
              <w:left w:val="nil"/>
              <w:bottom w:val="nil"/>
              <w:right w:val="nil"/>
            </w:tcBorders>
          </w:tcPr>
          <w:p w14:paraId="6EB7F664"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 Licensing Revenues </w:t>
            </w:r>
          </w:p>
        </w:tc>
        <w:tc>
          <w:tcPr>
            <w:tcW w:w="743" w:type="dxa"/>
            <w:tcBorders>
              <w:top w:val="nil"/>
              <w:left w:val="nil"/>
              <w:bottom w:val="nil"/>
              <w:right w:val="nil"/>
            </w:tcBorders>
          </w:tcPr>
          <w:p w14:paraId="2274479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46314B51" w14:textId="77777777" w:rsidTr="00501891">
        <w:trPr>
          <w:gridAfter w:val="16"/>
          <w:wAfter w:w="10699" w:type="dxa"/>
        </w:trPr>
        <w:tc>
          <w:tcPr>
            <w:tcW w:w="3402" w:type="dxa"/>
            <w:tcBorders>
              <w:top w:val="nil"/>
              <w:left w:val="nil"/>
              <w:bottom w:val="nil"/>
              <w:right w:val="nil"/>
            </w:tcBorders>
          </w:tcPr>
          <w:p w14:paraId="01ED2310"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(2) Litigations as Defendant</w:t>
            </w:r>
          </w:p>
        </w:tc>
        <w:tc>
          <w:tcPr>
            <w:tcW w:w="743" w:type="dxa"/>
            <w:tcBorders>
              <w:top w:val="nil"/>
              <w:left w:val="nil"/>
              <w:bottom w:val="nil"/>
              <w:right w:val="nil"/>
            </w:tcBorders>
          </w:tcPr>
          <w:p w14:paraId="0166D0B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0.108</w:t>
            </w:r>
          </w:p>
        </w:tc>
        <w:tc>
          <w:tcPr>
            <w:tcW w:w="850" w:type="dxa"/>
            <w:tcBorders>
              <w:top w:val="nil"/>
              <w:left w:val="nil"/>
              <w:bottom w:val="nil"/>
              <w:right w:val="nil"/>
            </w:tcBorders>
          </w:tcPr>
          <w:p w14:paraId="6062B7C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58078929" w14:textId="77777777" w:rsidTr="00501891">
        <w:trPr>
          <w:gridAfter w:val="15"/>
          <w:wAfter w:w="9990" w:type="dxa"/>
        </w:trPr>
        <w:tc>
          <w:tcPr>
            <w:tcW w:w="3402" w:type="dxa"/>
            <w:tcBorders>
              <w:top w:val="nil"/>
              <w:left w:val="nil"/>
              <w:bottom w:val="nil"/>
              <w:right w:val="nil"/>
            </w:tcBorders>
          </w:tcPr>
          <w:p w14:paraId="6C233D16"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(3) Litigations as Plaintiff</w:t>
            </w:r>
          </w:p>
        </w:tc>
        <w:tc>
          <w:tcPr>
            <w:tcW w:w="743" w:type="dxa"/>
            <w:tcBorders>
              <w:top w:val="nil"/>
              <w:left w:val="nil"/>
              <w:bottom w:val="nil"/>
              <w:right w:val="nil"/>
            </w:tcBorders>
          </w:tcPr>
          <w:p w14:paraId="1EEB6CF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0.106</w:t>
            </w:r>
          </w:p>
        </w:tc>
        <w:tc>
          <w:tcPr>
            <w:tcW w:w="850" w:type="dxa"/>
            <w:tcBorders>
              <w:top w:val="nil"/>
              <w:left w:val="nil"/>
              <w:bottom w:val="nil"/>
              <w:right w:val="nil"/>
            </w:tcBorders>
          </w:tcPr>
          <w:p w14:paraId="48BF9F2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0.059</w:t>
            </w:r>
          </w:p>
        </w:tc>
        <w:tc>
          <w:tcPr>
            <w:tcW w:w="709" w:type="dxa"/>
            <w:tcBorders>
              <w:top w:val="nil"/>
              <w:left w:val="nil"/>
              <w:bottom w:val="nil"/>
              <w:right w:val="nil"/>
            </w:tcBorders>
          </w:tcPr>
          <w:p w14:paraId="7A48DB0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1DA38A80" w14:textId="77777777" w:rsidTr="00501891">
        <w:trPr>
          <w:gridAfter w:val="14"/>
          <w:wAfter w:w="9279" w:type="dxa"/>
        </w:trPr>
        <w:tc>
          <w:tcPr>
            <w:tcW w:w="3402" w:type="dxa"/>
            <w:tcBorders>
              <w:top w:val="nil"/>
              <w:left w:val="nil"/>
              <w:bottom w:val="nil"/>
              <w:right w:val="nil"/>
            </w:tcBorders>
          </w:tcPr>
          <w:p w14:paraId="3425E035"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(4) Litigations as Counter Defendant</w:t>
            </w:r>
          </w:p>
        </w:tc>
        <w:tc>
          <w:tcPr>
            <w:tcW w:w="743" w:type="dxa"/>
            <w:tcBorders>
              <w:top w:val="nil"/>
              <w:left w:val="nil"/>
              <w:bottom w:val="nil"/>
              <w:right w:val="nil"/>
            </w:tcBorders>
          </w:tcPr>
          <w:p w14:paraId="2C1723D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0.119</w:t>
            </w:r>
          </w:p>
        </w:tc>
        <w:tc>
          <w:tcPr>
            <w:tcW w:w="850" w:type="dxa"/>
            <w:tcBorders>
              <w:top w:val="nil"/>
              <w:left w:val="nil"/>
              <w:bottom w:val="nil"/>
              <w:right w:val="nil"/>
            </w:tcBorders>
          </w:tcPr>
          <w:p w14:paraId="0EC635F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0.029</w:t>
            </w:r>
          </w:p>
        </w:tc>
        <w:tc>
          <w:tcPr>
            <w:tcW w:w="709" w:type="dxa"/>
            <w:tcBorders>
              <w:top w:val="nil"/>
              <w:left w:val="nil"/>
              <w:bottom w:val="nil"/>
              <w:right w:val="nil"/>
            </w:tcBorders>
          </w:tcPr>
          <w:p w14:paraId="650FFB5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0.812</w:t>
            </w:r>
          </w:p>
        </w:tc>
        <w:tc>
          <w:tcPr>
            <w:tcW w:w="711" w:type="dxa"/>
            <w:tcBorders>
              <w:top w:val="nil"/>
              <w:left w:val="nil"/>
              <w:bottom w:val="nil"/>
              <w:right w:val="nil"/>
            </w:tcBorders>
          </w:tcPr>
          <w:p w14:paraId="31296F6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7B11460B" w14:textId="77777777" w:rsidTr="00501891">
        <w:trPr>
          <w:gridAfter w:val="13"/>
          <w:wAfter w:w="8505" w:type="dxa"/>
        </w:trPr>
        <w:tc>
          <w:tcPr>
            <w:tcW w:w="3402" w:type="dxa"/>
            <w:tcBorders>
              <w:top w:val="nil"/>
              <w:left w:val="nil"/>
              <w:bottom w:val="nil"/>
              <w:right w:val="nil"/>
            </w:tcBorders>
          </w:tcPr>
          <w:p w14:paraId="2605204D"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(5) Litigations as Counter Plaintiff</w:t>
            </w:r>
          </w:p>
        </w:tc>
        <w:tc>
          <w:tcPr>
            <w:tcW w:w="743" w:type="dxa"/>
            <w:tcBorders>
              <w:top w:val="nil"/>
              <w:left w:val="nil"/>
              <w:bottom w:val="nil"/>
              <w:right w:val="nil"/>
            </w:tcBorders>
          </w:tcPr>
          <w:p w14:paraId="2DB4EE9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-0.019</w:t>
            </w:r>
          </w:p>
        </w:tc>
        <w:tc>
          <w:tcPr>
            <w:tcW w:w="850" w:type="dxa"/>
            <w:tcBorders>
              <w:top w:val="nil"/>
              <w:left w:val="nil"/>
              <w:bottom w:val="nil"/>
              <w:right w:val="nil"/>
            </w:tcBorders>
          </w:tcPr>
          <w:p w14:paraId="113298D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0.182</w:t>
            </w:r>
          </w:p>
        </w:tc>
        <w:tc>
          <w:tcPr>
            <w:tcW w:w="709" w:type="dxa"/>
            <w:tcBorders>
              <w:top w:val="nil"/>
              <w:left w:val="nil"/>
              <w:bottom w:val="nil"/>
              <w:right w:val="nil"/>
            </w:tcBorders>
          </w:tcPr>
          <w:p w14:paraId="5D1E0C2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-0.003</w:t>
            </w:r>
          </w:p>
        </w:tc>
        <w:tc>
          <w:tcPr>
            <w:tcW w:w="711" w:type="dxa"/>
            <w:tcBorders>
              <w:top w:val="nil"/>
              <w:left w:val="nil"/>
              <w:bottom w:val="nil"/>
              <w:right w:val="nil"/>
            </w:tcBorders>
          </w:tcPr>
          <w:p w14:paraId="64C4254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0.107</w:t>
            </w:r>
          </w:p>
        </w:tc>
        <w:tc>
          <w:tcPr>
            <w:tcW w:w="774" w:type="dxa"/>
            <w:tcBorders>
              <w:top w:val="nil"/>
              <w:left w:val="nil"/>
              <w:bottom w:val="nil"/>
              <w:right w:val="nil"/>
            </w:tcBorders>
          </w:tcPr>
          <w:p w14:paraId="53D7061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5969DB17" w14:textId="77777777" w:rsidTr="00501891">
        <w:trPr>
          <w:gridAfter w:val="12"/>
          <w:wAfter w:w="7796" w:type="dxa"/>
          <w:trHeight w:val="135"/>
        </w:trPr>
        <w:tc>
          <w:tcPr>
            <w:tcW w:w="3402" w:type="dxa"/>
            <w:tcBorders>
              <w:top w:val="nil"/>
              <w:left w:val="nil"/>
              <w:bottom w:val="nil"/>
              <w:right w:val="nil"/>
            </w:tcBorders>
          </w:tcPr>
          <w:p w14:paraId="60B8FBD8"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(6) Litigations as Sole Plaintiff</w:t>
            </w:r>
          </w:p>
        </w:tc>
        <w:tc>
          <w:tcPr>
            <w:tcW w:w="743" w:type="dxa"/>
            <w:tcBorders>
              <w:top w:val="nil"/>
              <w:left w:val="nil"/>
              <w:bottom w:val="nil"/>
              <w:right w:val="nil"/>
            </w:tcBorders>
          </w:tcPr>
          <w:p w14:paraId="33A2846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0.057</w:t>
            </w:r>
          </w:p>
        </w:tc>
        <w:tc>
          <w:tcPr>
            <w:tcW w:w="850" w:type="dxa"/>
            <w:tcBorders>
              <w:top w:val="nil"/>
              <w:left w:val="nil"/>
              <w:bottom w:val="nil"/>
              <w:right w:val="nil"/>
            </w:tcBorders>
          </w:tcPr>
          <w:p w14:paraId="7CBD613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0.052</w:t>
            </w:r>
          </w:p>
        </w:tc>
        <w:tc>
          <w:tcPr>
            <w:tcW w:w="709" w:type="dxa"/>
            <w:tcBorders>
              <w:top w:val="nil"/>
              <w:left w:val="nil"/>
              <w:bottom w:val="nil"/>
              <w:right w:val="nil"/>
            </w:tcBorders>
          </w:tcPr>
          <w:p w14:paraId="08467A7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0.880</w:t>
            </w:r>
          </w:p>
        </w:tc>
        <w:tc>
          <w:tcPr>
            <w:tcW w:w="711" w:type="dxa"/>
            <w:tcBorders>
              <w:top w:val="nil"/>
              <w:left w:val="nil"/>
              <w:bottom w:val="nil"/>
              <w:right w:val="nil"/>
            </w:tcBorders>
          </w:tcPr>
          <w:p w14:paraId="12D586E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0.635</w:t>
            </w:r>
          </w:p>
        </w:tc>
        <w:tc>
          <w:tcPr>
            <w:tcW w:w="774" w:type="dxa"/>
            <w:tcBorders>
              <w:top w:val="nil"/>
              <w:left w:val="nil"/>
              <w:bottom w:val="nil"/>
              <w:right w:val="nil"/>
            </w:tcBorders>
          </w:tcPr>
          <w:p w14:paraId="24A4BA3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-0.002</w:t>
            </w:r>
          </w:p>
        </w:tc>
        <w:tc>
          <w:tcPr>
            <w:tcW w:w="709" w:type="dxa"/>
            <w:tcBorders>
              <w:top w:val="nil"/>
              <w:left w:val="nil"/>
              <w:bottom w:val="nil"/>
              <w:right w:val="nil"/>
            </w:tcBorders>
          </w:tcPr>
          <w:p w14:paraId="5E896EB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39B0FC1C" w14:textId="77777777" w:rsidTr="00501891">
        <w:trPr>
          <w:gridAfter w:val="11"/>
          <w:wAfter w:w="7087" w:type="dxa"/>
        </w:trPr>
        <w:tc>
          <w:tcPr>
            <w:tcW w:w="3402" w:type="dxa"/>
            <w:tcBorders>
              <w:top w:val="nil"/>
              <w:left w:val="nil"/>
              <w:bottom w:val="nil"/>
              <w:right w:val="nil"/>
            </w:tcBorders>
          </w:tcPr>
          <w:p w14:paraId="4D06F56B"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(7) Litigations as Co-plaintiff</w:t>
            </w:r>
          </w:p>
        </w:tc>
        <w:tc>
          <w:tcPr>
            <w:tcW w:w="743" w:type="dxa"/>
            <w:tcBorders>
              <w:top w:val="nil"/>
              <w:left w:val="nil"/>
              <w:bottom w:val="nil"/>
              <w:right w:val="nil"/>
            </w:tcBorders>
          </w:tcPr>
          <w:p w14:paraId="1F01F19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0.119</w:t>
            </w:r>
          </w:p>
        </w:tc>
        <w:tc>
          <w:tcPr>
            <w:tcW w:w="850" w:type="dxa"/>
            <w:tcBorders>
              <w:top w:val="nil"/>
              <w:left w:val="nil"/>
              <w:bottom w:val="nil"/>
              <w:right w:val="nil"/>
            </w:tcBorders>
          </w:tcPr>
          <w:p w14:paraId="289D56D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0.030</w:t>
            </w:r>
          </w:p>
        </w:tc>
        <w:tc>
          <w:tcPr>
            <w:tcW w:w="709" w:type="dxa"/>
            <w:tcBorders>
              <w:top w:val="nil"/>
              <w:left w:val="nil"/>
              <w:bottom w:val="nil"/>
              <w:right w:val="nil"/>
            </w:tcBorders>
          </w:tcPr>
          <w:p w14:paraId="371A3A8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0.514</w:t>
            </w:r>
          </w:p>
        </w:tc>
        <w:tc>
          <w:tcPr>
            <w:tcW w:w="711" w:type="dxa"/>
            <w:tcBorders>
              <w:top w:val="nil"/>
              <w:left w:val="nil"/>
              <w:bottom w:val="nil"/>
              <w:right w:val="nil"/>
            </w:tcBorders>
          </w:tcPr>
          <w:p w14:paraId="0444D3A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0.560</w:t>
            </w:r>
          </w:p>
        </w:tc>
        <w:tc>
          <w:tcPr>
            <w:tcW w:w="774" w:type="dxa"/>
            <w:tcBorders>
              <w:top w:val="nil"/>
              <w:left w:val="nil"/>
              <w:bottom w:val="nil"/>
              <w:right w:val="nil"/>
            </w:tcBorders>
          </w:tcPr>
          <w:p w14:paraId="5F79138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-0.004</w:t>
            </w:r>
          </w:p>
        </w:tc>
        <w:tc>
          <w:tcPr>
            <w:tcW w:w="709" w:type="dxa"/>
            <w:tcBorders>
              <w:top w:val="nil"/>
              <w:left w:val="nil"/>
              <w:bottom w:val="nil"/>
              <w:right w:val="nil"/>
            </w:tcBorders>
          </w:tcPr>
          <w:p w14:paraId="42EFC63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0.044</w:t>
            </w:r>
          </w:p>
        </w:tc>
        <w:tc>
          <w:tcPr>
            <w:tcW w:w="709" w:type="dxa"/>
            <w:tcBorders>
              <w:top w:val="nil"/>
              <w:left w:val="nil"/>
              <w:bottom w:val="nil"/>
              <w:right w:val="nil"/>
            </w:tcBorders>
          </w:tcPr>
          <w:p w14:paraId="0393019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0DC14FF1" w14:textId="77777777" w:rsidTr="00501891">
        <w:trPr>
          <w:gridAfter w:val="10"/>
          <w:wAfter w:w="6378" w:type="dxa"/>
        </w:trPr>
        <w:tc>
          <w:tcPr>
            <w:tcW w:w="3402" w:type="dxa"/>
            <w:tcBorders>
              <w:top w:val="nil"/>
              <w:left w:val="nil"/>
              <w:bottom w:val="nil"/>
              <w:right w:val="nil"/>
            </w:tcBorders>
          </w:tcPr>
          <w:p w14:paraId="55C49A7C"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(8) Litigations as Sole Defendant</w:t>
            </w:r>
          </w:p>
        </w:tc>
        <w:tc>
          <w:tcPr>
            <w:tcW w:w="743" w:type="dxa"/>
            <w:tcBorders>
              <w:top w:val="nil"/>
              <w:left w:val="nil"/>
              <w:bottom w:val="nil"/>
              <w:right w:val="nil"/>
            </w:tcBorders>
          </w:tcPr>
          <w:p w14:paraId="7267587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0.088</w:t>
            </w:r>
          </w:p>
        </w:tc>
        <w:tc>
          <w:tcPr>
            <w:tcW w:w="850" w:type="dxa"/>
            <w:tcBorders>
              <w:top w:val="nil"/>
              <w:left w:val="nil"/>
              <w:bottom w:val="nil"/>
              <w:right w:val="nil"/>
            </w:tcBorders>
          </w:tcPr>
          <w:p w14:paraId="01BAC4A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0.362</w:t>
            </w:r>
          </w:p>
        </w:tc>
        <w:tc>
          <w:tcPr>
            <w:tcW w:w="709" w:type="dxa"/>
            <w:tcBorders>
              <w:top w:val="nil"/>
              <w:left w:val="nil"/>
              <w:bottom w:val="nil"/>
              <w:right w:val="nil"/>
            </w:tcBorders>
          </w:tcPr>
          <w:p w14:paraId="7515E27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0.012</w:t>
            </w:r>
          </w:p>
        </w:tc>
        <w:tc>
          <w:tcPr>
            <w:tcW w:w="711" w:type="dxa"/>
            <w:tcBorders>
              <w:top w:val="nil"/>
              <w:left w:val="nil"/>
              <w:bottom w:val="nil"/>
              <w:right w:val="nil"/>
            </w:tcBorders>
          </w:tcPr>
          <w:p w14:paraId="639F211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0.058</w:t>
            </w:r>
          </w:p>
        </w:tc>
        <w:tc>
          <w:tcPr>
            <w:tcW w:w="774" w:type="dxa"/>
            <w:tcBorders>
              <w:top w:val="nil"/>
              <w:left w:val="nil"/>
              <w:bottom w:val="nil"/>
              <w:right w:val="nil"/>
            </w:tcBorders>
          </w:tcPr>
          <w:p w14:paraId="6AC46E8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-0.002</w:t>
            </w:r>
          </w:p>
        </w:tc>
        <w:tc>
          <w:tcPr>
            <w:tcW w:w="709" w:type="dxa"/>
            <w:tcBorders>
              <w:top w:val="nil"/>
              <w:left w:val="nil"/>
              <w:bottom w:val="nil"/>
              <w:right w:val="nil"/>
            </w:tcBorders>
          </w:tcPr>
          <w:p w14:paraId="0CD20E3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0.015</w:t>
            </w:r>
          </w:p>
        </w:tc>
        <w:tc>
          <w:tcPr>
            <w:tcW w:w="709" w:type="dxa"/>
            <w:tcBorders>
              <w:top w:val="nil"/>
              <w:left w:val="nil"/>
              <w:bottom w:val="nil"/>
              <w:right w:val="nil"/>
            </w:tcBorders>
          </w:tcPr>
          <w:p w14:paraId="7177F22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-0.000</w:t>
            </w:r>
          </w:p>
        </w:tc>
        <w:tc>
          <w:tcPr>
            <w:tcW w:w="709" w:type="dxa"/>
            <w:tcBorders>
              <w:top w:val="nil"/>
              <w:left w:val="nil"/>
              <w:bottom w:val="nil"/>
              <w:right w:val="nil"/>
            </w:tcBorders>
          </w:tcPr>
          <w:p w14:paraId="219289E8" w14:textId="77777777" w:rsidR="00043492" w:rsidRPr="004D3EDC" w:rsidRDefault="00043492" w:rsidP="00501891">
            <w:pPr>
              <w:widowControl w:val="0"/>
              <w:autoSpaceDE w:val="0"/>
              <w:autoSpaceDN w:val="0"/>
              <w:adjustRightInd w:val="0"/>
              <w:spacing w:line="240" w:lineRule="auto"/>
              <w:ind w:firstLine="0"/>
              <w:jc w:val="center"/>
              <w:rPr>
                <w:rFonts w:cs="Times New Roman"/>
                <w:sz w:val="18"/>
                <w:szCs w:val="20"/>
                <w:lang w:val="en-US" w:eastAsia="en-GB"/>
              </w:rPr>
            </w:pPr>
          </w:p>
        </w:tc>
      </w:tr>
      <w:tr w:rsidR="00043492" w:rsidRPr="009714C5" w14:paraId="2F3509FB" w14:textId="77777777" w:rsidTr="00501891">
        <w:trPr>
          <w:gridAfter w:val="9"/>
          <w:wAfter w:w="5670" w:type="dxa"/>
        </w:trPr>
        <w:tc>
          <w:tcPr>
            <w:tcW w:w="3402" w:type="dxa"/>
            <w:tcBorders>
              <w:top w:val="nil"/>
              <w:left w:val="nil"/>
              <w:bottom w:val="nil"/>
              <w:right w:val="nil"/>
            </w:tcBorders>
          </w:tcPr>
          <w:p w14:paraId="4C248F0A"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(9) Litigations as Co-defendant</w:t>
            </w:r>
          </w:p>
        </w:tc>
        <w:tc>
          <w:tcPr>
            <w:tcW w:w="743" w:type="dxa"/>
            <w:tcBorders>
              <w:top w:val="nil"/>
              <w:left w:val="nil"/>
              <w:bottom w:val="nil"/>
              <w:right w:val="nil"/>
            </w:tcBorders>
          </w:tcPr>
          <w:p w14:paraId="31905F3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0.083</w:t>
            </w:r>
          </w:p>
        </w:tc>
        <w:tc>
          <w:tcPr>
            <w:tcW w:w="850" w:type="dxa"/>
            <w:tcBorders>
              <w:top w:val="nil"/>
              <w:left w:val="nil"/>
              <w:bottom w:val="nil"/>
              <w:right w:val="nil"/>
            </w:tcBorders>
          </w:tcPr>
          <w:p w14:paraId="0AA12F4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0.938</w:t>
            </w:r>
          </w:p>
        </w:tc>
        <w:tc>
          <w:tcPr>
            <w:tcW w:w="709" w:type="dxa"/>
            <w:tcBorders>
              <w:top w:val="nil"/>
              <w:left w:val="nil"/>
              <w:bottom w:val="nil"/>
              <w:right w:val="nil"/>
            </w:tcBorders>
          </w:tcPr>
          <w:p w14:paraId="64A0558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0.059</w:t>
            </w:r>
          </w:p>
        </w:tc>
        <w:tc>
          <w:tcPr>
            <w:tcW w:w="711" w:type="dxa"/>
            <w:tcBorders>
              <w:top w:val="nil"/>
              <w:left w:val="nil"/>
              <w:bottom w:val="nil"/>
              <w:right w:val="nil"/>
            </w:tcBorders>
          </w:tcPr>
          <w:p w14:paraId="75FE94A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0.010</w:t>
            </w:r>
          </w:p>
        </w:tc>
        <w:tc>
          <w:tcPr>
            <w:tcW w:w="774" w:type="dxa"/>
            <w:tcBorders>
              <w:top w:val="nil"/>
              <w:left w:val="nil"/>
              <w:bottom w:val="nil"/>
              <w:right w:val="nil"/>
            </w:tcBorders>
          </w:tcPr>
          <w:p w14:paraId="4299BEB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0.196</w:t>
            </w:r>
          </w:p>
        </w:tc>
        <w:tc>
          <w:tcPr>
            <w:tcW w:w="709" w:type="dxa"/>
            <w:tcBorders>
              <w:top w:val="nil"/>
              <w:left w:val="nil"/>
              <w:bottom w:val="nil"/>
              <w:right w:val="nil"/>
            </w:tcBorders>
          </w:tcPr>
          <w:p w14:paraId="1F36F3B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0.050</w:t>
            </w:r>
          </w:p>
        </w:tc>
        <w:tc>
          <w:tcPr>
            <w:tcW w:w="709" w:type="dxa"/>
            <w:tcBorders>
              <w:top w:val="nil"/>
              <w:left w:val="nil"/>
              <w:bottom w:val="nil"/>
              <w:right w:val="nil"/>
            </w:tcBorders>
          </w:tcPr>
          <w:p w14:paraId="1A30568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0.033</w:t>
            </w:r>
          </w:p>
        </w:tc>
        <w:tc>
          <w:tcPr>
            <w:tcW w:w="709" w:type="dxa"/>
            <w:tcBorders>
              <w:top w:val="nil"/>
              <w:left w:val="nil"/>
              <w:bottom w:val="nil"/>
              <w:right w:val="nil"/>
            </w:tcBorders>
          </w:tcPr>
          <w:p w14:paraId="4B7512F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0.017</w:t>
            </w:r>
          </w:p>
        </w:tc>
        <w:tc>
          <w:tcPr>
            <w:tcW w:w="708" w:type="dxa"/>
            <w:tcBorders>
              <w:top w:val="nil"/>
              <w:left w:val="nil"/>
              <w:bottom w:val="nil"/>
              <w:right w:val="nil"/>
            </w:tcBorders>
          </w:tcPr>
          <w:p w14:paraId="6566AE2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10BEDD78" w14:textId="77777777" w:rsidTr="00501891">
        <w:trPr>
          <w:gridAfter w:val="8"/>
          <w:wAfter w:w="4961" w:type="dxa"/>
        </w:trPr>
        <w:tc>
          <w:tcPr>
            <w:tcW w:w="3402" w:type="dxa"/>
            <w:tcBorders>
              <w:top w:val="nil"/>
              <w:left w:val="nil"/>
              <w:bottom w:val="nil"/>
              <w:right w:val="nil"/>
            </w:tcBorders>
          </w:tcPr>
          <w:p w14:paraId="20CCB1E9"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(10) No. of Patents</w:t>
            </w:r>
          </w:p>
        </w:tc>
        <w:tc>
          <w:tcPr>
            <w:tcW w:w="743" w:type="dxa"/>
            <w:tcBorders>
              <w:top w:val="nil"/>
              <w:left w:val="nil"/>
              <w:bottom w:val="nil"/>
              <w:right w:val="nil"/>
            </w:tcBorders>
          </w:tcPr>
          <w:p w14:paraId="67D1F54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0.461</w:t>
            </w:r>
          </w:p>
        </w:tc>
        <w:tc>
          <w:tcPr>
            <w:tcW w:w="850" w:type="dxa"/>
            <w:tcBorders>
              <w:top w:val="nil"/>
              <w:left w:val="nil"/>
              <w:bottom w:val="nil"/>
              <w:right w:val="nil"/>
            </w:tcBorders>
          </w:tcPr>
          <w:p w14:paraId="7CBCC45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0.123</w:t>
            </w:r>
          </w:p>
        </w:tc>
        <w:tc>
          <w:tcPr>
            <w:tcW w:w="709" w:type="dxa"/>
            <w:tcBorders>
              <w:top w:val="nil"/>
              <w:left w:val="nil"/>
              <w:bottom w:val="nil"/>
              <w:right w:val="nil"/>
            </w:tcBorders>
          </w:tcPr>
          <w:p w14:paraId="70C54C5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0.131</w:t>
            </w:r>
          </w:p>
        </w:tc>
        <w:tc>
          <w:tcPr>
            <w:tcW w:w="711" w:type="dxa"/>
            <w:tcBorders>
              <w:top w:val="nil"/>
              <w:left w:val="nil"/>
              <w:bottom w:val="nil"/>
              <w:right w:val="nil"/>
            </w:tcBorders>
          </w:tcPr>
          <w:p w14:paraId="5C0EA6D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0.140</w:t>
            </w:r>
          </w:p>
        </w:tc>
        <w:tc>
          <w:tcPr>
            <w:tcW w:w="774" w:type="dxa"/>
            <w:tcBorders>
              <w:top w:val="nil"/>
              <w:left w:val="nil"/>
              <w:bottom w:val="nil"/>
              <w:right w:val="nil"/>
            </w:tcBorders>
          </w:tcPr>
          <w:p w14:paraId="3924062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-0.009</w:t>
            </w:r>
          </w:p>
        </w:tc>
        <w:tc>
          <w:tcPr>
            <w:tcW w:w="709" w:type="dxa"/>
            <w:tcBorders>
              <w:top w:val="nil"/>
              <w:left w:val="nil"/>
              <w:bottom w:val="nil"/>
              <w:right w:val="nil"/>
            </w:tcBorders>
          </w:tcPr>
          <w:p w14:paraId="360C39B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0.080</w:t>
            </w:r>
          </w:p>
        </w:tc>
        <w:tc>
          <w:tcPr>
            <w:tcW w:w="709" w:type="dxa"/>
            <w:tcBorders>
              <w:top w:val="nil"/>
              <w:left w:val="nil"/>
              <w:bottom w:val="nil"/>
              <w:right w:val="nil"/>
            </w:tcBorders>
          </w:tcPr>
          <w:p w14:paraId="0E0FFD6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0.131</w:t>
            </w:r>
          </w:p>
        </w:tc>
        <w:tc>
          <w:tcPr>
            <w:tcW w:w="709" w:type="dxa"/>
            <w:tcBorders>
              <w:top w:val="nil"/>
              <w:left w:val="nil"/>
              <w:bottom w:val="nil"/>
              <w:right w:val="nil"/>
            </w:tcBorders>
          </w:tcPr>
          <w:p w14:paraId="16780D1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0.150</w:t>
            </w:r>
          </w:p>
        </w:tc>
        <w:tc>
          <w:tcPr>
            <w:tcW w:w="708" w:type="dxa"/>
            <w:tcBorders>
              <w:top w:val="nil"/>
              <w:left w:val="nil"/>
              <w:bottom w:val="nil"/>
              <w:right w:val="nil"/>
            </w:tcBorders>
          </w:tcPr>
          <w:p w14:paraId="1699F9B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0.076</w:t>
            </w:r>
          </w:p>
        </w:tc>
        <w:tc>
          <w:tcPr>
            <w:tcW w:w="709" w:type="dxa"/>
            <w:tcBorders>
              <w:top w:val="nil"/>
              <w:left w:val="nil"/>
              <w:bottom w:val="nil"/>
              <w:right w:val="nil"/>
            </w:tcBorders>
          </w:tcPr>
          <w:p w14:paraId="2C0D2E8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69770620" w14:textId="77777777" w:rsidTr="00501891">
        <w:trPr>
          <w:gridAfter w:val="7"/>
          <w:wAfter w:w="4252" w:type="dxa"/>
        </w:trPr>
        <w:tc>
          <w:tcPr>
            <w:tcW w:w="3402" w:type="dxa"/>
            <w:tcBorders>
              <w:top w:val="nil"/>
              <w:left w:val="nil"/>
              <w:bottom w:val="nil"/>
              <w:right w:val="nil"/>
            </w:tcBorders>
          </w:tcPr>
          <w:p w14:paraId="0542F1B4"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(11) Research Expenses</w:t>
            </w:r>
          </w:p>
        </w:tc>
        <w:tc>
          <w:tcPr>
            <w:tcW w:w="743" w:type="dxa"/>
            <w:tcBorders>
              <w:top w:val="nil"/>
              <w:left w:val="nil"/>
              <w:bottom w:val="nil"/>
              <w:right w:val="nil"/>
            </w:tcBorders>
          </w:tcPr>
          <w:p w14:paraId="743F473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0.683</w:t>
            </w:r>
          </w:p>
        </w:tc>
        <w:tc>
          <w:tcPr>
            <w:tcW w:w="850" w:type="dxa"/>
            <w:tcBorders>
              <w:top w:val="nil"/>
              <w:left w:val="nil"/>
              <w:bottom w:val="nil"/>
              <w:right w:val="nil"/>
            </w:tcBorders>
          </w:tcPr>
          <w:p w14:paraId="3A9B744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0.114</w:t>
            </w:r>
          </w:p>
        </w:tc>
        <w:tc>
          <w:tcPr>
            <w:tcW w:w="709" w:type="dxa"/>
            <w:tcBorders>
              <w:top w:val="nil"/>
              <w:left w:val="nil"/>
              <w:bottom w:val="nil"/>
              <w:right w:val="nil"/>
            </w:tcBorders>
          </w:tcPr>
          <w:p w14:paraId="78C982B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0.112</w:t>
            </w:r>
          </w:p>
        </w:tc>
        <w:tc>
          <w:tcPr>
            <w:tcW w:w="711" w:type="dxa"/>
            <w:tcBorders>
              <w:top w:val="nil"/>
              <w:left w:val="nil"/>
              <w:bottom w:val="nil"/>
              <w:right w:val="nil"/>
            </w:tcBorders>
          </w:tcPr>
          <w:p w14:paraId="65A8910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0.134</w:t>
            </w:r>
          </w:p>
        </w:tc>
        <w:tc>
          <w:tcPr>
            <w:tcW w:w="774" w:type="dxa"/>
            <w:tcBorders>
              <w:top w:val="nil"/>
              <w:left w:val="nil"/>
              <w:bottom w:val="nil"/>
              <w:right w:val="nil"/>
            </w:tcBorders>
          </w:tcPr>
          <w:p w14:paraId="0ED09EC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-0.002</w:t>
            </w:r>
          </w:p>
        </w:tc>
        <w:tc>
          <w:tcPr>
            <w:tcW w:w="709" w:type="dxa"/>
            <w:tcBorders>
              <w:top w:val="nil"/>
              <w:left w:val="nil"/>
              <w:bottom w:val="nil"/>
              <w:right w:val="nil"/>
            </w:tcBorders>
          </w:tcPr>
          <w:p w14:paraId="7467D49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0.063</w:t>
            </w:r>
          </w:p>
        </w:tc>
        <w:tc>
          <w:tcPr>
            <w:tcW w:w="709" w:type="dxa"/>
            <w:tcBorders>
              <w:top w:val="nil"/>
              <w:left w:val="nil"/>
              <w:bottom w:val="nil"/>
              <w:right w:val="nil"/>
            </w:tcBorders>
          </w:tcPr>
          <w:p w14:paraId="4E547E3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0.122</w:t>
            </w:r>
          </w:p>
        </w:tc>
        <w:tc>
          <w:tcPr>
            <w:tcW w:w="709" w:type="dxa"/>
            <w:tcBorders>
              <w:top w:val="nil"/>
              <w:left w:val="nil"/>
              <w:bottom w:val="nil"/>
              <w:right w:val="nil"/>
            </w:tcBorders>
          </w:tcPr>
          <w:p w14:paraId="1A7A4B6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0.082</w:t>
            </w:r>
          </w:p>
        </w:tc>
        <w:tc>
          <w:tcPr>
            <w:tcW w:w="708" w:type="dxa"/>
            <w:tcBorders>
              <w:top w:val="nil"/>
              <w:left w:val="nil"/>
              <w:bottom w:val="nil"/>
              <w:right w:val="nil"/>
            </w:tcBorders>
          </w:tcPr>
          <w:p w14:paraId="60ABCFA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0.092</w:t>
            </w:r>
          </w:p>
        </w:tc>
        <w:tc>
          <w:tcPr>
            <w:tcW w:w="709" w:type="dxa"/>
            <w:tcBorders>
              <w:top w:val="nil"/>
              <w:left w:val="nil"/>
              <w:bottom w:val="nil"/>
              <w:right w:val="nil"/>
            </w:tcBorders>
          </w:tcPr>
          <w:p w14:paraId="3A4A826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0.604</w:t>
            </w:r>
          </w:p>
        </w:tc>
        <w:tc>
          <w:tcPr>
            <w:tcW w:w="709" w:type="dxa"/>
            <w:tcBorders>
              <w:top w:val="nil"/>
              <w:left w:val="nil"/>
              <w:bottom w:val="nil"/>
              <w:right w:val="nil"/>
            </w:tcBorders>
          </w:tcPr>
          <w:p w14:paraId="5779747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26BB878D" w14:textId="77777777" w:rsidTr="00501891">
        <w:trPr>
          <w:gridAfter w:val="6"/>
          <w:wAfter w:w="3543" w:type="dxa"/>
        </w:trPr>
        <w:tc>
          <w:tcPr>
            <w:tcW w:w="3402" w:type="dxa"/>
            <w:tcBorders>
              <w:top w:val="nil"/>
              <w:left w:val="nil"/>
              <w:bottom w:val="nil"/>
              <w:right w:val="nil"/>
            </w:tcBorders>
          </w:tcPr>
          <w:p w14:paraId="1632D93D"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(12) Licensing Patents</w:t>
            </w:r>
          </w:p>
        </w:tc>
        <w:tc>
          <w:tcPr>
            <w:tcW w:w="743" w:type="dxa"/>
            <w:tcBorders>
              <w:top w:val="nil"/>
              <w:left w:val="nil"/>
              <w:bottom w:val="nil"/>
              <w:right w:val="nil"/>
            </w:tcBorders>
          </w:tcPr>
          <w:p w14:paraId="37C4A3F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0.041</w:t>
            </w:r>
          </w:p>
        </w:tc>
        <w:tc>
          <w:tcPr>
            <w:tcW w:w="850" w:type="dxa"/>
            <w:tcBorders>
              <w:top w:val="nil"/>
              <w:left w:val="nil"/>
              <w:bottom w:val="nil"/>
              <w:right w:val="nil"/>
            </w:tcBorders>
          </w:tcPr>
          <w:p w14:paraId="0DD249E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-0.014</w:t>
            </w:r>
          </w:p>
        </w:tc>
        <w:tc>
          <w:tcPr>
            <w:tcW w:w="709" w:type="dxa"/>
            <w:tcBorders>
              <w:top w:val="nil"/>
              <w:left w:val="nil"/>
              <w:bottom w:val="nil"/>
              <w:right w:val="nil"/>
            </w:tcBorders>
          </w:tcPr>
          <w:p w14:paraId="5769748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-0.026</w:t>
            </w:r>
          </w:p>
        </w:tc>
        <w:tc>
          <w:tcPr>
            <w:tcW w:w="711" w:type="dxa"/>
            <w:tcBorders>
              <w:top w:val="nil"/>
              <w:left w:val="nil"/>
              <w:bottom w:val="nil"/>
              <w:right w:val="nil"/>
            </w:tcBorders>
          </w:tcPr>
          <w:p w14:paraId="03A89B4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-0.024</w:t>
            </w:r>
          </w:p>
        </w:tc>
        <w:tc>
          <w:tcPr>
            <w:tcW w:w="774" w:type="dxa"/>
            <w:tcBorders>
              <w:top w:val="nil"/>
              <w:left w:val="nil"/>
              <w:bottom w:val="nil"/>
              <w:right w:val="nil"/>
            </w:tcBorders>
          </w:tcPr>
          <w:p w14:paraId="76593DF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-0.001</w:t>
            </w:r>
          </w:p>
        </w:tc>
        <w:tc>
          <w:tcPr>
            <w:tcW w:w="709" w:type="dxa"/>
            <w:tcBorders>
              <w:top w:val="nil"/>
              <w:left w:val="nil"/>
              <w:bottom w:val="nil"/>
              <w:right w:val="nil"/>
            </w:tcBorders>
          </w:tcPr>
          <w:p w14:paraId="58AB2AC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-0.021</w:t>
            </w:r>
          </w:p>
        </w:tc>
        <w:tc>
          <w:tcPr>
            <w:tcW w:w="709" w:type="dxa"/>
            <w:tcBorders>
              <w:top w:val="nil"/>
              <w:left w:val="nil"/>
              <w:bottom w:val="nil"/>
              <w:right w:val="nil"/>
            </w:tcBorders>
          </w:tcPr>
          <w:p w14:paraId="3994426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-0.018</w:t>
            </w:r>
          </w:p>
        </w:tc>
        <w:tc>
          <w:tcPr>
            <w:tcW w:w="709" w:type="dxa"/>
            <w:tcBorders>
              <w:top w:val="nil"/>
              <w:left w:val="nil"/>
              <w:bottom w:val="nil"/>
              <w:right w:val="nil"/>
            </w:tcBorders>
          </w:tcPr>
          <w:p w14:paraId="07C4087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-0.030</w:t>
            </w:r>
          </w:p>
        </w:tc>
        <w:tc>
          <w:tcPr>
            <w:tcW w:w="708" w:type="dxa"/>
            <w:tcBorders>
              <w:top w:val="nil"/>
              <w:left w:val="nil"/>
              <w:bottom w:val="nil"/>
              <w:right w:val="nil"/>
            </w:tcBorders>
          </w:tcPr>
          <w:p w14:paraId="0684922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-0.004</w:t>
            </w:r>
          </w:p>
        </w:tc>
        <w:tc>
          <w:tcPr>
            <w:tcW w:w="709" w:type="dxa"/>
            <w:tcBorders>
              <w:top w:val="nil"/>
              <w:left w:val="nil"/>
              <w:bottom w:val="nil"/>
              <w:right w:val="nil"/>
            </w:tcBorders>
          </w:tcPr>
          <w:p w14:paraId="26E8618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-0.151</w:t>
            </w:r>
          </w:p>
        </w:tc>
        <w:tc>
          <w:tcPr>
            <w:tcW w:w="709" w:type="dxa"/>
            <w:tcBorders>
              <w:top w:val="nil"/>
              <w:left w:val="nil"/>
              <w:bottom w:val="nil"/>
              <w:right w:val="nil"/>
            </w:tcBorders>
          </w:tcPr>
          <w:p w14:paraId="3BF22CB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-0.033</w:t>
            </w:r>
          </w:p>
        </w:tc>
        <w:tc>
          <w:tcPr>
            <w:tcW w:w="709" w:type="dxa"/>
            <w:tcBorders>
              <w:top w:val="nil"/>
              <w:left w:val="nil"/>
              <w:bottom w:val="nil"/>
              <w:right w:val="nil"/>
            </w:tcBorders>
          </w:tcPr>
          <w:p w14:paraId="54AA5CE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1B344EC0" w14:textId="77777777" w:rsidTr="00501891">
        <w:trPr>
          <w:gridAfter w:val="5"/>
          <w:wAfter w:w="2835" w:type="dxa"/>
        </w:trPr>
        <w:tc>
          <w:tcPr>
            <w:tcW w:w="3402" w:type="dxa"/>
            <w:tcBorders>
              <w:top w:val="nil"/>
              <w:left w:val="nil"/>
              <w:bottom w:val="nil"/>
              <w:right w:val="nil"/>
            </w:tcBorders>
          </w:tcPr>
          <w:p w14:paraId="034C0072"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(13) Total FTEs</w:t>
            </w:r>
          </w:p>
        </w:tc>
        <w:tc>
          <w:tcPr>
            <w:tcW w:w="743" w:type="dxa"/>
            <w:tcBorders>
              <w:top w:val="nil"/>
              <w:left w:val="nil"/>
              <w:bottom w:val="nil"/>
              <w:right w:val="nil"/>
            </w:tcBorders>
          </w:tcPr>
          <w:p w14:paraId="15B9CF3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0.480</w:t>
            </w:r>
          </w:p>
        </w:tc>
        <w:tc>
          <w:tcPr>
            <w:tcW w:w="850" w:type="dxa"/>
            <w:tcBorders>
              <w:top w:val="nil"/>
              <w:left w:val="nil"/>
              <w:bottom w:val="nil"/>
              <w:right w:val="nil"/>
            </w:tcBorders>
          </w:tcPr>
          <w:p w14:paraId="144E19A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0.147</w:t>
            </w:r>
          </w:p>
        </w:tc>
        <w:tc>
          <w:tcPr>
            <w:tcW w:w="709" w:type="dxa"/>
            <w:tcBorders>
              <w:top w:val="nil"/>
              <w:left w:val="nil"/>
              <w:bottom w:val="nil"/>
              <w:right w:val="nil"/>
            </w:tcBorders>
          </w:tcPr>
          <w:p w14:paraId="133A71B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0.111</w:t>
            </w:r>
          </w:p>
        </w:tc>
        <w:tc>
          <w:tcPr>
            <w:tcW w:w="711" w:type="dxa"/>
            <w:tcBorders>
              <w:top w:val="nil"/>
              <w:left w:val="nil"/>
              <w:bottom w:val="nil"/>
              <w:right w:val="nil"/>
            </w:tcBorders>
          </w:tcPr>
          <w:p w14:paraId="4429116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0.114</w:t>
            </w:r>
          </w:p>
        </w:tc>
        <w:tc>
          <w:tcPr>
            <w:tcW w:w="774" w:type="dxa"/>
            <w:tcBorders>
              <w:top w:val="nil"/>
              <w:left w:val="nil"/>
              <w:bottom w:val="nil"/>
              <w:right w:val="nil"/>
            </w:tcBorders>
          </w:tcPr>
          <w:p w14:paraId="768CB44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-0.007</w:t>
            </w:r>
          </w:p>
        </w:tc>
        <w:tc>
          <w:tcPr>
            <w:tcW w:w="709" w:type="dxa"/>
            <w:tcBorders>
              <w:top w:val="nil"/>
              <w:left w:val="nil"/>
              <w:bottom w:val="nil"/>
              <w:right w:val="nil"/>
            </w:tcBorders>
          </w:tcPr>
          <w:p w14:paraId="0EEC827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0.057</w:t>
            </w:r>
          </w:p>
        </w:tc>
        <w:tc>
          <w:tcPr>
            <w:tcW w:w="709" w:type="dxa"/>
            <w:tcBorders>
              <w:top w:val="nil"/>
              <w:left w:val="nil"/>
              <w:bottom w:val="nil"/>
              <w:right w:val="nil"/>
            </w:tcBorders>
          </w:tcPr>
          <w:p w14:paraId="225639D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0.132</w:t>
            </w:r>
          </w:p>
        </w:tc>
        <w:tc>
          <w:tcPr>
            <w:tcW w:w="709" w:type="dxa"/>
            <w:tcBorders>
              <w:top w:val="nil"/>
              <w:left w:val="nil"/>
              <w:bottom w:val="nil"/>
              <w:right w:val="nil"/>
            </w:tcBorders>
          </w:tcPr>
          <w:p w14:paraId="60F5DDC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0.142</w:t>
            </w:r>
          </w:p>
        </w:tc>
        <w:tc>
          <w:tcPr>
            <w:tcW w:w="708" w:type="dxa"/>
            <w:tcBorders>
              <w:top w:val="nil"/>
              <w:left w:val="nil"/>
              <w:bottom w:val="nil"/>
              <w:right w:val="nil"/>
            </w:tcBorders>
          </w:tcPr>
          <w:p w14:paraId="534ABC2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0.105</w:t>
            </w:r>
          </w:p>
        </w:tc>
        <w:tc>
          <w:tcPr>
            <w:tcW w:w="709" w:type="dxa"/>
            <w:tcBorders>
              <w:top w:val="nil"/>
              <w:left w:val="nil"/>
              <w:bottom w:val="nil"/>
              <w:right w:val="nil"/>
            </w:tcBorders>
          </w:tcPr>
          <w:p w14:paraId="7520938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0.828</w:t>
            </w:r>
          </w:p>
        </w:tc>
        <w:tc>
          <w:tcPr>
            <w:tcW w:w="709" w:type="dxa"/>
            <w:tcBorders>
              <w:top w:val="nil"/>
              <w:left w:val="nil"/>
              <w:bottom w:val="nil"/>
              <w:right w:val="nil"/>
            </w:tcBorders>
          </w:tcPr>
          <w:p w14:paraId="7DC8BC2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0.626</w:t>
            </w:r>
          </w:p>
        </w:tc>
        <w:tc>
          <w:tcPr>
            <w:tcW w:w="709" w:type="dxa"/>
            <w:tcBorders>
              <w:top w:val="nil"/>
              <w:left w:val="nil"/>
              <w:bottom w:val="nil"/>
              <w:right w:val="nil"/>
            </w:tcBorders>
          </w:tcPr>
          <w:p w14:paraId="18E7AFE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-0.053</w:t>
            </w:r>
          </w:p>
        </w:tc>
        <w:tc>
          <w:tcPr>
            <w:tcW w:w="708" w:type="dxa"/>
            <w:tcBorders>
              <w:top w:val="nil"/>
              <w:left w:val="nil"/>
              <w:bottom w:val="nil"/>
              <w:right w:val="nil"/>
            </w:tcBorders>
          </w:tcPr>
          <w:p w14:paraId="0B53717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1C4CCDD2" w14:textId="77777777" w:rsidTr="00501891">
        <w:trPr>
          <w:gridAfter w:val="4"/>
          <w:wAfter w:w="2126" w:type="dxa"/>
        </w:trPr>
        <w:tc>
          <w:tcPr>
            <w:tcW w:w="3402" w:type="dxa"/>
            <w:tcBorders>
              <w:top w:val="nil"/>
              <w:left w:val="nil"/>
              <w:bottom w:val="nil"/>
              <w:right w:val="nil"/>
            </w:tcBorders>
          </w:tcPr>
          <w:p w14:paraId="40BDECE6"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(14) Legal Fees</w:t>
            </w:r>
          </w:p>
        </w:tc>
        <w:tc>
          <w:tcPr>
            <w:tcW w:w="743" w:type="dxa"/>
            <w:tcBorders>
              <w:top w:val="nil"/>
              <w:left w:val="nil"/>
              <w:bottom w:val="nil"/>
              <w:right w:val="nil"/>
            </w:tcBorders>
          </w:tcPr>
          <w:p w14:paraId="5136028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0.662</w:t>
            </w:r>
          </w:p>
        </w:tc>
        <w:tc>
          <w:tcPr>
            <w:tcW w:w="850" w:type="dxa"/>
            <w:tcBorders>
              <w:top w:val="nil"/>
              <w:left w:val="nil"/>
              <w:bottom w:val="nil"/>
              <w:right w:val="nil"/>
            </w:tcBorders>
          </w:tcPr>
          <w:p w14:paraId="200BE01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0.122</w:t>
            </w:r>
          </w:p>
        </w:tc>
        <w:tc>
          <w:tcPr>
            <w:tcW w:w="709" w:type="dxa"/>
            <w:tcBorders>
              <w:top w:val="nil"/>
              <w:left w:val="nil"/>
              <w:bottom w:val="nil"/>
              <w:right w:val="nil"/>
            </w:tcBorders>
          </w:tcPr>
          <w:p w14:paraId="02A1A80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0.107</w:t>
            </w:r>
          </w:p>
        </w:tc>
        <w:tc>
          <w:tcPr>
            <w:tcW w:w="711" w:type="dxa"/>
            <w:tcBorders>
              <w:top w:val="nil"/>
              <w:left w:val="nil"/>
              <w:bottom w:val="nil"/>
              <w:right w:val="nil"/>
            </w:tcBorders>
          </w:tcPr>
          <w:p w14:paraId="0EB7F92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0.134</w:t>
            </w:r>
          </w:p>
        </w:tc>
        <w:tc>
          <w:tcPr>
            <w:tcW w:w="774" w:type="dxa"/>
            <w:tcBorders>
              <w:top w:val="nil"/>
              <w:left w:val="nil"/>
              <w:bottom w:val="nil"/>
              <w:right w:val="nil"/>
            </w:tcBorders>
          </w:tcPr>
          <w:p w14:paraId="42DEE4A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0.025</w:t>
            </w:r>
          </w:p>
        </w:tc>
        <w:tc>
          <w:tcPr>
            <w:tcW w:w="709" w:type="dxa"/>
            <w:tcBorders>
              <w:top w:val="nil"/>
              <w:left w:val="nil"/>
              <w:bottom w:val="nil"/>
              <w:right w:val="nil"/>
            </w:tcBorders>
          </w:tcPr>
          <w:p w14:paraId="7BF6B91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0.058</w:t>
            </w:r>
          </w:p>
        </w:tc>
        <w:tc>
          <w:tcPr>
            <w:tcW w:w="709" w:type="dxa"/>
            <w:tcBorders>
              <w:top w:val="nil"/>
              <w:left w:val="nil"/>
              <w:bottom w:val="nil"/>
              <w:right w:val="nil"/>
            </w:tcBorders>
          </w:tcPr>
          <w:p w14:paraId="4327090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0.119</w:t>
            </w:r>
          </w:p>
        </w:tc>
        <w:tc>
          <w:tcPr>
            <w:tcW w:w="709" w:type="dxa"/>
            <w:tcBorders>
              <w:top w:val="nil"/>
              <w:left w:val="nil"/>
              <w:bottom w:val="nil"/>
              <w:right w:val="nil"/>
            </w:tcBorders>
          </w:tcPr>
          <w:p w14:paraId="4B917C5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0.108</w:t>
            </w:r>
          </w:p>
        </w:tc>
        <w:tc>
          <w:tcPr>
            <w:tcW w:w="708" w:type="dxa"/>
            <w:tcBorders>
              <w:top w:val="nil"/>
              <w:left w:val="nil"/>
              <w:bottom w:val="nil"/>
              <w:right w:val="nil"/>
            </w:tcBorders>
          </w:tcPr>
          <w:p w14:paraId="275C4E6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0.091</w:t>
            </w:r>
          </w:p>
        </w:tc>
        <w:tc>
          <w:tcPr>
            <w:tcW w:w="709" w:type="dxa"/>
            <w:tcBorders>
              <w:top w:val="nil"/>
              <w:left w:val="nil"/>
              <w:bottom w:val="nil"/>
              <w:right w:val="nil"/>
            </w:tcBorders>
          </w:tcPr>
          <w:p w14:paraId="1B37B63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0.623</w:t>
            </w:r>
          </w:p>
        </w:tc>
        <w:tc>
          <w:tcPr>
            <w:tcW w:w="709" w:type="dxa"/>
            <w:tcBorders>
              <w:top w:val="nil"/>
              <w:left w:val="nil"/>
              <w:bottom w:val="nil"/>
              <w:right w:val="nil"/>
            </w:tcBorders>
          </w:tcPr>
          <w:p w14:paraId="4356CAD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0.747</w:t>
            </w:r>
          </w:p>
        </w:tc>
        <w:tc>
          <w:tcPr>
            <w:tcW w:w="709" w:type="dxa"/>
            <w:tcBorders>
              <w:top w:val="nil"/>
              <w:left w:val="nil"/>
              <w:bottom w:val="nil"/>
              <w:right w:val="nil"/>
            </w:tcBorders>
          </w:tcPr>
          <w:p w14:paraId="73B0E9B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-0.116</w:t>
            </w:r>
          </w:p>
        </w:tc>
        <w:tc>
          <w:tcPr>
            <w:tcW w:w="708" w:type="dxa"/>
            <w:tcBorders>
              <w:top w:val="nil"/>
              <w:left w:val="nil"/>
              <w:bottom w:val="nil"/>
              <w:right w:val="nil"/>
            </w:tcBorders>
          </w:tcPr>
          <w:p w14:paraId="6503914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0.587</w:t>
            </w:r>
          </w:p>
        </w:tc>
        <w:tc>
          <w:tcPr>
            <w:tcW w:w="709" w:type="dxa"/>
            <w:tcBorders>
              <w:top w:val="nil"/>
              <w:left w:val="nil"/>
              <w:bottom w:val="nil"/>
              <w:right w:val="nil"/>
            </w:tcBorders>
          </w:tcPr>
          <w:p w14:paraId="54E97C2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331BCA23" w14:textId="77777777" w:rsidTr="00501891">
        <w:trPr>
          <w:gridAfter w:val="3"/>
          <w:wAfter w:w="1417" w:type="dxa"/>
        </w:trPr>
        <w:tc>
          <w:tcPr>
            <w:tcW w:w="3402" w:type="dxa"/>
            <w:tcBorders>
              <w:top w:val="nil"/>
              <w:left w:val="nil"/>
              <w:bottom w:val="nil"/>
              <w:right w:val="nil"/>
            </w:tcBorders>
          </w:tcPr>
          <w:p w14:paraId="4980A91C"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(15) Applied Research</w:t>
            </w:r>
          </w:p>
        </w:tc>
        <w:tc>
          <w:tcPr>
            <w:tcW w:w="743" w:type="dxa"/>
            <w:tcBorders>
              <w:top w:val="nil"/>
              <w:left w:val="nil"/>
              <w:bottom w:val="nil"/>
              <w:right w:val="nil"/>
            </w:tcBorders>
          </w:tcPr>
          <w:p w14:paraId="67E47D5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-0.006</w:t>
            </w:r>
          </w:p>
        </w:tc>
        <w:tc>
          <w:tcPr>
            <w:tcW w:w="850" w:type="dxa"/>
            <w:tcBorders>
              <w:top w:val="nil"/>
              <w:left w:val="nil"/>
              <w:bottom w:val="nil"/>
              <w:right w:val="nil"/>
            </w:tcBorders>
          </w:tcPr>
          <w:p w14:paraId="43AA9C6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0.019</w:t>
            </w:r>
          </w:p>
        </w:tc>
        <w:tc>
          <w:tcPr>
            <w:tcW w:w="709" w:type="dxa"/>
            <w:tcBorders>
              <w:top w:val="nil"/>
              <w:left w:val="nil"/>
              <w:bottom w:val="nil"/>
              <w:right w:val="nil"/>
            </w:tcBorders>
          </w:tcPr>
          <w:p w14:paraId="033FBF3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-0.005</w:t>
            </w:r>
          </w:p>
        </w:tc>
        <w:tc>
          <w:tcPr>
            <w:tcW w:w="711" w:type="dxa"/>
            <w:tcBorders>
              <w:top w:val="nil"/>
              <w:left w:val="nil"/>
              <w:bottom w:val="nil"/>
              <w:right w:val="nil"/>
            </w:tcBorders>
          </w:tcPr>
          <w:p w14:paraId="3F967A1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-0.005</w:t>
            </w:r>
          </w:p>
        </w:tc>
        <w:tc>
          <w:tcPr>
            <w:tcW w:w="774" w:type="dxa"/>
            <w:tcBorders>
              <w:top w:val="nil"/>
              <w:left w:val="nil"/>
              <w:bottom w:val="nil"/>
              <w:right w:val="nil"/>
            </w:tcBorders>
          </w:tcPr>
          <w:p w14:paraId="0AD7970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0.054</w:t>
            </w:r>
          </w:p>
        </w:tc>
        <w:tc>
          <w:tcPr>
            <w:tcW w:w="709" w:type="dxa"/>
            <w:tcBorders>
              <w:top w:val="nil"/>
              <w:left w:val="nil"/>
              <w:bottom w:val="nil"/>
              <w:right w:val="nil"/>
            </w:tcBorders>
          </w:tcPr>
          <w:p w14:paraId="0BC9FF5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-0.024</w:t>
            </w:r>
          </w:p>
        </w:tc>
        <w:tc>
          <w:tcPr>
            <w:tcW w:w="709" w:type="dxa"/>
            <w:tcBorders>
              <w:top w:val="nil"/>
              <w:left w:val="nil"/>
              <w:bottom w:val="nil"/>
              <w:right w:val="nil"/>
            </w:tcBorders>
          </w:tcPr>
          <w:p w14:paraId="5F55D35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0.032</w:t>
            </w:r>
          </w:p>
        </w:tc>
        <w:tc>
          <w:tcPr>
            <w:tcW w:w="709" w:type="dxa"/>
            <w:tcBorders>
              <w:top w:val="nil"/>
              <w:left w:val="nil"/>
              <w:bottom w:val="nil"/>
              <w:right w:val="nil"/>
            </w:tcBorders>
          </w:tcPr>
          <w:p w14:paraId="7A98D06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0.013</w:t>
            </w:r>
          </w:p>
        </w:tc>
        <w:tc>
          <w:tcPr>
            <w:tcW w:w="708" w:type="dxa"/>
            <w:tcBorders>
              <w:top w:val="nil"/>
              <w:left w:val="nil"/>
              <w:bottom w:val="nil"/>
              <w:right w:val="nil"/>
            </w:tcBorders>
          </w:tcPr>
          <w:p w14:paraId="537FAA3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0.016</w:t>
            </w:r>
          </w:p>
        </w:tc>
        <w:tc>
          <w:tcPr>
            <w:tcW w:w="709" w:type="dxa"/>
            <w:tcBorders>
              <w:top w:val="nil"/>
              <w:left w:val="nil"/>
              <w:bottom w:val="nil"/>
              <w:right w:val="nil"/>
            </w:tcBorders>
          </w:tcPr>
          <w:p w14:paraId="63B15BF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0.023</w:t>
            </w:r>
          </w:p>
        </w:tc>
        <w:tc>
          <w:tcPr>
            <w:tcW w:w="709" w:type="dxa"/>
            <w:tcBorders>
              <w:top w:val="nil"/>
              <w:left w:val="nil"/>
              <w:bottom w:val="nil"/>
              <w:right w:val="nil"/>
            </w:tcBorders>
          </w:tcPr>
          <w:p w14:paraId="2620F83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-0.061</w:t>
            </w:r>
          </w:p>
        </w:tc>
        <w:tc>
          <w:tcPr>
            <w:tcW w:w="709" w:type="dxa"/>
            <w:tcBorders>
              <w:top w:val="nil"/>
              <w:left w:val="nil"/>
              <w:bottom w:val="nil"/>
              <w:right w:val="nil"/>
            </w:tcBorders>
          </w:tcPr>
          <w:p w14:paraId="59DFB47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-0.046</w:t>
            </w:r>
          </w:p>
        </w:tc>
        <w:tc>
          <w:tcPr>
            <w:tcW w:w="708" w:type="dxa"/>
            <w:tcBorders>
              <w:top w:val="nil"/>
              <w:left w:val="nil"/>
              <w:bottom w:val="nil"/>
              <w:right w:val="nil"/>
            </w:tcBorders>
          </w:tcPr>
          <w:p w14:paraId="761A380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-0.059</w:t>
            </w:r>
          </w:p>
        </w:tc>
        <w:tc>
          <w:tcPr>
            <w:tcW w:w="709" w:type="dxa"/>
            <w:tcBorders>
              <w:top w:val="nil"/>
              <w:left w:val="nil"/>
              <w:bottom w:val="nil"/>
              <w:right w:val="nil"/>
            </w:tcBorders>
          </w:tcPr>
          <w:p w14:paraId="66E5453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0.009</w:t>
            </w:r>
          </w:p>
        </w:tc>
        <w:tc>
          <w:tcPr>
            <w:tcW w:w="709" w:type="dxa"/>
            <w:tcBorders>
              <w:top w:val="nil"/>
              <w:left w:val="nil"/>
              <w:bottom w:val="nil"/>
              <w:right w:val="nil"/>
            </w:tcBorders>
          </w:tcPr>
          <w:p w14:paraId="049DC1A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9714C5" w14:paraId="043AF592" w14:textId="77777777" w:rsidTr="00501891">
        <w:trPr>
          <w:gridAfter w:val="2"/>
          <w:wAfter w:w="708" w:type="dxa"/>
        </w:trPr>
        <w:tc>
          <w:tcPr>
            <w:tcW w:w="3402" w:type="dxa"/>
            <w:tcBorders>
              <w:top w:val="nil"/>
              <w:left w:val="nil"/>
              <w:bottom w:val="nil"/>
              <w:right w:val="nil"/>
            </w:tcBorders>
          </w:tcPr>
          <w:p w14:paraId="4C2674B6"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(16) TTO Age</w:t>
            </w:r>
          </w:p>
        </w:tc>
        <w:tc>
          <w:tcPr>
            <w:tcW w:w="743" w:type="dxa"/>
            <w:tcBorders>
              <w:top w:val="nil"/>
              <w:left w:val="nil"/>
              <w:bottom w:val="nil"/>
              <w:right w:val="nil"/>
            </w:tcBorders>
          </w:tcPr>
          <w:p w14:paraId="7A58355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0.398</w:t>
            </w:r>
          </w:p>
        </w:tc>
        <w:tc>
          <w:tcPr>
            <w:tcW w:w="850" w:type="dxa"/>
            <w:tcBorders>
              <w:top w:val="nil"/>
              <w:left w:val="nil"/>
              <w:bottom w:val="nil"/>
              <w:right w:val="nil"/>
            </w:tcBorders>
          </w:tcPr>
          <w:p w14:paraId="250358E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0.077</w:t>
            </w:r>
          </w:p>
        </w:tc>
        <w:tc>
          <w:tcPr>
            <w:tcW w:w="709" w:type="dxa"/>
            <w:tcBorders>
              <w:top w:val="nil"/>
              <w:left w:val="nil"/>
              <w:bottom w:val="nil"/>
              <w:right w:val="nil"/>
            </w:tcBorders>
          </w:tcPr>
          <w:p w14:paraId="0C7620A3"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0.094</w:t>
            </w:r>
          </w:p>
        </w:tc>
        <w:tc>
          <w:tcPr>
            <w:tcW w:w="711" w:type="dxa"/>
            <w:tcBorders>
              <w:top w:val="nil"/>
              <w:left w:val="nil"/>
              <w:bottom w:val="nil"/>
              <w:right w:val="nil"/>
            </w:tcBorders>
          </w:tcPr>
          <w:p w14:paraId="2ACEBFB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0.115</w:t>
            </w:r>
          </w:p>
        </w:tc>
        <w:tc>
          <w:tcPr>
            <w:tcW w:w="774" w:type="dxa"/>
            <w:tcBorders>
              <w:top w:val="nil"/>
              <w:left w:val="nil"/>
              <w:bottom w:val="nil"/>
              <w:right w:val="nil"/>
            </w:tcBorders>
          </w:tcPr>
          <w:p w14:paraId="589DB9A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0.005</w:t>
            </w:r>
          </w:p>
        </w:tc>
        <w:tc>
          <w:tcPr>
            <w:tcW w:w="709" w:type="dxa"/>
            <w:tcBorders>
              <w:top w:val="nil"/>
              <w:left w:val="nil"/>
              <w:bottom w:val="nil"/>
              <w:right w:val="nil"/>
            </w:tcBorders>
          </w:tcPr>
          <w:p w14:paraId="35E82445"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0.078</w:t>
            </w:r>
          </w:p>
        </w:tc>
        <w:tc>
          <w:tcPr>
            <w:tcW w:w="709" w:type="dxa"/>
            <w:tcBorders>
              <w:top w:val="nil"/>
              <w:left w:val="nil"/>
              <w:bottom w:val="nil"/>
              <w:right w:val="nil"/>
            </w:tcBorders>
          </w:tcPr>
          <w:p w14:paraId="25C4346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0.057</w:t>
            </w:r>
          </w:p>
        </w:tc>
        <w:tc>
          <w:tcPr>
            <w:tcW w:w="709" w:type="dxa"/>
            <w:tcBorders>
              <w:top w:val="nil"/>
              <w:left w:val="nil"/>
              <w:bottom w:val="nil"/>
              <w:right w:val="nil"/>
            </w:tcBorders>
          </w:tcPr>
          <w:p w14:paraId="731BE66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0.064</w:t>
            </w:r>
          </w:p>
        </w:tc>
        <w:tc>
          <w:tcPr>
            <w:tcW w:w="708" w:type="dxa"/>
            <w:tcBorders>
              <w:top w:val="nil"/>
              <w:left w:val="nil"/>
              <w:bottom w:val="nil"/>
              <w:right w:val="nil"/>
            </w:tcBorders>
          </w:tcPr>
          <w:p w14:paraId="1062EF1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0.059</w:t>
            </w:r>
          </w:p>
        </w:tc>
        <w:tc>
          <w:tcPr>
            <w:tcW w:w="709" w:type="dxa"/>
            <w:tcBorders>
              <w:top w:val="nil"/>
              <w:left w:val="nil"/>
              <w:bottom w:val="nil"/>
              <w:right w:val="nil"/>
            </w:tcBorders>
          </w:tcPr>
          <w:p w14:paraId="3E7AE79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0.380</w:t>
            </w:r>
          </w:p>
        </w:tc>
        <w:tc>
          <w:tcPr>
            <w:tcW w:w="709" w:type="dxa"/>
            <w:tcBorders>
              <w:top w:val="nil"/>
              <w:left w:val="nil"/>
              <w:bottom w:val="nil"/>
              <w:right w:val="nil"/>
            </w:tcBorders>
          </w:tcPr>
          <w:p w14:paraId="0C13B2C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0.424</w:t>
            </w:r>
          </w:p>
        </w:tc>
        <w:tc>
          <w:tcPr>
            <w:tcW w:w="709" w:type="dxa"/>
            <w:tcBorders>
              <w:top w:val="nil"/>
              <w:left w:val="nil"/>
              <w:bottom w:val="nil"/>
              <w:right w:val="nil"/>
            </w:tcBorders>
          </w:tcPr>
          <w:p w14:paraId="6ABF0A4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-0.000</w:t>
            </w:r>
          </w:p>
        </w:tc>
        <w:tc>
          <w:tcPr>
            <w:tcW w:w="708" w:type="dxa"/>
            <w:tcBorders>
              <w:top w:val="nil"/>
              <w:left w:val="nil"/>
              <w:bottom w:val="nil"/>
              <w:right w:val="nil"/>
            </w:tcBorders>
          </w:tcPr>
          <w:p w14:paraId="3DF9712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0.300</w:t>
            </w:r>
          </w:p>
        </w:tc>
        <w:tc>
          <w:tcPr>
            <w:tcW w:w="709" w:type="dxa"/>
            <w:tcBorders>
              <w:top w:val="nil"/>
              <w:left w:val="nil"/>
              <w:bottom w:val="nil"/>
              <w:right w:val="nil"/>
            </w:tcBorders>
          </w:tcPr>
          <w:p w14:paraId="2575A8B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0.392</w:t>
            </w:r>
          </w:p>
        </w:tc>
        <w:tc>
          <w:tcPr>
            <w:tcW w:w="709" w:type="dxa"/>
            <w:tcBorders>
              <w:top w:val="nil"/>
              <w:left w:val="nil"/>
              <w:bottom w:val="nil"/>
              <w:right w:val="nil"/>
            </w:tcBorders>
          </w:tcPr>
          <w:p w14:paraId="2DD6A1B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0.039</w:t>
            </w:r>
          </w:p>
        </w:tc>
        <w:tc>
          <w:tcPr>
            <w:tcW w:w="709" w:type="dxa"/>
            <w:tcBorders>
              <w:top w:val="nil"/>
              <w:left w:val="nil"/>
              <w:bottom w:val="nil"/>
              <w:right w:val="nil"/>
            </w:tcBorders>
          </w:tcPr>
          <w:p w14:paraId="1E06C18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376D7D" w14:paraId="4AF88A70" w14:textId="77777777" w:rsidTr="00501891">
        <w:tc>
          <w:tcPr>
            <w:tcW w:w="3402" w:type="dxa"/>
            <w:tcBorders>
              <w:top w:val="nil"/>
              <w:left w:val="nil"/>
              <w:bottom w:val="nil"/>
              <w:right w:val="nil"/>
            </w:tcBorders>
          </w:tcPr>
          <w:p w14:paraId="64EB84E1"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(17) Medical School</w:t>
            </w:r>
          </w:p>
        </w:tc>
        <w:tc>
          <w:tcPr>
            <w:tcW w:w="743" w:type="dxa"/>
            <w:tcBorders>
              <w:top w:val="nil"/>
              <w:left w:val="nil"/>
              <w:bottom w:val="nil"/>
              <w:right w:val="nil"/>
            </w:tcBorders>
          </w:tcPr>
          <w:p w14:paraId="3A55975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0.345</w:t>
            </w:r>
          </w:p>
        </w:tc>
        <w:tc>
          <w:tcPr>
            <w:tcW w:w="850" w:type="dxa"/>
            <w:tcBorders>
              <w:top w:val="nil"/>
              <w:left w:val="nil"/>
              <w:bottom w:val="nil"/>
              <w:right w:val="nil"/>
            </w:tcBorders>
          </w:tcPr>
          <w:p w14:paraId="009B91C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0.077</w:t>
            </w:r>
          </w:p>
        </w:tc>
        <w:tc>
          <w:tcPr>
            <w:tcW w:w="709" w:type="dxa"/>
            <w:tcBorders>
              <w:top w:val="nil"/>
              <w:left w:val="nil"/>
              <w:bottom w:val="nil"/>
              <w:right w:val="nil"/>
            </w:tcBorders>
          </w:tcPr>
          <w:p w14:paraId="6B34BA29"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0.067</w:t>
            </w:r>
          </w:p>
        </w:tc>
        <w:tc>
          <w:tcPr>
            <w:tcW w:w="711" w:type="dxa"/>
            <w:tcBorders>
              <w:top w:val="nil"/>
              <w:left w:val="nil"/>
              <w:bottom w:val="nil"/>
              <w:right w:val="nil"/>
            </w:tcBorders>
          </w:tcPr>
          <w:p w14:paraId="60D6B78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0.072</w:t>
            </w:r>
          </w:p>
        </w:tc>
        <w:tc>
          <w:tcPr>
            <w:tcW w:w="774" w:type="dxa"/>
            <w:tcBorders>
              <w:top w:val="nil"/>
              <w:left w:val="nil"/>
              <w:bottom w:val="nil"/>
              <w:right w:val="nil"/>
            </w:tcBorders>
          </w:tcPr>
          <w:p w14:paraId="284C569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0.021</w:t>
            </w:r>
          </w:p>
        </w:tc>
        <w:tc>
          <w:tcPr>
            <w:tcW w:w="709" w:type="dxa"/>
            <w:tcBorders>
              <w:top w:val="nil"/>
              <w:left w:val="nil"/>
              <w:bottom w:val="nil"/>
              <w:right w:val="nil"/>
            </w:tcBorders>
          </w:tcPr>
          <w:p w14:paraId="13A2CBCE"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0.031</w:t>
            </w:r>
          </w:p>
        </w:tc>
        <w:tc>
          <w:tcPr>
            <w:tcW w:w="709" w:type="dxa"/>
            <w:tcBorders>
              <w:top w:val="nil"/>
              <w:left w:val="nil"/>
              <w:bottom w:val="nil"/>
              <w:right w:val="nil"/>
            </w:tcBorders>
          </w:tcPr>
          <w:p w14:paraId="6771555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0.085</w:t>
            </w:r>
          </w:p>
        </w:tc>
        <w:tc>
          <w:tcPr>
            <w:tcW w:w="709" w:type="dxa"/>
            <w:tcBorders>
              <w:top w:val="nil"/>
              <w:left w:val="nil"/>
              <w:bottom w:val="nil"/>
              <w:right w:val="nil"/>
            </w:tcBorders>
          </w:tcPr>
          <w:p w14:paraId="01E474C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0.037</w:t>
            </w:r>
          </w:p>
        </w:tc>
        <w:tc>
          <w:tcPr>
            <w:tcW w:w="708" w:type="dxa"/>
            <w:tcBorders>
              <w:top w:val="nil"/>
              <w:left w:val="nil"/>
              <w:bottom w:val="nil"/>
              <w:right w:val="nil"/>
            </w:tcBorders>
          </w:tcPr>
          <w:p w14:paraId="345FCAC8"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0.069</w:t>
            </w:r>
          </w:p>
        </w:tc>
        <w:tc>
          <w:tcPr>
            <w:tcW w:w="709" w:type="dxa"/>
            <w:tcBorders>
              <w:top w:val="nil"/>
              <w:left w:val="nil"/>
              <w:bottom w:val="nil"/>
              <w:right w:val="nil"/>
            </w:tcBorders>
          </w:tcPr>
          <w:p w14:paraId="59F33D1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0.161</w:t>
            </w:r>
          </w:p>
        </w:tc>
        <w:tc>
          <w:tcPr>
            <w:tcW w:w="709" w:type="dxa"/>
            <w:tcBorders>
              <w:top w:val="nil"/>
              <w:left w:val="nil"/>
              <w:bottom w:val="nil"/>
              <w:right w:val="nil"/>
            </w:tcBorders>
          </w:tcPr>
          <w:p w14:paraId="637C65F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0.428</w:t>
            </w:r>
          </w:p>
        </w:tc>
        <w:tc>
          <w:tcPr>
            <w:tcW w:w="709" w:type="dxa"/>
            <w:tcBorders>
              <w:top w:val="nil"/>
              <w:left w:val="nil"/>
              <w:bottom w:val="nil"/>
              <w:right w:val="nil"/>
            </w:tcBorders>
          </w:tcPr>
          <w:p w14:paraId="365F9150"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-0.150</w:t>
            </w:r>
          </w:p>
        </w:tc>
        <w:tc>
          <w:tcPr>
            <w:tcW w:w="708" w:type="dxa"/>
            <w:tcBorders>
              <w:top w:val="nil"/>
              <w:left w:val="nil"/>
              <w:bottom w:val="nil"/>
              <w:right w:val="nil"/>
            </w:tcBorders>
          </w:tcPr>
          <w:p w14:paraId="0B567DD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0.272</w:t>
            </w:r>
          </w:p>
        </w:tc>
        <w:tc>
          <w:tcPr>
            <w:tcW w:w="709" w:type="dxa"/>
            <w:tcBorders>
              <w:top w:val="nil"/>
              <w:left w:val="nil"/>
              <w:bottom w:val="nil"/>
              <w:right w:val="nil"/>
            </w:tcBorders>
          </w:tcPr>
          <w:p w14:paraId="1026311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0.372</w:t>
            </w:r>
          </w:p>
        </w:tc>
        <w:tc>
          <w:tcPr>
            <w:tcW w:w="709" w:type="dxa"/>
            <w:tcBorders>
              <w:top w:val="nil"/>
              <w:left w:val="nil"/>
              <w:bottom w:val="nil"/>
              <w:right w:val="nil"/>
            </w:tcBorders>
          </w:tcPr>
          <w:p w14:paraId="2435271A"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-0.035</w:t>
            </w:r>
          </w:p>
        </w:tc>
        <w:tc>
          <w:tcPr>
            <w:tcW w:w="709" w:type="dxa"/>
            <w:tcBorders>
              <w:top w:val="nil"/>
              <w:left w:val="nil"/>
              <w:bottom w:val="nil"/>
              <w:right w:val="nil"/>
            </w:tcBorders>
          </w:tcPr>
          <w:p w14:paraId="2629E6B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-0.002</w:t>
            </w:r>
          </w:p>
        </w:tc>
        <w:tc>
          <w:tcPr>
            <w:tcW w:w="708" w:type="dxa"/>
            <w:gridSpan w:val="2"/>
            <w:tcBorders>
              <w:top w:val="nil"/>
              <w:left w:val="nil"/>
              <w:bottom w:val="nil"/>
              <w:right w:val="nil"/>
            </w:tcBorders>
          </w:tcPr>
          <w:p w14:paraId="3083CA6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p>
        </w:tc>
      </w:tr>
      <w:tr w:rsidR="00043492" w:rsidRPr="00376D7D" w14:paraId="39807DCA" w14:textId="77777777" w:rsidTr="00501891">
        <w:tc>
          <w:tcPr>
            <w:tcW w:w="3402" w:type="dxa"/>
            <w:tcBorders>
              <w:top w:val="nil"/>
              <w:left w:val="nil"/>
              <w:bottom w:val="nil"/>
              <w:right w:val="nil"/>
            </w:tcBorders>
          </w:tcPr>
          <w:p w14:paraId="3BE3CD4B"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4D3EDC">
              <w:rPr>
                <w:rFonts w:cs="Times New Roman"/>
                <w:sz w:val="20"/>
                <w:szCs w:val="20"/>
                <w:lang w:val="en-US" w:eastAsia="en-GB"/>
              </w:rPr>
              <w:t xml:space="preserve"> (18) Private</w:t>
            </w:r>
          </w:p>
        </w:tc>
        <w:tc>
          <w:tcPr>
            <w:tcW w:w="743" w:type="dxa"/>
            <w:tcBorders>
              <w:top w:val="nil"/>
              <w:left w:val="nil"/>
              <w:bottom w:val="nil"/>
              <w:right w:val="nil"/>
            </w:tcBorders>
          </w:tcPr>
          <w:p w14:paraId="2D47919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0.289</w:t>
            </w:r>
          </w:p>
        </w:tc>
        <w:tc>
          <w:tcPr>
            <w:tcW w:w="850" w:type="dxa"/>
            <w:tcBorders>
              <w:top w:val="nil"/>
              <w:left w:val="nil"/>
              <w:bottom w:val="nil"/>
              <w:right w:val="nil"/>
            </w:tcBorders>
          </w:tcPr>
          <w:p w14:paraId="2DA8EB1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0.100</w:t>
            </w:r>
          </w:p>
        </w:tc>
        <w:tc>
          <w:tcPr>
            <w:tcW w:w="709" w:type="dxa"/>
            <w:tcBorders>
              <w:top w:val="nil"/>
              <w:left w:val="nil"/>
              <w:bottom w:val="nil"/>
              <w:right w:val="nil"/>
            </w:tcBorders>
          </w:tcPr>
          <w:p w14:paraId="444F31F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0.057</w:t>
            </w:r>
          </w:p>
        </w:tc>
        <w:tc>
          <w:tcPr>
            <w:tcW w:w="711" w:type="dxa"/>
            <w:tcBorders>
              <w:top w:val="nil"/>
              <w:left w:val="nil"/>
              <w:bottom w:val="nil"/>
              <w:right w:val="nil"/>
            </w:tcBorders>
          </w:tcPr>
          <w:p w14:paraId="2D3C801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0.065</w:t>
            </w:r>
          </w:p>
        </w:tc>
        <w:tc>
          <w:tcPr>
            <w:tcW w:w="774" w:type="dxa"/>
            <w:tcBorders>
              <w:top w:val="nil"/>
              <w:left w:val="nil"/>
              <w:bottom w:val="nil"/>
              <w:right w:val="nil"/>
            </w:tcBorders>
          </w:tcPr>
          <w:p w14:paraId="050A9E0B"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0.041</w:t>
            </w:r>
          </w:p>
        </w:tc>
        <w:tc>
          <w:tcPr>
            <w:tcW w:w="709" w:type="dxa"/>
            <w:tcBorders>
              <w:top w:val="nil"/>
              <w:left w:val="nil"/>
              <w:bottom w:val="nil"/>
              <w:right w:val="nil"/>
            </w:tcBorders>
          </w:tcPr>
          <w:p w14:paraId="035DBB81"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0.058</w:t>
            </w:r>
          </w:p>
        </w:tc>
        <w:tc>
          <w:tcPr>
            <w:tcW w:w="709" w:type="dxa"/>
            <w:tcBorders>
              <w:top w:val="nil"/>
              <w:left w:val="nil"/>
              <w:bottom w:val="nil"/>
              <w:right w:val="nil"/>
            </w:tcBorders>
          </w:tcPr>
          <w:p w14:paraId="3DEEFD7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0.015</w:t>
            </w:r>
          </w:p>
        </w:tc>
        <w:tc>
          <w:tcPr>
            <w:tcW w:w="709" w:type="dxa"/>
            <w:tcBorders>
              <w:top w:val="nil"/>
              <w:left w:val="nil"/>
              <w:bottom w:val="nil"/>
              <w:right w:val="nil"/>
            </w:tcBorders>
          </w:tcPr>
          <w:p w14:paraId="147F4BA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0.085</w:t>
            </w:r>
          </w:p>
        </w:tc>
        <w:tc>
          <w:tcPr>
            <w:tcW w:w="708" w:type="dxa"/>
            <w:tcBorders>
              <w:top w:val="nil"/>
              <w:left w:val="nil"/>
              <w:bottom w:val="nil"/>
              <w:right w:val="nil"/>
            </w:tcBorders>
          </w:tcPr>
          <w:p w14:paraId="7286E637"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0.075</w:t>
            </w:r>
          </w:p>
        </w:tc>
        <w:tc>
          <w:tcPr>
            <w:tcW w:w="709" w:type="dxa"/>
            <w:tcBorders>
              <w:top w:val="nil"/>
              <w:left w:val="nil"/>
              <w:bottom w:val="nil"/>
              <w:right w:val="nil"/>
            </w:tcBorders>
          </w:tcPr>
          <w:p w14:paraId="3C3AB8ED"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0.258</w:t>
            </w:r>
          </w:p>
        </w:tc>
        <w:tc>
          <w:tcPr>
            <w:tcW w:w="709" w:type="dxa"/>
            <w:tcBorders>
              <w:top w:val="nil"/>
              <w:left w:val="nil"/>
              <w:bottom w:val="nil"/>
              <w:right w:val="nil"/>
            </w:tcBorders>
          </w:tcPr>
          <w:p w14:paraId="33D53A22"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0.181</w:t>
            </w:r>
          </w:p>
        </w:tc>
        <w:tc>
          <w:tcPr>
            <w:tcW w:w="709" w:type="dxa"/>
            <w:tcBorders>
              <w:top w:val="nil"/>
              <w:left w:val="nil"/>
              <w:bottom w:val="nil"/>
              <w:right w:val="nil"/>
            </w:tcBorders>
          </w:tcPr>
          <w:p w14:paraId="1624029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-0.099</w:t>
            </w:r>
          </w:p>
        </w:tc>
        <w:tc>
          <w:tcPr>
            <w:tcW w:w="708" w:type="dxa"/>
            <w:tcBorders>
              <w:top w:val="nil"/>
              <w:left w:val="nil"/>
              <w:bottom w:val="nil"/>
              <w:right w:val="nil"/>
            </w:tcBorders>
          </w:tcPr>
          <w:p w14:paraId="7E85402F"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0.222</w:t>
            </w:r>
          </w:p>
        </w:tc>
        <w:tc>
          <w:tcPr>
            <w:tcW w:w="709" w:type="dxa"/>
            <w:tcBorders>
              <w:top w:val="nil"/>
              <w:left w:val="nil"/>
              <w:bottom w:val="nil"/>
              <w:right w:val="nil"/>
            </w:tcBorders>
          </w:tcPr>
          <w:p w14:paraId="58FC54A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0.317</w:t>
            </w:r>
          </w:p>
        </w:tc>
        <w:tc>
          <w:tcPr>
            <w:tcW w:w="709" w:type="dxa"/>
            <w:tcBorders>
              <w:top w:val="nil"/>
              <w:left w:val="nil"/>
              <w:bottom w:val="nil"/>
              <w:right w:val="nil"/>
            </w:tcBorders>
          </w:tcPr>
          <w:p w14:paraId="6348044C"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0.025</w:t>
            </w:r>
          </w:p>
        </w:tc>
        <w:tc>
          <w:tcPr>
            <w:tcW w:w="709" w:type="dxa"/>
            <w:tcBorders>
              <w:top w:val="nil"/>
              <w:left w:val="nil"/>
              <w:bottom w:val="nil"/>
              <w:right w:val="nil"/>
            </w:tcBorders>
          </w:tcPr>
          <w:p w14:paraId="5CD9C6F4"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0.130</w:t>
            </w:r>
          </w:p>
        </w:tc>
        <w:tc>
          <w:tcPr>
            <w:tcW w:w="708" w:type="dxa"/>
            <w:gridSpan w:val="2"/>
            <w:tcBorders>
              <w:top w:val="nil"/>
              <w:left w:val="nil"/>
              <w:bottom w:val="nil"/>
              <w:right w:val="nil"/>
            </w:tcBorders>
          </w:tcPr>
          <w:p w14:paraId="29B25556" w14:textId="77777777" w:rsidR="00043492" w:rsidRPr="004D3EDC" w:rsidRDefault="00043492" w:rsidP="00501891">
            <w:pPr>
              <w:widowControl w:val="0"/>
              <w:autoSpaceDE w:val="0"/>
              <w:autoSpaceDN w:val="0"/>
              <w:adjustRightInd w:val="0"/>
              <w:spacing w:line="240" w:lineRule="auto"/>
              <w:ind w:firstLine="0"/>
              <w:jc w:val="right"/>
              <w:rPr>
                <w:rFonts w:cs="Times New Roman"/>
                <w:sz w:val="18"/>
                <w:szCs w:val="20"/>
                <w:lang w:val="en-US" w:eastAsia="en-GB"/>
              </w:rPr>
            </w:pPr>
            <w:r w:rsidRPr="004D3EDC">
              <w:rPr>
                <w:rFonts w:cs="Times New Roman"/>
                <w:sz w:val="18"/>
                <w:szCs w:val="20"/>
                <w:lang w:val="en-US" w:eastAsia="en-GB"/>
              </w:rPr>
              <w:t>0.141</w:t>
            </w:r>
          </w:p>
        </w:tc>
      </w:tr>
      <w:tr w:rsidR="00043492" w:rsidRPr="00376D7D" w14:paraId="22A4E57D" w14:textId="77777777" w:rsidTr="00501891">
        <w:trPr>
          <w:gridAfter w:val="1"/>
          <w:wAfter w:w="141" w:type="dxa"/>
        </w:trPr>
        <w:tc>
          <w:tcPr>
            <w:tcW w:w="15553" w:type="dxa"/>
            <w:gridSpan w:val="18"/>
            <w:tcBorders>
              <w:top w:val="nil"/>
              <w:left w:val="nil"/>
              <w:bottom w:val="single" w:sz="6" w:space="0" w:color="auto"/>
              <w:right w:val="nil"/>
            </w:tcBorders>
          </w:tcPr>
          <w:p w14:paraId="1166750B" w14:textId="77777777" w:rsidR="00043492" w:rsidRPr="004D3EDC" w:rsidRDefault="00043492" w:rsidP="00501891">
            <w:pPr>
              <w:widowControl w:val="0"/>
              <w:autoSpaceDE w:val="0"/>
              <w:autoSpaceDN w:val="0"/>
              <w:adjustRightInd w:val="0"/>
              <w:spacing w:line="240" w:lineRule="auto"/>
              <w:ind w:firstLine="0"/>
              <w:rPr>
                <w:rFonts w:cs="Times New Roman"/>
                <w:sz w:val="20"/>
                <w:szCs w:val="20"/>
                <w:lang w:val="en-US" w:eastAsia="en-GB"/>
              </w:rPr>
            </w:pPr>
          </w:p>
        </w:tc>
      </w:tr>
    </w:tbl>
    <w:p w14:paraId="2B04B29F" w14:textId="77777777" w:rsidR="00043492" w:rsidRPr="004D3EDC" w:rsidRDefault="00043492" w:rsidP="00043492">
      <w:pPr>
        <w:spacing w:after="160" w:line="259" w:lineRule="auto"/>
        <w:ind w:firstLine="0"/>
        <w:rPr>
          <w:rFonts w:cs="Times New Roman"/>
          <w:sz w:val="20"/>
          <w:szCs w:val="20"/>
          <w:lang w:val="en-US" w:eastAsia="en-GB"/>
        </w:rPr>
      </w:pPr>
    </w:p>
    <w:p w14:paraId="6F9A2E51" w14:textId="77777777" w:rsidR="00043492" w:rsidRDefault="00043492" w:rsidP="00043492">
      <w:pPr>
        <w:spacing w:after="160" w:line="259" w:lineRule="auto"/>
        <w:ind w:firstLine="0"/>
        <w:rPr>
          <w:rFonts w:cs="Times New Roman"/>
          <w:sz w:val="20"/>
          <w:szCs w:val="20"/>
          <w:lang w:val="en-US" w:eastAsia="en-GB"/>
        </w:rPr>
      </w:pPr>
      <w:r w:rsidRPr="004D3EDC">
        <w:rPr>
          <w:rFonts w:cs="Times New Roman"/>
          <w:sz w:val="20"/>
          <w:szCs w:val="20"/>
          <w:lang w:val="en-US" w:eastAsia="en-GB"/>
        </w:rPr>
        <w:t xml:space="preserve">Note: The high correlations for sole and co-defendant (as well as plaintiffs) occur because the overall number of litigations as defendant comprise both categories. We report them for completeness but they do not create issues with multicollinearity since they are not used in the same estimation models with the overall number of defendant and plaintiff cases. </w:t>
      </w:r>
    </w:p>
    <w:p w14:paraId="72E7798B" w14:textId="77777777" w:rsidR="00043492" w:rsidRDefault="00043492" w:rsidP="00043492">
      <w:pPr>
        <w:spacing w:after="160" w:line="259" w:lineRule="auto"/>
        <w:ind w:firstLine="0"/>
        <w:rPr>
          <w:rFonts w:cs="Times New Roman"/>
          <w:sz w:val="20"/>
          <w:szCs w:val="20"/>
          <w:lang w:val="en-US" w:eastAsia="en-GB"/>
        </w:rPr>
      </w:pPr>
    </w:p>
    <w:p w14:paraId="5C19EB16" w14:textId="77777777" w:rsidR="00043492" w:rsidRDefault="00043492" w:rsidP="00043492">
      <w:pPr>
        <w:spacing w:after="160" w:line="259" w:lineRule="auto"/>
        <w:ind w:firstLine="0"/>
        <w:rPr>
          <w:rFonts w:cs="Times New Roman"/>
          <w:sz w:val="20"/>
          <w:szCs w:val="20"/>
          <w:lang w:val="en-US" w:eastAsia="en-GB"/>
        </w:rPr>
        <w:sectPr w:rsidR="00043492">
          <w:pgSz w:w="16840" w:h="11901" w:orient="landscape"/>
          <w:pgMar w:top="1440" w:right="1440" w:bottom="1440" w:left="1440" w:header="720" w:footer="720" w:gutter="0"/>
          <w:cols w:space="720"/>
          <w:noEndnote/>
        </w:sectPr>
      </w:pPr>
    </w:p>
    <w:p w14:paraId="169C8007" w14:textId="0BBCFE25" w:rsidR="004761EA" w:rsidRDefault="00043492" w:rsidP="00043492">
      <w:pPr>
        <w:widowControl w:val="0"/>
        <w:autoSpaceDE w:val="0"/>
        <w:autoSpaceDN w:val="0"/>
        <w:adjustRightInd w:val="0"/>
        <w:spacing w:line="240" w:lineRule="auto"/>
        <w:ind w:firstLine="0"/>
        <w:rPr>
          <w:rFonts w:cs="Times New Roman"/>
          <w:szCs w:val="22"/>
          <w:lang w:val="en-US" w:eastAsia="en-GB"/>
        </w:rPr>
      </w:pPr>
      <w:r w:rsidRPr="00376D7D">
        <w:rPr>
          <w:rFonts w:cs="Times New Roman"/>
          <w:szCs w:val="22"/>
          <w:lang w:val="en-US" w:eastAsia="en-GB"/>
        </w:rPr>
        <w:lastRenderedPageBreak/>
        <w:t>Table 4</w:t>
      </w:r>
      <w:r w:rsidRPr="009714C5">
        <w:rPr>
          <w:rFonts w:cs="Times New Roman"/>
          <w:szCs w:val="22"/>
          <w:lang w:val="en-US" w:eastAsia="en-GB"/>
        </w:rPr>
        <w:t>: Fixed effect OLS regression models (dependent variable: ln (Licensing Revenues))</w:t>
      </w:r>
    </w:p>
    <w:p w14:paraId="36FA287F" w14:textId="77777777" w:rsidR="00043492" w:rsidRPr="009714C5" w:rsidRDefault="00043492" w:rsidP="00043492">
      <w:pPr>
        <w:widowControl w:val="0"/>
        <w:autoSpaceDE w:val="0"/>
        <w:autoSpaceDN w:val="0"/>
        <w:adjustRightInd w:val="0"/>
        <w:spacing w:line="240" w:lineRule="auto"/>
        <w:ind w:firstLine="0"/>
        <w:rPr>
          <w:rFonts w:cs="Times New Roman"/>
          <w:szCs w:val="22"/>
          <w:lang w:val="en-US" w:eastAsia="en-GB"/>
        </w:rPr>
      </w:pPr>
    </w:p>
    <w:tbl>
      <w:tblPr>
        <w:tblW w:w="15026" w:type="dxa"/>
        <w:tblInd w:w="-1134" w:type="dxa"/>
        <w:tblLayout w:type="fixed"/>
        <w:tblLook w:val="0000" w:firstRow="0" w:lastRow="0" w:firstColumn="0" w:lastColumn="0" w:noHBand="0" w:noVBand="0"/>
      </w:tblPr>
      <w:tblGrid>
        <w:gridCol w:w="4314"/>
        <w:gridCol w:w="2693"/>
        <w:gridCol w:w="2632"/>
        <w:gridCol w:w="2694"/>
        <w:gridCol w:w="2693"/>
      </w:tblGrid>
      <w:tr w:rsidR="00043492" w:rsidRPr="009B02B1" w14:paraId="1AD7F2FD" w14:textId="77777777" w:rsidTr="00376F54">
        <w:trPr>
          <w:tblHeader/>
        </w:trPr>
        <w:tc>
          <w:tcPr>
            <w:tcW w:w="4314" w:type="dxa"/>
            <w:tcBorders>
              <w:top w:val="single" w:sz="4" w:space="0" w:color="auto"/>
              <w:left w:val="nil"/>
              <w:bottom w:val="single" w:sz="12" w:space="0" w:color="auto"/>
              <w:right w:val="nil"/>
            </w:tcBorders>
          </w:tcPr>
          <w:p w14:paraId="35F0532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single" w:sz="4" w:space="0" w:color="auto"/>
              <w:left w:val="nil"/>
              <w:bottom w:val="single" w:sz="12" w:space="0" w:color="auto"/>
              <w:right w:val="nil"/>
            </w:tcBorders>
          </w:tcPr>
          <w:p w14:paraId="5FB1B4E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Model (1)</w:t>
            </w:r>
          </w:p>
        </w:tc>
        <w:tc>
          <w:tcPr>
            <w:tcW w:w="2632" w:type="dxa"/>
            <w:tcBorders>
              <w:top w:val="single" w:sz="4" w:space="0" w:color="auto"/>
              <w:left w:val="nil"/>
              <w:bottom w:val="single" w:sz="12" w:space="0" w:color="auto"/>
              <w:right w:val="nil"/>
            </w:tcBorders>
          </w:tcPr>
          <w:p w14:paraId="3F772B8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Model (2)</w:t>
            </w:r>
          </w:p>
        </w:tc>
        <w:tc>
          <w:tcPr>
            <w:tcW w:w="2694" w:type="dxa"/>
            <w:tcBorders>
              <w:top w:val="single" w:sz="4" w:space="0" w:color="auto"/>
              <w:left w:val="nil"/>
              <w:bottom w:val="single" w:sz="12" w:space="0" w:color="auto"/>
              <w:right w:val="nil"/>
            </w:tcBorders>
          </w:tcPr>
          <w:p w14:paraId="59CD0FA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Model (3)</w:t>
            </w:r>
          </w:p>
        </w:tc>
        <w:tc>
          <w:tcPr>
            <w:tcW w:w="2693" w:type="dxa"/>
            <w:tcBorders>
              <w:top w:val="single" w:sz="4" w:space="0" w:color="auto"/>
              <w:left w:val="nil"/>
              <w:bottom w:val="single" w:sz="12" w:space="0" w:color="auto"/>
              <w:right w:val="nil"/>
            </w:tcBorders>
          </w:tcPr>
          <w:p w14:paraId="2ADDD24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Model (4)</w:t>
            </w:r>
          </w:p>
        </w:tc>
      </w:tr>
      <w:tr w:rsidR="00043492" w:rsidRPr="009B02B1" w14:paraId="17E521EF" w14:textId="77777777" w:rsidTr="00376F54">
        <w:tc>
          <w:tcPr>
            <w:tcW w:w="4314" w:type="dxa"/>
            <w:tcBorders>
              <w:top w:val="single" w:sz="12" w:space="0" w:color="auto"/>
              <w:left w:val="nil"/>
              <w:bottom w:val="nil"/>
              <w:right w:val="nil"/>
            </w:tcBorders>
          </w:tcPr>
          <w:p w14:paraId="168C87EE"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Defendant</w:t>
            </w:r>
          </w:p>
        </w:tc>
        <w:tc>
          <w:tcPr>
            <w:tcW w:w="2693" w:type="dxa"/>
            <w:tcBorders>
              <w:top w:val="single" w:sz="12" w:space="0" w:color="auto"/>
              <w:left w:val="nil"/>
              <w:bottom w:val="nil"/>
              <w:right w:val="nil"/>
            </w:tcBorders>
          </w:tcPr>
          <w:p w14:paraId="28477B1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single" w:sz="12" w:space="0" w:color="auto"/>
              <w:left w:val="nil"/>
              <w:bottom w:val="nil"/>
              <w:right w:val="nil"/>
            </w:tcBorders>
          </w:tcPr>
          <w:p w14:paraId="5949319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0.217***</w:t>
            </w:r>
          </w:p>
        </w:tc>
        <w:tc>
          <w:tcPr>
            <w:tcW w:w="2694" w:type="dxa"/>
            <w:tcBorders>
              <w:top w:val="single" w:sz="12" w:space="0" w:color="auto"/>
              <w:left w:val="nil"/>
              <w:bottom w:val="nil"/>
              <w:right w:val="nil"/>
            </w:tcBorders>
          </w:tcPr>
          <w:p w14:paraId="67FF3AD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-0.064</w:t>
            </w:r>
          </w:p>
        </w:tc>
        <w:tc>
          <w:tcPr>
            <w:tcW w:w="2693" w:type="dxa"/>
            <w:tcBorders>
              <w:top w:val="single" w:sz="12" w:space="0" w:color="auto"/>
              <w:left w:val="nil"/>
              <w:bottom w:val="nil"/>
              <w:right w:val="nil"/>
            </w:tcBorders>
          </w:tcPr>
          <w:p w14:paraId="4581995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r>
      <w:tr w:rsidR="00043492" w:rsidRPr="009B02B1" w14:paraId="179348C3" w14:textId="77777777" w:rsidTr="00043492">
        <w:tc>
          <w:tcPr>
            <w:tcW w:w="4314" w:type="dxa"/>
            <w:tcBorders>
              <w:top w:val="nil"/>
              <w:left w:val="nil"/>
              <w:bottom w:val="nil"/>
              <w:right w:val="nil"/>
            </w:tcBorders>
          </w:tcPr>
          <w:p w14:paraId="4C539A8D"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3E5CED1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0DFF507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(0.077)</w:t>
            </w:r>
          </w:p>
        </w:tc>
        <w:tc>
          <w:tcPr>
            <w:tcW w:w="2694" w:type="dxa"/>
            <w:tcBorders>
              <w:top w:val="nil"/>
              <w:left w:val="nil"/>
              <w:bottom w:val="nil"/>
              <w:right w:val="nil"/>
            </w:tcBorders>
          </w:tcPr>
          <w:p w14:paraId="16BF7E7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(0.114)</w:t>
            </w:r>
          </w:p>
        </w:tc>
        <w:tc>
          <w:tcPr>
            <w:tcW w:w="2693" w:type="dxa"/>
            <w:tcBorders>
              <w:top w:val="nil"/>
              <w:left w:val="nil"/>
              <w:bottom w:val="nil"/>
              <w:right w:val="nil"/>
            </w:tcBorders>
          </w:tcPr>
          <w:p w14:paraId="4B625CE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r>
      <w:tr w:rsidR="00043492" w:rsidRPr="009B02B1" w14:paraId="5746B666" w14:textId="77777777" w:rsidTr="00043492">
        <w:tc>
          <w:tcPr>
            <w:tcW w:w="4314" w:type="dxa"/>
            <w:tcBorders>
              <w:top w:val="nil"/>
              <w:left w:val="nil"/>
              <w:bottom w:val="nil"/>
              <w:right w:val="nil"/>
            </w:tcBorders>
          </w:tcPr>
          <w:p w14:paraId="085B2CD2"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Plaintiff</w:t>
            </w:r>
          </w:p>
        </w:tc>
        <w:tc>
          <w:tcPr>
            <w:tcW w:w="2693" w:type="dxa"/>
            <w:tcBorders>
              <w:top w:val="nil"/>
              <w:left w:val="nil"/>
              <w:bottom w:val="nil"/>
              <w:right w:val="nil"/>
            </w:tcBorders>
          </w:tcPr>
          <w:p w14:paraId="2CD32EC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3CB78FB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-0.075*</w:t>
            </w:r>
          </w:p>
        </w:tc>
        <w:tc>
          <w:tcPr>
            <w:tcW w:w="2694" w:type="dxa"/>
            <w:tcBorders>
              <w:top w:val="nil"/>
              <w:left w:val="nil"/>
              <w:bottom w:val="nil"/>
              <w:right w:val="nil"/>
            </w:tcBorders>
          </w:tcPr>
          <w:p w14:paraId="69115B7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-0.058</w:t>
            </w:r>
          </w:p>
        </w:tc>
        <w:tc>
          <w:tcPr>
            <w:tcW w:w="2693" w:type="dxa"/>
            <w:tcBorders>
              <w:top w:val="nil"/>
              <w:left w:val="nil"/>
              <w:bottom w:val="nil"/>
              <w:right w:val="nil"/>
            </w:tcBorders>
          </w:tcPr>
          <w:p w14:paraId="59EF957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r>
      <w:tr w:rsidR="00043492" w:rsidRPr="009B02B1" w14:paraId="4B3854CE" w14:textId="77777777" w:rsidTr="00043492">
        <w:tc>
          <w:tcPr>
            <w:tcW w:w="4314" w:type="dxa"/>
            <w:tcBorders>
              <w:top w:val="nil"/>
              <w:left w:val="nil"/>
              <w:bottom w:val="nil"/>
              <w:right w:val="nil"/>
            </w:tcBorders>
          </w:tcPr>
          <w:p w14:paraId="4ED046AA"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2733B8E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06496B4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(0.041)</w:t>
            </w:r>
          </w:p>
        </w:tc>
        <w:tc>
          <w:tcPr>
            <w:tcW w:w="2694" w:type="dxa"/>
            <w:tcBorders>
              <w:top w:val="nil"/>
              <w:left w:val="nil"/>
              <w:bottom w:val="nil"/>
              <w:right w:val="nil"/>
            </w:tcBorders>
          </w:tcPr>
          <w:p w14:paraId="49A487A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(0.041)</w:t>
            </w:r>
          </w:p>
        </w:tc>
        <w:tc>
          <w:tcPr>
            <w:tcW w:w="2693" w:type="dxa"/>
            <w:tcBorders>
              <w:top w:val="nil"/>
              <w:left w:val="nil"/>
              <w:bottom w:val="nil"/>
              <w:right w:val="nil"/>
            </w:tcBorders>
          </w:tcPr>
          <w:p w14:paraId="47F63411"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r>
      <w:tr w:rsidR="00043492" w:rsidRPr="009B02B1" w14:paraId="203598E1" w14:textId="77777777" w:rsidTr="00043492">
        <w:tc>
          <w:tcPr>
            <w:tcW w:w="4314" w:type="dxa"/>
            <w:tcBorders>
              <w:top w:val="nil"/>
              <w:left w:val="nil"/>
              <w:bottom w:val="nil"/>
              <w:right w:val="nil"/>
            </w:tcBorders>
          </w:tcPr>
          <w:p w14:paraId="4B1A3A80"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Defendant*Licensing Patents</w:t>
            </w:r>
          </w:p>
        </w:tc>
        <w:tc>
          <w:tcPr>
            <w:tcW w:w="2693" w:type="dxa"/>
            <w:tcBorders>
              <w:top w:val="nil"/>
              <w:left w:val="nil"/>
              <w:bottom w:val="nil"/>
              <w:right w:val="nil"/>
            </w:tcBorders>
          </w:tcPr>
          <w:p w14:paraId="48432E4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5452EAE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0C097D1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0.184***</w:t>
            </w:r>
          </w:p>
        </w:tc>
        <w:tc>
          <w:tcPr>
            <w:tcW w:w="2693" w:type="dxa"/>
            <w:tcBorders>
              <w:top w:val="nil"/>
              <w:left w:val="nil"/>
              <w:bottom w:val="nil"/>
              <w:right w:val="nil"/>
            </w:tcBorders>
          </w:tcPr>
          <w:p w14:paraId="63110D3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r>
      <w:tr w:rsidR="00043492" w:rsidRPr="009B02B1" w14:paraId="422C2928" w14:textId="77777777" w:rsidTr="00043492">
        <w:tc>
          <w:tcPr>
            <w:tcW w:w="4314" w:type="dxa"/>
            <w:tcBorders>
              <w:top w:val="nil"/>
              <w:left w:val="nil"/>
              <w:bottom w:val="nil"/>
              <w:right w:val="nil"/>
            </w:tcBorders>
          </w:tcPr>
          <w:p w14:paraId="4336C0A9"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2689F3D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155BDD1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003D835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(0.044)</w:t>
            </w:r>
          </w:p>
        </w:tc>
        <w:tc>
          <w:tcPr>
            <w:tcW w:w="2693" w:type="dxa"/>
            <w:tcBorders>
              <w:top w:val="nil"/>
              <w:left w:val="nil"/>
              <w:bottom w:val="nil"/>
              <w:right w:val="nil"/>
            </w:tcBorders>
          </w:tcPr>
          <w:p w14:paraId="52E54F9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r>
      <w:tr w:rsidR="00043492" w:rsidRPr="009B02B1" w14:paraId="1D5E5307" w14:textId="77777777" w:rsidTr="00043492">
        <w:tc>
          <w:tcPr>
            <w:tcW w:w="4314" w:type="dxa"/>
            <w:tcBorders>
              <w:top w:val="nil"/>
              <w:left w:val="nil"/>
              <w:bottom w:val="nil"/>
              <w:right w:val="nil"/>
            </w:tcBorders>
          </w:tcPr>
          <w:p w14:paraId="3333B3B5"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Sole Defendant</w:t>
            </w:r>
          </w:p>
        </w:tc>
        <w:tc>
          <w:tcPr>
            <w:tcW w:w="2693" w:type="dxa"/>
            <w:tcBorders>
              <w:top w:val="nil"/>
              <w:left w:val="nil"/>
              <w:bottom w:val="nil"/>
              <w:right w:val="nil"/>
            </w:tcBorders>
          </w:tcPr>
          <w:p w14:paraId="6181E7D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4FA90391"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21FABC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2B169BA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0.308</w:t>
            </w:r>
          </w:p>
        </w:tc>
      </w:tr>
      <w:tr w:rsidR="00043492" w:rsidRPr="009B02B1" w14:paraId="3B951527" w14:textId="77777777" w:rsidTr="00043492">
        <w:tc>
          <w:tcPr>
            <w:tcW w:w="4314" w:type="dxa"/>
            <w:tcBorders>
              <w:top w:val="nil"/>
              <w:left w:val="nil"/>
              <w:bottom w:val="nil"/>
              <w:right w:val="nil"/>
            </w:tcBorders>
          </w:tcPr>
          <w:p w14:paraId="46A3E299"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1838E41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5994394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26652AB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12254A0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(0.208)</w:t>
            </w:r>
          </w:p>
        </w:tc>
      </w:tr>
      <w:tr w:rsidR="00043492" w:rsidRPr="009B02B1" w14:paraId="594CA839" w14:textId="77777777" w:rsidTr="00043492">
        <w:tc>
          <w:tcPr>
            <w:tcW w:w="4314" w:type="dxa"/>
            <w:tcBorders>
              <w:top w:val="nil"/>
              <w:left w:val="nil"/>
              <w:bottom w:val="nil"/>
              <w:right w:val="nil"/>
            </w:tcBorders>
          </w:tcPr>
          <w:p w14:paraId="61595E9F"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Co-defendant</w:t>
            </w:r>
          </w:p>
        </w:tc>
        <w:tc>
          <w:tcPr>
            <w:tcW w:w="2693" w:type="dxa"/>
            <w:tcBorders>
              <w:top w:val="nil"/>
              <w:left w:val="nil"/>
              <w:bottom w:val="nil"/>
              <w:right w:val="nil"/>
            </w:tcBorders>
          </w:tcPr>
          <w:p w14:paraId="3C8FD15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745F507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079FFA1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1F49479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0.200***</w:t>
            </w:r>
          </w:p>
        </w:tc>
      </w:tr>
      <w:tr w:rsidR="00043492" w:rsidRPr="009B02B1" w14:paraId="25F781BE" w14:textId="77777777" w:rsidTr="00043492">
        <w:tc>
          <w:tcPr>
            <w:tcW w:w="4314" w:type="dxa"/>
            <w:tcBorders>
              <w:top w:val="nil"/>
              <w:left w:val="nil"/>
              <w:bottom w:val="nil"/>
              <w:right w:val="nil"/>
            </w:tcBorders>
          </w:tcPr>
          <w:p w14:paraId="6CDE8545"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2FAB9DD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65D3A2B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03161D4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026CE0C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(0.070)</w:t>
            </w:r>
          </w:p>
        </w:tc>
      </w:tr>
      <w:tr w:rsidR="00043492" w:rsidRPr="009B02B1" w14:paraId="3AB92A00" w14:textId="77777777" w:rsidTr="00043492">
        <w:tc>
          <w:tcPr>
            <w:tcW w:w="4314" w:type="dxa"/>
            <w:tcBorders>
              <w:top w:val="nil"/>
              <w:left w:val="nil"/>
              <w:bottom w:val="nil"/>
              <w:right w:val="nil"/>
            </w:tcBorders>
          </w:tcPr>
          <w:p w14:paraId="23392BE3"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Sole Plaintiff</w:t>
            </w:r>
          </w:p>
        </w:tc>
        <w:tc>
          <w:tcPr>
            <w:tcW w:w="2693" w:type="dxa"/>
            <w:tcBorders>
              <w:top w:val="nil"/>
              <w:left w:val="nil"/>
              <w:bottom w:val="nil"/>
              <w:right w:val="nil"/>
            </w:tcBorders>
          </w:tcPr>
          <w:p w14:paraId="63557BC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617B6D9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57283F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3E115A1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-0.067*</w:t>
            </w:r>
          </w:p>
        </w:tc>
      </w:tr>
      <w:tr w:rsidR="00043492" w:rsidRPr="009B02B1" w14:paraId="4A847FCD" w14:textId="77777777" w:rsidTr="00043492">
        <w:tc>
          <w:tcPr>
            <w:tcW w:w="4314" w:type="dxa"/>
            <w:tcBorders>
              <w:top w:val="nil"/>
              <w:left w:val="nil"/>
              <w:bottom w:val="nil"/>
              <w:right w:val="nil"/>
            </w:tcBorders>
          </w:tcPr>
          <w:p w14:paraId="6C8D0416"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78E2A1C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2965046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23674E7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4D3A240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(0.036)</w:t>
            </w:r>
          </w:p>
        </w:tc>
      </w:tr>
      <w:tr w:rsidR="00043492" w:rsidRPr="009B02B1" w14:paraId="1A8D1F20" w14:textId="77777777" w:rsidTr="00043492">
        <w:tc>
          <w:tcPr>
            <w:tcW w:w="4314" w:type="dxa"/>
            <w:tcBorders>
              <w:top w:val="nil"/>
              <w:left w:val="nil"/>
              <w:bottom w:val="nil"/>
              <w:right w:val="nil"/>
            </w:tcBorders>
          </w:tcPr>
          <w:p w14:paraId="5827A6D9"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Co-plaintiff</w:t>
            </w:r>
          </w:p>
        </w:tc>
        <w:tc>
          <w:tcPr>
            <w:tcW w:w="2693" w:type="dxa"/>
            <w:tcBorders>
              <w:top w:val="nil"/>
              <w:left w:val="nil"/>
              <w:bottom w:val="nil"/>
              <w:right w:val="nil"/>
            </w:tcBorders>
          </w:tcPr>
          <w:p w14:paraId="0438C8B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117823C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4901CF0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657026C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0.066</w:t>
            </w:r>
          </w:p>
        </w:tc>
      </w:tr>
      <w:tr w:rsidR="00043492" w:rsidRPr="009B02B1" w14:paraId="22ED69AF" w14:textId="77777777" w:rsidTr="00043492">
        <w:tc>
          <w:tcPr>
            <w:tcW w:w="4314" w:type="dxa"/>
            <w:tcBorders>
              <w:top w:val="nil"/>
              <w:left w:val="nil"/>
              <w:bottom w:val="nil"/>
              <w:right w:val="nil"/>
            </w:tcBorders>
          </w:tcPr>
          <w:p w14:paraId="32EFDF40"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37545EC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32" w:type="dxa"/>
            <w:tcBorders>
              <w:top w:val="nil"/>
              <w:left w:val="nil"/>
              <w:bottom w:val="nil"/>
              <w:right w:val="nil"/>
            </w:tcBorders>
          </w:tcPr>
          <w:p w14:paraId="3AC60CC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4" w:type="dxa"/>
            <w:tcBorders>
              <w:top w:val="nil"/>
              <w:left w:val="nil"/>
              <w:bottom w:val="nil"/>
              <w:right w:val="nil"/>
            </w:tcBorders>
          </w:tcPr>
          <w:p w14:paraId="5AE434F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p>
        </w:tc>
        <w:tc>
          <w:tcPr>
            <w:tcW w:w="2693" w:type="dxa"/>
            <w:tcBorders>
              <w:top w:val="nil"/>
              <w:left w:val="nil"/>
              <w:bottom w:val="nil"/>
              <w:right w:val="nil"/>
            </w:tcBorders>
          </w:tcPr>
          <w:p w14:paraId="7FD17E7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(0.104)</w:t>
            </w:r>
          </w:p>
        </w:tc>
      </w:tr>
      <w:tr w:rsidR="00043492" w:rsidRPr="009B02B1" w14:paraId="6290426E" w14:textId="77777777" w:rsidTr="00043492">
        <w:tc>
          <w:tcPr>
            <w:tcW w:w="4314" w:type="dxa"/>
            <w:tcBorders>
              <w:top w:val="nil"/>
              <w:left w:val="nil"/>
              <w:bottom w:val="nil"/>
              <w:right w:val="nil"/>
            </w:tcBorders>
          </w:tcPr>
          <w:p w14:paraId="08FC18F2"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Counter Defendant</w:t>
            </w:r>
          </w:p>
        </w:tc>
        <w:tc>
          <w:tcPr>
            <w:tcW w:w="2693" w:type="dxa"/>
            <w:tcBorders>
              <w:top w:val="nil"/>
              <w:left w:val="nil"/>
              <w:bottom w:val="nil"/>
              <w:right w:val="nil"/>
            </w:tcBorders>
          </w:tcPr>
          <w:p w14:paraId="4A55C27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0.054</w:t>
            </w:r>
          </w:p>
        </w:tc>
        <w:tc>
          <w:tcPr>
            <w:tcW w:w="2632" w:type="dxa"/>
            <w:tcBorders>
              <w:top w:val="nil"/>
              <w:left w:val="nil"/>
              <w:bottom w:val="nil"/>
              <w:right w:val="nil"/>
            </w:tcBorders>
          </w:tcPr>
          <w:p w14:paraId="5713600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0.171*</w:t>
            </w:r>
          </w:p>
        </w:tc>
        <w:tc>
          <w:tcPr>
            <w:tcW w:w="2694" w:type="dxa"/>
            <w:tcBorders>
              <w:top w:val="nil"/>
              <w:left w:val="nil"/>
              <w:bottom w:val="nil"/>
              <w:right w:val="nil"/>
            </w:tcBorders>
          </w:tcPr>
          <w:p w14:paraId="1D57908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0.154**</w:t>
            </w:r>
          </w:p>
        </w:tc>
        <w:tc>
          <w:tcPr>
            <w:tcW w:w="2693" w:type="dxa"/>
            <w:tcBorders>
              <w:top w:val="nil"/>
              <w:left w:val="nil"/>
              <w:bottom w:val="nil"/>
              <w:right w:val="nil"/>
            </w:tcBorders>
          </w:tcPr>
          <w:p w14:paraId="434FAC4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0.110</w:t>
            </w:r>
          </w:p>
        </w:tc>
      </w:tr>
      <w:tr w:rsidR="00043492" w:rsidRPr="009B02B1" w14:paraId="4910394F" w14:textId="77777777" w:rsidTr="00043492">
        <w:tc>
          <w:tcPr>
            <w:tcW w:w="4314" w:type="dxa"/>
            <w:tcBorders>
              <w:top w:val="nil"/>
              <w:left w:val="nil"/>
              <w:bottom w:val="nil"/>
              <w:right w:val="nil"/>
            </w:tcBorders>
          </w:tcPr>
          <w:p w14:paraId="535169B9"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7551D06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(0.035)</w:t>
            </w:r>
          </w:p>
        </w:tc>
        <w:tc>
          <w:tcPr>
            <w:tcW w:w="2632" w:type="dxa"/>
            <w:tcBorders>
              <w:top w:val="nil"/>
              <w:left w:val="nil"/>
              <w:bottom w:val="nil"/>
              <w:right w:val="nil"/>
            </w:tcBorders>
          </w:tcPr>
          <w:p w14:paraId="5EB4AC0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(0.094)</w:t>
            </w:r>
          </w:p>
        </w:tc>
        <w:tc>
          <w:tcPr>
            <w:tcW w:w="2694" w:type="dxa"/>
            <w:tcBorders>
              <w:top w:val="nil"/>
              <w:left w:val="nil"/>
              <w:bottom w:val="nil"/>
              <w:right w:val="nil"/>
            </w:tcBorders>
          </w:tcPr>
          <w:p w14:paraId="543758D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(0.074)</w:t>
            </w:r>
          </w:p>
        </w:tc>
        <w:tc>
          <w:tcPr>
            <w:tcW w:w="2693" w:type="dxa"/>
            <w:tcBorders>
              <w:top w:val="nil"/>
              <w:left w:val="nil"/>
              <w:bottom w:val="nil"/>
              <w:right w:val="nil"/>
            </w:tcBorders>
          </w:tcPr>
          <w:p w14:paraId="6A57E59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(0.102)</w:t>
            </w:r>
          </w:p>
        </w:tc>
      </w:tr>
      <w:tr w:rsidR="00043492" w:rsidRPr="009B02B1" w14:paraId="2114E457" w14:textId="77777777" w:rsidTr="00043492">
        <w:tc>
          <w:tcPr>
            <w:tcW w:w="4314" w:type="dxa"/>
            <w:tcBorders>
              <w:top w:val="nil"/>
              <w:left w:val="nil"/>
              <w:bottom w:val="nil"/>
              <w:right w:val="nil"/>
            </w:tcBorders>
          </w:tcPr>
          <w:p w14:paraId="0E7368EA"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Counter Plaintiff</w:t>
            </w:r>
          </w:p>
        </w:tc>
        <w:tc>
          <w:tcPr>
            <w:tcW w:w="2693" w:type="dxa"/>
            <w:tcBorders>
              <w:top w:val="nil"/>
              <w:left w:val="nil"/>
              <w:bottom w:val="nil"/>
              <w:right w:val="nil"/>
            </w:tcBorders>
          </w:tcPr>
          <w:p w14:paraId="7C8C8AF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-0.597***</w:t>
            </w:r>
          </w:p>
        </w:tc>
        <w:tc>
          <w:tcPr>
            <w:tcW w:w="2632" w:type="dxa"/>
            <w:tcBorders>
              <w:top w:val="nil"/>
              <w:left w:val="nil"/>
              <w:bottom w:val="nil"/>
              <w:right w:val="nil"/>
            </w:tcBorders>
          </w:tcPr>
          <w:p w14:paraId="36BCC54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-0.720***</w:t>
            </w:r>
          </w:p>
        </w:tc>
        <w:tc>
          <w:tcPr>
            <w:tcW w:w="2694" w:type="dxa"/>
            <w:tcBorders>
              <w:top w:val="nil"/>
              <w:left w:val="nil"/>
              <w:bottom w:val="nil"/>
              <w:right w:val="nil"/>
            </w:tcBorders>
          </w:tcPr>
          <w:p w14:paraId="02EA209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-0.721***</w:t>
            </w:r>
          </w:p>
        </w:tc>
        <w:tc>
          <w:tcPr>
            <w:tcW w:w="2693" w:type="dxa"/>
            <w:tcBorders>
              <w:top w:val="nil"/>
              <w:left w:val="nil"/>
              <w:bottom w:val="nil"/>
              <w:right w:val="nil"/>
            </w:tcBorders>
          </w:tcPr>
          <w:p w14:paraId="6AF055B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-0.687***</w:t>
            </w:r>
          </w:p>
        </w:tc>
      </w:tr>
      <w:tr w:rsidR="00043492" w:rsidRPr="009B02B1" w14:paraId="5C9BB172" w14:textId="77777777" w:rsidTr="00043492">
        <w:tc>
          <w:tcPr>
            <w:tcW w:w="4314" w:type="dxa"/>
            <w:tcBorders>
              <w:top w:val="nil"/>
              <w:left w:val="nil"/>
              <w:bottom w:val="nil"/>
              <w:right w:val="nil"/>
            </w:tcBorders>
          </w:tcPr>
          <w:p w14:paraId="39889115"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4732A4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(0.100)</w:t>
            </w:r>
          </w:p>
        </w:tc>
        <w:tc>
          <w:tcPr>
            <w:tcW w:w="2632" w:type="dxa"/>
            <w:tcBorders>
              <w:top w:val="nil"/>
              <w:left w:val="nil"/>
              <w:bottom w:val="nil"/>
              <w:right w:val="nil"/>
            </w:tcBorders>
          </w:tcPr>
          <w:p w14:paraId="7CD5F75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(0.107)</w:t>
            </w:r>
          </w:p>
        </w:tc>
        <w:tc>
          <w:tcPr>
            <w:tcW w:w="2694" w:type="dxa"/>
            <w:tcBorders>
              <w:top w:val="nil"/>
              <w:left w:val="nil"/>
              <w:bottom w:val="nil"/>
              <w:right w:val="nil"/>
            </w:tcBorders>
          </w:tcPr>
          <w:p w14:paraId="377F790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(0.099)</w:t>
            </w:r>
          </w:p>
        </w:tc>
        <w:tc>
          <w:tcPr>
            <w:tcW w:w="2693" w:type="dxa"/>
            <w:tcBorders>
              <w:top w:val="nil"/>
              <w:left w:val="nil"/>
              <w:bottom w:val="nil"/>
              <w:right w:val="nil"/>
            </w:tcBorders>
          </w:tcPr>
          <w:p w14:paraId="305233D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(0.115)</w:t>
            </w:r>
          </w:p>
        </w:tc>
      </w:tr>
      <w:tr w:rsidR="00043492" w:rsidRPr="009B02B1" w14:paraId="28850A63" w14:textId="77777777" w:rsidTr="00043492">
        <w:tc>
          <w:tcPr>
            <w:tcW w:w="4314" w:type="dxa"/>
            <w:tcBorders>
              <w:top w:val="nil"/>
              <w:left w:val="nil"/>
              <w:bottom w:val="nil"/>
              <w:right w:val="nil"/>
            </w:tcBorders>
          </w:tcPr>
          <w:p w14:paraId="5BF3434C"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No. of Patents</w:t>
            </w:r>
          </w:p>
        </w:tc>
        <w:tc>
          <w:tcPr>
            <w:tcW w:w="2693" w:type="dxa"/>
            <w:tcBorders>
              <w:top w:val="nil"/>
              <w:left w:val="nil"/>
              <w:bottom w:val="nil"/>
              <w:right w:val="nil"/>
            </w:tcBorders>
          </w:tcPr>
          <w:p w14:paraId="1E698F2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2632" w:type="dxa"/>
            <w:tcBorders>
              <w:top w:val="nil"/>
              <w:left w:val="nil"/>
              <w:bottom w:val="nil"/>
              <w:right w:val="nil"/>
            </w:tcBorders>
          </w:tcPr>
          <w:p w14:paraId="52A4BAA1"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2694" w:type="dxa"/>
            <w:tcBorders>
              <w:top w:val="nil"/>
              <w:left w:val="nil"/>
              <w:bottom w:val="nil"/>
              <w:right w:val="nil"/>
            </w:tcBorders>
          </w:tcPr>
          <w:p w14:paraId="1498A3E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2693" w:type="dxa"/>
            <w:tcBorders>
              <w:top w:val="nil"/>
              <w:left w:val="nil"/>
              <w:bottom w:val="nil"/>
              <w:right w:val="nil"/>
            </w:tcBorders>
          </w:tcPr>
          <w:p w14:paraId="3ED5BB7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r>
      <w:tr w:rsidR="00043492" w:rsidRPr="009B02B1" w14:paraId="07E4A7A6" w14:textId="77777777" w:rsidTr="00043492">
        <w:tc>
          <w:tcPr>
            <w:tcW w:w="4314" w:type="dxa"/>
            <w:tcBorders>
              <w:top w:val="nil"/>
              <w:left w:val="nil"/>
              <w:bottom w:val="nil"/>
              <w:right w:val="nil"/>
            </w:tcBorders>
          </w:tcPr>
          <w:p w14:paraId="12EC491E"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0DBDAC8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2632" w:type="dxa"/>
            <w:tcBorders>
              <w:top w:val="nil"/>
              <w:left w:val="nil"/>
              <w:bottom w:val="nil"/>
              <w:right w:val="nil"/>
            </w:tcBorders>
          </w:tcPr>
          <w:p w14:paraId="408FE2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2694" w:type="dxa"/>
            <w:tcBorders>
              <w:top w:val="nil"/>
              <w:left w:val="nil"/>
              <w:bottom w:val="nil"/>
              <w:right w:val="nil"/>
            </w:tcBorders>
          </w:tcPr>
          <w:p w14:paraId="6AE96D1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2693" w:type="dxa"/>
            <w:tcBorders>
              <w:top w:val="nil"/>
              <w:left w:val="nil"/>
              <w:bottom w:val="nil"/>
              <w:right w:val="nil"/>
            </w:tcBorders>
          </w:tcPr>
          <w:p w14:paraId="180B631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r>
      <w:tr w:rsidR="00043492" w:rsidRPr="009B02B1" w14:paraId="5C82F779" w14:textId="77777777" w:rsidTr="00043492">
        <w:tc>
          <w:tcPr>
            <w:tcW w:w="4314" w:type="dxa"/>
            <w:tcBorders>
              <w:top w:val="nil"/>
              <w:left w:val="nil"/>
              <w:bottom w:val="nil"/>
              <w:right w:val="nil"/>
            </w:tcBorders>
          </w:tcPr>
          <w:p w14:paraId="6A003350"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Research Expenses</w:t>
            </w:r>
          </w:p>
        </w:tc>
        <w:tc>
          <w:tcPr>
            <w:tcW w:w="2693" w:type="dxa"/>
            <w:tcBorders>
              <w:top w:val="nil"/>
              <w:left w:val="nil"/>
              <w:bottom w:val="nil"/>
              <w:right w:val="nil"/>
            </w:tcBorders>
          </w:tcPr>
          <w:p w14:paraId="24BD841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0.497*</w:t>
            </w:r>
          </w:p>
        </w:tc>
        <w:tc>
          <w:tcPr>
            <w:tcW w:w="2632" w:type="dxa"/>
            <w:tcBorders>
              <w:top w:val="nil"/>
              <w:left w:val="nil"/>
              <w:bottom w:val="nil"/>
              <w:right w:val="nil"/>
            </w:tcBorders>
          </w:tcPr>
          <w:p w14:paraId="158236A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0.464*</w:t>
            </w:r>
          </w:p>
        </w:tc>
        <w:tc>
          <w:tcPr>
            <w:tcW w:w="2694" w:type="dxa"/>
            <w:tcBorders>
              <w:top w:val="nil"/>
              <w:left w:val="nil"/>
              <w:bottom w:val="nil"/>
              <w:right w:val="nil"/>
            </w:tcBorders>
          </w:tcPr>
          <w:p w14:paraId="3F76C67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0.420</w:t>
            </w:r>
          </w:p>
        </w:tc>
        <w:tc>
          <w:tcPr>
            <w:tcW w:w="2693" w:type="dxa"/>
            <w:tcBorders>
              <w:top w:val="nil"/>
              <w:left w:val="nil"/>
              <w:bottom w:val="nil"/>
              <w:right w:val="nil"/>
            </w:tcBorders>
          </w:tcPr>
          <w:p w14:paraId="4AA9508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0.450*</w:t>
            </w:r>
          </w:p>
        </w:tc>
      </w:tr>
      <w:tr w:rsidR="00043492" w:rsidRPr="009B02B1" w14:paraId="28E464B7" w14:textId="77777777" w:rsidTr="00043492">
        <w:tc>
          <w:tcPr>
            <w:tcW w:w="4314" w:type="dxa"/>
            <w:tcBorders>
              <w:top w:val="nil"/>
              <w:left w:val="nil"/>
              <w:bottom w:val="nil"/>
              <w:right w:val="nil"/>
            </w:tcBorders>
          </w:tcPr>
          <w:p w14:paraId="275CD226"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2EF6B29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(0.280)</w:t>
            </w:r>
          </w:p>
        </w:tc>
        <w:tc>
          <w:tcPr>
            <w:tcW w:w="2632" w:type="dxa"/>
            <w:tcBorders>
              <w:top w:val="nil"/>
              <w:left w:val="nil"/>
              <w:bottom w:val="nil"/>
              <w:right w:val="nil"/>
            </w:tcBorders>
          </w:tcPr>
          <w:p w14:paraId="492DA92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(0.269)</w:t>
            </w:r>
          </w:p>
        </w:tc>
        <w:tc>
          <w:tcPr>
            <w:tcW w:w="2694" w:type="dxa"/>
            <w:tcBorders>
              <w:top w:val="nil"/>
              <w:left w:val="nil"/>
              <w:bottom w:val="nil"/>
              <w:right w:val="nil"/>
            </w:tcBorders>
          </w:tcPr>
          <w:p w14:paraId="77BE879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(0.276)</w:t>
            </w:r>
          </w:p>
        </w:tc>
        <w:tc>
          <w:tcPr>
            <w:tcW w:w="2693" w:type="dxa"/>
            <w:tcBorders>
              <w:top w:val="nil"/>
              <w:left w:val="nil"/>
              <w:bottom w:val="nil"/>
              <w:right w:val="nil"/>
            </w:tcBorders>
          </w:tcPr>
          <w:p w14:paraId="6364B0E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(0.267)</w:t>
            </w:r>
          </w:p>
        </w:tc>
      </w:tr>
      <w:tr w:rsidR="00043492" w:rsidRPr="009B02B1" w14:paraId="0FC5D3CB" w14:textId="77777777" w:rsidTr="00043492">
        <w:tc>
          <w:tcPr>
            <w:tcW w:w="4314" w:type="dxa"/>
            <w:tcBorders>
              <w:top w:val="nil"/>
              <w:left w:val="nil"/>
              <w:bottom w:val="nil"/>
              <w:right w:val="nil"/>
            </w:tcBorders>
          </w:tcPr>
          <w:p w14:paraId="5CF89A8B"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Licensing Patents</w:t>
            </w:r>
          </w:p>
        </w:tc>
        <w:tc>
          <w:tcPr>
            <w:tcW w:w="2693" w:type="dxa"/>
            <w:tcBorders>
              <w:top w:val="nil"/>
              <w:left w:val="nil"/>
              <w:bottom w:val="nil"/>
              <w:right w:val="nil"/>
            </w:tcBorders>
          </w:tcPr>
          <w:p w14:paraId="484DAD1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0.097**</w:t>
            </w:r>
          </w:p>
        </w:tc>
        <w:tc>
          <w:tcPr>
            <w:tcW w:w="2632" w:type="dxa"/>
            <w:tcBorders>
              <w:top w:val="nil"/>
              <w:left w:val="nil"/>
              <w:bottom w:val="nil"/>
              <w:right w:val="nil"/>
            </w:tcBorders>
          </w:tcPr>
          <w:p w14:paraId="66F57EE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0.090**</w:t>
            </w:r>
          </w:p>
        </w:tc>
        <w:tc>
          <w:tcPr>
            <w:tcW w:w="2694" w:type="dxa"/>
            <w:tcBorders>
              <w:top w:val="nil"/>
              <w:left w:val="nil"/>
              <w:bottom w:val="nil"/>
              <w:right w:val="nil"/>
            </w:tcBorders>
          </w:tcPr>
          <w:p w14:paraId="73133FC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0.047</w:t>
            </w:r>
          </w:p>
        </w:tc>
        <w:tc>
          <w:tcPr>
            <w:tcW w:w="2693" w:type="dxa"/>
            <w:tcBorders>
              <w:top w:val="nil"/>
              <w:left w:val="nil"/>
              <w:bottom w:val="nil"/>
              <w:right w:val="nil"/>
            </w:tcBorders>
          </w:tcPr>
          <w:p w14:paraId="4483CFC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0.090**</w:t>
            </w:r>
          </w:p>
        </w:tc>
      </w:tr>
      <w:tr w:rsidR="00043492" w:rsidRPr="009B02B1" w14:paraId="5EFE4B76" w14:textId="77777777" w:rsidTr="00043492">
        <w:tc>
          <w:tcPr>
            <w:tcW w:w="4314" w:type="dxa"/>
            <w:tcBorders>
              <w:top w:val="nil"/>
              <w:left w:val="nil"/>
              <w:bottom w:val="nil"/>
              <w:right w:val="nil"/>
            </w:tcBorders>
          </w:tcPr>
          <w:p w14:paraId="335ABA76"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3AAFFEA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(0.043)</w:t>
            </w:r>
          </w:p>
        </w:tc>
        <w:tc>
          <w:tcPr>
            <w:tcW w:w="2632" w:type="dxa"/>
            <w:tcBorders>
              <w:top w:val="nil"/>
              <w:left w:val="nil"/>
              <w:bottom w:val="nil"/>
              <w:right w:val="nil"/>
            </w:tcBorders>
          </w:tcPr>
          <w:p w14:paraId="0CCA53C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(0.039)</w:t>
            </w:r>
          </w:p>
        </w:tc>
        <w:tc>
          <w:tcPr>
            <w:tcW w:w="2694" w:type="dxa"/>
            <w:tcBorders>
              <w:top w:val="nil"/>
              <w:left w:val="nil"/>
              <w:bottom w:val="nil"/>
              <w:right w:val="nil"/>
            </w:tcBorders>
          </w:tcPr>
          <w:p w14:paraId="48FD72E1"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(0.029)</w:t>
            </w:r>
          </w:p>
        </w:tc>
        <w:tc>
          <w:tcPr>
            <w:tcW w:w="2693" w:type="dxa"/>
            <w:tcBorders>
              <w:top w:val="nil"/>
              <w:left w:val="nil"/>
              <w:bottom w:val="nil"/>
              <w:right w:val="nil"/>
            </w:tcBorders>
          </w:tcPr>
          <w:p w14:paraId="3E2CFD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(0.039)</w:t>
            </w:r>
          </w:p>
        </w:tc>
      </w:tr>
      <w:tr w:rsidR="00043492" w:rsidRPr="009B02B1" w14:paraId="11AC05C8" w14:textId="77777777" w:rsidTr="00043492">
        <w:tc>
          <w:tcPr>
            <w:tcW w:w="4314" w:type="dxa"/>
            <w:tcBorders>
              <w:top w:val="nil"/>
              <w:left w:val="nil"/>
              <w:bottom w:val="nil"/>
              <w:right w:val="nil"/>
            </w:tcBorders>
          </w:tcPr>
          <w:p w14:paraId="5CA1DB90"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Total FTEs</w:t>
            </w:r>
          </w:p>
        </w:tc>
        <w:tc>
          <w:tcPr>
            <w:tcW w:w="2693" w:type="dxa"/>
            <w:tcBorders>
              <w:top w:val="nil"/>
              <w:left w:val="nil"/>
              <w:bottom w:val="nil"/>
              <w:right w:val="nil"/>
            </w:tcBorders>
          </w:tcPr>
          <w:p w14:paraId="4870FA2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-0.008*</w:t>
            </w:r>
          </w:p>
        </w:tc>
        <w:tc>
          <w:tcPr>
            <w:tcW w:w="2632" w:type="dxa"/>
            <w:tcBorders>
              <w:top w:val="nil"/>
              <w:left w:val="nil"/>
              <w:bottom w:val="nil"/>
              <w:right w:val="nil"/>
            </w:tcBorders>
          </w:tcPr>
          <w:p w14:paraId="3139980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-0.008*</w:t>
            </w:r>
          </w:p>
        </w:tc>
        <w:tc>
          <w:tcPr>
            <w:tcW w:w="2694" w:type="dxa"/>
            <w:tcBorders>
              <w:top w:val="nil"/>
              <w:left w:val="nil"/>
              <w:bottom w:val="nil"/>
              <w:right w:val="nil"/>
            </w:tcBorders>
          </w:tcPr>
          <w:p w14:paraId="09898FD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-0.007*</w:t>
            </w:r>
          </w:p>
        </w:tc>
        <w:tc>
          <w:tcPr>
            <w:tcW w:w="2693" w:type="dxa"/>
            <w:tcBorders>
              <w:top w:val="nil"/>
              <w:left w:val="nil"/>
              <w:bottom w:val="nil"/>
              <w:right w:val="nil"/>
            </w:tcBorders>
          </w:tcPr>
          <w:p w14:paraId="7D611D3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-0.007*</w:t>
            </w:r>
          </w:p>
        </w:tc>
      </w:tr>
      <w:tr w:rsidR="00043492" w:rsidRPr="009B02B1" w14:paraId="2BCF7F7F" w14:textId="77777777" w:rsidTr="00043492">
        <w:tc>
          <w:tcPr>
            <w:tcW w:w="4314" w:type="dxa"/>
            <w:tcBorders>
              <w:top w:val="nil"/>
              <w:left w:val="nil"/>
              <w:bottom w:val="nil"/>
              <w:right w:val="nil"/>
            </w:tcBorders>
          </w:tcPr>
          <w:p w14:paraId="0F6681EE"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6A934AB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2632" w:type="dxa"/>
            <w:tcBorders>
              <w:top w:val="nil"/>
              <w:left w:val="nil"/>
              <w:bottom w:val="nil"/>
              <w:right w:val="nil"/>
            </w:tcBorders>
          </w:tcPr>
          <w:p w14:paraId="2FA75F9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2694" w:type="dxa"/>
            <w:tcBorders>
              <w:top w:val="nil"/>
              <w:left w:val="nil"/>
              <w:bottom w:val="nil"/>
              <w:right w:val="nil"/>
            </w:tcBorders>
          </w:tcPr>
          <w:p w14:paraId="430A4A3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2693" w:type="dxa"/>
            <w:tcBorders>
              <w:top w:val="nil"/>
              <w:left w:val="nil"/>
              <w:bottom w:val="nil"/>
              <w:right w:val="nil"/>
            </w:tcBorders>
          </w:tcPr>
          <w:p w14:paraId="7CCEFD11"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r>
      <w:tr w:rsidR="00043492" w:rsidRPr="009B02B1" w14:paraId="42972962" w14:textId="77777777" w:rsidTr="00043492">
        <w:tc>
          <w:tcPr>
            <w:tcW w:w="4314" w:type="dxa"/>
            <w:tcBorders>
              <w:top w:val="nil"/>
              <w:left w:val="nil"/>
              <w:bottom w:val="nil"/>
              <w:right w:val="nil"/>
            </w:tcBorders>
          </w:tcPr>
          <w:p w14:paraId="525AEA9A"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Legal Fees</w:t>
            </w:r>
          </w:p>
        </w:tc>
        <w:tc>
          <w:tcPr>
            <w:tcW w:w="2693" w:type="dxa"/>
            <w:tcBorders>
              <w:top w:val="nil"/>
              <w:left w:val="nil"/>
              <w:bottom w:val="nil"/>
              <w:right w:val="nil"/>
            </w:tcBorders>
          </w:tcPr>
          <w:p w14:paraId="04E6EA0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0.625*</w:t>
            </w:r>
          </w:p>
        </w:tc>
        <w:tc>
          <w:tcPr>
            <w:tcW w:w="2632" w:type="dxa"/>
            <w:tcBorders>
              <w:top w:val="nil"/>
              <w:left w:val="nil"/>
              <w:bottom w:val="nil"/>
              <w:right w:val="nil"/>
            </w:tcBorders>
          </w:tcPr>
          <w:p w14:paraId="29AC6DA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0.604*</w:t>
            </w:r>
          </w:p>
        </w:tc>
        <w:tc>
          <w:tcPr>
            <w:tcW w:w="2694" w:type="dxa"/>
            <w:tcBorders>
              <w:top w:val="nil"/>
              <w:left w:val="nil"/>
              <w:bottom w:val="nil"/>
              <w:right w:val="nil"/>
            </w:tcBorders>
          </w:tcPr>
          <w:p w14:paraId="56F75D1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0.633*</w:t>
            </w:r>
          </w:p>
        </w:tc>
        <w:tc>
          <w:tcPr>
            <w:tcW w:w="2693" w:type="dxa"/>
            <w:tcBorders>
              <w:top w:val="nil"/>
              <w:left w:val="nil"/>
              <w:bottom w:val="nil"/>
              <w:right w:val="nil"/>
            </w:tcBorders>
          </w:tcPr>
          <w:p w14:paraId="6ABBD2E9"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0.606*</w:t>
            </w:r>
          </w:p>
        </w:tc>
      </w:tr>
      <w:tr w:rsidR="00043492" w:rsidRPr="009B02B1" w14:paraId="58DDA9CE" w14:textId="77777777" w:rsidTr="00043492">
        <w:tc>
          <w:tcPr>
            <w:tcW w:w="4314" w:type="dxa"/>
            <w:tcBorders>
              <w:top w:val="nil"/>
              <w:left w:val="nil"/>
              <w:bottom w:val="nil"/>
              <w:right w:val="nil"/>
            </w:tcBorders>
          </w:tcPr>
          <w:p w14:paraId="3C1B6E4B"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0362F6F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(0.319)</w:t>
            </w:r>
          </w:p>
        </w:tc>
        <w:tc>
          <w:tcPr>
            <w:tcW w:w="2632" w:type="dxa"/>
            <w:tcBorders>
              <w:top w:val="nil"/>
              <w:left w:val="nil"/>
              <w:bottom w:val="nil"/>
              <w:right w:val="nil"/>
            </w:tcBorders>
          </w:tcPr>
          <w:p w14:paraId="06A9DCD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(0.309)</w:t>
            </w:r>
          </w:p>
        </w:tc>
        <w:tc>
          <w:tcPr>
            <w:tcW w:w="2694" w:type="dxa"/>
            <w:tcBorders>
              <w:top w:val="nil"/>
              <w:left w:val="nil"/>
              <w:bottom w:val="nil"/>
              <w:right w:val="nil"/>
            </w:tcBorders>
          </w:tcPr>
          <w:p w14:paraId="3D890B6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(0.321)</w:t>
            </w:r>
          </w:p>
        </w:tc>
        <w:tc>
          <w:tcPr>
            <w:tcW w:w="2693" w:type="dxa"/>
            <w:tcBorders>
              <w:top w:val="nil"/>
              <w:left w:val="nil"/>
              <w:bottom w:val="nil"/>
              <w:right w:val="nil"/>
            </w:tcBorders>
          </w:tcPr>
          <w:p w14:paraId="4D87413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(0.311)</w:t>
            </w:r>
          </w:p>
        </w:tc>
      </w:tr>
      <w:tr w:rsidR="00043492" w:rsidRPr="009B02B1" w14:paraId="06DA63F1" w14:textId="77777777" w:rsidTr="00043492">
        <w:tc>
          <w:tcPr>
            <w:tcW w:w="4314" w:type="dxa"/>
            <w:tcBorders>
              <w:top w:val="nil"/>
              <w:left w:val="nil"/>
              <w:bottom w:val="nil"/>
              <w:right w:val="nil"/>
            </w:tcBorders>
          </w:tcPr>
          <w:p w14:paraId="4AC820F9"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Applied Research</w:t>
            </w:r>
          </w:p>
        </w:tc>
        <w:tc>
          <w:tcPr>
            <w:tcW w:w="2693" w:type="dxa"/>
            <w:tcBorders>
              <w:top w:val="nil"/>
              <w:left w:val="nil"/>
              <w:bottom w:val="nil"/>
              <w:right w:val="nil"/>
            </w:tcBorders>
          </w:tcPr>
          <w:p w14:paraId="7AA5C1D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0.637</w:t>
            </w:r>
          </w:p>
        </w:tc>
        <w:tc>
          <w:tcPr>
            <w:tcW w:w="2632" w:type="dxa"/>
            <w:tcBorders>
              <w:top w:val="nil"/>
              <w:left w:val="nil"/>
              <w:bottom w:val="nil"/>
              <w:right w:val="nil"/>
            </w:tcBorders>
          </w:tcPr>
          <w:p w14:paraId="4409C5E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0.441</w:t>
            </w:r>
          </w:p>
        </w:tc>
        <w:tc>
          <w:tcPr>
            <w:tcW w:w="2694" w:type="dxa"/>
            <w:tcBorders>
              <w:top w:val="nil"/>
              <w:left w:val="nil"/>
              <w:bottom w:val="nil"/>
              <w:right w:val="nil"/>
            </w:tcBorders>
          </w:tcPr>
          <w:p w14:paraId="45F9C0F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0.399</w:t>
            </w:r>
          </w:p>
        </w:tc>
        <w:tc>
          <w:tcPr>
            <w:tcW w:w="2693" w:type="dxa"/>
            <w:tcBorders>
              <w:top w:val="nil"/>
              <w:left w:val="nil"/>
              <w:bottom w:val="nil"/>
              <w:right w:val="nil"/>
            </w:tcBorders>
          </w:tcPr>
          <w:p w14:paraId="196D080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0.435</w:t>
            </w:r>
          </w:p>
        </w:tc>
      </w:tr>
      <w:tr w:rsidR="00043492" w:rsidRPr="009B02B1" w14:paraId="03ED008D" w14:textId="77777777" w:rsidTr="00043492">
        <w:tc>
          <w:tcPr>
            <w:tcW w:w="4314" w:type="dxa"/>
            <w:tcBorders>
              <w:top w:val="nil"/>
              <w:left w:val="nil"/>
              <w:bottom w:val="nil"/>
              <w:right w:val="nil"/>
            </w:tcBorders>
          </w:tcPr>
          <w:p w14:paraId="0338D525"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36558F9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(1.111)</w:t>
            </w:r>
          </w:p>
        </w:tc>
        <w:tc>
          <w:tcPr>
            <w:tcW w:w="2632" w:type="dxa"/>
            <w:tcBorders>
              <w:top w:val="nil"/>
              <w:left w:val="nil"/>
              <w:bottom w:val="nil"/>
              <w:right w:val="nil"/>
            </w:tcBorders>
          </w:tcPr>
          <w:p w14:paraId="0B72283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(1.126)</w:t>
            </w:r>
          </w:p>
        </w:tc>
        <w:tc>
          <w:tcPr>
            <w:tcW w:w="2694" w:type="dxa"/>
            <w:tcBorders>
              <w:top w:val="nil"/>
              <w:left w:val="nil"/>
              <w:bottom w:val="nil"/>
              <w:right w:val="nil"/>
            </w:tcBorders>
          </w:tcPr>
          <w:p w14:paraId="357E863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(0.970)</w:t>
            </w:r>
          </w:p>
        </w:tc>
        <w:tc>
          <w:tcPr>
            <w:tcW w:w="2693" w:type="dxa"/>
            <w:tcBorders>
              <w:top w:val="nil"/>
              <w:left w:val="nil"/>
              <w:bottom w:val="nil"/>
              <w:right w:val="nil"/>
            </w:tcBorders>
          </w:tcPr>
          <w:p w14:paraId="51F01F4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(1.126)</w:t>
            </w:r>
          </w:p>
        </w:tc>
      </w:tr>
      <w:tr w:rsidR="00043492" w:rsidRPr="009B02B1" w14:paraId="32C3BBD2" w14:textId="77777777" w:rsidTr="00043492">
        <w:tc>
          <w:tcPr>
            <w:tcW w:w="4314" w:type="dxa"/>
            <w:tcBorders>
              <w:top w:val="nil"/>
              <w:left w:val="nil"/>
              <w:bottom w:val="nil"/>
              <w:right w:val="nil"/>
            </w:tcBorders>
          </w:tcPr>
          <w:p w14:paraId="363ACA36"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TTO Age</w:t>
            </w:r>
          </w:p>
        </w:tc>
        <w:tc>
          <w:tcPr>
            <w:tcW w:w="2693" w:type="dxa"/>
            <w:tcBorders>
              <w:top w:val="nil"/>
              <w:left w:val="nil"/>
              <w:bottom w:val="nil"/>
              <w:right w:val="nil"/>
            </w:tcBorders>
          </w:tcPr>
          <w:p w14:paraId="086C3AC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2632" w:type="dxa"/>
            <w:tcBorders>
              <w:top w:val="nil"/>
              <w:left w:val="nil"/>
              <w:bottom w:val="nil"/>
              <w:right w:val="nil"/>
            </w:tcBorders>
          </w:tcPr>
          <w:p w14:paraId="3B18CBB9"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2694" w:type="dxa"/>
            <w:tcBorders>
              <w:top w:val="nil"/>
              <w:left w:val="nil"/>
              <w:bottom w:val="nil"/>
              <w:right w:val="nil"/>
            </w:tcBorders>
          </w:tcPr>
          <w:p w14:paraId="414C5EB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2693" w:type="dxa"/>
            <w:tcBorders>
              <w:top w:val="nil"/>
              <w:left w:val="nil"/>
              <w:bottom w:val="nil"/>
              <w:right w:val="nil"/>
            </w:tcBorders>
          </w:tcPr>
          <w:p w14:paraId="29DA322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r>
      <w:tr w:rsidR="00043492" w:rsidRPr="009B02B1" w14:paraId="620D7BA4" w14:textId="77777777" w:rsidTr="00043492">
        <w:tc>
          <w:tcPr>
            <w:tcW w:w="4314" w:type="dxa"/>
            <w:tcBorders>
              <w:top w:val="nil"/>
              <w:left w:val="nil"/>
              <w:bottom w:val="nil"/>
              <w:right w:val="nil"/>
            </w:tcBorders>
          </w:tcPr>
          <w:p w14:paraId="1A09281B"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6C544BD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(0.016)</w:t>
            </w:r>
          </w:p>
        </w:tc>
        <w:tc>
          <w:tcPr>
            <w:tcW w:w="2632" w:type="dxa"/>
            <w:tcBorders>
              <w:top w:val="nil"/>
              <w:left w:val="nil"/>
              <w:bottom w:val="nil"/>
              <w:right w:val="nil"/>
            </w:tcBorders>
          </w:tcPr>
          <w:p w14:paraId="78EEE5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(0.014)</w:t>
            </w:r>
          </w:p>
        </w:tc>
        <w:tc>
          <w:tcPr>
            <w:tcW w:w="2694" w:type="dxa"/>
            <w:tcBorders>
              <w:top w:val="nil"/>
              <w:left w:val="nil"/>
              <w:bottom w:val="nil"/>
              <w:right w:val="nil"/>
            </w:tcBorders>
          </w:tcPr>
          <w:p w14:paraId="7FDFA59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(0.011)</w:t>
            </w:r>
          </w:p>
        </w:tc>
        <w:tc>
          <w:tcPr>
            <w:tcW w:w="2693" w:type="dxa"/>
            <w:tcBorders>
              <w:top w:val="nil"/>
              <w:left w:val="nil"/>
              <w:bottom w:val="nil"/>
              <w:right w:val="nil"/>
            </w:tcBorders>
          </w:tcPr>
          <w:p w14:paraId="41E0A45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(0.013)</w:t>
            </w:r>
          </w:p>
        </w:tc>
      </w:tr>
      <w:tr w:rsidR="00043492" w:rsidRPr="009B02B1" w14:paraId="02F45B08" w14:textId="77777777" w:rsidTr="00043492">
        <w:tc>
          <w:tcPr>
            <w:tcW w:w="4314" w:type="dxa"/>
            <w:tcBorders>
              <w:top w:val="nil"/>
              <w:left w:val="nil"/>
              <w:bottom w:val="nil"/>
              <w:right w:val="nil"/>
            </w:tcBorders>
          </w:tcPr>
          <w:p w14:paraId="3A4D1AD8"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Medical School</w:t>
            </w:r>
          </w:p>
        </w:tc>
        <w:tc>
          <w:tcPr>
            <w:tcW w:w="2693" w:type="dxa"/>
            <w:tcBorders>
              <w:top w:val="nil"/>
              <w:left w:val="nil"/>
              <w:bottom w:val="nil"/>
              <w:right w:val="nil"/>
            </w:tcBorders>
          </w:tcPr>
          <w:p w14:paraId="3B0BA94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0.519**</w:t>
            </w:r>
          </w:p>
        </w:tc>
        <w:tc>
          <w:tcPr>
            <w:tcW w:w="2632" w:type="dxa"/>
            <w:tcBorders>
              <w:top w:val="nil"/>
              <w:left w:val="nil"/>
              <w:bottom w:val="nil"/>
              <w:right w:val="nil"/>
            </w:tcBorders>
          </w:tcPr>
          <w:p w14:paraId="49692C2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0.586**</w:t>
            </w:r>
          </w:p>
        </w:tc>
        <w:tc>
          <w:tcPr>
            <w:tcW w:w="2694" w:type="dxa"/>
            <w:tcBorders>
              <w:top w:val="nil"/>
              <w:left w:val="nil"/>
              <w:bottom w:val="nil"/>
              <w:right w:val="nil"/>
            </w:tcBorders>
          </w:tcPr>
          <w:p w14:paraId="62D0CD6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0.491*</w:t>
            </w:r>
          </w:p>
        </w:tc>
        <w:tc>
          <w:tcPr>
            <w:tcW w:w="2693" w:type="dxa"/>
            <w:tcBorders>
              <w:top w:val="nil"/>
              <w:left w:val="nil"/>
              <w:bottom w:val="nil"/>
              <w:right w:val="nil"/>
            </w:tcBorders>
          </w:tcPr>
          <w:p w14:paraId="7F65E44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0.576**</w:t>
            </w:r>
          </w:p>
        </w:tc>
      </w:tr>
      <w:tr w:rsidR="00043492" w:rsidRPr="009B02B1" w14:paraId="5A6AC540" w14:textId="77777777" w:rsidTr="00043492">
        <w:tc>
          <w:tcPr>
            <w:tcW w:w="4314" w:type="dxa"/>
            <w:tcBorders>
              <w:top w:val="nil"/>
              <w:left w:val="nil"/>
              <w:bottom w:val="nil"/>
              <w:right w:val="nil"/>
            </w:tcBorders>
          </w:tcPr>
          <w:p w14:paraId="7354FB86"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1E4237A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(0.260)</w:t>
            </w:r>
          </w:p>
        </w:tc>
        <w:tc>
          <w:tcPr>
            <w:tcW w:w="2632" w:type="dxa"/>
            <w:tcBorders>
              <w:top w:val="nil"/>
              <w:left w:val="nil"/>
              <w:bottom w:val="nil"/>
              <w:right w:val="nil"/>
            </w:tcBorders>
          </w:tcPr>
          <w:p w14:paraId="6D5E92E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(0.254)</w:t>
            </w:r>
          </w:p>
        </w:tc>
        <w:tc>
          <w:tcPr>
            <w:tcW w:w="2694" w:type="dxa"/>
            <w:tcBorders>
              <w:top w:val="nil"/>
              <w:left w:val="nil"/>
              <w:bottom w:val="nil"/>
              <w:right w:val="nil"/>
            </w:tcBorders>
          </w:tcPr>
          <w:p w14:paraId="60379F4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(0.259)</w:t>
            </w:r>
          </w:p>
        </w:tc>
        <w:tc>
          <w:tcPr>
            <w:tcW w:w="2693" w:type="dxa"/>
            <w:tcBorders>
              <w:top w:val="nil"/>
              <w:left w:val="nil"/>
              <w:bottom w:val="nil"/>
              <w:right w:val="nil"/>
            </w:tcBorders>
          </w:tcPr>
          <w:p w14:paraId="50E7747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(0.263)</w:t>
            </w:r>
          </w:p>
        </w:tc>
      </w:tr>
      <w:tr w:rsidR="00043492" w:rsidRPr="009B02B1" w14:paraId="4D5058CE" w14:textId="77777777" w:rsidTr="00043492">
        <w:tc>
          <w:tcPr>
            <w:tcW w:w="4314" w:type="dxa"/>
            <w:tcBorders>
              <w:top w:val="nil"/>
              <w:left w:val="nil"/>
              <w:bottom w:val="nil"/>
              <w:right w:val="nil"/>
            </w:tcBorders>
          </w:tcPr>
          <w:p w14:paraId="4D1E1CEA"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Private</w:t>
            </w:r>
          </w:p>
        </w:tc>
        <w:tc>
          <w:tcPr>
            <w:tcW w:w="2693" w:type="dxa"/>
            <w:tcBorders>
              <w:top w:val="nil"/>
              <w:left w:val="nil"/>
              <w:bottom w:val="nil"/>
              <w:right w:val="nil"/>
            </w:tcBorders>
          </w:tcPr>
          <w:p w14:paraId="17480FB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0.768**</w:t>
            </w:r>
          </w:p>
        </w:tc>
        <w:tc>
          <w:tcPr>
            <w:tcW w:w="2632" w:type="dxa"/>
            <w:tcBorders>
              <w:top w:val="nil"/>
              <w:left w:val="nil"/>
              <w:bottom w:val="nil"/>
              <w:right w:val="nil"/>
            </w:tcBorders>
          </w:tcPr>
          <w:p w14:paraId="429040CA"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0.840***</w:t>
            </w:r>
          </w:p>
        </w:tc>
        <w:tc>
          <w:tcPr>
            <w:tcW w:w="2694" w:type="dxa"/>
            <w:tcBorders>
              <w:top w:val="nil"/>
              <w:left w:val="nil"/>
              <w:bottom w:val="nil"/>
              <w:right w:val="nil"/>
            </w:tcBorders>
          </w:tcPr>
          <w:p w14:paraId="331266A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0.959***</w:t>
            </w:r>
          </w:p>
        </w:tc>
        <w:tc>
          <w:tcPr>
            <w:tcW w:w="2693" w:type="dxa"/>
            <w:tcBorders>
              <w:top w:val="nil"/>
              <w:left w:val="nil"/>
              <w:bottom w:val="nil"/>
              <w:right w:val="nil"/>
            </w:tcBorders>
          </w:tcPr>
          <w:p w14:paraId="63F8729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0.831***</w:t>
            </w:r>
          </w:p>
        </w:tc>
      </w:tr>
      <w:tr w:rsidR="00043492" w:rsidRPr="009B02B1" w14:paraId="7AAE9D41" w14:textId="77777777" w:rsidTr="00043492">
        <w:tc>
          <w:tcPr>
            <w:tcW w:w="4314" w:type="dxa"/>
            <w:tcBorders>
              <w:top w:val="nil"/>
              <w:left w:val="nil"/>
              <w:bottom w:val="nil"/>
              <w:right w:val="nil"/>
            </w:tcBorders>
          </w:tcPr>
          <w:p w14:paraId="1E6BA3CA"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2693" w:type="dxa"/>
            <w:tcBorders>
              <w:top w:val="nil"/>
              <w:left w:val="nil"/>
              <w:bottom w:val="nil"/>
              <w:right w:val="nil"/>
            </w:tcBorders>
          </w:tcPr>
          <w:p w14:paraId="227744C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(0.313)</w:t>
            </w:r>
          </w:p>
        </w:tc>
        <w:tc>
          <w:tcPr>
            <w:tcW w:w="2632" w:type="dxa"/>
            <w:tcBorders>
              <w:top w:val="nil"/>
              <w:left w:val="nil"/>
              <w:bottom w:val="nil"/>
              <w:right w:val="nil"/>
            </w:tcBorders>
          </w:tcPr>
          <w:p w14:paraId="5495D88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(0.291)</w:t>
            </w:r>
          </w:p>
        </w:tc>
        <w:tc>
          <w:tcPr>
            <w:tcW w:w="2694" w:type="dxa"/>
            <w:tcBorders>
              <w:top w:val="nil"/>
              <w:left w:val="nil"/>
              <w:bottom w:val="nil"/>
              <w:right w:val="nil"/>
            </w:tcBorders>
          </w:tcPr>
          <w:p w14:paraId="139FF41B"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(0.270)</w:t>
            </w:r>
          </w:p>
        </w:tc>
        <w:tc>
          <w:tcPr>
            <w:tcW w:w="2693" w:type="dxa"/>
            <w:tcBorders>
              <w:top w:val="nil"/>
              <w:left w:val="nil"/>
              <w:bottom w:val="nil"/>
              <w:right w:val="nil"/>
            </w:tcBorders>
          </w:tcPr>
          <w:p w14:paraId="7A64737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(0.294)</w:t>
            </w:r>
          </w:p>
        </w:tc>
      </w:tr>
      <w:tr w:rsidR="00043492" w:rsidRPr="009B02B1" w14:paraId="20F71DF8" w14:textId="77777777" w:rsidTr="00043492">
        <w:tc>
          <w:tcPr>
            <w:tcW w:w="4314" w:type="dxa"/>
            <w:tcBorders>
              <w:top w:val="nil"/>
              <w:left w:val="nil"/>
              <w:bottom w:val="nil"/>
              <w:right w:val="nil"/>
            </w:tcBorders>
          </w:tcPr>
          <w:p w14:paraId="17D3BEBA"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Constant</w:t>
            </w:r>
          </w:p>
        </w:tc>
        <w:tc>
          <w:tcPr>
            <w:tcW w:w="2693" w:type="dxa"/>
            <w:tcBorders>
              <w:top w:val="nil"/>
              <w:left w:val="nil"/>
              <w:bottom w:val="nil"/>
              <w:right w:val="nil"/>
            </w:tcBorders>
          </w:tcPr>
          <w:p w14:paraId="31489FA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-3.963</w:t>
            </w:r>
          </w:p>
        </w:tc>
        <w:tc>
          <w:tcPr>
            <w:tcW w:w="2632" w:type="dxa"/>
            <w:tcBorders>
              <w:top w:val="nil"/>
              <w:left w:val="nil"/>
              <w:bottom w:val="nil"/>
              <w:right w:val="nil"/>
            </w:tcBorders>
          </w:tcPr>
          <w:p w14:paraId="4A2127A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-3.268</w:t>
            </w:r>
          </w:p>
        </w:tc>
        <w:tc>
          <w:tcPr>
            <w:tcW w:w="2694" w:type="dxa"/>
            <w:tcBorders>
              <w:top w:val="nil"/>
              <w:left w:val="nil"/>
              <w:bottom w:val="nil"/>
              <w:right w:val="nil"/>
            </w:tcBorders>
          </w:tcPr>
          <w:p w14:paraId="74FAF9A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-2.970</w:t>
            </w:r>
          </w:p>
        </w:tc>
        <w:tc>
          <w:tcPr>
            <w:tcW w:w="2693" w:type="dxa"/>
            <w:tcBorders>
              <w:top w:val="nil"/>
              <w:left w:val="nil"/>
              <w:bottom w:val="nil"/>
              <w:right w:val="nil"/>
            </w:tcBorders>
          </w:tcPr>
          <w:p w14:paraId="5B492AA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-3.139</w:t>
            </w:r>
          </w:p>
        </w:tc>
      </w:tr>
      <w:tr w:rsidR="00043492" w:rsidRPr="009B02B1" w14:paraId="69770D4C" w14:textId="77777777" w:rsidTr="00043492">
        <w:tc>
          <w:tcPr>
            <w:tcW w:w="4314" w:type="dxa"/>
            <w:tcBorders>
              <w:top w:val="nil"/>
              <w:left w:val="nil"/>
              <w:bottom w:val="nil"/>
              <w:right w:val="nil"/>
            </w:tcBorders>
          </w:tcPr>
          <w:p w14:paraId="434574E2"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lastRenderedPageBreak/>
              <w:t xml:space="preserve">  </w:t>
            </w:r>
          </w:p>
        </w:tc>
        <w:tc>
          <w:tcPr>
            <w:tcW w:w="2693" w:type="dxa"/>
            <w:tcBorders>
              <w:top w:val="nil"/>
              <w:left w:val="nil"/>
              <w:bottom w:val="nil"/>
              <w:right w:val="nil"/>
            </w:tcBorders>
          </w:tcPr>
          <w:p w14:paraId="5AA1C80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(2.519)</w:t>
            </w:r>
          </w:p>
        </w:tc>
        <w:tc>
          <w:tcPr>
            <w:tcW w:w="2632" w:type="dxa"/>
            <w:tcBorders>
              <w:top w:val="nil"/>
              <w:left w:val="nil"/>
              <w:bottom w:val="nil"/>
              <w:right w:val="nil"/>
            </w:tcBorders>
          </w:tcPr>
          <w:p w14:paraId="0B82E0A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(2.402)</w:t>
            </w:r>
          </w:p>
        </w:tc>
        <w:tc>
          <w:tcPr>
            <w:tcW w:w="2694" w:type="dxa"/>
            <w:tcBorders>
              <w:top w:val="nil"/>
              <w:left w:val="nil"/>
              <w:bottom w:val="nil"/>
              <w:right w:val="nil"/>
            </w:tcBorders>
          </w:tcPr>
          <w:p w14:paraId="36F0232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(2.462)</w:t>
            </w:r>
          </w:p>
        </w:tc>
        <w:tc>
          <w:tcPr>
            <w:tcW w:w="2693" w:type="dxa"/>
            <w:tcBorders>
              <w:top w:val="nil"/>
              <w:left w:val="nil"/>
              <w:bottom w:val="nil"/>
              <w:right w:val="nil"/>
            </w:tcBorders>
          </w:tcPr>
          <w:p w14:paraId="3582795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(2.320)</w:t>
            </w:r>
          </w:p>
        </w:tc>
      </w:tr>
      <w:tr w:rsidR="00043492" w:rsidRPr="009B02B1" w14:paraId="3E5C0E94" w14:textId="77777777" w:rsidTr="00043492">
        <w:tc>
          <w:tcPr>
            <w:tcW w:w="4314" w:type="dxa"/>
            <w:tcBorders>
              <w:top w:val="nil"/>
              <w:left w:val="nil"/>
              <w:bottom w:val="nil"/>
              <w:right w:val="nil"/>
            </w:tcBorders>
          </w:tcPr>
          <w:p w14:paraId="7A651231"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State fixed effects</w:t>
            </w:r>
          </w:p>
        </w:tc>
        <w:tc>
          <w:tcPr>
            <w:tcW w:w="2693" w:type="dxa"/>
            <w:tcBorders>
              <w:top w:val="nil"/>
              <w:left w:val="nil"/>
              <w:bottom w:val="nil"/>
              <w:right w:val="nil"/>
            </w:tcBorders>
          </w:tcPr>
          <w:p w14:paraId="1277DD8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2632" w:type="dxa"/>
            <w:tcBorders>
              <w:top w:val="nil"/>
              <w:left w:val="nil"/>
              <w:bottom w:val="nil"/>
              <w:right w:val="nil"/>
            </w:tcBorders>
          </w:tcPr>
          <w:p w14:paraId="1B7999D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2694" w:type="dxa"/>
            <w:tcBorders>
              <w:top w:val="nil"/>
              <w:left w:val="nil"/>
              <w:bottom w:val="nil"/>
              <w:right w:val="nil"/>
            </w:tcBorders>
          </w:tcPr>
          <w:p w14:paraId="2310CB1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2693" w:type="dxa"/>
            <w:tcBorders>
              <w:top w:val="nil"/>
              <w:left w:val="nil"/>
              <w:bottom w:val="nil"/>
              <w:right w:val="nil"/>
            </w:tcBorders>
          </w:tcPr>
          <w:p w14:paraId="564C0B5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r>
      <w:tr w:rsidR="00043492" w:rsidRPr="009B02B1" w14:paraId="1D5980D6" w14:textId="77777777" w:rsidTr="00043492">
        <w:tc>
          <w:tcPr>
            <w:tcW w:w="4314" w:type="dxa"/>
            <w:tcBorders>
              <w:top w:val="nil"/>
              <w:left w:val="nil"/>
              <w:bottom w:val="nil"/>
              <w:right w:val="nil"/>
            </w:tcBorders>
          </w:tcPr>
          <w:p w14:paraId="6CA814E9"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Year fixed effects</w:t>
            </w:r>
          </w:p>
        </w:tc>
        <w:tc>
          <w:tcPr>
            <w:tcW w:w="2693" w:type="dxa"/>
            <w:tcBorders>
              <w:top w:val="nil"/>
              <w:left w:val="nil"/>
              <w:bottom w:val="nil"/>
              <w:right w:val="nil"/>
            </w:tcBorders>
          </w:tcPr>
          <w:p w14:paraId="073723F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2632" w:type="dxa"/>
            <w:tcBorders>
              <w:top w:val="nil"/>
              <w:left w:val="nil"/>
              <w:bottom w:val="nil"/>
              <w:right w:val="nil"/>
            </w:tcBorders>
          </w:tcPr>
          <w:p w14:paraId="696C3F67"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2694" w:type="dxa"/>
            <w:tcBorders>
              <w:top w:val="nil"/>
              <w:left w:val="nil"/>
              <w:bottom w:val="nil"/>
              <w:right w:val="nil"/>
            </w:tcBorders>
          </w:tcPr>
          <w:p w14:paraId="78C94FD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2693" w:type="dxa"/>
            <w:tcBorders>
              <w:top w:val="nil"/>
              <w:left w:val="nil"/>
              <w:bottom w:val="nil"/>
              <w:right w:val="nil"/>
            </w:tcBorders>
          </w:tcPr>
          <w:p w14:paraId="5E09143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r>
      <w:tr w:rsidR="00043492" w:rsidRPr="009B02B1" w14:paraId="38DA33A5" w14:textId="77777777" w:rsidTr="00043492">
        <w:tc>
          <w:tcPr>
            <w:tcW w:w="4314" w:type="dxa"/>
            <w:tcBorders>
              <w:top w:val="nil"/>
              <w:left w:val="nil"/>
              <w:bottom w:val="nil"/>
              <w:right w:val="nil"/>
            </w:tcBorders>
          </w:tcPr>
          <w:p w14:paraId="415604BF" w14:textId="51C92CA0"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Observations</w:t>
            </w:r>
          </w:p>
        </w:tc>
        <w:tc>
          <w:tcPr>
            <w:tcW w:w="2693" w:type="dxa"/>
            <w:tcBorders>
              <w:top w:val="nil"/>
              <w:left w:val="nil"/>
              <w:bottom w:val="nil"/>
              <w:right w:val="nil"/>
            </w:tcBorders>
          </w:tcPr>
          <w:p w14:paraId="1C00DADF"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1408</w:t>
            </w:r>
          </w:p>
        </w:tc>
        <w:tc>
          <w:tcPr>
            <w:tcW w:w="2632" w:type="dxa"/>
            <w:tcBorders>
              <w:top w:val="nil"/>
              <w:left w:val="nil"/>
              <w:bottom w:val="nil"/>
              <w:right w:val="nil"/>
            </w:tcBorders>
          </w:tcPr>
          <w:p w14:paraId="67D95B6D"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1408</w:t>
            </w:r>
          </w:p>
        </w:tc>
        <w:tc>
          <w:tcPr>
            <w:tcW w:w="2694" w:type="dxa"/>
            <w:tcBorders>
              <w:top w:val="nil"/>
              <w:left w:val="nil"/>
              <w:bottom w:val="nil"/>
              <w:right w:val="nil"/>
            </w:tcBorders>
          </w:tcPr>
          <w:p w14:paraId="18954A34"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1408</w:t>
            </w:r>
          </w:p>
        </w:tc>
        <w:tc>
          <w:tcPr>
            <w:tcW w:w="2693" w:type="dxa"/>
            <w:tcBorders>
              <w:top w:val="nil"/>
              <w:left w:val="nil"/>
              <w:bottom w:val="nil"/>
              <w:right w:val="nil"/>
            </w:tcBorders>
          </w:tcPr>
          <w:p w14:paraId="324C6C0E"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1408</w:t>
            </w:r>
          </w:p>
        </w:tc>
      </w:tr>
      <w:tr w:rsidR="00043492" w:rsidRPr="009B02B1" w14:paraId="067E8580" w14:textId="77777777" w:rsidTr="00043492">
        <w:tc>
          <w:tcPr>
            <w:tcW w:w="4314" w:type="dxa"/>
            <w:tcBorders>
              <w:top w:val="nil"/>
              <w:left w:val="nil"/>
              <w:bottom w:val="nil"/>
              <w:right w:val="nil"/>
            </w:tcBorders>
          </w:tcPr>
          <w:p w14:paraId="25FC23A0"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R-squared </w:t>
            </w:r>
          </w:p>
        </w:tc>
        <w:tc>
          <w:tcPr>
            <w:tcW w:w="2693" w:type="dxa"/>
            <w:tcBorders>
              <w:top w:val="nil"/>
              <w:left w:val="nil"/>
              <w:bottom w:val="nil"/>
              <w:right w:val="nil"/>
            </w:tcBorders>
          </w:tcPr>
          <w:p w14:paraId="54EF6D11"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0.797</w:t>
            </w:r>
          </w:p>
        </w:tc>
        <w:tc>
          <w:tcPr>
            <w:tcW w:w="2632" w:type="dxa"/>
            <w:tcBorders>
              <w:top w:val="nil"/>
              <w:left w:val="nil"/>
              <w:bottom w:val="nil"/>
              <w:right w:val="nil"/>
            </w:tcBorders>
          </w:tcPr>
          <w:p w14:paraId="00380B02"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0.805</w:t>
            </w:r>
          </w:p>
        </w:tc>
        <w:tc>
          <w:tcPr>
            <w:tcW w:w="2694" w:type="dxa"/>
            <w:tcBorders>
              <w:top w:val="nil"/>
              <w:left w:val="nil"/>
              <w:bottom w:val="nil"/>
              <w:right w:val="nil"/>
            </w:tcBorders>
          </w:tcPr>
          <w:p w14:paraId="010AF970"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0.815</w:t>
            </w:r>
          </w:p>
        </w:tc>
        <w:tc>
          <w:tcPr>
            <w:tcW w:w="2693" w:type="dxa"/>
            <w:tcBorders>
              <w:top w:val="nil"/>
              <w:left w:val="nil"/>
              <w:bottom w:val="nil"/>
              <w:right w:val="nil"/>
            </w:tcBorders>
          </w:tcPr>
          <w:p w14:paraId="1D0FE986"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0.807</w:t>
            </w:r>
          </w:p>
        </w:tc>
      </w:tr>
      <w:tr w:rsidR="00043492" w:rsidRPr="009B02B1" w14:paraId="69F9632B" w14:textId="77777777" w:rsidTr="00043492">
        <w:tc>
          <w:tcPr>
            <w:tcW w:w="4314" w:type="dxa"/>
            <w:tcBorders>
              <w:top w:val="nil"/>
              <w:left w:val="nil"/>
              <w:bottom w:val="nil"/>
              <w:right w:val="nil"/>
            </w:tcBorders>
          </w:tcPr>
          <w:p w14:paraId="3ED420B2"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F</w:t>
            </w:r>
          </w:p>
        </w:tc>
        <w:tc>
          <w:tcPr>
            <w:tcW w:w="2693" w:type="dxa"/>
            <w:tcBorders>
              <w:top w:val="nil"/>
              <w:left w:val="nil"/>
              <w:bottom w:val="nil"/>
              <w:right w:val="nil"/>
            </w:tcBorders>
          </w:tcPr>
          <w:p w14:paraId="6AF7120C"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27.51</w:t>
            </w:r>
          </w:p>
        </w:tc>
        <w:tc>
          <w:tcPr>
            <w:tcW w:w="2632" w:type="dxa"/>
            <w:tcBorders>
              <w:top w:val="nil"/>
              <w:left w:val="nil"/>
              <w:bottom w:val="nil"/>
              <w:right w:val="nil"/>
            </w:tcBorders>
          </w:tcPr>
          <w:p w14:paraId="237C37D8"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33.80</w:t>
            </w:r>
          </w:p>
        </w:tc>
        <w:tc>
          <w:tcPr>
            <w:tcW w:w="2694" w:type="dxa"/>
            <w:tcBorders>
              <w:top w:val="nil"/>
              <w:left w:val="nil"/>
              <w:bottom w:val="nil"/>
              <w:right w:val="nil"/>
            </w:tcBorders>
          </w:tcPr>
          <w:p w14:paraId="6F771915"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41.44</w:t>
            </w:r>
          </w:p>
        </w:tc>
        <w:tc>
          <w:tcPr>
            <w:tcW w:w="2693" w:type="dxa"/>
            <w:tcBorders>
              <w:top w:val="nil"/>
              <w:left w:val="nil"/>
              <w:bottom w:val="nil"/>
              <w:right w:val="nil"/>
            </w:tcBorders>
          </w:tcPr>
          <w:p w14:paraId="470A1CA3" w14:textId="77777777" w:rsidR="00043492" w:rsidRPr="009B02B1" w:rsidRDefault="00043492" w:rsidP="00501891">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41.70</w:t>
            </w:r>
          </w:p>
        </w:tc>
      </w:tr>
      <w:tr w:rsidR="00043492" w:rsidRPr="009B02B1" w14:paraId="7FC3880B" w14:textId="77777777" w:rsidTr="00043492">
        <w:tc>
          <w:tcPr>
            <w:tcW w:w="15026" w:type="dxa"/>
            <w:gridSpan w:val="5"/>
            <w:tcBorders>
              <w:top w:val="nil"/>
              <w:left w:val="nil"/>
              <w:bottom w:val="single" w:sz="10" w:space="0" w:color="auto"/>
              <w:right w:val="nil"/>
            </w:tcBorders>
          </w:tcPr>
          <w:p w14:paraId="1F5E4D2D" w14:textId="77777777"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p>
        </w:tc>
      </w:tr>
      <w:tr w:rsidR="00043492" w:rsidRPr="009B02B1" w14:paraId="3DD384E7" w14:textId="77777777" w:rsidTr="00043492">
        <w:trPr>
          <w:trHeight w:val="450"/>
        </w:trPr>
        <w:tc>
          <w:tcPr>
            <w:tcW w:w="15026" w:type="dxa"/>
            <w:gridSpan w:val="5"/>
            <w:tcBorders>
              <w:top w:val="nil"/>
              <w:left w:val="nil"/>
              <w:right w:val="nil"/>
            </w:tcBorders>
          </w:tcPr>
          <w:p w14:paraId="4A2FF97E" w14:textId="21741A1A" w:rsidR="004761EA"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Standard errors are in parenthesis. *** p&lt;0.01, ** p&lt;0.05, * p&lt;0.1</w:t>
            </w:r>
          </w:p>
          <w:p w14:paraId="0B46FFE4" w14:textId="403C524F" w:rsidR="00043492" w:rsidRPr="009B02B1" w:rsidRDefault="00043492" w:rsidP="00501891">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r>
    </w:tbl>
    <w:p w14:paraId="21ECBBEF" w14:textId="03EA943E" w:rsidR="00756246" w:rsidRPr="004D3EDC" w:rsidRDefault="00756246" w:rsidP="00043492">
      <w:pPr>
        <w:spacing w:line="240" w:lineRule="auto"/>
        <w:ind w:firstLine="0"/>
        <w:rPr>
          <w:rFonts w:cs="Times New Roman"/>
          <w:sz w:val="20"/>
          <w:lang w:val="en-US"/>
        </w:rPr>
        <w:sectPr w:rsidR="00756246" w:rsidRPr="004D3EDC" w:rsidSect="00043492">
          <w:footerReference w:type="default" r:id="rId11"/>
          <w:pgSz w:w="15842" w:h="12242" w:orient="landscape" w:code="1"/>
          <w:pgMar w:top="1440" w:right="1440" w:bottom="1440" w:left="1440" w:header="720" w:footer="720" w:gutter="0"/>
          <w:cols w:space="720"/>
          <w:docGrid w:linePitch="360"/>
        </w:sectPr>
      </w:pPr>
    </w:p>
    <w:p w14:paraId="601E4D2A" w14:textId="31F0344E" w:rsidR="00043492" w:rsidRPr="00DB240F" w:rsidRDefault="00043492" w:rsidP="00DB240F">
      <w:pPr>
        <w:keepNext/>
        <w:keepLines/>
        <w:widowControl w:val="0"/>
        <w:spacing w:after="120" w:line="240" w:lineRule="auto"/>
        <w:ind w:firstLine="0"/>
        <w:rPr>
          <w:rFonts w:cs="Times New Roman"/>
          <w:bCs/>
          <w:lang w:val="en-US"/>
        </w:rPr>
      </w:pPr>
      <w:r w:rsidRPr="009515B3">
        <w:rPr>
          <w:rFonts w:cs="Times New Roman"/>
          <w:bCs/>
          <w:lang w:val="en-US"/>
        </w:rPr>
        <w:lastRenderedPageBreak/>
        <w:t xml:space="preserve">Table </w:t>
      </w:r>
      <w:r w:rsidR="00AC22F9">
        <w:rPr>
          <w:rFonts w:cs="Times New Roman"/>
          <w:bCs/>
          <w:lang w:val="en-US"/>
        </w:rPr>
        <w:t>5</w:t>
      </w:r>
      <w:r w:rsidRPr="009515B3">
        <w:rPr>
          <w:rFonts w:cs="Times New Roman"/>
          <w:bCs/>
          <w:lang w:val="en-US"/>
        </w:rPr>
        <w:t>. Results of the robustness checks</w:t>
      </w:r>
      <w:r w:rsidRPr="00376D7D">
        <w:rPr>
          <w:rFonts w:cs="Times New Roman"/>
          <w:bCs/>
          <w:lang w:val="en-US"/>
        </w:rPr>
        <w:t xml:space="preserve"> using university fixed effects regressions</w:t>
      </w:r>
    </w:p>
    <w:tbl>
      <w:tblPr>
        <w:tblpPr w:leftFromText="180" w:rightFromText="180" w:horzAnchor="margin" w:tblpXSpec="center" w:tblpY="1037"/>
        <w:tblW w:w="15593" w:type="dxa"/>
        <w:jc w:val="center"/>
        <w:tblLayout w:type="fixed"/>
        <w:tblLook w:val="0000" w:firstRow="0" w:lastRow="0" w:firstColumn="0" w:lastColumn="0" w:noHBand="0" w:noVBand="0"/>
      </w:tblPr>
      <w:tblGrid>
        <w:gridCol w:w="4499"/>
        <w:gridCol w:w="1200"/>
        <w:gridCol w:w="1200"/>
        <w:gridCol w:w="1200"/>
        <w:gridCol w:w="1200"/>
        <w:gridCol w:w="1200"/>
        <w:gridCol w:w="1200"/>
        <w:gridCol w:w="1202"/>
        <w:gridCol w:w="1202"/>
        <w:gridCol w:w="1490"/>
      </w:tblGrid>
      <w:tr w:rsidR="005E1948" w:rsidRPr="009B02B1" w14:paraId="78837BF2" w14:textId="77777777" w:rsidTr="006D2597">
        <w:trPr>
          <w:jc w:val="center"/>
        </w:trPr>
        <w:tc>
          <w:tcPr>
            <w:tcW w:w="4499" w:type="dxa"/>
            <w:tcBorders>
              <w:top w:val="single" w:sz="4" w:space="0" w:color="auto"/>
              <w:left w:val="nil"/>
              <w:right w:val="nil"/>
            </w:tcBorders>
          </w:tcPr>
          <w:p w14:paraId="7C4305B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single" w:sz="4" w:space="0" w:color="auto"/>
              <w:left w:val="nil"/>
              <w:right w:val="nil"/>
            </w:tcBorders>
          </w:tcPr>
          <w:p w14:paraId="32407190" w14:textId="67136781"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w:t>
            </w:r>
            <w:r w:rsidR="00AC22F9">
              <w:rPr>
                <w:rFonts w:cs="Times New Roman"/>
                <w:sz w:val="20"/>
                <w:szCs w:val="20"/>
                <w:lang w:val="en-US" w:eastAsia="en-GB"/>
              </w:rPr>
              <w:t>5</w:t>
            </w:r>
            <w:r w:rsidR="005E1948" w:rsidRPr="009B02B1">
              <w:rPr>
                <w:rFonts w:cs="Times New Roman"/>
                <w:sz w:val="20"/>
                <w:szCs w:val="20"/>
                <w:lang w:val="en-US" w:eastAsia="en-GB"/>
              </w:rPr>
              <w:t>)</w:t>
            </w:r>
          </w:p>
        </w:tc>
        <w:tc>
          <w:tcPr>
            <w:tcW w:w="1200" w:type="dxa"/>
            <w:tcBorders>
              <w:top w:val="single" w:sz="4" w:space="0" w:color="auto"/>
              <w:left w:val="nil"/>
              <w:right w:val="nil"/>
            </w:tcBorders>
          </w:tcPr>
          <w:p w14:paraId="6D5180D8" w14:textId="6E76B187"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w:t>
            </w:r>
            <w:r w:rsidR="00AC22F9">
              <w:rPr>
                <w:rFonts w:cs="Times New Roman"/>
                <w:sz w:val="20"/>
                <w:szCs w:val="20"/>
                <w:lang w:val="en-US" w:eastAsia="en-GB"/>
              </w:rPr>
              <w:t>6</w:t>
            </w:r>
            <w:r w:rsidR="005E1948" w:rsidRPr="009B02B1">
              <w:rPr>
                <w:rFonts w:cs="Times New Roman"/>
                <w:sz w:val="20"/>
                <w:szCs w:val="20"/>
                <w:lang w:val="en-US" w:eastAsia="en-GB"/>
              </w:rPr>
              <w:t>)</w:t>
            </w:r>
          </w:p>
        </w:tc>
        <w:tc>
          <w:tcPr>
            <w:tcW w:w="1200" w:type="dxa"/>
            <w:tcBorders>
              <w:top w:val="single" w:sz="4" w:space="0" w:color="auto"/>
              <w:left w:val="nil"/>
              <w:right w:val="nil"/>
            </w:tcBorders>
          </w:tcPr>
          <w:p w14:paraId="6AC8CF02" w14:textId="5A8576EF"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w:t>
            </w:r>
            <w:r w:rsidR="00AC22F9">
              <w:rPr>
                <w:rFonts w:cs="Times New Roman"/>
                <w:sz w:val="20"/>
                <w:szCs w:val="20"/>
                <w:lang w:val="en-US" w:eastAsia="en-GB"/>
              </w:rPr>
              <w:t>7</w:t>
            </w:r>
            <w:r w:rsidR="005E1948" w:rsidRPr="009B02B1">
              <w:rPr>
                <w:rFonts w:cs="Times New Roman"/>
                <w:sz w:val="20"/>
                <w:szCs w:val="20"/>
                <w:lang w:val="en-US" w:eastAsia="en-GB"/>
              </w:rPr>
              <w:t>)</w:t>
            </w:r>
          </w:p>
        </w:tc>
        <w:tc>
          <w:tcPr>
            <w:tcW w:w="1200" w:type="dxa"/>
            <w:tcBorders>
              <w:top w:val="single" w:sz="4" w:space="0" w:color="auto"/>
              <w:left w:val="nil"/>
              <w:right w:val="nil"/>
            </w:tcBorders>
          </w:tcPr>
          <w:p w14:paraId="34BA7956" w14:textId="4D30A86F"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w:t>
            </w:r>
            <w:r w:rsidR="00AC22F9">
              <w:rPr>
                <w:rFonts w:cs="Times New Roman"/>
                <w:sz w:val="20"/>
                <w:szCs w:val="20"/>
                <w:lang w:val="en-US" w:eastAsia="en-GB"/>
              </w:rPr>
              <w:t>8</w:t>
            </w:r>
            <w:r w:rsidR="005E1948" w:rsidRPr="009B02B1">
              <w:rPr>
                <w:rFonts w:cs="Times New Roman"/>
                <w:sz w:val="20"/>
                <w:szCs w:val="20"/>
                <w:lang w:val="en-US" w:eastAsia="en-GB"/>
              </w:rPr>
              <w:t>)</w:t>
            </w:r>
          </w:p>
        </w:tc>
        <w:tc>
          <w:tcPr>
            <w:tcW w:w="1200" w:type="dxa"/>
            <w:tcBorders>
              <w:top w:val="single" w:sz="4" w:space="0" w:color="auto"/>
              <w:left w:val="nil"/>
              <w:right w:val="nil"/>
            </w:tcBorders>
          </w:tcPr>
          <w:p w14:paraId="70CDAA96" w14:textId="5EBA7C98"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w:t>
            </w:r>
            <w:r w:rsidR="00AC22F9">
              <w:rPr>
                <w:rFonts w:cs="Times New Roman"/>
                <w:sz w:val="20"/>
                <w:szCs w:val="20"/>
                <w:lang w:val="en-US" w:eastAsia="en-GB"/>
              </w:rPr>
              <w:t>9</w:t>
            </w:r>
            <w:r w:rsidR="005E1948" w:rsidRPr="009B02B1">
              <w:rPr>
                <w:rFonts w:cs="Times New Roman"/>
                <w:sz w:val="20"/>
                <w:szCs w:val="20"/>
                <w:lang w:val="en-US" w:eastAsia="en-GB"/>
              </w:rPr>
              <w:t>)</w:t>
            </w:r>
          </w:p>
        </w:tc>
        <w:tc>
          <w:tcPr>
            <w:tcW w:w="1200" w:type="dxa"/>
            <w:tcBorders>
              <w:top w:val="single" w:sz="4" w:space="0" w:color="auto"/>
              <w:left w:val="nil"/>
              <w:right w:val="nil"/>
            </w:tcBorders>
          </w:tcPr>
          <w:p w14:paraId="1D162E3C" w14:textId="334ABDFE"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(1</w:t>
            </w:r>
            <w:r w:rsidR="00AC22F9">
              <w:rPr>
                <w:rFonts w:cs="Times New Roman"/>
                <w:sz w:val="20"/>
                <w:szCs w:val="20"/>
                <w:lang w:val="en-US" w:eastAsia="en-GB"/>
              </w:rPr>
              <w:t>0</w:t>
            </w:r>
            <w:r w:rsidR="005E1948" w:rsidRPr="009B02B1">
              <w:rPr>
                <w:rFonts w:cs="Times New Roman"/>
                <w:sz w:val="20"/>
                <w:szCs w:val="20"/>
                <w:lang w:val="en-US" w:eastAsia="en-GB"/>
              </w:rPr>
              <w:t>)</w:t>
            </w:r>
          </w:p>
        </w:tc>
        <w:tc>
          <w:tcPr>
            <w:tcW w:w="1202" w:type="dxa"/>
            <w:tcBorders>
              <w:top w:val="single" w:sz="4" w:space="0" w:color="auto"/>
              <w:left w:val="nil"/>
              <w:right w:val="nil"/>
            </w:tcBorders>
          </w:tcPr>
          <w:p w14:paraId="76F88371" w14:textId="55678CE4"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(1</w:t>
            </w:r>
            <w:r w:rsidR="00AC22F9">
              <w:rPr>
                <w:rFonts w:cs="Times New Roman"/>
                <w:sz w:val="20"/>
                <w:szCs w:val="20"/>
                <w:lang w:val="en-US" w:eastAsia="en-GB"/>
              </w:rPr>
              <w:t>1</w:t>
            </w:r>
            <w:r w:rsidR="005E1948" w:rsidRPr="009B02B1">
              <w:rPr>
                <w:rFonts w:cs="Times New Roman"/>
                <w:sz w:val="20"/>
                <w:szCs w:val="20"/>
                <w:lang w:val="en-US" w:eastAsia="en-GB"/>
              </w:rPr>
              <w:t>)</w:t>
            </w:r>
          </w:p>
        </w:tc>
        <w:tc>
          <w:tcPr>
            <w:tcW w:w="1202" w:type="dxa"/>
            <w:tcBorders>
              <w:top w:val="single" w:sz="4" w:space="0" w:color="auto"/>
              <w:left w:val="nil"/>
              <w:right w:val="nil"/>
            </w:tcBorders>
          </w:tcPr>
          <w:p w14:paraId="36D7897A" w14:textId="0094FBF2"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(1</w:t>
            </w:r>
            <w:r w:rsidR="00AC22F9">
              <w:rPr>
                <w:rFonts w:cs="Times New Roman"/>
                <w:sz w:val="20"/>
                <w:szCs w:val="20"/>
                <w:lang w:val="en-US" w:eastAsia="en-GB"/>
              </w:rPr>
              <w:t>2</w:t>
            </w:r>
            <w:r w:rsidR="005E1948" w:rsidRPr="009B02B1">
              <w:rPr>
                <w:rFonts w:cs="Times New Roman"/>
                <w:sz w:val="20"/>
                <w:szCs w:val="20"/>
                <w:lang w:val="en-US" w:eastAsia="en-GB"/>
              </w:rPr>
              <w:t>)</w:t>
            </w:r>
          </w:p>
        </w:tc>
        <w:tc>
          <w:tcPr>
            <w:tcW w:w="1490" w:type="dxa"/>
            <w:tcBorders>
              <w:top w:val="single" w:sz="4" w:space="0" w:color="auto"/>
              <w:left w:val="nil"/>
              <w:right w:val="nil"/>
            </w:tcBorders>
          </w:tcPr>
          <w:p w14:paraId="05C1D7E1" w14:textId="6E9222B7" w:rsidR="005E1948" w:rsidRPr="009B02B1" w:rsidRDefault="007C4F9A" w:rsidP="006D2597">
            <w:pPr>
              <w:widowControl w:val="0"/>
              <w:autoSpaceDE w:val="0"/>
              <w:autoSpaceDN w:val="0"/>
              <w:adjustRightInd w:val="0"/>
              <w:spacing w:line="240" w:lineRule="auto"/>
              <w:ind w:firstLine="0"/>
              <w:jc w:val="center"/>
              <w:rPr>
                <w:rFonts w:cs="Times New Roman"/>
                <w:sz w:val="20"/>
                <w:szCs w:val="20"/>
                <w:lang w:val="en-US" w:eastAsia="en-GB"/>
              </w:rPr>
            </w:pPr>
            <w:r>
              <w:rPr>
                <w:rFonts w:cs="Times New Roman"/>
                <w:sz w:val="20"/>
                <w:szCs w:val="20"/>
                <w:lang w:val="en-US" w:eastAsia="en-GB"/>
              </w:rPr>
              <w:t>Model (1</w:t>
            </w:r>
            <w:r w:rsidR="00AC22F9">
              <w:rPr>
                <w:rFonts w:cs="Times New Roman"/>
                <w:sz w:val="20"/>
                <w:szCs w:val="20"/>
                <w:lang w:val="en-US" w:eastAsia="en-GB"/>
              </w:rPr>
              <w:t>3</w:t>
            </w:r>
            <w:r w:rsidR="005E1948" w:rsidRPr="009B02B1">
              <w:rPr>
                <w:rFonts w:cs="Times New Roman"/>
                <w:sz w:val="20"/>
                <w:szCs w:val="20"/>
                <w:lang w:val="en-US" w:eastAsia="en-GB"/>
              </w:rPr>
              <w:t>)</w:t>
            </w:r>
          </w:p>
        </w:tc>
      </w:tr>
      <w:tr w:rsidR="005E1948" w:rsidRPr="002C74D5" w14:paraId="293A9D8D" w14:textId="77777777" w:rsidTr="006D2597">
        <w:trPr>
          <w:jc w:val="center"/>
        </w:trPr>
        <w:tc>
          <w:tcPr>
            <w:tcW w:w="4499" w:type="dxa"/>
            <w:tcBorders>
              <w:left w:val="nil"/>
              <w:bottom w:val="single" w:sz="12" w:space="0" w:color="auto"/>
              <w:right w:val="nil"/>
            </w:tcBorders>
          </w:tcPr>
          <w:p w14:paraId="6736EF5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Consistency check</w:t>
            </w:r>
          </w:p>
        </w:tc>
        <w:tc>
          <w:tcPr>
            <w:tcW w:w="1200" w:type="dxa"/>
            <w:tcBorders>
              <w:left w:val="nil"/>
              <w:bottom w:val="single" w:sz="12" w:space="0" w:color="auto"/>
              <w:right w:val="nil"/>
            </w:tcBorders>
          </w:tcPr>
          <w:p w14:paraId="4189DE1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DV: Average licensing income</w:t>
            </w:r>
          </w:p>
        </w:tc>
        <w:tc>
          <w:tcPr>
            <w:tcW w:w="1200" w:type="dxa"/>
            <w:tcBorders>
              <w:left w:val="nil"/>
              <w:bottom w:val="single" w:sz="12" w:space="0" w:color="auto"/>
              <w:right w:val="nil"/>
            </w:tcBorders>
          </w:tcPr>
          <w:p w14:paraId="611AC6C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DV: Average licensing income</w:t>
            </w:r>
          </w:p>
        </w:tc>
        <w:tc>
          <w:tcPr>
            <w:tcW w:w="1200" w:type="dxa"/>
            <w:tcBorders>
              <w:left w:val="nil"/>
              <w:bottom w:val="single" w:sz="12" w:space="0" w:color="auto"/>
              <w:right w:val="nil"/>
            </w:tcBorders>
          </w:tcPr>
          <w:p w14:paraId="5B482AF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DV: Average licensing income</w:t>
            </w:r>
          </w:p>
        </w:tc>
        <w:tc>
          <w:tcPr>
            <w:tcW w:w="1200" w:type="dxa"/>
            <w:tcBorders>
              <w:left w:val="nil"/>
              <w:bottom w:val="single" w:sz="12" w:space="0" w:color="auto"/>
              <w:right w:val="nil"/>
            </w:tcBorders>
          </w:tcPr>
          <w:p w14:paraId="7AA41BF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DV: Licensing income over next two years</w:t>
            </w:r>
          </w:p>
        </w:tc>
        <w:tc>
          <w:tcPr>
            <w:tcW w:w="1200" w:type="dxa"/>
            <w:tcBorders>
              <w:left w:val="nil"/>
              <w:bottom w:val="single" w:sz="12" w:space="0" w:color="auto"/>
              <w:right w:val="nil"/>
            </w:tcBorders>
          </w:tcPr>
          <w:p w14:paraId="04D0D5D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DV: Licensing income over next two years</w:t>
            </w:r>
          </w:p>
        </w:tc>
        <w:tc>
          <w:tcPr>
            <w:tcW w:w="1200" w:type="dxa"/>
            <w:tcBorders>
              <w:left w:val="nil"/>
              <w:bottom w:val="single" w:sz="12" w:space="0" w:color="auto"/>
              <w:right w:val="nil"/>
            </w:tcBorders>
          </w:tcPr>
          <w:p w14:paraId="5AA7E16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DV: Licensing income over next two years</w:t>
            </w:r>
          </w:p>
        </w:tc>
        <w:tc>
          <w:tcPr>
            <w:tcW w:w="1202" w:type="dxa"/>
            <w:tcBorders>
              <w:left w:val="nil"/>
              <w:bottom w:val="single" w:sz="12" w:space="0" w:color="auto"/>
              <w:right w:val="nil"/>
            </w:tcBorders>
          </w:tcPr>
          <w:p w14:paraId="75803AB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Sensitivity to TTO size</w:t>
            </w:r>
          </w:p>
        </w:tc>
        <w:tc>
          <w:tcPr>
            <w:tcW w:w="1202" w:type="dxa"/>
            <w:tcBorders>
              <w:left w:val="nil"/>
              <w:bottom w:val="single" w:sz="12" w:space="0" w:color="auto"/>
              <w:right w:val="nil"/>
            </w:tcBorders>
          </w:tcPr>
          <w:p w14:paraId="535A2F3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CEM matching</w:t>
            </w:r>
          </w:p>
        </w:tc>
        <w:tc>
          <w:tcPr>
            <w:tcW w:w="1490" w:type="dxa"/>
            <w:tcBorders>
              <w:left w:val="nil"/>
              <w:bottom w:val="single" w:sz="12" w:space="0" w:color="auto"/>
              <w:right w:val="nil"/>
            </w:tcBorders>
          </w:tcPr>
          <w:p w14:paraId="45D220A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2C74D5">
              <w:rPr>
                <w:rFonts w:cs="Times New Roman"/>
                <w:sz w:val="20"/>
                <w:szCs w:val="20"/>
                <w:lang w:val="en-US" w:eastAsia="en-GB"/>
              </w:rPr>
              <w:t xml:space="preserve">Difference-in-differences </w:t>
            </w:r>
          </w:p>
        </w:tc>
      </w:tr>
      <w:tr w:rsidR="005E1948" w:rsidRPr="009B02B1" w14:paraId="04618623" w14:textId="77777777" w:rsidTr="006D2597">
        <w:trPr>
          <w:jc w:val="center"/>
        </w:trPr>
        <w:tc>
          <w:tcPr>
            <w:tcW w:w="4499" w:type="dxa"/>
            <w:tcBorders>
              <w:top w:val="nil"/>
              <w:left w:val="nil"/>
              <w:bottom w:val="nil"/>
              <w:right w:val="nil"/>
            </w:tcBorders>
          </w:tcPr>
          <w:p w14:paraId="48BAF4A0"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Defendant</w:t>
            </w:r>
          </w:p>
        </w:tc>
        <w:tc>
          <w:tcPr>
            <w:tcW w:w="1200" w:type="dxa"/>
            <w:tcBorders>
              <w:top w:val="nil"/>
              <w:left w:val="nil"/>
              <w:bottom w:val="nil"/>
              <w:right w:val="nil"/>
            </w:tcBorders>
          </w:tcPr>
          <w:p w14:paraId="4747862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0.151**</w:t>
            </w:r>
          </w:p>
        </w:tc>
        <w:tc>
          <w:tcPr>
            <w:tcW w:w="1200" w:type="dxa"/>
            <w:tcBorders>
              <w:top w:val="nil"/>
              <w:left w:val="nil"/>
              <w:bottom w:val="nil"/>
              <w:right w:val="nil"/>
            </w:tcBorders>
          </w:tcPr>
          <w:p w14:paraId="1DF157F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-0.011</w:t>
            </w:r>
          </w:p>
        </w:tc>
        <w:tc>
          <w:tcPr>
            <w:tcW w:w="1200" w:type="dxa"/>
            <w:tcBorders>
              <w:top w:val="nil"/>
              <w:left w:val="nil"/>
              <w:bottom w:val="nil"/>
              <w:right w:val="nil"/>
            </w:tcBorders>
          </w:tcPr>
          <w:p w14:paraId="4EC8462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437C1B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0.279***</w:t>
            </w:r>
          </w:p>
        </w:tc>
        <w:tc>
          <w:tcPr>
            <w:tcW w:w="1200" w:type="dxa"/>
            <w:tcBorders>
              <w:top w:val="nil"/>
              <w:left w:val="nil"/>
              <w:bottom w:val="nil"/>
              <w:right w:val="nil"/>
            </w:tcBorders>
          </w:tcPr>
          <w:p w14:paraId="1A10A11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0.138</w:t>
            </w:r>
          </w:p>
        </w:tc>
        <w:tc>
          <w:tcPr>
            <w:tcW w:w="1200" w:type="dxa"/>
            <w:tcBorders>
              <w:top w:val="nil"/>
              <w:left w:val="nil"/>
              <w:bottom w:val="nil"/>
              <w:right w:val="nil"/>
            </w:tcBorders>
          </w:tcPr>
          <w:p w14:paraId="0B00CDF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38EB4C8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0.333***</w:t>
            </w:r>
          </w:p>
        </w:tc>
        <w:tc>
          <w:tcPr>
            <w:tcW w:w="1202" w:type="dxa"/>
            <w:tcBorders>
              <w:top w:val="nil"/>
              <w:left w:val="nil"/>
              <w:bottom w:val="nil"/>
              <w:right w:val="nil"/>
            </w:tcBorders>
          </w:tcPr>
          <w:p w14:paraId="35E4E82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0.160**</w:t>
            </w:r>
          </w:p>
        </w:tc>
        <w:tc>
          <w:tcPr>
            <w:tcW w:w="1490" w:type="dxa"/>
            <w:tcBorders>
              <w:top w:val="nil"/>
              <w:left w:val="nil"/>
              <w:bottom w:val="nil"/>
              <w:right w:val="nil"/>
            </w:tcBorders>
          </w:tcPr>
          <w:p w14:paraId="29AA468E" w14:textId="77777777" w:rsidR="005E1948" w:rsidRPr="00AE5842"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r>
      <w:tr w:rsidR="005E1948" w:rsidRPr="009B02B1" w14:paraId="72BA71C3" w14:textId="77777777" w:rsidTr="006D2597">
        <w:trPr>
          <w:jc w:val="center"/>
        </w:trPr>
        <w:tc>
          <w:tcPr>
            <w:tcW w:w="4499" w:type="dxa"/>
            <w:tcBorders>
              <w:top w:val="nil"/>
              <w:left w:val="nil"/>
              <w:bottom w:val="nil"/>
              <w:right w:val="nil"/>
            </w:tcBorders>
          </w:tcPr>
          <w:p w14:paraId="2C63AA4F"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0689580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(0.066)</w:t>
            </w:r>
          </w:p>
        </w:tc>
        <w:tc>
          <w:tcPr>
            <w:tcW w:w="1200" w:type="dxa"/>
            <w:tcBorders>
              <w:top w:val="nil"/>
              <w:left w:val="nil"/>
              <w:bottom w:val="nil"/>
              <w:right w:val="nil"/>
            </w:tcBorders>
          </w:tcPr>
          <w:p w14:paraId="5E02579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(0.098)</w:t>
            </w:r>
          </w:p>
        </w:tc>
        <w:tc>
          <w:tcPr>
            <w:tcW w:w="1200" w:type="dxa"/>
            <w:tcBorders>
              <w:top w:val="nil"/>
              <w:left w:val="nil"/>
              <w:bottom w:val="nil"/>
              <w:right w:val="nil"/>
            </w:tcBorders>
          </w:tcPr>
          <w:p w14:paraId="1AE6EFE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88F608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(0.074)</w:t>
            </w:r>
          </w:p>
        </w:tc>
        <w:tc>
          <w:tcPr>
            <w:tcW w:w="1200" w:type="dxa"/>
            <w:tcBorders>
              <w:top w:val="nil"/>
              <w:left w:val="nil"/>
              <w:bottom w:val="nil"/>
              <w:right w:val="nil"/>
            </w:tcBorders>
          </w:tcPr>
          <w:p w14:paraId="1F7686B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(0.109)</w:t>
            </w:r>
          </w:p>
        </w:tc>
        <w:tc>
          <w:tcPr>
            <w:tcW w:w="1200" w:type="dxa"/>
            <w:tcBorders>
              <w:top w:val="nil"/>
              <w:left w:val="nil"/>
              <w:bottom w:val="nil"/>
              <w:right w:val="nil"/>
            </w:tcBorders>
          </w:tcPr>
          <w:p w14:paraId="211BD1E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434FA10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(0.094)</w:t>
            </w:r>
          </w:p>
        </w:tc>
        <w:tc>
          <w:tcPr>
            <w:tcW w:w="1202" w:type="dxa"/>
            <w:tcBorders>
              <w:top w:val="nil"/>
              <w:left w:val="nil"/>
              <w:bottom w:val="nil"/>
              <w:right w:val="nil"/>
            </w:tcBorders>
          </w:tcPr>
          <w:p w14:paraId="60E209F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(0.080)</w:t>
            </w:r>
          </w:p>
        </w:tc>
        <w:tc>
          <w:tcPr>
            <w:tcW w:w="1490" w:type="dxa"/>
            <w:tcBorders>
              <w:top w:val="nil"/>
              <w:left w:val="nil"/>
              <w:bottom w:val="nil"/>
              <w:right w:val="nil"/>
            </w:tcBorders>
          </w:tcPr>
          <w:p w14:paraId="5AA478C8" w14:textId="77777777" w:rsidR="005E1948" w:rsidRPr="00AE5842"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r>
      <w:tr w:rsidR="005E1948" w:rsidRPr="009B02B1" w14:paraId="562676C1" w14:textId="77777777" w:rsidTr="006D2597">
        <w:trPr>
          <w:jc w:val="center"/>
        </w:trPr>
        <w:tc>
          <w:tcPr>
            <w:tcW w:w="4499" w:type="dxa"/>
            <w:tcBorders>
              <w:top w:val="nil"/>
              <w:left w:val="nil"/>
              <w:bottom w:val="nil"/>
              <w:right w:val="nil"/>
            </w:tcBorders>
          </w:tcPr>
          <w:p w14:paraId="75AB2F43"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Plaintiff</w:t>
            </w:r>
          </w:p>
        </w:tc>
        <w:tc>
          <w:tcPr>
            <w:tcW w:w="1200" w:type="dxa"/>
            <w:tcBorders>
              <w:top w:val="nil"/>
              <w:left w:val="nil"/>
              <w:bottom w:val="nil"/>
              <w:right w:val="nil"/>
            </w:tcBorders>
          </w:tcPr>
          <w:p w14:paraId="43410D0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-0.094***</w:t>
            </w:r>
          </w:p>
        </w:tc>
        <w:tc>
          <w:tcPr>
            <w:tcW w:w="1200" w:type="dxa"/>
            <w:tcBorders>
              <w:top w:val="nil"/>
              <w:left w:val="nil"/>
              <w:bottom w:val="nil"/>
              <w:right w:val="nil"/>
            </w:tcBorders>
          </w:tcPr>
          <w:p w14:paraId="319ECBB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-0.084**</w:t>
            </w:r>
          </w:p>
        </w:tc>
        <w:tc>
          <w:tcPr>
            <w:tcW w:w="1200" w:type="dxa"/>
            <w:tcBorders>
              <w:top w:val="nil"/>
              <w:left w:val="nil"/>
              <w:bottom w:val="nil"/>
              <w:right w:val="nil"/>
            </w:tcBorders>
          </w:tcPr>
          <w:p w14:paraId="33F93DF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BC9E49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-0.025</w:t>
            </w:r>
          </w:p>
        </w:tc>
        <w:tc>
          <w:tcPr>
            <w:tcW w:w="1200" w:type="dxa"/>
            <w:tcBorders>
              <w:top w:val="nil"/>
              <w:left w:val="nil"/>
              <w:bottom w:val="nil"/>
              <w:right w:val="nil"/>
            </w:tcBorders>
          </w:tcPr>
          <w:p w14:paraId="0B53953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-0.018</w:t>
            </w:r>
          </w:p>
        </w:tc>
        <w:tc>
          <w:tcPr>
            <w:tcW w:w="1200" w:type="dxa"/>
            <w:tcBorders>
              <w:top w:val="nil"/>
              <w:left w:val="nil"/>
              <w:bottom w:val="nil"/>
              <w:right w:val="nil"/>
            </w:tcBorders>
          </w:tcPr>
          <w:p w14:paraId="208FBAA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44F7FBB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-0.076*</w:t>
            </w:r>
          </w:p>
        </w:tc>
        <w:tc>
          <w:tcPr>
            <w:tcW w:w="1202" w:type="dxa"/>
            <w:tcBorders>
              <w:top w:val="nil"/>
              <w:left w:val="nil"/>
              <w:bottom w:val="nil"/>
              <w:right w:val="nil"/>
            </w:tcBorders>
          </w:tcPr>
          <w:p w14:paraId="7881A3E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0.031</w:t>
            </w:r>
          </w:p>
        </w:tc>
        <w:tc>
          <w:tcPr>
            <w:tcW w:w="1490" w:type="dxa"/>
            <w:tcBorders>
              <w:top w:val="nil"/>
              <w:left w:val="nil"/>
              <w:bottom w:val="nil"/>
              <w:right w:val="nil"/>
            </w:tcBorders>
          </w:tcPr>
          <w:p w14:paraId="2078D23F"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-0.042</w:t>
            </w:r>
          </w:p>
        </w:tc>
      </w:tr>
      <w:tr w:rsidR="005E1948" w:rsidRPr="009B02B1" w14:paraId="51ED7166" w14:textId="77777777" w:rsidTr="006D2597">
        <w:trPr>
          <w:jc w:val="center"/>
        </w:trPr>
        <w:tc>
          <w:tcPr>
            <w:tcW w:w="4499" w:type="dxa"/>
            <w:tcBorders>
              <w:top w:val="nil"/>
              <w:left w:val="nil"/>
              <w:bottom w:val="nil"/>
              <w:right w:val="nil"/>
            </w:tcBorders>
          </w:tcPr>
          <w:p w14:paraId="1CA6A8FA"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40AD30A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(0.035)</w:t>
            </w:r>
          </w:p>
        </w:tc>
        <w:tc>
          <w:tcPr>
            <w:tcW w:w="1200" w:type="dxa"/>
            <w:tcBorders>
              <w:top w:val="nil"/>
              <w:left w:val="nil"/>
              <w:bottom w:val="nil"/>
              <w:right w:val="nil"/>
            </w:tcBorders>
          </w:tcPr>
          <w:p w14:paraId="4F30222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(0.033)</w:t>
            </w:r>
          </w:p>
        </w:tc>
        <w:tc>
          <w:tcPr>
            <w:tcW w:w="1200" w:type="dxa"/>
            <w:tcBorders>
              <w:top w:val="nil"/>
              <w:left w:val="nil"/>
              <w:bottom w:val="nil"/>
              <w:right w:val="nil"/>
            </w:tcBorders>
          </w:tcPr>
          <w:p w14:paraId="049A0CF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4EFB2A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(0.038)</w:t>
            </w:r>
          </w:p>
        </w:tc>
        <w:tc>
          <w:tcPr>
            <w:tcW w:w="1200" w:type="dxa"/>
            <w:tcBorders>
              <w:top w:val="nil"/>
              <w:left w:val="nil"/>
              <w:bottom w:val="nil"/>
              <w:right w:val="nil"/>
            </w:tcBorders>
          </w:tcPr>
          <w:p w14:paraId="1AA470A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(0.037)</w:t>
            </w:r>
          </w:p>
        </w:tc>
        <w:tc>
          <w:tcPr>
            <w:tcW w:w="1200" w:type="dxa"/>
            <w:tcBorders>
              <w:top w:val="nil"/>
              <w:left w:val="nil"/>
              <w:bottom w:val="nil"/>
              <w:right w:val="nil"/>
            </w:tcBorders>
          </w:tcPr>
          <w:p w14:paraId="3181956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534E2E4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(0.042)</w:t>
            </w:r>
          </w:p>
        </w:tc>
        <w:tc>
          <w:tcPr>
            <w:tcW w:w="1202" w:type="dxa"/>
            <w:tcBorders>
              <w:top w:val="nil"/>
              <w:left w:val="nil"/>
              <w:bottom w:val="nil"/>
              <w:right w:val="nil"/>
            </w:tcBorders>
          </w:tcPr>
          <w:p w14:paraId="7951E55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(0.042)</w:t>
            </w:r>
          </w:p>
        </w:tc>
        <w:tc>
          <w:tcPr>
            <w:tcW w:w="1490" w:type="dxa"/>
            <w:tcBorders>
              <w:top w:val="nil"/>
              <w:left w:val="nil"/>
              <w:bottom w:val="nil"/>
              <w:right w:val="nil"/>
            </w:tcBorders>
          </w:tcPr>
          <w:p w14:paraId="55D7C6AB"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(0.044)</w:t>
            </w:r>
          </w:p>
        </w:tc>
      </w:tr>
      <w:tr w:rsidR="005E1948" w:rsidRPr="009B02B1" w14:paraId="211C41E2" w14:textId="77777777" w:rsidTr="006D2597">
        <w:trPr>
          <w:jc w:val="center"/>
        </w:trPr>
        <w:tc>
          <w:tcPr>
            <w:tcW w:w="4499" w:type="dxa"/>
            <w:tcBorders>
              <w:top w:val="nil"/>
              <w:left w:val="nil"/>
              <w:bottom w:val="nil"/>
              <w:right w:val="nil"/>
            </w:tcBorders>
          </w:tcPr>
          <w:p w14:paraId="1D2449BF"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Defendant*Licensing Patents</w:t>
            </w:r>
          </w:p>
        </w:tc>
        <w:tc>
          <w:tcPr>
            <w:tcW w:w="1200" w:type="dxa"/>
            <w:tcBorders>
              <w:top w:val="nil"/>
              <w:left w:val="nil"/>
              <w:bottom w:val="nil"/>
              <w:right w:val="nil"/>
            </w:tcBorders>
          </w:tcPr>
          <w:p w14:paraId="142DE94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4059ECF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0.106***</w:t>
            </w:r>
          </w:p>
        </w:tc>
        <w:tc>
          <w:tcPr>
            <w:tcW w:w="1200" w:type="dxa"/>
            <w:tcBorders>
              <w:top w:val="nil"/>
              <w:left w:val="nil"/>
              <w:bottom w:val="nil"/>
              <w:right w:val="nil"/>
            </w:tcBorders>
          </w:tcPr>
          <w:p w14:paraId="54E4290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5006C9F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F7EA2B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0.092**</w:t>
            </w:r>
          </w:p>
        </w:tc>
        <w:tc>
          <w:tcPr>
            <w:tcW w:w="1200" w:type="dxa"/>
            <w:tcBorders>
              <w:top w:val="nil"/>
              <w:left w:val="nil"/>
              <w:bottom w:val="nil"/>
              <w:right w:val="nil"/>
            </w:tcBorders>
          </w:tcPr>
          <w:p w14:paraId="2835BAE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304FD0A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0104CBB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30073F8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6026C06E" w14:textId="77777777" w:rsidTr="006D2597">
        <w:trPr>
          <w:jc w:val="center"/>
        </w:trPr>
        <w:tc>
          <w:tcPr>
            <w:tcW w:w="4499" w:type="dxa"/>
            <w:tcBorders>
              <w:top w:val="nil"/>
              <w:left w:val="nil"/>
              <w:bottom w:val="nil"/>
              <w:right w:val="nil"/>
            </w:tcBorders>
          </w:tcPr>
          <w:p w14:paraId="54185068"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43D18B0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58D024A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(0.038)</w:t>
            </w:r>
          </w:p>
        </w:tc>
        <w:tc>
          <w:tcPr>
            <w:tcW w:w="1200" w:type="dxa"/>
            <w:tcBorders>
              <w:top w:val="nil"/>
              <w:left w:val="nil"/>
              <w:bottom w:val="nil"/>
              <w:right w:val="nil"/>
            </w:tcBorders>
          </w:tcPr>
          <w:p w14:paraId="441BC81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8D883A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5409C2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(0.042)</w:t>
            </w:r>
          </w:p>
        </w:tc>
        <w:tc>
          <w:tcPr>
            <w:tcW w:w="1200" w:type="dxa"/>
            <w:tcBorders>
              <w:top w:val="nil"/>
              <w:left w:val="nil"/>
              <w:bottom w:val="nil"/>
              <w:right w:val="nil"/>
            </w:tcBorders>
          </w:tcPr>
          <w:p w14:paraId="3AB44ED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3240E4B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7E94430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18DC8D5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16E63439" w14:textId="77777777" w:rsidTr="006D2597">
        <w:trPr>
          <w:jc w:val="center"/>
        </w:trPr>
        <w:tc>
          <w:tcPr>
            <w:tcW w:w="4499" w:type="dxa"/>
            <w:tcBorders>
              <w:top w:val="nil"/>
              <w:left w:val="nil"/>
              <w:bottom w:val="nil"/>
              <w:right w:val="nil"/>
            </w:tcBorders>
          </w:tcPr>
          <w:p w14:paraId="49B131E6"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Sole Defendant</w:t>
            </w:r>
          </w:p>
        </w:tc>
        <w:tc>
          <w:tcPr>
            <w:tcW w:w="1200" w:type="dxa"/>
            <w:tcBorders>
              <w:top w:val="nil"/>
              <w:left w:val="nil"/>
              <w:bottom w:val="nil"/>
              <w:right w:val="nil"/>
            </w:tcBorders>
          </w:tcPr>
          <w:p w14:paraId="2DD41AA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3D0F20D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086B4CA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0.016</w:t>
            </w:r>
          </w:p>
        </w:tc>
        <w:tc>
          <w:tcPr>
            <w:tcW w:w="1200" w:type="dxa"/>
            <w:tcBorders>
              <w:top w:val="nil"/>
              <w:left w:val="nil"/>
              <w:bottom w:val="nil"/>
              <w:right w:val="nil"/>
            </w:tcBorders>
          </w:tcPr>
          <w:p w14:paraId="1768117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0E71B1B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3ABB333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0.492**</w:t>
            </w:r>
          </w:p>
        </w:tc>
        <w:tc>
          <w:tcPr>
            <w:tcW w:w="1202" w:type="dxa"/>
            <w:tcBorders>
              <w:top w:val="nil"/>
              <w:left w:val="nil"/>
              <w:bottom w:val="nil"/>
              <w:right w:val="nil"/>
            </w:tcBorders>
          </w:tcPr>
          <w:p w14:paraId="3AA7886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4828108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440F38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1E2F6F7A" w14:textId="77777777" w:rsidTr="006D2597">
        <w:trPr>
          <w:jc w:val="center"/>
        </w:trPr>
        <w:tc>
          <w:tcPr>
            <w:tcW w:w="4499" w:type="dxa"/>
            <w:tcBorders>
              <w:top w:val="nil"/>
              <w:left w:val="nil"/>
              <w:bottom w:val="nil"/>
              <w:right w:val="nil"/>
            </w:tcBorders>
          </w:tcPr>
          <w:p w14:paraId="186E3EF5"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5872051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939ECC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E3DEC6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(0.157)</w:t>
            </w:r>
          </w:p>
        </w:tc>
        <w:tc>
          <w:tcPr>
            <w:tcW w:w="1200" w:type="dxa"/>
            <w:tcBorders>
              <w:top w:val="nil"/>
              <w:left w:val="nil"/>
              <w:bottom w:val="nil"/>
              <w:right w:val="nil"/>
            </w:tcBorders>
          </w:tcPr>
          <w:p w14:paraId="18A22DC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0C27A9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5FE5CA2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(0.237)</w:t>
            </w:r>
          </w:p>
        </w:tc>
        <w:tc>
          <w:tcPr>
            <w:tcW w:w="1202" w:type="dxa"/>
            <w:tcBorders>
              <w:top w:val="nil"/>
              <w:left w:val="nil"/>
              <w:bottom w:val="nil"/>
              <w:right w:val="nil"/>
            </w:tcBorders>
          </w:tcPr>
          <w:p w14:paraId="0D88DEB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56D59E5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5C28A42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72AEEF15" w14:textId="77777777" w:rsidTr="006D2597">
        <w:trPr>
          <w:jc w:val="center"/>
        </w:trPr>
        <w:tc>
          <w:tcPr>
            <w:tcW w:w="4499" w:type="dxa"/>
            <w:tcBorders>
              <w:top w:val="nil"/>
              <w:left w:val="nil"/>
              <w:bottom w:val="nil"/>
              <w:right w:val="nil"/>
            </w:tcBorders>
          </w:tcPr>
          <w:p w14:paraId="1CD44AFA"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Co-defendant</w:t>
            </w:r>
          </w:p>
        </w:tc>
        <w:tc>
          <w:tcPr>
            <w:tcW w:w="1200" w:type="dxa"/>
            <w:tcBorders>
              <w:top w:val="nil"/>
              <w:left w:val="nil"/>
              <w:bottom w:val="nil"/>
              <w:right w:val="nil"/>
            </w:tcBorders>
          </w:tcPr>
          <w:p w14:paraId="174D206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04DFEEA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1DD22B3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0.177**</w:t>
            </w:r>
          </w:p>
        </w:tc>
        <w:tc>
          <w:tcPr>
            <w:tcW w:w="1200" w:type="dxa"/>
            <w:tcBorders>
              <w:top w:val="nil"/>
              <w:left w:val="nil"/>
              <w:bottom w:val="nil"/>
              <w:right w:val="nil"/>
            </w:tcBorders>
          </w:tcPr>
          <w:p w14:paraId="22D1CF6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660F63A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76E324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0.236***</w:t>
            </w:r>
          </w:p>
        </w:tc>
        <w:tc>
          <w:tcPr>
            <w:tcW w:w="1202" w:type="dxa"/>
            <w:tcBorders>
              <w:top w:val="nil"/>
              <w:left w:val="nil"/>
              <w:bottom w:val="nil"/>
              <w:right w:val="nil"/>
            </w:tcBorders>
          </w:tcPr>
          <w:p w14:paraId="598C251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7076AB1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138F11E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226E3D7A" w14:textId="77777777" w:rsidTr="006D2597">
        <w:trPr>
          <w:jc w:val="center"/>
        </w:trPr>
        <w:tc>
          <w:tcPr>
            <w:tcW w:w="4499" w:type="dxa"/>
            <w:tcBorders>
              <w:top w:val="nil"/>
              <w:left w:val="nil"/>
              <w:bottom w:val="nil"/>
              <w:right w:val="nil"/>
            </w:tcBorders>
          </w:tcPr>
          <w:p w14:paraId="3C16F7DC"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582F76E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FF08C4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3A4240E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(0.068)</w:t>
            </w:r>
          </w:p>
        </w:tc>
        <w:tc>
          <w:tcPr>
            <w:tcW w:w="1200" w:type="dxa"/>
            <w:tcBorders>
              <w:top w:val="nil"/>
              <w:left w:val="nil"/>
              <w:bottom w:val="nil"/>
              <w:right w:val="nil"/>
            </w:tcBorders>
          </w:tcPr>
          <w:p w14:paraId="1AC0D83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333072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07A628D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(0.066)</w:t>
            </w:r>
          </w:p>
        </w:tc>
        <w:tc>
          <w:tcPr>
            <w:tcW w:w="1202" w:type="dxa"/>
            <w:tcBorders>
              <w:top w:val="nil"/>
              <w:left w:val="nil"/>
              <w:bottom w:val="nil"/>
              <w:right w:val="nil"/>
            </w:tcBorders>
          </w:tcPr>
          <w:p w14:paraId="0C7A0A5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40EB689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221889E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34042479" w14:textId="77777777" w:rsidTr="006D2597">
        <w:trPr>
          <w:jc w:val="center"/>
        </w:trPr>
        <w:tc>
          <w:tcPr>
            <w:tcW w:w="4499" w:type="dxa"/>
            <w:tcBorders>
              <w:top w:val="nil"/>
              <w:left w:val="nil"/>
              <w:bottom w:val="nil"/>
              <w:right w:val="nil"/>
            </w:tcBorders>
          </w:tcPr>
          <w:p w14:paraId="7A3948C2"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Pr>
                <w:rFonts w:cs="Times New Roman"/>
                <w:sz w:val="20"/>
                <w:szCs w:val="20"/>
                <w:lang w:val="en-US" w:eastAsia="en-GB"/>
              </w:rPr>
              <w:t xml:space="preserve"> </w:t>
            </w:r>
            <w:r w:rsidRPr="009B02B1">
              <w:rPr>
                <w:rFonts w:cs="Times New Roman"/>
                <w:sz w:val="20"/>
                <w:szCs w:val="20"/>
                <w:lang w:val="en-US" w:eastAsia="en-GB"/>
              </w:rPr>
              <w:t>Litigations as Sole Plaintiff</w:t>
            </w:r>
          </w:p>
        </w:tc>
        <w:tc>
          <w:tcPr>
            <w:tcW w:w="1200" w:type="dxa"/>
            <w:tcBorders>
              <w:top w:val="nil"/>
              <w:left w:val="nil"/>
              <w:bottom w:val="nil"/>
              <w:right w:val="nil"/>
            </w:tcBorders>
          </w:tcPr>
          <w:p w14:paraId="02A939B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311798B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14A74A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-0.107***</w:t>
            </w:r>
          </w:p>
        </w:tc>
        <w:tc>
          <w:tcPr>
            <w:tcW w:w="1200" w:type="dxa"/>
            <w:tcBorders>
              <w:top w:val="nil"/>
              <w:left w:val="nil"/>
              <w:bottom w:val="nil"/>
              <w:right w:val="nil"/>
            </w:tcBorders>
          </w:tcPr>
          <w:p w14:paraId="506A292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13B961A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49E4557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-0.009</w:t>
            </w:r>
          </w:p>
        </w:tc>
        <w:tc>
          <w:tcPr>
            <w:tcW w:w="1202" w:type="dxa"/>
            <w:tcBorders>
              <w:top w:val="nil"/>
              <w:left w:val="nil"/>
              <w:bottom w:val="nil"/>
              <w:right w:val="nil"/>
            </w:tcBorders>
          </w:tcPr>
          <w:p w14:paraId="57B0154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192DAE4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0883669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7A26D066" w14:textId="77777777" w:rsidTr="006D2597">
        <w:trPr>
          <w:jc w:val="center"/>
        </w:trPr>
        <w:tc>
          <w:tcPr>
            <w:tcW w:w="4499" w:type="dxa"/>
            <w:tcBorders>
              <w:top w:val="nil"/>
              <w:left w:val="nil"/>
              <w:bottom w:val="nil"/>
              <w:right w:val="nil"/>
            </w:tcBorders>
          </w:tcPr>
          <w:p w14:paraId="1DF7F978"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4D2A3D5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687F4CA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76AB8E2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(0.036)</w:t>
            </w:r>
          </w:p>
        </w:tc>
        <w:tc>
          <w:tcPr>
            <w:tcW w:w="1200" w:type="dxa"/>
            <w:tcBorders>
              <w:top w:val="nil"/>
              <w:left w:val="nil"/>
              <w:bottom w:val="nil"/>
              <w:right w:val="nil"/>
            </w:tcBorders>
          </w:tcPr>
          <w:p w14:paraId="2E79944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093A82D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4B9850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(0.035)</w:t>
            </w:r>
          </w:p>
        </w:tc>
        <w:tc>
          <w:tcPr>
            <w:tcW w:w="1202" w:type="dxa"/>
            <w:tcBorders>
              <w:top w:val="nil"/>
              <w:left w:val="nil"/>
              <w:bottom w:val="nil"/>
              <w:right w:val="nil"/>
            </w:tcBorders>
          </w:tcPr>
          <w:p w14:paraId="7C308BF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6D75A42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5527FD2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14D1EFB3" w14:textId="77777777" w:rsidTr="006D2597">
        <w:trPr>
          <w:jc w:val="center"/>
        </w:trPr>
        <w:tc>
          <w:tcPr>
            <w:tcW w:w="4499" w:type="dxa"/>
            <w:tcBorders>
              <w:top w:val="nil"/>
              <w:left w:val="nil"/>
              <w:bottom w:val="nil"/>
              <w:right w:val="nil"/>
            </w:tcBorders>
          </w:tcPr>
          <w:p w14:paraId="3E15CB19"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Co-plaintiff</w:t>
            </w:r>
          </w:p>
        </w:tc>
        <w:tc>
          <w:tcPr>
            <w:tcW w:w="1200" w:type="dxa"/>
            <w:tcBorders>
              <w:top w:val="nil"/>
              <w:left w:val="nil"/>
              <w:bottom w:val="nil"/>
              <w:right w:val="nil"/>
            </w:tcBorders>
          </w:tcPr>
          <w:p w14:paraId="651D433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EA96E1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34F1A75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-0.015</w:t>
            </w:r>
          </w:p>
        </w:tc>
        <w:tc>
          <w:tcPr>
            <w:tcW w:w="1200" w:type="dxa"/>
            <w:tcBorders>
              <w:top w:val="nil"/>
              <w:left w:val="nil"/>
              <w:bottom w:val="nil"/>
              <w:right w:val="nil"/>
            </w:tcBorders>
          </w:tcPr>
          <w:p w14:paraId="35ADDB3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69C0D88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63F885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0.102</w:t>
            </w:r>
          </w:p>
        </w:tc>
        <w:tc>
          <w:tcPr>
            <w:tcW w:w="1202" w:type="dxa"/>
            <w:tcBorders>
              <w:top w:val="nil"/>
              <w:left w:val="nil"/>
              <w:bottom w:val="nil"/>
              <w:right w:val="nil"/>
            </w:tcBorders>
          </w:tcPr>
          <w:p w14:paraId="6E5D33A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0893C8F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28926FA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14A97FC1" w14:textId="77777777" w:rsidTr="006D2597">
        <w:trPr>
          <w:jc w:val="center"/>
        </w:trPr>
        <w:tc>
          <w:tcPr>
            <w:tcW w:w="4499" w:type="dxa"/>
            <w:tcBorders>
              <w:top w:val="nil"/>
              <w:left w:val="nil"/>
              <w:bottom w:val="nil"/>
              <w:right w:val="nil"/>
            </w:tcBorders>
          </w:tcPr>
          <w:p w14:paraId="54E568F0"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7FF7A0E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59E445A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5504CF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(0.086)</w:t>
            </w:r>
          </w:p>
        </w:tc>
        <w:tc>
          <w:tcPr>
            <w:tcW w:w="1200" w:type="dxa"/>
            <w:tcBorders>
              <w:top w:val="nil"/>
              <w:left w:val="nil"/>
              <w:bottom w:val="nil"/>
              <w:right w:val="nil"/>
            </w:tcBorders>
          </w:tcPr>
          <w:p w14:paraId="14A575E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AA8CE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8F585D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(0.078)</w:t>
            </w:r>
          </w:p>
        </w:tc>
        <w:tc>
          <w:tcPr>
            <w:tcW w:w="1202" w:type="dxa"/>
            <w:tcBorders>
              <w:top w:val="nil"/>
              <w:left w:val="nil"/>
              <w:bottom w:val="nil"/>
              <w:right w:val="nil"/>
            </w:tcBorders>
          </w:tcPr>
          <w:p w14:paraId="6E1D518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75CD13C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577DEAE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72881BC5" w14:textId="77777777" w:rsidTr="006D2597">
        <w:trPr>
          <w:jc w:val="center"/>
        </w:trPr>
        <w:tc>
          <w:tcPr>
            <w:tcW w:w="4499" w:type="dxa"/>
            <w:tcBorders>
              <w:top w:val="nil"/>
              <w:left w:val="nil"/>
              <w:bottom w:val="nil"/>
              <w:right w:val="nil"/>
            </w:tcBorders>
          </w:tcPr>
          <w:p w14:paraId="4596CECD"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Defendant*Total FTEs</w:t>
            </w:r>
          </w:p>
        </w:tc>
        <w:tc>
          <w:tcPr>
            <w:tcW w:w="1200" w:type="dxa"/>
            <w:tcBorders>
              <w:top w:val="nil"/>
              <w:left w:val="nil"/>
              <w:bottom w:val="nil"/>
              <w:right w:val="nil"/>
            </w:tcBorders>
          </w:tcPr>
          <w:p w14:paraId="4588777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1F5B3C9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0A31119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177D0E2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3393988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4050122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5AD5D74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2" w:type="dxa"/>
            <w:tcBorders>
              <w:top w:val="nil"/>
              <w:left w:val="nil"/>
              <w:bottom w:val="nil"/>
              <w:right w:val="nil"/>
            </w:tcBorders>
          </w:tcPr>
          <w:p w14:paraId="58AFDE6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6DF531E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7DE5F5B9" w14:textId="77777777" w:rsidTr="006D2597">
        <w:trPr>
          <w:jc w:val="center"/>
        </w:trPr>
        <w:tc>
          <w:tcPr>
            <w:tcW w:w="4499" w:type="dxa"/>
            <w:tcBorders>
              <w:top w:val="nil"/>
              <w:left w:val="nil"/>
              <w:bottom w:val="nil"/>
              <w:right w:val="nil"/>
            </w:tcBorders>
          </w:tcPr>
          <w:p w14:paraId="6A9E3EE3"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53DF811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4067A45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6318BA2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46A96EF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6D13A21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top w:val="nil"/>
              <w:left w:val="nil"/>
              <w:bottom w:val="nil"/>
              <w:right w:val="nil"/>
            </w:tcBorders>
          </w:tcPr>
          <w:p w14:paraId="253D754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top w:val="nil"/>
              <w:left w:val="nil"/>
              <w:bottom w:val="nil"/>
              <w:right w:val="nil"/>
            </w:tcBorders>
          </w:tcPr>
          <w:p w14:paraId="41C96F5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(0.001)</w:t>
            </w:r>
          </w:p>
        </w:tc>
        <w:tc>
          <w:tcPr>
            <w:tcW w:w="1202" w:type="dxa"/>
            <w:tcBorders>
              <w:top w:val="nil"/>
              <w:left w:val="nil"/>
              <w:bottom w:val="nil"/>
              <w:right w:val="nil"/>
            </w:tcBorders>
          </w:tcPr>
          <w:p w14:paraId="67C09C0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490" w:type="dxa"/>
            <w:tcBorders>
              <w:top w:val="nil"/>
              <w:left w:val="nil"/>
              <w:bottom w:val="nil"/>
              <w:right w:val="nil"/>
            </w:tcBorders>
          </w:tcPr>
          <w:p w14:paraId="632E2FA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r>
      <w:tr w:rsidR="005E1948" w:rsidRPr="009B02B1" w14:paraId="73BDD2A2" w14:textId="77777777" w:rsidTr="006D2597">
        <w:trPr>
          <w:jc w:val="center"/>
        </w:trPr>
        <w:tc>
          <w:tcPr>
            <w:tcW w:w="4499" w:type="dxa"/>
            <w:tcBorders>
              <w:left w:val="nil"/>
              <w:bottom w:val="nil"/>
              <w:right w:val="nil"/>
            </w:tcBorders>
          </w:tcPr>
          <w:p w14:paraId="7A10A9EC" w14:textId="77777777" w:rsidR="005E1948" w:rsidRDefault="005E1948" w:rsidP="006D2597">
            <w:pPr>
              <w:widowControl w:val="0"/>
              <w:autoSpaceDE w:val="0"/>
              <w:autoSpaceDN w:val="0"/>
              <w:adjustRightInd w:val="0"/>
              <w:spacing w:line="240" w:lineRule="auto"/>
              <w:ind w:firstLine="0"/>
              <w:rPr>
                <w:rFonts w:cs="Times New Roman"/>
                <w:sz w:val="20"/>
                <w:szCs w:val="20"/>
                <w:lang w:val="en-US" w:eastAsia="en-GB"/>
              </w:rPr>
            </w:pPr>
            <w:r>
              <w:rPr>
                <w:rFonts w:cs="Times New Roman"/>
                <w:sz w:val="20"/>
                <w:szCs w:val="20"/>
                <w:lang w:val="en-US" w:eastAsia="en-GB"/>
              </w:rPr>
              <w:t xml:space="preserve"> </w:t>
            </w:r>
            <w:r w:rsidRPr="009B02B1">
              <w:rPr>
                <w:rFonts w:cs="Times New Roman"/>
                <w:sz w:val="20"/>
                <w:szCs w:val="20"/>
                <w:lang w:val="en-US" w:eastAsia="en-GB"/>
              </w:rPr>
              <w:t>Defendant</w:t>
            </w:r>
          </w:p>
        </w:tc>
        <w:tc>
          <w:tcPr>
            <w:tcW w:w="1200" w:type="dxa"/>
            <w:tcBorders>
              <w:left w:val="nil"/>
              <w:bottom w:val="nil"/>
              <w:right w:val="nil"/>
            </w:tcBorders>
          </w:tcPr>
          <w:p w14:paraId="6C53BC5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636D4E5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736244E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1BF9423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446DB66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3FFB94B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3185F22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7AA76D5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c>
          <w:tcPr>
            <w:tcW w:w="1490" w:type="dxa"/>
            <w:tcBorders>
              <w:left w:val="nil"/>
              <w:bottom w:val="nil"/>
              <w:right w:val="nil"/>
            </w:tcBorders>
          </w:tcPr>
          <w:p w14:paraId="0419FAF9"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0.290**</w:t>
            </w:r>
          </w:p>
        </w:tc>
      </w:tr>
      <w:tr w:rsidR="005E1948" w:rsidRPr="009B02B1" w14:paraId="3F3D2AE3" w14:textId="77777777" w:rsidTr="006D2597">
        <w:trPr>
          <w:jc w:val="center"/>
        </w:trPr>
        <w:tc>
          <w:tcPr>
            <w:tcW w:w="4499" w:type="dxa"/>
            <w:tcBorders>
              <w:left w:val="nil"/>
              <w:bottom w:val="nil"/>
              <w:right w:val="nil"/>
            </w:tcBorders>
          </w:tcPr>
          <w:p w14:paraId="5446892F" w14:textId="77777777" w:rsidR="005E1948" w:rsidRDefault="005E1948" w:rsidP="006D2597">
            <w:pPr>
              <w:widowControl w:val="0"/>
              <w:autoSpaceDE w:val="0"/>
              <w:autoSpaceDN w:val="0"/>
              <w:adjustRightInd w:val="0"/>
              <w:spacing w:line="240" w:lineRule="auto"/>
              <w:ind w:firstLine="0"/>
              <w:rPr>
                <w:rFonts w:cs="Times New Roman"/>
                <w:sz w:val="20"/>
                <w:szCs w:val="20"/>
                <w:lang w:val="en-US" w:eastAsia="en-GB"/>
              </w:rPr>
            </w:pPr>
          </w:p>
        </w:tc>
        <w:tc>
          <w:tcPr>
            <w:tcW w:w="1200" w:type="dxa"/>
            <w:tcBorders>
              <w:left w:val="nil"/>
              <w:bottom w:val="nil"/>
              <w:right w:val="nil"/>
            </w:tcBorders>
          </w:tcPr>
          <w:p w14:paraId="3109C57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5EEA181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55AAEF5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19ADA7C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360AC48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5622483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7C38F8E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30B2E74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c>
          <w:tcPr>
            <w:tcW w:w="1490" w:type="dxa"/>
            <w:tcBorders>
              <w:left w:val="nil"/>
              <w:bottom w:val="nil"/>
              <w:right w:val="nil"/>
            </w:tcBorders>
          </w:tcPr>
          <w:p w14:paraId="5A606630"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(0.137)</w:t>
            </w:r>
          </w:p>
        </w:tc>
      </w:tr>
      <w:tr w:rsidR="005E1948" w:rsidRPr="009B02B1" w14:paraId="7AC8E437" w14:textId="77777777" w:rsidTr="006D2597">
        <w:trPr>
          <w:jc w:val="center"/>
        </w:trPr>
        <w:tc>
          <w:tcPr>
            <w:tcW w:w="4499" w:type="dxa"/>
            <w:tcBorders>
              <w:left w:val="nil"/>
              <w:bottom w:val="nil"/>
              <w:right w:val="nil"/>
            </w:tcBorders>
          </w:tcPr>
          <w:p w14:paraId="28A30C13" w14:textId="77777777" w:rsidR="005E1948" w:rsidRDefault="005E1948" w:rsidP="006D2597">
            <w:pPr>
              <w:widowControl w:val="0"/>
              <w:autoSpaceDE w:val="0"/>
              <w:autoSpaceDN w:val="0"/>
              <w:adjustRightInd w:val="0"/>
              <w:spacing w:line="240" w:lineRule="auto"/>
              <w:ind w:firstLine="0"/>
              <w:rPr>
                <w:rFonts w:cs="Times New Roman"/>
                <w:sz w:val="20"/>
                <w:szCs w:val="20"/>
                <w:lang w:val="en-US" w:eastAsia="en-GB"/>
              </w:rPr>
            </w:pPr>
            <w:r>
              <w:rPr>
                <w:rFonts w:cs="Times New Roman"/>
                <w:sz w:val="20"/>
                <w:szCs w:val="20"/>
                <w:lang w:val="en-US" w:eastAsia="en-GB"/>
              </w:rPr>
              <w:t xml:space="preserve"> Post</w:t>
            </w:r>
          </w:p>
        </w:tc>
        <w:tc>
          <w:tcPr>
            <w:tcW w:w="1200" w:type="dxa"/>
            <w:tcBorders>
              <w:left w:val="nil"/>
              <w:bottom w:val="nil"/>
              <w:right w:val="nil"/>
            </w:tcBorders>
          </w:tcPr>
          <w:p w14:paraId="121304E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7EB0D1A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6067366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729DEAE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2F49543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2B30BA1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075FE4B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04D60A9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c>
          <w:tcPr>
            <w:tcW w:w="1490" w:type="dxa"/>
            <w:tcBorders>
              <w:left w:val="nil"/>
              <w:bottom w:val="nil"/>
              <w:right w:val="nil"/>
            </w:tcBorders>
          </w:tcPr>
          <w:p w14:paraId="2260E89F"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0.389**</w:t>
            </w:r>
          </w:p>
        </w:tc>
      </w:tr>
      <w:tr w:rsidR="005E1948" w:rsidRPr="009B02B1" w14:paraId="5DCCCBB0" w14:textId="77777777" w:rsidTr="006D2597">
        <w:trPr>
          <w:jc w:val="center"/>
        </w:trPr>
        <w:tc>
          <w:tcPr>
            <w:tcW w:w="4499" w:type="dxa"/>
            <w:tcBorders>
              <w:left w:val="nil"/>
              <w:bottom w:val="nil"/>
              <w:right w:val="nil"/>
            </w:tcBorders>
          </w:tcPr>
          <w:p w14:paraId="07E804A0" w14:textId="77777777" w:rsidR="005E1948" w:rsidRDefault="005E1948" w:rsidP="006D2597">
            <w:pPr>
              <w:widowControl w:val="0"/>
              <w:autoSpaceDE w:val="0"/>
              <w:autoSpaceDN w:val="0"/>
              <w:adjustRightInd w:val="0"/>
              <w:spacing w:line="240" w:lineRule="auto"/>
              <w:ind w:firstLine="0"/>
              <w:rPr>
                <w:rFonts w:cs="Times New Roman"/>
                <w:sz w:val="20"/>
                <w:szCs w:val="20"/>
                <w:lang w:val="en-US" w:eastAsia="en-GB"/>
              </w:rPr>
            </w:pPr>
          </w:p>
        </w:tc>
        <w:tc>
          <w:tcPr>
            <w:tcW w:w="1200" w:type="dxa"/>
            <w:tcBorders>
              <w:left w:val="nil"/>
              <w:bottom w:val="nil"/>
              <w:right w:val="nil"/>
            </w:tcBorders>
          </w:tcPr>
          <w:p w14:paraId="6B061E4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64C5684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043F6DC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10622A6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210282F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7867491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2D6C183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26EA425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c>
          <w:tcPr>
            <w:tcW w:w="1490" w:type="dxa"/>
            <w:tcBorders>
              <w:left w:val="nil"/>
              <w:bottom w:val="nil"/>
              <w:right w:val="nil"/>
            </w:tcBorders>
          </w:tcPr>
          <w:p w14:paraId="03FEB75B"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(0.186)</w:t>
            </w:r>
          </w:p>
        </w:tc>
      </w:tr>
      <w:tr w:rsidR="005E1948" w:rsidRPr="009B02B1" w14:paraId="70497067" w14:textId="77777777" w:rsidTr="006D2597">
        <w:trPr>
          <w:jc w:val="center"/>
        </w:trPr>
        <w:tc>
          <w:tcPr>
            <w:tcW w:w="4499" w:type="dxa"/>
            <w:tcBorders>
              <w:left w:val="nil"/>
              <w:bottom w:val="nil"/>
              <w:right w:val="nil"/>
            </w:tcBorders>
          </w:tcPr>
          <w:p w14:paraId="14AF1088"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Pr>
                <w:rFonts w:cs="Times New Roman"/>
                <w:sz w:val="20"/>
                <w:szCs w:val="20"/>
                <w:lang w:val="en-US" w:eastAsia="en-GB"/>
              </w:rPr>
              <w:t xml:space="preserve"> </w:t>
            </w:r>
            <w:r w:rsidRPr="009B02B1">
              <w:rPr>
                <w:rFonts w:cs="Times New Roman"/>
                <w:sz w:val="20"/>
                <w:szCs w:val="20"/>
                <w:lang w:val="en-US" w:eastAsia="en-GB"/>
              </w:rPr>
              <w:t>Defendant</w:t>
            </w:r>
            <w:r>
              <w:rPr>
                <w:rFonts w:cs="Times New Roman"/>
                <w:sz w:val="20"/>
                <w:szCs w:val="20"/>
                <w:lang w:val="en-US" w:eastAsia="en-GB"/>
              </w:rPr>
              <w:t xml:space="preserve"> x Post</w:t>
            </w:r>
          </w:p>
        </w:tc>
        <w:tc>
          <w:tcPr>
            <w:tcW w:w="1200" w:type="dxa"/>
            <w:tcBorders>
              <w:left w:val="nil"/>
              <w:bottom w:val="nil"/>
              <w:right w:val="nil"/>
            </w:tcBorders>
          </w:tcPr>
          <w:p w14:paraId="1B19F2F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4D8AEB7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6577DFC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42D02A2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46ED429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171FF4A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3FF91F5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5334AF7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c>
          <w:tcPr>
            <w:tcW w:w="1490" w:type="dxa"/>
            <w:tcBorders>
              <w:left w:val="nil"/>
              <w:bottom w:val="nil"/>
              <w:right w:val="nil"/>
            </w:tcBorders>
          </w:tcPr>
          <w:p w14:paraId="273D288D"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0.425*</w:t>
            </w:r>
          </w:p>
        </w:tc>
      </w:tr>
      <w:tr w:rsidR="005E1948" w:rsidRPr="009B02B1" w14:paraId="681D6923" w14:textId="77777777" w:rsidTr="006D2597">
        <w:trPr>
          <w:jc w:val="center"/>
        </w:trPr>
        <w:tc>
          <w:tcPr>
            <w:tcW w:w="4499" w:type="dxa"/>
            <w:tcBorders>
              <w:left w:val="nil"/>
              <w:bottom w:val="nil"/>
              <w:right w:val="nil"/>
            </w:tcBorders>
          </w:tcPr>
          <w:p w14:paraId="4C6A0EB0"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p>
        </w:tc>
        <w:tc>
          <w:tcPr>
            <w:tcW w:w="1200" w:type="dxa"/>
            <w:tcBorders>
              <w:left w:val="nil"/>
              <w:bottom w:val="nil"/>
              <w:right w:val="nil"/>
            </w:tcBorders>
          </w:tcPr>
          <w:p w14:paraId="1BC245B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06FA284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45E8ADC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0A5F475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043FC5B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0" w:type="dxa"/>
            <w:tcBorders>
              <w:left w:val="nil"/>
              <w:bottom w:val="nil"/>
              <w:right w:val="nil"/>
            </w:tcBorders>
          </w:tcPr>
          <w:p w14:paraId="1D90EEC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5C24EDF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p>
        </w:tc>
        <w:tc>
          <w:tcPr>
            <w:tcW w:w="1202" w:type="dxa"/>
            <w:tcBorders>
              <w:left w:val="nil"/>
              <w:bottom w:val="nil"/>
              <w:right w:val="nil"/>
            </w:tcBorders>
          </w:tcPr>
          <w:p w14:paraId="0FCA9E0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p>
        </w:tc>
        <w:tc>
          <w:tcPr>
            <w:tcW w:w="1490" w:type="dxa"/>
            <w:tcBorders>
              <w:left w:val="nil"/>
              <w:bottom w:val="nil"/>
              <w:right w:val="nil"/>
            </w:tcBorders>
          </w:tcPr>
          <w:p w14:paraId="6B1D8FAA"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(0.252)</w:t>
            </w:r>
          </w:p>
        </w:tc>
      </w:tr>
      <w:tr w:rsidR="005E1948" w:rsidRPr="009B02B1" w14:paraId="7C9B0603" w14:textId="77777777" w:rsidTr="006D2597">
        <w:trPr>
          <w:jc w:val="center"/>
        </w:trPr>
        <w:tc>
          <w:tcPr>
            <w:tcW w:w="4499" w:type="dxa"/>
            <w:tcBorders>
              <w:left w:val="nil"/>
              <w:bottom w:val="nil"/>
              <w:right w:val="nil"/>
            </w:tcBorders>
          </w:tcPr>
          <w:p w14:paraId="4B5751A2"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Counter Defendant</w:t>
            </w:r>
          </w:p>
        </w:tc>
        <w:tc>
          <w:tcPr>
            <w:tcW w:w="1200" w:type="dxa"/>
            <w:tcBorders>
              <w:left w:val="nil"/>
              <w:bottom w:val="nil"/>
              <w:right w:val="nil"/>
            </w:tcBorders>
          </w:tcPr>
          <w:p w14:paraId="6FE39F9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0.169**</w:t>
            </w:r>
          </w:p>
        </w:tc>
        <w:tc>
          <w:tcPr>
            <w:tcW w:w="1200" w:type="dxa"/>
            <w:tcBorders>
              <w:left w:val="nil"/>
              <w:bottom w:val="nil"/>
              <w:right w:val="nil"/>
            </w:tcBorders>
          </w:tcPr>
          <w:p w14:paraId="0A6E921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0.160**</w:t>
            </w:r>
          </w:p>
        </w:tc>
        <w:tc>
          <w:tcPr>
            <w:tcW w:w="1200" w:type="dxa"/>
            <w:tcBorders>
              <w:left w:val="nil"/>
              <w:bottom w:val="nil"/>
              <w:right w:val="nil"/>
            </w:tcBorders>
          </w:tcPr>
          <w:p w14:paraId="4EE655C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0.170*</w:t>
            </w:r>
          </w:p>
        </w:tc>
        <w:tc>
          <w:tcPr>
            <w:tcW w:w="1200" w:type="dxa"/>
            <w:tcBorders>
              <w:left w:val="nil"/>
              <w:bottom w:val="nil"/>
              <w:right w:val="nil"/>
            </w:tcBorders>
          </w:tcPr>
          <w:p w14:paraId="7576086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0.088</w:t>
            </w:r>
          </w:p>
        </w:tc>
        <w:tc>
          <w:tcPr>
            <w:tcW w:w="1200" w:type="dxa"/>
            <w:tcBorders>
              <w:left w:val="nil"/>
              <w:bottom w:val="nil"/>
              <w:right w:val="nil"/>
            </w:tcBorders>
          </w:tcPr>
          <w:p w14:paraId="4C2CAE4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0.080</w:t>
            </w:r>
          </w:p>
        </w:tc>
        <w:tc>
          <w:tcPr>
            <w:tcW w:w="1200" w:type="dxa"/>
            <w:tcBorders>
              <w:left w:val="nil"/>
              <w:bottom w:val="nil"/>
              <w:right w:val="nil"/>
            </w:tcBorders>
          </w:tcPr>
          <w:p w14:paraId="6926E4C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0.010</w:t>
            </w:r>
          </w:p>
        </w:tc>
        <w:tc>
          <w:tcPr>
            <w:tcW w:w="1202" w:type="dxa"/>
            <w:tcBorders>
              <w:left w:val="nil"/>
              <w:bottom w:val="nil"/>
              <w:right w:val="nil"/>
            </w:tcBorders>
          </w:tcPr>
          <w:p w14:paraId="1423CAB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0.175*</w:t>
            </w:r>
          </w:p>
        </w:tc>
        <w:tc>
          <w:tcPr>
            <w:tcW w:w="1202" w:type="dxa"/>
            <w:tcBorders>
              <w:left w:val="nil"/>
              <w:bottom w:val="nil"/>
              <w:right w:val="nil"/>
            </w:tcBorders>
          </w:tcPr>
          <w:p w14:paraId="3C23895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-0.011</w:t>
            </w:r>
          </w:p>
        </w:tc>
        <w:tc>
          <w:tcPr>
            <w:tcW w:w="1490" w:type="dxa"/>
            <w:tcBorders>
              <w:left w:val="nil"/>
              <w:bottom w:val="nil"/>
              <w:right w:val="nil"/>
            </w:tcBorders>
          </w:tcPr>
          <w:p w14:paraId="3A58D2C8"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0.074</w:t>
            </w:r>
          </w:p>
        </w:tc>
      </w:tr>
      <w:tr w:rsidR="005E1948" w:rsidRPr="009B02B1" w14:paraId="383B93D9" w14:textId="77777777" w:rsidTr="006D2597">
        <w:trPr>
          <w:jc w:val="center"/>
        </w:trPr>
        <w:tc>
          <w:tcPr>
            <w:tcW w:w="4499" w:type="dxa"/>
            <w:tcBorders>
              <w:top w:val="nil"/>
              <w:left w:val="nil"/>
              <w:bottom w:val="nil"/>
              <w:right w:val="nil"/>
            </w:tcBorders>
          </w:tcPr>
          <w:p w14:paraId="6242AC9B"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32E4988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(0.080)</w:t>
            </w:r>
          </w:p>
        </w:tc>
        <w:tc>
          <w:tcPr>
            <w:tcW w:w="1200" w:type="dxa"/>
            <w:tcBorders>
              <w:top w:val="nil"/>
              <w:left w:val="nil"/>
              <w:bottom w:val="nil"/>
              <w:right w:val="nil"/>
            </w:tcBorders>
          </w:tcPr>
          <w:p w14:paraId="06BCC4F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(0.071)</w:t>
            </w:r>
          </w:p>
        </w:tc>
        <w:tc>
          <w:tcPr>
            <w:tcW w:w="1200" w:type="dxa"/>
            <w:tcBorders>
              <w:top w:val="nil"/>
              <w:left w:val="nil"/>
              <w:bottom w:val="nil"/>
              <w:right w:val="nil"/>
            </w:tcBorders>
          </w:tcPr>
          <w:p w14:paraId="12DE1C7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(0.092)</w:t>
            </w:r>
          </w:p>
        </w:tc>
        <w:tc>
          <w:tcPr>
            <w:tcW w:w="1200" w:type="dxa"/>
            <w:tcBorders>
              <w:top w:val="nil"/>
              <w:left w:val="nil"/>
              <w:bottom w:val="nil"/>
              <w:right w:val="nil"/>
            </w:tcBorders>
          </w:tcPr>
          <w:p w14:paraId="6DF6D3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(0.070)</w:t>
            </w:r>
          </w:p>
        </w:tc>
        <w:tc>
          <w:tcPr>
            <w:tcW w:w="1200" w:type="dxa"/>
            <w:tcBorders>
              <w:top w:val="nil"/>
              <w:left w:val="nil"/>
              <w:bottom w:val="nil"/>
              <w:right w:val="nil"/>
            </w:tcBorders>
          </w:tcPr>
          <w:p w14:paraId="310B81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(0.069)</w:t>
            </w:r>
          </w:p>
        </w:tc>
        <w:tc>
          <w:tcPr>
            <w:tcW w:w="1200" w:type="dxa"/>
            <w:tcBorders>
              <w:top w:val="nil"/>
              <w:left w:val="nil"/>
              <w:bottom w:val="nil"/>
              <w:right w:val="nil"/>
            </w:tcBorders>
          </w:tcPr>
          <w:p w14:paraId="216295C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(0.072)</w:t>
            </w:r>
          </w:p>
        </w:tc>
        <w:tc>
          <w:tcPr>
            <w:tcW w:w="1202" w:type="dxa"/>
            <w:tcBorders>
              <w:top w:val="nil"/>
              <w:left w:val="nil"/>
              <w:bottom w:val="nil"/>
              <w:right w:val="nil"/>
            </w:tcBorders>
          </w:tcPr>
          <w:p w14:paraId="5E18ED2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(0.097)</w:t>
            </w:r>
          </w:p>
        </w:tc>
        <w:tc>
          <w:tcPr>
            <w:tcW w:w="1202" w:type="dxa"/>
            <w:tcBorders>
              <w:top w:val="nil"/>
              <w:left w:val="nil"/>
              <w:bottom w:val="nil"/>
              <w:right w:val="nil"/>
            </w:tcBorders>
          </w:tcPr>
          <w:p w14:paraId="7D4DCBC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(0.099)</w:t>
            </w:r>
          </w:p>
        </w:tc>
        <w:tc>
          <w:tcPr>
            <w:tcW w:w="1490" w:type="dxa"/>
            <w:tcBorders>
              <w:top w:val="nil"/>
              <w:left w:val="nil"/>
              <w:bottom w:val="nil"/>
              <w:right w:val="nil"/>
            </w:tcBorders>
          </w:tcPr>
          <w:p w14:paraId="2C9055E2"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(0.088)</w:t>
            </w:r>
          </w:p>
        </w:tc>
      </w:tr>
      <w:tr w:rsidR="005E1948" w:rsidRPr="009B02B1" w14:paraId="67E2D9EE" w14:textId="77777777" w:rsidTr="006D2597">
        <w:trPr>
          <w:jc w:val="center"/>
        </w:trPr>
        <w:tc>
          <w:tcPr>
            <w:tcW w:w="4499" w:type="dxa"/>
            <w:tcBorders>
              <w:top w:val="nil"/>
              <w:left w:val="nil"/>
              <w:bottom w:val="nil"/>
              <w:right w:val="nil"/>
            </w:tcBorders>
          </w:tcPr>
          <w:p w14:paraId="60A3B004"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Litigations as Counter Plaintiff</w:t>
            </w:r>
          </w:p>
        </w:tc>
        <w:tc>
          <w:tcPr>
            <w:tcW w:w="1200" w:type="dxa"/>
            <w:tcBorders>
              <w:top w:val="nil"/>
              <w:left w:val="nil"/>
              <w:bottom w:val="nil"/>
              <w:right w:val="nil"/>
            </w:tcBorders>
          </w:tcPr>
          <w:p w14:paraId="02A46E8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0.160</w:t>
            </w:r>
          </w:p>
        </w:tc>
        <w:tc>
          <w:tcPr>
            <w:tcW w:w="1200" w:type="dxa"/>
            <w:tcBorders>
              <w:top w:val="nil"/>
              <w:left w:val="nil"/>
              <w:bottom w:val="nil"/>
              <w:right w:val="nil"/>
            </w:tcBorders>
          </w:tcPr>
          <w:p w14:paraId="7931328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0.159</w:t>
            </w:r>
          </w:p>
        </w:tc>
        <w:tc>
          <w:tcPr>
            <w:tcW w:w="1200" w:type="dxa"/>
            <w:tcBorders>
              <w:top w:val="nil"/>
              <w:left w:val="nil"/>
              <w:bottom w:val="nil"/>
              <w:right w:val="nil"/>
            </w:tcBorders>
          </w:tcPr>
          <w:p w14:paraId="6F6BED5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0.152</w:t>
            </w:r>
          </w:p>
        </w:tc>
        <w:tc>
          <w:tcPr>
            <w:tcW w:w="1200" w:type="dxa"/>
            <w:tcBorders>
              <w:top w:val="nil"/>
              <w:left w:val="nil"/>
              <w:bottom w:val="nil"/>
              <w:right w:val="nil"/>
            </w:tcBorders>
          </w:tcPr>
          <w:p w14:paraId="1A7DD97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-0.536***</w:t>
            </w:r>
          </w:p>
        </w:tc>
        <w:tc>
          <w:tcPr>
            <w:tcW w:w="1200" w:type="dxa"/>
            <w:tcBorders>
              <w:top w:val="nil"/>
              <w:left w:val="nil"/>
              <w:bottom w:val="nil"/>
              <w:right w:val="nil"/>
            </w:tcBorders>
          </w:tcPr>
          <w:p w14:paraId="690D35A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-0.538***</w:t>
            </w:r>
          </w:p>
        </w:tc>
        <w:tc>
          <w:tcPr>
            <w:tcW w:w="1200" w:type="dxa"/>
            <w:tcBorders>
              <w:top w:val="nil"/>
              <w:left w:val="nil"/>
              <w:bottom w:val="nil"/>
              <w:right w:val="nil"/>
            </w:tcBorders>
          </w:tcPr>
          <w:p w14:paraId="3AD005B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-0.487***</w:t>
            </w:r>
          </w:p>
        </w:tc>
        <w:tc>
          <w:tcPr>
            <w:tcW w:w="1202" w:type="dxa"/>
            <w:tcBorders>
              <w:top w:val="nil"/>
              <w:left w:val="nil"/>
              <w:bottom w:val="nil"/>
              <w:right w:val="nil"/>
            </w:tcBorders>
          </w:tcPr>
          <w:p w14:paraId="5977D9E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-0.766***</w:t>
            </w:r>
          </w:p>
        </w:tc>
        <w:tc>
          <w:tcPr>
            <w:tcW w:w="1202" w:type="dxa"/>
            <w:tcBorders>
              <w:top w:val="nil"/>
              <w:left w:val="nil"/>
              <w:bottom w:val="nil"/>
              <w:right w:val="nil"/>
            </w:tcBorders>
          </w:tcPr>
          <w:p w14:paraId="65EE608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-0.715***</w:t>
            </w:r>
          </w:p>
        </w:tc>
        <w:tc>
          <w:tcPr>
            <w:tcW w:w="1490" w:type="dxa"/>
            <w:tcBorders>
              <w:top w:val="nil"/>
              <w:left w:val="nil"/>
              <w:bottom w:val="nil"/>
              <w:right w:val="nil"/>
            </w:tcBorders>
          </w:tcPr>
          <w:p w14:paraId="04F937EB"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-0.042</w:t>
            </w:r>
          </w:p>
        </w:tc>
      </w:tr>
      <w:tr w:rsidR="005E1948" w:rsidRPr="009B02B1" w14:paraId="453C556B" w14:textId="77777777" w:rsidTr="006D2597">
        <w:trPr>
          <w:jc w:val="center"/>
        </w:trPr>
        <w:tc>
          <w:tcPr>
            <w:tcW w:w="4499" w:type="dxa"/>
            <w:tcBorders>
              <w:top w:val="nil"/>
              <w:left w:val="nil"/>
              <w:bottom w:val="nil"/>
              <w:right w:val="nil"/>
            </w:tcBorders>
          </w:tcPr>
          <w:p w14:paraId="04CF7C12"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26D774A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(0.117)</w:t>
            </w:r>
          </w:p>
        </w:tc>
        <w:tc>
          <w:tcPr>
            <w:tcW w:w="1200" w:type="dxa"/>
            <w:tcBorders>
              <w:top w:val="nil"/>
              <w:left w:val="nil"/>
              <w:bottom w:val="nil"/>
              <w:right w:val="nil"/>
            </w:tcBorders>
          </w:tcPr>
          <w:p w14:paraId="32A2709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(0.115)</w:t>
            </w:r>
          </w:p>
        </w:tc>
        <w:tc>
          <w:tcPr>
            <w:tcW w:w="1200" w:type="dxa"/>
            <w:tcBorders>
              <w:top w:val="nil"/>
              <w:left w:val="nil"/>
              <w:bottom w:val="nil"/>
              <w:right w:val="nil"/>
            </w:tcBorders>
          </w:tcPr>
          <w:p w14:paraId="1CC6803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(0.123)</w:t>
            </w:r>
          </w:p>
        </w:tc>
        <w:tc>
          <w:tcPr>
            <w:tcW w:w="1200" w:type="dxa"/>
            <w:tcBorders>
              <w:top w:val="nil"/>
              <w:left w:val="nil"/>
              <w:bottom w:val="nil"/>
              <w:right w:val="nil"/>
            </w:tcBorders>
          </w:tcPr>
          <w:p w14:paraId="06308CC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(0.096)</w:t>
            </w:r>
          </w:p>
        </w:tc>
        <w:tc>
          <w:tcPr>
            <w:tcW w:w="1200" w:type="dxa"/>
            <w:tcBorders>
              <w:top w:val="nil"/>
              <w:left w:val="nil"/>
              <w:bottom w:val="nil"/>
              <w:right w:val="nil"/>
            </w:tcBorders>
          </w:tcPr>
          <w:p w14:paraId="0F9571E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(0.094)</w:t>
            </w:r>
          </w:p>
        </w:tc>
        <w:tc>
          <w:tcPr>
            <w:tcW w:w="1200" w:type="dxa"/>
            <w:tcBorders>
              <w:top w:val="nil"/>
              <w:left w:val="nil"/>
              <w:bottom w:val="nil"/>
              <w:right w:val="nil"/>
            </w:tcBorders>
          </w:tcPr>
          <w:p w14:paraId="733E986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(0.102)</w:t>
            </w:r>
          </w:p>
        </w:tc>
        <w:tc>
          <w:tcPr>
            <w:tcW w:w="1202" w:type="dxa"/>
            <w:tcBorders>
              <w:top w:val="nil"/>
              <w:left w:val="nil"/>
              <w:bottom w:val="nil"/>
              <w:right w:val="nil"/>
            </w:tcBorders>
          </w:tcPr>
          <w:p w14:paraId="436AB00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(0.105)</w:t>
            </w:r>
          </w:p>
        </w:tc>
        <w:tc>
          <w:tcPr>
            <w:tcW w:w="1202" w:type="dxa"/>
            <w:tcBorders>
              <w:top w:val="nil"/>
              <w:left w:val="nil"/>
              <w:bottom w:val="nil"/>
              <w:right w:val="nil"/>
            </w:tcBorders>
          </w:tcPr>
          <w:p w14:paraId="6EF0680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(0.146)</w:t>
            </w:r>
          </w:p>
        </w:tc>
        <w:tc>
          <w:tcPr>
            <w:tcW w:w="1490" w:type="dxa"/>
            <w:tcBorders>
              <w:top w:val="nil"/>
              <w:left w:val="nil"/>
              <w:bottom w:val="nil"/>
              <w:right w:val="nil"/>
            </w:tcBorders>
          </w:tcPr>
          <w:p w14:paraId="17D443DE"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(0.044)</w:t>
            </w:r>
          </w:p>
        </w:tc>
      </w:tr>
      <w:tr w:rsidR="005E1948" w:rsidRPr="009B02B1" w14:paraId="6159BBAA" w14:textId="77777777" w:rsidTr="006D2597">
        <w:trPr>
          <w:jc w:val="center"/>
        </w:trPr>
        <w:tc>
          <w:tcPr>
            <w:tcW w:w="4499" w:type="dxa"/>
            <w:tcBorders>
              <w:top w:val="nil"/>
              <w:left w:val="nil"/>
              <w:bottom w:val="nil"/>
              <w:right w:val="nil"/>
            </w:tcBorders>
          </w:tcPr>
          <w:p w14:paraId="36A5C56F"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No. of Patents</w:t>
            </w:r>
          </w:p>
        </w:tc>
        <w:tc>
          <w:tcPr>
            <w:tcW w:w="1200" w:type="dxa"/>
            <w:tcBorders>
              <w:top w:val="nil"/>
              <w:left w:val="nil"/>
              <w:bottom w:val="nil"/>
              <w:right w:val="nil"/>
            </w:tcBorders>
          </w:tcPr>
          <w:p w14:paraId="10940BD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1A96184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0B2D72D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699AA9C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1200" w:type="dxa"/>
            <w:tcBorders>
              <w:top w:val="nil"/>
              <w:left w:val="nil"/>
              <w:bottom w:val="nil"/>
              <w:right w:val="nil"/>
            </w:tcBorders>
          </w:tcPr>
          <w:p w14:paraId="6D6FCF5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1200" w:type="dxa"/>
            <w:tcBorders>
              <w:top w:val="nil"/>
              <w:left w:val="nil"/>
              <w:bottom w:val="nil"/>
              <w:right w:val="nil"/>
            </w:tcBorders>
          </w:tcPr>
          <w:p w14:paraId="7572489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2" w:type="dxa"/>
            <w:tcBorders>
              <w:top w:val="nil"/>
              <w:left w:val="nil"/>
              <w:bottom w:val="nil"/>
              <w:right w:val="nil"/>
            </w:tcBorders>
          </w:tcPr>
          <w:p w14:paraId="3C56EE9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2" w:type="dxa"/>
            <w:tcBorders>
              <w:top w:val="nil"/>
              <w:left w:val="nil"/>
              <w:bottom w:val="nil"/>
              <w:right w:val="nil"/>
            </w:tcBorders>
          </w:tcPr>
          <w:p w14:paraId="6E0B0F4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0.009**</w:t>
            </w:r>
          </w:p>
        </w:tc>
        <w:tc>
          <w:tcPr>
            <w:tcW w:w="1490" w:type="dxa"/>
            <w:tcBorders>
              <w:top w:val="nil"/>
              <w:left w:val="nil"/>
              <w:bottom w:val="nil"/>
              <w:right w:val="nil"/>
            </w:tcBorders>
          </w:tcPr>
          <w:p w14:paraId="39573359"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0.003</w:t>
            </w:r>
          </w:p>
        </w:tc>
      </w:tr>
      <w:tr w:rsidR="005E1948" w:rsidRPr="009B02B1" w14:paraId="471DDFD2" w14:textId="77777777" w:rsidTr="006D2597">
        <w:trPr>
          <w:jc w:val="center"/>
        </w:trPr>
        <w:tc>
          <w:tcPr>
            <w:tcW w:w="4499" w:type="dxa"/>
            <w:tcBorders>
              <w:top w:val="nil"/>
              <w:left w:val="nil"/>
              <w:bottom w:val="nil"/>
              <w:right w:val="nil"/>
            </w:tcBorders>
          </w:tcPr>
          <w:p w14:paraId="4A815CE5"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5FD5ABD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232EFBA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5C7807C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03CE872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0" w:type="dxa"/>
            <w:tcBorders>
              <w:top w:val="nil"/>
              <w:left w:val="nil"/>
              <w:bottom w:val="nil"/>
              <w:right w:val="nil"/>
            </w:tcBorders>
          </w:tcPr>
          <w:p w14:paraId="2522B4D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0" w:type="dxa"/>
            <w:tcBorders>
              <w:top w:val="nil"/>
              <w:left w:val="nil"/>
              <w:bottom w:val="nil"/>
              <w:right w:val="nil"/>
            </w:tcBorders>
          </w:tcPr>
          <w:p w14:paraId="3F7F4F6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1202" w:type="dxa"/>
            <w:tcBorders>
              <w:top w:val="nil"/>
              <w:left w:val="nil"/>
              <w:bottom w:val="nil"/>
              <w:right w:val="nil"/>
            </w:tcBorders>
          </w:tcPr>
          <w:p w14:paraId="1215F2F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1202" w:type="dxa"/>
            <w:tcBorders>
              <w:top w:val="nil"/>
              <w:left w:val="nil"/>
              <w:bottom w:val="nil"/>
              <w:right w:val="nil"/>
            </w:tcBorders>
          </w:tcPr>
          <w:p w14:paraId="6F16D1A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(0.004)</w:t>
            </w:r>
          </w:p>
        </w:tc>
        <w:tc>
          <w:tcPr>
            <w:tcW w:w="1490" w:type="dxa"/>
            <w:tcBorders>
              <w:top w:val="nil"/>
              <w:left w:val="nil"/>
              <w:bottom w:val="nil"/>
              <w:right w:val="nil"/>
            </w:tcBorders>
          </w:tcPr>
          <w:p w14:paraId="59770C40"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(0.003)</w:t>
            </w:r>
          </w:p>
        </w:tc>
      </w:tr>
      <w:tr w:rsidR="005E1948" w:rsidRPr="009B02B1" w14:paraId="148EA5FF" w14:textId="77777777" w:rsidTr="006D2597">
        <w:trPr>
          <w:jc w:val="center"/>
        </w:trPr>
        <w:tc>
          <w:tcPr>
            <w:tcW w:w="4499" w:type="dxa"/>
            <w:tcBorders>
              <w:top w:val="nil"/>
              <w:left w:val="nil"/>
              <w:bottom w:val="nil"/>
              <w:right w:val="nil"/>
            </w:tcBorders>
          </w:tcPr>
          <w:p w14:paraId="60205CB2"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lastRenderedPageBreak/>
              <w:t xml:space="preserve"> Research Expenses</w:t>
            </w:r>
          </w:p>
        </w:tc>
        <w:tc>
          <w:tcPr>
            <w:tcW w:w="1200" w:type="dxa"/>
            <w:tcBorders>
              <w:top w:val="nil"/>
              <w:left w:val="nil"/>
              <w:bottom w:val="nil"/>
              <w:right w:val="nil"/>
            </w:tcBorders>
          </w:tcPr>
          <w:p w14:paraId="5490F79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-0.305*</w:t>
            </w:r>
          </w:p>
        </w:tc>
        <w:tc>
          <w:tcPr>
            <w:tcW w:w="1200" w:type="dxa"/>
            <w:tcBorders>
              <w:top w:val="nil"/>
              <w:left w:val="nil"/>
              <w:bottom w:val="nil"/>
              <w:right w:val="nil"/>
            </w:tcBorders>
          </w:tcPr>
          <w:p w14:paraId="587787B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-0.326*</w:t>
            </w:r>
          </w:p>
        </w:tc>
        <w:tc>
          <w:tcPr>
            <w:tcW w:w="1200" w:type="dxa"/>
            <w:tcBorders>
              <w:top w:val="nil"/>
              <w:left w:val="nil"/>
              <w:bottom w:val="nil"/>
              <w:right w:val="nil"/>
            </w:tcBorders>
          </w:tcPr>
          <w:p w14:paraId="7C9F51B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-0.329*</w:t>
            </w:r>
          </w:p>
        </w:tc>
        <w:tc>
          <w:tcPr>
            <w:tcW w:w="1200" w:type="dxa"/>
            <w:tcBorders>
              <w:top w:val="nil"/>
              <w:left w:val="nil"/>
              <w:bottom w:val="nil"/>
              <w:right w:val="nil"/>
            </w:tcBorders>
          </w:tcPr>
          <w:p w14:paraId="070F0DE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0.282</w:t>
            </w:r>
          </w:p>
        </w:tc>
        <w:tc>
          <w:tcPr>
            <w:tcW w:w="1200" w:type="dxa"/>
            <w:tcBorders>
              <w:top w:val="nil"/>
              <w:left w:val="nil"/>
              <w:bottom w:val="nil"/>
              <w:right w:val="nil"/>
            </w:tcBorders>
          </w:tcPr>
          <w:p w14:paraId="6795661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0.258</w:t>
            </w:r>
          </w:p>
        </w:tc>
        <w:tc>
          <w:tcPr>
            <w:tcW w:w="1200" w:type="dxa"/>
            <w:tcBorders>
              <w:top w:val="nil"/>
              <w:left w:val="nil"/>
              <w:bottom w:val="nil"/>
              <w:right w:val="nil"/>
            </w:tcBorders>
          </w:tcPr>
          <w:p w14:paraId="697AF81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0.289</w:t>
            </w:r>
          </w:p>
        </w:tc>
        <w:tc>
          <w:tcPr>
            <w:tcW w:w="1202" w:type="dxa"/>
            <w:tcBorders>
              <w:top w:val="nil"/>
              <w:left w:val="nil"/>
              <w:bottom w:val="nil"/>
              <w:right w:val="nil"/>
            </w:tcBorders>
          </w:tcPr>
          <w:p w14:paraId="2D8B915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0.431</w:t>
            </w:r>
          </w:p>
        </w:tc>
        <w:tc>
          <w:tcPr>
            <w:tcW w:w="1202" w:type="dxa"/>
            <w:tcBorders>
              <w:top w:val="nil"/>
              <w:left w:val="nil"/>
              <w:bottom w:val="nil"/>
              <w:right w:val="nil"/>
            </w:tcBorders>
          </w:tcPr>
          <w:p w14:paraId="5E53CFC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0.447</w:t>
            </w:r>
          </w:p>
        </w:tc>
        <w:tc>
          <w:tcPr>
            <w:tcW w:w="1490" w:type="dxa"/>
            <w:tcBorders>
              <w:top w:val="nil"/>
              <w:left w:val="nil"/>
              <w:bottom w:val="nil"/>
              <w:right w:val="nil"/>
            </w:tcBorders>
          </w:tcPr>
          <w:p w14:paraId="505629CE"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0.419</w:t>
            </w:r>
          </w:p>
        </w:tc>
      </w:tr>
      <w:tr w:rsidR="005E1948" w:rsidRPr="009B02B1" w14:paraId="40B8A939" w14:textId="77777777" w:rsidTr="006D2597">
        <w:trPr>
          <w:jc w:val="center"/>
        </w:trPr>
        <w:tc>
          <w:tcPr>
            <w:tcW w:w="4499" w:type="dxa"/>
            <w:tcBorders>
              <w:top w:val="nil"/>
              <w:left w:val="nil"/>
              <w:bottom w:val="nil"/>
              <w:right w:val="nil"/>
            </w:tcBorders>
          </w:tcPr>
          <w:p w14:paraId="3F82D92A"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19D1FC9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(0.175)</w:t>
            </w:r>
          </w:p>
        </w:tc>
        <w:tc>
          <w:tcPr>
            <w:tcW w:w="1200" w:type="dxa"/>
            <w:tcBorders>
              <w:top w:val="nil"/>
              <w:left w:val="nil"/>
              <w:bottom w:val="nil"/>
              <w:right w:val="nil"/>
            </w:tcBorders>
          </w:tcPr>
          <w:p w14:paraId="27D33E7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(0.179)</w:t>
            </w:r>
          </w:p>
        </w:tc>
        <w:tc>
          <w:tcPr>
            <w:tcW w:w="1200" w:type="dxa"/>
            <w:tcBorders>
              <w:top w:val="nil"/>
              <w:left w:val="nil"/>
              <w:bottom w:val="nil"/>
              <w:right w:val="nil"/>
            </w:tcBorders>
          </w:tcPr>
          <w:p w14:paraId="6E1105E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(0.175)</w:t>
            </w:r>
          </w:p>
        </w:tc>
        <w:tc>
          <w:tcPr>
            <w:tcW w:w="1200" w:type="dxa"/>
            <w:tcBorders>
              <w:top w:val="nil"/>
              <w:left w:val="nil"/>
              <w:bottom w:val="nil"/>
              <w:right w:val="nil"/>
            </w:tcBorders>
          </w:tcPr>
          <w:p w14:paraId="1E1BFCC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(0.262)</w:t>
            </w:r>
          </w:p>
        </w:tc>
        <w:tc>
          <w:tcPr>
            <w:tcW w:w="1200" w:type="dxa"/>
            <w:tcBorders>
              <w:top w:val="nil"/>
              <w:left w:val="nil"/>
              <w:bottom w:val="nil"/>
              <w:right w:val="nil"/>
            </w:tcBorders>
          </w:tcPr>
          <w:p w14:paraId="32BD4F5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(0.266)</w:t>
            </w:r>
          </w:p>
        </w:tc>
        <w:tc>
          <w:tcPr>
            <w:tcW w:w="1200" w:type="dxa"/>
            <w:tcBorders>
              <w:top w:val="nil"/>
              <w:left w:val="nil"/>
              <w:bottom w:val="nil"/>
              <w:right w:val="nil"/>
            </w:tcBorders>
          </w:tcPr>
          <w:p w14:paraId="239A59E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(0.258)</w:t>
            </w:r>
          </w:p>
        </w:tc>
        <w:tc>
          <w:tcPr>
            <w:tcW w:w="1202" w:type="dxa"/>
            <w:tcBorders>
              <w:top w:val="nil"/>
              <w:left w:val="nil"/>
              <w:bottom w:val="nil"/>
              <w:right w:val="nil"/>
            </w:tcBorders>
          </w:tcPr>
          <w:p w14:paraId="7378F3A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(0.267)</w:t>
            </w:r>
          </w:p>
        </w:tc>
        <w:tc>
          <w:tcPr>
            <w:tcW w:w="1202" w:type="dxa"/>
            <w:tcBorders>
              <w:top w:val="nil"/>
              <w:left w:val="nil"/>
              <w:bottom w:val="nil"/>
              <w:right w:val="nil"/>
            </w:tcBorders>
          </w:tcPr>
          <w:p w14:paraId="0229032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(0.308)</w:t>
            </w:r>
          </w:p>
        </w:tc>
        <w:tc>
          <w:tcPr>
            <w:tcW w:w="1490" w:type="dxa"/>
            <w:tcBorders>
              <w:top w:val="nil"/>
              <w:left w:val="nil"/>
              <w:bottom w:val="nil"/>
              <w:right w:val="nil"/>
            </w:tcBorders>
          </w:tcPr>
          <w:p w14:paraId="7A699CFE"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(0.299)</w:t>
            </w:r>
          </w:p>
        </w:tc>
      </w:tr>
      <w:tr w:rsidR="005E1948" w:rsidRPr="009B02B1" w14:paraId="1C8FB257" w14:textId="77777777" w:rsidTr="006D2597">
        <w:trPr>
          <w:jc w:val="center"/>
        </w:trPr>
        <w:tc>
          <w:tcPr>
            <w:tcW w:w="4499" w:type="dxa"/>
            <w:tcBorders>
              <w:top w:val="nil"/>
              <w:left w:val="nil"/>
              <w:bottom w:val="nil"/>
              <w:right w:val="nil"/>
            </w:tcBorders>
          </w:tcPr>
          <w:p w14:paraId="0740BE50"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Licensing Patents</w:t>
            </w:r>
          </w:p>
        </w:tc>
        <w:tc>
          <w:tcPr>
            <w:tcW w:w="1200" w:type="dxa"/>
            <w:tcBorders>
              <w:top w:val="nil"/>
              <w:left w:val="nil"/>
              <w:bottom w:val="nil"/>
              <w:right w:val="nil"/>
            </w:tcBorders>
          </w:tcPr>
          <w:p w14:paraId="59D1A4E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-0.088**</w:t>
            </w:r>
          </w:p>
        </w:tc>
        <w:tc>
          <w:tcPr>
            <w:tcW w:w="1200" w:type="dxa"/>
            <w:tcBorders>
              <w:top w:val="nil"/>
              <w:left w:val="nil"/>
              <w:bottom w:val="nil"/>
              <w:right w:val="nil"/>
            </w:tcBorders>
          </w:tcPr>
          <w:p w14:paraId="5AB11C3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-0.111**</w:t>
            </w:r>
          </w:p>
        </w:tc>
        <w:tc>
          <w:tcPr>
            <w:tcW w:w="1200" w:type="dxa"/>
            <w:tcBorders>
              <w:top w:val="nil"/>
              <w:left w:val="nil"/>
              <w:bottom w:val="nil"/>
              <w:right w:val="nil"/>
            </w:tcBorders>
          </w:tcPr>
          <w:p w14:paraId="57938CE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-0.092**</w:t>
            </w:r>
          </w:p>
        </w:tc>
        <w:tc>
          <w:tcPr>
            <w:tcW w:w="1200" w:type="dxa"/>
            <w:tcBorders>
              <w:top w:val="nil"/>
              <w:left w:val="nil"/>
              <w:bottom w:val="nil"/>
              <w:right w:val="nil"/>
            </w:tcBorders>
          </w:tcPr>
          <w:p w14:paraId="5291FCA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0.081**</w:t>
            </w:r>
          </w:p>
        </w:tc>
        <w:tc>
          <w:tcPr>
            <w:tcW w:w="1200" w:type="dxa"/>
            <w:tcBorders>
              <w:top w:val="nil"/>
              <w:left w:val="nil"/>
              <w:bottom w:val="nil"/>
              <w:right w:val="nil"/>
            </w:tcBorders>
          </w:tcPr>
          <w:p w14:paraId="459627A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0.060*</w:t>
            </w:r>
          </w:p>
        </w:tc>
        <w:tc>
          <w:tcPr>
            <w:tcW w:w="1200" w:type="dxa"/>
            <w:tcBorders>
              <w:top w:val="nil"/>
              <w:left w:val="nil"/>
              <w:bottom w:val="nil"/>
              <w:right w:val="nil"/>
            </w:tcBorders>
          </w:tcPr>
          <w:p w14:paraId="2C7BDFC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0.083**</w:t>
            </w:r>
          </w:p>
        </w:tc>
        <w:tc>
          <w:tcPr>
            <w:tcW w:w="1202" w:type="dxa"/>
            <w:tcBorders>
              <w:top w:val="nil"/>
              <w:left w:val="nil"/>
              <w:bottom w:val="nil"/>
              <w:right w:val="nil"/>
            </w:tcBorders>
          </w:tcPr>
          <w:p w14:paraId="2743976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0.090**</w:t>
            </w:r>
          </w:p>
        </w:tc>
        <w:tc>
          <w:tcPr>
            <w:tcW w:w="1202" w:type="dxa"/>
            <w:tcBorders>
              <w:top w:val="nil"/>
              <w:left w:val="nil"/>
              <w:bottom w:val="nil"/>
              <w:right w:val="nil"/>
            </w:tcBorders>
          </w:tcPr>
          <w:p w14:paraId="6714FFC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0.053</w:t>
            </w:r>
          </w:p>
        </w:tc>
        <w:tc>
          <w:tcPr>
            <w:tcW w:w="1490" w:type="dxa"/>
            <w:tcBorders>
              <w:top w:val="nil"/>
              <w:left w:val="nil"/>
              <w:bottom w:val="nil"/>
              <w:right w:val="nil"/>
            </w:tcBorders>
          </w:tcPr>
          <w:p w14:paraId="2BA60EBA"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0.171*</w:t>
            </w:r>
          </w:p>
        </w:tc>
      </w:tr>
      <w:tr w:rsidR="005E1948" w:rsidRPr="009B02B1" w14:paraId="1CE3C96E" w14:textId="77777777" w:rsidTr="006D2597">
        <w:trPr>
          <w:jc w:val="center"/>
        </w:trPr>
        <w:tc>
          <w:tcPr>
            <w:tcW w:w="4499" w:type="dxa"/>
            <w:tcBorders>
              <w:top w:val="nil"/>
              <w:left w:val="nil"/>
              <w:bottom w:val="nil"/>
              <w:right w:val="nil"/>
            </w:tcBorders>
          </w:tcPr>
          <w:p w14:paraId="4FB972FF"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187D6DB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(0.043)</w:t>
            </w:r>
          </w:p>
        </w:tc>
        <w:tc>
          <w:tcPr>
            <w:tcW w:w="1200" w:type="dxa"/>
            <w:tcBorders>
              <w:top w:val="nil"/>
              <w:left w:val="nil"/>
              <w:bottom w:val="nil"/>
              <w:right w:val="nil"/>
            </w:tcBorders>
          </w:tcPr>
          <w:p w14:paraId="1EE7C1F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(0.047)</w:t>
            </w:r>
          </w:p>
        </w:tc>
        <w:tc>
          <w:tcPr>
            <w:tcW w:w="1200" w:type="dxa"/>
            <w:tcBorders>
              <w:top w:val="nil"/>
              <w:left w:val="nil"/>
              <w:bottom w:val="nil"/>
              <w:right w:val="nil"/>
            </w:tcBorders>
          </w:tcPr>
          <w:p w14:paraId="3C09774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(0.044)</w:t>
            </w:r>
          </w:p>
        </w:tc>
        <w:tc>
          <w:tcPr>
            <w:tcW w:w="1200" w:type="dxa"/>
            <w:tcBorders>
              <w:top w:val="nil"/>
              <w:left w:val="nil"/>
              <w:bottom w:val="nil"/>
              <w:right w:val="nil"/>
            </w:tcBorders>
          </w:tcPr>
          <w:p w14:paraId="5230AD8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(0.035)</w:t>
            </w:r>
          </w:p>
        </w:tc>
        <w:tc>
          <w:tcPr>
            <w:tcW w:w="1200" w:type="dxa"/>
            <w:tcBorders>
              <w:top w:val="nil"/>
              <w:left w:val="nil"/>
              <w:bottom w:val="nil"/>
              <w:right w:val="nil"/>
            </w:tcBorders>
          </w:tcPr>
          <w:p w14:paraId="307D5D9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(0.032)</w:t>
            </w:r>
          </w:p>
        </w:tc>
        <w:tc>
          <w:tcPr>
            <w:tcW w:w="1200" w:type="dxa"/>
            <w:tcBorders>
              <w:top w:val="nil"/>
              <w:left w:val="nil"/>
              <w:bottom w:val="nil"/>
              <w:right w:val="nil"/>
            </w:tcBorders>
          </w:tcPr>
          <w:p w14:paraId="547B81D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(0.035)</w:t>
            </w:r>
          </w:p>
        </w:tc>
        <w:tc>
          <w:tcPr>
            <w:tcW w:w="1202" w:type="dxa"/>
            <w:tcBorders>
              <w:top w:val="nil"/>
              <w:left w:val="nil"/>
              <w:bottom w:val="nil"/>
              <w:right w:val="nil"/>
            </w:tcBorders>
          </w:tcPr>
          <w:p w14:paraId="213183E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(0.039)</w:t>
            </w:r>
          </w:p>
        </w:tc>
        <w:tc>
          <w:tcPr>
            <w:tcW w:w="1202" w:type="dxa"/>
            <w:tcBorders>
              <w:top w:val="nil"/>
              <w:left w:val="nil"/>
              <w:bottom w:val="nil"/>
              <w:right w:val="nil"/>
            </w:tcBorders>
          </w:tcPr>
          <w:p w14:paraId="039E0A7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(0.037)</w:t>
            </w:r>
          </w:p>
        </w:tc>
        <w:tc>
          <w:tcPr>
            <w:tcW w:w="1490" w:type="dxa"/>
            <w:tcBorders>
              <w:top w:val="nil"/>
              <w:left w:val="nil"/>
              <w:bottom w:val="nil"/>
              <w:right w:val="nil"/>
            </w:tcBorders>
          </w:tcPr>
          <w:p w14:paraId="61052185"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(0.101)</w:t>
            </w:r>
          </w:p>
        </w:tc>
      </w:tr>
      <w:tr w:rsidR="005E1948" w:rsidRPr="009B02B1" w14:paraId="0ADB2538" w14:textId="77777777" w:rsidTr="006D2597">
        <w:trPr>
          <w:jc w:val="center"/>
        </w:trPr>
        <w:tc>
          <w:tcPr>
            <w:tcW w:w="4499" w:type="dxa"/>
            <w:tcBorders>
              <w:top w:val="nil"/>
              <w:left w:val="nil"/>
              <w:bottom w:val="nil"/>
              <w:right w:val="nil"/>
            </w:tcBorders>
          </w:tcPr>
          <w:p w14:paraId="69B339D4"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Total FTEs</w:t>
            </w:r>
          </w:p>
        </w:tc>
        <w:tc>
          <w:tcPr>
            <w:tcW w:w="1200" w:type="dxa"/>
            <w:tcBorders>
              <w:top w:val="nil"/>
              <w:left w:val="nil"/>
              <w:bottom w:val="nil"/>
              <w:right w:val="nil"/>
            </w:tcBorders>
          </w:tcPr>
          <w:p w14:paraId="1BBE75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749D30F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4D6B506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28F7C0B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-0.010**</w:t>
            </w:r>
          </w:p>
        </w:tc>
        <w:tc>
          <w:tcPr>
            <w:tcW w:w="1200" w:type="dxa"/>
            <w:tcBorders>
              <w:top w:val="nil"/>
              <w:left w:val="nil"/>
              <w:bottom w:val="nil"/>
              <w:right w:val="nil"/>
            </w:tcBorders>
          </w:tcPr>
          <w:p w14:paraId="43A891F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-0.010**</w:t>
            </w:r>
          </w:p>
        </w:tc>
        <w:tc>
          <w:tcPr>
            <w:tcW w:w="1200" w:type="dxa"/>
            <w:tcBorders>
              <w:top w:val="nil"/>
              <w:left w:val="nil"/>
              <w:bottom w:val="nil"/>
              <w:right w:val="nil"/>
            </w:tcBorders>
          </w:tcPr>
          <w:p w14:paraId="34F4324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-0.009**</w:t>
            </w:r>
          </w:p>
        </w:tc>
        <w:tc>
          <w:tcPr>
            <w:tcW w:w="1202" w:type="dxa"/>
            <w:tcBorders>
              <w:top w:val="nil"/>
              <w:left w:val="nil"/>
              <w:bottom w:val="nil"/>
              <w:right w:val="nil"/>
            </w:tcBorders>
          </w:tcPr>
          <w:p w14:paraId="173AAD0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-0.007*</w:t>
            </w:r>
          </w:p>
        </w:tc>
        <w:tc>
          <w:tcPr>
            <w:tcW w:w="1202" w:type="dxa"/>
            <w:tcBorders>
              <w:top w:val="nil"/>
              <w:left w:val="nil"/>
              <w:bottom w:val="nil"/>
              <w:right w:val="nil"/>
            </w:tcBorders>
          </w:tcPr>
          <w:p w14:paraId="410DE04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-0.013**</w:t>
            </w:r>
          </w:p>
        </w:tc>
        <w:tc>
          <w:tcPr>
            <w:tcW w:w="1490" w:type="dxa"/>
            <w:tcBorders>
              <w:top w:val="nil"/>
              <w:left w:val="nil"/>
              <w:bottom w:val="nil"/>
              <w:right w:val="nil"/>
            </w:tcBorders>
          </w:tcPr>
          <w:p w14:paraId="4C62F198"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-0.01**</w:t>
            </w:r>
          </w:p>
        </w:tc>
      </w:tr>
      <w:tr w:rsidR="005E1948" w:rsidRPr="009B02B1" w14:paraId="4C22BF1D" w14:textId="77777777" w:rsidTr="006D2597">
        <w:trPr>
          <w:jc w:val="center"/>
        </w:trPr>
        <w:tc>
          <w:tcPr>
            <w:tcW w:w="4499" w:type="dxa"/>
            <w:tcBorders>
              <w:top w:val="nil"/>
              <w:left w:val="nil"/>
              <w:bottom w:val="nil"/>
              <w:right w:val="nil"/>
            </w:tcBorders>
          </w:tcPr>
          <w:p w14:paraId="142F9662"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00A8FA8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0" w:type="dxa"/>
            <w:tcBorders>
              <w:top w:val="nil"/>
              <w:left w:val="nil"/>
              <w:bottom w:val="nil"/>
              <w:right w:val="nil"/>
            </w:tcBorders>
          </w:tcPr>
          <w:p w14:paraId="6DA0E1F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1200" w:type="dxa"/>
            <w:tcBorders>
              <w:top w:val="nil"/>
              <w:left w:val="nil"/>
              <w:bottom w:val="nil"/>
              <w:right w:val="nil"/>
            </w:tcBorders>
          </w:tcPr>
          <w:p w14:paraId="5009AC6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1200" w:type="dxa"/>
            <w:tcBorders>
              <w:top w:val="nil"/>
              <w:left w:val="nil"/>
              <w:bottom w:val="nil"/>
              <w:right w:val="nil"/>
            </w:tcBorders>
          </w:tcPr>
          <w:p w14:paraId="1E27D18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1200" w:type="dxa"/>
            <w:tcBorders>
              <w:top w:val="nil"/>
              <w:left w:val="nil"/>
              <w:bottom w:val="nil"/>
              <w:right w:val="nil"/>
            </w:tcBorders>
          </w:tcPr>
          <w:p w14:paraId="789EB17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1200" w:type="dxa"/>
            <w:tcBorders>
              <w:top w:val="nil"/>
              <w:left w:val="nil"/>
              <w:bottom w:val="nil"/>
              <w:right w:val="nil"/>
            </w:tcBorders>
          </w:tcPr>
          <w:p w14:paraId="7B09FDC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1202" w:type="dxa"/>
            <w:tcBorders>
              <w:top w:val="nil"/>
              <w:left w:val="nil"/>
              <w:bottom w:val="nil"/>
              <w:right w:val="nil"/>
            </w:tcBorders>
          </w:tcPr>
          <w:p w14:paraId="4959073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2" w:type="dxa"/>
            <w:tcBorders>
              <w:top w:val="nil"/>
              <w:left w:val="nil"/>
              <w:bottom w:val="nil"/>
              <w:right w:val="nil"/>
            </w:tcBorders>
          </w:tcPr>
          <w:p w14:paraId="7776C00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(0.006)</w:t>
            </w:r>
          </w:p>
        </w:tc>
        <w:tc>
          <w:tcPr>
            <w:tcW w:w="1490" w:type="dxa"/>
            <w:tcBorders>
              <w:top w:val="nil"/>
              <w:left w:val="nil"/>
              <w:bottom w:val="nil"/>
              <w:right w:val="nil"/>
            </w:tcBorders>
          </w:tcPr>
          <w:p w14:paraId="21B23187"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(0.005)</w:t>
            </w:r>
          </w:p>
        </w:tc>
      </w:tr>
      <w:tr w:rsidR="005E1948" w:rsidRPr="009B02B1" w14:paraId="046AB86B" w14:textId="77777777" w:rsidTr="006D2597">
        <w:trPr>
          <w:jc w:val="center"/>
        </w:trPr>
        <w:tc>
          <w:tcPr>
            <w:tcW w:w="4499" w:type="dxa"/>
            <w:tcBorders>
              <w:top w:val="nil"/>
              <w:left w:val="nil"/>
              <w:bottom w:val="nil"/>
              <w:right w:val="nil"/>
            </w:tcBorders>
          </w:tcPr>
          <w:p w14:paraId="6C0AA8C7"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Legal Fees</w:t>
            </w:r>
          </w:p>
        </w:tc>
        <w:tc>
          <w:tcPr>
            <w:tcW w:w="1200" w:type="dxa"/>
            <w:tcBorders>
              <w:top w:val="nil"/>
              <w:left w:val="nil"/>
              <w:bottom w:val="nil"/>
              <w:right w:val="nil"/>
            </w:tcBorders>
          </w:tcPr>
          <w:p w14:paraId="6FF9D4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0.354*</w:t>
            </w:r>
          </w:p>
        </w:tc>
        <w:tc>
          <w:tcPr>
            <w:tcW w:w="1200" w:type="dxa"/>
            <w:tcBorders>
              <w:top w:val="nil"/>
              <w:left w:val="nil"/>
              <w:bottom w:val="nil"/>
              <w:right w:val="nil"/>
            </w:tcBorders>
          </w:tcPr>
          <w:p w14:paraId="5E48D70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0.370*</w:t>
            </w:r>
          </w:p>
        </w:tc>
        <w:tc>
          <w:tcPr>
            <w:tcW w:w="1200" w:type="dxa"/>
            <w:tcBorders>
              <w:top w:val="nil"/>
              <w:left w:val="nil"/>
              <w:bottom w:val="nil"/>
              <w:right w:val="nil"/>
            </w:tcBorders>
          </w:tcPr>
          <w:p w14:paraId="2B6D2AF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0.369**</w:t>
            </w:r>
          </w:p>
        </w:tc>
        <w:tc>
          <w:tcPr>
            <w:tcW w:w="1200" w:type="dxa"/>
            <w:tcBorders>
              <w:top w:val="nil"/>
              <w:left w:val="nil"/>
              <w:bottom w:val="nil"/>
              <w:right w:val="nil"/>
            </w:tcBorders>
          </w:tcPr>
          <w:p w14:paraId="1615106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0.777**</w:t>
            </w:r>
          </w:p>
        </w:tc>
        <w:tc>
          <w:tcPr>
            <w:tcW w:w="1200" w:type="dxa"/>
            <w:tcBorders>
              <w:top w:val="nil"/>
              <w:left w:val="nil"/>
              <w:bottom w:val="nil"/>
              <w:right w:val="nil"/>
            </w:tcBorders>
          </w:tcPr>
          <w:p w14:paraId="412329B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0.797**</w:t>
            </w:r>
          </w:p>
        </w:tc>
        <w:tc>
          <w:tcPr>
            <w:tcW w:w="1200" w:type="dxa"/>
            <w:tcBorders>
              <w:top w:val="nil"/>
              <w:left w:val="nil"/>
              <w:bottom w:val="nil"/>
              <w:right w:val="nil"/>
            </w:tcBorders>
          </w:tcPr>
          <w:p w14:paraId="7D052E3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0.762**</w:t>
            </w:r>
          </w:p>
        </w:tc>
        <w:tc>
          <w:tcPr>
            <w:tcW w:w="1202" w:type="dxa"/>
            <w:tcBorders>
              <w:top w:val="nil"/>
              <w:left w:val="nil"/>
              <w:bottom w:val="nil"/>
              <w:right w:val="nil"/>
            </w:tcBorders>
          </w:tcPr>
          <w:p w14:paraId="4ACA1BA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0.604*</w:t>
            </w:r>
          </w:p>
        </w:tc>
        <w:tc>
          <w:tcPr>
            <w:tcW w:w="1202" w:type="dxa"/>
            <w:tcBorders>
              <w:top w:val="nil"/>
              <w:left w:val="nil"/>
              <w:bottom w:val="nil"/>
              <w:right w:val="nil"/>
            </w:tcBorders>
          </w:tcPr>
          <w:p w14:paraId="4693369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0.525*</w:t>
            </w:r>
          </w:p>
        </w:tc>
        <w:tc>
          <w:tcPr>
            <w:tcW w:w="1490" w:type="dxa"/>
            <w:tcBorders>
              <w:top w:val="nil"/>
              <w:left w:val="nil"/>
              <w:bottom w:val="nil"/>
              <w:right w:val="nil"/>
            </w:tcBorders>
          </w:tcPr>
          <w:p w14:paraId="18A170A2"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0.663*</w:t>
            </w:r>
          </w:p>
        </w:tc>
      </w:tr>
      <w:tr w:rsidR="005E1948" w:rsidRPr="009B02B1" w14:paraId="412121D3" w14:textId="77777777" w:rsidTr="006D2597">
        <w:trPr>
          <w:jc w:val="center"/>
        </w:trPr>
        <w:tc>
          <w:tcPr>
            <w:tcW w:w="4499" w:type="dxa"/>
            <w:tcBorders>
              <w:top w:val="nil"/>
              <w:left w:val="nil"/>
              <w:bottom w:val="nil"/>
              <w:right w:val="nil"/>
            </w:tcBorders>
          </w:tcPr>
          <w:p w14:paraId="0D3191E1"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41B6104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(0.182)</w:t>
            </w:r>
          </w:p>
        </w:tc>
        <w:tc>
          <w:tcPr>
            <w:tcW w:w="1200" w:type="dxa"/>
            <w:tcBorders>
              <w:top w:val="nil"/>
              <w:left w:val="nil"/>
              <w:bottom w:val="nil"/>
              <w:right w:val="nil"/>
            </w:tcBorders>
          </w:tcPr>
          <w:p w14:paraId="009B155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(0.187)</w:t>
            </w:r>
          </w:p>
        </w:tc>
        <w:tc>
          <w:tcPr>
            <w:tcW w:w="1200" w:type="dxa"/>
            <w:tcBorders>
              <w:top w:val="nil"/>
              <w:left w:val="nil"/>
              <w:bottom w:val="nil"/>
              <w:right w:val="nil"/>
            </w:tcBorders>
          </w:tcPr>
          <w:p w14:paraId="588F52A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(0.186)</w:t>
            </w:r>
          </w:p>
        </w:tc>
        <w:tc>
          <w:tcPr>
            <w:tcW w:w="1200" w:type="dxa"/>
            <w:tcBorders>
              <w:top w:val="nil"/>
              <w:left w:val="nil"/>
              <w:bottom w:val="nil"/>
              <w:right w:val="nil"/>
            </w:tcBorders>
          </w:tcPr>
          <w:p w14:paraId="0D62773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(0.309)</w:t>
            </w:r>
          </w:p>
        </w:tc>
        <w:tc>
          <w:tcPr>
            <w:tcW w:w="1200" w:type="dxa"/>
            <w:tcBorders>
              <w:top w:val="nil"/>
              <w:left w:val="nil"/>
              <w:bottom w:val="nil"/>
              <w:right w:val="nil"/>
            </w:tcBorders>
          </w:tcPr>
          <w:p w14:paraId="158312F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(0.314)</w:t>
            </w:r>
          </w:p>
        </w:tc>
        <w:tc>
          <w:tcPr>
            <w:tcW w:w="1200" w:type="dxa"/>
            <w:tcBorders>
              <w:top w:val="nil"/>
              <w:left w:val="nil"/>
              <w:bottom w:val="nil"/>
              <w:right w:val="nil"/>
            </w:tcBorders>
          </w:tcPr>
          <w:p w14:paraId="607ADC0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(0.309)</w:t>
            </w:r>
          </w:p>
        </w:tc>
        <w:tc>
          <w:tcPr>
            <w:tcW w:w="1202" w:type="dxa"/>
            <w:tcBorders>
              <w:top w:val="nil"/>
              <w:left w:val="nil"/>
              <w:bottom w:val="nil"/>
              <w:right w:val="nil"/>
            </w:tcBorders>
          </w:tcPr>
          <w:p w14:paraId="6458CE8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(0.309)</w:t>
            </w:r>
          </w:p>
        </w:tc>
        <w:tc>
          <w:tcPr>
            <w:tcW w:w="1202" w:type="dxa"/>
            <w:tcBorders>
              <w:top w:val="nil"/>
              <w:left w:val="nil"/>
              <w:bottom w:val="nil"/>
              <w:right w:val="nil"/>
            </w:tcBorders>
          </w:tcPr>
          <w:p w14:paraId="3DF7781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(0.313)</w:t>
            </w:r>
          </w:p>
        </w:tc>
        <w:tc>
          <w:tcPr>
            <w:tcW w:w="1490" w:type="dxa"/>
            <w:tcBorders>
              <w:top w:val="nil"/>
              <w:left w:val="nil"/>
              <w:bottom w:val="nil"/>
              <w:right w:val="nil"/>
            </w:tcBorders>
          </w:tcPr>
          <w:p w14:paraId="59C6F7E6"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(0.343)</w:t>
            </w:r>
          </w:p>
        </w:tc>
      </w:tr>
      <w:tr w:rsidR="005E1948" w:rsidRPr="009B02B1" w14:paraId="682925C3" w14:textId="77777777" w:rsidTr="006D2597">
        <w:trPr>
          <w:jc w:val="center"/>
        </w:trPr>
        <w:tc>
          <w:tcPr>
            <w:tcW w:w="4499" w:type="dxa"/>
            <w:tcBorders>
              <w:top w:val="nil"/>
              <w:left w:val="nil"/>
              <w:bottom w:val="nil"/>
              <w:right w:val="nil"/>
            </w:tcBorders>
          </w:tcPr>
          <w:p w14:paraId="2F1B6B61"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Applied Research</w:t>
            </w:r>
          </w:p>
        </w:tc>
        <w:tc>
          <w:tcPr>
            <w:tcW w:w="1200" w:type="dxa"/>
            <w:tcBorders>
              <w:top w:val="nil"/>
              <w:left w:val="nil"/>
              <w:bottom w:val="nil"/>
              <w:right w:val="nil"/>
            </w:tcBorders>
          </w:tcPr>
          <w:p w14:paraId="49F325E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-0.077</w:t>
            </w:r>
          </w:p>
        </w:tc>
        <w:tc>
          <w:tcPr>
            <w:tcW w:w="1200" w:type="dxa"/>
            <w:tcBorders>
              <w:top w:val="nil"/>
              <w:left w:val="nil"/>
              <w:bottom w:val="nil"/>
              <w:right w:val="nil"/>
            </w:tcBorders>
          </w:tcPr>
          <w:p w14:paraId="1001FB9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-0.090</w:t>
            </w:r>
          </w:p>
        </w:tc>
        <w:tc>
          <w:tcPr>
            <w:tcW w:w="1200" w:type="dxa"/>
            <w:tcBorders>
              <w:top w:val="nil"/>
              <w:left w:val="nil"/>
              <w:bottom w:val="nil"/>
              <w:right w:val="nil"/>
            </w:tcBorders>
          </w:tcPr>
          <w:p w14:paraId="371CABB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-0.174</w:t>
            </w:r>
          </w:p>
        </w:tc>
        <w:tc>
          <w:tcPr>
            <w:tcW w:w="1200" w:type="dxa"/>
            <w:tcBorders>
              <w:top w:val="nil"/>
              <w:left w:val="nil"/>
              <w:bottom w:val="nil"/>
              <w:right w:val="nil"/>
            </w:tcBorders>
          </w:tcPr>
          <w:p w14:paraId="61F359C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-0.487</w:t>
            </w:r>
          </w:p>
        </w:tc>
        <w:tc>
          <w:tcPr>
            <w:tcW w:w="1200" w:type="dxa"/>
            <w:tcBorders>
              <w:top w:val="nil"/>
              <w:left w:val="nil"/>
              <w:bottom w:val="nil"/>
              <w:right w:val="nil"/>
            </w:tcBorders>
          </w:tcPr>
          <w:p w14:paraId="4FC6FA4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-0.515</w:t>
            </w:r>
          </w:p>
        </w:tc>
        <w:tc>
          <w:tcPr>
            <w:tcW w:w="1200" w:type="dxa"/>
            <w:tcBorders>
              <w:top w:val="nil"/>
              <w:left w:val="nil"/>
              <w:bottom w:val="nil"/>
              <w:right w:val="nil"/>
            </w:tcBorders>
          </w:tcPr>
          <w:p w14:paraId="1F7C8CB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-0.397</w:t>
            </w:r>
          </w:p>
        </w:tc>
        <w:tc>
          <w:tcPr>
            <w:tcW w:w="1202" w:type="dxa"/>
            <w:tcBorders>
              <w:top w:val="nil"/>
              <w:left w:val="nil"/>
              <w:bottom w:val="nil"/>
              <w:right w:val="nil"/>
            </w:tcBorders>
          </w:tcPr>
          <w:p w14:paraId="082E822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0.521</w:t>
            </w:r>
          </w:p>
        </w:tc>
        <w:tc>
          <w:tcPr>
            <w:tcW w:w="1202" w:type="dxa"/>
            <w:tcBorders>
              <w:top w:val="nil"/>
              <w:left w:val="nil"/>
              <w:bottom w:val="nil"/>
              <w:right w:val="nil"/>
            </w:tcBorders>
          </w:tcPr>
          <w:p w14:paraId="7B42C9F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0.967</w:t>
            </w:r>
          </w:p>
        </w:tc>
        <w:tc>
          <w:tcPr>
            <w:tcW w:w="1490" w:type="dxa"/>
            <w:tcBorders>
              <w:top w:val="nil"/>
              <w:left w:val="nil"/>
              <w:bottom w:val="nil"/>
              <w:right w:val="nil"/>
            </w:tcBorders>
          </w:tcPr>
          <w:p w14:paraId="4C4AAF05"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0.542</w:t>
            </w:r>
          </w:p>
        </w:tc>
      </w:tr>
      <w:tr w:rsidR="005E1948" w:rsidRPr="009B02B1" w14:paraId="3FBEF0C6" w14:textId="77777777" w:rsidTr="006D2597">
        <w:trPr>
          <w:jc w:val="center"/>
        </w:trPr>
        <w:tc>
          <w:tcPr>
            <w:tcW w:w="4499" w:type="dxa"/>
            <w:tcBorders>
              <w:top w:val="nil"/>
              <w:left w:val="nil"/>
              <w:bottom w:val="nil"/>
              <w:right w:val="nil"/>
            </w:tcBorders>
          </w:tcPr>
          <w:p w14:paraId="0D9A869B"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7C2A96D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(0.875)</w:t>
            </w:r>
          </w:p>
        </w:tc>
        <w:tc>
          <w:tcPr>
            <w:tcW w:w="1200" w:type="dxa"/>
            <w:tcBorders>
              <w:top w:val="nil"/>
              <w:left w:val="nil"/>
              <w:bottom w:val="nil"/>
              <w:right w:val="nil"/>
            </w:tcBorders>
          </w:tcPr>
          <w:p w14:paraId="08E9883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(0.829)</w:t>
            </w:r>
          </w:p>
        </w:tc>
        <w:tc>
          <w:tcPr>
            <w:tcW w:w="1200" w:type="dxa"/>
            <w:tcBorders>
              <w:top w:val="nil"/>
              <w:left w:val="nil"/>
              <w:bottom w:val="nil"/>
              <w:right w:val="nil"/>
            </w:tcBorders>
          </w:tcPr>
          <w:p w14:paraId="021BF5E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(0.869)</w:t>
            </w:r>
          </w:p>
        </w:tc>
        <w:tc>
          <w:tcPr>
            <w:tcW w:w="1200" w:type="dxa"/>
            <w:tcBorders>
              <w:top w:val="nil"/>
              <w:left w:val="nil"/>
              <w:bottom w:val="nil"/>
              <w:right w:val="nil"/>
            </w:tcBorders>
          </w:tcPr>
          <w:p w14:paraId="05B5A12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(0.987)</w:t>
            </w:r>
          </w:p>
        </w:tc>
        <w:tc>
          <w:tcPr>
            <w:tcW w:w="1200" w:type="dxa"/>
            <w:tcBorders>
              <w:top w:val="nil"/>
              <w:left w:val="nil"/>
              <w:bottom w:val="nil"/>
              <w:right w:val="nil"/>
            </w:tcBorders>
          </w:tcPr>
          <w:p w14:paraId="23F3D67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(0.904)</w:t>
            </w:r>
          </w:p>
        </w:tc>
        <w:tc>
          <w:tcPr>
            <w:tcW w:w="1200" w:type="dxa"/>
            <w:tcBorders>
              <w:top w:val="nil"/>
              <w:left w:val="nil"/>
              <w:bottom w:val="nil"/>
              <w:right w:val="nil"/>
            </w:tcBorders>
          </w:tcPr>
          <w:p w14:paraId="5C76A14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(0.970)</w:t>
            </w:r>
          </w:p>
        </w:tc>
        <w:tc>
          <w:tcPr>
            <w:tcW w:w="1202" w:type="dxa"/>
            <w:tcBorders>
              <w:top w:val="nil"/>
              <w:left w:val="nil"/>
              <w:bottom w:val="nil"/>
              <w:right w:val="nil"/>
            </w:tcBorders>
          </w:tcPr>
          <w:p w14:paraId="4E15210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(1.110)</w:t>
            </w:r>
          </w:p>
        </w:tc>
        <w:tc>
          <w:tcPr>
            <w:tcW w:w="1202" w:type="dxa"/>
            <w:tcBorders>
              <w:top w:val="nil"/>
              <w:left w:val="nil"/>
              <w:bottom w:val="nil"/>
              <w:right w:val="nil"/>
            </w:tcBorders>
          </w:tcPr>
          <w:p w14:paraId="1B9FF23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(1.200)</w:t>
            </w:r>
          </w:p>
        </w:tc>
        <w:tc>
          <w:tcPr>
            <w:tcW w:w="1490" w:type="dxa"/>
            <w:tcBorders>
              <w:top w:val="nil"/>
              <w:left w:val="nil"/>
              <w:bottom w:val="nil"/>
              <w:right w:val="nil"/>
            </w:tcBorders>
          </w:tcPr>
          <w:p w14:paraId="621AF892"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(1.344)</w:t>
            </w:r>
          </w:p>
        </w:tc>
      </w:tr>
      <w:tr w:rsidR="005E1948" w:rsidRPr="009B02B1" w14:paraId="52DC423E" w14:textId="77777777" w:rsidTr="006D2597">
        <w:trPr>
          <w:jc w:val="center"/>
        </w:trPr>
        <w:tc>
          <w:tcPr>
            <w:tcW w:w="4499" w:type="dxa"/>
            <w:tcBorders>
              <w:top w:val="nil"/>
              <w:left w:val="nil"/>
              <w:bottom w:val="nil"/>
              <w:right w:val="nil"/>
            </w:tcBorders>
          </w:tcPr>
          <w:p w14:paraId="1B27BFD0"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TTO Age</w:t>
            </w:r>
          </w:p>
        </w:tc>
        <w:tc>
          <w:tcPr>
            <w:tcW w:w="1200" w:type="dxa"/>
            <w:tcBorders>
              <w:top w:val="nil"/>
              <w:left w:val="nil"/>
              <w:bottom w:val="nil"/>
              <w:right w:val="nil"/>
            </w:tcBorders>
          </w:tcPr>
          <w:p w14:paraId="5EF646E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-0.006</w:t>
            </w:r>
          </w:p>
        </w:tc>
        <w:tc>
          <w:tcPr>
            <w:tcW w:w="1200" w:type="dxa"/>
            <w:tcBorders>
              <w:top w:val="nil"/>
              <w:left w:val="nil"/>
              <w:bottom w:val="nil"/>
              <w:right w:val="nil"/>
            </w:tcBorders>
          </w:tcPr>
          <w:p w14:paraId="290B22E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-0.002</w:t>
            </w:r>
          </w:p>
        </w:tc>
        <w:tc>
          <w:tcPr>
            <w:tcW w:w="1200" w:type="dxa"/>
            <w:tcBorders>
              <w:top w:val="nil"/>
              <w:left w:val="nil"/>
              <w:bottom w:val="nil"/>
              <w:right w:val="nil"/>
            </w:tcBorders>
          </w:tcPr>
          <w:p w14:paraId="2B46AB9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0" w:type="dxa"/>
            <w:tcBorders>
              <w:top w:val="nil"/>
              <w:left w:val="nil"/>
              <w:bottom w:val="nil"/>
              <w:right w:val="nil"/>
            </w:tcBorders>
          </w:tcPr>
          <w:p w14:paraId="5132B2F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-0.007</w:t>
            </w:r>
          </w:p>
        </w:tc>
        <w:tc>
          <w:tcPr>
            <w:tcW w:w="1200" w:type="dxa"/>
            <w:tcBorders>
              <w:top w:val="nil"/>
              <w:left w:val="nil"/>
              <w:bottom w:val="nil"/>
              <w:right w:val="nil"/>
            </w:tcBorders>
          </w:tcPr>
          <w:p w14:paraId="2108EDD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-0.003</w:t>
            </w:r>
          </w:p>
        </w:tc>
        <w:tc>
          <w:tcPr>
            <w:tcW w:w="1200" w:type="dxa"/>
            <w:tcBorders>
              <w:top w:val="nil"/>
              <w:left w:val="nil"/>
              <w:bottom w:val="nil"/>
              <w:right w:val="nil"/>
            </w:tcBorders>
          </w:tcPr>
          <w:p w14:paraId="6E996D2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-0.004</w:t>
            </w:r>
          </w:p>
        </w:tc>
        <w:tc>
          <w:tcPr>
            <w:tcW w:w="1202" w:type="dxa"/>
            <w:tcBorders>
              <w:top w:val="nil"/>
              <w:left w:val="nil"/>
              <w:bottom w:val="nil"/>
              <w:right w:val="nil"/>
            </w:tcBorders>
          </w:tcPr>
          <w:p w14:paraId="0EFE654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-0.005</w:t>
            </w:r>
          </w:p>
        </w:tc>
        <w:tc>
          <w:tcPr>
            <w:tcW w:w="1202" w:type="dxa"/>
            <w:tcBorders>
              <w:top w:val="nil"/>
              <w:left w:val="nil"/>
              <w:bottom w:val="nil"/>
              <w:right w:val="nil"/>
            </w:tcBorders>
          </w:tcPr>
          <w:p w14:paraId="507F966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-0.005</w:t>
            </w:r>
          </w:p>
        </w:tc>
        <w:tc>
          <w:tcPr>
            <w:tcW w:w="1490" w:type="dxa"/>
            <w:tcBorders>
              <w:top w:val="nil"/>
              <w:left w:val="nil"/>
              <w:bottom w:val="nil"/>
              <w:right w:val="nil"/>
            </w:tcBorders>
          </w:tcPr>
          <w:p w14:paraId="49B8D550"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-0.006</w:t>
            </w:r>
          </w:p>
        </w:tc>
      </w:tr>
      <w:tr w:rsidR="005E1948" w:rsidRPr="009B02B1" w14:paraId="0CA5C9E5" w14:textId="77777777" w:rsidTr="006D2597">
        <w:trPr>
          <w:jc w:val="center"/>
        </w:trPr>
        <w:tc>
          <w:tcPr>
            <w:tcW w:w="4499" w:type="dxa"/>
            <w:tcBorders>
              <w:top w:val="nil"/>
              <w:left w:val="nil"/>
              <w:bottom w:val="nil"/>
              <w:right w:val="nil"/>
            </w:tcBorders>
          </w:tcPr>
          <w:p w14:paraId="66E618BE"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2450112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(0.012)</w:t>
            </w:r>
          </w:p>
        </w:tc>
        <w:tc>
          <w:tcPr>
            <w:tcW w:w="1200" w:type="dxa"/>
            <w:tcBorders>
              <w:top w:val="nil"/>
              <w:left w:val="nil"/>
              <w:bottom w:val="nil"/>
              <w:right w:val="nil"/>
            </w:tcBorders>
          </w:tcPr>
          <w:p w14:paraId="2EAF071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(0.011)</w:t>
            </w:r>
          </w:p>
        </w:tc>
        <w:tc>
          <w:tcPr>
            <w:tcW w:w="1200" w:type="dxa"/>
            <w:tcBorders>
              <w:top w:val="nil"/>
              <w:left w:val="nil"/>
              <w:bottom w:val="nil"/>
              <w:right w:val="nil"/>
            </w:tcBorders>
          </w:tcPr>
          <w:p w14:paraId="0BAFFC3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(0.012)</w:t>
            </w:r>
          </w:p>
        </w:tc>
        <w:tc>
          <w:tcPr>
            <w:tcW w:w="1200" w:type="dxa"/>
            <w:tcBorders>
              <w:top w:val="nil"/>
              <w:left w:val="nil"/>
              <w:bottom w:val="nil"/>
              <w:right w:val="nil"/>
            </w:tcBorders>
          </w:tcPr>
          <w:p w14:paraId="796B6AF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(0.014)</w:t>
            </w:r>
          </w:p>
        </w:tc>
        <w:tc>
          <w:tcPr>
            <w:tcW w:w="1200" w:type="dxa"/>
            <w:tcBorders>
              <w:top w:val="nil"/>
              <w:left w:val="nil"/>
              <w:bottom w:val="nil"/>
              <w:right w:val="nil"/>
            </w:tcBorders>
          </w:tcPr>
          <w:p w14:paraId="28F2C31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(0.012)</w:t>
            </w:r>
          </w:p>
        </w:tc>
        <w:tc>
          <w:tcPr>
            <w:tcW w:w="1200" w:type="dxa"/>
            <w:tcBorders>
              <w:top w:val="nil"/>
              <w:left w:val="nil"/>
              <w:bottom w:val="nil"/>
              <w:right w:val="nil"/>
            </w:tcBorders>
          </w:tcPr>
          <w:p w14:paraId="043443D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(0.013)</w:t>
            </w:r>
          </w:p>
        </w:tc>
        <w:tc>
          <w:tcPr>
            <w:tcW w:w="1202" w:type="dxa"/>
            <w:tcBorders>
              <w:top w:val="nil"/>
              <w:left w:val="nil"/>
              <w:bottom w:val="nil"/>
              <w:right w:val="nil"/>
            </w:tcBorders>
          </w:tcPr>
          <w:p w14:paraId="641A94A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(0.014)</w:t>
            </w:r>
          </w:p>
        </w:tc>
        <w:tc>
          <w:tcPr>
            <w:tcW w:w="1202" w:type="dxa"/>
            <w:tcBorders>
              <w:top w:val="nil"/>
              <w:left w:val="nil"/>
              <w:bottom w:val="nil"/>
              <w:right w:val="nil"/>
            </w:tcBorders>
          </w:tcPr>
          <w:p w14:paraId="6AC66BF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(0.018)</w:t>
            </w:r>
          </w:p>
        </w:tc>
        <w:tc>
          <w:tcPr>
            <w:tcW w:w="1490" w:type="dxa"/>
            <w:tcBorders>
              <w:top w:val="nil"/>
              <w:left w:val="nil"/>
              <w:bottom w:val="nil"/>
              <w:right w:val="nil"/>
            </w:tcBorders>
          </w:tcPr>
          <w:p w14:paraId="5928C8A2"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(0.021)</w:t>
            </w:r>
          </w:p>
        </w:tc>
      </w:tr>
      <w:tr w:rsidR="005E1948" w:rsidRPr="009B02B1" w14:paraId="11FF46C6" w14:textId="77777777" w:rsidTr="006D2597">
        <w:trPr>
          <w:jc w:val="center"/>
        </w:trPr>
        <w:tc>
          <w:tcPr>
            <w:tcW w:w="4499" w:type="dxa"/>
            <w:tcBorders>
              <w:top w:val="nil"/>
              <w:left w:val="nil"/>
              <w:bottom w:val="nil"/>
              <w:right w:val="nil"/>
            </w:tcBorders>
          </w:tcPr>
          <w:p w14:paraId="4F3EFDE7"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Medical School</w:t>
            </w:r>
          </w:p>
        </w:tc>
        <w:tc>
          <w:tcPr>
            <w:tcW w:w="1200" w:type="dxa"/>
            <w:tcBorders>
              <w:top w:val="nil"/>
              <w:left w:val="nil"/>
              <w:bottom w:val="nil"/>
              <w:right w:val="nil"/>
            </w:tcBorders>
          </w:tcPr>
          <w:p w14:paraId="3E9F6B1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0.797***</w:t>
            </w:r>
          </w:p>
        </w:tc>
        <w:tc>
          <w:tcPr>
            <w:tcW w:w="1200" w:type="dxa"/>
            <w:tcBorders>
              <w:top w:val="nil"/>
              <w:left w:val="nil"/>
              <w:bottom w:val="nil"/>
              <w:right w:val="nil"/>
            </w:tcBorders>
          </w:tcPr>
          <w:p w14:paraId="04DC724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0.739***</w:t>
            </w:r>
          </w:p>
        </w:tc>
        <w:tc>
          <w:tcPr>
            <w:tcW w:w="1200" w:type="dxa"/>
            <w:tcBorders>
              <w:top w:val="nil"/>
              <w:left w:val="nil"/>
              <w:bottom w:val="nil"/>
              <w:right w:val="nil"/>
            </w:tcBorders>
          </w:tcPr>
          <w:p w14:paraId="1819D41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0.753***</w:t>
            </w:r>
          </w:p>
        </w:tc>
        <w:tc>
          <w:tcPr>
            <w:tcW w:w="1200" w:type="dxa"/>
            <w:tcBorders>
              <w:top w:val="nil"/>
              <w:left w:val="nil"/>
              <w:bottom w:val="nil"/>
              <w:right w:val="nil"/>
            </w:tcBorders>
          </w:tcPr>
          <w:p w14:paraId="31EAEB5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0.487*</w:t>
            </w:r>
          </w:p>
        </w:tc>
        <w:tc>
          <w:tcPr>
            <w:tcW w:w="1200" w:type="dxa"/>
            <w:tcBorders>
              <w:top w:val="nil"/>
              <w:left w:val="nil"/>
              <w:bottom w:val="nil"/>
              <w:right w:val="nil"/>
            </w:tcBorders>
          </w:tcPr>
          <w:p w14:paraId="1C54740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0.434</w:t>
            </w:r>
          </w:p>
        </w:tc>
        <w:tc>
          <w:tcPr>
            <w:tcW w:w="1200" w:type="dxa"/>
            <w:tcBorders>
              <w:top w:val="nil"/>
              <w:left w:val="nil"/>
              <w:bottom w:val="nil"/>
              <w:right w:val="nil"/>
            </w:tcBorders>
          </w:tcPr>
          <w:p w14:paraId="6EF311B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0.497*</w:t>
            </w:r>
          </w:p>
        </w:tc>
        <w:tc>
          <w:tcPr>
            <w:tcW w:w="1202" w:type="dxa"/>
            <w:tcBorders>
              <w:top w:val="nil"/>
              <w:left w:val="nil"/>
              <w:bottom w:val="nil"/>
              <w:right w:val="nil"/>
            </w:tcBorders>
          </w:tcPr>
          <w:p w14:paraId="7DFAB08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0.614**</w:t>
            </w:r>
          </w:p>
        </w:tc>
        <w:tc>
          <w:tcPr>
            <w:tcW w:w="1202" w:type="dxa"/>
            <w:tcBorders>
              <w:top w:val="nil"/>
              <w:left w:val="nil"/>
              <w:bottom w:val="nil"/>
              <w:right w:val="nil"/>
            </w:tcBorders>
          </w:tcPr>
          <w:p w14:paraId="155232C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0.093</w:t>
            </w:r>
          </w:p>
        </w:tc>
        <w:tc>
          <w:tcPr>
            <w:tcW w:w="1490" w:type="dxa"/>
            <w:tcBorders>
              <w:top w:val="nil"/>
              <w:left w:val="nil"/>
              <w:bottom w:val="nil"/>
              <w:right w:val="nil"/>
            </w:tcBorders>
          </w:tcPr>
          <w:p w14:paraId="0D730E7B"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0.44</w:t>
            </w:r>
          </w:p>
        </w:tc>
      </w:tr>
      <w:tr w:rsidR="005E1948" w:rsidRPr="009B02B1" w14:paraId="7EB4601F" w14:textId="77777777" w:rsidTr="006D2597">
        <w:trPr>
          <w:jc w:val="center"/>
        </w:trPr>
        <w:tc>
          <w:tcPr>
            <w:tcW w:w="4499" w:type="dxa"/>
            <w:tcBorders>
              <w:top w:val="nil"/>
              <w:left w:val="nil"/>
              <w:bottom w:val="nil"/>
              <w:right w:val="nil"/>
            </w:tcBorders>
          </w:tcPr>
          <w:p w14:paraId="094AD55A"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16E792B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(0.204)</w:t>
            </w:r>
          </w:p>
        </w:tc>
        <w:tc>
          <w:tcPr>
            <w:tcW w:w="1200" w:type="dxa"/>
            <w:tcBorders>
              <w:top w:val="nil"/>
              <w:left w:val="nil"/>
              <w:bottom w:val="nil"/>
              <w:right w:val="nil"/>
            </w:tcBorders>
          </w:tcPr>
          <w:p w14:paraId="4CF573F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(0.200)</w:t>
            </w:r>
          </w:p>
        </w:tc>
        <w:tc>
          <w:tcPr>
            <w:tcW w:w="1200" w:type="dxa"/>
            <w:tcBorders>
              <w:top w:val="nil"/>
              <w:left w:val="nil"/>
              <w:bottom w:val="nil"/>
              <w:right w:val="nil"/>
            </w:tcBorders>
          </w:tcPr>
          <w:p w14:paraId="7F6DB41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(0.208)</w:t>
            </w:r>
          </w:p>
        </w:tc>
        <w:tc>
          <w:tcPr>
            <w:tcW w:w="1200" w:type="dxa"/>
            <w:tcBorders>
              <w:top w:val="nil"/>
              <w:left w:val="nil"/>
              <w:bottom w:val="nil"/>
              <w:right w:val="nil"/>
            </w:tcBorders>
          </w:tcPr>
          <w:p w14:paraId="2EA405B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(0.265)</w:t>
            </w:r>
          </w:p>
        </w:tc>
        <w:tc>
          <w:tcPr>
            <w:tcW w:w="1200" w:type="dxa"/>
            <w:tcBorders>
              <w:top w:val="nil"/>
              <w:left w:val="nil"/>
              <w:bottom w:val="nil"/>
              <w:right w:val="nil"/>
            </w:tcBorders>
          </w:tcPr>
          <w:p w14:paraId="657C327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(0.274)</w:t>
            </w:r>
          </w:p>
        </w:tc>
        <w:tc>
          <w:tcPr>
            <w:tcW w:w="1200" w:type="dxa"/>
            <w:tcBorders>
              <w:top w:val="nil"/>
              <w:left w:val="nil"/>
              <w:bottom w:val="nil"/>
              <w:right w:val="nil"/>
            </w:tcBorders>
          </w:tcPr>
          <w:p w14:paraId="68A807A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(0.277)</w:t>
            </w:r>
          </w:p>
        </w:tc>
        <w:tc>
          <w:tcPr>
            <w:tcW w:w="1202" w:type="dxa"/>
            <w:tcBorders>
              <w:top w:val="nil"/>
              <w:left w:val="nil"/>
              <w:bottom w:val="nil"/>
              <w:right w:val="nil"/>
            </w:tcBorders>
          </w:tcPr>
          <w:p w14:paraId="113A22A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(0.252)</w:t>
            </w:r>
          </w:p>
        </w:tc>
        <w:tc>
          <w:tcPr>
            <w:tcW w:w="1202" w:type="dxa"/>
            <w:tcBorders>
              <w:top w:val="nil"/>
              <w:left w:val="nil"/>
              <w:bottom w:val="nil"/>
              <w:right w:val="nil"/>
            </w:tcBorders>
          </w:tcPr>
          <w:p w14:paraId="7E51299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(0.472)</w:t>
            </w:r>
          </w:p>
        </w:tc>
        <w:tc>
          <w:tcPr>
            <w:tcW w:w="1490" w:type="dxa"/>
            <w:tcBorders>
              <w:top w:val="nil"/>
              <w:left w:val="nil"/>
              <w:bottom w:val="nil"/>
              <w:right w:val="nil"/>
            </w:tcBorders>
          </w:tcPr>
          <w:p w14:paraId="0AB5E239"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(0.309)</w:t>
            </w:r>
          </w:p>
        </w:tc>
      </w:tr>
      <w:tr w:rsidR="005E1948" w:rsidRPr="009B02B1" w14:paraId="66150AED" w14:textId="77777777" w:rsidTr="006D2597">
        <w:trPr>
          <w:jc w:val="center"/>
        </w:trPr>
        <w:tc>
          <w:tcPr>
            <w:tcW w:w="4499" w:type="dxa"/>
            <w:tcBorders>
              <w:top w:val="nil"/>
              <w:left w:val="nil"/>
              <w:bottom w:val="nil"/>
              <w:right w:val="nil"/>
            </w:tcBorders>
          </w:tcPr>
          <w:p w14:paraId="68D88709"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Private</w:t>
            </w:r>
          </w:p>
        </w:tc>
        <w:tc>
          <w:tcPr>
            <w:tcW w:w="1200" w:type="dxa"/>
            <w:tcBorders>
              <w:top w:val="nil"/>
              <w:left w:val="nil"/>
              <w:bottom w:val="nil"/>
              <w:right w:val="nil"/>
            </w:tcBorders>
          </w:tcPr>
          <w:p w14:paraId="55C1552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0.839**</w:t>
            </w:r>
          </w:p>
        </w:tc>
        <w:tc>
          <w:tcPr>
            <w:tcW w:w="1200" w:type="dxa"/>
            <w:tcBorders>
              <w:top w:val="nil"/>
              <w:left w:val="nil"/>
              <w:bottom w:val="nil"/>
              <w:right w:val="nil"/>
            </w:tcBorders>
          </w:tcPr>
          <w:p w14:paraId="74EDE20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0.902**</w:t>
            </w:r>
          </w:p>
        </w:tc>
        <w:tc>
          <w:tcPr>
            <w:tcW w:w="1200" w:type="dxa"/>
            <w:tcBorders>
              <w:top w:val="nil"/>
              <w:left w:val="nil"/>
              <w:bottom w:val="nil"/>
              <w:right w:val="nil"/>
            </w:tcBorders>
          </w:tcPr>
          <w:p w14:paraId="6504632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0.871**</w:t>
            </w:r>
          </w:p>
        </w:tc>
        <w:tc>
          <w:tcPr>
            <w:tcW w:w="1200" w:type="dxa"/>
            <w:tcBorders>
              <w:top w:val="nil"/>
              <w:left w:val="nil"/>
              <w:bottom w:val="nil"/>
              <w:right w:val="nil"/>
            </w:tcBorders>
          </w:tcPr>
          <w:p w14:paraId="745DD0A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0.700**</w:t>
            </w:r>
          </w:p>
        </w:tc>
        <w:tc>
          <w:tcPr>
            <w:tcW w:w="1200" w:type="dxa"/>
            <w:tcBorders>
              <w:top w:val="nil"/>
              <w:left w:val="nil"/>
              <w:bottom w:val="nil"/>
              <w:right w:val="nil"/>
            </w:tcBorders>
          </w:tcPr>
          <w:p w14:paraId="4E1B451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0.760**</w:t>
            </w:r>
          </w:p>
        </w:tc>
        <w:tc>
          <w:tcPr>
            <w:tcW w:w="1200" w:type="dxa"/>
            <w:tcBorders>
              <w:top w:val="nil"/>
              <w:left w:val="nil"/>
              <w:bottom w:val="nil"/>
              <w:right w:val="nil"/>
            </w:tcBorders>
          </w:tcPr>
          <w:p w14:paraId="0735EE0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0.649**</w:t>
            </w:r>
          </w:p>
        </w:tc>
        <w:tc>
          <w:tcPr>
            <w:tcW w:w="1202" w:type="dxa"/>
            <w:tcBorders>
              <w:top w:val="nil"/>
              <w:left w:val="nil"/>
              <w:bottom w:val="nil"/>
              <w:right w:val="nil"/>
            </w:tcBorders>
          </w:tcPr>
          <w:p w14:paraId="3AF858C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0.855***</w:t>
            </w:r>
          </w:p>
        </w:tc>
        <w:tc>
          <w:tcPr>
            <w:tcW w:w="1202" w:type="dxa"/>
            <w:tcBorders>
              <w:top w:val="nil"/>
              <w:left w:val="nil"/>
              <w:bottom w:val="nil"/>
              <w:right w:val="nil"/>
            </w:tcBorders>
          </w:tcPr>
          <w:p w14:paraId="6471CD6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0.581</w:t>
            </w:r>
          </w:p>
        </w:tc>
        <w:tc>
          <w:tcPr>
            <w:tcW w:w="1490" w:type="dxa"/>
            <w:tcBorders>
              <w:top w:val="nil"/>
              <w:left w:val="nil"/>
              <w:bottom w:val="nil"/>
              <w:right w:val="nil"/>
            </w:tcBorders>
          </w:tcPr>
          <w:p w14:paraId="7CE130AB"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0.792**</w:t>
            </w:r>
          </w:p>
        </w:tc>
      </w:tr>
      <w:tr w:rsidR="005E1948" w:rsidRPr="009B02B1" w14:paraId="744FA2A8" w14:textId="77777777" w:rsidTr="006D2597">
        <w:trPr>
          <w:jc w:val="center"/>
        </w:trPr>
        <w:tc>
          <w:tcPr>
            <w:tcW w:w="4499" w:type="dxa"/>
            <w:tcBorders>
              <w:top w:val="nil"/>
              <w:left w:val="nil"/>
              <w:bottom w:val="nil"/>
              <w:right w:val="nil"/>
            </w:tcBorders>
          </w:tcPr>
          <w:p w14:paraId="50511B36"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528DBCC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(0.358)</w:t>
            </w:r>
          </w:p>
        </w:tc>
        <w:tc>
          <w:tcPr>
            <w:tcW w:w="1200" w:type="dxa"/>
            <w:tcBorders>
              <w:top w:val="nil"/>
              <w:left w:val="nil"/>
              <w:bottom w:val="nil"/>
              <w:right w:val="nil"/>
            </w:tcBorders>
          </w:tcPr>
          <w:p w14:paraId="2290408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(0.354)</w:t>
            </w:r>
          </w:p>
        </w:tc>
        <w:tc>
          <w:tcPr>
            <w:tcW w:w="1200" w:type="dxa"/>
            <w:tcBorders>
              <w:top w:val="nil"/>
              <w:left w:val="nil"/>
              <w:bottom w:val="nil"/>
              <w:right w:val="nil"/>
            </w:tcBorders>
          </w:tcPr>
          <w:p w14:paraId="1307C51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(0.357)</w:t>
            </w:r>
          </w:p>
        </w:tc>
        <w:tc>
          <w:tcPr>
            <w:tcW w:w="1200" w:type="dxa"/>
            <w:tcBorders>
              <w:top w:val="nil"/>
              <w:left w:val="nil"/>
              <w:bottom w:val="nil"/>
              <w:right w:val="nil"/>
            </w:tcBorders>
          </w:tcPr>
          <w:p w14:paraId="2C210BF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(0.315)</w:t>
            </w:r>
          </w:p>
        </w:tc>
        <w:tc>
          <w:tcPr>
            <w:tcW w:w="1200" w:type="dxa"/>
            <w:tcBorders>
              <w:top w:val="nil"/>
              <w:left w:val="nil"/>
              <w:bottom w:val="nil"/>
              <w:right w:val="nil"/>
            </w:tcBorders>
          </w:tcPr>
          <w:p w14:paraId="0AD4482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(0.304)</w:t>
            </w:r>
          </w:p>
        </w:tc>
        <w:tc>
          <w:tcPr>
            <w:tcW w:w="1200" w:type="dxa"/>
            <w:tcBorders>
              <w:top w:val="nil"/>
              <w:left w:val="nil"/>
              <w:bottom w:val="nil"/>
              <w:right w:val="nil"/>
            </w:tcBorders>
          </w:tcPr>
          <w:p w14:paraId="0CE03EE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(0.325)</w:t>
            </w:r>
          </w:p>
        </w:tc>
        <w:tc>
          <w:tcPr>
            <w:tcW w:w="1202" w:type="dxa"/>
            <w:tcBorders>
              <w:top w:val="nil"/>
              <w:left w:val="nil"/>
              <w:bottom w:val="nil"/>
              <w:right w:val="nil"/>
            </w:tcBorders>
          </w:tcPr>
          <w:p w14:paraId="11DA1C1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(0.290)</w:t>
            </w:r>
          </w:p>
        </w:tc>
        <w:tc>
          <w:tcPr>
            <w:tcW w:w="1202" w:type="dxa"/>
            <w:tcBorders>
              <w:top w:val="nil"/>
              <w:left w:val="nil"/>
              <w:bottom w:val="nil"/>
              <w:right w:val="nil"/>
            </w:tcBorders>
          </w:tcPr>
          <w:p w14:paraId="7774F8C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(0.360)</w:t>
            </w:r>
          </w:p>
        </w:tc>
        <w:tc>
          <w:tcPr>
            <w:tcW w:w="1490" w:type="dxa"/>
            <w:tcBorders>
              <w:top w:val="nil"/>
              <w:left w:val="nil"/>
              <w:bottom w:val="nil"/>
              <w:right w:val="nil"/>
            </w:tcBorders>
          </w:tcPr>
          <w:p w14:paraId="5D7889E9"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(0.384)</w:t>
            </w:r>
          </w:p>
        </w:tc>
      </w:tr>
      <w:tr w:rsidR="005E1948" w:rsidRPr="009B02B1" w14:paraId="72476123" w14:textId="77777777" w:rsidTr="006D2597">
        <w:trPr>
          <w:jc w:val="center"/>
        </w:trPr>
        <w:tc>
          <w:tcPr>
            <w:tcW w:w="4499" w:type="dxa"/>
            <w:tcBorders>
              <w:top w:val="nil"/>
              <w:left w:val="nil"/>
              <w:bottom w:val="nil"/>
              <w:right w:val="nil"/>
            </w:tcBorders>
          </w:tcPr>
          <w:p w14:paraId="2E200044"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Constant</w:t>
            </w:r>
          </w:p>
        </w:tc>
        <w:tc>
          <w:tcPr>
            <w:tcW w:w="1200" w:type="dxa"/>
            <w:tcBorders>
              <w:top w:val="nil"/>
              <w:left w:val="nil"/>
              <w:bottom w:val="nil"/>
              <w:right w:val="nil"/>
            </w:tcBorders>
          </w:tcPr>
          <w:p w14:paraId="1CB706A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12.282***</w:t>
            </w:r>
          </w:p>
        </w:tc>
        <w:tc>
          <w:tcPr>
            <w:tcW w:w="1200" w:type="dxa"/>
            <w:tcBorders>
              <w:top w:val="nil"/>
              <w:left w:val="nil"/>
              <w:bottom w:val="nil"/>
              <w:right w:val="nil"/>
            </w:tcBorders>
          </w:tcPr>
          <w:p w14:paraId="3486CEE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12.395***</w:t>
            </w:r>
          </w:p>
        </w:tc>
        <w:tc>
          <w:tcPr>
            <w:tcW w:w="1200" w:type="dxa"/>
            <w:tcBorders>
              <w:top w:val="nil"/>
              <w:left w:val="nil"/>
              <w:bottom w:val="nil"/>
              <w:right w:val="nil"/>
            </w:tcBorders>
          </w:tcPr>
          <w:p w14:paraId="32BBF0B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12.488***</w:t>
            </w:r>
          </w:p>
        </w:tc>
        <w:tc>
          <w:tcPr>
            <w:tcW w:w="1200" w:type="dxa"/>
            <w:tcBorders>
              <w:top w:val="nil"/>
              <w:left w:val="nil"/>
              <w:bottom w:val="nil"/>
              <w:right w:val="nil"/>
            </w:tcBorders>
          </w:tcPr>
          <w:p w14:paraId="6F0DBDC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-1.943</w:t>
            </w:r>
          </w:p>
        </w:tc>
        <w:tc>
          <w:tcPr>
            <w:tcW w:w="1200" w:type="dxa"/>
            <w:tcBorders>
              <w:top w:val="nil"/>
              <w:left w:val="nil"/>
              <w:bottom w:val="nil"/>
              <w:right w:val="nil"/>
            </w:tcBorders>
          </w:tcPr>
          <w:p w14:paraId="7D3617F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-1.840</w:t>
            </w:r>
          </w:p>
        </w:tc>
        <w:tc>
          <w:tcPr>
            <w:tcW w:w="1200" w:type="dxa"/>
            <w:tcBorders>
              <w:top w:val="nil"/>
              <w:left w:val="nil"/>
              <w:bottom w:val="nil"/>
              <w:right w:val="nil"/>
            </w:tcBorders>
          </w:tcPr>
          <w:p w14:paraId="1F4334A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-1.974</w:t>
            </w:r>
          </w:p>
        </w:tc>
        <w:tc>
          <w:tcPr>
            <w:tcW w:w="1202" w:type="dxa"/>
            <w:tcBorders>
              <w:top w:val="nil"/>
              <w:left w:val="nil"/>
              <w:bottom w:val="nil"/>
              <w:right w:val="nil"/>
            </w:tcBorders>
          </w:tcPr>
          <w:p w14:paraId="7046D7B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-2.759</w:t>
            </w:r>
          </w:p>
        </w:tc>
        <w:tc>
          <w:tcPr>
            <w:tcW w:w="1202" w:type="dxa"/>
            <w:tcBorders>
              <w:top w:val="nil"/>
              <w:left w:val="nil"/>
              <w:bottom w:val="nil"/>
              <w:right w:val="nil"/>
            </w:tcBorders>
          </w:tcPr>
          <w:p w14:paraId="68CF1991"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-1.305</w:t>
            </w:r>
          </w:p>
        </w:tc>
        <w:tc>
          <w:tcPr>
            <w:tcW w:w="1490" w:type="dxa"/>
            <w:tcBorders>
              <w:top w:val="nil"/>
              <w:left w:val="nil"/>
              <w:bottom w:val="nil"/>
              <w:right w:val="nil"/>
            </w:tcBorders>
          </w:tcPr>
          <w:p w14:paraId="6C14BA99"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-3.100</w:t>
            </w:r>
          </w:p>
        </w:tc>
      </w:tr>
      <w:tr w:rsidR="005E1948" w:rsidRPr="009B02B1" w14:paraId="7B172B57" w14:textId="77777777" w:rsidTr="006D2597">
        <w:trPr>
          <w:jc w:val="center"/>
        </w:trPr>
        <w:tc>
          <w:tcPr>
            <w:tcW w:w="4499" w:type="dxa"/>
            <w:tcBorders>
              <w:top w:val="nil"/>
              <w:left w:val="nil"/>
              <w:bottom w:val="nil"/>
              <w:right w:val="nil"/>
            </w:tcBorders>
          </w:tcPr>
          <w:p w14:paraId="376668BD"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w:t>
            </w:r>
          </w:p>
        </w:tc>
        <w:tc>
          <w:tcPr>
            <w:tcW w:w="1200" w:type="dxa"/>
            <w:tcBorders>
              <w:top w:val="nil"/>
              <w:left w:val="nil"/>
              <w:bottom w:val="nil"/>
              <w:right w:val="nil"/>
            </w:tcBorders>
          </w:tcPr>
          <w:p w14:paraId="6ECCD93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(2.148)</w:t>
            </w:r>
          </w:p>
        </w:tc>
        <w:tc>
          <w:tcPr>
            <w:tcW w:w="1200" w:type="dxa"/>
            <w:tcBorders>
              <w:top w:val="nil"/>
              <w:left w:val="nil"/>
              <w:bottom w:val="nil"/>
              <w:right w:val="nil"/>
            </w:tcBorders>
          </w:tcPr>
          <w:p w14:paraId="43B6533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(2.195)</w:t>
            </w:r>
          </w:p>
        </w:tc>
        <w:tc>
          <w:tcPr>
            <w:tcW w:w="1200" w:type="dxa"/>
            <w:tcBorders>
              <w:top w:val="nil"/>
              <w:left w:val="nil"/>
              <w:bottom w:val="nil"/>
              <w:right w:val="nil"/>
            </w:tcBorders>
          </w:tcPr>
          <w:p w14:paraId="44A4755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(2.145)</w:t>
            </w:r>
          </w:p>
        </w:tc>
        <w:tc>
          <w:tcPr>
            <w:tcW w:w="1200" w:type="dxa"/>
            <w:tcBorders>
              <w:top w:val="nil"/>
              <w:left w:val="nil"/>
              <w:bottom w:val="nil"/>
              <w:right w:val="nil"/>
            </w:tcBorders>
          </w:tcPr>
          <w:p w14:paraId="7435B80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(2.456)</w:t>
            </w:r>
          </w:p>
        </w:tc>
        <w:tc>
          <w:tcPr>
            <w:tcW w:w="1200" w:type="dxa"/>
            <w:tcBorders>
              <w:top w:val="nil"/>
              <w:left w:val="nil"/>
              <w:bottom w:val="nil"/>
              <w:right w:val="nil"/>
            </w:tcBorders>
          </w:tcPr>
          <w:p w14:paraId="4BE204A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(2.490)</w:t>
            </w:r>
          </w:p>
        </w:tc>
        <w:tc>
          <w:tcPr>
            <w:tcW w:w="1200" w:type="dxa"/>
            <w:tcBorders>
              <w:top w:val="nil"/>
              <w:left w:val="nil"/>
              <w:bottom w:val="nil"/>
              <w:right w:val="nil"/>
            </w:tcBorders>
          </w:tcPr>
          <w:p w14:paraId="38D9CE0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(2.318)</w:t>
            </w:r>
          </w:p>
        </w:tc>
        <w:tc>
          <w:tcPr>
            <w:tcW w:w="1202" w:type="dxa"/>
            <w:tcBorders>
              <w:top w:val="nil"/>
              <w:left w:val="nil"/>
              <w:bottom w:val="nil"/>
              <w:right w:val="nil"/>
            </w:tcBorders>
          </w:tcPr>
          <w:p w14:paraId="16C23F2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(2.380)</w:t>
            </w:r>
          </w:p>
        </w:tc>
        <w:tc>
          <w:tcPr>
            <w:tcW w:w="1202" w:type="dxa"/>
            <w:tcBorders>
              <w:top w:val="nil"/>
              <w:left w:val="nil"/>
              <w:bottom w:val="nil"/>
              <w:right w:val="nil"/>
            </w:tcBorders>
          </w:tcPr>
          <w:p w14:paraId="34FCCB9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(3.879)</w:t>
            </w:r>
          </w:p>
        </w:tc>
        <w:tc>
          <w:tcPr>
            <w:tcW w:w="1490" w:type="dxa"/>
            <w:tcBorders>
              <w:top w:val="nil"/>
              <w:left w:val="nil"/>
              <w:bottom w:val="nil"/>
              <w:right w:val="nil"/>
            </w:tcBorders>
          </w:tcPr>
          <w:p w14:paraId="611B9B06"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(3.101)</w:t>
            </w:r>
          </w:p>
        </w:tc>
      </w:tr>
      <w:tr w:rsidR="005E1948" w:rsidRPr="009B02B1" w14:paraId="2438407C" w14:textId="77777777" w:rsidTr="006D2597">
        <w:trPr>
          <w:jc w:val="center"/>
        </w:trPr>
        <w:tc>
          <w:tcPr>
            <w:tcW w:w="4499" w:type="dxa"/>
            <w:tcBorders>
              <w:top w:val="nil"/>
              <w:left w:val="nil"/>
              <w:bottom w:val="nil"/>
              <w:right w:val="nil"/>
            </w:tcBorders>
          </w:tcPr>
          <w:p w14:paraId="42E6939A"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State fixed effects</w:t>
            </w:r>
          </w:p>
        </w:tc>
        <w:tc>
          <w:tcPr>
            <w:tcW w:w="1200" w:type="dxa"/>
            <w:tcBorders>
              <w:top w:val="nil"/>
              <w:left w:val="nil"/>
              <w:bottom w:val="nil"/>
              <w:right w:val="nil"/>
            </w:tcBorders>
          </w:tcPr>
          <w:p w14:paraId="22B9637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3D29DB5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09D09644"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2221534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73844A1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351C48C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2" w:type="dxa"/>
            <w:tcBorders>
              <w:top w:val="nil"/>
              <w:left w:val="nil"/>
              <w:bottom w:val="nil"/>
              <w:right w:val="nil"/>
            </w:tcBorders>
          </w:tcPr>
          <w:p w14:paraId="191FBE4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2" w:type="dxa"/>
            <w:tcBorders>
              <w:top w:val="nil"/>
              <w:left w:val="nil"/>
              <w:bottom w:val="nil"/>
              <w:right w:val="nil"/>
            </w:tcBorders>
          </w:tcPr>
          <w:p w14:paraId="71D44D9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490" w:type="dxa"/>
            <w:tcBorders>
              <w:top w:val="nil"/>
              <w:left w:val="nil"/>
              <w:bottom w:val="nil"/>
              <w:right w:val="nil"/>
            </w:tcBorders>
          </w:tcPr>
          <w:p w14:paraId="78B072F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9B02B1">
              <w:rPr>
                <w:rFonts w:cs="Times New Roman"/>
                <w:sz w:val="20"/>
                <w:szCs w:val="20"/>
                <w:lang w:val="en-US"/>
              </w:rPr>
              <w:t>Yes</w:t>
            </w:r>
          </w:p>
        </w:tc>
      </w:tr>
      <w:tr w:rsidR="005E1948" w:rsidRPr="009B02B1" w14:paraId="0B35F26D" w14:textId="77777777" w:rsidTr="006D2597">
        <w:trPr>
          <w:jc w:val="center"/>
        </w:trPr>
        <w:tc>
          <w:tcPr>
            <w:tcW w:w="4499" w:type="dxa"/>
            <w:tcBorders>
              <w:top w:val="nil"/>
              <w:left w:val="nil"/>
              <w:bottom w:val="nil"/>
              <w:right w:val="nil"/>
            </w:tcBorders>
          </w:tcPr>
          <w:p w14:paraId="1D0E902B"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Year fixed effects</w:t>
            </w:r>
          </w:p>
        </w:tc>
        <w:tc>
          <w:tcPr>
            <w:tcW w:w="1200" w:type="dxa"/>
            <w:tcBorders>
              <w:top w:val="nil"/>
              <w:left w:val="nil"/>
              <w:bottom w:val="nil"/>
              <w:right w:val="nil"/>
            </w:tcBorders>
          </w:tcPr>
          <w:p w14:paraId="52BD812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4B10DCE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60F88AE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39F57DB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19E5698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0" w:type="dxa"/>
            <w:tcBorders>
              <w:top w:val="nil"/>
              <w:left w:val="nil"/>
              <w:bottom w:val="nil"/>
              <w:right w:val="nil"/>
            </w:tcBorders>
          </w:tcPr>
          <w:p w14:paraId="110DCD1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2" w:type="dxa"/>
            <w:tcBorders>
              <w:top w:val="nil"/>
              <w:left w:val="nil"/>
              <w:bottom w:val="nil"/>
              <w:right w:val="nil"/>
            </w:tcBorders>
          </w:tcPr>
          <w:p w14:paraId="5981A08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202" w:type="dxa"/>
            <w:tcBorders>
              <w:top w:val="nil"/>
              <w:left w:val="nil"/>
              <w:bottom w:val="nil"/>
              <w:right w:val="nil"/>
            </w:tcBorders>
          </w:tcPr>
          <w:p w14:paraId="5CF9401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Yes</w:t>
            </w:r>
          </w:p>
        </w:tc>
        <w:tc>
          <w:tcPr>
            <w:tcW w:w="1490" w:type="dxa"/>
            <w:tcBorders>
              <w:top w:val="nil"/>
              <w:left w:val="nil"/>
              <w:bottom w:val="nil"/>
              <w:right w:val="nil"/>
            </w:tcBorders>
          </w:tcPr>
          <w:p w14:paraId="611C069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9B02B1">
              <w:rPr>
                <w:rFonts w:cs="Times New Roman"/>
                <w:sz w:val="20"/>
                <w:szCs w:val="20"/>
                <w:lang w:val="en-US"/>
              </w:rPr>
              <w:t>Yes</w:t>
            </w:r>
          </w:p>
        </w:tc>
      </w:tr>
      <w:tr w:rsidR="005E1948" w:rsidRPr="009B02B1" w14:paraId="020BC13C" w14:textId="77777777" w:rsidTr="006D2597">
        <w:trPr>
          <w:jc w:val="center"/>
        </w:trPr>
        <w:tc>
          <w:tcPr>
            <w:tcW w:w="4499" w:type="dxa"/>
            <w:tcBorders>
              <w:top w:val="nil"/>
              <w:left w:val="nil"/>
              <w:bottom w:val="nil"/>
              <w:right w:val="nil"/>
            </w:tcBorders>
          </w:tcPr>
          <w:p w14:paraId="2FA20715"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Observations</w:t>
            </w:r>
          </w:p>
        </w:tc>
        <w:tc>
          <w:tcPr>
            <w:tcW w:w="1200" w:type="dxa"/>
            <w:tcBorders>
              <w:top w:val="nil"/>
              <w:left w:val="nil"/>
              <w:bottom w:val="nil"/>
              <w:right w:val="nil"/>
            </w:tcBorders>
          </w:tcPr>
          <w:p w14:paraId="75F66F0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1523</w:t>
            </w:r>
          </w:p>
        </w:tc>
        <w:tc>
          <w:tcPr>
            <w:tcW w:w="1200" w:type="dxa"/>
            <w:tcBorders>
              <w:top w:val="nil"/>
              <w:left w:val="nil"/>
              <w:bottom w:val="nil"/>
              <w:right w:val="nil"/>
            </w:tcBorders>
          </w:tcPr>
          <w:p w14:paraId="0A0EDE9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1523</w:t>
            </w:r>
          </w:p>
        </w:tc>
        <w:tc>
          <w:tcPr>
            <w:tcW w:w="1200" w:type="dxa"/>
            <w:tcBorders>
              <w:top w:val="nil"/>
              <w:left w:val="nil"/>
              <w:bottom w:val="nil"/>
              <w:right w:val="nil"/>
            </w:tcBorders>
          </w:tcPr>
          <w:p w14:paraId="777E791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1523</w:t>
            </w:r>
          </w:p>
        </w:tc>
        <w:tc>
          <w:tcPr>
            <w:tcW w:w="1200" w:type="dxa"/>
            <w:tcBorders>
              <w:top w:val="nil"/>
              <w:left w:val="nil"/>
              <w:bottom w:val="nil"/>
              <w:right w:val="nil"/>
            </w:tcBorders>
          </w:tcPr>
          <w:p w14:paraId="49F905B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1261</w:t>
            </w:r>
          </w:p>
        </w:tc>
        <w:tc>
          <w:tcPr>
            <w:tcW w:w="1200" w:type="dxa"/>
            <w:tcBorders>
              <w:top w:val="nil"/>
              <w:left w:val="nil"/>
              <w:bottom w:val="nil"/>
              <w:right w:val="nil"/>
            </w:tcBorders>
          </w:tcPr>
          <w:p w14:paraId="715DB9C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1261</w:t>
            </w:r>
          </w:p>
        </w:tc>
        <w:tc>
          <w:tcPr>
            <w:tcW w:w="1200" w:type="dxa"/>
            <w:tcBorders>
              <w:top w:val="nil"/>
              <w:left w:val="nil"/>
              <w:bottom w:val="nil"/>
              <w:right w:val="nil"/>
            </w:tcBorders>
          </w:tcPr>
          <w:p w14:paraId="33AC5E15"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1261</w:t>
            </w:r>
          </w:p>
        </w:tc>
        <w:tc>
          <w:tcPr>
            <w:tcW w:w="1202" w:type="dxa"/>
            <w:tcBorders>
              <w:top w:val="nil"/>
              <w:left w:val="nil"/>
              <w:bottom w:val="nil"/>
              <w:right w:val="nil"/>
            </w:tcBorders>
          </w:tcPr>
          <w:p w14:paraId="76A2295C"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1408</w:t>
            </w:r>
          </w:p>
        </w:tc>
        <w:tc>
          <w:tcPr>
            <w:tcW w:w="1202" w:type="dxa"/>
            <w:tcBorders>
              <w:top w:val="nil"/>
              <w:left w:val="nil"/>
              <w:bottom w:val="nil"/>
              <w:right w:val="nil"/>
            </w:tcBorders>
          </w:tcPr>
          <w:p w14:paraId="4619B78A"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680</w:t>
            </w:r>
          </w:p>
        </w:tc>
        <w:tc>
          <w:tcPr>
            <w:tcW w:w="1490" w:type="dxa"/>
            <w:tcBorders>
              <w:top w:val="nil"/>
              <w:left w:val="nil"/>
              <w:bottom w:val="nil"/>
              <w:right w:val="nil"/>
            </w:tcBorders>
          </w:tcPr>
          <w:p w14:paraId="63A3128E"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434</w:t>
            </w:r>
          </w:p>
        </w:tc>
      </w:tr>
      <w:tr w:rsidR="005E1948" w:rsidRPr="009B02B1" w14:paraId="6B5FBDF3" w14:textId="77777777" w:rsidTr="006D2597">
        <w:trPr>
          <w:jc w:val="center"/>
        </w:trPr>
        <w:tc>
          <w:tcPr>
            <w:tcW w:w="4499" w:type="dxa"/>
            <w:tcBorders>
              <w:top w:val="nil"/>
              <w:left w:val="nil"/>
              <w:bottom w:val="nil"/>
              <w:right w:val="nil"/>
            </w:tcBorders>
          </w:tcPr>
          <w:p w14:paraId="1800C0A3"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R-squared </w:t>
            </w:r>
          </w:p>
        </w:tc>
        <w:tc>
          <w:tcPr>
            <w:tcW w:w="1200" w:type="dxa"/>
            <w:tcBorders>
              <w:top w:val="nil"/>
              <w:left w:val="nil"/>
              <w:bottom w:val="nil"/>
              <w:right w:val="nil"/>
            </w:tcBorders>
          </w:tcPr>
          <w:p w14:paraId="6FEAFCA3"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0.559</w:t>
            </w:r>
          </w:p>
        </w:tc>
        <w:tc>
          <w:tcPr>
            <w:tcW w:w="1200" w:type="dxa"/>
            <w:tcBorders>
              <w:top w:val="nil"/>
              <w:left w:val="nil"/>
              <w:bottom w:val="nil"/>
              <w:right w:val="nil"/>
            </w:tcBorders>
          </w:tcPr>
          <w:p w14:paraId="24EAFEB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0.566</w:t>
            </w:r>
          </w:p>
        </w:tc>
        <w:tc>
          <w:tcPr>
            <w:tcW w:w="1200" w:type="dxa"/>
            <w:tcBorders>
              <w:top w:val="nil"/>
              <w:left w:val="nil"/>
              <w:bottom w:val="nil"/>
              <w:right w:val="nil"/>
            </w:tcBorders>
          </w:tcPr>
          <w:p w14:paraId="663B6682"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0.562</w:t>
            </w:r>
          </w:p>
        </w:tc>
        <w:tc>
          <w:tcPr>
            <w:tcW w:w="1200" w:type="dxa"/>
            <w:tcBorders>
              <w:top w:val="nil"/>
              <w:left w:val="nil"/>
              <w:bottom w:val="nil"/>
              <w:right w:val="nil"/>
            </w:tcBorders>
          </w:tcPr>
          <w:p w14:paraId="0FD87EDE"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0.831</w:t>
            </w:r>
          </w:p>
        </w:tc>
        <w:tc>
          <w:tcPr>
            <w:tcW w:w="1200" w:type="dxa"/>
            <w:tcBorders>
              <w:top w:val="nil"/>
              <w:left w:val="nil"/>
              <w:bottom w:val="nil"/>
              <w:right w:val="nil"/>
            </w:tcBorders>
          </w:tcPr>
          <w:p w14:paraId="7F87C4D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0.834</w:t>
            </w:r>
          </w:p>
        </w:tc>
        <w:tc>
          <w:tcPr>
            <w:tcW w:w="1200" w:type="dxa"/>
            <w:tcBorders>
              <w:top w:val="nil"/>
              <w:left w:val="nil"/>
              <w:bottom w:val="nil"/>
              <w:right w:val="nil"/>
            </w:tcBorders>
          </w:tcPr>
          <w:p w14:paraId="169857A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0.833</w:t>
            </w:r>
          </w:p>
        </w:tc>
        <w:tc>
          <w:tcPr>
            <w:tcW w:w="1202" w:type="dxa"/>
            <w:tcBorders>
              <w:top w:val="nil"/>
              <w:left w:val="nil"/>
              <w:bottom w:val="nil"/>
              <w:right w:val="nil"/>
            </w:tcBorders>
          </w:tcPr>
          <w:p w14:paraId="6D67AE2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0.807</w:t>
            </w:r>
          </w:p>
        </w:tc>
        <w:tc>
          <w:tcPr>
            <w:tcW w:w="1202" w:type="dxa"/>
            <w:tcBorders>
              <w:top w:val="nil"/>
              <w:left w:val="nil"/>
              <w:bottom w:val="nil"/>
              <w:right w:val="nil"/>
            </w:tcBorders>
          </w:tcPr>
          <w:p w14:paraId="3D912479"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0.731</w:t>
            </w:r>
          </w:p>
        </w:tc>
        <w:tc>
          <w:tcPr>
            <w:tcW w:w="1490" w:type="dxa"/>
            <w:tcBorders>
              <w:top w:val="nil"/>
              <w:left w:val="nil"/>
              <w:bottom w:val="nil"/>
              <w:right w:val="nil"/>
            </w:tcBorders>
          </w:tcPr>
          <w:p w14:paraId="04311E30" w14:textId="77777777" w:rsidR="005E1948" w:rsidRPr="00AA0ED7" w:rsidRDefault="005E1948" w:rsidP="006D2597">
            <w:pPr>
              <w:widowControl w:val="0"/>
              <w:autoSpaceDE w:val="0"/>
              <w:autoSpaceDN w:val="0"/>
              <w:adjustRightInd w:val="0"/>
              <w:spacing w:line="240" w:lineRule="auto"/>
              <w:ind w:firstLine="0"/>
              <w:jc w:val="center"/>
              <w:rPr>
                <w:rFonts w:cs="Times New Roman"/>
                <w:sz w:val="20"/>
                <w:szCs w:val="20"/>
                <w:lang w:val="en-US"/>
              </w:rPr>
            </w:pPr>
            <w:r w:rsidRPr="00AA0ED7">
              <w:rPr>
                <w:rFonts w:cs="Times New Roman"/>
                <w:sz w:val="20"/>
                <w:szCs w:val="20"/>
                <w:lang w:val="en-US"/>
              </w:rPr>
              <w:t>0.824</w:t>
            </w:r>
          </w:p>
        </w:tc>
      </w:tr>
      <w:tr w:rsidR="005E1948" w:rsidRPr="009B02B1" w14:paraId="58887DC2" w14:textId="77777777" w:rsidTr="006D2597">
        <w:trPr>
          <w:jc w:val="center"/>
        </w:trPr>
        <w:tc>
          <w:tcPr>
            <w:tcW w:w="4499" w:type="dxa"/>
            <w:tcBorders>
              <w:top w:val="nil"/>
              <w:left w:val="nil"/>
              <w:right w:val="nil"/>
            </w:tcBorders>
          </w:tcPr>
          <w:p w14:paraId="5306FB0D"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 xml:space="preserve"> F</w:t>
            </w:r>
          </w:p>
        </w:tc>
        <w:tc>
          <w:tcPr>
            <w:tcW w:w="1200" w:type="dxa"/>
            <w:tcBorders>
              <w:top w:val="nil"/>
              <w:left w:val="nil"/>
              <w:right w:val="nil"/>
            </w:tcBorders>
          </w:tcPr>
          <w:p w14:paraId="4DDA1197"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7.36</w:t>
            </w:r>
          </w:p>
        </w:tc>
        <w:tc>
          <w:tcPr>
            <w:tcW w:w="1200" w:type="dxa"/>
            <w:tcBorders>
              <w:top w:val="nil"/>
              <w:left w:val="nil"/>
              <w:right w:val="nil"/>
            </w:tcBorders>
          </w:tcPr>
          <w:p w14:paraId="41E1AEF6"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8.62</w:t>
            </w:r>
          </w:p>
        </w:tc>
        <w:tc>
          <w:tcPr>
            <w:tcW w:w="1200" w:type="dxa"/>
            <w:tcBorders>
              <w:top w:val="nil"/>
              <w:left w:val="nil"/>
              <w:right w:val="nil"/>
            </w:tcBorders>
          </w:tcPr>
          <w:p w14:paraId="0A01FCCB"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7.57</w:t>
            </w:r>
          </w:p>
        </w:tc>
        <w:tc>
          <w:tcPr>
            <w:tcW w:w="1200" w:type="dxa"/>
            <w:tcBorders>
              <w:top w:val="nil"/>
              <w:left w:val="nil"/>
              <w:right w:val="nil"/>
            </w:tcBorders>
          </w:tcPr>
          <w:p w14:paraId="094BC10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18.67</w:t>
            </w:r>
          </w:p>
        </w:tc>
        <w:tc>
          <w:tcPr>
            <w:tcW w:w="1200" w:type="dxa"/>
            <w:tcBorders>
              <w:top w:val="nil"/>
              <w:left w:val="nil"/>
              <w:right w:val="nil"/>
            </w:tcBorders>
          </w:tcPr>
          <w:p w14:paraId="3A38F5BF"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19.90</w:t>
            </w:r>
          </w:p>
        </w:tc>
        <w:tc>
          <w:tcPr>
            <w:tcW w:w="1200" w:type="dxa"/>
            <w:tcBorders>
              <w:top w:val="nil"/>
              <w:left w:val="nil"/>
              <w:right w:val="nil"/>
            </w:tcBorders>
          </w:tcPr>
          <w:p w14:paraId="36386FD0"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21.47</w:t>
            </w:r>
          </w:p>
        </w:tc>
        <w:tc>
          <w:tcPr>
            <w:tcW w:w="1202" w:type="dxa"/>
            <w:tcBorders>
              <w:top w:val="nil"/>
              <w:left w:val="nil"/>
              <w:right w:val="nil"/>
            </w:tcBorders>
          </w:tcPr>
          <w:p w14:paraId="2E2646B8"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eastAsia="en-GB"/>
              </w:rPr>
              <w:t>32.75</w:t>
            </w:r>
          </w:p>
        </w:tc>
        <w:tc>
          <w:tcPr>
            <w:tcW w:w="1202" w:type="dxa"/>
            <w:tcBorders>
              <w:top w:val="nil"/>
              <w:left w:val="nil"/>
              <w:right w:val="nil"/>
            </w:tcBorders>
          </w:tcPr>
          <w:p w14:paraId="0D73D79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eastAsia="en-GB"/>
              </w:rPr>
            </w:pPr>
            <w:r w:rsidRPr="009B02B1">
              <w:rPr>
                <w:rFonts w:cs="Times New Roman"/>
                <w:sz w:val="20"/>
                <w:szCs w:val="20"/>
                <w:lang w:val="en-US"/>
              </w:rPr>
              <w:t>17.03</w:t>
            </w:r>
          </w:p>
        </w:tc>
        <w:tc>
          <w:tcPr>
            <w:tcW w:w="1490" w:type="dxa"/>
            <w:tcBorders>
              <w:top w:val="nil"/>
              <w:left w:val="nil"/>
              <w:right w:val="nil"/>
            </w:tcBorders>
          </w:tcPr>
          <w:p w14:paraId="3023628D" w14:textId="77777777" w:rsidR="005E1948" w:rsidRPr="009B02B1" w:rsidRDefault="005E1948" w:rsidP="006D259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16.58</w:t>
            </w:r>
          </w:p>
        </w:tc>
      </w:tr>
      <w:tr w:rsidR="005E1948" w:rsidRPr="009B02B1" w14:paraId="7869CD00" w14:textId="77777777" w:rsidTr="006D2597">
        <w:trPr>
          <w:jc w:val="center"/>
        </w:trPr>
        <w:tc>
          <w:tcPr>
            <w:tcW w:w="12901" w:type="dxa"/>
            <w:gridSpan w:val="8"/>
            <w:tcBorders>
              <w:top w:val="nil"/>
              <w:left w:val="nil"/>
              <w:bottom w:val="single" w:sz="12" w:space="0" w:color="auto"/>
              <w:right w:val="nil"/>
            </w:tcBorders>
          </w:tcPr>
          <w:p w14:paraId="074D60B5"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p>
        </w:tc>
        <w:tc>
          <w:tcPr>
            <w:tcW w:w="1202" w:type="dxa"/>
            <w:tcBorders>
              <w:top w:val="nil"/>
              <w:left w:val="nil"/>
              <w:bottom w:val="single" w:sz="12" w:space="0" w:color="auto"/>
              <w:right w:val="nil"/>
            </w:tcBorders>
          </w:tcPr>
          <w:p w14:paraId="3E83C271"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p>
        </w:tc>
        <w:tc>
          <w:tcPr>
            <w:tcW w:w="1490" w:type="dxa"/>
            <w:tcBorders>
              <w:top w:val="nil"/>
              <w:left w:val="nil"/>
              <w:bottom w:val="single" w:sz="12" w:space="0" w:color="auto"/>
              <w:right w:val="nil"/>
            </w:tcBorders>
          </w:tcPr>
          <w:p w14:paraId="5FC735DA"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p>
        </w:tc>
      </w:tr>
      <w:tr w:rsidR="005E1948" w:rsidRPr="009B02B1" w14:paraId="71B14266" w14:textId="77777777" w:rsidTr="006D2597">
        <w:trPr>
          <w:jc w:val="center"/>
        </w:trPr>
        <w:tc>
          <w:tcPr>
            <w:tcW w:w="12901" w:type="dxa"/>
            <w:gridSpan w:val="8"/>
            <w:tcBorders>
              <w:top w:val="single" w:sz="12" w:space="0" w:color="auto"/>
              <w:left w:val="nil"/>
              <w:bottom w:val="nil"/>
              <w:right w:val="nil"/>
            </w:tcBorders>
          </w:tcPr>
          <w:p w14:paraId="0DEA6CEB"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r w:rsidRPr="009B02B1">
              <w:rPr>
                <w:rFonts w:cs="Times New Roman"/>
                <w:sz w:val="20"/>
                <w:szCs w:val="20"/>
                <w:lang w:val="en-US" w:eastAsia="en-GB"/>
              </w:rPr>
              <w:t>Standard errors are in parenthesis. *** p&lt;0.01, ** p&lt;0.05, * p&lt;0.1</w:t>
            </w:r>
          </w:p>
        </w:tc>
        <w:tc>
          <w:tcPr>
            <w:tcW w:w="1202" w:type="dxa"/>
            <w:tcBorders>
              <w:top w:val="single" w:sz="12" w:space="0" w:color="auto"/>
              <w:left w:val="nil"/>
              <w:bottom w:val="nil"/>
              <w:right w:val="nil"/>
            </w:tcBorders>
          </w:tcPr>
          <w:p w14:paraId="756126D8"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p>
        </w:tc>
        <w:tc>
          <w:tcPr>
            <w:tcW w:w="1490" w:type="dxa"/>
            <w:tcBorders>
              <w:top w:val="single" w:sz="12" w:space="0" w:color="auto"/>
              <w:left w:val="nil"/>
              <w:bottom w:val="nil"/>
              <w:right w:val="nil"/>
            </w:tcBorders>
          </w:tcPr>
          <w:p w14:paraId="2B1C2481" w14:textId="77777777" w:rsidR="005E1948" w:rsidRPr="009B02B1" w:rsidRDefault="005E1948" w:rsidP="006D2597">
            <w:pPr>
              <w:widowControl w:val="0"/>
              <w:autoSpaceDE w:val="0"/>
              <w:autoSpaceDN w:val="0"/>
              <w:adjustRightInd w:val="0"/>
              <w:spacing w:line="240" w:lineRule="auto"/>
              <w:ind w:firstLine="0"/>
              <w:rPr>
                <w:rFonts w:cs="Times New Roman"/>
                <w:sz w:val="20"/>
                <w:szCs w:val="20"/>
                <w:lang w:val="en-US" w:eastAsia="en-GB"/>
              </w:rPr>
            </w:pPr>
          </w:p>
        </w:tc>
      </w:tr>
    </w:tbl>
    <w:p w14:paraId="251203DB" w14:textId="63ECB1B2" w:rsidR="003B7D01" w:rsidRPr="00043492" w:rsidRDefault="003B7D01" w:rsidP="003B7D01">
      <w:pPr>
        <w:ind w:firstLine="0"/>
        <w:rPr>
          <w:rFonts w:cs="Times New Roman"/>
          <w:sz w:val="20"/>
          <w:szCs w:val="20"/>
          <w:lang w:val="en-US" w:eastAsia="en-GB"/>
        </w:rPr>
        <w:sectPr w:rsidR="003B7D01" w:rsidRPr="00043492">
          <w:pgSz w:w="16840" w:h="11901" w:orient="landscape"/>
          <w:pgMar w:top="1440" w:right="1440" w:bottom="1440" w:left="1440" w:header="720" w:footer="720" w:gutter="0"/>
          <w:cols w:space="720"/>
          <w:noEndnote/>
        </w:sectPr>
      </w:pPr>
    </w:p>
    <w:p w14:paraId="4DF0431C" w14:textId="77777777" w:rsidR="003B7D01" w:rsidRPr="00071DC8" w:rsidRDefault="003B7D01" w:rsidP="003B7D01">
      <w:pPr>
        <w:pStyle w:val="Heading1"/>
        <w:rPr>
          <w:lang w:val="en-US"/>
        </w:rPr>
      </w:pPr>
      <w:r w:rsidRPr="00071DC8">
        <w:rPr>
          <w:lang w:val="en-US"/>
        </w:rPr>
        <w:lastRenderedPageBreak/>
        <w:t>Figures</w:t>
      </w:r>
    </w:p>
    <w:p w14:paraId="154B6111" w14:textId="77777777" w:rsidR="003B7D01" w:rsidRPr="00071DC8" w:rsidRDefault="003B7D01" w:rsidP="003B7D01">
      <w:pPr>
        <w:spacing w:line="240" w:lineRule="auto"/>
        <w:ind w:firstLine="0"/>
        <w:rPr>
          <w:rFonts w:cs="Times New Roman"/>
          <w:lang w:val="en-US" w:eastAsia="en-GB"/>
        </w:rPr>
      </w:pPr>
      <w:r>
        <w:rPr>
          <w:rFonts w:cs="Times New Roman"/>
          <w:lang w:val="en-US" w:eastAsia="en-GB"/>
        </w:rPr>
        <w:t>Figure 1.</w:t>
      </w:r>
      <w:r w:rsidRPr="00071DC8">
        <w:rPr>
          <w:rFonts w:cs="Times New Roman"/>
          <w:lang w:val="en-US" w:eastAsia="en-GB"/>
        </w:rPr>
        <w:t xml:space="preserve"> Moderating effects of </w:t>
      </w:r>
      <w:r>
        <w:rPr>
          <w:rFonts w:cs="Times New Roman"/>
          <w:lang w:val="en-US" w:eastAsia="en-GB"/>
        </w:rPr>
        <w:t>licensing track record (licenses per patent)</w:t>
      </w:r>
      <w:r w:rsidRPr="00071DC8">
        <w:rPr>
          <w:rFonts w:cs="Times New Roman"/>
          <w:lang w:val="en-US" w:eastAsia="en-GB"/>
        </w:rPr>
        <w:t xml:space="preserve"> on the relationship between litigations as defendant and licensing income.</w:t>
      </w:r>
    </w:p>
    <w:p w14:paraId="07D77F21" w14:textId="77777777" w:rsidR="003B7D01" w:rsidRPr="00071DC8" w:rsidRDefault="003B7D01" w:rsidP="003B7D01">
      <w:pPr>
        <w:rPr>
          <w:lang w:val="en-US"/>
        </w:rPr>
      </w:pPr>
    </w:p>
    <w:p w14:paraId="7134C012" w14:textId="77777777" w:rsidR="003B7D01" w:rsidRPr="00071DC8" w:rsidRDefault="003B7D01" w:rsidP="003B7D01">
      <w:pPr>
        <w:pStyle w:val="Heading1"/>
        <w:rPr>
          <w:lang w:val="en-US"/>
        </w:rPr>
      </w:pPr>
      <w:r w:rsidRPr="00E71AB7">
        <w:rPr>
          <w:noProof/>
          <w:lang w:eastAsia="en-GB"/>
        </w:rPr>
        <w:drawing>
          <wp:inline distT="0" distB="0" distL="0" distR="0" wp14:anchorId="2589C6F5" wp14:editId="31A2734E">
            <wp:extent cx="3352800"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463800"/>
                    </a:xfrm>
                    <a:prstGeom prst="rect">
                      <a:avLst/>
                    </a:prstGeom>
                    <a:noFill/>
                    <a:ln>
                      <a:noFill/>
                    </a:ln>
                  </pic:spPr>
                </pic:pic>
              </a:graphicData>
            </a:graphic>
          </wp:inline>
        </w:drawing>
      </w:r>
    </w:p>
    <w:p w14:paraId="0FB95D64" w14:textId="77777777" w:rsidR="003B7D01" w:rsidRPr="00071DC8" w:rsidRDefault="003B7D01" w:rsidP="003B7D01">
      <w:pPr>
        <w:tabs>
          <w:tab w:val="left" w:pos="3399"/>
        </w:tabs>
        <w:spacing w:line="240" w:lineRule="auto"/>
        <w:ind w:firstLine="0"/>
        <w:rPr>
          <w:rFonts w:cs="Times New Roman"/>
          <w:lang w:val="en-US" w:eastAsia="en-GB"/>
        </w:rPr>
      </w:pPr>
      <w:r w:rsidRPr="00071DC8">
        <w:rPr>
          <w:rFonts w:cs="Times New Roman"/>
          <w:lang w:val="en-US" w:eastAsia="en-GB"/>
        </w:rPr>
        <w:tab/>
      </w:r>
    </w:p>
    <w:p w14:paraId="554079B4" w14:textId="77777777" w:rsidR="003B7D01" w:rsidRPr="00211DF0" w:rsidRDefault="003B7D01" w:rsidP="003B7D01">
      <w:pPr>
        <w:widowControl w:val="0"/>
        <w:autoSpaceDE w:val="0"/>
        <w:autoSpaceDN w:val="0"/>
        <w:adjustRightInd w:val="0"/>
        <w:spacing w:line="240" w:lineRule="auto"/>
        <w:ind w:firstLine="0"/>
        <w:rPr>
          <w:rFonts w:cs="Times New Roman"/>
          <w:lang w:val="en-US" w:eastAsia="en-GB"/>
        </w:rPr>
      </w:pPr>
    </w:p>
    <w:bookmarkEnd w:id="0"/>
    <w:p w14:paraId="1CC198EF" w14:textId="7054E737" w:rsidR="00CE4B2D" w:rsidRPr="00211DF0" w:rsidRDefault="00CE4B2D" w:rsidP="003B7D01">
      <w:pPr>
        <w:pStyle w:val="Heading1"/>
        <w:rPr>
          <w:rFonts w:cs="Times New Roman"/>
          <w:lang w:val="en-US" w:eastAsia="en-GB"/>
        </w:rPr>
      </w:pPr>
    </w:p>
    <w:sectPr w:rsidR="00CE4B2D" w:rsidRPr="00211DF0" w:rsidSect="00043492">
      <w:footerReference w:type="default" r:id="rId13"/>
      <w:pgSz w:w="11901" w:h="16840"/>
      <w:pgMar w:top="1440" w:right="1440" w:bottom="1440" w:left="1440"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C312" w14:textId="77777777" w:rsidR="00886B0C" w:rsidRDefault="00886B0C" w:rsidP="007A5F05">
      <w:r>
        <w:separator/>
      </w:r>
    </w:p>
  </w:endnote>
  <w:endnote w:type="continuationSeparator" w:id="0">
    <w:p w14:paraId="736132B3" w14:textId="77777777" w:rsidR="00886B0C" w:rsidRDefault="00886B0C" w:rsidP="007A5F05">
      <w:r>
        <w:continuationSeparator/>
      </w:r>
    </w:p>
  </w:endnote>
  <w:endnote w:type="continuationNotice" w:id="1">
    <w:p w14:paraId="07FFDEDC" w14:textId="77777777" w:rsidR="00886B0C" w:rsidRDefault="00886B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ḷƐ"/>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DD0F" w14:textId="77777777" w:rsidR="0026539D" w:rsidRDefault="0026539D" w:rsidP="00C42162">
    <w:pPr>
      <w:widowControl w:val="0"/>
      <w:autoSpaceDE w:val="0"/>
      <w:autoSpaceDN w:val="0"/>
      <w:adjustRightInd w:val="0"/>
      <w:spacing w:line="240" w:lineRule="auto"/>
      <w:rPr>
        <w:rFonts w:ascii="Garamond" w:hAnsi="Garamond" w:cs="Garamond"/>
        <w:sz w:val="20"/>
        <w:szCs w:val="20"/>
        <w:lang w:val="en-US"/>
      </w:rPr>
    </w:pPr>
    <w:r>
      <w:rPr>
        <w:rFonts w:ascii="Garamond" w:hAnsi="Garamond" w:cs="Garamond"/>
        <w:sz w:val="20"/>
        <w:szCs w:val="20"/>
        <w:lang w:val="en-US"/>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CB43" w14:textId="77777777" w:rsidR="0026539D" w:rsidRDefault="0026539D">
    <w:pPr>
      <w:widowControl w:val="0"/>
      <w:autoSpaceDE w:val="0"/>
      <w:autoSpaceDN w:val="0"/>
      <w:adjustRightInd w:val="0"/>
      <w:spacing w:line="240" w:lineRule="auto"/>
      <w:jc w:val="center"/>
      <w:rPr>
        <w:rFonts w:ascii="Garamond" w:hAnsi="Garamond" w:cs="Garamond"/>
        <w:sz w:val="20"/>
        <w:szCs w:val="20"/>
        <w:lang w:val="en-US"/>
      </w:rPr>
    </w:pPr>
    <w:r>
      <w:rPr>
        <w:rFonts w:ascii="Garamond" w:hAnsi="Garamond" w:cs="Garamond"/>
        <w:sz w:val="20"/>
        <w:szCs w:val="20"/>
        <w:lang w:val="en-US"/>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A763" w14:textId="1445F1EE" w:rsidR="0026539D" w:rsidRPr="007A5F05" w:rsidRDefault="0026539D" w:rsidP="007A5F05">
    <w:pPr>
      <w:pStyle w:val="Footer"/>
      <w:jc w:val="right"/>
      <w:rPr>
        <w:rFonts w:cs="Times New Roman"/>
        <w:sz w:val="24"/>
        <w:szCs w:val="24"/>
      </w:rPr>
    </w:pPr>
    <w:r w:rsidRPr="007A5F05">
      <w:rPr>
        <w:rFonts w:cs="Times New Roman"/>
        <w:sz w:val="24"/>
        <w:szCs w:val="24"/>
      </w:rPr>
      <w:fldChar w:fldCharType="begin"/>
    </w:r>
    <w:r w:rsidRPr="007A5F05">
      <w:rPr>
        <w:rFonts w:cs="Times New Roman"/>
        <w:sz w:val="24"/>
        <w:szCs w:val="24"/>
      </w:rPr>
      <w:instrText xml:space="preserve"> PAGE   \* MERGEFORMAT </w:instrText>
    </w:r>
    <w:r w:rsidRPr="007A5F05">
      <w:rPr>
        <w:rFonts w:cs="Times New Roman"/>
        <w:sz w:val="24"/>
        <w:szCs w:val="24"/>
      </w:rPr>
      <w:fldChar w:fldCharType="separate"/>
    </w:r>
    <w:r w:rsidR="00F83917">
      <w:rPr>
        <w:rFonts w:cs="Times New Roman"/>
        <w:noProof/>
        <w:sz w:val="24"/>
        <w:szCs w:val="24"/>
      </w:rPr>
      <w:t>38</w:t>
    </w:r>
    <w:r w:rsidRPr="007A5F05">
      <w:rPr>
        <w:rFonts w:cs="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06DF" w14:textId="091C8BB2" w:rsidR="0026539D" w:rsidRPr="007A5F05" w:rsidRDefault="0026539D" w:rsidP="007A5F05">
    <w:pPr>
      <w:pStyle w:val="Footer"/>
      <w:jc w:val="right"/>
      <w:rPr>
        <w:rFonts w:cs="Times New Roman"/>
        <w:sz w:val="24"/>
        <w:szCs w:val="24"/>
      </w:rPr>
    </w:pPr>
    <w:r w:rsidRPr="007A5F05">
      <w:rPr>
        <w:rFonts w:cs="Times New Roman"/>
        <w:sz w:val="24"/>
        <w:szCs w:val="24"/>
      </w:rPr>
      <w:fldChar w:fldCharType="begin"/>
    </w:r>
    <w:r w:rsidRPr="007A5F05">
      <w:rPr>
        <w:rFonts w:cs="Times New Roman"/>
        <w:sz w:val="24"/>
        <w:szCs w:val="24"/>
      </w:rPr>
      <w:instrText xml:space="preserve"> PAGE   \* MERGEFORMAT </w:instrText>
    </w:r>
    <w:r w:rsidRPr="007A5F05">
      <w:rPr>
        <w:rFonts w:cs="Times New Roman"/>
        <w:sz w:val="24"/>
        <w:szCs w:val="24"/>
      </w:rPr>
      <w:fldChar w:fldCharType="separate"/>
    </w:r>
    <w:r w:rsidR="00F83917">
      <w:rPr>
        <w:rFonts w:cs="Times New Roman"/>
        <w:noProof/>
        <w:sz w:val="24"/>
        <w:szCs w:val="24"/>
      </w:rPr>
      <w:t>39</w:t>
    </w:r>
    <w:r w:rsidRPr="007A5F05">
      <w:rPr>
        <w:rFonts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40FC" w14:textId="77777777" w:rsidR="00886B0C" w:rsidRDefault="00886B0C" w:rsidP="00816858">
      <w:pPr>
        <w:ind w:firstLine="0"/>
      </w:pPr>
      <w:r>
        <w:separator/>
      </w:r>
    </w:p>
  </w:footnote>
  <w:footnote w:type="continuationSeparator" w:id="0">
    <w:p w14:paraId="29279ABA" w14:textId="77777777" w:rsidR="00886B0C" w:rsidRDefault="00886B0C" w:rsidP="007A5F05">
      <w:r>
        <w:continuationSeparator/>
      </w:r>
    </w:p>
  </w:footnote>
  <w:footnote w:type="continuationNotice" w:id="1">
    <w:p w14:paraId="76A092E4" w14:textId="77777777" w:rsidR="00886B0C" w:rsidRDefault="00886B0C">
      <w:pPr>
        <w:spacing w:line="240" w:lineRule="auto"/>
      </w:pPr>
    </w:p>
  </w:footnote>
  <w:footnote w:id="2">
    <w:p w14:paraId="3971C728" w14:textId="6D61379B" w:rsidR="0026539D" w:rsidRPr="00DB240F" w:rsidRDefault="0026539D" w:rsidP="00D65C6A">
      <w:pPr>
        <w:pStyle w:val="FootnoteText"/>
        <w:ind w:firstLine="0"/>
        <w:rPr>
          <w:rFonts w:ascii="Times New Roman" w:hAnsi="Times New Roman" w:cs="Times New Roman"/>
        </w:rPr>
      </w:pPr>
      <w:r w:rsidRPr="00DB240F">
        <w:rPr>
          <w:rStyle w:val="FootnoteReference"/>
          <w:rFonts w:ascii="Times New Roman" w:hAnsi="Times New Roman"/>
        </w:rPr>
        <w:footnoteRef/>
      </w:r>
      <w:r w:rsidRPr="00DB240F">
        <w:rPr>
          <w:rFonts w:ascii="Times New Roman" w:hAnsi="Times New Roman" w:cs="Times New Roman"/>
        </w:rPr>
        <w:t xml:space="preserve"> We are grateful to one of our revi</w:t>
      </w:r>
      <w:r>
        <w:rPr>
          <w:rFonts w:ascii="Times New Roman" w:hAnsi="Times New Roman" w:cs="Times New Roman"/>
        </w:rPr>
        <w:t>e</w:t>
      </w:r>
      <w:r w:rsidRPr="00DB240F">
        <w:rPr>
          <w:rFonts w:ascii="Times New Roman" w:hAnsi="Times New Roman" w:cs="Times New Roman"/>
        </w:rPr>
        <w:t>wers for suggesting the examination of temporal dimensions</w:t>
      </w:r>
    </w:p>
  </w:footnote>
  <w:footnote w:id="3">
    <w:p w14:paraId="24A1BF7C" w14:textId="25684AA9" w:rsidR="0026539D" w:rsidRPr="00326A5D" w:rsidRDefault="0026539D" w:rsidP="00D65C6A">
      <w:pPr>
        <w:pStyle w:val="FootnoteText"/>
        <w:ind w:firstLine="0"/>
        <w:rPr>
          <w:rFonts w:ascii="Times New Roman" w:hAnsi="Times New Roman" w:cs="Times New Roman"/>
        </w:rPr>
      </w:pPr>
      <w:r w:rsidRPr="00326A5D">
        <w:rPr>
          <w:rStyle w:val="FootnoteReference"/>
          <w:rFonts w:ascii="Times New Roman" w:hAnsi="Times New Roman"/>
        </w:rPr>
        <w:footnoteRef/>
      </w:r>
      <w:r w:rsidRPr="00326A5D">
        <w:rPr>
          <w:rFonts w:ascii="Times New Roman" w:hAnsi="Times New Roman" w:cs="Times New Roman"/>
        </w:rPr>
        <w:t xml:space="preserve"> </w:t>
      </w:r>
      <w:r>
        <w:rPr>
          <w:rFonts w:ascii="Times New Roman" w:hAnsi="Times New Roman" w:cs="Times New Roman"/>
        </w:rPr>
        <w:t>I</w:t>
      </w:r>
      <w:r w:rsidRPr="00326A5D">
        <w:rPr>
          <w:rFonts w:ascii="Times New Roman" w:hAnsi="Times New Roman" w:cs="Times New Roman"/>
        </w:rPr>
        <w:t xml:space="preserve">n contexts where institutional arrnagements exist for the systematic evaluation of research quality such as the UK, the US and the EU (see Ray </w:t>
      </w:r>
      <w:r>
        <w:rPr>
          <w:rFonts w:ascii="Times New Roman" w:hAnsi="Times New Roman" w:cs="Times New Roman"/>
        </w:rPr>
        <w:t>and</w:t>
      </w:r>
      <w:r w:rsidRPr="00326A5D">
        <w:rPr>
          <w:rFonts w:ascii="Times New Roman" w:hAnsi="Times New Roman" w:cs="Times New Roman"/>
        </w:rPr>
        <w:t xml:space="preserve"> Sengupta, 2021) </w:t>
      </w:r>
    </w:p>
  </w:footnote>
  <w:footnote w:id="4">
    <w:p w14:paraId="57395726" w14:textId="44164EF4" w:rsidR="0026539D" w:rsidRPr="00326A5D" w:rsidRDefault="0026539D" w:rsidP="00D65C6A">
      <w:pPr>
        <w:pStyle w:val="FootnoteText"/>
        <w:ind w:firstLine="0"/>
        <w:rPr>
          <w:rFonts w:ascii="Times New Roman" w:hAnsi="Times New Roman" w:cs="Times New Roman"/>
        </w:rPr>
      </w:pPr>
      <w:r w:rsidRPr="00326A5D">
        <w:rPr>
          <w:rStyle w:val="FootnoteReference"/>
          <w:rFonts w:ascii="Times New Roman" w:hAnsi="Times New Roman"/>
        </w:rPr>
        <w:footnoteRef/>
      </w:r>
      <w:r w:rsidRPr="00326A5D">
        <w:rPr>
          <w:rFonts w:ascii="Times New Roman" w:hAnsi="Times New Roman" w:cs="Times New Roman"/>
        </w:rPr>
        <w:t xml:space="preserve"> We are indebted to one of our reviewers for pointing out this key strategic implication.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F5E8052"/>
    <w:lvl w:ilvl="0">
      <w:start w:val="1"/>
      <w:numFmt w:val="decimal"/>
      <w:lvlText w:val="%1."/>
      <w:lvlJc w:val="left"/>
      <w:pPr>
        <w:tabs>
          <w:tab w:val="num" w:pos="360"/>
        </w:tabs>
        <w:ind w:left="360" w:hanging="360"/>
      </w:pPr>
    </w:lvl>
  </w:abstractNum>
  <w:abstractNum w:abstractNumId="1" w15:restartNumberingAfterBreak="0">
    <w:nsid w:val="031C07EA"/>
    <w:multiLevelType w:val="hybridMultilevel"/>
    <w:tmpl w:val="91329D10"/>
    <w:lvl w:ilvl="0" w:tplc="08CE0618">
      <w:numFmt w:val="bullet"/>
      <w:lvlText w:val="-"/>
      <w:lvlJc w:val="left"/>
      <w:pPr>
        <w:ind w:left="1151" w:hanging="360"/>
      </w:pPr>
      <w:rPr>
        <w:rFonts w:ascii="Times New Roman" w:eastAsia="Times New Roman" w:hAnsi="Times New Roman" w:cs="Times New Roman"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 w15:restartNumberingAfterBreak="0">
    <w:nsid w:val="0D2B60B5"/>
    <w:multiLevelType w:val="hybridMultilevel"/>
    <w:tmpl w:val="737E1110"/>
    <w:lvl w:ilvl="0" w:tplc="020CC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17DF"/>
    <w:multiLevelType w:val="hybridMultilevel"/>
    <w:tmpl w:val="1C8A1E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2AC0181"/>
    <w:multiLevelType w:val="multilevel"/>
    <w:tmpl w:val="AC60751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1A142919"/>
    <w:multiLevelType w:val="hybridMultilevel"/>
    <w:tmpl w:val="BB0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35B71"/>
    <w:multiLevelType w:val="hybridMultilevel"/>
    <w:tmpl w:val="94B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1BAD"/>
    <w:multiLevelType w:val="hybridMultilevel"/>
    <w:tmpl w:val="CA3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D3F6F"/>
    <w:multiLevelType w:val="hybridMultilevel"/>
    <w:tmpl w:val="946ECA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37485"/>
    <w:multiLevelType w:val="hybridMultilevel"/>
    <w:tmpl w:val="4CD4BC2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094C864">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47571"/>
    <w:multiLevelType w:val="hybridMultilevel"/>
    <w:tmpl w:val="1C74DEC2"/>
    <w:lvl w:ilvl="0" w:tplc="9524ECBA">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1" w15:restartNumberingAfterBreak="0">
    <w:nsid w:val="2FAE4FFA"/>
    <w:multiLevelType w:val="hybridMultilevel"/>
    <w:tmpl w:val="363E65EA"/>
    <w:lvl w:ilvl="0" w:tplc="8E245D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2CC79D7"/>
    <w:multiLevelType w:val="hybridMultilevel"/>
    <w:tmpl w:val="D9AAEA9A"/>
    <w:lvl w:ilvl="0" w:tplc="B2003AD4">
      <w:start w:val="1"/>
      <w:numFmt w:val="bullet"/>
      <w:lvlText w:val="•"/>
      <w:lvlJc w:val="left"/>
      <w:pPr>
        <w:tabs>
          <w:tab w:val="num" w:pos="720"/>
        </w:tabs>
        <w:ind w:left="720" w:hanging="360"/>
      </w:pPr>
      <w:rPr>
        <w:rFonts w:ascii="Arial" w:hAnsi="Arial" w:hint="default"/>
      </w:rPr>
    </w:lvl>
    <w:lvl w:ilvl="1" w:tplc="26B08E8A" w:tentative="1">
      <w:start w:val="1"/>
      <w:numFmt w:val="bullet"/>
      <w:lvlText w:val="•"/>
      <w:lvlJc w:val="left"/>
      <w:pPr>
        <w:tabs>
          <w:tab w:val="num" w:pos="1440"/>
        </w:tabs>
        <w:ind w:left="1440" w:hanging="360"/>
      </w:pPr>
      <w:rPr>
        <w:rFonts w:ascii="Arial" w:hAnsi="Arial" w:hint="default"/>
      </w:rPr>
    </w:lvl>
    <w:lvl w:ilvl="2" w:tplc="A830DC0C" w:tentative="1">
      <w:start w:val="1"/>
      <w:numFmt w:val="bullet"/>
      <w:lvlText w:val="•"/>
      <w:lvlJc w:val="left"/>
      <w:pPr>
        <w:tabs>
          <w:tab w:val="num" w:pos="2160"/>
        </w:tabs>
        <w:ind w:left="2160" w:hanging="360"/>
      </w:pPr>
      <w:rPr>
        <w:rFonts w:ascii="Arial" w:hAnsi="Arial" w:hint="default"/>
      </w:rPr>
    </w:lvl>
    <w:lvl w:ilvl="3" w:tplc="74208628" w:tentative="1">
      <w:start w:val="1"/>
      <w:numFmt w:val="bullet"/>
      <w:lvlText w:val="•"/>
      <w:lvlJc w:val="left"/>
      <w:pPr>
        <w:tabs>
          <w:tab w:val="num" w:pos="2880"/>
        </w:tabs>
        <w:ind w:left="2880" w:hanging="360"/>
      </w:pPr>
      <w:rPr>
        <w:rFonts w:ascii="Arial" w:hAnsi="Arial" w:hint="default"/>
      </w:rPr>
    </w:lvl>
    <w:lvl w:ilvl="4" w:tplc="3086D980" w:tentative="1">
      <w:start w:val="1"/>
      <w:numFmt w:val="bullet"/>
      <w:lvlText w:val="•"/>
      <w:lvlJc w:val="left"/>
      <w:pPr>
        <w:tabs>
          <w:tab w:val="num" w:pos="3600"/>
        </w:tabs>
        <w:ind w:left="3600" w:hanging="360"/>
      </w:pPr>
      <w:rPr>
        <w:rFonts w:ascii="Arial" w:hAnsi="Arial" w:hint="default"/>
      </w:rPr>
    </w:lvl>
    <w:lvl w:ilvl="5" w:tplc="7C9CDBAE" w:tentative="1">
      <w:start w:val="1"/>
      <w:numFmt w:val="bullet"/>
      <w:lvlText w:val="•"/>
      <w:lvlJc w:val="left"/>
      <w:pPr>
        <w:tabs>
          <w:tab w:val="num" w:pos="4320"/>
        </w:tabs>
        <w:ind w:left="4320" w:hanging="360"/>
      </w:pPr>
      <w:rPr>
        <w:rFonts w:ascii="Arial" w:hAnsi="Arial" w:hint="default"/>
      </w:rPr>
    </w:lvl>
    <w:lvl w:ilvl="6" w:tplc="3F8EB82C" w:tentative="1">
      <w:start w:val="1"/>
      <w:numFmt w:val="bullet"/>
      <w:lvlText w:val="•"/>
      <w:lvlJc w:val="left"/>
      <w:pPr>
        <w:tabs>
          <w:tab w:val="num" w:pos="5040"/>
        </w:tabs>
        <w:ind w:left="5040" w:hanging="360"/>
      </w:pPr>
      <w:rPr>
        <w:rFonts w:ascii="Arial" w:hAnsi="Arial" w:hint="default"/>
      </w:rPr>
    </w:lvl>
    <w:lvl w:ilvl="7" w:tplc="05641866" w:tentative="1">
      <w:start w:val="1"/>
      <w:numFmt w:val="bullet"/>
      <w:lvlText w:val="•"/>
      <w:lvlJc w:val="left"/>
      <w:pPr>
        <w:tabs>
          <w:tab w:val="num" w:pos="5760"/>
        </w:tabs>
        <w:ind w:left="5760" w:hanging="360"/>
      </w:pPr>
      <w:rPr>
        <w:rFonts w:ascii="Arial" w:hAnsi="Arial" w:hint="default"/>
      </w:rPr>
    </w:lvl>
    <w:lvl w:ilvl="8" w:tplc="784EBD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575ECF"/>
    <w:multiLevelType w:val="hybridMultilevel"/>
    <w:tmpl w:val="0CE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20478"/>
    <w:multiLevelType w:val="hybridMultilevel"/>
    <w:tmpl w:val="63729B30"/>
    <w:lvl w:ilvl="0" w:tplc="F0E8BA72">
      <w:start w:val="1"/>
      <w:numFmt w:val="bullet"/>
      <w:lvlText w:val="•"/>
      <w:lvlJc w:val="left"/>
      <w:pPr>
        <w:tabs>
          <w:tab w:val="num" w:pos="720"/>
        </w:tabs>
        <w:ind w:left="720" w:hanging="360"/>
      </w:pPr>
      <w:rPr>
        <w:rFonts w:ascii="Arial" w:hAnsi="Arial" w:hint="default"/>
      </w:rPr>
    </w:lvl>
    <w:lvl w:ilvl="1" w:tplc="3A6CA116" w:tentative="1">
      <w:start w:val="1"/>
      <w:numFmt w:val="bullet"/>
      <w:lvlText w:val="•"/>
      <w:lvlJc w:val="left"/>
      <w:pPr>
        <w:tabs>
          <w:tab w:val="num" w:pos="1440"/>
        </w:tabs>
        <w:ind w:left="1440" w:hanging="360"/>
      </w:pPr>
      <w:rPr>
        <w:rFonts w:ascii="Arial" w:hAnsi="Arial" w:hint="default"/>
      </w:rPr>
    </w:lvl>
    <w:lvl w:ilvl="2" w:tplc="2FFC5326" w:tentative="1">
      <w:start w:val="1"/>
      <w:numFmt w:val="bullet"/>
      <w:lvlText w:val="•"/>
      <w:lvlJc w:val="left"/>
      <w:pPr>
        <w:tabs>
          <w:tab w:val="num" w:pos="2160"/>
        </w:tabs>
        <w:ind w:left="2160" w:hanging="360"/>
      </w:pPr>
      <w:rPr>
        <w:rFonts w:ascii="Arial" w:hAnsi="Arial" w:hint="default"/>
      </w:rPr>
    </w:lvl>
    <w:lvl w:ilvl="3" w:tplc="5B7CF78E" w:tentative="1">
      <w:start w:val="1"/>
      <w:numFmt w:val="bullet"/>
      <w:lvlText w:val="•"/>
      <w:lvlJc w:val="left"/>
      <w:pPr>
        <w:tabs>
          <w:tab w:val="num" w:pos="2880"/>
        </w:tabs>
        <w:ind w:left="2880" w:hanging="360"/>
      </w:pPr>
      <w:rPr>
        <w:rFonts w:ascii="Arial" w:hAnsi="Arial" w:hint="default"/>
      </w:rPr>
    </w:lvl>
    <w:lvl w:ilvl="4" w:tplc="BE90499C" w:tentative="1">
      <w:start w:val="1"/>
      <w:numFmt w:val="bullet"/>
      <w:lvlText w:val="•"/>
      <w:lvlJc w:val="left"/>
      <w:pPr>
        <w:tabs>
          <w:tab w:val="num" w:pos="3600"/>
        </w:tabs>
        <w:ind w:left="3600" w:hanging="360"/>
      </w:pPr>
      <w:rPr>
        <w:rFonts w:ascii="Arial" w:hAnsi="Arial" w:hint="default"/>
      </w:rPr>
    </w:lvl>
    <w:lvl w:ilvl="5" w:tplc="670811BA" w:tentative="1">
      <w:start w:val="1"/>
      <w:numFmt w:val="bullet"/>
      <w:lvlText w:val="•"/>
      <w:lvlJc w:val="left"/>
      <w:pPr>
        <w:tabs>
          <w:tab w:val="num" w:pos="4320"/>
        </w:tabs>
        <w:ind w:left="4320" w:hanging="360"/>
      </w:pPr>
      <w:rPr>
        <w:rFonts w:ascii="Arial" w:hAnsi="Arial" w:hint="default"/>
      </w:rPr>
    </w:lvl>
    <w:lvl w:ilvl="6" w:tplc="6FAA61CE" w:tentative="1">
      <w:start w:val="1"/>
      <w:numFmt w:val="bullet"/>
      <w:lvlText w:val="•"/>
      <w:lvlJc w:val="left"/>
      <w:pPr>
        <w:tabs>
          <w:tab w:val="num" w:pos="5040"/>
        </w:tabs>
        <w:ind w:left="5040" w:hanging="360"/>
      </w:pPr>
      <w:rPr>
        <w:rFonts w:ascii="Arial" w:hAnsi="Arial" w:hint="default"/>
      </w:rPr>
    </w:lvl>
    <w:lvl w:ilvl="7" w:tplc="A5EE40FA" w:tentative="1">
      <w:start w:val="1"/>
      <w:numFmt w:val="bullet"/>
      <w:lvlText w:val="•"/>
      <w:lvlJc w:val="left"/>
      <w:pPr>
        <w:tabs>
          <w:tab w:val="num" w:pos="5760"/>
        </w:tabs>
        <w:ind w:left="5760" w:hanging="360"/>
      </w:pPr>
      <w:rPr>
        <w:rFonts w:ascii="Arial" w:hAnsi="Arial" w:hint="default"/>
      </w:rPr>
    </w:lvl>
    <w:lvl w:ilvl="8" w:tplc="0464B3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CD73BC"/>
    <w:multiLevelType w:val="hybridMultilevel"/>
    <w:tmpl w:val="666A653A"/>
    <w:lvl w:ilvl="0" w:tplc="FECEF0A6">
      <w:start w:val="1"/>
      <w:numFmt w:val="bullet"/>
      <w:lvlText w:val="•"/>
      <w:lvlJc w:val="left"/>
      <w:pPr>
        <w:tabs>
          <w:tab w:val="num" w:pos="720"/>
        </w:tabs>
        <w:ind w:left="720" w:hanging="360"/>
      </w:pPr>
      <w:rPr>
        <w:rFonts w:ascii="Arial" w:hAnsi="Arial" w:hint="default"/>
      </w:rPr>
    </w:lvl>
    <w:lvl w:ilvl="1" w:tplc="90C8C700" w:tentative="1">
      <w:start w:val="1"/>
      <w:numFmt w:val="bullet"/>
      <w:lvlText w:val="•"/>
      <w:lvlJc w:val="left"/>
      <w:pPr>
        <w:tabs>
          <w:tab w:val="num" w:pos="1440"/>
        </w:tabs>
        <w:ind w:left="1440" w:hanging="360"/>
      </w:pPr>
      <w:rPr>
        <w:rFonts w:ascii="Arial" w:hAnsi="Arial" w:hint="default"/>
      </w:rPr>
    </w:lvl>
    <w:lvl w:ilvl="2" w:tplc="E1F4EF8C" w:tentative="1">
      <w:start w:val="1"/>
      <w:numFmt w:val="bullet"/>
      <w:lvlText w:val="•"/>
      <w:lvlJc w:val="left"/>
      <w:pPr>
        <w:tabs>
          <w:tab w:val="num" w:pos="2160"/>
        </w:tabs>
        <w:ind w:left="2160" w:hanging="360"/>
      </w:pPr>
      <w:rPr>
        <w:rFonts w:ascii="Arial" w:hAnsi="Arial" w:hint="default"/>
      </w:rPr>
    </w:lvl>
    <w:lvl w:ilvl="3" w:tplc="959E6A4E" w:tentative="1">
      <w:start w:val="1"/>
      <w:numFmt w:val="bullet"/>
      <w:lvlText w:val="•"/>
      <w:lvlJc w:val="left"/>
      <w:pPr>
        <w:tabs>
          <w:tab w:val="num" w:pos="2880"/>
        </w:tabs>
        <w:ind w:left="2880" w:hanging="360"/>
      </w:pPr>
      <w:rPr>
        <w:rFonts w:ascii="Arial" w:hAnsi="Arial" w:hint="default"/>
      </w:rPr>
    </w:lvl>
    <w:lvl w:ilvl="4" w:tplc="D13EF87C" w:tentative="1">
      <w:start w:val="1"/>
      <w:numFmt w:val="bullet"/>
      <w:lvlText w:val="•"/>
      <w:lvlJc w:val="left"/>
      <w:pPr>
        <w:tabs>
          <w:tab w:val="num" w:pos="3600"/>
        </w:tabs>
        <w:ind w:left="3600" w:hanging="360"/>
      </w:pPr>
      <w:rPr>
        <w:rFonts w:ascii="Arial" w:hAnsi="Arial" w:hint="default"/>
      </w:rPr>
    </w:lvl>
    <w:lvl w:ilvl="5" w:tplc="73E6D5C2" w:tentative="1">
      <w:start w:val="1"/>
      <w:numFmt w:val="bullet"/>
      <w:lvlText w:val="•"/>
      <w:lvlJc w:val="left"/>
      <w:pPr>
        <w:tabs>
          <w:tab w:val="num" w:pos="4320"/>
        </w:tabs>
        <w:ind w:left="4320" w:hanging="360"/>
      </w:pPr>
      <w:rPr>
        <w:rFonts w:ascii="Arial" w:hAnsi="Arial" w:hint="default"/>
      </w:rPr>
    </w:lvl>
    <w:lvl w:ilvl="6" w:tplc="216CB0AA" w:tentative="1">
      <w:start w:val="1"/>
      <w:numFmt w:val="bullet"/>
      <w:lvlText w:val="•"/>
      <w:lvlJc w:val="left"/>
      <w:pPr>
        <w:tabs>
          <w:tab w:val="num" w:pos="5040"/>
        </w:tabs>
        <w:ind w:left="5040" w:hanging="360"/>
      </w:pPr>
      <w:rPr>
        <w:rFonts w:ascii="Arial" w:hAnsi="Arial" w:hint="default"/>
      </w:rPr>
    </w:lvl>
    <w:lvl w:ilvl="7" w:tplc="FC8AF28E" w:tentative="1">
      <w:start w:val="1"/>
      <w:numFmt w:val="bullet"/>
      <w:lvlText w:val="•"/>
      <w:lvlJc w:val="left"/>
      <w:pPr>
        <w:tabs>
          <w:tab w:val="num" w:pos="5760"/>
        </w:tabs>
        <w:ind w:left="5760" w:hanging="360"/>
      </w:pPr>
      <w:rPr>
        <w:rFonts w:ascii="Arial" w:hAnsi="Arial" w:hint="default"/>
      </w:rPr>
    </w:lvl>
    <w:lvl w:ilvl="8" w:tplc="F39688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290907"/>
    <w:multiLevelType w:val="hybridMultilevel"/>
    <w:tmpl w:val="00A062C6"/>
    <w:lvl w:ilvl="0" w:tplc="B79691E2">
      <w:start w:val="1"/>
      <w:numFmt w:val="bullet"/>
      <w:lvlText w:val="•"/>
      <w:lvlJc w:val="left"/>
      <w:pPr>
        <w:tabs>
          <w:tab w:val="num" w:pos="720"/>
        </w:tabs>
        <w:ind w:left="720" w:hanging="360"/>
      </w:pPr>
      <w:rPr>
        <w:rFonts w:ascii="Arial" w:hAnsi="Arial" w:hint="default"/>
      </w:rPr>
    </w:lvl>
    <w:lvl w:ilvl="1" w:tplc="0C707E5C" w:tentative="1">
      <w:start w:val="1"/>
      <w:numFmt w:val="bullet"/>
      <w:lvlText w:val="•"/>
      <w:lvlJc w:val="left"/>
      <w:pPr>
        <w:tabs>
          <w:tab w:val="num" w:pos="1440"/>
        </w:tabs>
        <w:ind w:left="1440" w:hanging="360"/>
      </w:pPr>
      <w:rPr>
        <w:rFonts w:ascii="Arial" w:hAnsi="Arial" w:hint="default"/>
      </w:rPr>
    </w:lvl>
    <w:lvl w:ilvl="2" w:tplc="1A1E73F4" w:tentative="1">
      <w:start w:val="1"/>
      <w:numFmt w:val="bullet"/>
      <w:lvlText w:val="•"/>
      <w:lvlJc w:val="left"/>
      <w:pPr>
        <w:tabs>
          <w:tab w:val="num" w:pos="2160"/>
        </w:tabs>
        <w:ind w:left="2160" w:hanging="360"/>
      </w:pPr>
      <w:rPr>
        <w:rFonts w:ascii="Arial" w:hAnsi="Arial" w:hint="default"/>
      </w:rPr>
    </w:lvl>
    <w:lvl w:ilvl="3" w:tplc="E83830FA" w:tentative="1">
      <w:start w:val="1"/>
      <w:numFmt w:val="bullet"/>
      <w:lvlText w:val="•"/>
      <w:lvlJc w:val="left"/>
      <w:pPr>
        <w:tabs>
          <w:tab w:val="num" w:pos="2880"/>
        </w:tabs>
        <w:ind w:left="2880" w:hanging="360"/>
      </w:pPr>
      <w:rPr>
        <w:rFonts w:ascii="Arial" w:hAnsi="Arial" w:hint="default"/>
      </w:rPr>
    </w:lvl>
    <w:lvl w:ilvl="4" w:tplc="2DC2DD5E" w:tentative="1">
      <w:start w:val="1"/>
      <w:numFmt w:val="bullet"/>
      <w:lvlText w:val="•"/>
      <w:lvlJc w:val="left"/>
      <w:pPr>
        <w:tabs>
          <w:tab w:val="num" w:pos="3600"/>
        </w:tabs>
        <w:ind w:left="3600" w:hanging="360"/>
      </w:pPr>
      <w:rPr>
        <w:rFonts w:ascii="Arial" w:hAnsi="Arial" w:hint="default"/>
      </w:rPr>
    </w:lvl>
    <w:lvl w:ilvl="5" w:tplc="082A8506" w:tentative="1">
      <w:start w:val="1"/>
      <w:numFmt w:val="bullet"/>
      <w:lvlText w:val="•"/>
      <w:lvlJc w:val="left"/>
      <w:pPr>
        <w:tabs>
          <w:tab w:val="num" w:pos="4320"/>
        </w:tabs>
        <w:ind w:left="4320" w:hanging="360"/>
      </w:pPr>
      <w:rPr>
        <w:rFonts w:ascii="Arial" w:hAnsi="Arial" w:hint="default"/>
      </w:rPr>
    </w:lvl>
    <w:lvl w:ilvl="6" w:tplc="AC9ECDDC" w:tentative="1">
      <w:start w:val="1"/>
      <w:numFmt w:val="bullet"/>
      <w:lvlText w:val="•"/>
      <w:lvlJc w:val="left"/>
      <w:pPr>
        <w:tabs>
          <w:tab w:val="num" w:pos="5040"/>
        </w:tabs>
        <w:ind w:left="5040" w:hanging="360"/>
      </w:pPr>
      <w:rPr>
        <w:rFonts w:ascii="Arial" w:hAnsi="Arial" w:hint="default"/>
      </w:rPr>
    </w:lvl>
    <w:lvl w:ilvl="7" w:tplc="FC44423C" w:tentative="1">
      <w:start w:val="1"/>
      <w:numFmt w:val="bullet"/>
      <w:lvlText w:val="•"/>
      <w:lvlJc w:val="left"/>
      <w:pPr>
        <w:tabs>
          <w:tab w:val="num" w:pos="5760"/>
        </w:tabs>
        <w:ind w:left="5760" w:hanging="360"/>
      </w:pPr>
      <w:rPr>
        <w:rFonts w:ascii="Arial" w:hAnsi="Arial" w:hint="default"/>
      </w:rPr>
    </w:lvl>
    <w:lvl w:ilvl="8" w:tplc="705636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8B6A8D"/>
    <w:multiLevelType w:val="hybridMultilevel"/>
    <w:tmpl w:val="F956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117EE"/>
    <w:multiLevelType w:val="hybridMultilevel"/>
    <w:tmpl w:val="FA2650A4"/>
    <w:lvl w:ilvl="0" w:tplc="782819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94366"/>
    <w:multiLevelType w:val="hybridMultilevel"/>
    <w:tmpl w:val="CE9CE6D2"/>
    <w:lvl w:ilvl="0" w:tplc="100015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55B1F"/>
    <w:multiLevelType w:val="hybridMultilevel"/>
    <w:tmpl w:val="E55ED736"/>
    <w:lvl w:ilvl="0" w:tplc="EB3E501A">
      <w:start w:val="1"/>
      <w:numFmt w:val="bullet"/>
      <w:lvlText w:val="•"/>
      <w:lvlJc w:val="left"/>
      <w:pPr>
        <w:tabs>
          <w:tab w:val="num" w:pos="720"/>
        </w:tabs>
        <w:ind w:left="720" w:hanging="360"/>
      </w:pPr>
      <w:rPr>
        <w:rFonts w:ascii="Arial" w:hAnsi="Arial" w:hint="default"/>
      </w:rPr>
    </w:lvl>
    <w:lvl w:ilvl="1" w:tplc="48A2E2A4" w:tentative="1">
      <w:start w:val="1"/>
      <w:numFmt w:val="bullet"/>
      <w:lvlText w:val="•"/>
      <w:lvlJc w:val="left"/>
      <w:pPr>
        <w:tabs>
          <w:tab w:val="num" w:pos="1440"/>
        </w:tabs>
        <w:ind w:left="1440" w:hanging="360"/>
      </w:pPr>
      <w:rPr>
        <w:rFonts w:ascii="Arial" w:hAnsi="Arial" w:hint="default"/>
      </w:rPr>
    </w:lvl>
    <w:lvl w:ilvl="2" w:tplc="712E7BDE" w:tentative="1">
      <w:start w:val="1"/>
      <w:numFmt w:val="bullet"/>
      <w:lvlText w:val="•"/>
      <w:lvlJc w:val="left"/>
      <w:pPr>
        <w:tabs>
          <w:tab w:val="num" w:pos="2160"/>
        </w:tabs>
        <w:ind w:left="2160" w:hanging="360"/>
      </w:pPr>
      <w:rPr>
        <w:rFonts w:ascii="Arial" w:hAnsi="Arial" w:hint="default"/>
      </w:rPr>
    </w:lvl>
    <w:lvl w:ilvl="3" w:tplc="62E8E842" w:tentative="1">
      <w:start w:val="1"/>
      <w:numFmt w:val="bullet"/>
      <w:lvlText w:val="•"/>
      <w:lvlJc w:val="left"/>
      <w:pPr>
        <w:tabs>
          <w:tab w:val="num" w:pos="2880"/>
        </w:tabs>
        <w:ind w:left="2880" w:hanging="360"/>
      </w:pPr>
      <w:rPr>
        <w:rFonts w:ascii="Arial" w:hAnsi="Arial" w:hint="default"/>
      </w:rPr>
    </w:lvl>
    <w:lvl w:ilvl="4" w:tplc="E5F6D32E" w:tentative="1">
      <w:start w:val="1"/>
      <w:numFmt w:val="bullet"/>
      <w:lvlText w:val="•"/>
      <w:lvlJc w:val="left"/>
      <w:pPr>
        <w:tabs>
          <w:tab w:val="num" w:pos="3600"/>
        </w:tabs>
        <w:ind w:left="3600" w:hanging="360"/>
      </w:pPr>
      <w:rPr>
        <w:rFonts w:ascii="Arial" w:hAnsi="Arial" w:hint="default"/>
      </w:rPr>
    </w:lvl>
    <w:lvl w:ilvl="5" w:tplc="0E9E0364" w:tentative="1">
      <w:start w:val="1"/>
      <w:numFmt w:val="bullet"/>
      <w:lvlText w:val="•"/>
      <w:lvlJc w:val="left"/>
      <w:pPr>
        <w:tabs>
          <w:tab w:val="num" w:pos="4320"/>
        </w:tabs>
        <w:ind w:left="4320" w:hanging="360"/>
      </w:pPr>
      <w:rPr>
        <w:rFonts w:ascii="Arial" w:hAnsi="Arial" w:hint="default"/>
      </w:rPr>
    </w:lvl>
    <w:lvl w:ilvl="6" w:tplc="79CA99E6" w:tentative="1">
      <w:start w:val="1"/>
      <w:numFmt w:val="bullet"/>
      <w:lvlText w:val="•"/>
      <w:lvlJc w:val="left"/>
      <w:pPr>
        <w:tabs>
          <w:tab w:val="num" w:pos="5040"/>
        </w:tabs>
        <w:ind w:left="5040" w:hanging="360"/>
      </w:pPr>
      <w:rPr>
        <w:rFonts w:ascii="Arial" w:hAnsi="Arial" w:hint="default"/>
      </w:rPr>
    </w:lvl>
    <w:lvl w:ilvl="7" w:tplc="90EAFC10" w:tentative="1">
      <w:start w:val="1"/>
      <w:numFmt w:val="bullet"/>
      <w:lvlText w:val="•"/>
      <w:lvlJc w:val="left"/>
      <w:pPr>
        <w:tabs>
          <w:tab w:val="num" w:pos="5760"/>
        </w:tabs>
        <w:ind w:left="5760" w:hanging="360"/>
      </w:pPr>
      <w:rPr>
        <w:rFonts w:ascii="Arial" w:hAnsi="Arial" w:hint="default"/>
      </w:rPr>
    </w:lvl>
    <w:lvl w:ilvl="8" w:tplc="A828961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8"/>
  </w:num>
  <w:num w:numId="4">
    <w:abstractNumId w:val="9"/>
  </w:num>
  <w:num w:numId="5">
    <w:abstractNumId w:val="18"/>
  </w:num>
  <w:num w:numId="6">
    <w:abstractNumId w:val="19"/>
  </w:num>
  <w:num w:numId="7">
    <w:abstractNumId w:val="7"/>
  </w:num>
  <w:num w:numId="8">
    <w:abstractNumId w:val="6"/>
  </w:num>
  <w:num w:numId="9">
    <w:abstractNumId w:val="5"/>
  </w:num>
  <w:num w:numId="10">
    <w:abstractNumId w:val="1"/>
  </w:num>
  <w:num w:numId="11">
    <w:abstractNumId w:val="0"/>
  </w:num>
  <w:num w:numId="12">
    <w:abstractNumId w:val="10"/>
  </w:num>
  <w:num w:numId="13">
    <w:abstractNumId w:val="12"/>
  </w:num>
  <w:num w:numId="14">
    <w:abstractNumId w:val="15"/>
  </w:num>
  <w:num w:numId="15">
    <w:abstractNumId w:val="14"/>
  </w:num>
  <w:num w:numId="16">
    <w:abstractNumId w:val="20"/>
  </w:num>
  <w:num w:numId="17">
    <w:abstractNumId w:val="16"/>
  </w:num>
  <w:num w:numId="18">
    <w:abstractNumId w:val="13"/>
  </w:num>
  <w:num w:numId="19">
    <w:abstractNumId w:val="3"/>
  </w:num>
  <w:num w:numId="20">
    <w:abstractNumId w:val="17"/>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tl Business Studi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wa0svv022vtxevr0kvzw5rf252r2rre9w2&quot;&gt;inuse-dissnew-Saved_20201006&lt;record-ids&gt;&lt;item&gt;1512&lt;/item&gt;&lt;item&gt;2689&lt;/item&gt;&lt;item&gt;2777&lt;/item&gt;&lt;item&gt;3129&lt;/item&gt;&lt;item&gt;3130&lt;/item&gt;&lt;/record-ids&gt;&lt;/item&gt;&lt;/Libraries&gt;"/>
  </w:docVars>
  <w:rsids>
    <w:rsidRoot w:val="0025371D"/>
    <w:rsid w:val="0000006B"/>
    <w:rsid w:val="00000281"/>
    <w:rsid w:val="00000693"/>
    <w:rsid w:val="00000698"/>
    <w:rsid w:val="000007FF"/>
    <w:rsid w:val="000009B3"/>
    <w:rsid w:val="00000C18"/>
    <w:rsid w:val="00000C49"/>
    <w:rsid w:val="00000E21"/>
    <w:rsid w:val="00001586"/>
    <w:rsid w:val="0000168C"/>
    <w:rsid w:val="00001857"/>
    <w:rsid w:val="00001B51"/>
    <w:rsid w:val="00001C98"/>
    <w:rsid w:val="00001E04"/>
    <w:rsid w:val="00002851"/>
    <w:rsid w:val="00002A1D"/>
    <w:rsid w:val="0000333D"/>
    <w:rsid w:val="00003515"/>
    <w:rsid w:val="000036C9"/>
    <w:rsid w:val="00003A1B"/>
    <w:rsid w:val="00003A7E"/>
    <w:rsid w:val="00003B31"/>
    <w:rsid w:val="00003E48"/>
    <w:rsid w:val="00003E88"/>
    <w:rsid w:val="000047D2"/>
    <w:rsid w:val="00004B5A"/>
    <w:rsid w:val="00004F94"/>
    <w:rsid w:val="000050FC"/>
    <w:rsid w:val="00005785"/>
    <w:rsid w:val="00005A88"/>
    <w:rsid w:val="00005B22"/>
    <w:rsid w:val="000060F9"/>
    <w:rsid w:val="0000647D"/>
    <w:rsid w:val="0000655F"/>
    <w:rsid w:val="00006626"/>
    <w:rsid w:val="000066F9"/>
    <w:rsid w:val="000069BC"/>
    <w:rsid w:val="00006C71"/>
    <w:rsid w:val="00006E7C"/>
    <w:rsid w:val="00006FBF"/>
    <w:rsid w:val="000072A9"/>
    <w:rsid w:val="000078AA"/>
    <w:rsid w:val="000079DD"/>
    <w:rsid w:val="00007F06"/>
    <w:rsid w:val="0001015C"/>
    <w:rsid w:val="000104E5"/>
    <w:rsid w:val="00010A4A"/>
    <w:rsid w:val="00010CF3"/>
    <w:rsid w:val="00011126"/>
    <w:rsid w:val="00011299"/>
    <w:rsid w:val="000116B8"/>
    <w:rsid w:val="0001208A"/>
    <w:rsid w:val="0001287B"/>
    <w:rsid w:val="000128AE"/>
    <w:rsid w:val="00012925"/>
    <w:rsid w:val="00012CFF"/>
    <w:rsid w:val="000130EC"/>
    <w:rsid w:val="00013AD9"/>
    <w:rsid w:val="00014247"/>
    <w:rsid w:val="00014345"/>
    <w:rsid w:val="000145B5"/>
    <w:rsid w:val="000146EF"/>
    <w:rsid w:val="000148C7"/>
    <w:rsid w:val="00014D16"/>
    <w:rsid w:val="00015B18"/>
    <w:rsid w:val="00015FB8"/>
    <w:rsid w:val="00016098"/>
    <w:rsid w:val="00016189"/>
    <w:rsid w:val="00016706"/>
    <w:rsid w:val="00016718"/>
    <w:rsid w:val="000167B2"/>
    <w:rsid w:val="00016F4C"/>
    <w:rsid w:val="00016FC1"/>
    <w:rsid w:val="0001737A"/>
    <w:rsid w:val="00017B43"/>
    <w:rsid w:val="00017E04"/>
    <w:rsid w:val="00017E83"/>
    <w:rsid w:val="00020137"/>
    <w:rsid w:val="000202D3"/>
    <w:rsid w:val="000203B3"/>
    <w:rsid w:val="00020441"/>
    <w:rsid w:val="000205DA"/>
    <w:rsid w:val="00020602"/>
    <w:rsid w:val="00020A90"/>
    <w:rsid w:val="00020D72"/>
    <w:rsid w:val="00020D75"/>
    <w:rsid w:val="00020F96"/>
    <w:rsid w:val="0002179B"/>
    <w:rsid w:val="00021986"/>
    <w:rsid w:val="000219A9"/>
    <w:rsid w:val="00021B16"/>
    <w:rsid w:val="00021D89"/>
    <w:rsid w:val="00021EB4"/>
    <w:rsid w:val="00022466"/>
    <w:rsid w:val="000227D0"/>
    <w:rsid w:val="00022B0B"/>
    <w:rsid w:val="00022CB0"/>
    <w:rsid w:val="00022CF4"/>
    <w:rsid w:val="00023278"/>
    <w:rsid w:val="00023311"/>
    <w:rsid w:val="00023339"/>
    <w:rsid w:val="00023518"/>
    <w:rsid w:val="000239B6"/>
    <w:rsid w:val="00023AB7"/>
    <w:rsid w:val="00023D9F"/>
    <w:rsid w:val="0002402F"/>
    <w:rsid w:val="0002429C"/>
    <w:rsid w:val="0002454F"/>
    <w:rsid w:val="000247D5"/>
    <w:rsid w:val="000247EF"/>
    <w:rsid w:val="00024F8C"/>
    <w:rsid w:val="0002535F"/>
    <w:rsid w:val="000254AD"/>
    <w:rsid w:val="0002551B"/>
    <w:rsid w:val="00025950"/>
    <w:rsid w:val="00025DAD"/>
    <w:rsid w:val="00025F37"/>
    <w:rsid w:val="0002609E"/>
    <w:rsid w:val="00026555"/>
    <w:rsid w:val="0002676E"/>
    <w:rsid w:val="00026817"/>
    <w:rsid w:val="00026D79"/>
    <w:rsid w:val="00026DDC"/>
    <w:rsid w:val="0002709F"/>
    <w:rsid w:val="0002758E"/>
    <w:rsid w:val="00027ADA"/>
    <w:rsid w:val="00027B25"/>
    <w:rsid w:val="00027C7D"/>
    <w:rsid w:val="00027D92"/>
    <w:rsid w:val="0003015E"/>
    <w:rsid w:val="000302F5"/>
    <w:rsid w:val="00030867"/>
    <w:rsid w:val="0003088F"/>
    <w:rsid w:val="00030E18"/>
    <w:rsid w:val="00030EA5"/>
    <w:rsid w:val="000310FA"/>
    <w:rsid w:val="000313A4"/>
    <w:rsid w:val="000313B8"/>
    <w:rsid w:val="000313D2"/>
    <w:rsid w:val="000320C7"/>
    <w:rsid w:val="000321F1"/>
    <w:rsid w:val="0003278B"/>
    <w:rsid w:val="00033607"/>
    <w:rsid w:val="00033A77"/>
    <w:rsid w:val="0003424A"/>
    <w:rsid w:val="000343FE"/>
    <w:rsid w:val="00034F86"/>
    <w:rsid w:val="0003577F"/>
    <w:rsid w:val="00035AA4"/>
    <w:rsid w:val="00035AD8"/>
    <w:rsid w:val="00035D20"/>
    <w:rsid w:val="000361C4"/>
    <w:rsid w:val="000362DA"/>
    <w:rsid w:val="0003684C"/>
    <w:rsid w:val="00036A7B"/>
    <w:rsid w:val="00036CC7"/>
    <w:rsid w:val="000372B2"/>
    <w:rsid w:val="0003730D"/>
    <w:rsid w:val="000373E5"/>
    <w:rsid w:val="00037EE1"/>
    <w:rsid w:val="000401DB"/>
    <w:rsid w:val="0004077D"/>
    <w:rsid w:val="00040A4F"/>
    <w:rsid w:val="00041300"/>
    <w:rsid w:val="00041459"/>
    <w:rsid w:val="0004180C"/>
    <w:rsid w:val="00041FDA"/>
    <w:rsid w:val="000420F0"/>
    <w:rsid w:val="0004218E"/>
    <w:rsid w:val="000425D2"/>
    <w:rsid w:val="000426C4"/>
    <w:rsid w:val="00042AEA"/>
    <w:rsid w:val="00042EF7"/>
    <w:rsid w:val="00043049"/>
    <w:rsid w:val="000432E6"/>
    <w:rsid w:val="00043492"/>
    <w:rsid w:val="000439CF"/>
    <w:rsid w:val="00043ED1"/>
    <w:rsid w:val="00044374"/>
    <w:rsid w:val="000443D8"/>
    <w:rsid w:val="00044CBE"/>
    <w:rsid w:val="00044D6E"/>
    <w:rsid w:val="00045692"/>
    <w:rsid w:val="0004582B"/>
    <w:rsid w:val="0004609A"/>
    <w:rsid w:val="000460FC"/>
    <w:rsid w:val="0004626B"/>
    <w:rsid w:val="00046444"/>
    <w:rsid w:val="000464ED"/>
    <w:rsid w:val="00046A45"/>
    <w:rsid w:val="00046EFA"/>
    <w:rsid w:val="00046F9D"/>
    <w:rsid w:val="000470C0"/>
    <w:rsid w:val="000472C2"/>
    <w:rsid w:val="000476B7"/>
    <w:rsid w:val="00047B0F"/>
    <w:rsid w:val="000501ED"/>
    <w:rsid w:val="00050883"/>
    <w:rsid w:val="00050C66"/>
    <w:rsid w:val="00051760"/>
    <w:rsid w:val="00051B42"/>
    <w:rsid w:val="00051C3A"/>
    <w:rsid w:val="00052178"/>
    <w:rsid w:val="000523D2"/>
    <w:rsid w:val="00052B7F"/>
    <w:rsid w:val="000535E0"/>
    <w:rsid w:val="00053822"/>
    <w:rsid w:val="00053ACE"/>
    <w:rsid w:val="00053AF6"/>
    <w:rsid w:val="00053BA5"/>
    <w:rsid w:val="00054265"/>
    <w:rsid w:val="00054400"/>
    <w:rsid w:val="000545FC"/>
    <w:rsid w:val="00054659"/>
    <w:rsid w:val="000548BF"/>
    <w:rsid w:val="00055A2D"/>
    <w:rsid w:val="00055AC5"/>
    <w:rsid w:val="00055C15"/>
    <w:rsid w:val="00056172"/>
    <w:rsid w:val="00056499"/>
    <w:rsid w:val="00056C66"/>
    <w:rsid w:val="00056D12"/>
    <w:rsid w:val="00056D60"/>
    <w:rsid w:val="000572A3"/>
    <w:rsid w:val="000574A1"/>
    <w:rsid w:val="0005777C"/>
    <w:rsid w:val="00057C96"/>
    <w:rsid w:val="00057FB9"/>
    <w:rsid w:val="000608AD"/>
    <w:rsid w:val="00060A44"/>
    <w:rsid w:val="00060D09"/>
    <w:rsid w:val="00061392"/>
    <w:rsid w:val="000614E3"/>
    <w:rsid w:val="00062081"/>
    <w:rsid w:val="000620B2"/>
    <w:rsid w:val="00062882"/>
    <w:rsid w:val="00062FB1"/>
    <w:rsid w:val="00063777"/>
    <w:rsid w:val="00063833"/>
    <w:rsid w:val="0006386E"/>
    <w:rsid w:val="00063BA7"/>
    <w:rsid w:val="00063CD8"/>
    <w:rsid w:val="0006437E"/>
    <w:rsid w:val="00064F30"/>
    <w:rsid w:val="00065036"/>
    <w:rsid w:val="00065085"/>
    <w:rsid w:val="0006511E"/>
    <w:rsid w:val="000651BA"/>
    <w:rsid w:val="00065568"/>
    <w:rsid w:val="0006562B"/>
    <w:rsid w:val="000657F8"/>
    <w:rsid w:val="00065863"/>
    <w:rsid w:val="00065A9E"/>
    <w:rsid w:val="00065CBA"/>
    <w:rsid w:val="00065D41"/>
    <w:rsid w:val="00065E3A"/>
    <w:rsid w:val="00066059"/>
    <w:rsid w:val="00066381"/>
    <w:rsid w:val="00066852"/>
    <w:rsid w:val="00066DDC"/>
    <w:rsid w:val="00066FBB"/>
    <w:rsid w:val="000670D3"/>
    <w:rsid w:val="000675CD"/>
    <w:rsid w:val="00067B01"/>
    <w:rsid w:val="00067B16"/>
    <w:rsid w:val="00067E69"/>
    <w:rsid w:val="00070048"/>
    <w:rsid w:val="00070138"/>
    <w:rsid w:val="00070158"/>
    <w:rsid w:val="00070162"/>
    <w:rsid w:val="000702AC"/>
    <w:rsid w:val="00070365"/>
    <w:rsid w:val="00070498"/>
    <w:rsid w:val="000704FB"/>
    <w:rsid w:val="000705E2"/>
    <w:rsid w:val="000707AA"/>
    <w:rsid w:val="00070938"/>
    <w:rsid w:val="000709DD"/>
    <w:rsid w:val="00070B63"/>
    <w:rsid w:val="00070EDA"/>
    <w:rsid w:val="000711DD"/>
    <w:rsid w:val="00071492"/>
    <w:rsid w:val="000714F9"/>
    <w:rsid w:val="00071618"/>
    <w:rsid w:val="00071D46"/>
    <w:rsid w:val="00071DC8"/>
    <w:rsid w:val="00071EF7"/>
    <w:rsid w:val="000721F3"/>
    <w:rsid w:val="000721F7"/>
    <w:rsid w:val="00072309"/>
    <w:rsid w:val="00072940"/>
    <w:rsid w:val="00072BF6"/>
    <w:rsid w:val="00072D03"/>
    <w:rsid w:val="000731FA"/>
    <w:rsid w:val="00073D6D"/>
    <w:rsid w:val="00073DEC"/>
    <w:rsid w:val="00074430"/>
    <w:rsid w:val="000744DB"/>
    <w:rsid w:val="00074673"/>
    <w:rsid w:val="00074AC0"/>
    <w:rsid w:val="00074CFF"/>
    <w:rsid w:val="00074E0D"/>
    <w:rsid w:val="00075271"/>
    <w:rsid w:val="00075396"/>
    <w:rsid w:val="00075456"/>
    <w:rsid w:val="000759BC"/>
    <w:rsid w:val="00075CCF"/>
    <w:rsid w:val="00076399"/>
    <w:rsid w:val="00076714"/>
    <w:rsid w:val="000770FC"/>
    <w:rsid w:val="00077F8B"/>
    <w:rsid w:val="0008061F"/>
    <w:rsid w:val="000806A8"/>
    <w:rsid w:val="00080840"/>
    <w:rsid w:val="000808E4"/>
    <w:rsid w:val="00080CC5"/>
    <w:rsid w:val="00080E5A"/>
    <w:rsid w:val="000818CD"/>
    <w:rsid w:val="00081CA3"/>
    <w:rsid w:val="000822EC"/>
    <w:rsid w:val="0008240D"/>
    <w:rsid w:val="000824B2"/>
    <w:rsid w:val="000825DF"/>
    <w:rsid w:val="000825F6"/>
    <w:rsid w:val="000829B9"/>
    <w:rsid w:val="00082DF4"/>
    <w:rsid w:val="00082E52"/>
    <w:rsid w:val="00083243"/>
    <w:rsid w:val="00083635"/>
    <w:rsid w:val="00083740"/>
    <w:rsid w:val="00083987"/>
    <w:rsid w:val="000839AF"/>
    <w:rsid w:val="00083A29"/>
    <w:rsid w:val="00083B0D"/>
    <w:rsid w:val="0008408C"/>
    <w:rsid w:val="000840C1"/>
    <w:rsid w:val="00084559"/>
    <w:rsid w:val="000847C5"/>
    <w:rsid w:val="00084AFA"/>
    <w:rsid w:val="00084BBB"/>
    <w:rsid w:val="00084D38"/>
    <w:rsid w:val="00085103"/>
    <w:rsid w:val="00085498"/>
    <w:rsid w:val="0008587B"/>
    <w:rsid w:val="00085EE1"/>
    <w:rsid w:val="00085FFA"/>
    <w:rsid w:val="000862DE"/>
    <w:rsid w:val="00086937"/>
    <w:rsid w:val="00086CFD"/>
    <w:rsid w:val="00086D8E"/>
    <w:rsid w:val="000870B8"/>
    <w:rsid w:val="0008757D"/>
    <w:rsid w:val="00087608"/>
    <w:rsid w:val="00087D4A"/>
    <w:rsid w:val="00087F45"/>
    <w:rsid w:val="0009005D"/>
    <w:rsid w:val="000900A6"/>
    <w:rsid w:val="00090F0D"/>
    <w:rsid w:val="00090F95"/>
    <w:rsid w:val="0009104D"/>
    <w:rsid w:val="0009111B"/>
    <w:rsid w:val="00091881"/>
    <w:rsid w:val="00091EBB"/>
    <w:rsid w:val="00092230"/>
    <w:rsid w:val="000923DE"/>
    <w:rsid w:val="000924CB"/>
    <w:rsid w:val="0009251D"/>
    <w:rsid w:val="00092911"/>
    <w:rsid w:val="00092945"/>
    <w:rsid w:val="00092979"/>
    <w:rsid w:val="00092D9C"/>
    <w:rsid w:val="00093187"/>
    <w:rsid w:val="00093CD4"/>
    <w:rsid w:val="00093D9C"/>
    <w:rsid w:val="00093DE9"/>
    <w:rsid w:val="0009408F"/>
    <w:rsid w:val="00094ABA"/>
    <w:rsid w:val="00094B38"/>
    <w:rsid w:val="00094BE8"/>
    <w:rsid w:val="00094D96"/>
    <w:rsid w:val="00094E21"/>
    <w:rsid w:val="00095507"/>
    <w:rsid w:val="0009602A"/>
    <w:rsid w:val="00096759"/>
    <w:rsid w:val="00096970"/>
    <w:rsid w:val="00096A1B"/>
    <w:rsid w:val="00096B60"/>
    <w:rsid w:val="00096EFD"/>
    <w:rsid w:val="000972D7"/>
    <w:rsid w:val="0009733C"/>
    <w:rsid w:val="000979DC"/>
    <w:rsid w:val="000979E3"/>
    <w:rsid w:val="00097B14"/>
    <w:rsid w:val="00097B53"/>
    <w:rsid w:val="000A0522"/>
    <w:rsid w:val="000A0738"/>
    <w:rsid w:val="000A0827"/>
    <w:rsid w:val="000A083C"/>
    <w:rsid w:val="000A0BCB"/>
    <w:rsid w:val="000A10B5"/>
    <w:rsid w:val="000A1703"/>
    <w:rsid w:val="000A1B04"/>
    <w:rsid w:val="000A1E26"/>
    <w:rsid w:val="000A2AD4"/>
    <w:rsid w:val="000A2BCA"/>
    <w:rsid w:val="000A2CC0"/>
    <w:rsid w:val="000A2D2F"/>
    <w:rsid w:val="000A2E46"/>
    <w:rsid w:val="000A3290"/>
    <w:rsid w:val="000A3775"/>
    <w:rsid w:val="000A3B41"/>
    <w:rsid w:val="000A3C6C"/>
    <w:rsid w:val="000A3EC8"/>
    <w:rsid w:val="000A3F31"/>
    <w:rsid w:val="000A3F7E"/>
    <w:rsid w:val="000A4331"/>
    <w:rsid w:val="000A4A63"/>
    <w:rsid w:val="000A4AB5"/>
    <w:rsid w:val="000A4AC0"/>
    <w:rsid w:val="000A4DE4"/>
    <w:rsid w:val="000A4E4E"/>
    <w:rsid w:val="000A50A9"/>
    <w:rsid w:val="000A521C"/>
    <w:rsid w:val="000A5586"/>
    <w:rsid w:val="000A5B92"/>
    <w:rsid w:val="000A6105"/>
    <w:rsid w:val="000A6ABD"/>
    <w:rsid w:val="000A6C49"/>
    <w:rsid w:val="000A700C"/>
    <w:rsid w:val="000A7146"/>
    <w:rsid w:val="000A7195"/>
    <w:rsid w:val="000A7278"/>
    <w:rsid w:val="000A749B"/>
    <w:rsid w:val="000A7A1F"/>
    <w:rsid w:val="000B0378"/>
    <w:rsid w:val="000B039E"/>
    <w:rsid w:val="000B04A2"/>
    <w:rsid w:val="000B05CF"/>
    <w:rsid w:val="000B09CE"/>
    <w:rsid w:val="000B0B38"/>
    <w:rsid w:val="000B0E60"/>
    <w:rsid w:val="000B148B"/>
    <w:rsid w:val="000B1611"/>
    <w:rsid w:val="000B17ED"/>
    <w:rsid w:val="000B1831"/>
    <w:rsid w:val="000B18E8"/>
    <w:rsid w:val="000B1B30"/>
    <w:rsid w:val="000B1C63"/>
    <w:rsid w:val="000B21A9"/>
    <w:rsid w:val="000B2234"/>
    <w:rsid w:val="000B23BC"/>
    <w:rsid w:val="000B24CC"/>
    <w:rsid w:val="000B25AA"/>
    <w:rsid w:val="000B269E"/>
    <w:rsid w:val="000B2853"/>
    <w:rsid w:val="000B2AA2"/>
    <w:rsid w:val="000B2B93"/>
    <w:rsid w:val="000B2BF2"/>
    <w:rsid w:val="000B2D99"/>
    <w:rsid w:val="000B4699"/>
    <w:rsid w:val="000B4908"/>
    <w:rsid w:val="000B4E99"/>
    <w:rsid w:val="000B54E4"/>
    <w:rsid w:val="000B5611"/>
    <w:rsid w:val="000B5A7A"/>
    <w:rsid w:val="000B63AE"/>
    <w:rsid w:val="000B667C"/>
    <w:rsid w:val="000B70E8"/>
    <w:rsid w:val="000B7B6E"/>
    <w:rsid w:val="000C005A"/>
    <w:rsid w:val="000C02E0"/>
    <w:rsid w:val="000C0313"/>
    <w:rsid w:val="000C1011"/>
    <w:rsid w:val="000C1137"/>
    <w:rsid w:val="000C12E0"/>
    <w:rsid w:val="000C1335"/>
    <w:rsid w:val="000C14DE"/>
    <w:rsid w:val="000C1D28"/>
    <w:rsid w:val="000C24D2"/>
    <w:rsid w:val="000C282B"/>
    <w:rsid w:val="000C2A6F"/>
    <w:rsid w:val="000C3693"/>
    <w:rsid w:val="000C384D"/>
    <w:rsid w:val="000C48F6"/>
    <w:rsid w:val="000C4B7C"/>
    <w:rsid w:val="000C4C2C"/>
    <w:rsid w:val="000C51E6"/>
    <w:rsid w:val="000C57EF"/>
    <w:rsid w:val="000C5AE2"/>
    <w:rsid w:val="000C5C3C"/>
    <w:rsid w:val="000C60EF"/>
    <w:rsid w:val="000C6244"/>
    <w:rsid w:val="000C6537"/>
    <w:rsid w:val="000C68DA"/>
    <w:rsid w:val="000C6C3F"/>
    <w:rsid w:val="000C729D"/>
    <w:rsid w:val="000C7EA7"/>
    <w:rsid w:val="000D0309"/>
    <w:rsid w:val="000D07A3"/>
    <w:rsid w:val="000D0823"/>
    <w:rsid w:val="000D0B8D"/>
    <w:rsid w:val="000D119C"/>
    <w:rsid w:val="000D14E2"/>
    <w:rsid w:val="000D16B2"/>
    <w:rsid w:val="000D1BAD"/>
    <w:rsid w:val="000D1CD5"/>
    <w:rsid w:val="000D1DF3"/>
    <w:rsid w:val="000D21DA"/>
    <w:rsid w:val="000D223B"/>
    <w:rsid w:val="000D2B91"/>
    <w:rsid w:val="000D30BF"/>
    <w:rsid w:val="000D3B0C"/>
    <w:rsid w:val="000D43E4"/>
    <w:rsid w:val="000D45BC"/>
    <w:rsid w:val="000D489B"/>
    <w:rsid w:val="000D4A94"/>
    <w:rsid w:val="000D4D91"/>
    <w:rsid w:val="000D4D95"/>
    <w:rsid w:val="000D4EE4"/>
    <w:rsid w:val="000D5E8B"/>
    <w:rsid w:val="000D6091"/>
    <w:rsid w:val="000D6313"/>
    <w:rsid w:val="000D6ED0"/>
    <w:rsid w:val="000D706C"/>
    <w:rsid w:val="000D7263"/>
    <w:rsid w:val="000D73FF"/>
    <w:rsid w:val="000D7513"/>
    <w:rsid w:val="000D779A"/>
    <w:rsid w:val="000D7BC8"/>
    <w:rsid w:val="000E01D0"/>
    <w:rsid w:val="000E0363"/>
    <w:rsid w:val="000E0C7E"/>
    <w:rsid w:val="000E0F7C"/>
    <w:rsid w:val="000E12C2"/>
    <w:rsid w:val="000E169E"/>
    <w:rsid w:val="000E177F"/>
    <w:rsid w:val="000E1824"/>
    <w:rsid w:val="000E1E19"/>
    <w:rsid w:val="000E202C"/>
    <w:rsid w:val="000E2225"/>
    <w:rsid w:val="000E2228"/>
    <w:rsid w:val="000E2250"/>
    <w:rsid w:val="000E265E"/>
    <w:rsid w:val="000E3052"/>
    <w:rsid w:val="000E33F1"/>
    <w:rsid w:val="000E39D5"/>
    <w:rsid w:val="000E3A7F"/>
    <w:rsid w:val="000E3D00"/>
    <w:rsid w:val="000E43A4"/>
    <w:rsid w:val="000E446C"/>
    <w:rsid w:val="000E45CE"/>
    <w:rsid w:val="000E491D"/>
    <w:rsid w:val="000E4CFD"/>
    <w:rsid w:val="000E5553"/>
    <w:rsid w:val="000E55EF"/>
    <w:rsid w:val="000E56E4"/>
    <w:rsid w:val="000E5873"/>
    <w:rsid w:val="000E5B70"/>
    <w:rsid w:val="000E5CBB"/>
    <w:rsid w:val="000E66F3"/>
    <w:rsid w:val="000E73D5"/>
    <w:rsid w:val="000E744F"/>
    <w:rsid w:val="000E7E35"/>
    <w:rsid w:val="000E7E75"/>
    <w:rsid w:val="000E7F0C"/>
    <w:rsid w:val="000F0772"/>
    <w:rsid w:val="000F09F4"/>
    <w:rsid w:val="000F0B8B"/>
    <w:rsid w:val="000F0C36"/>
    <w:rsid w:val="000F0E12"/>
    <w:rsid w:val="000F10DC"/>
    <w:rsid w:val="000F12D8"/>
    <w:rsid w:val="000F194B"/>
    <w:rsid w:val="000F19AB"/>
    <w:rsid w:val="000F1C40"/>
    <w:rsid w:val="000F1C7C"/>
    <w:rsid w:val="000F1D90"/>
    <w:rsid w:val="000F313A"/>
    <w:rsid w:val="000F3297"/>
    <w:rsid w:val="000F33F8"/>
    <w:rsid w:val="000F37CA"/>
    <w:rsid w:val="000F3C78"/>
    <w:rsid w:val="000F3CFB"/>
    <w:rsid w:val="000F3D5C"/>
    <w:rsid w:val="000F441D"/>
    <w:rsid w:val="000F44FC"/>
    <w:rsid w:val="000F45BA"/>
    <w:rsid w:val="000F45FA"/>
    <w:rsid w:val="000F49F6"/>
    <w:rsid w:val="000F4A1F"/>
    <w:rsid w:val="000F4A59"/>
    <w:rsid w:val="000F50EB"/>
    <w:rsid w:val="000F529F"/>
    <w:rsid w:val="000F5C17"/>
    <w:rsid w:val="000F6252"/>
    <w:rsid w:val="000F6402"/>
    <w:rsid w:val="000F676A"/>
    <w:rsid w:val="000F728E"/>
    <w:rsid w:val="000F72EF"/>
    <w:rsid w:val="000F7AE3"/>
    <w:rsid w:val="000F7B1F"/>
    <w:rsid w:val="000F7D37"/>
    <w:rsid w:val="000F7E17"/>
    <w:rsid w:val="0010003D"/>
    <w:rsid w:val="001001E4"/>
    <w:rsid w:val="00100642"/>
    <w:rsid w:val="001008B0"/>
    <w:rsid w:val="001008F5"/>
    <w:rsid w:val="00100C86"/>
    <w:rsid w:val="00100D29"/>
    <w:rsid w:val="00100E20"/>
    <w:rsid w:val="00100EF2"/>
    <w:rsid w:val="00100F55"/>
    <w:rsid w:val="00100FAE"/>
    <w:rsid w:val="0010104D"/>
    <w:rsid w:val="00101891"/>
    <w:rsid w:val="00101B3F"/>
    <w:rsid w:val="00101F0E"/>
    <w:rsid w:val="001034C4"/>
    <w:rsid w:val="00103903"/>
    <w:rsid w:val="00104813"/>
    <w:rsid w:val="001048C2"/>
    <w:rsid w:val="00104AA6"/>
    <w:rsid w:val="00104D0F"/>
    <w:rsid w:val="00105210"/>
    <w:rsid w:val="00105267"/>
    <w:rsid w:val="001053EF"/>
    <w:rsid w:val="0010560C"/>
    <w:rsid w:val="00105884"/>
    <w:rsid w:val="00105983"/>
    <w:rsid w:val="00105D29"/>
    <w:rsid w:val="00105EE3"/>
    <w:rsid w:val="00106015"/>
    <w:rsid w:val="001063D3"/>
    <w:rsid w:val="0010666F"/>
    <w:rsid w:val="001066AA"/>
    <w:rsid w:val="001068EF"/>
    <w:rsid w:val="00106A2D"/>
    <w:rsid w:val="001071F2"/>
    <w:rsid w:val="001072AB"/>
    <w:rsid w:val="001072D1"/>
    <w:rsid w:val="0010736D"/>
    <w:rsid w:val="00107E91"/>
    <w:rsid w:val="0011043C"/>
    <w:rsid w:val="00110614"/>
    <w:rsid w:val="00110A11"/>
    <w:rsid w:val="00111739"/>
    <w:rsid w:val="001119CF"/>
    <w:rsid w:val="00111AE9"/>
    <w:rsid w:val="00111DD9"/>
    <w:rsid w:val="00112014"/>
    <w:rsid w:val="001120C3"/>
    <w:rsid w:val="00112465"/>
    <w:rsid w:val="0011274C"/>
    <w:rsid w:val="0011281D"/>
    <w:rsid w:val="00112CD8"/>
    <w:rsid w:val="001130BD"/>
    <w:rsid w:val="0011377B"/>
    <w:rsid w:val="0011393A"/>
    <w:rsid w:val="00114087"/>
    <w:rsid w:val="001140D5"/>
    <w:rsid w:val="0011440C"/>
    <w:rsid w:val="0011486D"/>
    <w:rsid w:val="00114A0A"/>
    <w:rsid w:val="00114C09"/>
    <w:rsid w:val="00114E43"/>
    <w:rsid w:val="00114FEF"/>
    <w:rsid w:val="001151FD"/>
    <w:rsid w:val="00115B2C"/>
    <w:rsid w:val="00115C4F"/>
    <w:rsid w:val="00115D48"/>
    <w:rsid w:val="00115E98"/>
    <w:rsid w:val="00116196"/>
    <w:rsid w:val="00116475"/>
    <w:rsid w:val="00116772"/>
    <w:rsid w:val="00116F53"/>
    <w:rsid w:val="00117150"/>
    <w:rsid w:val="0011778A"/>
    <w:rsid w:val="0011794C"/>
    <w:rsid w:val="00117A23"/>
    <w:rsid w:val="00117AB4"/>
    <w:rsid w:val="00117D5B"/>
    <w:rsid w:val="00117DC0"/>
    <w:rsid w:val="001201AC"/>
    <w:rsid w:val="0012069B"/>
    <w:rsid w:val="00120821"/>
    <w:rsid w:val="00120FFE"/>
    <w:rsid w:val="00121068"/>
    <w:rsid w:val="0012149B"/>
    <w:rsid w:val="00121CF7"/>
    <w:rsid w:val="00121D2C"/>
    <w:rsid w:val="00121D7C"/>
    <w:rsid w:val="001221D3"/>
    <w:rsid w:val="0012234A"/>
    <w:rsid w:val="00122453"/>
    <w:rsid w:val="0012298B"/>
    <w:rsid w:val="00122A71"/>
    <w:rsid w:val="00122C33"/>
    <w:rsid w:val="00122D28"/>
    <w:rsid w:val="00123BB5"/>
    <w:rsid w:val="00124220"/>
    <w:rsid w:val="001243F2"/>
    <w:rsid w:val="00124417"/>
    <w:rsid w:val="00124705"/>
    <w:rsid w:val="00125D23"/>
    <w:rsid w:val="00125F18"/>
    <w:rsid w:val="00125F87"/>
    <w:rsid w:val="0012602A"/>
    <w:rsid w:val="00126516"/>
    <w:rsid w:val="00126717"/>
    <w:rsid w:val="00126B56"/>
    <w:rsid w:val="00126CA0"/>
    <w:rsid w:val="0012725E"/>
    <w:rsid w:val="00127440"/>
    <w:rsid w:val="001274DE"/>
    <w:rsid w:val="00127504"/>
    <w:rsid w:val="00127B24"/>
    <w:rsid w:val="00127B2F"/>
    <w:rsid w:val="00130087"/>
    <w:rsid w:val="001300CE"/>
    <w:rsid w:val="00130159"/>
    <w:rsid w:val="001301BE"/>
    <w:rsid w:val="0013032F"/>
    <w:rsid w:val="00130507"/>
    <w:rsid w:val="001307E3"/>
    <w:rsid w:val="00130C4D"/>
    <w:rsid w:val="00130FB8"/>
    <w:rsid w:val="0013151F"/>
    <w:rsid w:val="00131BF1"/>
    <w:rsid w:val="0013207E"/>
    <w:rsid w:val="00132380"/>
    <w:rsid w:val="001325F2"/>
    <w:rsid w:val="00132868"/>
    <w:rsid w:val="0013293B"/>
    <w:rsid w:val="00132DCF"/>
    <w:rsid w:val="00133058"/>
    <w:rsid w:val="001332D5"/>
    <w:rsid w:val="0013340C"/>
    <w:rsid w:val="001334D1"/>
    <w:rsid w:val="00133764"/>
    <w:rsid w:val="00133989"/>
    <w:rsid w:val="00133A2F"/>
    <w:rsid w:val="0013413A"/>
    <w:rsid w:val="0013456C"/>
    <w:rsid w:val="001345EB"/>
    <w:rsid w:val="00134721"/>
    <w:rsid w:val="0013477A"/>
    <w:rsid w:val="00134859"/>
    <w:rsid w:val="00134A89"/>
    <w:rsid w:val="00134D5D"/>
    <w:rsid w:val="00134F02"/>
    <w:rsid w:val="00134FA8"/>
    <w:rsid w:val="001354FB"/>
    <w:rsid w:val="00135B70"/>
    <w:rsid w:val="00135E92"/>
    <w:rsid w:val="00135FD5"/>
    <w:rsid w:val="001360EB"/>
    <w:rsid w:val="00137334"/>
    <w:rsid w:val="00137F59"/>
    <w:rsid w:val="00140252"/>
    <w:rsid w:val="00140547"/>
    <w:rsid w:val="00140761"/>
    <w:rsid w:val="00140AB5"/>
    <w:rsid w:val="00140AE6"/>
    <w:rsid w:val="00140B34"/>
    <w:rsid w:val="00140CF2"/>
    <w:rsid w:val="0014120F"/>
    <w:rsid w:val="00141545"/>
    <w:rsid w:val="001415AC"/>
    <w:rsid w:val="00141919"/>
    <w:rsid w:val="00142293"/>
    <w:rsid w:val="00142310"/>
    <w:rsid w:val="00142625"/>
    <w:rsid w:val="001426AA"/>
    <w:rsid w:val="00142B32"/>
    <w:rsid w:val="00142CD7"/>
    <w:rsid w:val="00142E0C"/>
    <w:rsid w:val="00143124"/>
    <w:rsid w:val="0014325A"/>
    <w:rsid w:val="001438E2"/>
    <w:rsid w:val="00143B7E"/>
    <w:rsid w:val="00143F68"/>
    <w:rsid w:val="00144003"/>
    <w:rsid w:val="0014419C"/>
    <w:rsid w:val="001441B0"/>
    <w:rsid w:val="001441BF"/>
    <w:rsid w:val="001441DE"/>
    <w:rsid w:val="00144236"/>
    <w:rsid w:val="001445E5"/>
    <w:rsid w:val="00144B53"/>
    <w:rsid w:val="00144BCC"/>
    <w:rsid w:val="00144DDC"/>
    <w:rsid w:val="0014518B"/>
    <w:rsid w:val="0014557C"/>
    <w:rsid w:val="0014576F"/>
    <w:rsid w:val="00146054"/>
    <w:rsid w:val="00146431"/>
    <w:rsid w:val="00146788"/>
    <w:rsid w:val="001468CC"/>
    <w:rsid w:val="00146D4C"/>
    <w:rsid w:val="00146DCE"/>
    <w:rsid w:val="00147019"/>
    <w:rsid w:val="001474EE"/>
    <w:rsid w:val="0014786A"/>
    <w:rsid w:val="00147AFB"/>
    <w:rsid w:val="00147DBE"/>
    <w:rsid w:val="00147E0D"/>
    <w:rsid w:val="00147F1F"/>
    <w:rsid w:val="0015000E"/>
    <w:rsid w:val="00150093"/>
    <w:rsid w:val="001501CD"/>
    <w:rsid w:val="001501F9"/>
    <w:rsid w:val="00150638"/>
    <w:rsid w:val="00150F23"/>
    <w:rsid w:val="00150F97"/>
    <w:rsid w:val="0015103D"/>
    <w:rsid w:val="00151232"/>
    <w:rsid w:val="00151431"/>
    <w:rsid w:val="00151632"/>
    <w:rsid w:val="00151F2F"/>
    <w:rsid w:val="0015224D"/>
    <w:rsid w:val="0015251B"/>
    <w:rsid w:val="001535C4"/>
    <w:rsid w:val="001536B6"/>
    <w:rsid w:val="00153AFC"/>
    <w:rsid w:val="001541B5"/>
    <w:rsid w:val="001541ED"/>
    <w:rsid w:val="00154D0A"/>
    <w:rsid w:val="001550EA"/>
    <w:rsid w:val="00155BD1"/>
    <w:rsid w:val="00155C6A"/>
    <w:rsid w:val="001560DD"/>
    <w:rsid w:val="00156290"/>
    <w:rsid w:val="0015663C"/>
    <w:rsid w:val="00156787"/>
    <w:rsid w:val="0015687F"/>
    <w:rsid w:val="00156C6C"/>
    <w:rsid w:val="0015724C"/>
    <w:rsid w:val="001578F6"/>
    <w:rsid w:val="0015792C"/>
    <w:rsid w:val="00157E94"/>
    <w:rsid w:val="00157F97"/>
    <w:rsid w:val="001602AF"/>
    <w:rsid w:val="001602E5"/>
    <w:rsid w:val="00160432"/>
    <w:rsid w:val="00160881"/>
    <w:rsid w:val="001609E6"/>
    <w:rsid w:val="001609FD"/>
    <w:rsid w:val="00160A06"/>
    <w:rsid w:val="00160EEE"/>
    <w:rsid w:val="001610DD"/>
    <w:rsid w:val="00161449"/>
    <w:rsid w:val="001618DC"/>
    <w:rsid w:val="00161B4E"/>
    <w:rsid w:val="00161C81"/>
    <w:rsid w:val="00161C82"/>
    <w:rsid w:val="001626F0"/>
    <w:rsid w:val="001629A8"/>
    <w:rsid w:val="001630B9"/>
    <w:rsid w:val="00163270"/>
    <w:rsid w:val="001635CC"/>
    <w:rsid w:val="00163D94"/>
    <w:rsid w:val="00163F70"/>
    <w:rsid w:val="0016404B"/>
    <w:rsid w:val="001641B5"/>
    <w:rsid w:val="0016452C"/>
    <w:rsid w:val="00164753"/>
    <w:rsid w:val="00164D92"/>
    <w:rsid w:val="00164E5E"/>
    <w:rsid w:val="001655CD"/>
    <w:rsid w:val="00165ADE"/>
    <w:rsid w:val="00165D78"/>
    <w:rsid w:val="00166426"/>
    <w:rsid w:val="001667ED"/>
    <w:rsid w:val="00166A4A"/>
    <w:rsid w:val="00166A8F"/>
    <w:rsid w:val="00166BB0"/>
    <w:rsid w:val="00166C66"/>
    <w:rsid w:val="00167555"/>
    <w:rsid w:val="00167BEB"/>
    <w:rsid w:val="00167DB9"/>
    <w:rsid w:val="001700B5"/>
    <w:rsid w:val="00170782"/>
    <w:rsid w:val="001709D5"/>
    <w:rsid w:val="00170E07"/>
    <w:rsid w:val="00170EBD"/>
    <w:rsid w:val="001711CF"/>
    <w:rsid w:val="00171286"/>
    <w:rsid w:val="001712B3"/>
    <w:rsid w:val="00171570"/>
    <w:rsid w:val="001717FD"/>
    <w:rsid w:val="001718AC"/>
    <w:rsid w:val="00171926"/>
    <w:rsid w:val="00171970"/>
    <w:rsid w:val="00171A2C"/>
    <w:rsid w:val="00171A69"/>
    <w:rsid w:val="00171D37"/>
    <w:rsid w:val="00171E54"/>
    <w:rsid w:val="00172126"/>
    <w:rsid w:val="0017214E"/>
    <w:rsid w:val="00172343"/>
    <w:rsid w:val="001729DB"/>
    <w:rsid w:val="00172CE8"/>
    <w:rsid w:val="001736F9"/>
    <w:rsid w:val="001737DF"/>
    <w:rsid w:val="00173956"/>
    <w:rsid w:val="00173E8A"/>
    <w:rsid w:val="00173ED9"/>
    <w:rsid w:val="00174489"/>
    <w:rsid w:val="00174588"/>
    <w:rsid w:val="00174887"/>
    <w:rsid w:val="00174E97"/>
    <w:rsid w:val="00175201"/>
    <w:rsid w:val="0017520C"/>
    <w:rsid w:val="0017543C"/>
    <w:rsid w:val="00175471"/>
    <w:rsid w:val="001754E7"/>
    <w:rsid w:val="00175D19"/>
    <w:rsid w:val="00176104"/>
    <w:rsid w:val="00176729"/>
    <w:rsid w:val="001767DD"/>
    <w:rsid w:val="001768D4"/>
    <w:rsid w:val="00176903"/>
    <w:rsid w:val="00176930"/>
    <w:rsid w:val="001770CC"/>
    <w:rsid w:val="001770DD"/>
    <w:rsid w:val="001772C8"/>
    <w:rsid w:val="00177AE1"/>
    <w:rsid w:val="00177BEB"/>
    <w:rsid w:val="001800F8"/>
    <w:rsid w:val="0018030B"/>
    <w:rsid w:val="00180611"/>
    <w:rsid w:val="00180995"/>
    <w:rsid w:val="00180A87"/>
    <w:rsid w:val="00180AA1"/>
    <w:rsid w:val="00180B08"/>
    <w:rsid w:val="00181495"/>
    <w:rsid w:val="0018161B"/>
    <w:rsid w:val="00181DFF"/>
    <w:rsid w:val="00181E19"/>
    <w:rsid w:val="0018209D"/>
    <w:rsid w:val="00182331"/>
    <w:rsid w:val="001825FA"/>
    <w:rsid w:val="001827B3"/>
    <w:rsid w:val="00182BC3"/>
    <w:rsid w:val="00183148"/>
    <w:rsid w:val="00183B0B"/>
    <w:rsid w:val="00183CB1"/>
    <w:rsid w:val="00184329"/>
    <w:rsid w:val="00184638"/>
    <w:rsid w:val="0018469E"/>
    <w:rsid w:val="001846F7"/>
    <w:rsid w:val="001848AF"/>
    <w:rsid w:val="00184A14"/>
    <w:rsid w:val="00184ECF"/>
    <w:rsid w:val="001850A9"/>
    <w:rsid w:val="0018589D"/>
    <w:rsid w:val="001859E9"/>
    <w:rsid w:val="00185C99"/>
    <w:rsid w:val="00186062"/>
    <w:rsid w:val="001860EF"/>
    <w:rsid w:val="00186BF1"/>
    <w:rsid w:val="001873BE"/>
    <w:rsid w:val="0018760B"/>
    <w:rsid w:val="001877DA"/>
    <w:rsid w:val="00187BC3"/>
    <w:rsid w:val="001901CA"/>
    <w:rsid w:val="001901F7"/>
    <w:rsid w:val="00190236"/>
    <w:rsid w:val="0019065B"/>
    <w:rsid w:val="001907FD"/>
    <w:rsid w:val="00190B8B"/>
    <w:rsid w:val="00190E9B"/>
    <w:rsid w:val="00191572"/>
    <w:rsid w:val="001917A1"/>
    <w:rsid w:val="00191821"/>
    <w:rsid w:val="00191FD9"/>
    <w:rsid w:val="00192347"/>
    <w:rsid w:val="001925D1"/>
    <w:rsid w:val="00192E39"/>
    <w:rsid w:val="001935EC"/>
    <w:rsid w:val="00193C93"/>
    <w:rsid w:val="00193D21"/>
    <w:rsid w:val="00193D66"/>
    <w:rsid w:val="00193DBA"/>
    <w:rsid w:val="00193E73"/>
    <w:rsid w:val="00193ED3"/>
    <w:rsid w:val="00194210"/>
    <w:rsid w:val="00194300"/>
    <w:rsid w:val="001943A4"/>
    <w:rsid w:val="00194F19"/>
    <w:rsid w:val="00195434"/>
    <w:rsid w:val="00195AA7"/>
    <w:rsid w:val="00195B50"/>
    <w:rsid w:val="00195B7D"/>
    <w:rsid w:val="00195EB0"/>
    <w:rsid w:val="00196071"/>
    <w:rsid w:val="001965E9"/>
    <w:rsid w:val="001969E2"/>
    <w:rsid w:val="00196AF0"/>
    <w:rsid w:val="00196CD4"/>
    <w:rsid w:val="00196DC1"/>
    <w:rsid w:val="00196E0A"/>
    <w:rsid w:val="00196F32"/>
    <w:rsid w:val="0019728B"/>
    <w:rsid w:val="00197630"/>
    <w:rsid w:val="001977EE"/>
    <w:rsid w:val="001A0014"/>
    <w:rsid w:val="001A03CB"/>
    <w:rsid w:val="001A08DA"/>
    <w:rsid w:val="001A0967"/>
    <w:rsid w:val="001A0BB2"/>
    <w:rsid w:val="001A0E27"/>
    <w:rsid w:val="001A1243"/>
    <w:rsid w:val="001A13A4"/>
    <w:rsid w:val="001A141D"/>
    <w:rsid w:val="001A14AC"/>
    <w:rsid w:val="001A1A1C"/>
    <w:rsid w:val="001A1A7C"/>
    <w:rsid w:val="001A1B5D"/>
    <w:rsid w:val="001A1C53"/>
    <w:rsid w:val="001A1C70"/>
    <w:rsid w:val="001A1CAE"/>
    <w:rsid w:val="001A1CBD"/>
    <w:rsid w:val="001A1F7B"/>
    <w:rsid w:val="001A2494"/>
    <w:rsid w:val="001A2695"/>
    <w:rsid w:val="001A2A3F"/>
    <w:rsid w:val="001A2E33"/>
    <w:rsid w:val="001A3137"/>
    <w:rsid w:val="001A31D5"/>
    <w:rsid w:val="001A335C"/>
    <w:rsid w:val="001A3398"/>
    <w:rsid w:val="001A3731"/>
    <w:rsid w:val="001A3868"/>
    <w:rsid w:val="001A3B2D"/>
    <w:rsid w:val="001A3F3E"/>
    <w:rsid w:val="001A422F"/>
    <w:rsid w:val="001A42D2"/>
    <w:rsid w:val="001A43FA"/>
    <w:rsid w:val="001A4499"/>
    <w:rsid w:val="001A4914"/>
    <w:rsid w:val="001A4EA2"/>
    <w:rsid w:val="001A5615"/>
    <w:rsid w:val="001A566A"/>
    <w:rsid w:val="001A62DA"/>
    <w:rsid w:val="001A6A18"/>
    <w:rsid w:val="001A6D0E"/>
    <w:rsid w:val="001A6E4D"/>
    <w:rsid w:val="001A7036"/>
    <w:rsid w:val="001A73E2"/>
    <w:rsid w:val="001A746A"/>
    <w:rsid w:val="001A760D"/>
    <w:rsid w:val="001A7800"/>
    <w:rsid w:val="001A7823"/>
    <w:rsid w:val="001A7A09"/>
    <w:rsid w:val="001A7A1E"/>
    <w:rsid w:val="001A7C58"/>
    <w:rsid w:val="001B04F9"/>
    <w:rsid w:val="001B0650"/>
    <w:rsid w:val="001B0AA9"/>
    <w:rsid w:val="001B0CF3"/>
    <w:rsid w:val="001B0E85"/>
    <w:rsid w:val="001B10BE"/>
    <w:rsid w:val="001B11AB"/>
    <w:rsid w:val="001B13AE"/>
    <w:rsid w:val="001B13B5"/>
    <w:rsid w:val="001B1483"/>
    <w:rsid w:val="001B1A0F"/>
    <w:rsid w:val="001B1AF0"/>
    <w:rsid w:val="001B1F52"/>
    <w:rsid w:val="001B1F9F"/>
    <w:rsid w:val="001B202E"/>
    <w:rsid w:val="001B23B0"/>
    <w:rsid w:val="001B23CA"/>
    <w:rsid w:val="001B24CD"/>
    <w:rsid w:val="001B2AB6"/>
    <w:rsid w:val="001B2C55"/>
    <w:rsid w:val="001B2DAD"/>
    <w:rsid w:val="001B2DB1"/>
    <w:rsid w:val="001B2DBD"/>
    <w:rsid w:val="001B330A"/>
    <w:rsid w:val="001B37E3"/>
    <w:rsid w:val="001B418D"/>
    <w:rsid w:val="001B4489"/>
    <w:rsid w:val="001B4A19"/>
    <w:rsid w:val="001B4E9D"/>
    <w:rsid w:val="001B5083"/>
    <w:rsid w:val="001B51DB"/>
    <w:rsid w:val="001B5551"/>
    <w:rsid w:val="001B57F7"/>
    <w:rsid w:val="001B5B1D"/>
    <w:rsid w:val="001B626A"/>
    <w:rsid w:val="001B62DA"/>
    <w:rsid w:val="001B6604"/>
    <w:rsid w:val="001B67EF"/>
    <w:rsid w:val="001B691E"/>
    <w:rsid w:val="001B69B9"/>
    <w:rsid w:val="001B6B3D"/>
    <w:rsid w:val="001B6C40"/>
    <w:rsid w:val="001B73E4"/>
    <w:rsid w:val="001B74DD"/>
    <w:rsid w:val="001B7722"/>
    <w:rsid w:val="001B7BEB"/>
    <w:rsid w:val="001B7EFA"/>
    <w:rsid w:val="001B7F18"/>
    <w:rsid w:val="001C0340"/>
    <w:rsid w:val="001C072E"/>
    <w:rsid w:val="001C079B"/>
    <w:rsid w:val="001C07A5"/>
    <w:rsid w:val="001C0BB7"/>
    <w:rsid w:val="001C0BBD"/>
    <w:rsid w:val="001C0D80"/>
    <w:rsid w:val="001C1444"/>
    <w:rsid w:val="001C165B"/>
    <w:rsid w:val="001C1928"/>
    <w:rsid w:val="001C1EE0"/>
    <w:rsid w:val="001C23A2"/>
    <w:rsid w:val="001C23F2"/>
    <w:rsid w:val="001C2985"/>
    <w:rsid w:val="001C2C45"/>
    <w:rsid w:val="001C2E6F"/>
    <w:rsid w:val="001C2E70"/>
    <w:rsid w:val="001C30AF"/>
    <w:rsid w:val="001C30DE"/>
    <w:rsid w:val="001C3350"/>
    <w:rsid w:val="001C351E"/>
    <w:rsid w:val="001C3670"/>
    <w:rsid w:val="001C38E8"/>
    <w:rsid w:val="001C3A4E"/>
    <w:rsid w:val="001C3B16"/>
    <w:rsid w:val="001C3E61"/>
    <w:rsid w:val="001C3EE5"/>
    <w:rsid w:val="001C4008"/>
    <w:rsid w:val="001C4261"/>
    <w:rsid w:val="001C44FB"/>
    <w:rsid w:val="001C4ACE"/>
    <w:rsid w:val="001C4FBD"/>
    <w:rsid w:val="001C5966"/>
    <w:rsid w:val="001C5AA3"/>
    <w:rsid w:val="001C5CD2"/>
    <w:rsid w:val="001C5EC6"/>
    <w:rsid w:val="001C61C8"/>
    <w:rsid w:val="001C6476"/>
    <w:rsid w:val="001C6521"/>
    <w:rsid w:val="001C6AF3"/>
    <w:rsid w:val="001C6DA5"/>
    <w:rsid w:val="001C729D"/>
    <w:rsid w:val="001C79F7"/>
    <w:rsid w:val="001C7EA0"/>
    <w:rsid w:val="001D0410"/>
    <w:rsid w:val="001D1464"/>
    <w:rsid w:val="001D148C"/>
    <w:rsid w:val="001D1542"/>
    <w:rsid w:val="001D1A6D"/>
    <w:rsid w:val="001D262B"/>
    <w:rsid w:val="001D28C3"/>
    <w:rsid w:val="001D2A14"/>
    <w:rsid w:val="001D2AE3"/>
    <w:rsid w:val="001D2D3E"/>
    <w:rsid w:val="001D2F6A"/>
    <w:rsid w:val="001D3782"/>
    <w:rsid w:val="001D40DD"/>
    <w:rsid w:val="001D4118"/>
    <w:rsid w:val="001D445B"/>
    <w:rsid w:val="001D47A0"/>
    <w:rsid w:val="001D4970"/>
    <w:rsid w:val="001D5059"/>
    <w:rsid w:val="001D51A5"/>
    <w:rsid w:val="001D52F7"/>
    <w:rsid w:val="001D5547"/>
    <w:rsid w:val="001D5749"/>
    <w:rsid w:val="001D5B56"/>
    <w:rsid w:val="001D5BC9"/>
    <w:rsid w:val="001D5FAF"/>
    <w:rsid w:val="001D5FC6"/>
    <w:rsid w:val="001D60BE"/>
    <w:rsid w:val="001D6301"/>
    <w:rsid w:val="001D63D7"/>
    <w:rsid w:val="001D6D0F"/>
    <w:rsid w:val="001D6F87"/>
    <w:rsid w:val="001D6F93"/>
    <w:rsid w:val="001D72C2"/>
    <w:rsid w:val="001D784F"/>
    <w:rsid w:val="001D79EE"/>
    <w:rsid w:val="001D7C6C"/>
    <w:rsid w:val="001E069B"/>
    <w:rsid w:val="001E06DD"/>
    <w:rsid w:val="001E0C76"/>
    <w:rsid w:val="001E1082"/>
    <w:rsid w:val="001E142A"/>
    <w:rsid w:val="001E1571"/>
    <w:rsid w:val="001E1B8F"/>
    <w:rsid w:val="001E1EA4"/>
    <w:rsid w:val="001E22E3"/>
    <w:rsid w:val="001E28FC"/>
    <w:rsid w:val="001E2C39"/>
    <w:rsid w:val="001E35FE"/>
    <w:rsid w:val="001E3EDF"/>
    <w:rsid w:val="001E4083"/>
    <w:rsid w:val="001E4203"/>
    <w:rsid w:val="001E442F"/>
    <w:rsid w:val="001E48F5"/>
    <w:rsid w:val="001E49FF"/>
    <w:rsid w:val="001E5493"/>
    <w:rsid w:val="001E557F"/>
    <w:rsid w:val="001E56DF"/>
    <w:rsid w:val="001E5856"/>
    <w:rsid w:val="001E5B0F"/>
    <w:rsid w:val="001E5B3A"/>
    <w:rsid w:val="001E6245"/>
    <w:rsid w:val="001E6EC0"/>
    <w:rsid w:val="001E70CE"/>
    <w:rsid w:val="001E7334"/>
    <w:rsid w:val="001E7564"/>
    <w:rsid w:val="001E76FF"/>
    <w:rsid w:val="001E79E1"/>
    <w:rsid w:val="001E7C95"/>
    <w:rsid w:val="001F01C9"/>
    <w:rsid w:val="001F03E6"/>
    <w:rsid w:val="001F045D"/>
    <w:rsid w:val="001F04D4"/>
    <w:rsid w:val="001F05E7"/>
    <w:rsid w:val="001F0A32"/>
    <w:rsid w:val="001F0A39"/>
    <w:rsid w:val="001F0CCF"/>
    <w:rsid w:val="001F0EDB"/>
    <w:rsid w:val="001F10F0"/>
    <w:rsid w:val="001F14EC"/>
    <w:rsid w:val="001F1A2B"/>
    <w:rsid w:val="001F1A46"/>
    <w:rsid w:val="001F1E89"/>
    <w:rsid w:val="001F1EE3"/>
    <w:rsid w:val="001F2053"/>
    <w:rsid w:val="001F222A"/>
    <w:rsid w:val="001F2290"/>
    <w:rsid w:val="001F3CC8"/>
    <w:rsid w:val="001F3DBF"/>
    <w:rsid w:val="001F412E"/>
    <w:rsid w:val="001F4281"/>
    <w:rsid w:val="001F4D02"/>
    <w:rsid w:val="001F4E0E"/>
    <w:rsid w:val="001F5671"/>
    <w:rsid w:val="001F5C7F"/>
    <w:rsid w:val="001F5F98"/>
    <w:rsid w:val="001F6550"/>
    <w:rsid w:val="001F65B8"/>
    <w:rsid w:val="001F664B"/>
    <w:rsid w:val="001F6885"/>
    <w:rsid w:val="001F6ACE"/>
    <w:rsid w:val="001F6B90"/>
    <w:rsid w:val="001F6EA1"/>
    <w:rsid w:val="001F7680"/>
    <w:rsid w:val="001F77B0"/>
    <w:rsid w:val="001F78C4"/>
    <w:rsid w:val="001F79E4"/>
    <w:rsid w:val="001F7ABC"/>
    <w:rsid w:val="001F7B8D"/>
    <w:rsid w:val="001F7C34"/>
    <w:rsid w:val="0020040D"/>
    <w:rsid w:val="00200B45"/>
    <w:rsid w:val="00200B74"/>
    <w:rsid w:val="00200E3E"/>
    <w:rsid w:val="002011B1"/>
    <w:rsid w:val="0020158E"/>
    <w:rsid w:val="002016F2"/>
    <w:rsid w:val="0020174D"/>
    <w:rsid w:val="00201D4C"/>
    <w:rsid w:val="002025E5"/>
    <w:rsid w:val="0020292D"/>
    <w:rsid w:val="00202946"/>
    <w:rsid w:val="00202DC0"/>
    <w:rsid w:val="00203641"/>
    <w:rsid w:val="002037B5"/>
    <w:rsid w:val="002040C7"/>
    <w:rsid w:val="00204193"/>
    <w:rsid w:val="0020433C"/>
    <w:rsid w:val="00204572"/>
    <w:rsid w:val="0020491A"/>
    <w:rsid w:val="00204A30"/>
    <w:rsid w:val="00204E55"/>
    <w:rsid w:val="00204EDD"/>
    <w:rsid w:val="002050E0"/>
    <w:rsid w:val="002051B8"/>
    <w:rsid w:val="002051D5"/>
    <w:rsid w:val="00205266"/>
    <w:rsid w:val="0020556C"/>
    <w:rsid w:val="002056B5"/>
    <w:rsid w:val="00205A37"/>
    <w:rsid w:val="00205A3C"/>
    <w:rsid w:val="00205C24"/>
    <w:rsid w:val="00205D48"/>
    <w:rsid w:val="00205F05"/>
    <w:rsid w:val="00205FB6"/>
    <w:rsid w:val="00206169"/>
    <w:rsid w:val="002064CB"/>
    <w:rsid w:val="002067BB"/>
    <w:rsid w:val="00207151"/>
    <w:rsid w:val="00207173"/>
    <w:rsid w:val="0020778A"/>
    <w:rsid w:val="00207946"/>
    <w:rsid w:val="00207B43"/>
    <w:rsid w:val="00207EAC"/>
    <w:rsid w:val="00207EBD"/>
    <w:rsid w:val="00210144"/>
    <w:rsid w:val="0021065A"/>
    <w:rsid w:val="002108B5"/>
    <w:rsid w:val="00210C14"/>
    <w:rsid w:val="00210D09"/>
    <w:rsid w:val="00211211"/>
    <w:rsid w:val="002113E1"/>
    <w:rsid w:val="0021186E"/>
    <w:rsid w:val="00211D72"/>
    <w:rsid w:val="00211DF0"/>
    <w:rsid w:val="00211EF8"/>
    <w:rsid w:val="00212097"/>
    <w:rsid w:val="0021267E"/>
    <w:rsid w:val="00212969"/>
    <w:rsid w:val="00212AB2"/>
    <w:rsid w:val="002130CE"/>
    <w:rsid w:val="002134CD"/>
    <w:rsid w:val="00213A9D"/>
    <w:rsid w:val="00213E93"/>
    <w:rsid w:val="00213F7C"/>
    <w:rsid w:val="00213FE5"/>
    <w:rsid w:val="002142B4"/>
    <w:rsid w:val="0021450E"/>
    <w:rsid w:val="002146CD"/>
    <w:rsid w:val="0021478A"/>
    <w:rsid w:val="002147B4"/>
    <w:rsid w:val="002147BF"/>
    <w:rsid w:val="00214E7B"/>
    <w:rsid w:val="002150FB"/>
    <w:rsid w:val="0021543E"/>
    <w:rsid w:val="0021554F"/>
    <w:rsid w:val="002155FA"/>
    <w:rsid w:val="00215764"/>
    <w:rsid w:val="002158D4"/>
    <w:rsid w:val="00215F08"/>
    <w:rsid w:val="00215F70"/>
    <w:rsid w:val="00216087"/>
    <w:rsid w:val="0021639F"/>
    <w:rsid w:val="00216434"/>
    <w:rsid w:val="00216995"/>
    <w:rsid w:val="00216D79"/>
    <w:rsid w:val="00217673"/>
    <w:rsid w:val="0021782A"/>
    <w:rsid w:val="002178AE"/>
    <w:rsid w:val="0021793B"/>
    <w:rsid w:val="00217AC9"/>
    <w:rsid w:val="00220050"/>
    <w:rsid w:val="0022039F"/>
    <w:rsid w:val="0022041B"/>
    <w:rsid w:val="002208E9"/>
    <w:rsid w:val="002209A1"/>
    <w:rsid w:val="00220BA6"/>
    <w:rsid w:val="00220D04"/>
    <w:rsid w:val="00220D7A"/>
    <w:rsid w:val="002212B2"/>
    <w:rsid w:val="002219CC"/>
    <w:rsid w:val="00221AFA"/>
    <w:rsid w:val="00221B30"/>
    <w:rsid w:val="00221EE6"/>
    <w:rsid w:val="00222180"/>
    <w:rsid w:val="0022222A"/>
    <w:rsid w:val="002222CF"/>
    <w:rsid w:val="002223B9"/>
    <w:rsid w:val="002224C4"/>
    <w:rsid w:val="00222599"/>
    <w:rsid w:val="002226C3"/>
    <w:rsid w:val="00222711"/>
    <w:rsid w:val="00222A26"/>
    <w:rsid w:val="00222AF7"/>
    <w:rsid w:val="00222B14"/>
    <w:rsid w:val="00222B69"/>
    <w:rsid w:val="00222B79"/>
    <w:rsid w:val="00222F13"/>
    <w:rsid w:val="002231F1"/>
    <w:rsid w:val="0022357B"/>
    <w:rsid w:val="00223910"/>
    <w:rsid w:val="00223A4F"/>
    <w:rsid w:val="00223AAC"/>
    <w:rsid w:val="00223C79"/>
    <w:rsid w:val="00223CAA"/>
    <w:rsid w:val="00223E43"/>
    <w:rsid w:val="00224047"/>
    <w:rsid w:val="002244E1"/>
    <w:rsid w:val="0022462D"/>
    <w:rsid w:val="00224962"/>
    <w:rsid w:val="002252A6"/>
    <w:rsid w:val="002253AB"/>
    <w:rsid w:val="00225A01"/>
    <w:rsid w:val="00225CC6"/>
    <w:rsid w:val="002260F9"/>
    <w:rsid w:val="0022618D"/>
    <w:rsid w:val="0022633E"/>
    <w:rsid w:val="002265E3"/>
    <w:rsid w:val="00226783"/>
    <w:rsid w:val="00226D01"/>
    <w:rsid w:val="0022742E"/>
    <w:rsid w:val="00227C22"/>
    <w:rsid w:val="00227CDA"/>
    <w:rsid w:val="00230374"/>
    <w:rsid w:val="00230A30"/>
    <w:rsid w:val="00230BA4"/>
    <w:rsid w:val="00230CBF"/>
    <w:rsid w:val="00230EE7"/>
    <w:rsid w:val="00231A64"/>
    <w:rsid w:val="0023239C"/>
    <w:rsid w:val="00232515"/>
    <w:rsid w:val="00232560"/>
    <w:rsid w:val="002326F2"/>
    <w:rsid w:val="00232A60"/>
    <w:rsid w:val="00232AFE"/>
    <w:rsid w:val="00232B91"/>
    <w:rsid w:val="0023318B"/>
    <w:rsid w:val="0023324A"/>
    <w:rsid w:val="00233469"/>
    <w:rsid w:val="00233474"/>
    <w:rsid w:val="002336D2"/>
    <w:rsid w:val="002337B9"/>
    <w:rsid w:val="00233ADE"/>
    <w:rsid w:val="00233C1D"/>
    <w:rsid w:val="00233EBC"/>
    <w:rsid w:val="00233F78"/>
    <w:rsid w:val="00234C11"/>
    <w:rsid w:val="00234FDA"/>
    <w:rsid w:val="002356EC"/>
    <w:rsid w:val="0023587F"/>
    <w:rsid w:val="00235B15"/>
    <w:rsid w:val="00235FB9"/>
    <w:rsid w:val="002362F4"/>
    <w:rsid w:val="002367A4"/>
    <w:rsid w:val="00236B54"/>
    <w:rsid w:val="00236B83"/>
    <w:rsid w:val="00237285"/>
    <w:rsid w:val="002372B0"/>
    <w:rsid w:val="0023761A"/>
    <w:rsid w:val="002402A4"/>
    <w:rsid w:val="00240380"/>
    <w:rsid w:val="0024039C"/>
    <w:rsid w:val="00240436"/>
    <w:rsid w:val="00240F09"/>
    <w:rsid w:val="00241151"/>
    <w:rsid w:val="002413D2"/>
    <w:rsid w:val="00241685"/>
    <w:rsid w:val="0024198F"/>
    <w:rsid w:val="00241D40"/>
    <w:rsid w:val="00241E97"/>
    <w:rsid w:val="00241ED7"/>
    <w:rsid w:val="00241EF6"/>
    <w:rsid w:val="00242844"/>
    <w:rsid w:val="00242960"/>
    <w:rsid w:val="00242D00"/>
    <w:rsid w:val="00242DE6"/>
    <w:rsid w:val="00242F1A"/>
    <w:rsid w:val="002431C4"/>
    <w:rsid w:val="002432F2"/>
    <w:rsid w:val="002436EA"/>
    <w:rsid w:val="002436F7"/>
    <w:rsid w:val="00243BB9"/>
    <w:rsid w:val="00243C05"/>
    <w:rsid w:val="0024489A"/>
    <w:rsid w:val="00244C9C"/>
    <w:rsid w:val="00244D25"/>
    <w:rsid w:val="00244FDE"/>
    <w:rsid w:val="002453BD"/>
    <w:rsid w:val="00245CFC"/>
    <w:rsid w:val="00245DAA"/>
    <w:rsid w:val="00245FF8"/>
    <w:rsid w:val="002461BA"/>
    <w:rsid w:val="002461C2"/>
    <w:rsid w:val="0024648F"/>
    <w:rsid w:val="0024669A"/>
    <w:rsid w:val="00246994"/>
    <w:rsid w:val="00246C36"/>
    <w:rsid w:val="00246F58"/>
    <w:rsid w:val="002475A2"/>
    <w:rsid w:val="002476E1"/>
    <w:rsid w:val="00247807"/>
    <w:rsid w:val="00247CB2"/>
    <w:rsid w:val="00247E37"/>
    <w:rsid w:val="00247F6B"/>
    <w:rsid w:val="002505CA"/>
    <w:rsid w:val="00250AF8"/>
    <w:rsid w:val="00250B6D"/>
    <w:rsid w:val="00250D41"/>
    <w:rsid w:val="00250DD2"/>
    <w:rsid w:val="002513FB"/>
    <w:rsid w:val="002514A3"/>
    <w:rsid w:val="002517A6"/>
    <w:rsid w:val="00252528"/>
    <w:rsid w:val="00252899"/>
    <w:rsid w:val="00252907"/>
    <w:rsid w:val="00253575"/>
    <w:rsid w:val="0025371D"/>
    <w:rsid w:val="00253881"/>
    <w:rsid w:val="002538A2"/>
    <w:rsid w:val="00253A36"/>
    <w:rsid w:val="00253A72"/>
    <w:rsid w:val="00253B7D"/>
    <w:rsid w:val="00253F57"/>
    <w:rsid w:val="00254606"/>
    <w:rsid w:val="002546C5"/>
    <w:rsid w:val="002548F0"/>
    <w:rsid w:val="00254D1C"/>
    <w:rsid w:val="00254F93"/>
    <w:rsid w:val="00255931"/>
    <w:rsid w:val="00255A61"/>
    <w:rsid w:val="0025617E"/>
    <w:rsid w:val="0025624D"/>
    <w:rsid w:val="00256BB6"/>
    <w:rsid w:val="00256FB5"/>
    <w:rsid w:val="00256FCE"/>
    <w:rsid w:val="00260BE3"/>
    <w:rsid w:val="0026176E"/>
    <w:rsid w:val="002617B6"/>
    <w:rsid w:val="00261809"/>
    <w:rsid w:val="00261BFD"/>
    <w:rsid w:val="00261ECE"/>
    <w:rsid w:val="00261EF6"/>
    <w:rsid w:val="0026227D"/>
    <w:rsid w:val="00262517"/>
    <w:rsid w:val="00263235"/>
    <w:rsid w:val="00263664"/>
    <w:rsid w:val="002638E5"/>
    <w:rsid w:val="00263AA2"/>
    <w:rsid w:val="0026416B"/>
    <w:rsid w:val="00264210"/>
    <w:rsid w:val="0026470D"/>
    <w:rsid w:val="00264DC8"/>
    <w:rsid w:val="0026539D"/>
    <w:rsid w:val="002654CC"/>
    <w:rsid w:val="00265546"/>
    <w:rsid w:val="002658A2"/>
    <w:rsid w:val="00265EF1"/>
    <w:rsid w:val="00265FC7"/>
    <w:rsid w:val="00266104"/>
    <w:rsid w:val="0026618A"/>
    <w:rsid w:val="00266426"/>
    <w:rsid w:val="00266427"/>
    <w:rsid w:val="0026675F"/>
    <w:rsid w:val="002667AC"/>
    <w:rsid w:val="002667BC"/>
    <w:rsid w:val="00270715"/>
    <w:rsid w:val="00270880"/>
    <w:rsid w:val="00270AB2"/>
    <w:rsid w:val="00270BF2"/>
    <w:rsid w:val="00270EC8"/>
    <w:rsid w:val="00270FCC"/>
    <w:rsid w:val="00271379"/>
    <w:rsid w:val="002715DC"/>
    <w:rsid w:val="002715FE"/>
    <w:rsid w:val="002718FA"/>
    <w:rsid w:val="002719D6"/>
    <w:rsid w:val="00271C00"/>
    <w:rsid w:val="00271CC4"/>
    <w:rsid w:val="00271EEA"/>
    <w:rsid w:val="002727AD"/>
    <w:rsid w:val="00272917"/>
    <w:rsid w:val="00272A4D"/>
    <w:rsid w:val="00272EBD"/>
    <w:rsid w:val="0027326D"/>
    <w:rsid w:val="002736D5"/>
    <w:rsid w:val="002738A5"/>
    <w:rsid w:val="00273A68"/>
    <w:rsid w:val="00274010"/>
    <w:rsid w:val="002742E8"/>
    <w:rsid w:val="002743E0"/>
    <w:rsid w:val="002748CF"/>
    <w:rsid w:val="00274AFC"/>
    <w:rsid w:val="00274D4E"/>
    <w:rsid w:val="00274DB7"/>
    <w:rsid w:val="002753F1"/>
    <w:rsid w:val="0027564D"/>
    <w:rsid w:val="002758C4"/>
    <w:rsid w:val="00275B3C"/>
    <w:rsid w:val="00275BAD"/>
    <w:rsid w:val="00275CA7"/>
    <w:rsid w:val="00275D95"/>
    <w:rsid w:val="00275F07"/>
    <w:rsid w:val="00275F20"/>
    <w:rsid w:val="00276DA5"/>
    <w:rsid w:val="00276FB3"/>
    <w:rsid w:val="002771C4"/>
    <w:rsid w:val="002771FB"/>
    <w:rsid w:val="0027736B"/>
    <w:rsid w:val="002776B9"/>
    <w:rsid w:val="00277914"/>
    <w:rsid w:val="00277962"/>
    <w:rsid w:val="00277DB9"/>
    <w:rsid w:val="00277F95"/>
    <w:rsid w:val="0028012E"/>
    <w:rsid w:val="002801E1"/>
    <w:rsid w:val="00280507"/>
    <w:rsid w:val="00280592"/>
    <w:rsid w:val="00280639"/>
    <w:rsid w:val="0028097A"/>
    <w:rsid w:val="00280B8F"/>
    <w:rsid w:val="00280D64"/>
    <w:rsid w:val="00280F8E"/>
    <w:rsid w:val="002811EE"/>
    <w:rsid w:val="002814DB"/>
    <w:rsid w:val="002815D8"/>
    <w:rsid w:val="00282066"/>
    <w:rsid w:val="00282474"/>
    <w:rsid w:val="002824B8"/>
    <w:rsid w:val="00282610"/>
    <w:rsid w:val="00282873"/>
    <w:rsid w:val="00282B01"/>
    <w:rsid w:val="00282B43"/>
    <w:rsid w:val="00283125"/>
    <w:rsid w:val="0028318B"/>
    <w:rsid w:val="0028328B"/>
    <w:rsid w:val="00283A09"/>
    <w:rsid w:val="00283F13"/>
    <w:rsid w:val="00283F75"/>
    <w:rsid w:val="0028440E"/>
    <w:rsid w:val="002849DF"/>
    <w:rsid w:val="00285046"/>
    <w:rsid w:val="0028519E"/>
    <w:rsid w:val="0028570C"/>
    <w:rsid w:val="00285DD9"/>
    <w:rsid w:val="00286203"/>
    <w:rsid w:val="0028669F"/>
    <w:rsid w:val="002868EC"/>
    <w:rsid w:val="00287167"/>
    <w:rsid w:val="002874C5"/>
    <w:rsid w:val="002878C8"/>
    <w:rsid w:val="00287928"/>
    <w:rsid w:val="00287BB4"/>
    <w:rsid w:val="00287DE7"/>
    <w:rsid w:val="00287E5E"/>
    <w:rsid w:val="002900C4"/>
    <w:rsid w:val="0029057E"/>
    <w:rsid w:val="00290945"/>
    <w:rsid w:val="00290955"/>
    <w:rsid w:val="002909D3"/>
    <w:rsid w:val="00290C30"/>
    <w:rsid w:val="00290C88"/>
    <w:rsid w:val="00290FCE"/>
    <w:rsid w:val="0029127E"/>
    <w:rsid w:val="00291367"/>
    <w:rsid w:val="00291422"/>
    <w:rsid w:val="0029188D"/>
    <w:rsid w:val="0029196E"/>
    <w:rsid w:val="00291BB3"/>
    <w:rsid w:val="00291C81"/>
    <w:rsid w:val="00292060"/>
    <w:rsid w:val="002920EC"/>
    <w:rsid w:val="002924B4"/>
    <w:rsid w:val="002926AF"/>
    <w:rsid w:val="00292893"/>
    <w:rsid w:val="002929B3"/>
    <w:rsid w:val="00293113"/>
    <w:rsid w:val="002933C4"/>
    <w:rsid w:val="00293592"/>
    <w:rsid w:val="002935DC"/>
    <w:rsid w:val="0029365A"/>
    <w:rsid w:val="00293A27"/>
    <w:rsid w:val="00293D86"/>
    <w:rsid w:val="002949B0"/>
    <w:rsid w:val="0029545D"/>
    <w:rsid w:val="002956B3"/>
    <w:rsid w:val="002958C3"/>
    <w:rsid w:val="00295FFB"/>
    <w:rsid w:val="002961AC"/>
    <w:rsid w:val="0029687C"/>
    <w:rsid w:val="0029723E"/>
    <w:rsid w:val="00297292"/>
    <w:rsid w:val="00297658"/>
    <w:rsid w:val="002978A8"/>
    <w:rsid w:val="00297A0A"/>
    <w:rsid w:val="00297AE4"/>
    <w:rsid w:val="00297AEB"/>
    <w:rsid w:val="00297D36"/>
    <w:rsid w:val="00297D81"/>
    <w:rsid w:val="00297DBE"/>
    <w:rsid w:val="002A004E"/>
    <w:rsid w:val="002A00F2"/>
    <w:rsid w:val="002A02A2"/>
    <w:rsid w:val="002A03CE"/>
    <w:rsid w:val="002A06F2"/>
    <w:rsid w:val="002A126C"/>
    <w:rsid w:val="002A1615"/>
    <w:rsid w:val="002A164D"/>
    <w:rsid w:val="002A191D"/>
    <w:rsid w:val="002A1B0C"/>
    <w:rsid w:val="002A1C5C"/>
    <w:rsid w:val="002A1E6D"/>
    <w:rsid w:val="002A250E"/>
    <w:rsid w:val="002A2A97"/>
    <w:rsid w:val="002A2A9F"/>
    <w:rsid w:val="002A2D20"/>
    <w:rsid w:val="002A2EAF"/>
    <w:rsid w:val="002A3407"/>
    <w:rsid w:val="002A36BB"/>
    <w:rsid w:val="002A3730"/>
    <w:rsid w:val="002A3CAF"/>
    <w:rsid w:val="002A46F1"/>
    <w:rsid w:val="002A4DA5"/>
    <w:rsid w:val="002A4F24"/>
    <w:rsid w:val="002A562D"/>
    <w:rsid w:val="002A57A3"/>
    <w:rsid w:val="002A5EAA"/>
    <w:rsid w:val="002A6175"/>
    <w:rsid w:val="002A6291"/>
    <w:rsid w:val="002A64F0"/>
    <w:rsid w:val="002A706A"/>
    <w:rsid w:val="002A72CD"/>
    <w:rsid w:val="002A756A"/>
    <w:rsid w:val="002A7B10"/>
    <w:rsid w:val="002A7B6C"/>
    <w:rsid w:val="002A7F1A"/>
    <w:rsid w:val="002B00EE"/>
    <w:rsid w:val="002B0222"/>
    <w:rsid w:val="002B0926"/>
    <w:rsid w:val="002B0995"/>
    <w:rsid w:val="002B0EE8"/>
    <w:rsid w:val="002B1120"/>
    <w:rsid w:val="002B1828"/>
    <w:rsid w:val="002B1A89"/>
    <w:rsid w:val="002B257D"/>
    <w:rsid w:val="002B27BA"/>
    <w:rsid w:val="002B2A45"/>
    <w:rsid w:val="002B2A5C"/>
    <w:rsid w:val="002B2BD0"/>
    <w:rsid w:val="002B344B"/>
    <w:rsid w:val="002B34ED"/>
    <w:rsid w:val="002B3C05"/>
    <w:rsid w:val="002B3EE5"/>
    <w:rsid w:val="002B453A"/>
    <w:rsid w:val="002B4600"/>
    <w:rsid w:val="002B4B39"/>
    <w:rsid w:val="002B5574"/>
    <w:rsid w:val="002B5917"/>
    <w:rsid w:val="002B59C2"/>
    <w:rsid w:val="002B59CB"/>
    <w:rsid w:val="002B5DA3"/>
    <w:rsid w:val="002B5F8D"/>
    <w:rsid w:val="002B622D"/>
    <w:rsid w:val="002B66BB"/>
    <w:rsid w:val="002B678B"/>
    <w:rsid w:val="002B67E8"/>
    <w:rsid w:val="002B697E"/>
    <w:rsid w:val="002B6DE9"/>
    <w:rsid w:val="002B70C6"/>
    <w:rsid w:val="002B76B5"/>
    <w:rsid w:val="002B7965"/>
    <w:rsid w:val="002C01C8"/>
    <w:rsid w:val="002C04A3"/>
    <w:rsid w:val="002C0853"/>
    <w:rsid w:val="002C12E5"/>
    <w:rsid w:val="002C1572"/>
    <w:rsid w:val="002C1D71"/>
    <w:rsid w:val="002C1F4D"/>
    <w:rsid w:val="002C243C"/>
    <w:rsid w:val="002C2A32"/>
    <w:rsid w:val="002C332D"/>
    <w:rsid w:val="002C33E1"/>
    <w:rsid w:val="002C34F1"/>
    <w:rsid w:val="002C35E1"/>
    <w:rsid w:val="002C36B9"/>
    <w:rsid w:val="002C36D8"/>
    <w:rsid w:val="002C3AAF"/>
    <w:rsid w:val="002C3D81"/>
    <w:rsid w:val="002C4589"/>
    <w:rsid w:val="002C4DCD"/>
    <w:rsid w:val="002C5143"/>
    <w:rsid w:val="002C55C3"/>
    <w:rsid w:val="002C56A0"/>
    <w:rsid w:val="002C58CB"/>
    <w:rsid w:val="002C5B33"/>
    <w:rsid w:val="002C5ED3"/>
    <w:rsid w:val="002C66DA"/>
    <w:rsid w:val="002C685C"/>
    <w:rsid w:val="002C6896"/>
    <w:rsid w:val="002C76AD"/>
    <w:rsid w:val="002C7763"/>
    <w:rsid w:val="002C793B"/>
    <w:rsid w:val="002C7E27"/>
    <w:rsid w:val="002D0C56"/>
    <w:rsid w:val="002D0D84"/>
    <w:rsid w:val="002D11DC"/>
    <w:rsid w:val="002D12A0"/>
    <w:rsid w:val="002D1C34"/>
    <w:rsid w:val="002D1ED9"/>
    <w:rsid w:val="002D2477"/>
    <w:rsid w:val="002D27A6"/>
    <w:rsid w:val="002D294B"/>
    <w:rsid w:val="002D2B68"/>
    <w:rsid w:val="002D2EFF"/>
    <w:rsid w:val="002D3166"/>
    <w:rsid w:val="002D33AA"/>
    <w:rsid w:val="002D3C5C"/>
    <w:rsid w:val="002D3CC3"/>
    <w:rsid w:val="002D3FC4"/>
    <w:rsid w:val="002D48EF"/>
    <w:rsid w:val="002D4A4D"/>
    <w:rsid w:val="002D4B87"/>
    <w:rsid w:val="002D4CEF"/>
    <w:rsid w:val="002D5122"/>
    <w:rsid w:val="002D532D"/>
    <w:rsid w:val="002D56B9"/>
    <w:rsid w:val="002D5B21"/>
    <w:rsid w:val="002D5CF4"/>
    <w:rsid w:val="002D5F19"/>
    <w:rsid w:val="002D60D3"/>
    <w:rsid w:val="002D731F"/>
    <w:rsid w:val="002E0673"/>
    <w:rsid w:val="002E1A8D"/>
    <w:rsid w:val="002E1C9D"/>
    <w:rsid w:val="002E27C8"/>
    <w:rsid w:val="002E29CE"/>
    <w:rsid w:val="002E2F05"/>
    <w:rsid w:val="002E348E"/>
    <w:rsid w:val="002E35BA"/>
    <w:rsid w:val="002E360F"/>
    <w:rsid w:val="002E389F"/>
    <w:rsid w:val="002E3C98"/>
    <w:rsid w:val="002E3E7D"/>
    <w:rsid w:val="002E3EB6"/>
    <w:rsid w:val="002E3FF3"/>
    <w:rsid w:val="002E401C"/>
    <w:rsid w:val="002E41DC"/>
    <w:rsid w:val="002E41E0"/>
    <w:rsid w:val="002E4216"/>
    <w:rsid w:val="002E427E"/>
    <w:rsid w:val="002E4577"/>
    <w:rsid w:val="002E4652"/>
    <w:rsid w:val="002E4B0B"/>
    <w:rsid w:val="002E4B2B"/>
    <w:rsid w:val="002E4D2D"/>
    <w:rsid w:val="002E5112"/>
    <w:rsid w:val="002E53D5"/>
    <w:rsid w:val="002E542F"/>
    <w:rsid w:val="002E5E85"/>
    <w:rsid w:val="002E615D"/>
    <w:rsid w:val="002E629A"/>
    <w:rsid w:val="002E6897"/>
    <w:rsid w:val="002E6CB5"/>
    <w:rsid w:val="002E6D6E"/>
    <w:rsid w:val="002E6FD1"/>
    <w:rsid w:val="002E7912"/>
    <w:rsid w:val="002E7AB8"/>
    <w:rsid w:val="002E7C53"/>
    <w:rsid w:val="002F02BF"/>
    <w:rsid w:val="002F0399"/>
    <w:rsid w:val="002F045E"/>
    <w:rsid w:val="002F067D"/>
    <w:rsid w:val="002F0692"/>
    <w:rsid w:val="002F06C7"/>
    <w:rsid w:val="002F0921"/>
    <w:rsid w:val="002F0A2D"/>
    <w:rsid w:val="002F0D7D"/>
    <w:rsid w:val="002F1218"/>
    <w:rsid w:val="002F14C3"/>
    <w:rsid w:val="002F17D0"/>
    <w:rsid w:val="002F1FAD"/>
    <w:rsid w:val="002F2504"/>
    <w:rsid w:val="002F260D"/>
    <w:rsid w:val="002F27ED"/>
    <w:rsid w:val="002F2A13"/>
    <w:rsid w:val="002F2F42"/>
    <w:rsid w:val="002F2FCE"/>
    <w:rsid w:val="002F3095"/>
    <w:rsid w:val="002F3530"/>
    <w:rsid w:val="002F35D4"/>
    <w:rsid w:val="002F3A8C"/>
    <w:rsid w:val="002F3AD5"/>
    <w:rsid w:val="002F3D71"/>
    <w:rsid w:val="002F3E8E"/>
    <w:rsid w:val="002F4133"/>
    <w:rsid w:val="002F44B6"/>
    <w:rsid w:val="002F4A8E"/>
    <w:rsid w:val="002F5001"/>
    <w:rsid w:val="002F5D81"/>
    <w:rsid w:val="002F608F"/>
    <w:rsid w:val="002F658A"/>
    <w:rsid w:val="002F66D4"/>
    <w:rsid w:val="002F6897"/>
    <w:rsid w:val="002F77E1"/>
    <w:rsid w:val="002F7877"/>
    <w:rsid w:val="002F7BC9"/>
    <w:rsid w:val="003003EB"/>
    <w:rsid w:val="0030077E"/>
    <w:rsid w:val="00300BCF"/>
    <w:rsid w:val="00300C43"/>
    <w:rsid w:val="00300D68"/>
    <w:rsid w:val="00300F9E"/>
    <w:rsid w:val="00301227"/>
    <w:rsid w:val="003014E3"/>
    <w:rsid w:val="00301532"/>
    <w:rsid w:val="00301667"/>
    <w:rsid w:val="0030169A"/>
    <w:rsid w:val="003016D4"/>
    <w:rsid w:val="003017C1"/>
    <w:rsid w:val="00301D5F"/>
    <w:rsid w:val="00301DA2"/>
    <w:rsid w:val="00301FEC"/>
    <w:rsid w:val="003024CE"/>
    <w:rsid w:val="0030265F"/>
    <w:rsid w:val="00302BD1"/>
    <w:rsid w:val="00302D59"/>
    <w:rsid w:val="00302E51"/>
    <w:rsid w:val="00303176"/>
    <w:rsid w:val="00303886"/>
    <w:rsid w:val="00303D6B"/>
    <w:rsid w:val="00303E75"/>
    <w:rsid w:val="00303EAD"/>
    <w:rsid w:val="00304284"/>
    <w:rsid w:val="003048B8"/>
    <w:rsid w:val="003052B2"/>
    <w:rsid w:val="003056F1"/>
    <w:rsid w:val="003057E5"/>
    <w:rsid w:val="00305B7F"/>
    <w:rsid w:val="00306797"/>
    <w:rsid w:val="00306E48"/>
    <w:rsid w:val="00306F72"/>
    <w:rsid w:val="003070C5"/>
    <w:rsid w:val="00307254"/>
    <w:rsid w:val="003072B9"/>
    <w:rsid w:val="00307613"/>
    <w:rsid w:val="003076AE"/>
    <w:rsid w:val="003079E8"/>
    <w:rsid w:val="00307B7F"/>
    <w:rsid w:val="00307B97"/>
    <w:rsid w:val="00307BF7"/>
    <w:rsid w:val="003102C1"/>
    <w:rsid w:val="003102F3"/>
    <w:rsid w:val="0031053D"/>
    <w:rsid w:val="00310A12"/>
    <w:rsid w:val="00310A84"/>
    <w:rsid w:val="00310B51"/>
    <w:rsid w:val="00310DD9"/>
    <w:rsid w:val="00310ECB"/>
    <w:rsid w:val="00310FA3"/>
    <w:rsid w:val="00311186"/>
    <w:rsid w:val="0031122E"/>
    <w:rsid w:val="00311F47"/>
    <w:rsid w:val="0031212C"/>
    <w:rsid w:val="00312266"/>
    <w:rsid w:val="003129D9"/>
    <w:rsid w:val="003134EA"/>
    <w:rsid w:val="00313655"/>
    <w:rsid w:val="0031440A"/>
    <w:rsid w:val="00314665"/>
    <w:rsid w:val="00314775"/>
    <w:rsid w:val="00314891"/>
    <w:rsid w:val="0031494D"/>
    <w:rsid w:val="00314B8B"/>
    <w:rsid w:val="00314C33"/>
    <w:rsid w:val="00315146"/>
    <w:rsid w:val="00315AB5"/>
    <w:rsid w:val="00315DAD"/>
    <w:rsid w:val="003161D8"/>
    <w:rsid w:val="00316749"/>
    <w:rsid w:val="0031683F"/>
    <w:rsid w:val="003169EC"/>
    <w:rsid w:val="00316B6E"/>
    <w:rsid w:val="00316F4F"/>
    <w:rsid w:val="00316FC8"/>
    <w:rsid w:val="00316FE1"/>
    <w:rsid w:val="003173B2"/>
    <w:rsid w:val="0031764C"/>
    <w:rsid w:val="00317838"/>
    <w:rsid w:val="00317B3A"/>
    <w:rsid w:val="00317CE0"/>
    <w:rsid w:val="003205A7"/>
    <w:rsid w:val="003205E5"/>
    <w:rsid w:val="00320A7A"/>
    <w:rsid w:val="00320D81"/>
    <w:rsid w:val="0032124D"/>
    <w:rsid w:val="00321853"/>
    <w:rsid w:val="00321DFE"/>
    <w:rsid w:val="00321E96"/>
    <w:rsid w:val="00321F68"/>
    <w:rsid w:val="00322123"/>
    <w:rsid w:val="00322619"/>
    <w:rsid w:val="00322CD1"/>
    <w:rsid w:val="0032317F"/>
    <w:rsid w:val="003235B9"/>
    <w:rsid w:val="00323882"/>
    <w:rsid w:val="003238B9"/>
    <w:rsid w:val="0032390E"/>
    <w:rsid w:val="00323C44"/>
    <w:rsid w:val="00323ED7"/>
    <w:rsid w:val="00324448"/>
    <w:rsid w:val="003255B2"/>
    <w:rsid w:val="00325D19"/>
    <w:rsid w:val="00325F9F"/>
    <w:rsid w:val="003262C8"/>
    <w:rsid w:val="0032647C"/>
    <w:rsid w:val="00326A5D"/>
    <w:rsid w:val="00326FEC"/>
    <w:rsid w:val="003271C5"/>
    <w:rsid w:val="00327203"/>
    <w:rsid w:val="00327979"/>
    <w:rsid w:val="00327ABD"/>
    <w:rsid w:val="0033009B"/>
    <w:rsid w:val="003302CC"/>
    <w:rsid w:val="00330359"/>
    <w:rsid w:val="003304BF"/>
    <w:rsid w:val="00330B00"/>
    <w:rsid w:val="00330E8F"/>
    <w:rsid w:val="00330F19"/>
    <w:rsid w:val="00331063"/>
    <w:rsid w:val="00331179"/>
    <w:rsid w:val="00331255"/>
    <w:rsid w:val="00332006"/>
    <w:rsid w:val="0033217C"/>
    <w:rsid w:val="00332372"/>
    <w:rsid w:val="003324F9"/>
    <w:rsid w:val="00332B64"/>
    <w:rsid w:val="00332E8F"/>
    <w:rsid w:val="00332EBC"/>
    <w:rsid w:val="00333042"/>
    <w:rsid w:val="00333066"/>
    <w:rsid w:val="003330C7"/>
    <w:rsid w:val="003332AE"/>
    <w:rsid w:val="00333592"/>
    <w:rsid w:val="0033372B"/>
    <w:rsid w:val="00333BB4"/>
    <w:rsid w:val="00333F02"/>
    <w:rsid w:val="00333F21"/>
    <w:rsid w:val="003344F6"/>
    <w:rsid w:val="00334561"/>
    <w:rsid w:val="003349B4"/>
    <w:rsid w:val="00334AC8"/>
    <w:rsid w:val="003351F4"/>
    <w:rsid w:val="0033566B"/>
    <w:rsid w:val="003357E6"/>
    <w:rsid w:val="003358C6"/>
    <w:rsid w:val="00335925"/>
    <w:rsid w:val="00335A5D"/>
    <w:rsid w:val="00336088"/>
    <w:rsid w:val="00336A08"/>
    <w:rsid w:val="00336B1C"/>
    <w:rsid w:val="00336E3D"/>
    <w:rsid w:val="00336F7F"/>
    <w:rsid w:val="00337204"/>
    <w:rsid w:val="003374E3"/>
    <w:rsid w:val="003375FB"/>
    <w:rsid w:val="003378DA"/>
    <w:rsid w:val="00337A6C"/>
    <w:rsid w:val="00337AC6"/>
    <w:rsid w:val="00337EDD"/>
    <w:rsid w:val="00340110"/>
    <w:rsid w:val="00340372"/>
    <w:rsid w:val="00340520"/>
    <w:rsid w:val="00340DAC"/>
    <w:rsid w:val="00340FF8"/>
    <w:rsid w:val="003412EE"/>
    <w:rsid w:val="00341342"/>
    <w:rsid w:val="0034140D"/>
    <w:rsid w:val="00341629"/>
    <w:rsid w:val="00341767"/>
    <w:rsid w:val="00341872"/>
    <w:rsid w:val="00341BD0"/>
    <w:rsid w:val="00341EAE"/>
    <w:rsid w:val="00342417"/>
    <w:rsid w:val="00342456"/>
    <w:rsid w:val="003424C6"/>
    <w:rsid w:val="00342984"/>
    <w:rsid w:val="00343555"/>
    <w:rsid w:val="003436C0"/>
    <w:rsid w:val="00343B04"/>
    <w:rsid w:val="00343F43"/>
    <w:rsid w:val="003445A9"/>
    <w:rsid w:val="0034474E"/>
    <w:rsid w:val="00344F80"/>
    <w:rsid w:val="00344F85"/>
    <w:rsid w:val="00344FB6"/>
    <w:rsid w:val="00344FFC"/>
    <w:rsid w:val="003450EA"/>
    <w:rsid w:val="00345509"/>
    <w:rsid w:val="00345EE7"/>
    <w:rsid w:val="00345FAC"/>
    <w:rsid w:val="0034605A"/>
    <w:rsid w:val="00346265"/>
    <w:rsid w:val="00346613"/>
    <w:rsid w:val="00346BFC"/>
    <w:rsid w:val="0034710E"/>
    <w:rsid w:val="00347220"/>
    <w:rsid w:val="00347270"/>
    <w:rsid w:val="00347552"/>
    <w:rsid w:val="003479FE"/>
    <w:rsid w:val="00347A60"/>
    <w:rsid w:val="00347B8E"/>
    <w:rsid w:val="00347F48"/>
    <w:rsid w:val="0035002D"/>
    <w:rsid w:val="003501C4"/>
    <w:rsid w:val="003505F5"/>
    <w:rsid w:val="003508CB"/>
    <w:rsid w:val="00350BFD"/>
    <w:rsid w:val="003512B3"/>
    <w:rsid w:val="00351387"/>
    <w:rsid w:val="003513DD"/>
    <w:rsid w:val="00351820"/>
    <w:rsid w:val="00351B01"/>
    <w:rsid w:val="00351C09"/>
    <w:rsid w:val="00351C0A"/>
    <w:rsid w:val="00352081"/>
    <w:rsid w:val="00352730"/>
    <w:rsid w:val="0035281A"/>
    <w:rsid w:val="00352A74"/>
    <w:rsid w:val="00352CD3"/>
    <w:rsid w:val="00352DA0"/>
    <w:rsid w:val="0035329B"/>
    <w:rsid w:val="003536F7"/>
    <w:rsid w:val="003538A9"/>
    <w:rsid w:val="003539FA"/>
    <w:rsid w:val="00353B19"/>
    <w:rsid w:val="00353CA3"/>
    <w:rsid w:val="003541B3"/>
    <w:rsid w:val="00354A9C"/>
    <w:rsid w:val="00354E04"/>
    <w:rsid w:val="00355107"/>
    <w:rsid w:val="00355359"/>
    <w:rsid w:val="00355606"/>
    <w:rsid w:val="003559F9"/>
    <w:rsid w:val="00356206"/>
    <w:rsid w:val="00356417"/>
    <w:rsid w:val="00356463"/>
    <w:rsid w:val="0035670B"/>
    <w:rsid w:val="00356D4E"/>
    <w:rsid w:val="00357319"/>
    <w:rsid w:val="003573AA"/>
    <w:rsid w:val="00357407"/>
    <w:rsid w:val="0035796B"/>
    <w:rsid w:val="00357B63"/>
    <w:rsid w:val="00357D78"/>
    <w:rsid w:val="003601DB"/>
    <w:rsid w:val="003603E4"/>
    <w:rsid w:val="0036092E"/>
    <w:rsid w:val="00360CB5"/>
    <w:rsid w:val="00360EE4"/>
    <w:rsid w:val="00360F35"/>
    <w:rsid w:val="00360F81"/>
    <w:rsid w:val="00361079"/>
    <w:rsid w:val="00361224"/>
    <w:rsid w:val="0036129A"/>
    <w:rsid w:val="003615E2"/>
    <w:rsid w:val="00361662"/>
    <w:rsid w:val="003619AB"/>
    <w:rsid w:val="00361AFC"/>
    <w:rsid w:val="00361C34"/>
    <w:rsid w:val="00361C5F"/>
    <w:rsid w:val="00361CE7"/>
    <w:rsid w:val="00362206"/>
    <w:rsid w:val="003622E0"/>
    <w:rsid w:val="00362530"/>
    <w:rsid w:val="003629F1"/>
    <w:rsid w:val="00362F33"/>
    <w:rsid w:val="00363566"/>
    <w:rsid w:val="003637A9"/>
    <w:rsid w:val="00363B0A"/>
    <w:rsid w:val="00364406"/>
    <w:rsid w:val="00364CDA"/>
    <w:rsid w:val="00364D65"/>
    <w:rsid w:val="003652E6"/>
    <w:rsid w:val="00365619"/>
    <w:rsid w:val="00365823"/>
    <w:rsid w:val="00365D7D"/>
    <w:rsid w:val="00365F40"/>
    <w:rsid w:val="00365F6C"/>
    <w:rsid w:val="00366328"/>
    <w:rsid w:val="00366AD7"/>
    <w:rsid w:val="00366C31"/>
    <w:rsid w:val="00366E47"/>
    <w:rsid w:val="0036788C"/>
    <w:rsid w:val="003678D4"/>
    <w:rsid w:val="00367E77"/>
    <w:rsid w:val="003701DB"/>
    <w:rsid w:val="003703D0"/>
    <w:rsid w:val="003705C3"/>
    <w:rsid w:val="00370A6C"/>
    <w:rsid w:val="00370BBA"/>
    <w:rsid w:val="00370C3F"/>
    <w:rsid w:val="00370C64"/>
    <w:rsid w:val="00370C73"/>
    <w:rsid w:val="00370F90"/>
    <w:rsid w:val="003716C9"/>
    <w:rsid w:val="003718E6"/>
    <w:rsid w:val="00371E15"/>
    <w:rsid w:val="00371F8F"/>
    <w:rsid w:val="003721F9"/>
    <w:rsid w:val="00372290"/>
    <w:rsid w:val="00372437"/>
    <w:rsid w:val="003727CE"/>
    <w:rsid w:val="00372981"/>
    <w:rsid w:val="00372C5C"/>
    <w:rsid w:val="00372E1A"/>
    <w:rsid w:val="0037304C"/>
    <w:rsid w:val="003733D7"/>
    <w:rsid w:val="00374309"/>
    <w:rsid w:val="003745DE"/>
    <w:rsid w:val="003748A4"/>
    <w:rsid w:val="00374F3E"/>
    <w:rsid w:val="00374FAF"/>
    <w:rsid w:val="003756C8"/>
    <w:rsid w:val="0037572D"/>
    <w:rsid w:val="00375939"/>
    <w:rsid w:val="00375A7A"/>
    <w:rsid w:val="00375B9F"/>
    <w:rsid w:val="00375FD1"/>
    <w:rsid w:val="003765A2"/>
    <w:rsid w:val="00376908"/>
    <w:rsid w:val="00376C97"/>
    <w:rsid w:val="00376F54"/>
    <w:rsid w:val="00376FE5"/>
    <w:rsid w:val="00377369"/>
    <w:rsid w:val="00377586"/>
    <w:rsid w:val="00377615"/>
    <w:rsid w:val="00377952"/>
    <w:rsid w:val="00377A32"/>
    <w:rsid w:val="00377D25"/>
    <w:rsid w:val="00380029"/>
    <w:rsid w:val="003800B9"/>
    <w:rsid w:val="0038045F"/>
    <w:rsid w:val="003806AB"/>
    <w:rsid w:val="00380721"/>
    <w:rsid w:val="00380972"/>
    <w:rsid w:val="003809DC"/>
    <w:rsid w:val="00380B2E"/>
    <w:rsid w:val="00380B31"/>
    <w:rsid w:val="00380B53"/>
    <w:rsid w:val="00380E4F"/>
    <w:rsid w:val="00380FE2"/>
    <w:rsid w:val="0038103B"/>
    <w:rsid w:val="0038103D"/>
    <w:rsid w:val="00381182"/>
    <w:rsid w:val="00381241"/>
    <w:rsid w:val="003812CF"/>
    <w:rsid w:val="003815EB"/>
    <w:rsid w:val="0038166B"/>
    <w:rsid w:val="00381C28"/>
    <w:rsid w:val="00381F15"/>
    <w:rsid w:val="003820E3"/>
    <w:rsid w:val="00382143"/>
    <w:rsid w:val="00382A6F"/>
    <w:rsid w:val="00382CDD"/>
    <w:rsid w:val="0038310E"/>
    <w:rsid w:val="00383154"/>
    <w:rsid w:val="003832AE"/>
    <w:rsid w:val="00383B3B"/>
    <w:rsid w:val="00383CD3"/>
    <w:rsid w:val="00383D80"/>
    <w:rsid w:val="00384296"/>
    <w:rsid w:val="003842AF"/>
    <w:rsid w:val="00384425"/>
    <w:rsid w:val="00384765"/>
    <w:rsid w:val="00384B17"/>
    <w:rsid w:val="00384BC1"/>
    <w:rsid w:val="00385733"/>
    <w:rsid w:val="00385747"/>
    <w:rsid w:val="00385855"/>
    <w:rsid w:val="00385AA3"/>
    <w:rsid w:val="00385E39"/>
    <w:rsid w:val="00385E57"/>
    <w:rsid w:val="00386169"/>
    <w:rsid w:val="00386253"/>
    <w:rsid w:val="00386309"/>
    <w:rsid w:val="003866BB"/>
    <w:rsid w:val="00386818"/>
    <w:rsid w:val="00386A2F"/>
    <w:rsid w:val="00386B00"/>
    <w:rsid w:val="00386D0C"/>
    <w:rsid w:val="003873C4"/>
    <w:rsid w:val="0038740E"/>
    <w:rsid w:val="003876FB"/>
    <w:rsid w:val="003879C9"/>
    <w:rsid w:val="00387A51"/>
    <w:rsid w:val="0039002A"/>
    <w:rsid w:val="003902E8"/>
    <w:rsid w:val="003903BE"/>
    <w:rsid w:val="0039096E"/>
    <w:rsid w:val="00390A54"/>
    <w:rsid w:val="00390B0A"/>
    <w:rsid w:val="00390DB1"/>
    <w:rsid w:val="00390F13"/>
    <w:rsid w:val="003910FE"/>
    <w:rsid w:val="003915C4"/>
    <w:rsid w:val="00391F8D"/>
    <w:rsid w:val="00392114"/>
    <w:rsid w:val="003927F4"/>
    <w:rsid w:val="00392F56"/>
    <w:rsid w:val="003934BA"/>
    <w:rsid w:val="00393CDF"/>
    <w:rsid w:val="0039429B"/>
    <w:rsid w:val="003949DF"/>
    <w:rsid w:val="003950A2"/>
    <w:rsid w:val="00395276"/>
    <w:rsid w:val="00395B9F"/>
    <w:rsid w:val="00395C9D"/>
    <w:rsid w:val="00396991"/>
    <w:rsid w:val="00396F43"/>
    <w:rsid w:val="00397240"/>
    <w:rsid w:val="003973B9"/>
    <w:rsid w:val="003974A7"/>
    <w:rsid w:val="00397576"/>
    <w:rsid w:val="0039779C"/>
    <w:rsid w:val="00397CF7"/>
    <w:rsid w:val="003A0642"/>
    <w:rsid w:val="003A0A32"/>
    <w:rsid w:val="003A0C67"/>
    <w:rsid w:val="003A1152"/>
    <w:rsid w:val="003A11C4"/>
    <w:rsid w:val="003A12D4"/>
    <w:rsid w:val="003A1A30"/>
    <w:rsid w:val="003A1A75"/>
    <w:rsid w:val="003A1A97"/>
    <w:rsid w:val="003A1BD8"/>
    <w:rsid w:val="003A2058"/>
    <w:rsid w:val="003A214E"/>
    <w:rsid w:val="003A2448"/>
    <w:rsid w:val="003A2654"/>
    <w:rsid w:val="003A28BB"/>
    <w:rsid w:val="003A3056"/>
    <w:rsid w:val="003A3094"/>
    <w:rsid w:val="003A31BB"/>
    <w:rsid w:val="003A3325"/>
    <w:rsid w:val="003A342F"/>
    <w:rsid w:val="003A36EC"/>
    <w:rsid w:val="003A4195"/>
    <w:rsid w:val="003A42AE"/>
    <w:rsid w:val="003A49F1"/>
    <w:rsid w:val="003A4E71"/>
    <w:rsid w:val="003A515C"/>
    <w:rsid w:val="003A52AE"/>
    <w:rsid w:val="003A5390"/>
    <w:rsid w:val="003A580C"/>
    <w:rsid w:val="003A5A7C"/>
    <w:rsid w:val="003A60B3"/>
    <w:rsid w:val="003A72A4"/>
    <w:rsid w:val="003A730A"/>
    <w:rsid w:val="003A7977"/>
    <w:rsid w:val="003A7D0B"/>
    <w:rsid w:val="003A7ED0"/>
    <w:rsid w:val="003B0247"/>
    <w:rsid w:val="003B0358"/>
    <w:rsid w:val="003B0632"/>
    <w:rsid w:val="003B07A2"/>
    <w:rsid w:val="003B092B"/>
    <w:rsid w:val="003B09BB"/>
    <w:rsid w:val="003B100C"/>
    <w:rsid w:val="003B1526"/>
    <w:rsid w:val="003B188B"/>
    <w:rsid w:val="003B18FF"/>
    <w:rsid w:val="003B190B"/>
    <w:rsid w:val="003B1912"/>
    <w:rsid w:val="003B1A7C"/>
    <w:rsid w:val="003B20BF"/>
    <w:rsid w:val="003B25CD"/>
    <w:rsid w:val="003B2AB1"/>
    <w:rsid w:val="003B2ED8"/>
    <w:rsid w:val="003B2F2C"/>
    <w:rsid w:val="003B2FF0"/>
    <w:rsid w:val="003B306E"/>
    <w:rsid w:val="003B30BD"/>
    <w:rsid w:val="003B363E"/>
    <w:rsid w:val="003B3714"/>
    <w:rsid w:val="003B38CC"/>
    <w:rsid w:val="003B3A37"/>
    <w:rsid w:val="003B3D54"/>
    <w:rsid w:val="003B3F4A"/>
    <w:rsid w:val="003B4ED8"/>
    <w:rsid w:val="003B503C"/>
    <w:rsid w:val="003B6016"/>
    <w:rsid w:val="003B63E4"/>
    <w:rsid w:val="003B67E1"/>
    <w:rsid w:val="003B6C2E"/>
    <w:rsid w:val="003B6CF5"/>
    <w:rsid w:val="003B6D01"/>
    <w:rsid w:val="003B6FEF"/>
    <w:rsid w:val="003B705F"/>
    <w:rsid w:val="003B716C"/>
    <w:rsid w:val="003B7975"/>
    <w:rsid w:val="003B7AC8"/>
    <w:rsid w:val="003B7C5D"/>
    <w:rsid w:val="003B7D01"/>
    <w:rsid w:val="003C00D2"/>
    <w:rsid w:val="003C04F3"/>
    <w:rsid w:val="003C0B3D"/>
    <w:rsid w:val="003C0B5C"/>
    <w:rsid w:val="003C12A0"/>
    <w:rsid w:val="003C153B"/>
    <w:rsid w:val="003C19E8"/>
    <w:rsid w:val="003C1D8C"/>
    <w:rsid w:val="003C37E1"/>
    <w:rsid w:val="003C383B"/>
    <w:rsid w:val="003C39EC"/>
    <w:rsid w:val="003C3D3A"/>
    <w:rsid w:val="003C3D74"/>
    <w:rsid w:val="003C3E6B"/>
    <w:rsid w:val="003C42A1"/>
    <w:rsid w:val="003C42BD"/>
    <w:rsid w:val="003C461F"/>
    <w:rsid w:val="003C4739"/>
    <w:rsid w:val="003C487B"/>
    <w:rsid w:val="003C4AA9"/>
    <w:rsid w:val="003C4B4F"/>
    <w:rsid w:val="003C4E0A"/>
    <w:rsid w:val="003C4E5A"/>
    <w:rsid w:val="003C5080"/>
    <w:rsid w:val="003C5377"/>
    <w:rsid w:val="003C5CC4"/>
    <w:rsid w:val="003C602E"/>
    <w:rsid w:val="003C635F"/>
    <w:rsid w:val="003C6724"/>
    <w:rsid w:val="003C6864"/>
    <w:rsid w:val="003C6943"/>
    <w:rsid w:val="003C7001"/>
    <w:rsid w:val="003C7032"/>
    <w:rsid w:val="003C7357"/>
    <w:rsid w:val="003C770E"/>
    <w:rsid w:val="003C77A2"/>
    <w:rsid w:val="003C79FB"/>
    <w:rsid w:val="003C7CF5"/>
    <w:rsid w:val="003C7D4E"/>
    <w:rsid w:val="003C7F90"/>
    <w:rsid w:val="003D01E7"/>
    <w:rsid w:val="003D087A"/>
    <w:rsid w:val="003D0C33"/>
    <w:rsid w:val="003D0E4F"/>
    <w:rsid w:val="003D0F7F"/>
    <w:rsid w:val="003D10BB"/>
    <w:rsid w:val="003D1163"/>
    <w:rsid w:val="003D11DC"/>
    <w:rsid w:val="003D1298"/>
    <w:rsid w:val="003D12F0"/>
    <w:rsid w:val="003D1AB2"/>
    <w:rsid w:val="003D1BC8"/>
    <w:rsid w:val="003D2886"/>
    <w:rsid w:val="003D2ED6"/>
    <w:rsid w:val="003D2F12"/>
    <w:rsid w:val="003D30C3"/>
    <w:rsid w:val="003D329A"/>
    <w:rsid w:val="003D32CF"/>
    <w:rsid w:val="003D3719"/>
    <w:rsid w:val="003D3953"/>
    <w:rsid w:val="003D3AF7"/>
    <w:rsid w:val="003D3ED8"/>
    <w:rsid w:val="003D3F11"/>
    <w:rsid w:val="003D4807"/>
    <w:rsid w:val="003D4893"/>
    <w:rsid w:val="003D4943"/>
    <w:rsid w:val="003D5324"/>
    <w:rsid w:val="003D5B2B"/>
    <w:rsid w:val="003D5EF7"/>
    <w:rsid w:val="003D605A"/>
    <w:rsid w:val="003D6226"/>
    <w:rsid w:val="003D741C"/>
    <w:rsid w:val="003D74A7"/>
    <w:rsid w:val="003D77CC"/>
    <w:rsid w:val="003D7CEA"/>
    <w:rsid w:val="003D7D9C"/>
    <w:rsid w:val="003D7E80"/>
    <w:rsid w:val="003E01F6"/>
    <w:rsid w:val="003E022F"/>
    <w:rsid w:val="003E0878"/>
    <w:rsid w:val="003E0E5B"/>
    <w:rsid w:val="003E14B2"/>
    <w:rsid w:val="003E175C"/>
    <w:rsid w:val="003E22A9"/>
    <w:rsid w:val="003E2497"/>
    <w:rsid w:val="003E25CA"/>
    <w:rsid w:val="003E263A"/>
    <w:rsid w:val="003E2974"/>
    <w:rsid w:val="003E2CAB"/>
    <w:rsid w:val="003E2CD5"/>
    <w:rsid w:val="003E2E7C"/>
    <w:rsid w:val="003E2E8F"/>
    <w:rsid w:val="003E30B7"/>
    <w:rsid w:val="003E30FC"/>
    <w:rsid w:val="003E38BB"/>
    <w:rsid w:val="003E3D1D"/>
    <w:rsid w:val="003E420E"/>
    <w:rsid w:val="003E4443"/>
    <w:rsid w:val="003E4592"/>
    <w:rsid w:val="003E45A9"/>
    <w:rsid w:val="003E4DDA"/>
    <w:rsid w:val="003E4F5C"/>
    <w:rsid w:val="003E4FA3"/>
    <w:rsid w:val="003E50B4"/>
    <w:rsid w:val="003E58AA"/>
    <w:rsid w:val="003E5A37"/>
    <w:rsid w:val="003E60F4"/>
    <w:rsid w:val="003E62E9"/>
    <w:rsid w:val="003E641F"/>
    <w:rsid w:val="003E6AB2"/>
    <w:rsid w:val="003E6BF8"/>
    <w:rsid w:val="003E7123"/>
    <w:rsid w:val="003E721A"/>
    <w:rsid w:val="003E744C"/>
    <w:rsid w:val="003E79BF"/>
    <w:rsid w:val="003E7B34"/>
    <w:rsid w:val="003E7B9D"/>
    <w:rsid w:val="003F025E"/>
    <w:rsid w:val="003F0881"/>
    <w:rsid w:val="003F0A01"/>
    <w:rsid w:val="003F0A10"/>
    <w:rsid w:val="003F10E4"/>
    <w:rsid w:val="003F1701"/>
    <w:rsid w:val="003F1B10"/>
    <w:rsid w:val="003F1ED6"/>
    <w:rsid w:val="003F2364"/>
    <w:rsid w:val="003F282C"/>
    <w:rsid w:val="003F2923"/>
    <w:rsid w:val="003F2A32"/>
    <w:rsid w:val="003F3266"/>
    <w:rsid w:val="003F3A55"/>
    <w:rsid w:val="003F3B14"/>
    <w:rsid w:val="003F3C7C"/>
    <w:rsid w:val="003F3E66"/>
    <w:rsid w:val="003F3ED0"/>
    <w:rsid w:val="003F4CB6"/>
    <w:rsid w:val="003F4F68"/>
    <w:rsid w:val="003F5149"/>
    <w:rsid w:val="003F55F6"/>
    <w:rsid w:val="003F5B16"/>
    <w:rsid w:val="003F5FFD"/>
    <w:rsid w:val="003F68B3"/>
    <w:rsid w:val="003F699A"/>
    <w:rsid w:val="003F6A68"/>
    <w:rsid w:val="003F6ADF"/>
    <w:rsid w:val="003F6BDB"/>
    <w:rsid w:val="003F71EC"/>
    <w:rsid w:val="003F7412"/>
    <w:rsid w:val="003F79FE"/>
    <w:rsid w:val="003F7B66"/>
    <w:rsid w:val="003F7FFE"/>
    <w:rsid w:val="00400301"/>
    <w:rsid w:val="0040048E"/>
    <w:rsid w:val="00400973"/>
    <w:rsid w:val="00401143"/>
    <w:rsid w:val="00401160"/>
    <w:rsid w:val="00401313"/>
    <w:rsid w:val="004013AF"/>
    <w:rsid w:val="00401459"/>
    <w:rsid w:val="00401AAF"/>
    <w:rsid w:val="00401B09"/>
    <w:rsid w:val="00402668"/>
    <w:rsid w:val="0040298B"/>
    <w:rsid w:val="0040299D"/>
    <w:rsid w:val="00402A08"/>
    <w:rsid w:val="00402C13"/>
    <w:rsid w:val="00402DFE"/>
    <w:rsid w:val="004031E2"/>
    <w:rsid w:val="0040327F"/>
    <w:rsid w:val="0040416F"/>
    <w:rsid w:val="004041EF"/>
    <w:rsid w:val="004041FC"/>
    <w:rsid w:val="004048BC"/>
    <w:rsid w:val="00404A12"/>
    <w:rsid w:val="00404AA5"/>
    <w:rsid w:val="00404B12"/>
    <w:rsid w:val="00404F56"/>
    <w:rsid w:val="00405165"/>
    <w:rsid w:val="00405199"/>
    <w:rsid w:val="004051AC"/>
    <w:rsid w:val="004054AC"/>
    <w:rsid w:val="0040553C"/>
    <w:rsid w:val="00405A24"/>
    <w:rsid w:val="00405AD5"/>
    <w:rsid w:val="0040659C"/>
    <w:rsid w:val="00406788"/>
    <w:rsid w:val="00406A2A"/>
    <w:rsid w:val="004073CF"/>
    <w:rsid w:val="0040757A"/>
    <w:rsid w:val="004077BC"/>
    <w:rsid w:val="00407DFA"/>
    <w:rsid w:val="004103B6"/>
    <w:rsid w:val="0041061E"/>
    <w:rsid w:val="004109E9"/>
    <w:rsid w:val="00410BCB"/>
    <w:rsid w:val="004110B9"/>
    <w:rsid w:val="004114F5"/>
    <w:rsid w:val="00411611"/>
    <w:rsid w:val="004116B1"/>
    <w:rsid w:val="00411BAD"/>
    <w:rsid w:val="00411DE6"/>
    <w:rsid w:val="00411F13"/>
    <w:rsid w:val="00411F6F"/>
    <w:rsid w:val="004125B3"/>
    <w:rsid w:val="00412655"/>
    <w:rsid w:val="0041270B"/>
    <w:rsid w:val="00412A03"/>
    <w:rsid w:val="00412BC9"/>
    <w:rsid w:val="00412BD7"/>
    <w:rsid w:val="00412E64"/>
    <w:rsid w:val="00412E93"/>
    <w:rsid w:val="004132E1"/>
    <w:rsid w:val="0041339E"/>
    <w:rsid w:val="004135BA"/>
    <w:rsid w:val="004136E1"/>
    <w:rsid w:val="0041374C"/>
    <w:rsid w:val="00413B9B"/>
    <w:rsid w:val="00413FFB"/>
    <w:rsid w:val="0041414B"/>
    <w:rsid w:val="00414267"/>
    <w:rsid w:val="0041484B"/>
    <w:rsid w:val="00414D3B"/>
    <w:rsid w:val="00415705"/>
    <w:rsid w:val="0041575E"/>
    <w:rsid w:val="00415AE5"/>
    <w:rsid w:val="004164AD"/>
    <w:rsid w:val="004164C5"/>
    <w:rsid w:val="004164E0"/>
    <w:rsid w:val="00416999"/>
    <w:rsid w:val="00416E70"/>
    <w:rsid w:val="00417BC5"/>
    <w:rsid w:val="00417DC0"/>
    <w:rsid w:val="00417EBE"/>
    <w:rsid w:val="00417F64"/>
    <w:rsid w:val="00417F6A"/>
    <w:rsid w:val="00420673"/>
    <w:rsid w:val="00420695"/>
    <w:rsid w:val="00420AC4"/>
    <w:rsid w:val="00420E07"/>
    <w:rsid w:val="00420F7F"/>
    <w:rsid w:val="00421270"/>
    <w:rsid w:val="004215FF"/>
    <w:rsid w:val="00421870"/>
    <w:rsid w:val="00422182"/>
    <w:rsid w:val="004224D7"/>
    <w:rsid w:val="004229D9"/>
    <w:rsid w:val="00422EF4"/>
    <w:rsid w:val="0042302E"/>
    <w:rsid w:val="00423316"/>
    <w:rsid w:val="00423409"/>
    <w:rsid w:val="0042346D"/>
    <w:rsid w:val="00423A8C"/>
    <w:rsid w:val="00423D9E"/>
    <w:rsid w:val="00423DC9"/>
    <w:rsid w:val="00424C61"/>
    <w:rsid w:val="00424DE8"/>
    <w:rsid w:val="00425185"/>
    <w:rsid w:val="004251E1"/>
    <w:rsid w:val="00425545"/>
    <w:rsid w:val="00425CBD"/>
    <w:rsid w:val="00425D23"/>
    <w:rsid w:val="00425E70"/>
    <w:rsid w:val="00425FB4"/>
    <w:rsid w:val="00426134"/>
    <w:rsid w:val="00426207"/>
    <w:rsid w:val="004266F9"/>
    <w:rsid w:val="004270E3"/>
    <w:rsid w:val="004278DC"/>
    <w:rsid w:val="004279C0"/>
    <w:rsid w:val="00427FC8"/>
    <w:rsid w:val="00427FD7"/>
    <w:rsid w:val="004301A1"/>
    <w:rsid w:val="00430DAB"/>
    <w:rsid w:val="00430EB4"/>
    <w:rsid w:val="00430FDE"/>
    <w:rsid w:val="0043117D"/>
    <w:rsid w:val="004311A8"/>
    <w:rsid w:val="004315D9"/>
    <w:rsid w:val="00431CB0"/>
    <w:rsid w:val="00431D11"/>
    <w:rsid w:val="00431F52"/>
    <w:rsid w:val="0043200D"/>
    <w:rsid w:val="004329B5"/>
    <w:rsid w:val="00432D64"/>
    <w:rsid w:val="00432D65"/>
    <w:rsid w:val="00432F40"/>
    <w:rsid w:val="00433197"/>
    <w:rsid w:val="00433A00"/>
    <w:rsid w:val="00433A20"/>
    <w:rsid w:val="00433B89"/>
    <w:rsid w:val="004340C0"/>
    <w:rsid w:val="0043450B"/>
    <w:rsid w:val="004349BB"/>
    <w:rsid w:val="00434A13"/>
    <w:rsid w:val="004350D7"/>
    <w:rsid w:val="00435233"/>
    <w:rsid w:val="00435525"/>
    <w:rsid w:val="004355F7"/>
    <w:rsid w:val="00435786"/>
    <w:rsid w:val="004359EF"/>
    <w:rsid w:val="00436C49"/>
    <w:rsid w:val="004370C9"/>
    <w:rsid w:val="00437251"/>
    <w:rsid w:val="004375D7"/>
    <w:rsid w:val="00437F68"/>
    <w:rsid w:val="00437FD2"/>
    <w:rsid w:val="00440195"/>
    <w:rsid w:val="0044063B"/>
    <w:rsid w:val="0044086C"/>
    <w:rsid w:val="00440957"/>
    <w:rsid w:val="004409F4"/>
    <w:rsid w:val="00440A46"/>
    <w:rsid w:val="00440BDD"/>
    <w:rsid w:val="00440D9E"/>
    <w:rsid w:val="00441359"/>
    <w:rsid w:val="004419A5"/>
    <w:rsid w:val="00441CA9"/>
    <w:rsid w:val="00441CBE"/>
    <w:rsid w:val="00441E0D"/>
    <w:rsid w:val="004423C3"/>
    <w:rsid w:val="004428E9"/>
    <w:rsid w:val="004429C7"/>
    <w:rsid w:val="00442ADA"/>
    <w:rsid w:val="00442D38"/>
    <w:rsid w:val="00443280"/>
    <w:rsid w:val="0044343F"/>
    <w:rsid w:val="0044415B"/>
    <w:rsid w:val="00444EBF"/>
    <w:rsid w:val="00445F74"/>
    <w:rsid w:val="004462E2"/>
    <w:rsid w:val="004462E4"/>
    <w:rsid w:val="00446446"/>
    <w:rsid w:val="004466D7"/>
    <w:rsid w:val="004466FF"/>
    <w:rsid w:val="00446961"/>
    <w:rsid w:val="00446C08"/>
    <w:rsid w:val="00447693"/>
    <w:rsid w:val="004476A6"/>
    <w:rsid w:val="004479A6"/>
    <w:rsid w:val="00447CCC"/>
    <w:rsid w:val="00447D6C"/>
    <w:rsid w:val="00447F28"/>
    <w:rsid w:val="00447F3B"/>
    <w:rsid w:val="00450123"/>
    <w:rsid w:val="00450447"/>
    <w:rsid w:val="004507BB"/>
    <w:rsid w:val="00450D35"/>
    <w:rsid w:val="00451541"/>
    <w:rsid w:val="00451647"/>
    <w:rsid w:val="004523BC"/>
    <w:rsid w:val="004525CB"/>
    <w:rsid w:val="00452BBF"/>
    <w:rsid w:val="00452D01"/>
    <w:rsid w:val="00452EC5"/>
    <w:rsid w:val="00453C11"/>
    <w:rsid w:val="00453CA4"/>
    <w:rsid w:val="00453ED7"/>
    <w:rsid w:val="00453EDB"/>
    <w:rsid w:val="0045448E"/>
    <w:rsid w:val="00454516"/>
    <w:rsid w:val="004545AE"/>
    <w:rsid w:val="00454700"/>
    <w:rsid w:val="00454C05"/>
    <w:rsid w:val="00454C67"/>
    <w:rsid w:val="00454D0C"/>
    <w:rsid w:val="00454DF9"/>
    <w:rsid w:val="0045502B"/>
    <w:rsid w:val="004551B0"/>
    <w:rsid w:val="0045530F"/>
    <w:rsid w:val="004558D8"/>
    <w:rsid w:val="00455993"/>
    <w:rsid w:val="004563D0"/>
    <w:rsid w:val="0045697A"/>
    <w:rsid w:val="00456C1E"/>
    <w:rsid w:val="00456CAE"/>
    <w:rsid w:val="00456CC0"/>
    <w:rsid w:val="00456E43"/>
    <w:rsid w:val="00457123"/>
    <w:rsid w:val="00457258"/>
    <w:rsid w:val="004573AB"/>
    <w:rsid w:val="004573F9"/>
    <w:rsid w:val="004577CB"/>
    <w:rsid w:val="004577FA"/>
    <w:rsid w:val="00457FEB"/>
    <w:rsid w:val="00457FEC"/>
    <w:rsid w:val="004600A1"/>
    <w:rsid w:val="0046021B"/>
    <w:rsid w:val="00460337"/>
    <w:rsid w:val="00460677"/>
    <w:rsid w:val="00460918"/>
    <w:rsid w:val="004609A6"/>
    <w:rsid w:val="004609B7"/>
    <w:rsid w:val="00460DD3"/>
    <w:rsid w:val="0046108A"/>
    <w:rsid w:val="004612BB"/>
    <w:rsid w:val="00461500"/>
    <w:rsid w:val="00461BCC"/>
    <w:rsid w:val="00461DFD"/>
    <w:rsid w:val="004620E0"/>
    <w:rsid w:val="0046259F"/>
    <w:rsid w:val="004625A1"/>
    <w:rsid w:val="0046286E"/>
    <w:rsid w:val="00462A8F"/>
    <w:rsid w:val="00462AB0"/>
    <w:rsid w:val="00462B7F"/>
    <w:rsid w:val="00462B9A"/>
    <w:rsid w:val="00463258"/>
    <w:rsid w:val="00463305"/>
    <w:rsid w:val="00463816"/>
    <w:rsid w:val="00463AFC"/>
    <w:rsid w:val="00463F01"/>
    <w:rsid w:val="00463FEE"/>
    <w:rsid w:val="00464B73"/>
    <w:rsid w:val="00465311"/>
    <w:rsid w:val="0046538E"/>
    <w:rsid w:val="00465916"/>
    <w:rsid w:val="00465FCE"/>
    <w:rsid w:val="00466305"/>
    <w:rsid w:val="004663F5"/>
    <w:rsid w:val="0046650E"/>
    <w:rsid w:val="0046670B"/>
    <w:rsid w:val="00466B50"/>
    <w:rsid w:val="00466C1F"/>
    <w:rsid w:val="00467128"/>
    <w:rsid w:val="004673BE"/>
    <w:rsid w:val="00467A4D"/>
    <w:rsid w:val="00467C07"/>
    <w:rsid w:val="00467C3B"/>
    <w:rsid w:val="00467D5C"/>
    <w:rsid w:val="0047025E"/>
    <w:rsid w:val="004702F2"/>
    <w:rsid w:val="00470453"/>
    <w:rsid w:val="00470725"/>
    <w:rsid w:val="004708DA"/>
    <w:rsid w:val="00471119"/>
    <w:rsid w:val="00471467"/>
    <w:rsid w:val="004714B2"/>
    <w:rsid w:val="004715A6"/>
    <w:rsid w:val="00471717"/>
    <w:rsid w:val="00471F20"/>
    <w:rsid w:val="004720CD"/>
    <w:rsid w:val="00472FD0"/>
    <w:rsid w:val="0047305A"/>
    <w:rsid w:val="0047310E"/>
    <w:rsid w:val="004732A9"/>
    <w:rsid w:val="00473376"/>
    <w:rsid w:val="00473632"/>
    <w:rsid w:val="004738A5"/>
    <w:rsid w:val="0047392B"/>
    <w:rsid w:val="00473A76"/>
    <w:rsid w:val="0047474F"/>
    <w:rsid w:val="00474833"/>
    <w:rsid w:val="00474869"/>
    <w:rsid w:val="004749B2"/>
    <w:rsid w:val="00474B09"/>
    <w:rsid w:val="00474D5C"/>
    <w:rsid w:val="00474E17"/>
    <w:rsid w:val="0047500A"/>
    <w:rsid w:val="00475549"/>
    <w:rsid w:val="00475ADD"/>
    <w:rsid w:val="00475C30"/>
    <w:rsid w:val="00475CFC"/>
    <w:rsid w:val="00476047"/>
    <w:rsid w:val="004761EA"/>
    <w:rsid w:val="004763CC"/>
    <w:rsid w:val="004763DA"/>
    <w:rsid w:val="00476620"/>
    <w:rsid w:val="0047665D"/>
    <w:rsid w:val="0047674B"/>
    <w:rsid w:val="004767EB"/>
    <w:rsid w:val="00476960"/>
    <w:rsid w:val="00476CCC"/>
    <w:rsid w:val="00476D02"/>
    <w:rsid w:val="00477166"/>
    <w:rsid w:val="004771A5"/>
    <w:rsid w:val="00480109"/>
    <w:rsid w:val="004805DD"/>
    <w:rsid w:val="00480CEA"/>
    <w:rsid w:val="00480D9C"/>
    <w:rsid w:val="00480E18"/>
    <w:rsid w:val="004814D9"/>
    <w:rsid w:val="004817D1"/>
    <w:rsid w:val="004817E7"/>
    <w:rsid w:val="00481873"/>
    <w:rsid w:val="00481F5A"/>
    <w:rsid w:val="004823D3"/>
    <w:rsid w:val="00482618"/>
    <w:rsid w:val="004827A1"/>
    <w:rsid w:val="004827E1"/>
    <w:rsid w:val="0048290D"/>
    <w:rsid w:val="00482AFA"/>
    <w:rsid w:val="004834F4"/>
    <w:rsid w:val="004839BE"/>
    <w:rsid w:val="00483AE2"/>
    <w:rsid w:val="00483E64"/>
    <w:rsid w:val="00484503"/>
    <w:rsid w:val="004845BB"/>
    <w:rsid w:val="004848DF"/>
    <w:rsid w:val="00484D67"/>
    <w:rsid w:val="004854DA"/>
    <w:rsid w:val="00485858"/>
    <w:rsid w:val="00485DF9"/>
    <w:rsid w:val="00485F70"/>
    <w:rsid w:val="0048605A"/>
    <w:rsid w:val="00486414"/>
    <w:rsid w:val="0048661E"/>
    <w:rsid w:val="00486A8B"/>
    <w:rsid w:val="00486C58"/>
    <w:rsid w:val="00487238"/>
    <w:rsid w:val="00487457"/>
    <w:rsid w:val="00487BFF"/>
    <w:rsid w:val="0049042D"/>
    <w:rsid w:val="0049076B"/>
    <w:rsid w:val="0049079A"/>
    <w:rsid w:val="00490BB5"/>
    <w:rsid w:val="00490F80"/>
    <w:rsid w:val="0049153F"/>
    <w:rsid w:val="004915B7"/>
    <w:rsid w:val="0049170A"/>
    <w:rsid w:val="00491AEC"/>
    <w:rsid w:val="00491D38"/>
    <w:rsid w:val="0049211F"/>
    <w:rsid w:val="00492338"/>
    <w:rsid w:val="004925C4"/>
    <w:rsid w:val="0049268C"/>
    <w:rsid w:val="00492926"/>
    <w:rsid w:val="00492B52"/>
    <w:rsid w:val="00492DF1"/>
    <w:rsid w:val="004932A4"/>
    <w:rsid w:val="0049372A"/>
    <w:rsid w:val="00493733"/>
    <w:rsid w:val="004937AB"/>
    <w:rsid w:val="004938C8"/>
    <w:rsid w:val="004938FF"/>
    <w:rsid w:val="00493A93"/>
    <w:rsid w:val="00493AEB"/>
    <w:rsid w:val="00493EB7"/>
    <w:rsid w:val="0049407E"/>
    <w:rsid w:val="004945EE"/>
    <w:rsid w:val="004946A5"/>
    <w:rsid w:val="00494734"/>
    <w:rsid w:val="0049531A"/>
    <w:rsid w:val="00495525"/>
    <w:rsid w:val="00496203"/>
    <w:rsid w:val="0049661E"/>
    <w:rsid w:val="00496BEB"/>
    <w:rsid w:val="00496BF0"/>
    <w:rsid w:val="00496D9A"/>
    <w:rsid w:val="0049750C"/>
    <w:rsid w:val="004978D6"/>
    <w:rsid w:val="00497B97"/>
    <w:rsid w:val="00497CD0"/>
    <w:rsid w:val="00497DB2"/>
    <w:rsid w:val="00497E24"/>
    <w:rsid w:val="004A0065"/>
    <w:rsid w:val="004A0906"/>
    <w:rsid w:val="004A0B1D"/>
    <w:rsid w:val="004A0E3B"/>
    <w:rsid w:val="004A1047"/>
    <w:rsid w:val="004A1151"/>
    <w:rsid w:val="004A13E2"/>
    <w:rsid w:val="004A155F"/>
    <w:rsid w:val="004A17E1"/>
    <w:rsid w:val="004A19B9"/>
    <w:rsid w:val="004A19F9"/>
    <w:rsid w:val="004A1ACD"/>
    <w:rsid w:val="004A1CC8"/>
    <w:rsid w:val="004A1F32"/>
    <w:rsid w:val="004A2470"/>
    <w:rsid w:val="004A27F5"/>
    <w:rsid w:val="004A2A45"/>
    <w:rsid w:val="004A2C61"/>
    <w:rsid w:val="004A2EBA"/>
    <w:rsid w:val="004A3360"/>
    <w:rsid w:val="004A3466"/>
    <w:rsid w:val="004A34A6"/>
    <w:rsid w:val="004A35FF"/>
    <w:rsid w:val="004A38B8"/>
    <w:rsid w:val="004A39D0"/>
    <w:rsid w:val="004A3A67"/>
    <w:rsid w:val="004A3CC0"/>
    <w:rsid w:val="004A3FA0"/>
    <w:rsid w:val="004A404D"/>
    <w:rsid w:val="004A41C3"/>
    <w:rsid w:val="004A4666"/>
    <w:rsid w:val="004A4AB7"/>
    <w:rsid w:val="004A4E5F"/>
    <w:rsid w:val="004A4F42"/>
    <w:rsid w:val="004A519B"/>
    <w:rsid w:val="004A56F2"/>
    <w:rsid w:val="004A5999"/>
    <w:rsid w:val="004A5D68"/>
    <w:rsid w:val="004A6C8A"/>
    <w:rsid w:val="004A6E37"/>
    <w:rsid w:val="004A7041"/>
    <w:rsid w:val="004A710E"/>
    <w:rsid w:val="004A753A"/>
    <w:rsid w:val="004A78F2"/>
    <w:rsid w:val="004A797F"/>
    <w:rsid w:val="004A7DFA"/>
    <w:rsid w:val="004A7FE9"/>
    <w:rsid w:val="004B020D"/>
    <w:rsid w:val="004B0961"/>
    <w:rsid w:val="004B0B5F"/>
    <w:rsid w:val="004B0D31"/>
    <w:rsid w:val="004B15EC"/>
    <w:rsid w:val="004B176F"/>
    <w:rsid w:val="004B1BC3"/>
    <w:rsid w:val="004B27E8"/>
    <w:rsid w:val="004B28A9"/>
    <w:rsid w:val="004B298A"/>
    <w:rsid w:val="004B29A2"/>
    <w:rsid w:val="004B2A66"/>
    <w:rsid w:val="004B2AB7"/>
    <w:rsid w:val="004B2CF8"/>
    <w:rsid w:val="004B2D6D"/>
    <w:rsid w:val="004B3243"/>
    <w:rsid w:val="004B3289"/>
    <w:rsid w:val="004B32BE"/>
    <w:rsid w:val="004B3817"/>
    <w:rsid w:val="004B4172"/>
    <w:rsid w:val="004B41CD"/>
    <w:rsid w:val="004B41D6"/>
    <w:rsid w:val="004B4561"/>
    <w:rsid w:val="004B47B7"/>
    <w:rsid w:val="004B4CD6"/>
    <w:rsid w:val="004B53EC"/>
    <w:rsid w:val="004B5464"/>
    <w:rsid w:val="004B6088"/>
    <w:rsid w:val="004B61A5"/>
    <w:rsid w:val="004B6266"/>
    <w:rsid w:val="004B6326"/>
    <w:rsid w:val="004B66EA"/>
    <w:rsid w:val="004B73ED"/>
    <w:rsid w:val="004B78F1"/>
    <w:rsid w:val="004C02C9"/>
    <w:rsid w:val="004C0500"/>
    <w:rsid w:val="004C0589"/>
    <w:rsid w:val="004C07F4"/>
    <w:rsid w:val="004C0ABB"/>
    <w:rsid w:val="004C0D35"/>
    <w:rsid w:val="004C0D75"/>
    <w:rsid w:val="004C0D79"/>
    <w:rsid w:val="004C1FF0"/>
    <w:rsid w:val="004C216D"/>
    <w:rsid w:val="004C2CAB"/>
    <w:rsid w:val="004C2EAF"/>
    <w:rsid w:val="004C2EEA"/>
    <w:rsid w:val="004C3183"/>
    <w:rsid w:val="004C3801"/>
    <w:rsid w:val="004C3A7C"/>
    <w:rsid w:val="004C3B2D"/>
    <w:rsid w:val="004C42FD"/>
    <w:rsid w:val="004C44D7"/>
    <w:rsid w:val="004C451D"/>
    <w:rsid w:val="004C45D8"/>
    <w:rsid w:val="004C4781"/>
    <w:rsid w:val="004C4ACB"/>
    <w:rsid w:val="004C4BC9"/>
    <w:rsid w:val="004C4D6C"/>
    <w:rsid w:val="004C508E"/>
    <w:rsid w:val="004C50C7"/>
    <w:rsid w:val="004C5100"/>
    <w:rsid w:val="004C5560"/>
    <w:rsid w:val="004C584F"/>
    <w:rsid w:val="004C5993"/>
    <w:rsid w:val="004C5BB3"/>
    <w:rsid w:val="004C6843"/>
    <w:rsid w:val="004C6900"/>
    <w:rsid w:val="004C6AE7"/>
    <w:rsid w:val="004C701A"/>
    <w:rsid w:val="004C70E9"/>
    <w:rsid w:val="004C71BD"/>
    <w:rsid w:val="004C768D"/>
    <w:rsid w:val="004C7729"/>
    <w:rsid w:val="004C796F"/>
    <w:rsid w:val="004C7EEC"/>
    <w:rsid w:val="004C7FB8"/>
    <w:rsid w:val="004D03F8"/>
    <w:rsid w:val="004D0755"/>
    <w:rsid w:val="004D07A4"/>
    <w:rsid w:val="004D0A76"/>
    <w:rsid w:val="004D0B2A"/>
    <w:rsid w:val="004D0B9D"/>
    <w:rsid w:val="004D1104"/>
    <w:rsid w:val="004D1335"/>
    <w:rsid w:val="004D16D3"/>
    <w:rsid w:val="004D16E0"/>
    <w:rsid w:val="004D1AB0"/>
    <w:rsid w:val="004D25FA"/>
    <w:rsid w:val="004D2647"/>
    <w:rsid w:val="004D26AE"/>
    <w:rsid w:val="004D287A"/>
    <w:rsid w:val="004D2D55"/>
    <w:rsid w:val="004D30B4"/>
    <w:rsid w:val="004D3244"/>
    <w:rsid w:val="004D329C"/>
    <w:rsid w:val="004D372F"/>
    <w:rsid w:val="004D373D"/>
    <w:rsid w:val="004D3DA1"/>
    <w:rsid w:val="004D4FB5"/>
    <w:rsid w:val="004D50C6"/>
    <w:rsid w:val="004D50FB"/>
    <w:rsid w:val="004D59F1"/>
    <w:rsid w:val="004D5DEA"/>
    <w:rsid w:val="004D6230"/>
    <w:rsid w:val="004D656D"/>
    <w:rsid w:val="004D6ADF"/>
    <w:rsid w:val="004D6F1E"/>
    <w:rsid w:val="004D7095"/>
    <w:rsid w:val="004D72C2"/>
    <w:rsid w:val="004D72FA"/>
    <w:rsid w:val="004D787E"/>
    <w:rsid w:val="004E0249"/>
    <w:rsid w:val="004E056A"/>
    <w:rsid w:val="004E0716"/>
    <w:rsid w:val="004E09FE"/>
    <w:rsid w:val="004E0EE5"/>
    <w:rsid w:val="004E0F9B"/>
    <w:rsid w:val="004E0FEB"/>
    <w:rsid w:val="004E1386"/>
    <w:rsid w:val="004E175B"/>
    <w:rsid w:val="004E17C3"/>
    <w:rsid w:val="004E1B4F"/>
    <w:rsid w:val="004E1C43"/>
    <w:rsid w:val="004E1E44"/>
    <w:rsid w:val="004E2410"/>
    <w:rsid w:val="004E3086"/>
    <w:rsid w:val="004E30D7"/>
    <w:rsid w:val="004E32EC"/>
    <w:rsid w:val="004E3693"/>
    <w:rsid w:val="004E3C90"/>
    <w:rsid w:val="004E3CEC"/>
    <w:rsid w:val="004E3CF2"/>
    <w:rsid w:val="004E3FD7"/>
    <w:rsid w:val="004E4F08"/>
    <w:rsid w:val="004E4F7E"/>
    <w:rsid w:val="004E52FE"/>
    <w:rsid w:val="004E5736"/>
    <w:rsid w:val="004E5974"/>
    <w:rsid w:val="004E6135"/>
    <w:rsid w:val="004E615F"/>
    <w:rsid w:val="004E6628"/>
    <w:rsid w:val="004E6BE9"/>
    <w:rsid w:val="004E6F7C"/>
    <w:rsid w:val="004E709F"/>
    <w:rsid w:val="004E722C"/>
    <w:rsid w:val="004E7773"/>
    <w:rsid w:val="004E7796"/>
    <w:rsid w:val="004E78B5"/>
    <w:rsid w:val="004E795F"/>
    <w:rsid w:val="004E7B00"/>
    <w:rsid w:val="004E7D21"/>
    <w:rsid w:val="004E7DC6"/>
    <w:rsid w:val="004F0675"/>
    <w:rsid w:val="004F0C38"/>
    <w:rsid w:val="004F0F1D"/>
    <w:rsid w:val="004F119A"/>
    <w:rsid w:val="004F1802"/>
    <w:rsid w:val="004F185F"/>
    <w:rsid w:val="004F1A6F"/>
    <w:rsid w:val="004F1DC9"/>
    <w:rsid w:val="004F1E4F"/>
    <w:rsid w:val="004F1F4F"/>
    <w:rsid w:val="004F2645"/>
    <w:rsid w:val="004F2B20"/>
    <w:rsid w:val="004F2E0B"/>
    <w:rsid w:val="004F312D"/>
    <w:rsid w:val="004F366E"/>
    <w:rsid w:val="004F3918"/>
    <w:rsid w:val="004F42B9"/>
    <w:rsid w:val="004F43B2"/>
    <w:rsid w:val="004F495A"/>
    <w:rsid w:val="004F4AD5"/>
    <w:rsid w:val="004F4BB6"/>
    <w:rsid w:val="004F4E6C"/>
    <w:rsid w:val="004F4ED3"/>
    <w:rsid w:val="004F4F5B"/>
    <w:rsid w:val="004F596F"/>
    <w:rsid w:val="004F5CE4"/>
    <w:rsid w:val="004F6215"/>
    <w:rsid w:val="004F627B"/>
    <w:rsid w:val="004F6378"/>
    <w:rsid w:val="004F6CFD"/>
    <w:rsid w:val="004F6F20"/>
    <w:rsid w:val="004F73E8"/>
    <w:rsid w:val="004F78E6"/>
    <w:rsid w:val="004F7912"/>
    <w:rsid w:val="004F792F"/>
    <w:rsid w:val="004F7C23"/>
    <w:rsid w:val="005001CE"/>
    <w:rsid w:val="005005D6"/>
    <w:rsid w:val="00500784"/>
    <w:rsid w:val="00500BD6"/>
    <w:rsid w:val="0050125C"/>
    <w:rsid w:val="0050128D"/>
    <w:rsid w:val="00501471"/>
    <w:rsid w:val="005016BA"/>
    <w:rsid w:val="00501760"/>
    <w:rsid w:val="00501891"/>
    <w:rsid w:val="00501920"/>
    <w:rsid w:val="00501BF9"/>
    <w:rsid w:val="005021F7"/>
    <w:rsid w:val="00502F86"/>
    <w:rsid w:val="00503064"/>
    <w:rsid w:val="005036E7"/>
    <w:rsid w:val="00503A76"/>
    <w:rsid w:val="00503E93"/>
    <w:rsid w:val="00504191"/>
    <w:rsid w:val="00504284"/>
    <w:rsid w:val="00504554"/>
    <w:rsid w:val="00504A47"/>
    <w:rsid w:val="00504A4D"/>
    <w:rsid w:val="00504A9E"/>
    <w:rsid w:val="00504D0C"/>
    <w:rsid w:val="00504ED2"/>
    <w:rsid w:val="00505128"/>
    <w:rsid w:val="00505305"/>
    <w:rsid w:val="005053C7"/>
    <w:rsid w:val="00505862"/>
    <w:rsid w:val="00505D66"/>
    <w:rsid w:val="00506543"/>
    <w:rsid w:val="0050657D"/>
    <w:rsid w:val="005069B1"/>
    <w:rsid w:val="005069B6"/>
    <w:rsid w:val="00506B18"/>
    <w:rsid w:val="00506B3C"/>
    <w:rsid w:val="00506B60"/>
    <w:rsid w:val="00506C1E"/>
    <w:rsid w:val="00506C7B"/>
    <w:rsid w:val="00507A58"/>
    <w:rsid w:val="00507DED"/>
    <w:rsid w:val="00507F57"/>
    <w:rsid w:val="00510264"/>
    <w:rsid w:val="00510A22"/>
    <w:rsid w:val="00510B12"/>
    <w:rsid w:val="00510DB3"/>
    <w:rsid w:val="00510FBF"/>
    <w:rsid w:val="00511202"/>
    <w:rsid w:val="00511227"/>
    <w:rsid w:val="005112D4"/>
    <w:rsid w:val="00511974"/>
    <w:rsid w:val="005119DE"/>
    <w:rsid w:val="00511E23"/>
    <w:rsid w:val="00511F71"/>
    <w:rsid w:val="005121C9"/>
    <w:rsid w:val="00512464"/>
    <w:rsid w:val="00512D92"/>
    <w:rsid w:val="00512EEF"/>
    <w:rsid w:val="0051373E"/>
    <w:rsid w:val="00513836"/>
    <w:rsid w:val="00513D8D"/>
    <w:rsid w:val="00514390"/>
    <w:rsid w:val="00514394"/>
    <w:rsid w:val="00514B7F"/>
    <w:rsid w:val="00514F73"/>
    <w:rsid w:val="00515234"/>
    <w:rsid w:val="005153CB"/>
    <w:rsid w:val="0051572B"/>
    <w:rsid w:val="00515B42"/>
    <w:rsid w:val="00515B6E"/>
    <w:rsid w:val="00515BC6"/>
    <w:rsid w:val="00515CCF"/>
    <w:rsid w:val="00515ED3"/>
    <w:rsid w:val="00516057"/>
    <w:rsid w:val="00516535"/>
    <w:rsid w:val="00516DEF"/>
    <w:rsid w:val="0051701B"/>
    <w:rsid w:val="005171E6"/>
    <w:rsid w:val="005176EB"/>
    <w:rsid w:val="005178DE"/>
    <w:rsid w:val="00517BE1"/>
    <w:rsid w:val="00517D59"/>
    <w:rsid w:val="00517ED9"/>
    <w:rsid w:val="005204BE"/>
    <w:rsid w:val="005204C6"/>
    <w:rsid w:val="00520529"/>
    <w:rsid w:val="005208E5"/>
    <w:rsid w:val="00520B91"/>
    <w:rsid w:val="00520BBA"/>
    <w:rsid w:val="00520D72"/>
    <w:rsid w:val="00520E26"/>
    <w:rsid w:val="005214E1"/>
    <w:rsid w:val="0052165F"/>
    <w:rsid w:val="0052181F"/>
    <w:rsid w:val="0052182F"/>
    <w:rsid w:val="00521E06"/>
    <w:rsid w:val="00522012"/>
    <w:rsid w:val="00522125"/>
    <w:rsid w:val="005221A1"/>
    <w:rsid w:val="00522492"/>
    <w:rsid w:val="00522499"/>
    <w:rsid w:val="00522516"/>
    <w:rsid w:val="005228D7"/>
    <w:rsid w:val="00522A95"/>
    <w:rsid w:val="00522B45"/>
    <w:rsid w:val="00522FC0"/>
    <w:rsid w:val="0052324F"/>
    <w:rsid w:val="00523461"/>
    <w:rsid w:val="005238F3"/>
    <w:rsid w:val="0052396A"/>
    <w:rsid w:val="00523C01"/>
    <w:rsid w:val="00524733"/>
    <w:rsid w:val="005248E5"/>
    <w:rsid w:val="00524B13"/>
    <w:rsid w:val="00524DC0"/>
    <w:rsid w:val="00524DF2"/>
    <w:rsid w:val="00524E2B"/>
    <w:rsid w:val="00524F11"/>
    <w:rsid w:val="00524FFB"/>
    <w:rsid w:val="00525774"/>
    <w:rsid w:val="005258E8"/>
    <w:rsid w:val="00525AD7"/>
    <w:rsid w:val="00525F7B"/>
    <w:rsid w:val="0052606D"/>
    <w:rsid w:val="0052669C"/>
    <w:rsid w:val="00526984"/>
    <w:rsid w:val="00526C44"/>
    <w:rsid w:val="00527211"/>
    <w:rsid w:val="00527348"/>
    <w:rsid w:val="00527455"/>
    <w:rsid w:val="005274CC"/>
    <w:rsid w:val="00527A08"/>
    <w:rsid w:val="005303F9"/>
    <w:rsid w:val="0053052B"/>
    <w:rsid w:val="0053055A"/>
    <w:rsid w:val="005306BA"/>
    <w:rsid w:val="005309FD"/>
    <w:rsid w:val="00530A8D"/>
    <w:rsid w:val="00531259"/>
    <w:rsid w:val="00531417"/>
    <w:rsid w:val="005317B9"/>
    <w:rsid w:val="00531879"/>
    <w:rsid w:val="005318E9"/>
    <w:rsid w:val="00531F77"/>
    <w:rsid w:val="0053201C"/>
    <w:rsid w:val="005322C1"/>
    <w:rsid w:val="0053268C"/>
    <w:rsid w:val="00532ADC"/>
    <w:rsid w:val="00532B92"/>
    <w:rsid w:val="00532C8D"/>
    <w:rsid w:val="00532CE1"/>
    <w:rsid w:val="00532E8E"/>
    <w:rsid w:val="005330B0"/>
    <w:rsid w:val="005333EE"/>
    <w:rsid w:val="00533882"/>
    <w:rsid w:val="005338C5"/>
    <w:rsid w:val="00533ECE"/>
    <w:rsid w:val="00533F67"/>
    <w:rsid w:val="00534143"/>
    <w:rsid w:val="00534145"/>
    <w:rsid w:val="00534AC5"/>
    <w:rsid w:val="00534DC1"/>
    <w:rsid w:val="005350B7"/>
    <w:rsid w:val="005350E3"/>
    <w:rsid w:val="005354B1"/>
    <w:rsid w:val="0053576D"/>
    <w:rsid w:val="00535AF6"/>
    <w:rsid w:val="00535BBB"/>
    <w:rsid w:val="00535EAC"/>
    <w:rsid w:val="00535ED6"/>
    <w:rsid w:val="005362D4"/>
    <w:rsid w:val="005362EC"/>
    <w:rsid w:val="00536401"/>
    <w:rsid w:val="00536D58"/>
    <w:rsid w:val="00537D0C"/>
    <w:rsid w:val="00540221"/>
    <w:rsid w:val="0054026B"/>
    <w:rsid w:val="005406B7"/>
    <w:rsid w:val="00540A75"/>
    <w:rsid w:val="00540C4A"/>
    <w:rsid w:val="00540C76"/>
    <w:rsid w:val="00541078"/>
    <w:rsid w:val="005410CA"/>
    <w:rsid w:val="00541184"/>
    <w:rsid w:val="00541322"/>
    <w:rsid w:val="00541358"/>
    <w:rsid w:val="005416C2"/>
    <w:rsid w:val="005418C0"/>
    <w:rsid w:val="00541BF2"/>
    <w:rsid w:val="00542021"/>
    <w:rsid w:val="005420C6"/>
    <w:rsid w:val="00542357"/>
    <w:rsid w:val="0054259D"/>
    <w:rsid w:val="0054271F"/>
    <w:rsid w:val="0054289C"/>
    <w:rsid w:val="00542C8B"/>
    <w:rsid w:val="00543443"/>
    <w:rsid w:val="00543711"/>
    <w:rsid w:val="0054371B"/>
    <w:rsid w:val="00543769"/>
    <w:rsid w:val="0054396B"/>
    <w:rsid w:val="00543C5E"/>
    <w:rsid w:val="00543CDD"/>
    <w:rsid w:val="00544427"/>
    <w:rsid w:val="0054463D"/>
    <w:rsid w:val="00544677"/>
    <w:rsid w:val="00544691"/>
    <w:rsid w:val="00544C89"/>
    <w:rsid w:val="0054513F"/>
    <w:rsid w:val="0054553F"/>
    <w:rsid w:val="0054564C"/>
    <w:rsid w:val="0054565F"/>
    <w:rsid w:val="00545A1E"/>
    <w:rsid w:val="00545A3F"/>
    <w:rsid w:val="00545EE8"/>
    <w:rsid w:val="005462D5"/>
    <w:rsid w:val="00546573"/>
    <w:rsid w:val="00546F36"/>
    <w:rsid w:val="00546F61"/>
    <w:rsid w:val="00547047"/>
    <w:rsid w:val="00547144"/>
    <w:rsid w:val="005471B8"/>
    <w:rsid w:val="005471E6"/>
    <w:rsid w:val="00547550"/>
    <w:rsid w:val="00547692"/>
    <w:rsid w:val="00547999"/>
    <w:rsid w:val="00547CA7"/>
    <w:rsid w:val="0055007A"/>
    <w:rsid w:val="00550249"/>
    <w:rsid w:val="00550649"/>
    <w:rsid w:val="0055066C"/>
    <w:rsid w:val="0055130F"/>
    <w:rsid w:val="00551325"/>
    <w:rsid w:val="0055196E"/>
    <w:rsid w:val="00551A15"/>
    <w:rsid w:val="00551A52"/>
    <w:rsid w:val="00552404"/>
    <w:rsid w:val="005527FE"/>
    <w:rsid w:val="00552A9F"/>
    <w:rsid w:val="00552EEE"/>
    <w:rsid w:val="0055362F"/>
    <w:rsid w:val="00553741"/>
    <w:rsid w:val="0055377E"/>
    <w:rsid w:val="0055379D"/>
    <w:rsid w:val="00553814"/>
    <w:rsid w:val="00553C0B"/>
    <w:rsid w:val="00553C25"/>
    <w:rsid w:val="00553D82"/>
    <w:rsid w:val="005540ED"/>
    <w:rsid w:val="0055439B"/>
    <w:rsid w:val="00554480"/>
    <w:rsid w:val="005548CA"/>
    <w:rsid w:val="00554E94"/>
    <w:rsid w:val="00554EBD"/>
    <w:rsid w:val="00554F06"/>
    <w:rsid w:val="00554FE4"/>
    <w:rsid w:val="00555036"/>
    <w:rsid w:val="00555305"/>
    <w:rsid w:val="00555313"/>
    <w:rsid w:val="005556FC"/>
    <w:rsid w:val="00555774"/>
    <w:rsid w:val="0055624D"/>
    <w:rsid w:val="005563FE"/>
    <w:rsid w:val="005564BE"/>
    <w:rsid w:val="005564CD"/>
    <w:rsid w:val="00556731"/>
    <w:rsid w:val="00556E3E"/>
    <w:rsid w:val="00556E7A"/>
    <w:rsid w:val="00557260"/>
    <w:rsid w:val="00557980"/>
    <w:rsid w:val="00557AD6"/>
    <w:rsid w:val="00557BD1"/>
    <w:rsid w:val="005600C6"/>
    <w:rsid w:val="0056018A"/>
    <w:rsid w:val="0056036F"/>
    <w:rsid w:val="005604F9"/>
    <w:rsid w:val="005605FB"/>
    <w:rsid w:val="0056086A"/>
    <w:rsid w:val="005608A7"/>
    <w:rsid w:val="005608B1"/>
    <w:rsid w:val="00561201"/>
    <w:rsid w:val="005615A2"/>
    <w:rsid w:val="005616B4"/>
    <w:rsid w:val="00561878"/>
    <w:rsid w:val="00561C3E"/>
    <w:rsid w:val="005620A8"/>
    <w:rsid w:val="005623A7"/>
    <w:rsid w:val="00562DB4"/>
    <w:rsid w:val="00562E9D"/>
    <w:rsid w:val="0056362B"/>
    <w:rsid w:val="005636BC"/>
    <w:rsid w:val="00563A29"/>
    <w:rsid w:val="00563C2E"/>
    <w:rsid w:val="00563C7F"/>
    <w:rsid w:val="00563CA7"/>
    <w:rsid w:val="00563E7D"/>
    <w:rsid w:val="0056464C"/>
    <w:rsid w:val="005648A2"/>
    <w:rsid w:val="005648DD"/>
    <w:rsid w:val="00564A3D"/>
    <w:rsid w:val="00564B62"/>
    <w:rsid w:val="00564C81"/>
    <w:rsid w:val="00564EEF"/>
    <w:rsid w:val="005656B6"/>
    <w:rsid w:val="005656C4"/>
    <w:rsid w:val="005660AD"/>
    <w:rsid w:val="005661E8"/>
    <w:rsid w:val="00566B45"/>
    <w:rsid w:val="00567489"/>
    <w:rsid w:val="00567936"/>
    <w:rsid w:val="00567A00"/>
    <w:rsid w:val="00567E56"/>
    <w:rsid w:val="00567F2C"/>
    <w:rsid w:val="0057001A"/>
    <w:rsid w:val="00570096"/>
    <w:rsid w:val="0057071D"/>
    <w:rsid w:val="0057114B"/>
    <w:rsid w:val="0057137E"/>
    <w:rsid w:val="0057153F"/>
    <w:rsid w:val="005717A7"/>
    <w:rsid w:val="00571845"/>
    <w:rsid w:val="0057197F"/>
    <w:rsid w:val="00571D17"/>
    <w:rsid w:val="00571FF2"/>
    <w:rsid w:val="00572673"/>
    <w:rsid w:val="00572A4F"/>
    <w:rsid w:val="00572B0D"/>
    <w:rsid w:val="00572EAC"/>
    <w:rsid w:val="00573A85"/>
    <w:rsid w:val="00573EE7"/>
    <w:rsid w:val="00573F97"/>
    <w:rsid w:val="00574E88"/>
    <w:rsid w:val="00574F6D"/>
    <w:rsid w:val="005750F9"/>
    <w:rsid w:val="00575546"/>
    <w:rsid w:val="005758D8"/>
    <w:rsid w:val="00575919"/>
    <w:rsid w:val="00575E5C"/>
    <w:rsid w:val="00575EEC"/>
    <w:rsid w:val="0057641C"/>
    <w:rsid w:val="00576789"/>
    <w:rsid w:val="005769CC"/>
    <w:rsid w:val="00577272"/>
    <w:rsid w:val="0057730A"/>
    <w:rsid w:val="005774AA"/>
    <w:rsid w:val="00577975"/>
    <w:rsid w:val="005779BE"/>
    <w:rsid w:val="0058029E"/>
    <w:rsid w:val="00580524"/>
    <w:rsid w:val="00580972"/>
    <w:rsid w:val="00580A87"/>
    <w:rsid w:val="00580AB6"/>
    <w:rsid w:val="00580AF7"/>
    <w:rsid w:val="0058100B"/>
    <w:rsid w:val="00581176"/>
    <w:rsid w:val="00581179"/>
    <w:rsid w:val="005812C9"/>
    <w:rsid w:val="00581582"/>
    <w:rsid w:val="0058183B"/>
    <w:rsid w:val="00581E6B"/>
    <w:rsid w:val="0058237A"/>
    <w:rsid w:val="005826C6"/>
    <w:rsid w:val="0058271A"/>
    <w:rsid w:val="005828D9"/>
    <w:rsid w:val="005829C1"/>
    <w:rsid w:val="00582D13"/>
    <w:rsid w:val="00582DDD"/>
    <w:rsid w:val="00583019"/>
    <w:rsid w:val="005834BD"/>
    <w:rsid w:val="005836BE"/>
    <w:rsid w:val="005836F0"/>
    <w:rsid w:val="00583898"/>
    <w:rsid w:val="005838B1"/>
    <w:rsid w:val="0058401D"/>
    <w:rsid w:val="00584175"/>
    <w:rsid w:val="005848B8"/>
    <w:rsid w:val="00584BFC"/>
    <w:rsid w:val="00584D22"/>
    <w:rsid w:val="00584F25"/>
    <w:rsid w:val="005851CA"/>
    <w:rsid w:val="00585704"/>
    <w:rsid w:val="00585731"/>
    <w:rsid w:val="0058576C"/>
    <w:rsid w:val="00585CEE"/>
    <w:rsid w:val="00585D7D"/>
    <w:rsid w:val="00586378"/>
    <w:rsid w:val="005865D9"/>
    <w:rsid w:val="00586D4F"/>
    <w:rsid w:val="00586ED9"/>
    <w:rsid w:val="00586FDE"/>
    <w:rsid w:val="00587ADE"/>
    <w:rsid w:val="00587BB9"/>
    <w:rsid w:val="00587D3D"/>
    <w:rsid w:val="00587E21"/>
    <w:rsid w:val="00590002"/>
    <w:rsid w:val="005903A1"/>
    <w:rsid w:val="005904AD"/>
    <w:rsid w:val="00590609"/>
    <w:rsid w:val="00590BA0"/>
    <w:rsid w:val="00590D47"/>
    <w:rsid w:val="00591026"/>
    <w:rsid w:val="00591AA9"/>
    <w:rsid w:val="00591B8E"/>
    <w:rsid w:val="005920A5"/>
    <w:rsid w:val="005920B5"/>
    <w:rsid w:val="0059255C"/>
    <w:rsid w:val="00592AE8"/>
    <w:rsid w:val="00592B63"/>
    <w:rsid w:val="00592B9A"/>
    <w:rsid w:val="00593078"/>
    <w:rsid w:val="005935F7"/>
    <w:rsid w:val="00593F11"/>
    <w:rsid w:val="00594564"/>
    <w:rsid w:val="0059465F"/>
    <w:rsid w:val="00594AB5"/>
    <w:rsid w:val="00594B67"/>
    <w:rsid w:val="00594B9D"/>
    <w:rsid w:val="00594FE3"/>
    <w:rsid w:val="005954C2"/>
    <w:rsid w:val="0059566C"/>
    <w:rsid w:val="0059566D"/>
    <w:rsid w:val="005957FA"/>
    <w:rsid w:val="00595B6E"/>
    <w:rsid w:val="00595BB7"/>
    <w:rsid w:val="00595D70"/>
    <w:rsid w:val="0059655D"/>
    <w:rsid w:val="00596562"/>
    <w:rsid w:val="00596726"/>
    <w:rsid w:val="0059678B"/>
    <w:rsid w:val="005968F2"/>
    <w:rsid w:val="00596B8A"/>
    <w:rsid w:val="00596F21"/>
    <w:rsid w:val="00597066"/>
    <w:rsid w:val="00597362"/>
    <w:rsid w:val="005973CC"/>
    <w:rsid w:val="0059765E"/>
    <w:rsid w:val="0059771A"/>
    <w:rsid w:val="0059797D"/>
    <w:rsid w:val="00597A52"/>
    <w:rsid w:val="00597D07"/>
    <w:rsid w:val="00597E2C"/>
    <w:rsid w:val="005A0BAC"/>
    <w:rsid w:val="005A0C70"/>
    <w:rsid w:val="005A10B2"/>
    <w:rsid w:val="005A12EE"/>
    <w:rsid w:val="005A1670"/>
    <w:rsid w:val="005A19A4"/>
    <w:rsid w:val="005A1CD5"/>
    <w:rsid w:val="005A1DC4"/>
    <w:rsid w:val="005A214E"/>
    <w:rsid w:val="005A21A2"/>
    <w:rsid w:val="005A25FF"/>
    <w:rsid w:val="005A2682"/>
    <w:rsid w:val="005A27C9"/>
    <w:rsid w:val="005A2823"/>
    <w:rsid w:val="005A2AC8"/>
    <w:rsid w:val="005A30E1"/>
    <w:rsid w:val="005A3200"/>
    <w:rsid w:val="005A3301"/>
    <w:rsid w:val="005A35EC"/>
    <w:rsid w:val="005A370F"/>
    <w:rsid w:val="005A3882"/>
    <w:rsid w:val="005A3A28"/>
    <w:rsid w:val="005A4456"/>
    <w:rsid w:val="005A45C5"/>
    <w:rsid w:val="005A488B"/>
    <w:rsid w:val="005A5859"/>
    <w:rsid w:val="005A5938"/>
    <w:rsid w:val="005A5A9F"/>
    <w:rsid w:val="005A646B"/>
    <w:rsid w:val="005A689A"/>
    <w:rsid w:val="005A6B8A"/>
    <w:rsid w:val="005A6BFB"/>
    <w:rsid w:val="005A6C21"/>
    <w:rsid w:val="005A707E"/>
    <w:rsid w:val="005A7090"/>
    <w:rsid w:val="005A7866"/>
    <w:rsid w:val="005A78EA"/>
    <w:rsid w:val="005A7C5D"/>
    <w:rsid w:val="005A7D0C"/>
    <w:rsid w:val="005B0363"/>
    <w:rsid w:val="005B15DE"/>
    <w:rsid w:val="005B15FB"/>
    <w:rsid w:val="005B1CC1"/>
    <w:rsid w:val="005B21B4"/>
    <w:rsid w:val="005B243C"/>
    <w:rsid w:val="005B24F0"/>
    <w:rsid w:val="005B279D"/>
    <w:rsid w:val="005B2A83"/>
    <w:rsid w:val="005B2B90"/>
    <w:rsid w:val="005B2BEE"/>
    <w:rsid w:val="005B2BFF"/>
    <w:rsid w:val="005B2EC8"/>
    <w:rsid w:val="005B3798"/>
    <w:rsid w:val="005B3870"/>
    <w:rsid w:val="005B38A1"/>
    <w:rsid w:val="005B3F2E"/>
    <w:rsid w:val="005B3FA6"/>
    <w:rsid w:val="005B4758"/>
    <w:rsid w:val="005B50CD"/>
    <w:rsid w:val="005B51BF"/>
    <w:rsid w:val="005B5241"/>
    <w:rsid w:val="005B5760"/>
    <w:rsid w:val="005B576A"/>
    <w:rsid w:val="005B5EDB"/>
    <w:rsid w:val="005B60F2"/>
    <w:rsid w:val="005B66BA"/>
    <w:rsid w:val="005B6871"/>
    <w:rsid w:val="005B70FF"/>
    <w:rsid w:val="005B7268"/>
    <w:rsid w:val="005B7483"/>
    <w:rsid w:val="005B74F6"/>
    <w:rsid w:val="005B7509"/>
    <w:rsid w:val="005B76A5"/>
    <w:rsid w:val="005B78EA"/>
    <w:rsid w:val="005B7A4D"/>
    <w:rsid w:val="005C013C"/>
    <w:rsid w:val="005C0163"/>
    <w:rsid w:val="005C05BF"/>
    <w:rsid w:val="005C05C3"/>
    <w:rsid w:val="005C088A"/>
    <w:rsid w:val="005C0A70"/>
    <w:rsid w:val="005C0BF8"/>
    <w:rsid w:val="005C0F0C"/>
    <w:rsid w:val="005C0F3F"/>
    <w:rsid w:val="005C1157"/>
    <w:rsid w:val="005C117A"/>
    <w:rsid w:val="005C121C"/>
    <w:rsid w:val="005C18E4"/>
    <w:rsid w:val="005C1AF5"/>
    <w:rsid w:val="005C1F00"/>
    <w:rsid w:val="005C204A"/>
    <w:rsid w:val="005C2782"/>
    <w:rsid w:val="005C2B22"/>
    <w:rsid w:val="005C3208"/>
    <w:rsid w:val="005C3381"/>
    <w:rsid w:val="005C3BA9"/>
    <w:rsid w:val="005C3C30"/>
    <w:rsid w:val="005C3E72"/>
    <w:rsid w:val="005C3FA0"/>
    <w:rsid w:val="005C3FCE"/>
    <w:rsid w:val="005C443C"/>
    <w:rsid w:val="005C4801"/>
    <w:rsid w:val="005C4835"/>
    <w:rsid w:val="005C4855"/>
    <w:rsid w:val="005C5050"/>
    <w:rsid w:val="005C5469"/>
    <w:rsid w:val="005C5D45"/>
    <w:rsid w:val="005C6C15"/>
    <w:rsid w:val="005C6C3A"/>
    <w:rsid w:val="005C6F90"/>
    <w:rsid w:val="005C713C"/>
    <w:rsid w:val="005C77E7"/>
    <w:rsid w:val="005D007D"/>
    <w:rsid w:val="005D007E"/>
    <w:rsid w:val="005D00EB"/>
    <w:rsid w:val="005D04F3"/>
    <w:rsid w:val="005D0A2E"/>
    <w:rsid w:val="005D10E8"/>
    <w:rsid w:val="005D145F"/>
    <w:rsid w:val="005D14C1"/>
    <w:rsid w:val="005D1978"/>
    <w:rsid w:val="005D19CB"/>
    <w:rsid w:val="005D1C68"/>
    <w:rsid w:val="005D20BB"/>
    <w:rsid w:val="005D261D"/>
    <w:rsid w:val="005D2F4B"/>
    <w:rsid w:val="005D33CB"/>
    <w:rsid w:val="005D4C39"/>
    <w:rsid w:val="005D56A1"/>
    <w:rsid w:val="005D5A6B"/>
    <w:rsid w:val="005D5B27"/>
    <w:rsid w:val="005D5B38"/>
    <w:rsid w:val="005D5F0B"/>
    <w:rsid w:val="005D66DA"/>
    <w:rsid w:val="005D6AA0"/>
    <w:rsid w:val="005D7740"/>
    <w:rsid w:val="005D77F6"/>
    <w:rsid w:val="005D7CC0"/>
    <w:rsid w:val="005D7D11"/>
    <w:rsid w:val="005E025F"/>
    <w:rsid w:val="005E0731"/>
    <w:rsid w:val="005E0AB9"/>
    <w:rsid w:val="005E0AE4"/>
    <w:rsid w:val="005E124F"/>
    <w:rsid w:val="005E13B9"/>
    <w:rsid w:val="005E151E"/>
    <w:rsid w:val="005E161F"/>
    <w:rsid w:val="005E193B"/>
    <w:rsid w:val="005E1948"/>
    <w:rsid w:val="005E1E21"/>
    <w:rsid w:val="005E1E2F"/>
    <w:rsid w:val="005E214E"/>
    <w:rsid w:val="005E22B1"/>
    <w:rsid w:val="005E2B25"/>
    <w:rsid w:val="005E2DD5"/>
    <w:rsid w:val="005E3095"/>
    <w:rsid w:val="005E349D"/>
    <w:rsid w:val="005E35FB"/>
    <w:rsid w:val="005E38E1"/>
    <w:rsid w:val="005E4789"/>
    <w:rsid w:val="005E4E79"/>
    <w:rsid w:val="005E585B"/>
    <w:rsid w:val="005E60AC"/>
    <w:rsid w:val="005E6806"/>
    <w:rsid w:val="005E6904"/>
    <w:rsid w:val="005E73DF"/>
    <w:rsid w:val="005E79F0"/>
    <w:rsid w:val="005F00CE"/>
    <w:rsid w:val="005F0230"/>
    <w:rsid w:val="005F0350"/>
    <w:rsid w:val="005F079C"/>
    <w:rsid w:val="005F0B18"/>
    <w:rsid w:val="005F0E09"/>
    <w:rsid w:val="005F0FEC"/>
    <w:rsid w:val="005F116A"/>
    <w:rsid w:val="005F1274"/>
    <w:rsid w:val="005F13B0"/>
    <w:rsid w:val="005F17D4"/>
    <w:rsid w:val="005F1A7E"/>
    <w:rsid w:val="005F1BFE"/>
    <w:rsid w:val="005F229D"/>
    <w:rsid w:val="005F281B"/>
    <w:rsid w:val="005F2FF8"/>
    <w:rsid w:val="005F3040"/>
    <w:rsid w:val="005F393D"/>
    <w:rsid w:val="005F3A10"/>
    <w:rsid w:val="005F3A62"/>
    <w:rsid w:val="005F3A74"/>
    <w:rsid w:val="005F3C18"/>
    <w:rsid w:val="005F3EAD"/>
    <w:rsid w:val="005F40CF"/>
    <w:rsid w:val="005F42CF"/>
    <w:rsid w:val="005F44A3"/>
    <w:rsid w:val="005F466B"/>
    <w:rsid w:val="005F4DEE"/>
    <w:rsid w:val="005F5003"/>
    <w:rsid w:val="005F52A7"/>
    <w:rsid w:val="005F556A"/>
    <w:rsid w:val="005F55C6"/>
    <w:rsid w:val="005F5E25"/>
    <w:rsid w:val="005F5EC0"/>
    <w:rsid w:val="005F60BB"/>
    <w:rsid w:val="005F619F"/>
    <w:rsid w:val="005F6258"/>
    <w:rsid w:val="005F632C"/>
    <w:rsid w:val="005F63B1"/>
    <w:rsid w:val="005F65F2"/>
    <w:rsid w:val="005F6BE2"/>
    <w:rsid w:val="005F743C"/>
    <w:rsid w:val="005F77DB"/>
    <w:rsid w:val="005F78A6"/>
    <w:rsid w:val="005F7CF5"/>
    <w:rsid w:val="005F7E13"/>
    <w:rsid w:val="00600334"/>
    <w:rsid w:val="0060033A"/>
    <w:rsid w:val="006005A6"/>
    <w:rsid w:val="00600E49"/>
    <w:rsid w:val="00601535"/>
    <w:rsid w:val="006016B4"/>
    <w:rsid w:val="00601E96"/>
    <w:rsid w:val="006020FB"/>
    <w:rsid w:val="00602115"/>
    <w:rsid w:val="00602816"/>
    <w:rsid w:val="00602A1C"/>
    <w:rsid w:val="00602EAB"/>
    <w:rsid w:val="00603028"/>
    <w:rsid w:val="006032DE"/>
    <w:rsid w:val="006036A3"/>
    <w:rsid w:val="00603965"/>
    <w:rsid w:val="0060399D"/>
    <w:rsid w:val="006039E4"/>
    <w:rsid w:val="006040E7"/>
    <w:rsid w:val="00604208"/>
    <w:rsid w:val="00604603"/>
    <w:rsid w:val="00604667"/>
    <w:rsid w:val="00604842"/>
    <w:rsid w:val="00604B11"/>
    <w:rsid w:val="00604CD9"/>
    <w:rsid w:val="00604FF0"/>
    <w:rsid w:val="0060510F"/>
    <w:rsid w:val="00605174"/>
    <w:rsid w:val="00605488"/>
    <w:rsid w:val="00605ACA"/>
    <w:rsid w:val="00605E8E"/>
    <w:rsid w:val="006062D8"/>
    <w:rsid w:val="0060641C"/>
    <w:rsid w:val="0060660D"/>
    <w:rsid w:val="006066C3"/>
    <w:rsid w:val="0060678B"/>
    <w:rsid w:val="00606EAA"/>
    <w:rsid w:val="0060744F"/>
    <w:rsid w:val="00607478"/>
    <w:rsid w:val="00607632"/>
    <w:rsid w:val="006076B3"/>
    <w:rsid w:val="00607F25"/>
    <w:rsid w:val="00607FDD"/>
    <w:rsid w:val="0061007C"/>
    <w:rsid w:val="00610788"/>
    <w:rsid w:val="00610880"/>
    <w:rsid w:val="00610A03"/>
    <w:rsid w:val="00610A1C"/>
    <w:rsid w:val="00611239"/>
    <w:rsid w:val="006116B5"/>
    <w:rsid w:val="0061176C"/>
    <w:rsid w:val="0061239A"/>
    <w:rsid w:val="006125FC"/>
    <w:rsid w:val="00612792"/>
    <w:rsid w:val="00612C20"/>
    <w:rsid w:val="00612D42"/>
    <w:rsid w:val="00612E1E"/>
    <w:rsid w:val="0061353F"/>
    <w:rsid w:val="00613991"/>
    <w:rsid w:val="006140D6"/>
    <w:rsid w:val="00614560"/>
    <w:rsid w:val="006149DB"/>
    <w:rsid w:val="00615342"/>
    <w:rsid w:val="00615814"/>
    <w:rsid w:val="0061585E"/>
    <w:rsid w:val="00616428"/>
    <w:rsid w:val="006167D9"/>
    <w:rsid w:val="00616B46"/>
    <w:rsid w:val="00616B58"/>
    <w:rsid w:val="00616D97"/>
    <w:rsid w:val="00616DD7"/>
    <w:rsid w:val="00616E7B"/>
    <w:rsid w:val="00617151"/>
    <w:rsid w:val="006177DA"/>
    <w:rsid w:val="00617A3D"/>
    <w:rsid w:val="00617C30"/>
    <w:rsid w:val="00620CA1"/>
    <w:rsid w:val="00620F04"/>
    <w:rsid w:val="006210F5"/>
    <w:rsid w:val="006216BE"/>
    <w:rsid w:val="00621816"/>
    <w:rsid w:val="006218E4"/>
    <w:rsid w:val="00621B68"/>
    <w:rsid w:val="00621BA1"/>
    <w:rsid w:val="00621C08"/>
    <w:rsid w:val="00621DF0"/>
    <w:rsid w:val="00622529"/>
    <w:rsid w:val="006227ED"/>
    <w:rsid w:val="00622A89"/>
    <w:rsid w:val="00622AD6"/>
    <w:rsid w:val="00622C53"/>
    <w:rsid w:val="00622C7D"/>
    <w:rsid w:val="00622D6E"/>
    <w:rsid w:val="00622F08"/>
    <w:rsid w:val="00622F1D"/>
    <w:rsid w:val="0062301B"/>
    <w:rsid w:val="006233F2"/>
    <w:rsid w:val="0062363C"/>
    <w:rsid w:val="006237ED"/>
    <w:rsid w:val="00623945"/>
    <w:rsid w:val="00623A7F"/>
    <w:rsid w:val="00623C8D"/>
    <w:rsid w:val="006244FD"/>
    <w:rsid w:val="00624813"/>
    <w:rsid w:val="00624900"/>
    <w:rsid w:val="00624C97"/>
    <w:rsid w:val="00624ECE"/>
    <w:rsid w:val="00624F61"/>
    <w:rsid w:val="00625263"/>
    <w:rsid w:val="006252E2"/>
    <w:rsid w:val="00625476"/>
    <w:rsid w:val="00625510"/>
    <w:rsid w:val="006255D3"/>
    <w:rsid w:val="00625905"/>
    <w:rsid w:val="00626023"/>
    <w:rsid w:val="0062624B"/>
    <w:rsid w:val="0062644D"/>
    <w:rsid w:val="00626521"/>
    <w:rsid w:val="00626770"/>
    <w:rsid w:val="00626795"/>
    <w:rsid w:val="00626E6A"/>
    <w:rsid w:val="00626EE8"/>
    <w:rsid w:val="00626F04"/>
    <w:rsid w:val="00627502"/>
    <w:rsid w:val="0062760F"/>
    <w:rsid w:val="00627AA6"/>
    <w:rsid w:val="006300AA"/>
    <w:rsid w:val="006301B5"/>
    <w:rsid w:val="006303AB"/>
    <w:rsid w:val="00630A37"/>
    <w:rsid w:val="00630B88"/>
    <w:rsid w:val="0063108A"/>
    <w:rsid w:val="006313F6"/>
    <w:rsid w:val="006314BC"/>
    <w:rsid w:val="00631C2C"/>
    <w:rsid w:val="00631D68"/>
    <w:rsid w:val="006324D0"/>
    <w:rsid w:val="00632735"/>
    <w:rsid w:val="00632953"/>
    <w:rsid w:val="00632B2A"/>
    <w:rsid w:val="00632D41"/>
    <w:rsid w:val="00632EAA"/>
    <w:rsid w:val="00632FB9"/>
    <w:rsid w:val="00633009"/>
    <w:rsid w:val="00633089"/>
    <w:rsid w:val="00633154"/>
    <w:rsid w:val="0063379C"/>
    <w:rsid w:val="0063384B"/>
    <w:rsid w:val="00633EC5"/>
    <w:rsid w:val="00633ECA"/>
    <w:rsid w:val="0063401D"/>
    <w:rsid w:val="006341F7"/>
    <w:rsid w:val="0063429F"/>
    <w:rsid w:val="006342C0"/>
    <w:rsid w:val="0063456E"/>
    <w:rsid w:val="006346AB"/>
    <w:rsid w:val="0063489C"/>
    <w:rsid w:val="00634AD4"/>
    <w:rsid w:val="00634CA6"/>
    <w:rsid w:val="00634E81"/>
    <w:rsid w:val="00634F2B"/>
    <w:rsid w:val="00635045"/>
    <w:rsid w:val="00635094"/>
    <w:rsid w:val="00635138"/>
    <w:rsid w:val="0063518A"/>
    <w:rsid w:val="0063543E"/>
    <w:rsid w:val="006354DF"/>
    <w:rsid w:val="0063580A"/>
    <w:rsid w:val="00635C81"/>
    <w:rsid w:val="006361A5"/>
    <w:rsid w:val="006369F4"/>
    <w:rsid w:val="00636A86"/>
    <w:rsid w:val="00636CB7"/>
    <w:rsid w:val="00636F97"/>
    <w:rsid w:val="00636FE0"/>
    <w:rsid w:val="006370B1"/>
    <w:rsid w:val="00637596"/>
    <w:rsid w:val="0063791A"/>
    <w:rsid w:val="00637B6C"/>
    <w:rsid w:val="00637F05"/>
    <w:rsid w:val="006401FC"/>
    <w:rsid w:val="00640464"/>
    <w:rsid w:val="0064058F"/>
    <w:rsid w:val="00640690"/>
    <w:rsid w:val="00640854"/>
    <w:rsid w:val="00640B31"/>
    <w:rsid w:val="00640CAD"/>
    <w:rsid w:val="00640F17"/>
    <w:rsid w:val="006410B9"/>
    <w:rsid w:val="00641A4B"/>
    <w:rsid w:val="00641ACC"/>
    <w:rsid w:val="00641C4F"/>
    <w:rsid w:val="00641CAC"/>
    <w:rsid w:val="00641CB2"/>
    <w:rsid w:val="00641D86"/>
    <w:rsid w:val="00642180"/>
    <w:rsid w:val="00642261"/>
    <w:rsid w:val="0064232B"/>
    <w:rsid w:val="00642355"/>
    <w:rsid w:val="006424C6"/>
    <w:rsid w:val="0064271B"/>
    <w:rsid w:val="006431E6"/>
    <w:rsid w:val="00643AD4"/>
    <w:rsid w:val="00644086"/>
    <w:rsid w:val="00644A9E"/>
    <w:rsid w:val="00644ABE"/>
    <w:rsid w:val="00645113"/>
    <w:rsid w:val="0064526E"/>
    <w:rsid w:val="0064530D"/>
    <w:rsid w:val="0064542A"/>
    <w:rsid w:val="00645E79"/>
    <w:rsid w:val="00645EDF"/>
    <w:rsid w:val="006460E9"/>
    <w:rsid w:val="006464C6"/>
    <w:rsid w:val="006465AD"/>
    <w:rsid w:val="006465E0"/>
    <w:rsid w:val="006465EE"/>
    <w:rsid w:val="00646812"/>
    <w:rsid w:val="00646A1B"/>
    <w:rsid w:val="00647176"/>
    <w:rsid w:val="006472A6"/>
    <w:rsid w:val="00647487"/>
    <w:rsid w:val="006476E0"/>
    <w:rsid w:val="00647AED"/>
    <w:rsid w:val="00647B9A"/>
    <w:rsid w:val="00647E05"/>
    <w:rsid w:val="00647E65"/>
    <w:rsid w:val="00647F31"/>
    <w:rsid w:val="0065049F"/>
    <w:rsid w:val="0065059F"/>
    <w:rsid w:val="00650778"/>
    <w:rsid w:val="00650995"/>
    <w:rsid w:val="00650D0C"/>
    <w:rsid w:val="00650DC2"/>
    <w:rsid w:val="00651005"/>
    <w:rsid w:val="0065104F"/>
    <w:rsid w:val="006514E3"/>
    <w:rsid w:val="00651595"/>
    <w:rsid w:val="006518D9"/>
    <w:rsid w:val="00651B03"/>
    <w:rsid w:val="00651B6B"/>
    <w:rsid w:val="00651ED2"/>
    <w:rsid w:val="00652155"/>
    <w:rsid w:val="006521A2"/>
    <w:rsid w:val="00652337"/>
    <w:rsid w:val="006525EC"/>
    <w:rsid w:val="0065261D"/>
    <w:rsid w:val="00652789"/>
    <w:rsid w:val="006527BD"/>
    <w:rsid w:val="00652806"/>
    <w:rsid w:val="00652B42"/>
    <w:rsid w:val="00652E1E"/>
    <w:rsid w:val="006533B7"/>
    <w:rsid w:val="006534C6"/>
    <w:rsid w:val="00653A12"/>
    <w:rsid w:val="00653AEC"/>
    <w:rsid w:val="00653C29"/>
    <w:rsid w:val="00654196"/>
    <w:rsid w:val="006541E7"/>
    <w:rsid w:val="0065434E"/>
    <w:rsid w:val="0065498E"/>
    <w:rsid w:val="0065539A"/>
    <w:rsid w:val="006553A3"/>
    <w:rsid w:val="0065560C"/>
    <w:rsid w:val="0065582E"/>
    <w:rsid w:val="00655AD1"/>
    <w:rsid w:val="00655C79"/>
    <w:rsid w:val="00656000"/>
    <w:rsid w:val="0065604C"/>
    <w:rsid w:val="00656132"/>
    <w:rsid w:val="00656644"/>
    <w:rsid w:val="006567EC"/>
    <w:rsid w:val="00656B91"/>
    <w:rsid w:val="00656E3A"/>
    <w:rsid w:val="0065731F"/>
    <w:rsid w:val="0065782B"/>
    <w:rsid w:val="00657DB7"/>
    <w:rsid w:val="00657DF1"/>
    <w:rsid w:val="00660011"/>
    <w:rsid w:val="0066016F"/>
    <w:rsid w:val="00660192"/>
    <w:rsid w:val="00660585"/>
    <w:rsid w:val="00660921"/>
    <w:rsid w:val="00660C8C"/>
    <w:rsid w:val="00660DD5"/>
    <w:rsid w:val="00660FE9"/>
    <w:rsid w:val="00661C16"/>
    <w:rsid w:val="00661CC0"/>
    <w:rsid w:val="00661CDE"/>
    <w:rsid w:val="0066204E"/>
    <w:rsid w:val="006628C2"/>
    <w:rsid w:val="00662F85"/>
    <w:rsid w:val="00663131"/>
    <w:rsid w:val="00663A9A"/>
    <w:rsid w:val="00663C37"/>
    <w:rsid w:val="00663C45"/>
    <w:rsid w:val="00663F1C"/>
    <w:rsid w:val="0066412E"/>
    <w:rsid w:val="0066464F"/>
    <w:rsid w:val="00664BCE"/>
    <w:rsid w:val="006654F9"/>
    <w:rsid w:val="0066558C"/>
    <w:rsid w:val="006656CC"/>
    <w:rsid w:val="00665F9B"/>
    <w:rsid w:val="006663C9"/>
    <w:rsid w:val="006663D4"/>
    <w:rsid w:val="006664F5"/>
    <w:rsid w:val="006665C4"/>
    <w:rsid w:val="00666BDA"/>
    <w:rsid w:val="006671DC"/>
    <w:rsid w:val="006672F5"/>
    <w:rsid w:val="0066741F"/>
    <w:rsid w:val="00667438"/>
    <w:rsid w:val="0066747A"/>
    <w:rsid w:val="00667541"/>
    <w:rsid w:val="00667969"/>
    <w:rsid w:val="00667D83"/>
    <w:rsid w:val="0067049B"/>
    <w:rsid w:val="00670648"/>
    <w:rsid w:val="00670E22"/>
    <w:rsid w:val="00670EF2"/>
    <w:rsid w:val="0067145B"/>
    <w:rsid w:val="00671484"/>
    <w:rsid w:val="006719D8"/>
    <w:rsid w:val="00671A14"/>
    <w:rsid w:val="00671B85"/>
    <w:rsid w:val="00671C99"/>
    <w:rsid w:val="006724D1"/>
    <w:rsid w:val="0067264D"/>
    <w:rsid w:val="00672864"/>
    <w:rsid w:val="00672C96"/>
    <w:rsid w:val="00672E34"/>
    <w:rsid w:val="006730CA"/>
    <w:rsid w:val="00673215"/>
    <w:rsid w:val="0067329F"/>
    <w:rsid w:val="00673A7F"/>
    <w:rsid w:val="00673DED"/>
    <w:rsid w:val="00673E3D"/>
    <w:rsid w:val="0067498E"/>
    <w:rsid w:val="00674BA4"/>
    <w:rsid w:val="00675037"/>
    <w:rsid w:val="0067523B"/>
    <w:rsid w:val="006753FE"/>
    <w:rsid w:val="00675662"/>
    <w:rsid w:val="006756AC"/>
    <w:rsid w:val="00675959"/>
    <w:rsid w:val="00675C62"/>
    <w:rsid w:val="00675D96"/>
    <w:rsid w:val="00675EF8"/>
    <w:rsid w:val="006760E9"/>
    <w:rsid w:val="0067620C"/>
    <w:rsid w:val="0067630A"/>
    <w:rsid w:val="0067667A"/>
    <w:rsid w:val="006767A1"/>
    <w:rsid w:val="0067684C"/>
    <w:rsid w:val="00676BA9"/>
    <w:rsid w:val="00676BD3"/>
    <w:rsid w:val="00676DF1"/>
    <w:rsid w:val="00677900"/>
    <w:rsid w:val="00677B5F"/>
    <w:rsid w:val="00677B9A"/>
    <w:rsid w:val="00677F1E"/>
    <w:rsid w:val="00677FC4"/>
    <w:rsid w:val="006803AB"/>
    <w:rsid w:val="00680534"/>
    <w:rsid w:val="0068090C"/>
    <w:rsid w:val="00680CED"/>
    <w:rsid w:val="00680E92"/>
    <w:rsid w:val="00680F25"/>
    <w:rsid w:val="00681315"/>
    <w:rsid w:val="00681388"/>
    <w:rsid w:val="006818EB"/>
    <w:rsid w:val="00681D3F"/>
    <w:rsid w:val="00681D9E"/>
    <w:rsid w:val="00681E3C"/>
    <w:rsid w:val="006833D2"/>
    <w:rsid w:val="0068353F"/>
    <w:rsid w:val="0068355C"/>
    <w:rsid w:val="00683948"/>
    <w:rsid w:val="00683D7C"/>
    <w:rsid w:val="00683FA4"/>
    <w:rsid w:val="006845C8"/>
    <w:rsid w:val="00684ED0"/>
    <w:rsid w:val="00685107"/>
    <w:rsid w:val="0068517A"/>
    <w:rsid w:val="006853A6"/>
    <w:rsid w:val="006858B2"/>
    <w:rsid w:val="006858D8"/>
    <w:rsid w:val="006859E4"/>
    <w:rsid w:val="00685D9E"/>
    <w:rsid w:val="00685E4C"/>
    <w:rsid w:val="00685F07"/>
    <w:rsid w:val="00686784"/>
    <w:rsid w:val="006869C3"/>
    <w:rsid w:val="00686BBF"/>
    <w:rsid w:val="00686C8D"/>
    <w:rsid w:val="00686CE3"/>
    <w:rsid w:val="00686F55"/>
    <w:rsid w:val="006871D3"/>
    <w:rsid w:val="00687532"/>
    <w:rsid w:val="006875F2"/>
    <w:rsid w:val="0068767A"/>
    <w:rsid w:val="00687B34"/>
    <w:rsid w:val="00687DE7"/>
    <w:rsid w:val="00690351"/>
    <w:rsid w:val="00690555"/>
    <w:rsid w:val="00690941"/>
    <w:rsid w:val="00690966"/>
    <w:rsid w:val="006909AA"/>
    <w:rsid w:val="00690D03"/>
    <w:rsid w:val="0069124F"/>
    <w:rsid w:val="00691628"/>
    <w:rsid w:val="00691B90"/>
    <w:rsid w:val="00691EB3"/>
    <w:rsid w:val="00692402"/>
    <w:rsid w:val="0069317D"/>
    <w:rsid w:val="00693893"/>
    <w:rsid w:val="00693906"/>
    <w:rsid w:val="00693BEB"/>
    <w:rsid w:val="00694259"/>
    <w:rsid w:val="0069442E"/>
    <w:rsid w:val="00694573"/>
    <w:rsid w:val="0069482F"/>
    <w:rsid w:val="00694AA2"/>
    <w:rsid w:val="00694EB5"/>
    <w:rsid w:val="00695055"/>
    <w:rsid w:val="00695EF1"/>
    <w:rsid w:val="00695F10"/>
    <w:rsid w:val="006963D0"/>
    <w:rsid w:val="00696657"/>
    <w:rsid w:val="0069770D"/>
    <w:rsid w:val="0069793E"/>
    <w:rsid w:val="00697A43"/>
    <w:rsid w:val="00697A50"/>
    <w:rsid w:val="00697CB6"/>
    <w:rsid w:val="006A011B"/>
    <w:rsid w:val="006A068F"/>
    <w:rsid w:val="006A06C8"/>
    <w:rsid w:val="006A0952"/>
    <w:rsid w:val="006A0FDE"/>
    <w:rsid w:val="006A1459"/>
    <w:rsid w:val="006A14F5"/>
    <w:rsid w:val="006A15F2"/>
    <w:rsid w:val="006A1643"/>
    <w:rsid w:val="006A174A"/>
    <w:rsid w:val="006A1862"/>
    <w:rsid w:val="006A1897"/>
    <w:rsid w:val="006A18D5"/>
    <w:rsid w:val="006A19B0"/>
    <w:rsid w:val="006A19ED"/>
    <w:rsid w:val="006A1B08"/>
    <w:rsid w:val="006A28A6"/>
    <w:rsid w:val="006A2A1E"/>
    <w:rsid w:val="006A2AF6"/>
    <w:rsid w:val="006A2C0E"/>
    <w:rsid w:val="006A2DDD"/>
    <w:rsid w:val="006A310D"/>
    <w:rsid w:val="006A4B38"/>
    <w:rsid w:val="006A4D4B"/>
    <w:rsid w:val="006A535E"/>
    <w:rsid w:val="006A5A21"/>
    <w:rsid w:val="006A5E9C"/>
    <w:rsid w:val="006A60D2"/>
    <w:rsid w:val="006A61A3"/>
    <w:rsid w:val="006A654E"/>
    <w:rsid w:val="006A655F"/>
    <w:rsid w:val="006A6564"/>
    <w:rsid w:val="006A6715"/>
    <w:rsid w:val="006A677D"/>
    <w:rsid w:val="006A6BA4"/>
    <w:rsid w:val="006A6BF1"/>
    <w:rsid w:val="006A6E8C"/>
    <w:rsid w:val="006A707F"/>
    <w:rsid w:val="006A75C4"/>
    <w:rsid w:val="006A77D4"/>
    <w:rsid w:val="006A7AEC"/>
    <w:rsid w:val="006A7E16"/>
    <w:rsid w:val="006A7FF0"/>
    <w:rsid w:val="006B02F6"/>
    <w:rsid w:val="006B032B"/>
    <w:rsid w:val="006B03D4"/>
    <w:rsid w:val="006B0784"/>
    <w:rsid w:val="006B0788"/>
    <w:rsid w:val="006B0C4F"/>
    <w:rsid w:val="006B0DEC"/>
    <w:rsid w:val="006B11AD"/>
    <w:rsid w:val="006B15AA"/>
    <w:rsid w:val="006B1AF9"/>
    <w:rsid w:val="006B1EE3"/>
    <w:rsid w:val="006B1EFF"/>
    <w:rsid w:val="006B2320"/>
    <w:rsid w:val="006B2499"/>
    <w:rsid w:val="006B26D2"/>
    <w:rsid w:val="006B2C0E"/>
    <w:rsid w:val="006B2F22"/>
    <w:rsid w:val="006B3246"/>
    <w:rsid w:val="006B3764"/>
    <w:rsid w:val="006B40C6"/>
    <w:rsid w:val="006B4124"/>
    <w:rsid w:val="006B46FE"/>
    <w:rsid w:val="006B4ABC"/>
    <w:rsid w:val="006B4C1A"/>
    <w:rsid w:val="006B51C9"/>
    <w:rsid w:val="006B5411"/>
    <w:rsid w:val="006B580F"/>
    <w:rsid w:val="006B5A33"/>
    <w:rsid w:val="006B62F9"/>
    <w:rsid w:val="006B63A0"/>
    <w:rsid w:val="006B63A1"/>
    <w:rsid w:val="006B6B97"/>
    <w:rsid w:val="006B6F2E"/>
    <w:rsid w:val="006B7499"/>
    <w:rsid w:val="006B7AF0"/>
    <w:rsid w:val="006C01E1"/>
    <w:rsid w:val="006C03E4"/>
    <w:rsid w:val="006C0485"/>
    <w:rsid w:val="006C065B"/>
    <w:rsid w:val="006C06AD"/>
    <w:rsid w:val="006C0727"/>
    <w:rsid w:val="006C09E8"/>
    <w:rsid w:val="006C0A33"/>
    <w:rsid w:val="006C0E3F"/>
    <w:rsid w:val="006C1BFF"/>
    <w:rsid w:val="006C1CB5"/>
    <w:rsid w:val="006C1D79"/>
    <w:rsid w:val="006C1F0B"/>
    <w:rsid w:val="006C208F"/>
    <w:rsid w:val="006C210F"/>
    <w:rsid w:val="006C2265"/>
    <w:rsid w:val="006C299A"/>
    <w:rsid w:val="006C29E8"/>
    <w:rsid w:val="006C2A6D"/>
    <w:rsid w:val="006C2AB0"/>
    <w:rsid w:val="006C2C58"/>
    <w:rsid w:val="006C2CA7"/>
    <w:rsid w:val="006C381E"/>
    <w:rsid w:val="006C3E57"/>
    <w:rsid w:val="006C4115"/>
    <w:rsid w:val="006C418C"/>
    <w:rsid w:val="006C4894"/>
    <w:rsid w:val="006C5360"/>
    <w:rsid w:val="006C5534"/>
    <w:rsid w:val="006C5C4D"/>
    <w:rsid w:val="006C5FBA"/>
    <w:rsid w:val="006C61EB"/>
    <w:rsid w:val="006C6400"/>
    <w:rsid w:val="006C66ED"/>
    <w:rsid w:val="006C68BF"/>
    <w:rsid w:val="006C6D7F"/>
    <w:rsid w:val="006C7032"/>
    <w:rsid w:val="006C72E5"/>
    <w:rsid w:val="006C7395"/>
    <w:rsid w:val="006C757B"/>
    <w:rsid w:val="006C7775"/>
    <w:rsid w:val="006C7FC3"/>
    <w:rsid w:val="006D0C63"/>
    <w:rsid w:val="006D0E50"/>
    <w:rsid w:val="006D104B"/>
    <w:rsid w:val="006D142D"/>
    <w:rsid w:val="006D1D51"/>
    <w:rsid w:val="006D2539"/>
    <w:rsid w:val="006D2597"/>
    <w:rsid w:val="006D2BF6"/>
    <w:rsid w:val="006D2CE4"/>
    <w:rsid w:val="006D2E6A"/>
    <w:rsid w:val="006D2FF8"/>
    <w:rsid w:val="006D3080"/>
    <w:rsid w:val="006D3648"/>
    <w:rsid w:val="006D3B75"/>
    <w:rsid w:val="006D414F"/>
    <w:rsid w:val="006D444F"/>
    <w:rsid w:val="006D4516"/>
    <w:rsid w:val="006D4A29"/>
    <w:rsid w:val="006D5182"/>
    <w:rsid w:val="006D565E"/>
    <w:rsid w:val="006D56FA"/>
    <w:rsid w:val="006D5801"/>
    <w:rsid w:val="006D5C7F"/>
    <w:rsid w:val="006D62F3"/>
    <w:rsid w:val="006D663E"/>
    <w:rsid w:val="006D6921"/>
    <w:rsid w:val="006D6DD3"/>
    <w:rsid w:val="006D6ED4"/>
    <w:rsid w:val="006D6F15"/>
    <w:rsid w:val="006D76BA"/>
    <w:rsid w:val="006D7B02"/>
    <w:rsid w:val="006D7B4A"/>
    <w:rsid w:val="006D7EE9"/>
    <w:rsid w:val="006E073E"/>
    <w:rsid w:val="006E0876"/>
    <w:rsid w:val="006E0DC7"/>
    <w:rsid w:val="006E10DC"/>
    <w:rsid w:val="006E11F7"/>
    <w:rsid w:val="006E1221"/>
    <w:rsid w:val="006E1492"/>
    <w:rsid w:val="006E1779"/>
    <w:rsid w:val="006E17DE"/>
    <w:rsid w:val="006E1C7F"/>
    <w:rsid w:val="006E1E73"/>
    <w:rsid w:val="006E2092"/>
    <w:rsid w:val="006E2109"/>
    <w:rsid w:val="006E246E"/>
    <w:rsid w:val="006E2F1A"/>
    <w:rsid w:val="006E2F8D"/>
    <w:rsid w:val="006E2FF5"/>
    <w:rsid w:val="006E302B"/>
    <w:rsid w:val="006E3201"/>
    <w:rsid w:val="006E366F"/>
    <w:rsid w:val="006E3703"/>
    <w:rsid w:val="006E3E39"/>
    <w:rsid w:val="006E4028"/>
    <w:rsid w:val="006E410A"/>
    <w:rsid w:val="006E4AF4"/>
    <w:rsid w:val="006E4C73"/>
    <w:rsid w:val="006E4EC5"/>
    <w:rsid w:val="006E4EDD"/>
    <w:rsid w:val="006E4EE0"/>
    <w:rsid w:val="006E5197"/>
    <w:rsid w:val="006E58EE"/>
    <w:rsid w:val="006E5914"/>
    <w:rsid w:val="006E59D8"/>
    <w:rsid w:val="006E60FF"/>
    <w:rsid w:val="006F016F"/>
    <w:rsid w:val="006F057E"/>
    <w:rsid w:val="006F0720"/>
    <w:rsid w:val="006F07DC"/>
    <w:rsid w:val="006F09C5"/>
    <w:rsid w:val="006F0BE9"/>
    <w:rsid w:val="006F0EED"/>
    <w:rsid w:val="006F1520"/>
    <w:rsid w:val="006F1574"/>
    <w:rsid w:val="006F15B4"/>
    <w:rsid w:val="006F18C1"/>
    <w:rsid w:val="006F1930"/>
    <w:rsid w:val="006F1CB5"/>
    <w:rsid w:val="006F1E48"/>
    <w:rsid w:val="006F1FC8"/>
    <w:rsid w:val="006F2120"/>
    <w:rsid w:val="006F258B"/>
    <w:rsid w:val="006F25B9"/>
    <w:rsid w:val="006F2729"/>
    <w:rsid w:val="006F2A8B"/>
    <w:rsid w:val="006F2B71"/>
    <w:rsid w:val="006F2EBD"/>
    <w:rsid w:val="006F4144"/>
    <w:rsid w:val="006F455B"/>
    <w:rsid w:val="006F48CF"/>
    <w:rsid w:val="006F4BE6"/>
    <w:rsid w:val="006F4DC7"/>
    <w:rsid w:val="006F528F"/>
    <w:rsid w:val="006F5F74"/>
    <w:rsid w:val="006F60AE"/>
    <w:rsid w:val="006F621C"/>
    <w:rsid w:val="006F64E1"/>
    <w:rsid w:val="006F655C"/>
    <w:rsid w:val="006F6BD4"/>
    <w:rsid w:val="006F6C1A"/>
    <w:rsid w:val="006F6E0F"/>
    <w:rsid w:val="006F73F5"/>
    <w:rsid w:val="006F76A3"/>
    <w:rsid w:val="006F7D4D"/>
    <w:rsid w:val="006F7EB5"/>
    <w:rsid w:val="007000B7"/>
    <w:rsid w:val="007005CF"/>
    <w:rsid w:val="00701108"/>
    <w:rsid w:val="00701453"/>
    <w:rsid w:val="0070158E"/>
    <w:rsid w:val="00701FB4"/>
    <w:rsid w:val="007020A6"/>
    <w:rsid w:val="007023D1"/>
    <w:rsid w:val="007027CC"/>
    <w:rsid w:val="00702B3D"/>
    <w:rsid w:val="00702B5D"/>
    <w:rsid w:val="0070316D"/>
    <w:rsid w:val="00703171"/>
    <w:rsid w:val="00703ABB"/>
    <w:rsid w:val="007043EC"/>
    <w:rsid w:val="0070442A"/>
    <w:rsid w:val="00704451"/>
    <w:rsid w:val="00704AFE"/>
    <w:rsid w:val="00705097"/>
    <w:rsid w:val="00705657"/>
    <w:rsid w:val="00705C74"/>
    <w:rsid w:val="00705C88"/>
    <w:rsid w:val="00706241"/>
    <w:rsid w:val="00706367"/>
    <w:rsid w:val="007065B2"/>
    <w:rsid w:val="007067D0"/>
    <w:rsid w:val="00706C5D"/>
    <w:rsid w:val="00707500"/>
    <w:rsid w:val="00707524"/>
    <w:rsid w:val="0070785C"/>
    <w:rsid w:val="00707B4E"/>
    <w:rsid w:val="00707D93"/>
    <w:rsid w:val="007106F2"/>
    <w:rsid w:val="007108C5"/>
    <w:rsid w:val="00710CAD"/>
    <w:rsid w:val="00710CD8"/>
    <w:rsid w:val="00710D78"/>
    <w:rsid w:val="00711223"/>
    <w:rsid w:val="00711797"/>
    <w:rsid w:val="00711817"/>
    <w:rsid w:val="00711A1B"/>
    <w:rsid w:val="00711AFD"/>
    <w:rsid w:val="00712398"/>
    <w:rsid w:val="007129E9"/>
    <w:rsid w:val="00712D6C"/>
    <w:rsid w:val="00713519"/>
    <w:rsid w:val="007135FC"/>
    <w:rsid w:val="00713A0E"/>
    <w:rsid w:val="00713D9E"/>
    <w:rsid w:val="007146B0"/>
    <w:rsid w:val="007146B5"/>
    <w:rsid w:val="00714A56"/>
    <w:rsid w:val="00714A7D"/>
    <w:rsid w:val="00714AA2"/>
    <w:rsid w:val="00714B86"/>
    <w:rsid w:val="00714BA8"/>
    <w:rsid w:val="00714D6D"/>
    <w:rsid w:val="007150BE"/>
    <w:rsid w:val="007153D7"/>
    <w:rsid w:val="007154BD"/>
    <w:rsid w:val="00715805"/>
    <w:rsid w:val="007159DE"/>
    <w:rsid w:val="00715B24"/>
    <w:rsid w:val="00715EEC"/>
    <w:rsid w:val="007166DF"/>
    <w:rsid w:val="00716775"/>
    <w:rsid w:val="00716983"/>
    <w:rsid w:val="00716AE7"/>
    <w:rsid w:val="00716AE8"/>
    <w:rsid w:val="00716C94"/>
    <w:rsid w:val="00716D8A"/>
    <w:rsid w:val="00717D8E"/>
    <w:rsid w:val="00720697"/>
    <w:rsid w:val="0072081E"/>
    <w:rsid w:val="007208DB"/>
    <w:rsid w:val="0072119A"/>
    <w:rsid w:val="0072128E"/>
    <w:rsid w:val="00721AEB"/>
    <w:rsid w:val="00721F15"/>
    <w:rsid w:val="007220C2"/>
    <w:rsid w:val="007220F2"/>
    <w:rsid w:val="00722436"/>
    <w:rsid w:val="007227EF"/>
    <w:rsid w:val="0072290E"/>
    <w:rsid w:val="007229B5"/>
    <w:rsid w:val="00722E99"/>
    <w:rsid w:val="0072313B"/>
    <w:rsid w:val="0072331C"/>
    <w:rsid w:val="007235C7"/>
    <w:rsid w:val="007237AE"/>
    <w:rsid w:val="00723A5A"/>
    <w:rsid w:val="00723B6F"/>
    <w:rsid w:val="00723EEC"/>
    <w:rsid w:val="007242C3"/>
    <w:rsid w:val="00724300"/>
    <w:rsid w:val="00724748"/>
    <w:rsid w:val="007248C3"/>
    <w:rsid w:val="00724BDF"/>
    <w:rsid w:val="00725150"/>
    <w:rsid w:val="00725345"/>
    <w:rsid w:val="007257CD"/>
    <w:rsid w:val="00725BFA"/>
    <w:rsid w:val="00725F04"/>
    <w:rsid w:val="00726F58"/>
    <w:rsid w:val="007271A3"/>
    <w:rsid w:val="00727730"/>
    <w:rsid w:val="00727A68"/>
    <w:rsid w:val="00727ADC"/>
    <w:rsid w:val="00727CB0"/>
    <w:rsid w:val="007302DB"/>
    <w:rsid w:val="007304DB"/>
    <w:rsid w:val="00730700"/>
    <w:rsid w:val="00730E16"/>
    <w:rsid w:val="00731F2C"/>
    <w:rsid w:val="007320DA"/>
    <w:rsid w:val="0073236D"/>
    <w:rsid w:val="0073242E"/>
    <w:rsid w:val="0073256E"/>
    <w:rsid w:val="00732971"/>
    <w:rsid w:val="00732CCA"/>
    <w:rsid w:val="00732FC6"/>
    <w:rsid w:val="0073305B"/>
    <w:rsid w:val="007340B5"/>
    <w:rsid w:val="007348DC"/>
    <w:rsid w:val="00734AAF"/>
    <w:rsid w:val="00734ADA"/>
    <w:rsid w:val="00734C1E"/>
    <w:rsid w:val="00734D62"/>
    <w:rsid w:val="00734EA4"/>
    <w:rsid w:val="0073520C"/>
    <w:rsid w:val="00735400"/>
    <w:rsid w:val="00735433"/>
    <w:rsid w:val="00735878"/>
    <w:rsid w:val="00735B11"/>
    <w:rsid w:val="00735BEA"/>
    <w:rsid w:val="00735DC0"/>
    <w:rsid w:val="007363AB"/>
    <w:rsid w:val="007363CB"/>
    <w:rsid w:val="007363EC"/>
    <w:rsid w:val="007364F8"/>
    <w:rsid w:val="007365B4"/>
    <w:rsid w:val="007365BE"/>
    <w:rsid w:val="00737182"/>
    <w:rsid w:val="0073742A"/>
    <w:rsid w:val="007376ED"/>
    <w:rsid w:val="00737849"/>
    <w:rsid w:val="00737BAD"/>
    <w:rsid w:val="00737DFF"/>
    <w:rsid w:val="00740302"/>
    <w:rsid w:val="007404E2"/>
    <w:rsid w:val="0074055A"/>
    <w:rsid w:val="007407E2"/>
    <w:rsid w:val="0074085C"/>
    <w:rsid w:val="007408F2"/>
    <w:rsid w:val="00741042"/>
    <w:rsid w:val="007416AE"/>
    <w:rsid w:val="0074178C"/>
    <w:rsid w:val="00741805"/>
    <w:rsid w:val="00741826"/>
    <w:rsid w:val="00741B87"/>
    <w:rsid w:val="0074211E"/>
    <w:rsid w:val="007428AB"/>
    <w:rsid w:val="00742C30"/>
    <w:rsid w:val="00743230"/>
    <w:rsid w:val="00743253"/>
    <w:rsid w:val="00743BE6"/>
    <w:rsid w:val="00743CE8"/>
    <w:rsid w:val="00743F7D"/>
    <w:rsid w:val="007447E4"/>
    <w:rsid w:val="00744845"/>
    <w:rsid w:val="00744932"/>
    <w:rsid w:val="00744A60"/>
    <w:rsid w:val="007450C6"/>
    <w:rsid w:val="00745355"/>
    <w:rsid w:val="00745DCE"/>
    <w:rsid w:val="007462AE"/>
    <w:rsid w:val="00747210"/>
    <w:rsid w:val="0074737F"/>
    <w:rsid w:val="0074747E"/>
    <w:rsid w:val="0074779F"/>
    <w:rsid w:val="007478D1"/>
    <w:rsid w:val="00747F13"/>
    <w:rsid w:val="00747F96"/>
    <w:rsid w:val="00750059"/>
    <w:rsid w:val="0075016B"/>
    <w:rsid w:val="007503E8"/>
    <w:rsid w:val="007504BE"/>
    <w:rsid w:val="0075051E"/>
    <w:rsid w:val="00750651"/>
    <w:rsid w:val="00750710"/>
    <w:rsid w:val="007508AF"/>
    <w:rsid w:val="00750D6F"/>
    <w:rsid w:val="00751013"/>
    <w:rsid w:val="0075134D"/>
    <w:rsid w:val="007513D2"/>
    <w:rsid w:val="00751F07"/>
    <w:rsid w:val="00751FF7"/>
    <w:rsid w:val="007521A7"/>
    <w:rsid w:val="00752294"/>
    <w:rsid w:val="00752402"/>
    <w:rsid w:val="007527BF"/>
    <w:rsid w:val="00752843"/>
    <w:rsid w:val="00752B66"/>
    <w:rsid w:val="007533F5"/>
    <w:rsid w:val="00753420"/>
    <w:rsid w:val="00753472"/>
    <w:rsid w:val="007535A9"/>
    <w:rsid w:val="007535BB"/>
    <w:rsid w:val="007536C9"/>
    <w:rsid w:val="00753978"/>
    <w:rsid w:val="00753EBA"/>
    <w:rsid w:val="00753EDF"/>
    <w:rsid w:val="00754192"/>
    <w:rsid w:val="007543AA"/>
    <w:rsid w:val="007543EA"/>
    <w:rsid w:val="00754489"/>
    <w:rsid w:val="00754D8B"/>
    <w:rsid w:val="00754EC6"/>
    <w:rsid w:val="00755650"/>
    <w:rsid w:val="00755E32"/>
    <w:rsid w:val="00756246"/>
    <w:rsid w:val="00756440"/>
    <w:rsid w:val="00756A38"/>
    <w:rsid w:val="007574C1"/>
    <w:rsid w:val="00757535"/>
    <w:rsid w:val="00757BC0"/>
    <w:rsid w:val="00757D70"/>
    <w:rsid w:val="00757ED1"/>
    <w:rsid w:val="007600D2"/>
    <w:rsid w:val="0076012B"/>
    <w:rsid w:val="0076016A"/>
    <w:rsid w:val="00760268"/>
    <w:rsid w:val="00760413"/>
    <w:rsid w:val="007606E1"/>
    <w:rsid w:val="00760BDC"/>
    <w:rsid w:val="00760E10"/>
    <w:rsid w:val="00761058"/>
    <w:rsid w:val="00761086"/>
    <w:rsid w:val="00761820"/>
    <w:rsid w:val="00761C15"/>
    <w:rsid w:val="00762228"/>
    <w:rsid w:val="00762622"/>
    <w:rsid w:val="00762648"/>
    <w:rsid w:val="0076283E"/>
    <w:rsid w:val="007628D8"/>
    <w:rsid w:val="007628E2"/>
    <w:rsid w:val="00762D44"/>
    <w:rsid w:val="00762D79"/>
    <w:rsid w:val="00762E11"/>
    <w:rsid w:val="00762E30"/>
    <w:rsid w:val="00763185"/>
    <w:rsid w:val="00763C3E"/>
    <w:rsid w:val="00763C85"/>
    <w:rsid w:val="00763D38"/>
    <w:rsid w:val="00763DEB"/>
    <w:rsid w:val="00763DEE"/>
    <w:rsid w:val="007641AE"/>
    <w:rsid w:val="007641F2"/>
    <w:rsid w:val="007642B5"/>
    <w:rsid w:val="007643E2"/>
    <w:rsid w:val="00764609"/>
    <w:rsid w:val="00764F00"/>
    <w:rsid w:val="00765194"/>
    <w:rsid w:val="007651D6"/>
    <w:rsid w:val="007654B1"/>
    <w:rsid w:val="00765D50"/>
    <w:rsid w:val="00766201"/>
    <w:rsid w:val="007662DE"/>
    <w:rsid w:val="007662E8"/>
    <w:rsid w:val="00766512"/>
    <w:rsid w:val="00766656"/>
    <w:rsid w:val="00766C1A"/>
    <w:rsid w:val="00766C20"/>
    <w:rsid w:val="00767401"/>
    <w:rsid w:val="007675B8"/>
    <w:rsid w:val="00767639"/>
    <w:rsid w:val="007676CB"/>
    <w:rsid w:val="00767A33"/>
    <w:rsid w:val="00767AF3"/>
    <w:rsid w:val="00767B7B"/>
    <w:rsid w:val="00767F94"/>
    <w:rsid w:val="007700CF"/>
    <w:rsid w:val="007702B2"/>
    <w:rsid w:val="00770510"/>
    <w:rsid w:val="007712D3"/>
    <w:rsid w:val="007715F9"/>
    <w:rsid w:val="00771665"/>
    <w:rsid w:val="00771F66"/>
    <w:rsid w:val="00771FC4"/>
    <w:rsid w:val="00772011"/>
    <w:rsid w:val="00772442"/>
    <w:rsid w:val="007727B6"/>
    <w:rsid w:val="007741B0"/>
    <w:rsid w:val="007749D9"/>
    <w:rsid w:val="00774B9D"/>
    <w:rsid w:val="00774DB7"/>
    <w:rsid w:val="00775011"/>
    <w:rsid w:val="00775080"/>
    <w:rsid w:val="00775443"/>
    <w:rsid w:val="00775820"/>
    <w:rsid w:val="00775BA7"/>
    <w:rsid w:val="00775C01"/>
    <w:rsid w:val="00775DB2"/>
    <w:rsid w:val="00775E15"/>
    <w:rsid w:val="00775E9B"/>
    <w:rsid w:val="00776193"/>
    <w:rsid w:val="00776632"/>
    <w:rsid w:val="007768B6"/>
    <w:rsid w:val="007768E1"/>
    <w:rsid w:val="007769A0"/>
    <w:rsid w:val="00776B0B"/>
    <w:rsid w:val="00776F0A"/>
    <w:rsid w:val="007770F7"/>
    <w:rsid w:val="0077713E"/>
    <w:rsid w:val="007771AC"/>
    <w:rsid w:val="007771EB"/>
    <w:rsid w:val="007771F0"/>
    <w:rsid w:val="007775C6"/>
    <w:rsid w:val="0077768F"/>
    <w:rsid w:val="007777D1"/>
    <w:rsid w:val="007779AF"/>
    <w:rsid w:val="00777B6B"/>
    <w:rsid w:val="00777BF2"/>
    <w:rsid w:val="00777F79"/>
    <w:rsid w:val="00777FA2"/>
    <w:rsid w:val="0078000C"/>
    <w:rsid w:val="00780223"/>
    <w:rsid w:val="0078028E"/>
    <w:rsid w:val="007804BE"/>
    <w:rsid w:val="00780906"/>
    <w:rsid w:val="0078101B"/>
    <w:rsid w:val="0078103A"/>
    <w:rsid w:val="0078128F"/>
    <w:rsid w:val="007813FC"/>
    <w:rsid w:val="007814AA"/>
    <w:rsid w:val="007818C0"/>
    <w:rsid w:val="00781B83"/>
    <w:rsid w:val="00781CC1"/>
    <w:rsid w:val="00781EE5"/>
    <w:rsid w:val="00781FA0"/>
    <w:rsid w:val="0078213C"/>
    <w:rsid w:val="007825A7"/>
    <w:rsid w:val="00782925"/>
    <w:rsid w:val="0078292E"/>
    <w:rsid w:val="00782994"/>
    <w:rsid w:val="00783ADC"/>
    <w:rsid w:val="00783BCF"/>
    <w:rsid w:val="00783E02"/>
    <w:rsid w:val="00783EC9"/>
    <w:rsid w:val="00783F92"/>
    <w:rsid w:val="00783FBD"/>
    <w:rsid w:val="0078434E"/>
    <w:rsid w:val="00784643"/>
    <w:rsid w:val="007848D6"/>
    <w:rsid w:val="00784BDF"/>
    <w:rsid w:val="00784BFC"/>
    <w:rsid w:val="00784CD4"/>
    <w:rsid w:val="00784E14"/>
    <w:rsid w:val="0078517B"/>
    <w:rsid w:val="00785196"/>
    <w:rsid w:val="007858EF"/>
    <w:rsid w:val="00785A52"/>
    <w:rsid w:val="0078647C"/>
    <w:rsid w:val="007866EC"/>
    <w:rsid w:val="00786BC0"/>
    <w:rsid w:val="00786BFA"/>
    <w:rsid w:val="00786FCE"/>
    <w:rsid w:val="007873DA"/>
    <w:rsid w:val="00787779"/>
    <w:rsid w:val="0079020E"/>
    <w:rsid w:val="00790334"/>
    <w:rsid w:val="007904D4"/>
    <w:rsid w:val="00790718"/>
    <w:rsid w:val="00790D98"/>
    <w:rsid w:val="00790E68"/>
    <w:rsid w:val="00791552"/>
    <w:rsid w:val="007918EE"/>
    <w:rsid w:val="0079197B"/>
    <w:rsid w:val="00791AC9"/>
    <w:rsid w:val="00791ECC"/>
    <w:rsid w:val="00791FD6"/>
    <w:rsid w:val="00792622"/>
    <w:rsid w:val="0079269C"/>
    <w:rsid w:val="00792842"/>
    <w:rsid w:val="0079290B"/>
    <w:rsid w:val="00792BD4"/>
    <w:rsid w:val="00792C56"/>
    <w:rsid w:val="0079305B"/>
    <w:rsid w:val="007931BA"/>
    <w:rsid w:val="00793389"/>
    <w:rsid w:val="007934A4"/>
    <w:rsid w:val="007935FA"/>
    <w:rsid w:val="0079376C"/>
    <w:rsid w:val="007937CF"/>
    <w:rsid w:val="007938B4"/>
    <w:rsid w:val="00793CA6"/>
    <w:rsid w:val="00794442"/>
    <w:rsid w:val="007947BE"/>
    <w:rsid w:val="0079523E"/>
    <w:rsid w:val="00795888"/>
    <w:rsid w:val="00795B42"/>
    <w:rsid w:val="00795BDD"/>
    <w:rsid w:val="00795CB3"/>
    <w:rsid w:val="00795CBE"/>
    <w:rsid w:val="00796108"/>
    <w:rsid w:val="0079665E"/>
    <w:rsid w:val="00796865"/>
    <w:rsid w:val="00796A17"/>
    <w:rsid w:val="007972C8"/>
    <w:rsid w:val="007974CB"/>
    <w:rsid w:val="0079750E"/>
    <w:rsid w:val="00797890"/>
    <w:rsid w:val="007978DD"/>
    <w:rsid w:val="00797CBF"/>
    <w:rsid w:val="00797D66"/>
    <w:rsid w:val="00797E1A"/>
    <w:rsid w:val="00797E87"/>
    <w:rsid w:val="007A0248"/>
    <w:rsid w:val="007A062C"/>
    <w:rsid w:val="007A079D"/>
    <w:rsid w:val="007A08E1"/>
    <w:rsid w:val="007A0C49"/>
    <w:rsid w:val="007A0DC5"/>
    <w:rsid w:val="007A1073"/>
    <w:rsid w:val="007A1363"/>
    <w:rsid w:val="007A19AB"/>
    <w:rsid w:val="007A1AE5"/>
    <w:rsid w:val="007A2301"/>
    <w:rsid w:val="007A255F"/>
    <w:rsid w:val="007A2A25"/>
    <w:rsid w:val="007A2A44"/>
    <w:rsid w:val="007A2A4F"/>
    <w:rsid w:val="007A2BF2"/>
    <w:rsid w:val="007A393C"/>
    <w:rsid w:val="007A3B04"/>
    <w:rsid w:val="007A3FC5"/>
    <w:rsid w:val="007A436A"/>
    <w:rsid w:val="007A4600"/>
    <w:rsid w:val="007A4601"/>
    <w:rsid w:val="007A4C6C"/>
    <w:rsid w:val="007A4C9C"/>
    <w:rsid w:val="007A511C"/>
    <w:rsid w:val="007A5246"/>
    <w:rsid w:val="007A5296"/>
    <w:rsid w:val="007A52D7"/>
    <w:rsid w:val="007A55CF"/>
    <w:rsid w:val="007A5C3B"/>
    <w:rsid w:val="007A5C56"/>
    <w:rsid w:val="007A5F05"/>
    <w:rsid w:val="007A6067"/>
    <w:rsid w:val="007A610E"/>
    <w:rsid w:val="007A66F0"/>
    <w:rsid w:val="007A67ED"/>
    <w:rsid w:val="007A6907"/>
    <w:rsid w:val="007A6C85"/>
    <w:rsid w:val="007A6D92"/>
    <w:rsid w:val="007A6F02"/>
    <w:rsid w:val="007A760E"/>
    <w:rsid w:val="007A7674"/>
    <w:rsid w:val="007A76E2"/>
    <w:rsid w:val="007A7803"/>
    <w:rsid w:val="007A7C8B"/>
    <w:rsid w:val="007B0012"/>
    <w:rsid w:val="007B0387"/>
    <w:rsid w:val="007B0C51"/>
    <w:rsid w:val="007B0F1C"/>
    <w:rsid w:val="007B0F2D"/>
    <w:rsid w:val="007B0FD0"/>
    <w:rsid w:val="007B1080"/>
    <w:rsid w:val="007B1373"/>
    <w:rsid w:val="007B16CE"/>
    <w:rsid w:val="007B23A9"/>
    <w:rsid w:val="007B2442"/>
    <w:rsid w:val="007B28BF"/>
    <w:rsid w:val="007B2AD9"/>
    <w:rsid w:val="007B2E32"/>
    <w:rsid w:val="007B367E"/>
    <w:rsid w:val="007B3758"/>
    <w:rsid w:val="007B431D"/>
    <w:rsid w:val="007B4576"/>
    <w:rsid w:val="007B48B3"/>
    <w:rsid w:val="007B4E9D"/>
    <w:rsid w:val="007B4EE7"/>
    <w:rsid w:val="007B5982"/>
    <w:rsid w:val="007B5D28"/>
    <w:rsid w:val="007B60BB"/>
    <w:rsid w:val="007B649A"/>
    <w:rsid w:val="007B6725"/>
    <w:rsid w:val="007B6819"/>
    <w:rsid w:val="007B682F"/>
    <w:rsid w:val="007B6EDA"/>
    <w:rsid w:val="007B6F8F"/>
    <w:rsid w:val="007B733F"/>
    <w:rsid w:val="007B76D1"/>
    <w:rsid w:val="007B7EEB"/>
    <w:rsid w:val="007C0AC3"/>
    <w:rsid w:val="007C0CF6"/>
    <w:rsid w:val="007C12DF"/>
    <w:rsid w:val="007C163F"/>
    <w:rsid w:val="007C17EB"/>
    <w:rsid w:val="007C1AE0"/>
    <w:rsid w:val="007C1FD5"/>
    <w:rsid w:val="007C212A"/>
    <w:rsid w:val="007C224C"/>
    <w:rsid w:val="007C24B3"/>
    <w:rsid w:val="007C24B9"/>
    <w:rsid w:val="007C282D"/>
    <w:rsid w:val="007C2AFB"/>
    <w:rsid w:val="007C2C72"/>
    <w:rsid w:val="007C2FD2"/>
    <w:rsid w:val="007C30EF"/>
    <w:rsid w:val="007C335D"/>
    <w:rsid w:val="007C3E5E"/>
    <w:rsid w:val="007C3E6D"/>
    <w:rsid w:val="007C3EA0"/>
    <w:rsid w:val="007C3F76"/>
    <w:rsid w:val="007C4216"/>
    <w:rsid w:val="007C4445"/>
    <w:rsid w:val="007C44C3"/>
    <w:rsid w:val="007C45F1"/>
    <w:rsid w:val="007C468F"/>
    <w:rsid w:val="007C491E"/>
    <w:rsid w:val="007C4BCF"/>
    <w:rsid w:val="007C4F9A"/>
    <w:rsid w:val="007C5969"/>
    <w:rsid w:val="007C5B8E"/>
    <w:rsid w:val="007C5C5E"/>
    <w:rsid w:val="007C5D5A"/>
    <w:rsid w:val="007C630E"/>
    <w:rsid w:val="007C633A"/>
    <w:rsid w:val="007C69D1"/>
    <w:rsid w:val="007C6A0F"/>
    <w:rsid w:val="007C6B0D"/>
    <w:rsid w:val="007C6BE6"/>
    <w:rsid w:val="007C6D6A"/>
    <w:rsid w:val="007C6D6B"/>
    <w:rsid w:val="007C7336"/>
    <w:rsid w:val="007C7659"/>
    <w:rsid w:val="007C7674"/>
    <w:rsid w:val="007C7B32"/>
    <w:rsid w:val="007C7B3E"/>
    <w:rsid w:val="007C7BA3"/>
    <w:rsid w:val="007C7C97"/>
    <w:rsid w:val="007C7F20"/>
    <w:rsid w:val="007D02DD"/>
    <w:rsid w:val="007D08CF"/>
    <w:rsid w:val="007D0CA9"/>
    <w:rsid w:val="007D1427"/>
    <w:rsid w:val="007D18AA"/>
    <w:rsid w:val="007D1A7F"/>
    <w:rsid w:val="007D1FFF"/>
    <w:rsid w:val="007D2B26"/>
    <w:rsid w:val="007D2EB5"/>
    <w:rsid w:val="007D30EB"/>
    <w:rsid w:val="007D31E6"/>
    <w:rsid w:val="007D3410"/>
    <w:rsid w:val="007D3875"/>
    <w:rsid w:val="007D3A6B"/>
    <w:rsid w:val="007D3D27"/>
    <w:rsid w:val="007D428B"/>
    <w:rsid w:val="007D4588"/>
    <w:rsid w:val="007D45C2"/>
    <w:rsid w:val="007D460A"/>
    <w:rsid w:val="007D4823"/>
    <w:rsid w:val="007D4861"/>
    <w:rsid w:val="007D48DF"/>
    <w:rsid w:val="007D4AE0"/>
    <w:rsid w:val="007D4B89"/>
    <w:rsid w:val="007D4BEC"/>
    <w:rsid w:val="007D4CE5"/>
    <w:rsid w:val="007D4E97"/>
    <w:rsid w:val="007D5731"/>
    <w:rsid w:val="007D5D79"/>
    <w:rsid w:val="007D5DA0"/>
    <w:rsid w:val="007D5DE2"/>
    <w:rsid w:val="007D60C8"/>
    <w:rsid w:val="007D642B"/>
    <w:rsid w:val="007D6992"/>
    <w:rsid w:val="007D6BDA"/>
    <w:rsid w:val="007D6E44"/>
    <w:rsid w:val="007D6F58"/>
    <w:rsid w:val="007D773D"/>
    <w:rsid w:val="007D77BD"/>
    <w:rsid w:val="007D7C17"/>
    <w:rsid w:val="007D7E98"/>
    <w:rsid w:val="007E0176"/>
    <w:rsid w:val="007E0233"/>
    <w:rsid w:val="007E0515"/>
    <w:rsid w:val="007E0607"/>
    <w:rsid w:val="007E09E7"/>
    <w:rsid w:val="007E0DAC"/>
    <w:rsid w:val="007E0F60"/>
    <w:rsid w:val="007E0FB0"/>
    <w:rsid w:val="007E12D3"/>
    <w:rsid w:val="007E134B"/>
    <w:rsid w:val="007E152B"/>
    <w:rsid w:val="007E1824"/>
    <w:rsid w:val="007E1849"/>
    <w:rsid w:val="007E1C9A"/>
    <w:rsid w:val="007E1DE1"/>
    <w:rsid w:val="007E20EE"/>
    <w:rsid w:val="007E2613"/>
    <w:rsid w:val="007E2842"/>
    <w:rsid w:val="007E2D87"/>
    <w:rsid w:val="007E2E0B"/>
    <w:rsid w:val="007E32C1"/>
    <w:rsid w:val="007E38F6"/>
    <w:rsid w:val="007E39C7"/>
    <w:rsid w:val="007E4009"/>
    <w:rsid w:val="007E4292"/>
    <w:rsid w:val="007E4335"/>
    <w:rsid w:val="007E4378"/>
    <w:rsid w:val="007E46FF"/>
    <w:rsid w:val="007E4822"/>
    <w:rsid w:val="007E4824"/>
    <w:rsid w:val="007E48D2"/>
    <w:rsid w:val="007E4968"/>
    <w:rsid w:val="007E4C15"/>
    <w:rsid w:val="007E4E88"/>
    <w:rsid w:val="007E5043"/>
    <w:rsid w:val="007E5344"/>
    <w:rsid w:val="007E564F"/>
    <w:rsid w:val="007E5C1F"/>
    <w:rsid w:val="007E5CB9"/>
    <w:rsid w:val="007E5DAE"/>
    <w:rsid w:val="007E5E4E"/>
    <w:rsid w:val="007E62CC"/>
    <w:rsid w:val="007E6558"/>
    <w:rsid w:val="007E65F2"/>
    <w:rsid w:val="007E66A3"/>
    <w:rsid w:val="007E6A49"/>
    <w:rsid w:val="007E6BC7"/>
    <w:rsid w:val="007E6D1F"/>
    <w:rsid w:val="007E6F4E"/>
    <w:rsid w:val="007E7205"/>
    <w:rsid w:val="007E72D4"/>
    <w:rsid w:val="007E765C"/>
    <w:rsid w:val="007E7A08"/>
    <w:rsid w:val="007E7FBE"/>
    <w:rsid w:val="007F003D"/>
    <w:rsid w:val="007F007F"/>
    <w:rsid w:val="007F0323"/>
    <w:rsid w:val="007F0715"/>
    <w:rsid w:val="007F0A49"/>
    <w:rsid w:val="007F0A68"/>
    <w:rsid w:val="007F0FA9"/>
    <w:rsid w:val="007F0FD7"/>
    <w:rsid w:val="007F1246"/>
    <w:rsid w:val="007F130C"/>
    <w:rsid w:val="007F1543"/>
    <w:rsid w:val="007F18D5"/>
    <w:rsid w:val="007F1E9A"/>
    <w:rsid w:val="007F2627"/>
    <w:rsid w:val="007F2A43"/>
    <w:rsid w:val="007F2AD3"/>
    <w:rsid w:val="007F2E48"/>
    <w:rsid w:val="007F33A3"/>
    <w:rsid w:val="007F3409"/>
    <w:rsid w:val="007F35A5"/>
    <w:rsid w:val="007F3755"/>
    <w:rsid w:val="007F3BBF"/>
    <w:rsid w:val="007F42D8"/>
    <w:rsid w:val="007F4512"/>
    <w:rsid w:val="007F4917"/>
    <w:rsid w:val="007F4B4E"/>
    <w:rsid w:val="007F4C0A"/>
    <w:rsid w:val="007F4E6A"/>
    <w:rsid w:val="007F4F31"/>
    <w:rsid w:val="007F5316"/>
    <w:rsid w:val="007F548B"/>
    <w:rsid w:val="007F5A64"/>
    <w:rsid w:val="007F62FE"/>
    <w:rsid w:val="007F6332"/>
    <w:rsid w:val="007F6504"/>
    <w:rsid w:val="007F65CB"/>
    <w:rsid w:val="007F69F1"/>
    <w:rsid w:val="007F6D62"/>
    <w:rsid w:val="007F7237"/>
    <w:rsid w:val="007F785E"/>
    <w:rsid w:val="007F7BD5"/>
    <w:rsid w:val="007F7D6B"/>
    <w:rsid w:val="0080029E"/>
    <w:rsid w:val="00800A3C"/>
    <w:rsid w:val="00800E9E"/>
    <w:rsid w:val="00800FF3"/>
    <w:rsid w:val="0080177D"/>
    <w:rsid w:val="00801DC1"/>
    <w:rsid w:val="00801E2D"/>
    <w:rsid w:val="00801E7D"/>
    <w:rsid w:val="008020E7"/>
    <w:rsid w:val="008023D8"/>
    <w:rsid w:val="008026AA"/>
    <w:rsid w:val="00802849"/>
    <w:rsid w:val="00802BCF"/>
    <w:rsid w:val="00802C6A"/>
    <w:rsid w:val="008032FB"/>
    <w:rsid w:val="00803F1D"/>
    <w:rsid w:val="008043BD"/>
    <w:rsid w:val="0080440E"/>
    <w:rsid w:val="00804928"/>
    <w:rsid w:val="00804EE4"/>
    <w:rsid w:val="00804FB5"/>
    <w:rsid w:val="008051E1"/>
    <w:rsid w:val="00805455"/>
    <w:rsid w:val="00805483"/>
    <w:rsid w:val="0080551E"/>
    <w:rsid w:val="008055C0"/>
    <w:rsid w:val="008058C2"/>
    <w:rsid w:val="00805A77"/>
    <w:rsid w:val="00806144"/>
    <w:rsid w:val="0080622B"/>
    <w:rsid w:val="008062A6"/>
    <w:rsid w:val="0080640D"/>
    <w:rsid w:val="00806E36"/>
    <w:rsid w:val="008071AE"/>
    <w:rsid w:val="00807215"/>
    <w:rsid w:val="00807222"/>
    <w:rsid w:val="00807493"/>
    <w:rsid w:val="0080752A"/>
    <w:rsid w:val="00807535"/>
    <w:rsid w:val="00807599"/>
    <w:rsid w:val="00807BBE"/>
    <w:rsid w:val="00807FA3"/>
    <w:rsid w:val="00810284"/>
    <w:rsid w:val="00810460"/>
    <w:rsid w:val="0081057F"/>
    <w:rsid w:val="00810638"/>
    <w:rsid w:val="00810849"/>
    <w:rsid w:val="00810C11"/>
    <w:rsid w:val="00811150"/>
    <w:rsid w:val="0081194D"/>
    <w:rsid w:val="00811958"/>
    <w:rsid w:val="00811F29"/>
    <w:rsid w:val="00812278"/>
    <w:rsid w:val="008122F9"/>
    <w:rsid w:val="0081260A"/>
    <w:rsid w:val="0081260C"/>
    <w:rsid w:val="00812BCB"/>
    <w:rsid w:val="00812CB6"/>
    <w:rsid w:val="00812D2A"/>
    <w:rsid w:val="00812DB7"/>
    <w:rsid w:val="0081317B"/>
    <w:rsid w:val="0081326E"/>
    <w:rsid w:val="008134C5"/>
    <w:rsid w:val="00813627"/>
    <w:rsid w:val="00813B9D"/>
    <w:rsid w:val="00814A3B"/>
    <w:rsid w:val="00814FDA"/>
    <w:rsid w:val="0081543E"/>
    <w:rsid w:val="00815744"/>
    <w:rsid w:val="00815FFF"/>
    <w:rsid w:val="0081678B"/>
    <w:rsid w:val="00816858"/>
    <w:rsid w:val="00816BAE"/>
    <w:rsid w:val="0081713C"/>
    <w:rsid w:val="0081754C"/>
    <w:rsid w:val="008175DC"/>
    <w:rsid w:val="008176CE"/>
    <w:rsid w:val="00817B6F"/>
    <w:rsid w:val="00817F6C"/>
    <w:rsid w:val="00820180"/>
    <w:rsid w:val="008205D3"/>
    <w:rsid w:val="0082062B"/>
    <w:rsid w:val="008212B1"/>
    <w:rsid w:val="008213EF"/>
    <w:rsid w:val="00821684"/>
    <w:rsid w:val="008218BC"/>
    <w:rsid w:val="00821A6D"/>
    <w:rsid w:val="00821E15"/>
    <w:rsid w:val="008220C6"/>
    <w:rsid w:val="00822543"/>
    <w:rsid w:val="00822683"/>
    <w:rsid w:val="00822970"/>
    <w:rsid w:val="008229AC"/>
    <w:rsid w:val="00822B52"/>
    <w:rsid w:val="00822E16"/>
    <w:rsid w:val="00822F52"/>
    <w:rsid w:val="00823595"/>
    <w:rsid w:val="008235D3"/>
    <w:rsid w:val="008239D7"/>
    <w:rsid w:val="00823A1F"/>
    <w:rsid w:val="00823BD8"/>
    <w:rsid w:val="00823BFD"/>
    <w:rsid w:val="00823C4B"/>
    <w:rsid w:val="00823FDA"/>
    <w:rsid w:val="008242F0"/>
    <w:rsid w:val="00824360"/>
    <w:rsid w:val="0082469F"/>
    <w:rsid w:val="008248FB"/>
    <w:rsid w:val="00824912"/>
    <w:rsid w:val="00824BFF"/>
    <w:rsid w:val="00824D71"/>
    <w:rsid w:val="00824EBD"/>
    <w:rsid w:val="0082504E"/>
    <w:rsid w:val="00825100"/>
    <w:rsid w:val="00825127"/>
    <w:rsid w:val="0082549F"/>
    <w:rsid w:val="00825C7F"/>
    <w:rsid w:val="008261B1"/>
    <w:rsid w:val="00826616"/>
    <w:rsid w:val="00826737"/>
    <w:rsid w:val="00826979"/>
    <w:rsid w:val="008269CE"/>
    <w:rsid w:val="00826B1C"/>
    <w:rsid w:val="00826D99"/>
    <w:rsid w:val="008272DA"/>
    <w:rsid w:val="0082779B"/>
    <w:rsid w:val="00827A45"/>
    <w:rsid w:val="008302D8"/>
    <w:rsid w:val="008302EB"/>
    <w:rsid w:val="00830305"/>
    <w:rsid w:val="00830656"/>
    <w:rsid w:val="00830AE8"/>
    <w:rsid w:val="00830C62"/>
    <w:rsid w:val="00830DAB"/>
    <w:rsid w:val="00830E95"/>
    <w:rsid w:val="008310E7"/>
    <w:rsid w:val="008312B3"/>
    <w:rsid w:val="0083159E"/>
    <w:rsid w:val="00831602"/>
    <w:rsid w:val="008317AA"/>
    <w:rsid w:val="00831EB5"/>
    <w:rsid w:val="008320F2"/>
    <w:rsid w:val="0083215C"/>
    <w:rsid w:val="00832179"/>
    <w:rsid w:val="008328EC"/>
    <w:rsid w:val="00832FEE"/>
    <w:rsid w:val="008337AE"/>
    <w:rsid w:val="00833A33"/>
    <w:rsid w:val="008347AC"/>
    <w:rsid w:val="00834ED6"/>
    <w:rsid w:val="00835426"/>
    <w:rsid w:val="0083545F"/>
    <w:rsid w:val="008355BB"/>
    <w:rsid w:val="00835759"/>
    <w:rsid w:val="00835B65"/>
    <w:rsid w:val="00835D97"/>
    <w:rsid w:val="0083639A"/>
    <w:rsid w:val="0083665D"/>
    <w:rsid w:val="00836A28"/>
    <w:rsid w:val="00836EAD"/>
    <w:rsid w:val="00836F36"/>
    <w:rsid w:val="00836FA8"/>
    <w:rsid w:val="008370CA"/>
    <w:rsid w:val="008370E7"/>
    <w:rsid w:val="008371D4"/>
    <w:rsid w:val="008375C2"/>
    <w:rsid w:val="0083784C"/>
    <w:rsid w:val="00837A70"/>
    <w:rsid w:val="00837ECE"/>
    <w:rsid w:val="008400B7"/>
    <w:rsid w:val="00840472"/>
    <w:rsid w:val="008407AF"/>
    <w:rsid w:val="008407EC"/>
    <w:rsid w:val="00840ABF"/>
    <w:rsid w:val="008416DA"/>
    <w:rsid w:val="00841DCB"/>
    <w:rsid w:val="00841E7B"/>
    <w:rsid w:val="00841ED2"/>
    <w:rsid w:val="0084200E"/>
    <w:rsid w:val="0084275D"/>
    <w:rsid w:val="008429BC"/>
    <w:rsid w:val="00842D87"/>
    <w:rsid w:val="00842F7A"/>
    <w:rsid w:val="00843944"/>
    <w:rsid w:val="00843CAE"/>
    <w:rsid w:val="00843FB5"/>
    <w:rsid w:val="008440D8"/>
    <w:rsid w:val="008445F6"/>
    <w:rsid w:val="0084473A"/>
    <w:rsid w:val="00845077"/>
    <w:rsid w:val="00845130"/>
    <w:rsid w:val="00845372"/>
    <w:rsid w:val="0084568D"/>
    <w:rsid w:val="008456DC"/>
    <w:rsid w:val="0084573E"/>
    <w:rsid w:val="008459B9"/>
    <w:rsid w:val="00845BBE"/>
    <w:rsid w:val="00845EF2"/>
    <w:rsid w:val="00845FAD"/>
    <w:rsid w:val="00846317"/>
    <w:rsid w:val="00846540"/>
    <w:rsid w:val="00846635"/>
    <w:rsid w:val="008469B1"/>
    <w:rsid w:val="00846A36"/>
    <w:rsid w:val="00846DB8"/>
    <w:rsid w:val="00847347"/>
    <w:rsid w:val="00847429"/>
    <w:rsid w:val="008478D0"/>
    <w:rsid w:val="00847F2C"/>
    <w:rsid w:val="00850049"/>
    <w:rsid w:val="00850640"/>
    <w:rsid w:val="00850A57"/>
    <w:rsid w:val="00850B4F"/>
    <w:rsid w:val="00850C5C"/>
    <w:rsid w:val="00850FE7"/>
    <w:rsid w:val="0085135F"/>
    <w:rsid w:val="00851378"/>
    <w:rsid w:val="00851A70"/>
    <w:rsid w:val="00851A79"/>
    <w:rsid w:val="00851E61"/>
    <w:rsid w:val="0085253C"/>
    <w:rsid w:val="0085268C"/>
    <w:rsid w:val="008528F1"/>
    <w:rsid w:val="00852A14"/>
    <w:rsid w:val="00852BF2"/>
    <w:rsid w:val="00852C35"/>
    <w:rsid w:val="00852E28"/>
    <w:rsid w:val="008530BC"/>
    <w:rsid w:val="008532CB"/>
    <w:rsid w:val="00853364"/>
    <w:rsid w:val="00853435"/>
    <w:rsid w:val="0085447A"/>
    <w:rsid w:val="00854585"/>
    <w:rsid w:val="0085485F"/>
    <w:rsid w:val="00854F6F"/>
    <w:rsid w:val="00855B7B"/>
    <w:rsid w:val="00855E3D"/>
    <w:rsid w:val="00855F82"/>
    <w:rsid w:val="00856268"/>
    <w:rsid w:val="008567D0"/>
    <w:rsid w:val="00856C6A"/>
    <w:rsid w:val="00856EB6"/>
    <w:rsid w:val="008571C1"/>
    <w:rsid w:val="00857296"/>
    <w:rsid w:val="00857386"/>
    <w:rsid w:val="00857538"/>
    <w:rsid w:val="008575C1"/>
    <w:rsid w:val="0085769E"/>
    <w:rsid w:val="008577AF"/>
    <w:rsid w:val="00857B00"/>
    <w:rsid w:val="00857B81"/>
    <w:rsid w:val="00857D0F"/>
    <w:rsid w:val="00857DF9"/>
    <w:rsid w:val="0086018F"/>
    <w:rsid w:val="008601AE"/>
    <w:rsid w:val="008603C6"/>
    <w:rsid w:val="008604A2"/>
    <w:rsid w:val="008609E3"/>
    <w:rsid w:val="00860D76"/>
    <w:rsid w:val="00861003"/>
    <w:rsid w:val="00861079"/>
    <w:rsid w:val="0086128F"/>
    <w:rsid w:val="008613D9"/>
    <w:rsid w:val="008617A0"/>
    <w:rsid w:val="008617A9"/>
    <w:rsid w:val="00861863"/>
    <w:rsid w:val="00861B92"/>
    <w:rsid w:val="00861F89"/>
    <w:rsid w:val="00862356"/>
    <w:rsid w:val="008623A2"/>
    <w:rsid w:val="0086241A"/>
    <w:rsid w:val="008626CC"/>
    <w:rsid w:val="00862838"/>
    <w:rsid w:val="0086285B"/>
    <w:rsid w:val="00862FB0"/>
    <w:rsid w:val="008633E0"/>
    <w:rsid w:val="00863556"/>
    <w:rsid w:val="00863613"/>
    <w:rsid w:val="0086362F"/>
    <w:rsid w:val="00863C20"/>
    <w:rsid w:val="00863D7D"/>
    <w:rsid w:val="00863E60"/>
    <w:rsid w:val="00863F4E"/>
    <w:rsid w:val="008640A7"/>
    <w:rsid w:val="00864714"/>
    <w:rsid w:val="00864872"/>
    <w:rsid w:val="00864A89"/>
    <w:rsid w:val="00864ABA"/>
    <w:rsid w:val="00864D6D"/>
    <w:rsid w:val="00864F79"/>
    <w:rsid w:val="00865010"/>
    <w:rsid w:val="00865297"/>
    <w:rsid w:val="00865630"/>
    <w:rsid w:val="00865C4A"/>
    <w:rsid w:val="00865DDF"/>
    <w:rsid w:val="008663BE"/>
    <w:rsid w:val="00866465"/>
    <w:rsid w:val="0086647B"/>
    <w:rsid w:val="00866492"/>
    <w:rsid w:val="00866730"/>
    <w:rsid w:val="0086675C"/>
    <w:rsid w:val="008668C4"/>
    <w:rsid w:val="00866C60"/>
    <w:rsid w:val="00866EF0"/>
    <w:rsid w:val="008671E7"/>
    <w:rsid w:val="00867574"/>
    <w:rsid w:val="008679B3"/>
    <w:rsid w:val="00867B2D"/>
    <w:rsid w:val="00867CE6"/>
    <w:rsid w:val="00867DDD"/>
    <w:rsid w:val="00867E04"/>
    <w:rsid w:val="00867FD3"/>
    <w:rsid w:val="00871181"/>
    <w:rsid w:val="00871A18"/>
    <w:rsid w:val="00871AC8"/>
    <w:rsid w:val="00871D6F"/>
    <w:rsid w:val="00871F23"/>
    <w:rsid w:val="00872AD4"/>
    <w:rsid w:val="00872BEB"/>
    <w:rsid w:val="00872C60"/>
    <w:rsid w:val="00872D92"/>
    <w:rsid w:val="00872DC4"/>
    <w:rsid w:val="00872DF5"/>
    <w:rsid w:val="008731F9"/>
    <w:rsid w:val="00873454"/>
    <w:rsid w:val="00873549"/>
    <w:rsid w:val="008742C2"/>
    <w:rsid w:val="00874825"/>
    <w:rsid w:val="008749A9"/>
    <w:rsid w:val="00874CF1"/>
    <w:rsid w:val="00875273"/>
    <w:rsid w:val="0087535E"/>
    <w:rsid w:val="00875439"/>
    <w:rsid w:val="00875466"/>
    <w:rsid w:val="008754F8"/>
    <w:rsid w:val="008755E6"/>
    <w:rsid w:val="00875CB0"/>
    <w:rsid w:val="00875F01"/>
    <w:rsid w:val="00876013"/>
    <w:rsid w:val="008761BE"/>
    <w:rsid w:val="008761CB"/>
    <w:rsid w:val="00877186"/>
    <w:rsid w:val="00877315"/>
    <w:rsid w:val="008774BA"/>
    <w:rsid w:val="0087777A"/>
    <w:rsid w:val="00877F1C"/>
    <w:rsid w:val="00880043"/>
    <w:rsid w:val="0088036B"/>
    <w:rsid w:val="008803D7"/>
    <w:rsid w:val="00880BE7"/>
    <w:rsid w:val="00880E2E"/>
    <w:rsid w:val="008811C7"/>
    <w:rsid w:val="00881405"/>
    <w:rsid w:val="008815D0"/>
    <w:rsid w:val="00881E71"/>
    <w:rsid w:val="0088205A"/>
    <w:rsid w:val="0088237C"/>
    <w:rsid w:val="008824D1"/>
    <w:rsid w:val="00882B11"/>
    <w:rsid w:val="00883540"/>
    <w:rsid w:val="0088377E"/>
    <w:rsid w:val="00883A85"/>
    <w:rsid w:val="00883AB8"/>
    <w:rsid w:val="00883F73"/>
    <w:rsid w:val="0088482A"/>
    <w:rsid w:val="00884E1E"/>
    <w:rsid w:val="008851D4"/>
    <w:rsid w:val="0088524E"/>
    <w:rsid w:val="008856C4"/>
    <w:rsid w:val="00885F03"/>
    <w:rsid w:val="00885F29"/>
    <w:rsid w:val="00885F4B"/>
    <w:rsid w:val="00886B0C"/>
    <w:rsid w:val="00886B81"/>
    <w:rsid w:val="00886D52"/>
    <w:rsid w:val="00886E94"/>
    <w:rsid w:val="00887234"/>
    <w:rsid w:val="0088741C"/>
    <w:rsid w:val="00887D17"/>
    <w:rsid w:val="00887E27"/>
    <w:rsid w:val="00890066"/>
    <w:rsid w:val="00890830"/>
    <w:rsid w:val="00890E74"/>
    <w:rsid w:val="008917BF"/>
    <w:rsid w:val="00891E56"/>
    <w:rsid w:val="00891F41"/>
    <w:rsid w:val="0089252A"/>
    <w:rsid w:val="00892A05"/>
    <w:rsid w:val="00892C87"/>
    <w:rsid w:val="008930E5"/>
    <w:rsid w:val="0089350A"/>
    <w:rsid w:val="008935EB"/>
    <w:rsid w:val="00893E68"/>
    <w:rsid w:val="00893F9A"/>
    <w:rsid w:val="00893FDA"/>
    <w:rsid w:val="0089413F"/>
    <w:rsid w:val="00894623"/>
    <w:rsid w:val="008955E7"/>
    <w:rsid w:val="0089599D"/>
    <w:rsid w:val="008959FD"/>
    <w:rsid w:val="00895ACD"/>
    <w:rsid w:val="008965FB"/>
    <w:rsid w:val="008966F1"/>
    <w:rsid w:val="00896D14"/>
    <w:rsid w:val="00897819"/>
    <w:rsid w:val="00897DA0"/>
    <w:rsid w:val="00897F9A"/>
    <w:rsid w:val="008A0429"/>
    <w:rsid w:val="008A05E4"/>
    <w:rsid w:val="008A0818"/>
    <w:rsid w:val="008A0F59"/>
    <w:rsid w:val="008A14A2"/>
    <w:rsid w:val="008A1689"/>
    <w:rsid w:val="008A18C7"/>
    <w:rsid w:val="008A1C02"/>
    <w:rsid w:val="008A1CEA"/>
    <w:rsid w:val="008A1D32"/>
    <w:rsid w:val="008A1F00"/>
    <w:rsid w:val="008A201E"/>
    <w:rsid w:val="008A2A2A"/>
    <w:rsid w:val="008A2EEF"/>
    <w:rsid w:val="008A30B8"/>
    <w:rsid w:val="008A3301"/>
    <w:rsid w:val="008A337D"/>
    <w:rsid w:val="008A345B"/>
    <w:rsid w:val="008A3B7B"/>
    <w:rsid w:val="008A3D38"/>
    <w:rsid w:val="008A4253"/>
    <w:rsid w:val="008A451C"/>
    <w:rsid w:val="008A473D"/>
    <w:rsid w:val="008A4ADD"/>
    <w:rsid w:val="008A4B1B"/>
    <w:rsid w:val="008A4F64"/>
    <w:rsid w:val="008A5084"/>
    <w:rsid w:val="008A5198"/>
    <w:rsid w:val="008A522B"/>
    <w:rsid w:val="008A5568"/>
    <w:rsid w:val="008A557D"/>
    <w:rsid w:val="008A5A5B"/>
    <w:rsid w:val="008A5B1C"/>
    <w:rsid w:val="008A62DD"/>
    <w:rsid w:val="008A6555"/>
    <w:rsid w:val="008A6885"/>
    <w:rsid w:val="008A68C2"/>
    <w:rsid w:val="008A6A4B"/>
    <w:rsid w:val="008A6AA8"/>
    <w:rsid w:val="008A6AC0"/>
    <w:rsid w:val="008A6F4E"/>
    <w:rsid w:val="008A6F57"/>
    <w:rsid w:val="008A701D"/>
    <w:rsid w:val="008A705D"/>
    <w:rsid w:val="008A740C"/>
    <w:rsid w:val="008A791D"/>
    <w:rsid w:val="008A7F2A"/>
    <w:rsid w:val="008A7FE6"/>
    <w:rsid w:val="008B0147"/>
    <w:rsid w:val="008B04FA"/>
    <w:rsid w:val="008B097B"/>
    <w:rsid w:val="008B1422"/>
    <w:rsid w:val="008B1856"/>
    <w:rsid w:val="008B1877"/>
    <w:rsid w:val="008B1B69"/>
    <w:rsid w:val="008B1C75"/>
    <w:rsid w:val="008B217D"/>
    <w:rsid w:val="008B2222"/>
    <w:rsid w:val="008B2381"/>
    <w:rsid w:val="008B2677"/>
    <w:rsid w:val="008B3D31"/>
    <w:rsid w:val="008B460B"/>
    <w:rsid w:val="008B4E1C"/>
    <w:rsid w:val="008B4E3A"/>
    <w:rsid w:val="008B4E66"/>
    <w:rsid w:val="008B5510"/>
    <w:rsid w:val="008B582A"/>
    <w:rsid w:val="008B5C1F"/>
    <w:rsid w:val="008B6305"/>
    <w:rsid w:val="008B6317"/>
    <w:rsid w:val="008B6402"/>
    <w:rsid w:val="008B647B"/>
    <w:rsid w:val="008B69B2"/>
    <w:rsid w:val="008B6AD2"/>
    <w:rsid w:val="008B6C6C"/>
    <w:rsid w:val="008B6C78"/>
    <w:rsid w:val="008B7321"/>
    <w:rsid w:val="008B7967"/>
    <w:rsid w:val="008B7B9E"/>
    <w:rsid w:val="008B7ECA"/>
    <w:rsid w:val="008C0262"/>
    <w:rsid w:val="008C0281"/>
    <w:rsid w:val="008C036B"/>
    <w:rsid w:val="008C04B6"/>
    <w:rsid w:val="008C0B39"/>
    <w:rsid w:val="008C0FE3"/>
    <w:rsid w:val="008C109E"/>
    <w:rsid w:val="008C130B"/>
    <w:rsid w:val="008C1768"/>
    <w:rsid w:val="008C1A43"/>
    <w:rsid w:val="008C1BFF"/>
    <w:rsid w:val="008C1E7B"/>
    <w:rsid w:val="008C21DA"/>
    <w:rsid w:val="008C2297"/>
    <w:rsid w:val="008C272E"/>
    <w:rsid w:val="008C2863"/>
    <w:rsid w:val="008C2DE8"/>
    <w:rsid w:val="008C31B9"/>
    <w:rsid w:val="008C31BF"/>
    <w:rsid w:val="008C3281"/>
    <w:rsid w:val="008C35BF"/>
    <w:rsid w:val="008C37E3"/>
    <w:rsid w:val="008C3969"/>
    <w:rsid w:val="008C399A"/>
    <w:rsid w:val="008C3BF5"/>
    <w:rsid w:val="008C4897"/>
    <w:rsid w:val="008C4A97"/>
    <w:rsid w:val="008C4B0F"/>
    <w:rsid w:val="008C4D88"/>
    <w:rsid w:val="008C518A"/>
    <w:rsid w:val="008C539A"/>
    <w:rsid w:val="008C5659"/>
    <w:rsid w:val="008C59EE"/>
    <w:rsid w:val="008C5AD9"/>
    <w:rsid w:val="008C5E2C"/>
    <w:rsid w:val="008C5E8F"/>
    <w:rsid w:val="008C6404"/>
    <w:rsid w:val="008C694C"/>
    <w:rsid w:val="008C6C36"/>
    <w:rsid w:val="008C7149"/>
    <w:rsid w:val="008C7274"/>
    <w:rsid w:val="008C7299"/>
    <w:rsid w:val="008C78B7"/>
    <w:rsid w:val="008C7C80"/>
    <w:rsid w:val="008C7D85"/>
    <w:rsid w:val="008D004F"/>
    <w:rsid w:val="008D0214"/>
    <w:rsid w:val="008D0336"/>
    <w:rsid w:val="008D0AC3"/>
    <w:rsid w:val="008D15A6"/>
    <w:rsid w:val="008D169A"/>
    <w:rsid w:val="008D2627"/>
    <w:rsid w:val="008D2944"/>
    <w:rsid w:val="008D2B4B"/>
    <w:rsid w:val="008D2C07"/>
    <w:rsid w:val="008D2DFC"/>
    <w:rsid w:val="008D3135"/>
    <w:rsid w:val="008D3255"/>
    <w:rsid w:val="008D36BF"/>
    <w:rsid w:val="008D3748"/>
    <w:rsid w:val="008D37E6"/>
    <w:rsid w:val="008D39D2"/>
    <w:rsid w:val="008D3A05"/>
    <w:rsid w:val="008D3A4C"/>
    <w:rsid w:val="008D4265"/>
    <w:rsid w:val="008D46CE"/>
    <w:rsid w:val="008D4B47"/>
    <w:rsid w:val="008D5132"/>
    <w:rsid w:val="008D51E3"/>
    <w:rsid w:val="008D5398"/>
    <w:rsid w:val="008D554A"/>
    <w:rsid w:val="008D5843"/>
    <w:rsid w:val="008D585A"/>
    <w:rsid w:val="008D5C24"/>
    <w:rsid w:val="008D5D4A"/>
    <w:rsid w:val="008D77A1"/>
    <w:rsid w:val="008D7ABE"/>
    <w:rsid w:val="008D7C1D"/>
    <w:rsid w:val="008E0160"/>
    <w:rsid w:val="008E0351"/>
    <w:rsid w:val="008E041A"/>
    <w:rsid w:val="008E094E"/>
    <w:rsid w:val="008E0DF7"/>
    <w:rsid w:val="008E0DF8"/>
    <w:rsid w:val="008E0E05"/>
    <w:rsid w:val="008E0F0D"/>
    <w:rsid w:val="008E11CF"/>
    <w:rsid w:val="008E1364"/>
    <w:rsid w:val="008E14EE"/>
    <w:rsid w:val="008E170E"/>
    <w:rsid w:val="008E2254"/>
    <w:rsid w:val="008E2A3E"/>
    <w:rsid w:val="008E347B"/>
    <w:rsid w:val="008E347E"/>
    <w:rsid w:val="008E3BFA"/>
    <w:rsid w:val="008E4136"/>
    <w:rsid w:val="008E4C20"/>
    <w:rsid w:val="008E4F10"/>
    <w:rsid w:val="008E4F5E"/>
    <w:rsid w:val="008E4FEF"/>
    <w:rsid w:val="008E5978"/>
    <w:rsid w:val="008E5E9C"/>
    <w:rsid w:val="008E6396"/>
    <w:rsid w:val="008E63CB"/>
    <w:rsid w:val="008E65A0"/>
    <w:rsid w:val="008E6EB6"/>
    <w:rsid w:val="008E7048"/>
    <w:rsid w:val="008E70BD"/>
    <w:rsid w:val="008E72C7"/>
    <w:rsid w:val="008E75EA"/>
    <w:rsid w:val="008E7ED9"/>
    <w:rsid w:val="008F00B0"/>
    <w:rsid w:val="008F0102"/>
    <w:rsid w:val="008F05AA"/>
    <w:rsid w:val="008F06AA"/>
    <w:rsid w:val="008F0794"/>
    <w:rsid w:val="008F106E"/>
    <w:rsid w:val="008F15CA"/>
    <w:rsid w:val="008F15FA"/>
    <w:rsid w:val="008F1615"/>
    <w:rsid w:val="008F16DA"/>
    <w:rsid w:val="008F2398"/>
    <w:rsid w:val="008F251D"/>
    <w:rsid w:val="008F2532"/>
    <w:rsid w:val="008F2A25"/>
    <w:rsid w:val="008F2B78"/>
    <w:rsid w:val="008F2C40"/>
    <w:rsid w:val="008F2E38"/>
    <w:rsid w:val="008F3161"/>
    <w:rsid w:val="008F327C"/>
    <w:rsid w:val="008F3831"/>
    <w:rsid w:val="008F39BB"/>
    <w:rsid w:val="008F3D13"/>
    <w:rsid w:val="008F40DB"/>
    <w:rsid w:val="008F4245"/>
    <w:rsid w:val="008F54D1"/>
    <w:rsid w:val="008F54E7"/>
    <w:rsid w:val="008F573F"/>
    <w:rsid w:val="008F5A94"/>
    <w:rsid w:val="008F5F79"/>
    <w:rsid w:val="008F63D6"/>
    <w:rsid w:val="008F66C5"/>
    <w:rsid w:val="008F6F63"/>
    <w:rsid w:val="008F6FA3"/>
    <w:rsid w:val="008F6FB6"/>
    <w:rsid w:val="008F7152"/>
    <w:rsid w:val="008F719C"/>
    <w:rsid w:val="008F738F"/>
    <w:rsid w:val="008F7457"/>
    <w:rsid w:val="00900237"/>
    <w:rsid w:val="00900868"/>
    <w:rsid w:val="0090096D"/>
    <w:rsid w:val="00900BB1"/>
    <w:rsid w:val="00900F13"/>
    <w:rsid w:val="00901E72"/>
    <w:rsid w:val="009025F5"/>
    <w:rsid w:val="00902833"/>
    <w:rsid w:val="00902C1C"/>
    <w:rsid w:val="0090352D"/>
    <w:rsid w:val="00903555"/>
    <w:rsid w:val="009035E6"/>
    <w:rsid w:val="009036B2"/>
    <w:rsid w:val="009041FB"/>
    <w:rsid w:val="0090443D"/>
    <w:rsid w:val="00904753"/>
    <w:rsid w:val="00904CD5"/>
    <w:rsid w:val="009052DF"/>
    <w:rsid w:val="00905350"/>
    <w:rsid w:val="009054C9"/>
    <w:rsid w:val="00905B1C"/>
    <w:rsid w:val="00906573"/>
    <w:rsid w:val="009066E0"/>
    <w:rsid w:val="009069F9"/>
    <w:rsid w:val="00906C9E"/>
    <w:rsid w:val="00906DF4"/>
    <w:rsid w:val="0090724D"/>
    <w:rsid w:val="00907EC0"/>
    <w:rsid w:val="00907F5A"/>
    <w:rsid w:val="009103B2"/>
    <w:rsid w:val="009106A6"/>
    <w:rsid w:val="00910B57"/>
    <w:rsid w:val="009110E5"/>
    <w:rsid w:val="009115E7"/>
    <w:rsid w:val="00911955"/>
    <w:rsid w:val="00911956"/>
    <w:rsid w:val="00912236"/>
    <w:rsid w:val="00912916"/>
    <w:rsid w:val="00912B38"/>
    <w:rsid w:val="00912C1D"/>
    <w:rsid w:val="00912DB1"/>
    <w:rsid w:val="00913586"/>
    <w:rsid w:val="00913E7B"/>
    <w:rsid w:val="00914189"/>
    <w:rsid w:val="009143F0"/>
    <w:rsid w:val="00914515"/>
    <w:rsid w:val="00914616"/>
    <w:rsid w:val="009146D1"/>
    <w:rsid w:val="00915BF9"/>
    <w:rsid w:val="00915CCE"/>
    <w:rsid w:val="00915D71"/>
    <w:rsid w:val="00915DFB"/>
    <w:rsid w:val="00916641"/>
    <w:rsid w:val="00916A4F"/>
    <w:rsid w:val="00916D48"/>
    <w:rsid w:val="009174AD"/>
    <w:rsid w:val="00917561"/>
    <w:rsid w:val="0091767F"/>
    <w:rsid w:val="009177ED"/>
    <w:rsid w:val="00917C14"/>
    <w:rsid w:val="0092024B"/>
    <w:rsid w:val="00920986"/>
    <w:rsid w:val="00920A53"/>
    <w:rsid w:val="00920C3B"/>
    <w:rsid w:val="00920EA6"/>
    <w:rsid w:val="00920FB0"/>
    <w:rsid w:val="00922144"/>
    <w:rsid w:val="00922145"/>
    <w:rsid w:val="0092238D"/>
    <w:rsid w:val="0092248A"/>
    <w:rsid w:val="0092272D"/>
    <w:rsid w:val="00922CCC"/>
    <w:rsid w:val="00923042"/>
    <w:rsid w:val="0092304D"/>
    <w:rsid w:val="009231D0"/>
    <w:rsid w:val="009233D7"/>
    <w:rsid w:val="00923DD3"/>
    <w:rsid w:val="00923E7A"/>
    <w:rsid w:val="00924150"/>
    <w:rsid w:val="00924567"/>
    <w:rsid w:val="00924848"/>
    <w:rsid w:val="009259A7"/>
    <w:rsid w:val="00925CAB"/>
    <w:rsid w:val="00925D1E"/>
    <w:rsid w:val="0092600B"/>
    <w:rsid w:val="00926019"/>
    <w:rsid w:val="00926062"/>
    <w:rsid w:val="00926284"/>
    <w:rsid w:val="0092699A"/>
    <w:rsid w:val="00926B30"/>
    <w:rsid w:val="00926D83"/>
    <w:rsid w:val="00926ED3"/>
    <w:rsid w:val="00927301"/>
    <w:rsid w:val="009279F8"/>
    <w:rsid w:val="00927A2B"/>
    <w:rsid w:val="00927BAB"/>
    <w:rsid w:val="00927E3F"/>
    <w:rsid w:val="00927FD1"/>
    <w:rsid w:val="00930073"/>
    <w:rsid w:val="009301E5"/>
    <w:rsid w:val="00930610"/>
    <w:rsid w:val="0093063D"/>
    <w:rsid w:val="00930829"/>
    <w:rsid w:val="0093098A"/>
    <w:rsid w:val="00930CC1"/>
    <w:rsid w:val="00930E94"/>
    <w:rsid w:val="00930EC0"/>
    <w:rsid w:val="009311CB"/>
    <w:rsid w:val="00931682"/>
    <w:rsid w:val="00931C61"/>
    <w:rsid w:val="00932AE0"/>
    <w:rsid w:val="00932B6F"/>
    <w:rsid w:val="00933B95"/>
    <w:rsid w:val="00933E84"/>
    <w:rsid w:val="00933F36"/>
    <w:rsid w:val="0093454E"/>
    <w:rsid w:val="00934B60"/>
    <w:rsid w:val="00934CAA"/>
    <w:rsid w:val="00934FAB"/>
    <w:rsid w:val="00935603"/>
    <w:rsid w:val="00935D75"/>
    <w:rsid w:val="009361EA"/>
    <w:rsid w:val="00936843"/>
    <w:rsid w:val="0093703D"/>
    <w:rsid w:val="009372FF"/>
    <w:rsid w:val="00937355"/>
    <w:rsid w:val="00937412"/>
    <w:rsid w:val="00937964"/>
    <w:rsid w:val="00937BA9"/>
    <w:rsid w:val="00937F3F"/>
    <w:rsid w:val="009403E7"/>
    <w:rsid w:val="00940A0A"/>
    <w:rsid w:val="00940AE8"/>
    <w:rsid w:val="0094101A"/>
    <w:rsid w:val="00941087"/>
    <w:rsid w:val="0094127C"/>
    <w:rsid w:val="0094165E"/>
    <w:rsid w:val="00941926"/>
    <w:rsid w:val="009426CF"/>
    <w:rsid w:val="0094272A"/>
    <w:rsid w:val="009427BF"/>
    <w:rsid w:val="00942840"/>
    <w:rsid w:val="00942AB7"/>
    <w:rsid w:val="00942B41"/>
    <w:rsid w:val="00942C21"/>
    <w:rsid w:val="00942EF1"/>
    <w:rsid w:val="00942F48"/>
    <w:rsid w:val="0094379C"/>
    <w:rsid w:val="00943E4E"/>
    <w:rsid w:val="0094470E"/>
    <w:rsid w:val="009449EF"/>
    <w:rsid w:val="00944A9E"/>
    <w:rsid w:val="00944BB5"/>
    <w:rsid w:val="00945015"/>
    <w:rsid w:val="00945516"/>
    <w:rsid w:val="00945773"/>
    <w:rsid w:val="00945FB3"/>
    <w:rsid w:val="00946373"/>
    <w:rsid w:val="0094646A"/>
    <w:rsid w:val="00946692"/>
    <w:rsid w:val="0094677C"/>
    <w:rsid w:val="00946926"/>
    <w:rsid w:val="00946D4F"/>
    <w:rsid w:val="00947152"/>
    <w:rsid w:val="00947AA1"/>
    <w:rsid w:val="00947E73"/>
    <w:rsid w:val="00947F74"/>
    <w:rsid w:val="009503CA"/>
    <w:rsid w:val="00950427"/>
    <w:rsid w:val="009510C0"/>
    <w:rsid w:val="00951243"/>
    <w:rsid w:val="00951514"/>
    <w:rsid w:val="00951638"/>
    <w:rsid w:val="00951902"/>
    <w:rsid w:val="00951EB9"/>
    <w:rsid w:val="00951F40"/>
    <w:rsid w:val="00952190"/>
    <w:rsid w:val="00952270"/>
    <w:rsid w:val="009523C8"/>
    <w:rsid w:val="00952668"/>
    <w:rsid w:val="00952ACA"/>
    <w:rsid w:val="00952C74"/>
    <w:rsid w:val="00952FBC"/>
    <w:rsid w:val="00953503"/>
    <w:rsid w:val="00953511"/>
    <w:rsid w:val="00953834"/>
    <w:rsid w:val="00953ADA"/>
    <w:rsid w:val="00953BDB"/>
    <w:rsid w:val="00953DC1"/>
    <w:rsid w:val="00954393"/>
    <w:rsid w:val="009543FB"/>
    <w:rsid w:val="009544BA"/>
    <w:rsid w:val="00954911"/>
    <w:rsid w:val="00954A6E"/>
    <w:rsid w:val="00954C4A"/>
    <w:rsid w:val="00955169"/>
    <w:rsid w:val="00955332"/>
    <w:rsid w:val="0095560F"/>
    <w:rsid w:val="00955AE1"/>
    <w:rsid w:val="00955BB4"/>
    <w:rsid w:val="00955BBA"/>
    <w:rsid w:val="00955BFD"/>
    <w:rsid w:val="00955F71"/>
    <w:rsid w:val="0095631F"/>
    <w:rsid w:val="009564B5"/>
    <w:rsid w:val="00956D3C"/>
    <w:rsid w:val="00956F5F"/>
    <w:rsid w:val="00956FE0"/>
    <w:rsid w:val="00957AFA"/>
    <w:rsid w:val="00957C0F"/>
    <w:rsid w:val="00957C86"/>
    <w:rsid w:val="00957CE5"/>
    <w:rsid w:val="00960D50"/>
    <w:rsid w:val="0096111F"/>
    <w:rsid w:val="0096145E"/>
    <w:rsid w:val="009616E1"/>
    <w:rsid w:val="00961C70"/>
    <w:rsid w:val="00961DAD"/>
    <w:rsid w:val="0096261D"/>
    <w:rsid w:val="009626B0"/>
    <w:rsid w:val="009628A3"/>
    <w:rsid w:val="00962E25"/>
    <w:rsid w:val="00962F7D"/>
    <w:rsid w:val="00963411"/>
    <w:rsid w:val="009639F7"/>
    <w:rsid w:val="00963B9E"/>
    <w:rsid w:val="00963C3B"/>
    <w:rsid w:val="00963CC2"/>
    <w:rsid w:val="00963D16"/>
    <w:rsid w:val="00963F45"/>
    <w:rsid w:val="0096440C"/>
    <w:rsid w:val="009644C3"/>
    <w:rsid w:val="0096482A"/>
    <w:rsid w:val="00964F0E"/>
    <w:rsid w:val="0096503F"/>
    <w:rsid w:val="00965131"/>
    <w:rsid w:val="009656A5"/>
    <w:rsid w:val="00965846"/>
    <w:rsid w:val="0096588C"/>
    <w:rsid w:val="009658E7"/>
    <w:rsid w:val="00965DF0"/>
    <w:rsid w:val="00965EE6"/>
    <w:rsid w:val="00965FCE"/>
    <w:rsid w:val="009668C5"/>
    <w:rsid w:val="00966D81"/>
    <w:rsid w:val="00966E18"/>
    <w:rsid w:val="0096765A"/>
    <w:rsid w:val="009676AE"/>
    <w:rsid w:val="009677FE"/>
    <w:rsid w:val="00967914"/>
    <w:rsid w:val="0096791D"/>
    <w:rsid w:val="00967B98"/>
    <w:rsid w:val="00967CE7"/>
    <w:rsid w:val="009704F8"/>
    <w:rsid w:val="009706D4"/>
    <w:rsid w:val="009707F4"/>
    <w:rsid w:val="00970821"/>
    <w:rsid w:val="009709AD"/>
    <w:rsid w:val="00970A53"/>
    <w:rsid w:val="00970BE0"/>
    <w:rsid w:val="00970BE8"/>
    <w:rsid w:val="009713F7"/>
    <w:rsid w:val="009716E0"/>
    <w:rsid w:val="0097170E"/>
    <w:rsid w:val="00971BC9"/>
    <w:rsid w:val="00971D7A"/>
    <w:rsid w:val="00971DCA"/>
    <w:rsid w:val="009728B6"/>
    <w:rsid w:val="00972989"/>
    <w:rsid w:val="009729B5"/>
    <w:rsid w:val="00972B54"/>
    <w:rsid w:val="00972F29"/>
    <w:rsid w:val="0097315C"/>
    <w:rsid w:val="009733C1"/>
    <w:rsid w:val="009736EB"/>
    <w:rsid w:val="00973715"/>
    <w:rsid w:val="00973990"/>
    <w:rsid w:val="00973CE3"/>
    <w:rsid w:val="00973EF3"/>
    <w:rsid w:val="00974031"/>
    <w:rsid w:val="0097438E"/>
    <w:rsid w:val="009744EA"/>
    <w:rsid w:val="00974721"/>
    <w:rsid w:val="00974ED6"/>
    <w:rsid w:val="0097558D"/>
    <w:rsid w:val="00975781"/>
    <w:rsid w:val="0097580C"/>
    <w:rsid w:val="00975EDE"/>
    <w:rsid w:val="00976946"/>
    <w:rsid w:val="0097725C"/>
    <w:rsid w:val="009776E2"/>
    <w:rsid w:val="00977875"/>
    <w:rsid w:val="00980006"/>
    <w:rsid w:val="009804E2"/>
    <w:rsid w:val="009805E9"/>
    <w:rsid w:val="00980892"/>
    <w:rsid w:val="00980E93"/>
    <w:rsid w:val="00980F6A"/>
    <w:rsid w:val="009813A6"/>
    <w:rsid w:val="00981485"/>
    <w:rsid w:val="009817F9"/>
    <w:rsid w:val="00981927"/>
    <w:rsid w:val="009823EB"/>
    <w:rsid w:val="0098270C"/>
    <w:rsid w:val="00982BE5"/>
    <w:rsid w:val="00982E22"/>
    <w:rsid w:val="00982E43"/>
    <w:rsid w:val="00982F51"/>
    <w:rsid w:val="009839E9"/>
    <w:rsid w:val="00983B1B"/>
    <w:rsid w:val="0098419E"/>
    <w:rsid w:val="00984401"/>
    <w:rsid w:val="00984570"/>
    <w:rsid w:val="00984769"/>
    <w:rsid w:val="00984895"/>
    <w:rsid w:val="009849E4"/>
    <w:rsid w:val="00984AC7"/>
    <w:rsid w:val="00985373"/>
    <w:rsid w:val="00985397"/>
    <w:rsid w:val="00985EA9"/>
    <w:rsid w:val="0098628F"/>
    <w:rsid w:val="00986346"/>
    <w:rsid w:val="009866CE"/>
    <w:rsid w:val="009867FC"/>
    <w:rsid w:val="00986809"/>
    <w:rsid w:val="00986B2D"/>
    <w:rsid w:val="009876F6"/>
    <w:rsid w:val="00987801"/>
    <w:rsid w:val="00987C78"/>
    <w:rsid w:val="00987DF1"/>
    <w:rsid w:val="00990278"/>
    <w:rsid w:val="00990935"/>
    <w:rsid w:val="00990D06"/>
    <w:rsid w:val="009911E8"/>
    <w:rsid w:val="009914A2"/>
    <w:rsid w:val="009915EA"/>
    <w:rsid w:val="00991D58"/>
    <w:rsid w:val="009921B1"/>
    <w:rsid w:val="00992726"/>
    <w:rsid w:val="009931B2"/>
    <w:rsid w:val="009933D2"/>
    <w:rsid w:val="00993929"/>
    <w:rsid w:val="00993D8B"/>
    <w:rsid w:val="0099441B"/>
    <w:rsid w:val="00994444"/>
    <w:rsid w:val="009946B1"/>
    <w:rsid w:val="00994835"/>
    <w:rsid w:val="00994963"/>
    <w:rsid w:val="00994E14"/>
    <w:rsid w:val="00994EB1"/>
    <w:rsid w:val="00995046"/>
    <w:rsid w:val="00995083"/>
    <w:rsid w:val="00995827"/>
    <w:rsid w:val="0099614D"/>
    <w:rsid w:val="0099662F"/>
    <w:rsid w:val="009969FF"/>
    <w:rsid w:val="00996B9C"/>
    <w:rsid w:val="009978A0"/>
    <w:rsid w:val="00997CA6"/>
    <w:rsid w:val="00997DC3"/>
    <w:rsid w:val="009A0022"/>
    <w:rsid w:val="009A0311"/>
    <w:rsid w:val="009A038D"/>
    <w:rsid w:val="009A05C5"/>
    <w:rsid w:val="009A0F2D"/>
    <w:rsid w:val="009A14D7"/>
    <w:rsid w:val="009A1688"/>
    <w:rsid w:val="009A177A"/>
    <w:rsid w:val="009A1A49"/>
    <w:rsid w:val="009A1FFE"/>
    <w:rsid w:val="009A2127"/>
    <w:rsid w:val="009A2656"/>
    <w:rsid w:val="009A26BA"/>
    <w:rsid w:val="009A286D"/>
    <w:rsid w:val="009A2B7B"/>
    <w:rsid w:val="009A2DC6"/>
    <w:rsid w:val="009A2F41"/>
    <w:rsid w:val="009A2FEC"/>
    <w:rsid w:val="009A31DE"/>
    <w:rsid w:val="009A35AA"/>
    <w:rsid w:val="009A3703"/>
    <w:rsid w:val="009A3CA9"/>
    <w:rsid w:val="009A3E12"/>
    <w:rsid w:val="009A413E"/>
    <w:rsid w:val="009A41D8"/>
    <w:rsid w:val="009A4590"/>
    <w:rsid w:val="009A49AA"/>
    <w:rsid w:val="009A4C63"/>
    <w:rsid w:val="009A4FDB"/>
    <w:rsid w:val="009A51DD"/>
    <w:rsid w:val="009A529A"/>
    <w:rsid w:val="009A5622"/>
    <w:rsid w:val="009A5B1C"/>
    <w:rsid w:val="009A5B5F"/>
    <w:rsid w:val="009A6120"/>
    <w:rsid w:val="009A626D"/>
    <w:rsid w:val="009A658A"/>
    <w:rsid w:val="009A658D"/>
    <w:rsid w:val="009A65B4"/>
    <w:rsid w:val="009A67E7"/>
    <w:rsid w:val="009A6888"/>
    <w:rsid w:val="009A6A7C"/>
    <w:rsid w:val="009A6C73"/>
    <w:rsid w:val="009A6CDF"/>
    <w:rsid w:val="009A6E19"/>
    <w:rsid w:val="009A6EA4"/>
    <w:rsid w:val="009A6F4D"/>
    <w:rsid w:val="009A70D7"/>
    <w:rsid w:val="009A740A"/>
    <w:rsid w:val="009A7672"/>
    <w:rsid w:val="009A781B"/>
    <w:rsid w:val="009A7A3B"/>
    <w:rsid w:val="009A7B62"/>
    <w:rsid w:val="009A7E15"/>
    <w:rsid w:val="009A7EA1"/>
    <w:rsid w:val="009A7FD7"/>
    <w:rsid w:val="009B00D4"/>
    <w:rsid w:val="009B05A7"/>
    <w:rsid w:val="009B05F5"/>
    <w:rsid w:val="009B072E"/>
    <w:rsid w:val="009B0968"/>
    <w:rsid w:val="009B09ED"/>
    <w:rsid w:val="009B0A49"/>
    <w:rsid w:val="009B0ADD"/>
    <w:rsid w:val="009B0C35"/>
    <w:rsid w:val="009B0F9A"/>
    <w:rsid w:val="009B10B0"/>
    <w:rsid w:val="009B12D5"/>
    <w:rsid w:val="009B167A"/>
    <w:rsid w:val="009B19E9"/>
    <w:rsid w:val="009B1AF0"/>
    <w:rsid w:val="009B1F69"/>
    <w:rsid w:val="009B245D"/>
    <w:rsid w:val="009B26C8"/>
    <w:rsid w:val="009B27D7"/>
    <w:rsid w:val="009B27F4"/>
    <w:rsid w:val="009B29D3"/>
    <w:rsid w:val="009B2C22"/>
    <w:rsid w:val="009B3163"/>
    <w:rsid w:val="009B32CF"/>
    <w:rsid w:val="009B3398"/>
    <w:rsid w:val="009B3B36"/>
    <w:rsid w:val="009B3C67"/>
    <w:rsid w:val="009B3F01"/>
    <w:rsid w:val="009B3F1D"/>
    <w:rsid w:val="009B489A"/>
    <w:rsid w:val="009B4C37"/>
    <w:rsid w:val="009B4CA5"/>
    <w:rsid w:val="009B5213"/>
    <w:rsid w:val="009B58F3"/>
    <w:rsid w:val="009B597D"/>
    <w:rsid w:val="009B5E85"/>
    <w:rsid w:val="009B605B"/>
    <w:rsid w:val="009B62BC"/>
    <w:rsid w:val="009B64B1"/>
    <w:rsid w:val="009B6550"/>
    <w:rsid w:val="009B6661"/>
    <w:rsid w:val="009B67EE"/>
    <w:rsid w:val="009B6A40"/>
    <w:rsid w:val="009B6AEC"/>
    <w:rsid w:val="009B6B7B"/>
    <w:rsid w:val="009B704D"/>
    <w:rsid w:val="009B7301"/>
    <w:rsid w:val="009B738E"/>
    <w:rsid w:val="009B7427"/>
    <w:rsid w:val="009B75BF"/>
    <w:rsid w:val="009B773F"/>
    <w:rsid w:val="009B790D"/>
    <w:rsid w:val="009B7A1E"/>
    <w:rsid w:val="009B7B67"/>
    <w:rsid w:val="009B7B72"/>
    <w:rsid w:val="009B7B8B"/>
    <w:rsid w:val="009B7DFB"/>
    <w:rsid w:val="009C072E"/>
    <w:rsid w:val="009C0AC0"/>
    <w:rsid w:val="009C0E78"/>
    <w:rsid w:val="009C0EB5"/>
    <w:rsid w:val="009C1025"/>
    <w:rsid w:val="009C11FB"/>
    <w:rsid w:val="009C1A9B"/>
    <w:rsid w:val="009C2042"/>
    <w:rsid w:val="009C295E"/>
    <w:rsid w:val="009C298D"/>
    <w:rsid w:val="009C2A71"/>
    <w:rsid w:val="009C2D56"/>
    <w:rsid w:val="009C3049"/>
    <w:rsid w:val="009C35B1"/>
    <w:rsid w:val="009C398F"/>
    <w:rsid w:val="009C4328"/>
    <w:rsid w:val="009C4BD5"/>
    <w:rsid w:val="009C4C6E"/>
    <w:rsid w:val="009C5638"/>
    <w:rsid w:val="009C5ADF"/>
    <w:rsid w:val="009C5B35"/>
    <w:rsid w:val="009C608F"/>
    <w:rsid w:val="009C62DE"/>
    <w:rsid w:val="009C657E"/>
    <w:rsid w:val="009C6593"/>
    <w:rsid w:val="009C66CA"/>
    <w:rsid w:val="009C6C1B"/>
    <w:rsid w:val="009C6D1D"/>
    <w:rsid w:val="009C7058"/>
    <w:rsid w:val="009C70C0"/>
    <w:rsid w:val="009C7269"/>
    <w:rsid w:val="009C7909"/>
    <w:rsid w:val="009C7A2A"/>
    <w:rsid w:val="009C7F18"/>
    <w:rsid w:val="009C7F7D"/>
    <w:rsid w:val="009D0192"/>
    <w:rsid w:val="009D03D9"/>
    <w:rsid w:val="009D04C3"/>
    <w:rsid w:val="009D093E"/>
    <w:rsid w:val="009D102C"/>
    <w:rsid w:val="009D10E2"/>
    <w:rsid w:val="009D15BC"/>
    <w:rsid w:val="009D19B0"/>
    <w:rsid w:val="009D1A9D"/>
    <w:rsid w:val="009D1D60"/>
    <w:rsid w:val="009D2611"/>
    <w:rsid w:val="009D26C6"/>
    <w:rsid w:val="009D27BE"/>
    <w:rsid w:val="009D2EF9"/>
    <w:rsid w:val="009D3230"/>
    <w:rsid w:val="009D33D6"/>
    <w:rsid w:val="009D3969"/>
    <w:rsid w:val="009D39DB"/>
    <w:rsid w:val="009D3D65"/>
    <w:rsid w:val="009D3E76"/>
    <w:rsid w:val="009D401C"/>
    <w:rsid w:val="009D4526"/>
    <w:rsid w:val="009D4531"/>
    <w:rsid w:val="009D45DC"/>
    <w:rsid w:val="009D481E"/>
    <w:rsid w:val="009D494B"/>
    <w:rsid w:val="009D4ACD"/>
    <w:rsid w:val="009D4B3A"/>
    <w:rsid w:val="009D4B6C"/>
    <w:rsid w:val="009D4E8D"/>
    <w:rsid w:val="009D51CF"/>
    <w:rsid w:val="009D5353"/>
    <w:rsid w:val="009D553E"/>
    <w:rsid w:val="009D58FD"/>
    <w:rsid w:val="009D5F50"/>
    <w:rsid w:val="009D69AB"/>
    <w:rsid w:val="009D6A85"/>
    <w:rsid w:val="009D6BDB"/>
    <w:rsid w:val="009D6C2F"/>
    <w:rsid w:val="009D6D2C"/>
    <w:rsid w:val="009D706D"/>
    <w:rsid w:val="009D70DE"/>
    <w:rsid w:val="009D750C"/>
    <w:rsid w:val="009D7527"/>
    <w:rsid w:val="009D7891"/>
    <w:rsid w:val="009D7B66"/>
    <w:rsid w:val="009D7CCC"/>
    <w:rsid w:val="009E009D"/>
    <w:rsid w:val="009E0758"/>
    <w:rsid w:val="009E0F39"/>
    <w:rsid w:val="009E170A"/>
    <w:rsid w:val="009E1FB1"/>
    <w:rsid w:val="009E2220"/>
    <w:rsid w:val="009E229D"/>
    <w:rsid w:val="009E2499"/>
    <w:rsid w:val="009E2977"/>
    <w:rsid w:val="009E2D77"/>
    <w:rsid w:val="009E3435"/>
    <w:rsid w:val="009E3711"/>
    <w:rsid w:val="009E3ADC"/>
    <w:rsid w:val="009E3C23"/>
    <w:rsid w:val="009E3F9A"/>
    <w:rsid w:val="009E4ACE"/>
    <w:rsid w:val="009E4C0C"/>
    <w:rsid w:val="009E4E45"/>
    <w:rsid w:val="009E556E"/>
    <w:rsid w:val="009E56B6"/>
    <w:rsid w:val="009E5809"/>
    <w:rsid w:val="009E5B6D"/>
    <w:rsid w:val="009E6023"/>
    <w:rsid w:val="009E6409"/>
    <w:rsid w:val="009E65DF"/>
    <w:rsid w:val="009E684A"/>
    <w:rsid w:val="009E6B41"/>
    <w:rsid w:val="009E6C9F"/>
    <w:rsid w:val="009E70CB"/>
    <w:rsid w:val="009E71DC"/>
    <w:rsid w:val="009E72D4"/>
    <w:rsid w:val="009E7B72"/>
    <w:rsid w:val="009E7CA3"/>
    <w:rsid w:val="009E7EF6"/>
    <w:rsid w:val="009F0378"/>
    <w:rsid w:val="009F098B"/>
    <w:rsid w:val="009F0B13"/>
    <w:rsid w:val="009F0B7F"/>
    <w:rsid w:val="009F0BAF"/>
    <w:rsid w:val="009F0D3E"/>
    <w:rsid w:val="009F0FA9"/>
    <w:rsid w:val="009F118D"/>
    <w:rsid w:val="009F119E"/>
    <w:rsid w:val="009F1C98"/>
    <w:rsid w:val="009F1CB1"/>
    <w:rsid w:val="009F1D4E"/>
    <w:rsid w:val="009F2D24"/>
    <w:rsid w:val="009F2FC1"/>
    <w:rsid w:val="009F31C0"/>
    <w:rsid w:val="009F3242"/>
    <w:rsid w:val="009F3243"/>
    <w:rsid w:val="009F3680"/>
    <w:rsid w:val="009F37E9"/>
    <w:rsid w:val="009F3A0D"/>
    <w:rsid w:val="009F3B02"/>
    <w:rsid w:val="009F3B83"/>
    <w:rsid w:val="009F3E8C"/>
    <w:rsid w:val="009F4135"/>
    <w:rsid w:val="009F422E"/>
    <w:rsid w:val="009F4241"/>
    <w:rsid w:val="009F4312"/>
    <w:rsid w:val="009F4616"/>
    <w:rsid w:val="009F52A5"/>
    <w:rsid w:val="009F55F2"/>
    <w:rsid w:val="009F5B91"/>
    <w:rsid w:val="009F5CAD"/>
    <w:rsid w:val="009F5D3E"/>
    <w:rsid w:val="009F60DA"/>
    <w:rsid w:val="009F63CD"/>
    <w:rsid w:val="009F6CDC"/>
    <w:rsid w:val="009F76D7"/>
    <w:rsid w:val="009F78FD"/>
    <w:rsid w:val="009F7B35"/>
    <w:rsid w:val="009F7BDA"/>
    <w:rsid w:val="00A00179"/>
    <w:rsid w:val="00A001EF"/>
    <w:rsid w:val="00A00253"/>
    <w:rsid w:val="00A009C5"/>
    <w:rsid w:val="00A00BF8"/>
    <w:rsid w:val="00A00DF2"/>
    <w:rsid w:val="00A018F1"/>
    <w:rsid w:val="00A019C2"/>
    <w:rsid w:val="00A01D06"/>
    <w:rsid w:val="00A022BA"/>
    <w:rsid w:val="00A02724"/>
    <w:rsid w:val="00A0298A"/>
    <w:rsid w:val="00A030FA"/>
    <w:rsid w:val="00A0333A"/>
    <w:rsid w:val="00A033AD"/>
    <w:rsid w:val="00A034CA"/>
    <w:rsid w:val="00A03D79"/>
    <w:rsid w:val="00A040C0"/>
    <w:rsid w:val="00A0424E"/>
    <w:rsid w:val="00A04557"/>
    <w:rsid w:val="00A04576"/>
    <w:rsid w:val="00A05064"/>
    <w:rsid w:val="00A051AB"/>
    <w:rsid w:val="00A0529E"/>
    <w:rsid w:val="00A05372"/>
    <w:rsid w:val="00A05BEC"/>
    <w:rsid w:val="00A05F2A"/>
    <w:rsid w:val="00A06A47"/>
    <w:rsid w:val="00A06D20"/>
    <w:rsid w:val="00A06DE3"/>
    <w:rsid w:val="00A07035"/>
    <w:rsid w:val="00A076CD"/>
    <w:rsid w:val="00A1019F"/>
    <w:rsid w:val="00A102BD"/>
    <w:rsid w:val="00A105D4"/>
    <w:rsid w:val="00A10779"/>
    <w:rsid w:val="00A10C91"/>
    <w:rsid w:val="00A11126"/>
    <w:rsid w:val="00A11363"/>
    <w:rsid w:val="00A1149F"/>
    <w:rsid w:val="00A114F4"/>
    <w:rsid w:val="00A11581"/>
    <w:rsid w:val="00A11590"/>
    <w:rsid w:val="00A11B0E"/>
    <w:rsid w:val="00A1201D"/>
    <w:rsid w:val="00A134AF"/>
    <w:rsid w:val="00A13710"/>
    <w:rsid w:val="00A13784"/>
    <w:rsid w:val="00A13894"/>
    <w:rsid w:val="00A13D49"/>
    <w:rsid w:val="00A13E4C"/>
    <w:rsid w:val="00A140CA"/>
    <w:rsid w:val="00A140DB"/>
    <w:rsid w:val="00A147BC"/>
    <w:rsid w:val="00A148B1"/>
    <w:rsid w:val="00A14BE6"/>
    <w:rsid w:val="00A151CF"/>
    <w:rsid w:val="00A155F9"/>
    <w:rsid w:val="00A15690"/>
    <w:rsid w:val="00A1570E"/>
    <w:rsid w:val="00A15D09"/>
    <w:rsid w:val="00A15F75"/>
    <w:rsid w:val="00A16026"/>
    <w:rsid w:val="00A16171"/>
    <w:rsid w:val="00A163E9"/>
    <w:rsid w:val="00A1658A"/>
    <w:rsid w:val="00A16B5F"/>
    <w:rsid w:val="00A16BE5"/>
    <w:rsid w:val="00A171E1"/>
    <w:rsid w:val="00A173B5"/>
    <w:rsid w:val="00A176E8"/>
    <w:rsid w:val="00A178D9"/>
    <w:rsid w:val="00A17A3B"/>
    <w:rsid w:val="00A17A51"/>
    <w:rsid w:val="00A17CDC"/>
    <w:rsid w:val="00A204A9"/>
    <w:rsid w:val="00A20621"/>
    <w:rsid w:val="00A209C0"/>
    <w:rsid w:val="00A20A42"/>
    <w:rsid w:val="00A20E25"/>
    <w:rsid w:val="00A20EDB"/>
    <w:rsid w:val="00A21016"/>
    <w:rsid w:val="00A210FA"/>
    <w:rsid w:val="00A21111"/>
    <w:rsid w:val="00A21174"/>
    <w:rsid w:val="00A212B8"/>
    <w:rsid w:val="00A2147D"/>
    <w:rsid w:val="00A215C6"/>
    <w:rsid w:val="00A218CF"/>
    <w:rsid w:val="00A2232A"/>
    <w:rsid w:val="00A223AA"/>
    <w:rsid w:val="00A22BB2"/>
    <w:rsid w:val="00A22CB0"/>
    <w:rsid w:val="00A22DE7"/>
    <w:rsid w:val="00A23517"/>
    <w:rsid w:val="00A24167"/>
    <w:rsid w:val="00A24198"/>
    <w:rsid w:val="00A243E8"/>
    <w:rsid w:val="00A245EA"/>
    <w:rsid w:val="00A24A11"/>
    <w:rsid w:val="00A24BE8"/>
    <w:rsid w:val="00A24E9A"/>
    <w:rsid w:val="00A24F46"/>
    <w:rsid w:val="00A2504C"/>
    <w:rsid w:val="00A25203"/>
    <w:rsid w:val="00A253E1"/>
    <w:rsid w:val="00A255B8"/>
    <w:rsid w:val="00A25A2C"/>
    <w:rsid w:val="00A25D92"/>
    <w:rsid w:val="00A26201"/>
    <w:rsid w:val="00A262F8"/>
    <w:rsid w:val="00A2653B"/>
    <w:rsid w:val="00A26847"/>
    <w:rsid w:val="00A26CB3"/>
    <w:rsid w:val="00A26F45"/>
    <w:rsid w:val="00A27542"/>
    <w:rsid w:val="00A27658"/>
    <w:rsid w:val="00A27A99"/>
    <w:rsid w:val="00A27DED"/>
    <w:rsid w:val="00A30470"/>
    <w:rsid w:val="00A3059E"/>
    <w:rsid w:val="00A305A3"/>
    <w:rsid w:val="00A309A5"/>
    <w:rsid w:val="00A30A52"/>
    <w:rsid w:val="00A30E29"/>
    <w:rsid w:val="00A313EA"/>
    <w:rsid w:val="00A31976"/>
    <w:rsid w:val="00A31B5A"/>
    <w:rsid w:val="00A31D46"/>
    <w:rsid w:val="00A31ECD"/>
    <w:rsid w:val="00A320FF"/>
    <w:rsid w:val="00A327BB"/>
    <w:rsid w:val="00A328D7"/>
    <w:rsid w:val="00A32B9A"/>
    <w:rsid w:val="00A32DAC"/>
    <w:rsid w:val="00A32E8D"/>
    <w:rsid w:val="00A33492"/>
    <w:rsid w:val="00A33BFF"/>
    <w:rsid w:val="00A33DF9"/>
    <w:rsid w:val="00A34070"/>
    <w:rsid w:val="00A3433B"/>
    <w:rsid w:val="00A3438A"/>
    <w:rsid w:val="00A3480A"/>
    <w:rsid w:val="00A351E9"/>
    <w:rsid w:val="00A3558E"/>
    <w:rsid w:val="00A35A4F"/>
    <w:rsid w:val="00A35B20"/>
    <w:rsid w:val="00A35E1C"/>
    <w:rsid w:val="00A360ED"/>
    <w:rsid w:val="00A3640E"/>
    <w:rsid w:val="00A36C15"/>
    <w:rsid w:val="00A370A0"/>
    <w:rsid w:val="00A3768A"/>
    <w:rsid w:val="00A378F7"/>
    <w:rsid w:val="00A37A0B"/>
    <w:rsid w:val="00A37E23"/>
    <w:rsid w:val="00A4019B"/>
    <w:rsid w:val="00A40C98"/>
    <w:rsid w:val="00A416F9"/>
    <w:rsid w:val="00A41B50"/>
    <w:rsid w:val="00A41DF5"/>
    <w:rsid w:val="00A4267E"/>
    <w:rsid w:val="00A4282A"/>
    <w:rsid w:val="00A430C5"/>
    <w:rsid w:val="00A436C3"/>
    <w:rsid w:val="00A43DAE"/>
    <w:rsid w:val="00A43EA7"/>
    <w:rsid w:val="00A4469A"/>
    <w:rsid w:val="00A4483E"/>
    <w:rsid w:val="00A44B0C"/>
    <w:rsid w:val="00A44C60"/>
    <w:rsid w:val="00A44EA5"/>
    <w:rsid w:val="00A450E4"/>
    <w:rsid w:val="00A4513F"/>
    <w:rsid w:val="00A45312"/>
    <w:rsid w:val="00A45320"/>
    <w:rsid w:val="00A4537F"/>
    <w:rsid w:val="00A45608"/>
    <w:rsid w:val="00A456E3"/>
    <w:rsid w:val="00A456FA"/>
    <w:rsid w:val="00A4587E"/>
    <w:rsid w:val="00A458DC"/>
    <w:rsid w:val="00A45D64"/>
    <w:rsid w:val="00A46382"/>
    <w:rsid w:val="00A464C5"/>
    <w:rsid w:val="00A46590"/>
    <w:rsid w:val="00A466B8"/>
    <w:rsid w:val="00A46822"/>
    <w:rsid w:val="00A473A1"/>
    <w:rsid w:val="00A47744"/>
    <w:rsid w:val="00A47820"/>
    <w:rsid w:val="00A4791F"/>
    <w:rsid w:val="00A47B8B"/>
    <w:rsid w:val="00A47CCA"/>
    <w:rsid w:val="00A50253"/>
    <w:rsid w:val="00A50469"/>
    <w:rsid w:val="00A50666"/>
    <w:rsid w:val="00A50693"/>
    <w:rsid w:val="00A50911"/>
    <w:rsid w:val="00A50BED"/>
    <w:rsid w:val="00A50C38"/>
    <w:rsid w:val="00A50CF5"/>
    <w:rsid w:val="00A51031"/>
    <w:rsid w:val="00A51444"/>
    <w:rsid w:val="00A51AB4"/>
    <w:rsid w:val="00A51E89"/>
    <w:rsid w:val="00A51F3A"/>
    <w:rsid w:val="00A52499"/>
    <w:rsid w:val="00A524C3"/>
    <w:rsid w:val="00A52FF2"/>
    <w:rsid w:val="00A530EF"/>
    <w:rsid w:val="00A53439"/>
    <w:rsid w:val="00A53745"/>
    <w:rsid w:val="00A53E0F"/>
    <w:rsid w:val="00A53ED6"/>
    <w:rsid w:val="00A54291"/>
    <w:rsid w:val="00A54418"/>
    <w:rsid w:val="00A5489D"/>
    <w:rsid w:val="00A549C9"/>
    <w:rsid w:val="00A54B96"/>
    <w:rsid w:val="00A55083"/>
    <w:rsid w:val="00A552D2"/>
    <w:rsid w:val="00A55E76"/>
    <w:rsid w:val="00A56089"/>
    <w:rsid w:val="00A563B7"/>
    <w:rsid w:val="00A56646"/>
    <w:rsid w:val="00A56A49"/>
    <w:rsid w:val="00A56E33"/>
    <w:rsid w:val="00A571C4"/>
    <w:rsid w:val="00A57707"/>
    <w:rsid w:val="00A57AD7"/>
    <w:rsid w:val="00A57AE0"/>
    <w:rsid w:val="00A57E3C"/>
    <w:rsid w:val="00A60345"/>
    <w:rsid w:val="00A608E0"/>
    <w:rsid w:val="00A60AB9"/>
    <w:rsid w:val="00A60ACE"/>
    <w:rsid w:val="00A60AEA"/>
    <w:rsid w:val="00A60C3C"/>
    <w:rsid w:val="00A60C6F"/>
    <w:rsid w:val="00A60D15"/>
    <w:rsid w:val="00A61015"/>
    <w:rsid w:val="00A6125C"/>
    <w:rsid w:val="00A6146A"/>
    <w:rsid w:val="00A615FB"/>
    <w:rsid w:val="00A619B6"/>
    <w:rsid w:val="00A61B43"/>
    <w:rsid w:val="00A61F1B"/>
    <w:rsid w:val="00A62052"/>
    <w:rsid w:val="00A6257A"/>
    <w:rsid w:val="00A62855"/>
    <w:rsid w:val="00A62CAF"/>
    <w:rsid w:val="00A63230"/>
    <w:rsid w:val="00A632C3"/>
    <w:rsid w:val="00A63885"/>
    <w:rsid w:val="00A63BE9"/>
    <w:rsid w:val="00A63C16"/>
    <w:rsid w:val="00A6406D"/>
    <w:rsid w:val="00A64150"/>
    <w:rsid w:val="00A6473E"/>
    <w:rsid w:val="00A64745"/>
    <w:rsid w:val="00A64AA5"/>
    <w:rsid w:val="00A64CB6"/>
    <w:rsid w:val="00A6506C"/>
    <w:rsid w:val="00A65132"/>
    <w:rsid w:val="00A651D1"/>
    <w:rsid w:val="00A6547E"/>
    <w:rsid w:val="00A65B6D"/>
    <w:rsid w:val="00A65C48"/>
    <w:rsid w:val="00A65E0B"/>
    <w:rsid w:val="00A66583"/>
    <w:rsid w:val="00A6691D"/>
    <w:rsid w:val="00A66A43"/>
    <w:rsid w:val="00A66E27"/>
    <w:rsid w:val="00A67553"/>
    <w:rsid w:val="00A677FC"/>
    <w:rsid w:val="00A67811"/>
    <w:rsid w:val="00A678EA"/>
    <w:rsid w:val="00A679E2"/>
    <w:rsid w:val="00A67CCE"/>
    <w:rsid w:val="00A67F01"/>
    <w:rsid w:val="00A7012B"/>
    <w:rsid w:val="00A703D3"/>
    <w:rsid w:val="00A70513"/>
    <w:rsid w:val="00A7051B"/>
    <w:rsid w:val="00A7058C"/>
    <w:rsid w:val="00A70A64"/>
    <w:rsid w:val="00A713EB"/>
    <w:rsid w:val="00A718F5"/>
    <w:rsid w:val="00A71E49"/>
    <w:rsid w:val="00A71F77"/>
    <w:rsid w:val="00A72B5A"/>
    <w:rsid w:val="00A72F6D"/>
    <w:rsid w:val="00A73017"/>
    <w:rsid w:val="00A736C7"/>
    <w:rsid w:val="00A73E1C"/>
    <w:rsid w:val="00A73EB1"/>
    <w:rsid w:val="00A73F41"/>
    <w:rsid w:val="00A74185"/>
    <w:rsid w:val="00A74339"/>
    <w:rsid w:val="00A74913"/>
    <w:rsid w:val="00A749A8"/>
    <w:rsid w:val="00A74A60"/>
    <w:rsid w:val="00A74DEE"/>
    <w:rsid w:val="00A75115"/>
    <w:rsid w:val="00A75240"/>
    <w:rsid w:val="00A756C0"/>
    <w:rsid w:val="00A757D5"/>
    <w:rsid w:val="00A75D8F"/>
    <w:rsid w:val="00A7604F"/>
    <w:rsid w:val="00A762C9"/>
    <w:rsid w:val="00A76876"/>
    <w:rsid w:val="00A76907"/>
    <w:rsid w:val="00A76E11"/>
    <w:rsid w:val="00A76F9B"/>
    <w:rsid w:val="00A7701C"/>
    <w:rsid w:val="00A77211"/>
    <w:rsid w:val="00A77240"/>
    <w:rsid w:val="00A779C3"/>
    <w:rsid w:val="00A77B5D"/>
    <w:rsid w:val="00A80063"/>
    <w:rsid w:val="00A80281"/>
    <w:rsid w:val="00A804E8"/>
    <w:rsid w:val="00A80668"/>
    <w:rsid w:val="00A80AC9"/>
    <w:rsid w:val="00A80DD3"/>
    <w:rsid w:val="00A81053"/>
    <w:rsid w:val="00A8105E"/>
    <w:rsid w:val="00A8114D"/>
    <w:rsid w:val="00A81513"/>
    <w:rsid w:val="00A81BEB"/>
    <w:rsid w:val="00A81E90"/>
    <w:rsid w:val="00A81F19"/>
    <w:rsid w:val="00A82274"/>
    <w:rsid w:val="00A8236C"/>
    <w:rsid w:val="00A82852"/>
    <w:rsid w:val="00A829D0"/>
    <w:rsid w:val="00A82BF0"/>
    <w:rsid w:val="00A82C3B"/>
    <w:rsid w:val="00A82C80"/>
    <w:rsid w:val="00A82C9E"/>
    <w:rsid w:val="00A82D85"/>
    <w:rsid w:val="00A82F7B"/>
    <w:rsid w:val="00A830E2"/>
    <w:rsid w:val="00A83879"/>
    <w:rsid w:val="00A8396B"/>
    <w:rsid w:val="00A83AF5"/>
    <w:rsid w:val="00A83E1D"/>
    <w:rsid w:val="00A83EE8"/>
    <w:rsid w:val="00A840DD"/>
    <w:rsid w:val="00A84256"/>
    <w:rsid w:val="00A84300"/>
    <w:rsid w:val="00A84A38"/>
    <w:rsid w:val="00A84DF6"/>
    <w:rsid w:val="00A85A1F"/>
    <w:rsid w:val="00A85CCD"/>
    <w:rsid w:val="00A86463"/>
    <w:rsid w:val="00A8671F"/>
    <w:rsid w:val="00A86C01"/>
    <w:rsid w:val="00A86C74"/>
    <w:rsid w:val="00A86D8E"/>
    <w:rsid w:val="00A86EF7"/>
    <w:rsid w:val="00A86F93"/>
    <w:rsid w:val="00A8704C"/>
    <w:rsid w:val="00A871B9"/>
    <w:rsid w:val="00A87609"/>
    <w:rsid w:val="00A90006"/>
    <w:rsid w:val="00A900E8"/>
    <w:rsid w:val="00A90259"/>
    <w:rsid w:val="00A9044C"/>
    <w:rsid w:val="00A9099B"/>
    <w:rsid w:val="00A90D0D"/>
    <w:rsid w:val="00A91911"/>
    <w:rsid w:val="00A91B14"/>
    <w:rsid w:val="00A91BF6"/>
    <w:rsid w:val="00A91C92"/>
    <w:rsid w:val="00A922C4"/>
    <w:rsid w:val="00A92646"/>
    <w:rsid w:val="00A929D1"/>
    <w:rsid w:val="00A92C28"/>
    <w:rsid w:val="00A92C30"/>
    <w:rsid w:val="00A92F9A"/>
    <w:rsid w:val="00A93232"/>
    <w:rsid w:val="00A93404"/>
    <w:rsid w:val="00A935C1"/>
    <w:rsid w:val="00A9374A"/>
    <w:rsid w:val="00A93A30"/>
    <w:rsid w:val="00A940AD"/>
    <w:rsid w:val="00A940F1"/>
    <w:rsid w:val="00A949CA"/>
    <w:rsid w:val="00A95104"/>
    <w:rsid w:val="00A95228"/>
    <w:rsid w:val="00A95586"/>
    <w:rsid w:val="00A95604"/>
    <w:rsid w:val="00A95655"/>
    <w:rsid w:val="00A9598A"/>
    <w:rsid w:val="00A95AE1"/>
    <w:rsid w:val="00A95F72"/>
    <w:rsid w:val="00A96553"/>
    <w:rsid w:val="00A96AE6"/>
    <w:rsid w:val="00A96D1C"/>
    <w:rsid w:val="00A96EF1"/>
    <w:rsid w:val="00A97044"/>
    <w:rsid w:val="00A971D1"/>
    <w:rsid w:val="00A97457"/>
    <w:rsid w:val="00A97576"/>
    <w:rsid w:val="00A975AA"/>
    <w:rsid w:val="00A97704"/>
    <w:rsid w:val="00A9770F"/>
    <w:rsid w:val="00A9776E"/>
    <w:rsid w:val="00A9789A"/>
    <w:rsid w:val="00A97B80"/>
    <w:rsid w:val="00A97E7A"/>
    <w:rsid w:val="00A97E81"/>
    <w:rsid w:val="00AA0BC0"/>
    <w:rsid w:val="00AA12EB"/>
    <w:rsid w:val="00AA192B"/>
    <w:rsid w:val="00AA1E6D"/>
    <w:rsid w:val="00AA26F3"/>
    <w:rsid w:val="00AA2815"/>
    <w:rsid w:val="00AA2B3B"/>
    <w:rsid w:val="00AA2B57"/>
    <w:rsid w:val="00AA2F87"/>
    <w:rsid w:val="00AA3286"/>
    <w:rsid w:val="00AA33C6"/>
    <w:rsid w:val="00AA37E5"/>
    <w:rsid w:val="00AA484A"/>
    <w:rsid w:val="00AA4D54"/>
    <w:rsid w:val="00AA4E6F"/>
    <w:rsid w:val="00AA514E"/>
    <w:rsid w:val="00AA52ED"/>
    <w:rsid w:val="00AA5AB2"/>
    <w:rsid w:val="00AA5C8B"/>
    <w:rsid w:val="00AA5CAE"/>
    <w:rsid w:val="00AA6208"/>
    <w:rsid w:val="00AA63A7"/>
    <w:rsid w:val="00AA66D3"/>
    <w:rsid w:val="00AA6D10"/>
    <w:rsid w:val="00AA6D61"/>
    <w:rsid w:val="00AA70FF"/>
    <w:rsid w:val="00AA79C4"/>
    <w:rsid w:val="00AA7D44"/>
    <w:rsid w:val="00AA7F6C"/>
    <w:rsid w:val="00AB0751"/>
    <w:rsid w:val="00AB0766"/>
    <w:rsid w:val="00AB0A4B"/>
    <w:rsid w:val="00AB0D78"/>
    <w:rsid w:val="00AB1090"/>
    <w:rsid w:val="00AB1481"/>
    <w:rsid w:val="00AB1530"/>
    <w:rsid w:val="00AB16DE"/>
    <w:rsid w:val="00AB19B7"/>
    <w:rsid w:val="00AB1F14"/>
    <w:rsid w:val="00AB20B8"/>
    <w:rsid w:val="00AB21B5"/>
    <w:rsid w:val="00AB2421"/>
    <w:rsid w:val="00AB2496"/>
    <w:rsid w:val="00AB2716"/>
    <w:rsid w:val="00AB2E36"/>
    <w:rsid w:val="00AB3369"/>
    <w:rsid w:val="00AB3580"/>
    <w:rsid w:val="00AB3759"/>
    <w:rsid w:val="00AB39A7"/>
    <w:rsid w:val="00AB3C82"/>
    <w:rsid w:val="00AB3EEA"/>
    <w:rsid w:val="00AB4070"/>
    <w:rsid w:val="00AB4085"/>
    <w:rsid w:val="00AB43AD"/>
    <w:rsid w:val="00AB4657"/>
    <w:rsid w:val="00AB486C"/>
    <w:rsid w:val="00AB4A91"/>
    <w:rsid w:val="00AB4AD9"/>
    <w:rsid w:val="00AB4DAA"/>
    <w:rsid w:val="00AB51D8"/>
    <w:rsid w:val="00AB52A4"/>
    <w:rsid w:val="00AB5500"/>
    <w:rsid w:val="00AB5608"/>
    <w:rsid w:val="00AB5814"/>
    <w:rsid w:val="00AB59E1"/>
    <w:rsid w:val="00AB6071"/>
    <w:rsid w:val="00AB6178"/>
    <w:rsid w:val="00AB63F5"/>
    <w:rsid w:val="00AB6EFD"/>
    <w:rsid w:val="00AB6F89"/>
    <w:rsid w:val="00AB7432"/>
    <w:rsid w:val="00AB7496"/>
    <w:rsid w:val="00AB7516"/>
    <w:rsid w:val="00AB7A8C"/>
    <w:rsid w:val="00AB7ACA"/>
    <w:rsid w:val="00AB7C1D"/>
    <w:rsid w:val="00AB7F11"/>
    <w:rsid w:val="00AC01F7"/>
    <w:rsid w:val="00AC05FD"/>
    <w:rsid w:val="00AC0880"/>
    <w:rsid w:val="00AC0984"/>
    <w:rsid w:val="00AC0A35"/>
    <w:rsid w:val="00AC0A9C"/>
    <w:rsid w:val="00AC0B03"/>
    <w:rsid w:val="00AC1314"/>
    <w:rsid w:val="00AC1463"/>
    <w:rsid w:val="00AC1494"/>
    <w:rsid w:val="00AC1584"/>
    <w:rsid w:val="00AC15BB"/>
    <w:rsid w:val="00AC1831"/>
    <w:rsid w:val="00AC1E58"/>
    <w:rsid w:val="00AC2123"/>
    <w:rsid w:val="00AC22F7"/>
    <w:rsid w:val="00AC22F9"/>
    <w:rsid w:val="00AC295B"/>
    <w:rsid w:val="00AC2CEF"/>
    <w:rsid w:val="00AC31FE"/>
    <w:rsid w:val="00AC3504"/>
    <w:rsid w:val="00AC3718"/>
    <w:rsid w:val="00AC374B"/>
    <w:rsid w:val="00AC3B1A"/>
    <w:rsid w:val="00AC4226"/>
    <w:rsid w:val="00AC4664"/>
    <w:rsid w:val="00AC4BBA"/>
    <w:rsid w:val="00AC4C07"/>
    <w:rsid w:val="00AC4F3C"/>
    <w:rsid w:val="00AC531E"/>
    <w:rsid w:val="00AC539D"/>
    <w:rsid w:val="00AC5857"/>
    <w:rsid w:val="00AC5A5F"/>
    <w:rsid w:val="00AC5AAB"/>
    <w:rsid w:val="00AC5E05"/>
    <w:rsid w:val="00AC5E64"/>
    <w:rsid w:val="00AC60C3"/>
    <w:rsid w:val="00AC6878"/>
    <w:rsid w:val="00AC6B20"/>
    <w:rsid w:val="00AC7455"/>
    <w:rsid w:val="00AC7933"/>
    <w:rsid w:val="00AC79A5"/>
    <w:rsid w:val="00AC7C43"/>
    <w:rsid w:val="00AC7C5D"/>
    <w:rsid w:val="00AD0150"/>
    <w:rsid w:val="00AD0762"/>
    <w:rsid w:val="00AD1201"/>
    <w:rsid w:val="00AD167B"/>
    <w:rsid w:val="00AD184C"/>
    <w:rsid w:val="00AD1CA7"/>
    <w:rsid w:val="00AD1EE6"/>
    <w:rsid w:val="00AD21C5"/>
    <w:rsid w:val="00AD2C42"/>
    <w:rsid w:val="00AD2D44"/>
    <w:rsid w:val="00AD2D91"/>
    <w:rsid w:val="00AD2DB6"/>
    <w:rsid w:val="00AD300B"/>
    <w:rsid w:val="00AD3B96"/>
    <w:rsid w:val="00AD4245"/>
    <w:rsid w:val="00AD43E0"/>
    <w:rsid w:val="00AD4423"/>
    <w:rsid w:val="00AD4892"/>
    <w:rsid w:val="00AD4DA6"/>
    <w:rsid w:val="00AD5168"/>
    <w:rsid w:val="00AD5803"/>
    <w:rsid w:val="00AD5DA9"/>
    <w:rsid w:val="00AD6451"/>
    <w:rsid w:val="00AD6539"/>
    <w:rsid w:val="00AD6933"/>
    <w:rsid w:val="00AD6D24"/>
    <w:rsid w:val="00AD6E87"/>
    <w:rsid w:val="00AD6F08"/>
    <w:rsid w:val="00AD711F"/>
    <w:rsid w:val="00AD7122"/>
    <w:rsid w:val="00AD7328"/>
    <w:rsid w:val="00AD744D"/>
    <w:rsid w:val="00AD79E4"/>
    <w:rsid w:val="00AD7FA0"/>
    <w:rsid w:val="00AE00D6"/>
    <w:rsid w:val="00AE018D"/>
    <w:rsid w:val="00AE0210"/>
    <w:rsid w:val="00AE0614"/>
    <w:rsid w:val="00AE0673"/>
    <w:rsid w:val="00AE0810"/>
    <w:rsid w:val="00AE08ED"/>
    <w:rsid w:val="00AE0A9B"/>
    <w:rsid w:val="00AE0BBD"/>
    <w:rsid w:val="00AE0D25"/>
    <w:rsid w:val="00AE0F8C"/>
    <w:rsid w:val="00AE1563"/>
    <w:rsid w:val="00AE192C"/>
    <w:rsid w:val="00AE1997"/>
    <w:rsid w:val="00AE19C5"/>
    <w:rsid w:val="00AE1CB8"/>
    <w:rsid w:val="00AE1F10"/>
    <w:rsid w:val="00AE23AD"/>
    <w:rsid w:val="00AE264E"/>
    <w:rsid w:val="00AE26A1"/>
    <w:rsid w:val="00AE26BB"/>
    <w:rsid w:val="00AE276E"/>
    <w:rsid w:val="00AE2B3E"/>
    <w:rsid w:val="00AE2B5B"/>
    <w:rsid w:val="00AE2FC3"/>
    <w:rsid w:val="00AE30B0"/>
    <w:rsid w:val="00AE3425"/>
    <w:rsid w:val="00AE3A30"/>
    <w:rsid w:val="00AE4BC0"/>
    <w:rsid w:val="00AE4F1E"/>
    <w:rsid w:val="00AE4F75"/>
    <w:rsid w:val="00AE53D8"/>
    <w:rsid w:val="00AE543A"/>
    <w:rsid w:val="00AE5804"/>
    <w:rsid w:val="00AE5CB5"/>
    <w:rsid w:val="00AE617F"/>
    <w:rsid w:val="00AE6777"/>
    <w:rsid w:val="00AE68FC"/>
    <w:rsid w:val="00AE6D2B"/>
    <w:rsid w:val="00AE6DE7"/>
    <w:rsid w:val="00AE6E81"/>
    <w:rsid w:val="00AE6F8D"/>
    <w:rsid w:val="00AE7788"/>
    <w:rsid w:val="00AE7A24"/>
    <w:rsid w:val="00AF04A9"/>
    <w:rsid w:val="00AF0B46"/>
    <w:rsid w:val="00AF15CD"/>
    <w:rsid w:val="00AF17F0"/>
    <w:rsid w:val="00AF1894"/>
    <w:rsid w:val="00AF1C95"/>
    <w:rsid w:val="00AF1F9C"/>
    <w:rsid w:val="00AF2561"/>
    <w:rsid w:val="00AF2937"/>
    <w:rsid w:val="00AF2BEC"/>
    <w:rsid w:val="00AF2C09"/>
    <w:rsid w:val="00AF3502"/>
    <w:rsid w:val="00AF3ACF"/>
    <w:rsid w:val="00AF3B52"/>
    <w:rsid w:val="00AF3CD0"/>
    <w:rsid w:val="00AF3F09"/>
    <w:rsid w:val="00AF4057"/>
    <w:rsid w:val="00AF455B"/>
    <w:rsid w:val="00AF4579"/>
    <w:rsid w:val="00AF499F"/>
    <w:rsid w:val="00AF4A6A"/>
    <w:rsid w:val="00AF4BF9"/>
    <w:rsid w:val="00AF4D56"/>
    <w:rsid w:val="00AF5086"/>
    <w:rsid w:val="00AF519D"/>
    <w:rsid w:val="00AF5AD6"/>
    <w:rsid w:val="00AF5C97"/>
    <w:rsid w:val="00AF6210"/>
    <w:rsid w:val="00AF6637"/>
    <w:rsid w:val="00AF67A1"/>
    <w:rsid w:val="00AF6994"/>
    <w:rsid w:val="00AF6A89"/>
    <w:rsid w:val="00AF6B47"/>
    <w:rsid w:val="00AF6BA7"/>
    <w:rsid w:val="00AF6DD6"/>
    <w:rsid w:val="00AF6DEC"/>
    <w:rsid w:val="00AF6EA3"/>
    <w:rsid w:val="00AF7151"/>
    <w:rsid w:val="00AF7260"/>
    <w:rsid w:val="00AF75D5"/>
    <w:rsid w:val="00AF7B51"/>
    <w:rsid w:val="00AF7D86"/>
    <w:rsid w:val="00B00157"/>
    <w:rsid w:val="00B0051D"/>
    <w:rsid w:val="00B00F25"/>
    <w:rsid w:val="00B00F97"/>
    <w:rsid w:val="00B016B5"/>
    <w:rsid w:val="00B019E6"/>
    <w:rsid w:val="00B01EC6"/>
    <w:rsid w:val="00B025C1"/>
    <w:rsid w:val="00B027D7"/>
    <w:rsid w:val="00B02D7C"/>
    <w:rsid w:val="00B03086"/>
    <w:rsid w:val="00B030AB"/>
    <w:rsid w:val="00B030B3"/>
    <w:rsid w:val="00B0314A"/>
    <w:rsid w:val="00B03748"/>
    <w:rsid w:val="00B038A9"/>
    <w:rsid w:val="00B04229"/>
    <w:rsid w:val="00B046AB"/>
    <w:rsid w:val="00B0482E"/>
    <w:rsid w:val="00B04B3D"/>
    <w:rsid w:val="00B04C13"/>
    <w:rsid w:val="00B04D23"/>
    <w:rsid w:val="00B04E10"/>
    <w:rsid w:val="00B04F1D"/>
    <w:rsid w:val="00B04F2E"/>
    <w:rsid w:val="00B05500"/>
    <w:rsid w:val="00B0590A"/>
    <w:rsid w:val="00B05A2B"/>
    <w:rsid w:val="00B062D3"/>
    <w:rsid w:val="00B064D9"/>
    <w:rsid w:val="00B0662F"/>
    <w:rsid w:val="00B06769"/>
    <w:rsid w:val="00B06970"/>
    <w:rsid w:val="00B06BA1"/>
    <w:rsid w:val="00B06ECB"/>
    <w:rsid w:val="00B07693"/>
    <w:rsid w:val="00B077E6"/>
    <w:rsid w:val="00B07941"/>
    <w:rsid w:val="00B079CF"/>
    <w:rsid w:val="00B07BB0"/>
    <w:rsid w:val="00B102CA"/>
    <w:rsid w:val="00B1050E"/>
    <w:rsid w:val="00B106BD"/>
    <w:rsid w:val="00B10B50"/>
    <w:rsid w:val="00B115F7"/>
    <w:rsid w:val="00B11B5C"/>
    <w:rsid w:val="00B11D1A"/>
    <w:rsid w:val="00B11ECB"/>
    <w:rsid w:val="00B1222F"/>
    <w:rsid w:val="00B125F9"/>
    <w:rsid w:val="00B12C0F"/>
    <w:rsid w:val="00B12C69"/>
    <w:rsid w:val="00B12CED"/>
    <w:rsid w:val="00B12D6D"/>
    <w:rsid w:val="00B138CF"/>
    <w:rsid w:val="00B13CD4"/>
    <w:rsid w:val="00B142B4"/>
    <w:rsid w:val="00B1444D"/>
    <w:rsid w:val="00B14512"/>
    <w:rsid w:val="00B148EE"/>
    <w:rsid w:val="00B14A7E"/>
    <w:rsid w:val="00B154EE"/>
    <w:rsid w:val="00B1568F"/>
    <w:rsid w:val="00B15819"/>
    <w:rsid w:val="00B15AAB"/>
    <w:rsid w:val="00B15F1F"/>
    <w:rsid w:val="00B15FAD"/>
    <w:rsid w:val="00B1602C"/>
    <w:rsid w:val="00B161E5"/>
    <w:rsid w:val="00B163EE"/>
    <w:rsid w:val="00B166D3"/>
    <w:rsid w:val="00B17195"/>
    <w:rsid w:val="00B171A7"/>
    <w:rsid w:val="00B1728F"/>
    <w:rsid w:val="00B174E6"/>
    <w:rsid w:val="00B175E8"/>
    <w:rsid w:val="00B17793"/>
    <w:rsid w:val="00B17827"/>
    <w:rsid w:val="00B178BF"/>
    <w:rsid w:val="00B17981"/>
    <w:rsid w:val="00B179FC"/>
    <w:rsid w:val="00B20DF1"/>
    <w:rsid w:val="00B20ED7"/>
    <w:rsid w:val="00B21301"/>
    <w:rsid w:val="00B21640"/>
    <w:rsid w:val="00B217A3"/>
    <w:rsid w:val="00B22A6F"/>
    <w:rsid w:val="00B23706"/>
    <w:rsid w:val="00B238B9"/>
    <w:rsid w:val="00B238EC"/>
    <w:rsid w:val="00B241D4"/>
    <w:rsid w:val="00B243B8"/>
    <w:rsid w:val="00B2485C"/>
    <w:rsid w:val="00B2486E"/>
    <w:rsid w:val="00B24C70"/>
    <w:rsid w:val="00B250A4"/>
    <w:rsid w:val="00B2512F"/>
    <w:rsid w:val="00B25619"/>
    <w:rsid w:val="00B25828"/>
    <w:rsid w:val="00B25AE5"/>
    <w:rsid w:val="00B25DE2"/>
    <w:rsid w:val="00B25E00"/>
    <w:rsid w:val="00B25F73"/>
    <w:rsid w:val="00B26144"/>
    <w:rsid w:val="00B2614D"/>
    <w:rsid w:val="00B26175"/>
    <w:rsid w:val="00B262A3"/>
    <w:rsid w:val="00B26A56"/>
    <w:rsid w:val="00B26A79"/>
    <w:rsid w:val="00B26B0B"/>
    <w:rsid w:val="00B26C05"/>
    <w:rsid w:val="00B270E8"/>
    <w:rsid w:val="00B2734A"/>
    <w:rsid w:val="00B27439"/>
    <w:rsid w:val="00B27540"/>
    <w:rsid w:val="00B275BB"/>
    <w:rsid w:val="00B27899"/>
    <w:rsid w:val="00B3027F"/>
    <w:rsid w:val="00B304DE"/>
    <w:rsid w:val="00B304F1"/>
    <w:rsid w:val="00B30A0F"/>
    <w:rsid w:val="00B30BE4"/>
    <w:rsid w:val="00B30D35"/>
    <w:rsid w:val="00B315E2"/>
    <w:rsid w:val="00B319EC"/>
    <w:rsid w:val="00B31FDB"/>
    <w:rsid w:val="00B32198"/>
    <w:rsid w:val="00B323C1"/>
    <w:rsid w:val="00B32CC5"/>
    <w:rsid w:val="00B32E7F"/>
    <w:rsid w:val="00B33040"/>
    <w:rsid w:val="00B33936"/>
    <w:rsid w:val="00B33B6D"/>
    <w:rsid w:val="00B33E81"/>
    <w:rsid w:val="00B34116"/>
    <w:rsid w:val="00B343CF"/>
    <w:rsid w:val="00B3450C"/>
    <w:rsid w:val="00B34689"/>
    <w:rsid w:val="00B3484A"/>
    <w:rsid w:val="00B34C8C"/>
    <w:rsid w:val="00B34FEC"/>
    <w:rsid w:val="00B35376"/>
    <w:rsid w:val="00B354FE"/>
    <w:rsid w:val="00B357D0"/>
    <w:rsid w:val="00B35B2E"/>
    <w:rsid w:val="00B35C83"/>
    <w:rsid w:val="00B36495"/>
    <w:rsid w:val="00B36A2B"/>
    <w:rsid w:val="00B36D70"/>
    <w:rsid w:val="00B36F10"/>
    <w:rsid w:val="00B3747E"/>
    <w:rsid w:val="00B3776A"/>
    <w:rsid w:val="00B37CD8"/>
    <w:rsid w:val="00B37D42"/>
    <w:rsid w:val="00B37E50"/>
    <w:rsid w:val="00B4046B"/>
    <w:rsid w:val="00B406EC"/>
    <w:rsid w:val="00B407B5"/>
    <w:rsid w:val="00B4095A"/>
    <w:rsid w:val="00B40B42"/>
    <w:rsid w:val="00B41002"/>
    <w:rsid w:val="00B410CC"/>
    <w:rsid w:val="00B41476"/>
    <w:rsid w:val="00B41592"/>
    <w:rsid w:val="00B41C94"/>
    <w:rsid w:val="00B41D19"/>
    <w:rsid w:val="00B41D7C"/>
    <w:rsid w:val="00B41DAE"/>
    <w:rsid w:val="00B41DDE"/>
    <w:rsid w:val="00B42368"/>
    <w:rsid w:val="00B424CB"/>
    <w:rsid w:val="00B4274A"/>
    <w:rsid w:val="00B42968"/>
    <w:rsid w:val="00B42C55"/>
    <w:rsid w:val="00B43066"/>
    <w:rsid w:val="00B430BF"/>
    <w:rsid w:val="00B43210"/>
    <w:rsid w:val="00B432F8"/>
    <w:rsid w:val="00B433AB"/>
    <w:rsid w:val="00B433F8"/>
    <w:rsid w:val="00B43504"/>
    <w:rsid w:val="00B4350A"/>
    <w:rsid w:val="00B43799"/>
    <w:rsid w:val="00B4393A"/>
    <w:rsid w:val="00B43987"/>
    <w:rsid w:val="00B43BC3"/>
    <w:rsid w:val="00B44359"/>
    <w:rsid w:val="00B443B1"/>
    <w:rsid w:val="00B4459B"/>
    <w:rsid w:val="00B44635"/>
    <w:rsid w:val="00B44A6F"/>
    <w:rsid w:val="00B44B29"/>
    <w:rsid w:val="00B4518C"/>
    <w:rsid w:val="00B4530C"/>
    <w:rsid w:val="00B45668"/>
    <w:rsid w:val="00B45864"/>
    <w:rsid w:val="00B45A3C"/>
    <w:rsid w:val="00B47138"/>
    <w:rsid w:val="00B477AD"/>
    <w:rsid w:val="00B47876"/>
    <w:rsid w:val="00B47A26"/>
    <w:rsid w:val="00B505CB"/>
    <w:rsid w:val="00B508A5"/>
    <w:rsid w:val="00B50965"/>
    <w:rsid w:val="00B50D79"/>
    <w:rsid w:val="00B50DD7"/>
    <w:rsid w:val="00B51049"/>
    <w:rsid w:val="00B51929"/>
    <w:rsid w:val="00B51C32"/>
    <w:rsid w:val="00B51CE9"/>
    <w:rsid w:val="00B51DB0"/>
    <w:rsid w:val="00B51FEF"/>
    <w:rsid w:val="00B52207"/>
    <w:rsid w:val="00B523CB"/>
    <w:rsid w:val="00B52871"/>
    <w:rsid w:val="00B52927"/>
    <w:rsid w:val="00B52C64"/>
    <w:rsid w:val="00B52C90"/>
    <w:rsid w:val="00B52DA1"/>
    <w:rsid w:val="00B52FCF"/>
    <w:rsid w:val="00B53052"/>
    <w:rsid w:val="00B5312A"/>
    <w:rsid w:val="00B53156"/>
    <w:rsid w:val="00B53502"/>
    <w:rsid w:val="00B536DD"/>
    <w:rsid w:val="00B536F9"/>
    <w:rsid w:val="00B538A9"/>
    <w:rsid w:val="00B538C1"/>
    <w:rsid w:val="00B539D0"/>
    <w:rsid w:val="00B53AA6"/>
    <w:rsid w:val="00B53BB2"/>
    <w:rsid w:val="00B53C08"/>
    <w:rsid w:val="00B53CCA"/>
    <w:rsid w:val="00B53E74"/>
    <w:rsid w:val="00B540A8"/>
    <w:rsid w:val="00B54553"/>
    <w:rsid w:val="00B548A5"/>
    <w:rsid w:val="00B54B25"/>
    <w:rsid w:val="00B54E8E"/>
    <w:rsid w:val="00B55003"/>
    <w:rsid w:val="00B550E5"/>
    <w:rsid w:val="00B55447"/>
    <w:rsid w:val="00B55510"/>
    <w:rsid w:val="00B55A16"/>
    <w:rsid w:val="00B55E13"/>
    <w:rsid w:val="00B55F8C"/>
    <w:rsid w:val="00B56050"/>
    <w:rsid w:val="00B5643A"/>
    <w:rsid w:val="00B5675D"/>
    <w:rsid w:val="00B5691E"/>
    <w:rsid w:val="00B5693A"/>
    <w:rsid w:val="00B569D7"/>
    <w:rsid w:val="00B57760"/>
    <w:rsid w:val="00B60D50"/>
    <w:rsid w:val="00B611DA"/>
    <w:rsid w:val="00B6148A"/>
    <w:rsid w:val="00B61557"/>
    <w:rsid w:val="00B61A9C"/>
    <w:rsid w:val="00B61C27"/>
    <w:rsid w:val="00B61E4D"/>
    <w:rsid w:val="00B61EE7"/>
    <w:rsid w:val="00B62089"/>
    <w:rsid w:val="00B62671"/>
    <w:rsid w:val="00B62914"/>
    <w:rsid w:val="00B629AE"/>
    <w:rsid w:val="00B62A0E"/>
    <w:rsid w:val="00B62ED7"/>
    <w:rsid w:val="00B632F9"/>
    <w:rsid w:val="00B63307"/>
    <w:rsid w:val="00B637B3"/>
    <w:rsid w:val="00B639D2"/>
    <w:rsid w:val="00B63BBA"/>
    <w:rsid w:val="00B63BBB"/>
    <w:rsid w:val="00B64179"/>
    <w:rsid w:val="00B641C5"/>
    <w:rsid w:val="00B647A7"/>
    <w:rsid w:val="00B647F5"/>
    <w:rsid w:val="00B64C27"/>
    <w:rsid w:val="00B64C35"/>
    <w:rsid w:val="00B64E31"/>
    <w:rsid w:val="00B650BE"/>
    <w:rsid w:val="00B656FC"/>
    <w:rsid w:val="00B659C7"/>
    <w:rsid w:val="00B65F25"/>
    <w:rsid w:val="00B663B0"/>
    <w:rsid w:val="00B669B7"/>
    <w:rsid w:val="00B66D84"/>
    <w:rsid w:val="00B66DE0"/>
    <w:rsid w:val="00B672A9"/>
    <w:rsid w:val="00B679D2"/>
    <w:rsid w:val="00B67AE8"/>
    <w:rsid w:val="00B67FF3"/>
    <w:rsid w:val="00B700D0"/>
    <w:rsid w:val="00B70371"/>
    <w:rsid w:val="00B706FC"/>
    <w:rsid w:val="00B70955"/>
    <w:rsid w:val="00B70BA9"/>
    <w:rsid w:val="00B70FD7"/>
    <w:rsid w:val="00B712FB"/>
    <w:rsid w:val="00B71567"/>
    <w:rsid w:val="00B71579"/>
    <w:rsid w:val="00B71650"/>
    <w:rsid w:val="00B71C73"/>
    <w:rsid w:val="00B71DD7"/>
    <w:rsid w:val="00B72112"/>
    <w:rsid w:val="00B7236E"/>
    <w:rsid w:val="00B724ED"/>
    <w:rsid w:val="00B7254D"/>
    <w:rsid w:val="00B7321F"/>
    <w:rsid w:val="00B73228"/>
    <w:rsid w:val="00B732F5"/>
    <w:rsid w:val="00B73322"/>
    <w:rsid w:val="00B737D1"/>
    <w:rsid w:val="00B745F1"/>
    <w:rsid w:val="00B74734"/>
    <w:rsid w:val="00B74A8B"/>
    <w:rsid w:val="00B74CBF"/>
    <w:rsid w:val="00B74D3B"/>
    <w:rsid w:val="00B751B7"/>
    <w:rsid w:val="00B75209"/>
    <w:rsid w:val="00B7593F"/>
    <w:rsid w:val="00B75D21"/>
    <w:rsid w:val="00B75F93"/>
    <w:rsid w:val="00B75FD2"/>
    <w:rsid w:val="00B764EE"/>
    <w:rsid w:val="00B76549"/>
    <w:rsid w:val="00B76B40"/>
    <w:rsid w:val="00B76D70"/>
    <w:rsid w:val="00B77365"/>
    <w:rsid w:val="00B773E4"/>
    <w:rsid w:val="00B77A81"/>
    <w:rsid w:val="00B77D5B"/>
    <w:rsid w:val="00B804A3"/>
    <w:rsid w:val="00B80CD0"/>
    <w:rsid w:val="00B80DD2"/>
    <w:rsid w:val="00B80F95"/>
    <w:rsid w:val="00B815EC"/>
    <w:rsid w:val="00B818FA"/>
    <w:rsid w:val="00B81C75"/>
    <w:rsid w:val="00B82423"/>
    <w:rsid w:val="00B824DF"/>
    <w:rsid w:val="00B8267E"/>
    <w:rsid w:val="00B83513"/>
    <w:rsid w:val="00B8365E"/>
    <w:rsid w:val="00B83735"/>
    <w:rsid w:val="00B83BCE"/>
    <w:rsid w:val="00B83E12"/>
    <w:rsid w:val="00B8488A"/>
    <w:rsid w:val="00B84963"/>
    <w:rsid w:val="00B849D1"/>
    <w:rsid w:val="00B84B81"/>
    <w:rsid w:val="00B85492"/>
    <w:rsid w:val="00B855CE"/>
    <w:rsid w:val="00B857E5"/>
    <w:rsid w:val="00B85864"/>
    <w:rsid w:val="00B85A61"/>
    <w:rsid w:val="00B85B15"/>
    <w:rsid w:val="00B85D51"/>
    <w:rsid w:val="00B85EFC"/>
    <w:rsid w:val="00B8618A"/>
    <w:rsid w:val="00B862CF"/>
    <w:rsid w:val="00B86770"/>
    <w:rsid w:val="00B8693B"/>
    <w:rsid w:val="00B870C5"/>
    <w:rsid w:val="00B875A1"/>
    <w:rsid w:val="00B87917"/>
    <w:rsid w:val="00B9183B"/>
    <w:rsid w:val="00B91963"/>
    <w:rsid w:val="00B91BDE"/>
    <w:rsid w:val="00B91E3C"/>
    <w:rsid w:val="00B923E6"/>
    <w:rsid w:val="00B9242A"/>
    <w:rsid w:val="00B929B6"/>
    <w:rsid w:val="00B93064"/>
    <w:rsid w:val="00B93574"/>
    <w:rsid w:val="00B93656"/>
    <w:rsid w:val="00B939E3"/>
    <w:rsid w:val="00B93CE4"/>
    <w:rsid w:val="00B93D9D"/>
    <w:rsid w:val="00B93F88"/>
    <w:rsid w:val="00B94115"/>
    <w:rsid w:val="00B94C07"/>
    <w:rsid w:val="00B95473"/>
    <w:rsid w:val="00B954C8"/>
    <w:rsid w:val="00B95620"/>
    <w:rsid w:val="00B95968"/>
    <w:rsid w:val="00B95974"/>
    <w:rsid w:val="00B95C85"/>
    <w:rsid w:val="00B95D11"/>
    <w:rsid w:val="00B96298"/>
    <w:rsid w:val="00B9650D"/>
    <w:rsid w:val="00B96B4C"/>
    <w:rsid w:val="00B96F60"/>
    <w:rsid w:val="00B96FC9"/>
    <w:rsid w:val="00B9761F"/>
    <w:rsid w:val="00B97894"/>
    <w:rsid w:val="00B97B2C"/>
    <w:rsid w:val="00B97E82"/>
    <w:rsid w:val="00BA03C9"/>
    <w:rsid w:val="00BA0A65"/>
    <w:rsid w:val="00BA0B01"/>
    <w:rsid w:val="00BA0C41"/>
    <w:rsid w:val="00BA1479"/>
    <w:rsid w:val="00BA16C4"/>
    <w:rsid w:val="00BA1B0E"/>
    <w:rsid w:val="00BA1E62"/>
    <w:rsid w:val="00BA2246"/>
    <w:rsid w:val="00BA2663"/>
    <w:rsid w:val="00BA2664"/>
    <w:rsid w:val="00BA2675"/>
    <w:rsid w:val="00BA2ABC"/>
    <w:rsid w:val="00BA33B8"/>
    <w:rsid w:val="00BA33C3"/>
    <w:rsid w:val="00BA35B7"/>
    <w:rsid w:val="00BA36C8"/>
    <w:rsid w:val="00BA3855"/>
    <w:rsid w:val="00BA3C2C"/>
    <w:rsid w:val="00BA3C53"/>
    <w:rsid w:val="00BA3E3F"/>
    <w:rsid w:val="00BA3FAB"/>
    <w:rsid w:val="00BA40E2"/>
    <w:rsid w:val="00BA43CF"/>
    <w:rsid w:val="00BA45A1"/>
    <w:rsid w:val="00BA461A"/>
    <w:rsid w:val="00BA48DA"/>
    <w:rsid w:val="00BA48FD"/>
    <w:rsid w:val="00BA4968"/>
    <w:rsid w:val="00BA4CD3"/>
    <w:rsid w:val="00BA4DD2"/>
    <w:rsid w:val="00BA4DF2"/>
    <w:rsid w:val="00BA505C"/>
    <w:rsid w:val="00BA51EE"/>
    <w:rsid w:val="00BA5AA3"/>
    <w:rsid w:val="00BA5BD4"/>
    <w:rsid w:val="00BA618E"/>
    <w:rsid w:val="00BA6313"/>
    <w:rsid w:val="00BA6393"/>
    <w:rsid w:val="00BA6539"/>
    <w:rsid w:val="00BA6551"/>
    <w:rsid w:val="00BA6566"/>
    <w:rsid w:val="00BA6858"/>
    <w:rsid w:val="00BA6AF7"/>
    <w:rsid w:val="00BA6C2D"/>
    <w:rsid w:val="00BA6EA8"/>
    <w:rsid w:val="00BA704E"/>
    <w:rsid w:val="00BA7595"/>
    <w:rsid w:val="00BA76F4"/>
    <w:rsid w:val="00BA7C26"/>
    <w:rsid w:val="00BA7CE8"/>
    <w:rsid w:val="00BB00F9"/>
    <w:rsid w:val="00BB039F"/>
    <w:rsid w:val="00BB0AD8"/>
    <w:rsid w:val="00BB0B9D"/>
    <w:rsid w:val="00BB0EA5"/>
    <w:rsid w:val="00BB0F76"/>
    <w:rsid w:val="00BB1862"/>
    <w:rsid w:val="00BB1918"/>
    <w:rsid w:val="00BB1DDF"/>
    <w:rsid w:val="00BB20AF"/>
    <w:rsid w:val="00BB20D6"/>
    <w:rsid w:val="00BB2713"/>
    <w:rsid w:val="00BB27D7"/>
    <w:rsid w:val="00BB2CAD"/>
    <w:rsid w:val="00BB2CC5"/>
    <w:rsid w:val="00BB316E"/>
    <w:rsid w:val="00BB3D39"/>
    <w:rsid w:val="00BB4185"/>
    <w:rsid w:val="00BB4740"/>
    <w:rsid w:val="00BB4915"/>
    <w:rsid w:val="00BB4D72"/>
    <w:rsid w:val="00BB5103"/>
    <w:rsid w:val="00BB516C"/>
    <w:rsid w:val="00BB566E"/>
    <w:rsid w:val="00BB5760"/>
    <w:rsid w:val="00BB5B05"/>
    <w:rsid w:val="00BB5BE2"/>
    <w:rsid w:val="00BB5D21"/>
    <w:rsid w:val="00BB6746"/>
    <w:rsid w:val="00BB68CB"/>
    <w:rsid w:val="00BB6EBF"/>
    <w:rsid w:val="00BB7015"/>
    <w:rsid w:val="00BB70F5"/>
    <w:rsid w:val="00BB7447"/>
    <w:rsid w:val="00BC00FB"/>
    <w:rsid w:val="00BC02F4"/>
    <w:rsid w:val="00BC0381"/>
    <w:rsid w:val="00BC0385"/>
    <w:rsid w:val="00BC03E5"/>
    <w:rsid w:val="00BC058E"/>
    <w:rsid w:val="00BC0ACA"/>
    <w:rsid w:val="00BC0B20"/>
    <w:rsid w:val="00BC0DED"/>
    <w:rsid w:val="00BC0E95"/>
    <w:rsid w:val="00BC0F99"/>
    <w:rsid w:val="00BC10A7"/>
    <w:rsid w:val="00BC126D"/>
    <w:rsid w:val="00BC1379"/>
    <w:rsid w:val="00BC158F"/>
    <w:rsid w:val="00BC1590"/>
    <w:rsid w:val="00BC166C"/>
    <w:rsid w:val="00BC174E"/>
    <w:rsid w:val="00BC1872"/>
    <w:rsid w:val="00BC1FBA"/>
    <w:rsid w:val="00BC24C9"/>
    <w:rsid w:val="00BC28F9"/>
    <w:rsid w:val="00BC2CB4"/>
    <w:rsid w:val="00BC2FCA"/>
    <w:rsid w:val="00BC326A"/>
    <w:rsid w:val="00BC32F7"/>
    <w:rsid w:val="00BC3404"/>
    <w:rsid w:val="00BC3423"/>
    <w:rsid w:val="00BC357A"/>
    <w:rsid w:val="00BC35CA"/>
    <w:rsid w:val="00BC3763"/>
    <w:rsid w:val="00BC3AC4"/>
    <w:rsid w:val="00BC3C55"/>
    <w:rsid w:val="00BC3CE3"/>
    <w:rsid w:val="00BC3DBF"/>
    <w:rsid w:val="00BC41BA"/>
    <w:rsid w:val="00BC44DC"/>
    <w:rsid w:val="00BC46FA"/>
    <w:rsid w:val="00BC4AF0"/>
    <w:rsid w:val="00BC4D18"/>
    <w:rsid w:val="00BC5185"/>
    <w:rsid w:val="00BC5397"/>
    <w:rsid w:val="00BC54C1"/>
    <w:rsid w:val="00BC57D8"/>
    <w:rsid w:val="00BC5A52"/>
    <w:rsid w:val="00BC5E8A"/>
    <w:rsid w:val="00BC6159"/>
    <w:rsid w:val="00BC63EC"/>
    <w:rsid w:val="00BC683B"/>
    <w:rsid w:val="00BC6963"/>
    <w:rsid w:val="00BC6A2D"/>
    <w:rsid w:val="00BC6B1C"/>
    <w:rsid w:val="00BC6D5A"/>
    <w:rsid w:val="00BC737A"/>
    <w:rsid w:val="00BC7B0C"/>
    <w:rsid w:val="00BC7B74"/>
    <w:rsid w:val="00BC7BE8"/>
    <w:rsid w:val="00BC7C86"/>
    <w:rsid w:val="00BD0086"/>
    <w:rsid w:val="00BD00B9"/>
    <w:rsid w:val="00BD023F"/>
    <w:rsid w:val="00BD030E"/>
    <w:rsid w:val="00BD05E9"/>
    <w:rsid w:val="00BD0D7E"/>
    <w:rsid w:val="00BD1210"/>
    <w:rsid w:val="00BD1582"/>
    <w:rsid w:val="00BD16B1"/>
    <w:rsid w:val="00BD1A4A"/>
    <w:rsid w:val="00BD1B97"/>
    <w:rsid w:val="00BD1BBF"/>
    <w:rsid w:val="00BD1F97"/>
    <w:rsid w:val="00BD2440"/>
    <w:rsid w:val="00BD2E78"/>
    <w:rsid w:val="00BD3880"/>
    <w:rsid w:val="00BD462D"/>
    <w:rsid w:val="00BD46DC"/>
    <w:rsid w:val="00BD46FD"/>
    <w:rsid w:val="00BD513A"/>
    <w:rsid w:val="00BD529C"/>
    <w:rsid w:val="00BD5576"/>
    <w:rsid w:val="00BD565F"/>
    <w:rsid w:val="00BD5E6C"/>
    <w:rsid w:val="00BD6216"/>
    <w:rsid w:val="00BD64B7"/>
    <w:rsid w:val="00BD6811"/>
    <w:rsid w:val="00BD69A2"/>
    <w:rsid w:val="00BD6A65"/>
    <w:rsid w:val="00BD6B4F"/>
    <w:rsid w:val="00BD6BD9"/>
    <w:rsid w:val="00BD6F01"/>
    <w:rsid w:val="00BD6FB6"/>
    <w:rsid w:val="00BD6FE6"/>
    <w:rsid w:val="00BD7226"/>
    <w:rsid w:val="00BD7294"/>
    <w:rsid w:val="00BD734E"/>
    <w:rsid w:val="00BD749C"/>
    <w:rsid w:val="00BD7D68"/>
    <w:rsid w:val="00BE08AB"/>
    <w:rsid w:val="00BE0B71"/>
    <w:rsid w:val="00BE0B8C"/>
    <w:rsid w:val="00BE0BC9"/>
    <w:rsid w:val="00BE0BD6"/>
    <w:rsid w:val="00BE0D7C"/>
    <w:rsid w:val="00BE0DAF"/>
    <w:rsid w:val="00BE1193"/>
    <w:rsid w:val="00BE11D4"/>
    <w:rsid w:val="00BE15FC"/>
    <w:rsid w:val="00BE180E"/>
    <w:rsid w:val="00BE18A8"/>
    <w:rsid w:val="00BE1C33"/>
    <w:rsid w:val="00BE1C91"/>
    <w:rsid w:val="00BE1E94"/>
    <w:rsid w:val="00BE1F32"/>
    <w:rsid w:val="00BE209E"/>
    <w:rsid w:val="00BE2582"/>
    <w:rsid w:val="00BE2720"/>
    <w:rsid w:val="00BE2872"/>
    <w:rsid w:val="00BE2D3F"/>
    <w:rsid w:val="00BE2F90"/>
    <w:rsid w:val="00BE31C6"/>
    <w:rsid w:val="00BE3358"/>
    <w:rsid w:val="00BE37A7"/>
    <w:rsid w:val="00BE4007"/>
    <w:rsid w:val="00BE4460"/>
    <w:rsid w:val="00BE4A7C"/>
    <w:rsid w:val="00BE4AA0"/>
    <w:rsid w:val="00BE4ACF"/>
    <w:rsid w:val="00BE4BDE"/>
    <w:rsid w:val="00BE55BE"/>
    <w:rsid w:val="00BE57B0"/>
    <w:rsid w:val="00BE5CC9"/>
    <w:rsid w:val="00BE5CFF"/>
    <w:rsid w:val="00BE604A"/>
    <w:rsid w:val="00BE618A"/>
    <w:rsid w:val="00BE643C"/>
    <w:rsid w:val="00BE699C"/>
    <w:rsid w:val="00BE6D59"/>
    <w:rsid w:val="00BE6E36"/>
    <w:rsid w:val="00BE6ECC"/>
    <w:rsid w:val="00BE7DA8"/>
    <w:rsid w:val="00BF0923"/>
    <w:rsid w:val="00BF0F5E"/>
    <w:rsid w:val="00BF1815"/>
    <w:rsid w:val="00BF18B6"/>
    <w:rsid w:val="00BF1CEC"/>
    <w:rsid w:val="00BF25E8"/>
    <w:rsid w:val="00BF2901"/>
    <w:rsid w:val="00BF2DA0"/>
    <w:rsid w:val="00BF2E42"/>
    <w:rsid w:val="00BF2F6B"/>
    <w:rsid w:val="00BF333B"/>
    <w:rsid w:val="00BF3586"/>
    <w:rsid w:val="00BF3640"/>
    <w:rsid w:val="00BF3759"/>
    <w:rsid w:val="00BF37B9"/>
    <w:rsid w:val="00BF38A0"/>
    <w:rsid w:val="00BF39F6"/>
    <w:rsid w:val="00BF3DAD"/>
    <w:rsid w:val="00BF3F95"/>
    <w:rsid w:val="00BF4908"/>
    <w:rsid w:val="00BF4A7E"/>
    <w:rsid w:val="00BF4B76"/>
    <w:rsid w:val="00BF4BF2"/>
    <w:rsid w:val="00BF5298"/>
    <w:rsid w:val="00BF5D3E"/>
    <w:rsid w:val="00BF5D71"/>
    <w:rsid w:val="00BF622D"/>
    <w:rsid w:val="00BF664F"/>
    <w:rsid w:val="00BF6804"/>
    <w:rsid w:val="00BF6ACC"/>
    <w:rsid w:val="00BF71B3"/>
    <w:rsid w:val="00BF73BD"/>
    <w:rsid w:val="00BF7D3F"/>
    <w:rsid w:val="00BF7E65"/>
    <w:rsid w:val="00BF7F1E"/>
    <w:rsid w:val="00C000F8"/>
    <w:rsid w:val="00C00367"/>
    <w:rsid w:val="00C0038B"/>
    <w:rsid w:val="00C00485"/>
    <w:rsid w:val="00C004A4"/>
    <w:rsid w:val="00C00F41"/>
    <w:rsid w:val="00C01105"/>
    <w:rsid w:val="00C01670"/>
    <w:rsid w:val="00C01889"/>
    <w:rsid w:val="00C01C65"/>
    <w:rsid w:val="00C022B2"/>
    <w:rsid w:val="00C022CB"/>
    <w:rsid w:val="00C02311"/>
    <w:rsid w:val="00C02697"/>
    <w:rsid w:val="00C028C0"/>
    <w:rsid w:val="00C02907"/>
    <w:rsid w:val="00C0296A"/>
    <w:rsid w:val="00C029B6"/>
    <w:rsid w:val="00C02BC3"/>
    <w:rsid w:val="00C02DBC"/>
    <w:rsid w:val="00C02E0C"/>
    <w:rsid w:val="00C02F5B"/>
    <w:rsid w:val="00C02FDC"/>
    <w:rsid w:val="00C03858"/>
    <w:rsid w:val="00C03A8D"/>
    <w:rsid w:val="00C03C33"/>
    <w:rsid w:val="00C03D5A"/>
    <w:rsid w:val="00C0406D"/>
    <w:rsid w:val="00C0421E"/>
    <w:rsid w:val="00C04347"/>
    <w:rsid w:val="00C045B8"/>
    <w:rsid w:val="00C04E95"/>
    <w:rsid w:val="00C04FB9"/>
    <w:rsid w:val="00C04FBB"/>
    <w:rsid w:val="00C0542C"/>
    <w:rsid w:val="00C05665"/>
    <w:rsid w:val="00C05A82"/>
    <w:rsid w:val="00C05E80"/>
    <w:rsid w:val="00C05EE8"/>
    <w:rsid w:val="00C06387"/>
    <w:rsid w:val="00C06502"/>
    <w:rsid w:val="00C06995"/>
    <w:rsid w:val="00C0709C"/>
    <w:rsid w:val="00C073DF"/>
    <w:rsid w:val="00C07725"/>
    <w:rsid w:val="00C0786F"/>
    <w:rsid w:val="00C07A20"/>
    <w:rsid w:val="00C07EB9"/>
    <w:rsid w:val="00C102A3"/>
    <w:rsid w:val="00C1034B"/>
    <w:rsid w:val="00C1108B"/>
    <w:rsid w:val="00C110C3"/>
    <w:rsid w:val="00C114D7"/>
    <w:rsid w:val="00C118C9"/>
    <w:rsid w:val="00C11CC2"/>
    <w:rsid w:val="00C11D36"/>
    <w:rsid w:val="00C12476"/>
    <w:rsid w:val="00C12512"/>
    <w:rsid w:val="00C12814"/>
    <w:rsid w:val="00C12AAB"/>
    <w:rsid w:val="00C12AE6"/>
    <w:rsid w:val="00C131BB"/>
    <w:rsid w:val="00C1322E"/>
    <w:rsid w:val="00C1337A"/>
    <w:rsid w:val="00C134D8"/>
    <w:rsid w:val="00C1377A"/>
    <w:rsid w:val="00C13C11"/>
    <w:rsid w:val="00C141B0"/>
    <w:rsid w:val="00C14604"/>
    <w:rsid w:val="00C14731"/>
    <w:rsid w:val="00C148F9"/>
    <w:rsid w:val="00C14A06"/>
    <w:rsid w:val="00C14D72"/>
    <w:rsid w:val="00C14DF8"/>
    <w:rsid w:val="00C15592"/>
    <w:rsid w:val="00C1575E"/>
    <w:rsid w:val="00C15BB5"/>
    <w:rsid w:val="00C15C5C"/>
    <w:rsid w:val="00C15D60"/>
    <w:rsid w:val="00C15E7A"/>
    <w:rsid w:val="00C16057"/>
    <w:rsid w:val="00C1623E"/>
    <w:rsid w:val="00C1662A"/>
    <w:rsid w:val="00C167BF"/>
    <w:rsid w:val="00C16E3B"/>
    <w:rsid w:val="00C16E80"/>
    <w:rsid w:val="00C16E9E"/>
    <w:rsid w:val="00C16EC6"/>
    <w:rsid w:val="00C16F10"/>
    <w:rsid w:val="00C172AB"/>
    <w:rsid w:val="00C174D6"/>
    <w:rsid w:val="00C17668"/>
    <w:rsid w:val="00C17D06"/>
    <w:rsid w:val="00C17D43"/>
    <w:rsid w:val="00C17D52"/>
    <w:rsid w:val="00C17E97"/>
    <w:rsid w:val="00C2019E"/>
    <w:rsid w:val="00C20462"/>
    <w:rsid w:val="00C20B3B"/>
    <w:rsid w:val="00C21307"/>
    <w:rsid w:val="00C215DA"/>
    <w:rsid w:val="00C21908"/>
    <w:rsid w:val="00C21CFE"/>
    <w:rsid w:val="00C21EE0"/>
    <w:rsid w:val="00C221DE"/>
    <w:rsid w:val="00C2240A"/>
    <w:rsid w:val="00C227AF"/>
    <w:rsid w:val="00C22964"/>
    <w:rsid w:val="00C22974"/>
    <w:rsid w:val="00C229F5"/>
    <w:rsid w:val="00C22B80"/>
    <w:rsid w:val="00C22B8D"/>
    <w:rsid w:val="00C23341"/>
    <w:rsid w:val="00C237BD"/>
    <w:rsid w:val="00C23905"/>
    <w:rsid w:val="00C2399F"/>
    <w:rsid w:val="00C2453F"/>
    <w:rsid w:val="00C247AA"/>
    <w:rsid w:val="00C24C88"/>
    <w:rsid w:val="00C24CFA"/>
    <w:rsid w:val="00C2526C"/>
    <w:rsid w:val="00C253E3"/>
    <w:rsid w:val="00C25642"/>
    <w:rsid w:val="00C25675"/>
    <w:rsid w:val="00C25A32"/>
    <w:rsid w:val="00C25BCD"/>
    <w:rsid w:val="00C26764"/>
    <w:rsid w:val="00C26B4A"/>
    <w:rsid w:val="00C26BC8"/>
    <w:rsid w:val="00C26BFF"/>
    <w:rsid w:val="00C274C1"/>
    <w:rsid w:val="00C2783E"/>
    <w:rsid w:val="00C27F27"/>
    <w:rsid w:val="00C27F34"/>
    <w:rsid w:val="00C27F95"/>
    <w:rsid w:val="00C3022F"/>
    <w:rsid w:val="00C304AE"/>
    <w:rsid w:val="00C30606"/>
    <w:rsid w:val="00C30624"/>
    <w:rsid w:val="00C30745"/>
    <w:rsid w:val="00C30752"/>
    <w:rsid w:val="00C30C66"/>
    <w:rsid w:val="00C311C2"/>
    <w:rsid w:val="00C31413"/>
    <w:rsid w:val="00C31450"/>
    <w:rsid w:val="00C3153D"/>
    <w:rsid w:val="00C31603"/>
    <w:rsid w:val="00C31782"/>
    <w:rsid w:val="00C318D9"/>
    <w:rsid w:val="00C31C51"/>
    <w:rsid w:val="00C31D62"/>
    <w:rsid w:val="00C31D8D"/>
    <w:rsid w:val="00C321B2"/>
    <w:rsid w:val="00C32376"/>
    <w:rsid w:val="00C32AA3"/>
    <w:rsid w:val="00C32B88"/>
    <w:rsid w:val="00C32D88"/>
    <w:rsid w:val="00C32FB2"/>
    <w:rsid w:val="00C333BF"/>
    <w:rsid w:val="00C33AA4"/>
    <w:rsid w:val="00C33ABC"/>
    <w:rsid w:val="00C33B31"/>
    <w:rsid w:val="00C33BA9"/>
    <w:rsid w:val="00C33CB0"/>
    <w:rsid w:val="00C33FB2"/>
    <w:rsid w:val="00C3416F"/>
    <w:rsid w:val="00C343AD"/>
    <w:rsid w:val="00C343B6"/>
    <w:rsid w:val="00C345CD"/>
    <w:rsid w:val="00C3493E"/>
    <w:rsid w:val="00C35139"/>
    <w:rsid w:val="00C352C5"/>
    <w:rsid w:val="00C3542B"/>
    <w:rsid w:val="00C35C82"/>
    <w:rsid w:val="00C35E31"/>
    <w:rsid w:val="00C36234"/>
    <w:rsid w:val="00C36755"/>
    <w:rsid w:val="00C369D5"/>
    <w:rsid w:val="00C36BB8"/>
    <w:rsid w:val="00C36D3F"/>
    <w:rsid w:val="00C374BB"/>
    <w:rsid w:val="00C375A9"/>
    <w:rsid w:val="00C37C6A"/>
    <w:rsid w:val="00C4012D"/>
    <w:rsid w:val="00C40316"/>
    <w:rsid w:val="00C405BC"/>
    <w:rsid w:val="00C4064D"/>
    <w:rsid w:val="00C40894"/>
    <w:rsid w:val="00C40C5A"/>
    <w:rsid w:val="00C40D6C"/>
    <w:rsid w:val="00C40E9C"/>
    <w:rsid w:val="00C40F26"/>
    <w:rsid w:val="00C418C3"/>
    <w:rsid w:val="00C419ED"/>
    <w:rsid w:val="00C41B9F"/>
    <w:rsid w:val="00C41BBB"/>
    <w:rsid w:val="00C42162"/>
    <w:rsid w:val="00C42A48"/>
    <w:rsid w:val="00C43699"/>
    <w:rsid w:val="00C4384D"/>
    <w:rsid w:val="00C43FAE"/>
    <w:rsid w:val="00C44E05"/>
    <w:rsid w:val="00C4507F"/>
    <w:rsid w:val="00C4526C"/>
    <w:rsid w:val="00C4592C"/>
    <w:rsid w:val="00C45C14"/>
    <w:rsid w:val="00C46178"/>
    <w:rsid w:val="00C462B8"/>
    <w:rsid w:val="00C4638F"/>
    <w:rsid w:val="00C4660C"/>
    <w:rsid w:val="00C46A91"/>
    <w:rsid w:val="00C46C95"/>
    <w:rsid w:val="00C47040"/>
    <w:rsid w:val="00C47198"/>
    <w:rsid w:val="00C472CE"/>
    <w:rsid w:val="00C4773F"/>
    <w:rsid w:val="00C47825"/>
    <w:rsid w:val="00C47FEA"/>
    <w:rsid w:val="00C500F6"/>
    <w:rsid w:val="00C5027D"/>
    <w:rsid w:val="00C50289"/>
    <w:rsid w:val="00C50586"/>
    <w:rsid w:val="00C50A0E"/>
    <w:rsid w:val="00C51270"/>
    <w:rsid w:val="00C515A1"/>
    <w:rsid w:val="00C51721"/>
    <w:rsid w:val="00C5196D"/>
    <w:rsid w:val="00C51A00"/>
    <w:rsid w:val="00C523E5"/>
    <w:rsid w:val="00C52531"/>
    <w:rsid w:val="00C5286B"/>
    <w:rsid w:val="00C533BA"/>
    <w:rsid w:val="00C539B6"/>
    <w:rsid w:val="00C53C51"/>
    <w:rsid w:val="00C53EC0"/>
    <w:rsid w:val="00C54030"/>
    <w:rsid w:val="00C54717"/>
    <w:rsid w:val="00C548CC"/>
    <w:rsid w:val="00C54AC3"/>
    <w:rsid w:val="00C54FA4"/>
    <w:rsid w:val="00C551FC"/>
    <w:rsid w:val="00C553A6"/>
    <w:rsid w:val="00C55472"/>
    <w:rsid w:val="00C556E4"/>
    <w:rsid w:val="00C55AD7"/>
    <w:rsid w:val="00C55D55"/>
    <w:rsid w:val="00C56CDE"/>
    <w:rsid w:val="00C56E28"/>
    <w:rsid w:val="00C5786D"/>
    <w:rsid w:val="00C57E89"/>
    <w:rsid w:val="00C57F9E"/>
    <w:rsid w:val="00C57FC7"/>
    <w:rsid w:val="00C60220"/>
    <w:rsid w:val="00C60EC2"/>
    <w:rsid w:val="00C610CD"/>
    <w:rsid w:val="00C619AD"/>
    <w:rsid w:val="00C61B4B"/>
    <w:rsid w:val="00C622A6"/>
    <w:rsid w:val="00C628B0"/>
    <w:rsid w:val="00C62AAE"/>
    <w:rsid w:val="00C63066"/>
    <w:rsid w:val="00C63116"/>
    <w:rsid w:val="00C631A9"/>
    <w:rsid w:val="00C637AE"/>
    <w:rsid w:val="00C63B5E"/>
    <w:rsid w:val="00C64127"/>
    <w:rsid w:val="00C64284"/>
    <w:rsid w:val="00C6431F"/>
    <w:rsid w:val="00C64438"/>
    <w:rsid w:val="00C64A66"/>
    <w:rsid w:val="00C64A98"/>
    <w:rsid w:val="00C64B46"/>
    <w:rsid w:val="00C64E4B"/>
    <w:rsid w:val="00C64ED2"/>
    <w:rsid w:val="00C652E4"/>
    <w:rsid w:val="00C65418"/>
    <w:rsid w:val="00C654E8"/>
    <w:rsid w:val="00C65787"/>
    <w:rsid w:val="00C65CBB"/>
    <w:rsid w:val="00C66295"/>
    <w:rsid w:val="00C66440"/>
    <w:rsid w:val="00C665B1"/>
    <w:rsid w:val="00C6674F"/>
    <w:rsid w:val="00C66C5E"/>
    <w:rsid w:val="00C672BA"/>
    <w:rsid w:val="00C6733D"/>
    <w:rsid w:val="00C67374"/>
    <w:rsid w:val="00C67537"/>
    <w:rsid w:val="00C67540"/>
    <w:rsid w:val="00C67833"/>
    <w:rsid w:val="00C67883"/>
    <w:rsid w:val="00C67F9C"/>
    <w:rsid w:val="00C704EC"/>
    <w:rsid w:val="00C70A66"/>
    <w:rsid w:val="00C70DEC"/>
    <w:rsid w:val="00C70EB3"/>
    <w:rsid w:val="00C71218"/>
    <w:rsid w:val="00C71A30"/>
    <w:rsid w:val="00C71AD5"/>
    <w:rsid w:val="00C71E41"/>
    <w:rsid w:val="00C72428"/>
    <w:rsid w:val="00C728DB"/>
    <w:rsid w:val="00C72A47"/>
    <w:rsid w:val="00C7393F"/>
    <w:rsid w:val="00C73A5D"/>
    <w:rsid w:val="00C73E64"/>
    <w:rsid w:val="00C74016"/>
    <w:rsid w:val="00C741C9"/>
    <w:rsid w:val="00C747B7"/>
    <w:rsid w:val="00C74E75"/>
    <w:rsid w:val="00C75315"/>
    <w:rsid w:val="00C757F9"/>
    <w:rsid w:val="00C75E6D"/>
    <w:rsid w:val="00C7649E"/>
    <w:rsid w:val="00C76E85"/>
    <w:rsid w:val="00C773ED"/>
    <w:rsid w:val="00C77BA1"/>
    <w:rsid w:val="00C77BF4"/>
    <w:rsid w:val="00C77F86"/>
    <w:rsid w:val="00C8065F"/>
    <w:rsid w:val="00C80720"/>
    <w:rsid w:val="00C807D0"/>
    <w:rsid w:val="00C80890"/>
    <w:rsid w:val="00C808FA"/>
    <w:rsid w:val="00C80F58"/>
    <w:rsid w:val="00C812AD"/>
    <w:rsid w:val="00C815E6"/>
    <w:rsid w:val="00C81B8D"/>
    <w:rsid w:val="00C82A69"/>
    <w:rsid w:val="00C82E2A"/>
    <w:rsid w:val="00C82F99"/>
    <w:rsid w:val="00C8306B"/>
    <w:rsid w:val="00C8320C"/>
    <w:rsid w:val="00C8370C"/>
    <w:rsid w:val="00C83B15"/>
    <w:rsid w:val="00C83ED3"/>
    <w:rsid w:val="00C84323"/>
    <w:rsid w:val="00C845AE"/>
    <w:rsid w:val="00C84681"/>
    <w:rsid w:val="00C84C04"/>
    <w:rsid w:val="00C84F79"/>
    <w:rsid w:val="00C8536C"/>
    <w:rsid w:val="00C855A0"/>
    <w:rsid w:val="00C857F7"/>
    <w:rsid w:val="00C85937"/>
    <w:rsid w:val="00C85D06"/>
    <w:rsid w:val="00C85F8E"/>
    <w:rsid w:val="00C85FFB"/>
    <w:rsid w:val="00C861B6"/>
    <w:rsid w:val="00C86B2E"/>
    <w:rsid w:val="00C86CEF"/>
    <w:rsid w:val="00C86F44"/>
    <w:rsid w:val="00C87156"/>
    <w:rsid w:val="00C87298"/>
    <w:rsid w:val="00C87955"/>
    <w:rsid w:val="00C87957"/>
    <w:rsid w:val="00C87B1B"/>
    <w:rsid w:val="00C87CEC"/>
    <w:rsid w:val="00C90060"/>
    <w:rsid w:val="00C90197"/>
    <w:rsid w:val="00C90356"/>
    <w:rsid w:val="00C90668"/>
    <w:rsid w:val="00C90839"/>
    <w:rsid w:val="00C90B23"/>
    <w:rsid w:val="00C90EF9"/>
    <w:rsid w:val="00C911C9"/>
    <w:rsid w:val="00C91291"/>
    <w:rsid w:val="00C91658"/>
    <w:rsid w:val="00C9173D"/>
    <w:rsid w:val="00C9189A"/>
    <w:rsid w:val="00C918DC"/>
    <w:rsid w:val="00C91C2C"/>
    <w:rsid w:val="00C91C4E"/>
    <w:rsid w:val="00C920AF"/>
    <w:rsid w:val="00C92129"/>
    <w:rsid w:val="00C924E1"/>
    <w:rsid w:val="00C9263F"/>
    <w:rsid w:val="00C9270F"/>
    <w:rsid w:val="00C92A58"/>
    <w:rsid w:val="00C92A93"/>
    <w:rsid w:val="00C92B4C"/>
    <w:rsid w:val="00C92FCF"/>
    <w:rsid w:val="00C93333"/>
    <w:rsid w:val="00C9350F"/>
    <w:rsid w:val="00C93B3B"/>
    <w:rsid w:val="00C93FFB"/>
    <w:rsid w:val="00C94367"/>
    <w:rsid w:val="00C94675"/>
    <w:rsid w:val="00C9489C"/>
    <w:rsid w:val="00C94A62"/>
    <w:rsid w:val="00C94A6E"/>
    <w:rsid w:val="00C94D9C"/>
    <w:rsid w:val="00C94EA7"/>
    <w:rsid w:val="00C9501A"/>
    <w:rsid w:val="00C95863"/>
    <w:rsid w:val="00C958AE"/>
    <w:rsid w:val="00C9599B"/>
    <w:rsid w:val="00C96248"/>
    <w:rsid w:val="00C969A2"/>
    <w:rsid w:val="00C97796"/>
    <w:rsid w:val="00C97815"/>
    <w:rsid w:val="00C97873"/>
    <w:rsid w:val="00C97A81"/>
    <w:rsid w:val="00C97E05"/>
    <w:rsid w:val="00CA0371"/>
    <w:rsid w:val="00CA03B7"/>
    <w:rsid w:val="00CA06A1"/>
    <w:rsid w:val="00CA0B06"/>
    <w:rsid w:val="00CA0D41"/>
    <w:rsid w:val="00CA0F1C"/>
    <w:rsid w:val="00CA116F"/>
    <w:rsid w:val="00CA1252"/>
    <w:rsid w:val="00CA1433"/>
    <w:rsid w:val="00CA1936"/>
    <w:rsid w:val="00CA1A28"/>
    <w:rsid w:val="00CA1B4F"/>
    <w:rsid w:val="00CA2297"/>
    <w:rsid w:val="00CA25C6"/>
    <w:rsid w:val="00CA2957"/>
    <w:rsid w:val="00CA29BF"/>
    <w:rsid w:val="00CA2A6E"/>
    <w:rsid w:val="00CA2D41"/>
    <w:rsid w:val="00CA32BB"/>
    <w:rsid w:val="00CA342E"/>
    <w:rsid w:val="00CA34A9"/>
    <w:rsid w:val="00CA35DF"/>
    <w:rsid w:val="00CA3627"/>
    <w:rsid w:val="00CA3887"/>
    <w:rsid w:val="00CA3D44"/>
    <w:rsid w:val="00CA3F40"/>
    <w:rsid w:val="00CA40D4"/>
    <w:rsid w:val="00CA40DE"/>
    <w:rsid w:val="00CA41B9"/>
    <w:rsid w:val="00CA4439"/>
    <w:rsid w:val="00CA446B"/>
    <w:rsid w:val="00CA498B"/>
    <w:rsid w:val="00CA4C57"/>
    <w:rsid w:val="00CA4C8F"/>
    <w:rsid w:val="00CA54F6"/>
    <w:rsid w:val="00CA5DD5"/>
    <w:rsid w:val="00CA5E12"/>
    <w:rsid w:val="00CA5FC4"/>
    <w:rsid w:val="00CA616F"/>
    <w:rsid w:val="00CA6B42"/>
    <w:rsid w:val="00CA6B63"/>
    <w:rsid w:val="00CA6F19"/>
    <w:rsid w:val="00CA7177"/>
    <w:rsid w:val="00CA7926"/>
    <w:rsid w:val="00CA7BA4"/>
    <w:rsid w:val="00CA7BC7"/>
    <w:rsid w:val="00CA7DB6"/>
    <w:rsid w:val="00CA7F9B"/>
    <w:rsid w:val="00CB0132"/>
    <w:rsid w:val="00CB01D0"/>
    <w:rsid w:val="00CB037A"/>
    <w:rsid w:val="00CB03ED"/>
    <w:rsid w:val="00CB079F"/>
    <w:rsid w:val="00CB0E34"/>
    <w:rsid w:val="00CB0E36"/>
    <w:rsid w:val="00CB14F8"/>
    <w:rsid w:val="00CB17B5"/>
    <w:rsid w:val="00CB2267"/>
    <w:rsid w:val="00CB2757"/>
    <w:rsid w:val="00CB2799"/>
    <w:rsid w:val="00CB2B73"/>
    <w:rsid w:val="00CB2FC9"/>
    <w:rsid w:val="00CB34D7"/>
    <w:rsid w:val="00CB36FA"/>
    <w:rsid w:val="00CB3906"/>
    <w:rsid w:val="00CB3A27"/>
    <w:rsid w:val="00CB3F74"/>
    <w:rsid w:val="00CB409B"/>
    <w:rsid w:val="00CB4516"/>
    <w:rsid w:val="00CB46C5"/>
    <w:rsid w:val="00CB4ABC"/>
    <w:rsid w:val="00CB4E28"/>
    <w:rsid w:val="00CB5564"/>
    <w:rsid w:val="00CB568F"/>
    <w:rsid w:val="00CB5A32"/>
    <w:rsid w:val="00CB5C00"/>
    <w:rsid w:val="00CB65E7"/>
    <w:rsid w:val="00CB6619"/>
    <w:rsid w:val="00CB68F2"/>
    <w:rsid w:val="00CB6B45"/>
    <w:rsid w:val="00CB6DF6"/>
    <w:rsid w:val="00CB6F70"/>
    <w:rsid w:val="00CB706D"/>
    <w:rsid w:val="00CB7538"/>
    <w:rsid w:val="00CB761D"/>
    <w:rsid w:val="00CB7A14"/>
    <w:rsid w:val="00CB7A7B"/>
    <w:rsid w:val="00CB7F73"/>
    <w:rsid w:val="00CC00BF"/>
    <w:rsid w:val="00CC029E"/>
    <w:rsid w:val="00CC065B"/>
    <w:rsid w:val="00CC0E69"/>
    <w:rsid w:val="00CC13AF"/>
    <w:rsid w:val="00CC143A"/>
    <w:rsid w:val="00CC1513"/>
    <w:rsid w:val="00CC1525"/>
    <w:rsid w:val="00CC169F"/>
    <w:rsid w:val="00CC1738"/>
    <w:rsid w:val="00CC20FE"/>
    <w:rsid w:val="00CC2E2C"/>
    <w:rsid w:val="00CC3707"/>
    <w:rsid w:val="00CC385E"/>
    <w:rsid w:val="00CC38D1"/>
    <w:rsid w:val="00CC3EA9"/>
    <w:rsid w:val="00CC416B"/>
    <w:rsid w:val="00CC4328"/>
    <w:rsid w:val="00CC4651"/>
    <w:rsid w:val="00CC4D5A"/>
    <w:rsid w:val="00CC518A"/>
    <w:rsid w:val="00CC53CB"/>
    <w:rsid w:val="00CC54FC"/>
    <w:rsid w:val="00CC55F3"/>
    <w:rsid w:val="00CC5EC2"/>
    <w:rsid w:val="00CC60CB"/>
    <w:rsid w:val="00CC611D"/>
    <w:rsid w:val="00CC6CB7"/>
    <w:rsid w:val="00CC6CD4"/>
    <w:rsid w:val="00CC6CFE"/>
    <w:rsid w:val="00CC71A2"/>
    <w:rsid w:val="00CC7285"/>
    <w:rsid w:val="00CC72E6"/>
    <w:rsid w:val="00CC78F4"/>
    <w:rsid w:val="00CC7A4D"/>
    <w:rsid w:val="00CC7DE8"/>
    <w:rsid w:val="00CD007D"/>
    <w:rsid w:val="00CD047E"/>
    <w:rsid w:val="00CD0644"/>
    <w:rsid w:val="00CD08EA"/>
    <w:rsid w:val="00CD0F0C"/>
    <w:rsid w:val="00CD1274"/>
    <w:rsid w:val="00CD1922"/>
    <w:rsid w:val="00CD1D02"/>
    <w:rsid w:val="00CD1E20"/>
    <w:rsid w:val="00CD226F"/>
    <w:rsid w:val="00CD23A9"/>
    <w:rsid w:val="00CD23F9"/>
    <w:rsid w:val="00CD2464"/>
    <w:rsid w:val="00CD2A60"/>
    <w:rsid w:val="00CD2AA1"/>
    <w:rsid w:val="00CD2BC9"/>
    <w:rsid w:val="00CD37E8"/>
    <w:rsid w:val="00CD396B"/>
    <w:rsid w:val="00CD3B53"/>
    <w:rsid w:val="00CD3C32"/>
    <w:rsid w:val="00CD3E30"/>
    <w:rsid w:val="00CD4115"/>
    <w:rsid w:val="00CD4378"/>
    <w:rsid w:val="00CD4456"/>
    <w:rsid w:val="00CD4576"/>
    <w:rsid w:val="00CD4B1B"/>
    <w:rsid w:val="00CD4D5A"/>
    <w:rsid w:val="00CD5143"/>
    <w:rsid w:val="00CD5279"/>
    <w:rsid w:val="00CD5536"/>
    <w:rsid w:val="00CD5564"/>
    <w:rsid w:val="00CD5A39"/>
    <w:rsid w:val="00CD5E50"/>
    <w:rsid w:val="00CD6416"/>
    <w:rsid w:val="00CD6487"/>
    <w:rsid w:val="00CD7086"/>
    <w:rsid w:val="00CD7304"/>
    <w:rsid w:val="00CD7827"/>
    <w:rsid w:val="00CD7930"/>
    <w:rsid w:val="00CD7BF1"/>
    <w:rsid w:val="00CE0467"/>
    <w:rsid w:val="00CE05BF"/>
    <w:rsid w:val="00CE0C2C"/>
    <w:rsid w:val="00CE13C3"/>
    <w:rsid w:val="00CE1566"/>
    <w:rsid w:val="00CE15B5"/>
    <w:rsid w:val="00CE16AE"/>
    <w:rsid w:val="00CE1859"/>
    <w:rsid w:val="00CE1928"/>
    <w:rsid w:val="00CE1D25"/>
    <w:rsid w:val="00CE1D31"/>
    <w:rsid w:val="00CE1D99"/>
    <w:rsid w:val="00CE1F50"/>
    <w:rsid w:val="00CE22ED"/>
    <w:rsid w:val="00CE27B3"/>
    <w:rsid w:val="00CE2833"/>
    <w:rsid w:val="00CE2FF1"/>
    <w:rsid w:val="00CE347E"/>
    <w:rsid w:val="00CE386B"/>
    <w:rsid w:val="00CE3921"/>
    <w:rsid w:val="00CE3A70"/>
    <w:rsid w:val="00CE3CE3"/>
    <w:rsid w:val="00CE444F"/>
    <w:rsid w:val="00CE467A"/>
    <w:rsid w:val="00CE48BE"/>
    <w:rsid w:val="00CE49B8"/>
    <w:rsid w:val="00CE4B2D"/>
    <w:rsid w:val="00CE4D5D"/>
    <w:rsid w:val="00CE4F4F"/>
    <w:rsid w:val="00CE509B"/>
    <w:rsid w:val="00CE5204"/>
    <w:rsid w:val="00CE5355"/>
    <w:rsid w:val="00CE562A"/>
    <w:rsid w:val="00CE5958"/>
    <w:rsid w:val="00CE5C15"/>
    <w:rsid w:val="00CE6237"/>
    <w:rsid w:val="00CE6534"/>
    <w:rsid w:val="00CE66A2"/>
    <w:rsid w:val="00CE7127"/>
    <w:rsid w:val="00CE799B"/>
    <w:rsid w:val="00CE7C7F"/>
    <w:rsid w:val="00CE7F6C"/>
    <w:rsid w:val="00CF00E1"/>
    <w:rsid w:val="00CF01A7"/>
    <w:rsid w:val="00CF029C"/>
    <w:rsid w:val="00CF02E2"/>
    <w:rsid w:val="00CF0700"/>
    <w:rsid w:val="00CF08A8"/>
    <w:rsid w:val="00CF08A9"/>
    <w:rsid w:val="00CF0964"/>
    <w:rsid w:val="00CF0A0C"/>
    <w:rsid w:val="00CF1231"/>
    <w:rsid w:val="00CF1596"/>
    <w:rsid w:val="00CF1FD7"/>
    <w:rsid w:val="00CF21F1"/>
    <w:rsid w:val="00CF2219"/>
    <w:rsid w:val="00CF2288"/>
    <w:rsid w:val="00CF27B1"/>
    <w:rsid w:val="00CF2CFE"/>
    <w:rsid w:val="00CF2EF1"/>
    <w:rsid w:val="00CF30BE"/>
    <w:rsid w:val="00CF385F"/>
    <w:rsid w:val="00CF3BC1"/>
    <w:rsid w:val="00CF42A6"/>
    <w:rsid w:val="00CF4873"/>
    <w:rsid w:val="00CF4E81"/>
    <w:rsid w:val="00CF5212"/>
    <w:rsid w:val="00CF58F0"/>
    <w:rsid w:val="00CF5AC0"/>
    <w:rsid w:val="00CF5D1F"/>
    <w:rsid w:val="00CF5FC5"/>
    <w:rsid w:val="00CF636F"/>
    <w:rsid w:val="00CF68FE"/>
    <w:rsid w:val="00CF70F1"/>
    <w:rsid w:val="00CF7394"/>
    <w:rsid w:val="00CF7E29"/>
    <w:rsid w:val="00D000A1"/>
    <w:rsid w:val="00D004D8"/>
    <w:rsid w:val="00D0082C"/>
    <w:rsid w:val="00D0083F"/>
    <w:rsid w:val="00D011A6"/>
    <w:rsid w:val="00D01385"/>
    <w:rsid w:val="00D01398"/>
    <w:rsid w:val="00D01E66"/>
    <w:rsid w:val="00D02086"/>
    <w:rsid w:val="00D021B1"/>
    <w:rsid w:val="00D021B6"/>
    <w:rsid w:val="00D02788"/>
    <w:rsid w:val="00D02BBF"/>
    <w:rsid w:val="00D02BD2"/>
    <w:rsid w:val="00D02C29"/>
    <w:rsid w:val="00D02D63"/>
    <w:rsid w:val="00D03013"/>
    <w:rsid w:val="00D03217"/>
    <w:rsid w:val="00D0332D"/>
    <w:rsid w:val="00D03472"/>
    <w:rsid w:val="00D036C0"/>
    <w:rsid w:val="00D036E9"/>
    <w:rsid w:val="00D040ED"/>
    <w:rsid w:val="00D04455"/>
    <w:rsid w:val="00D04925"/>
    <w:rsid w:val="00D04BE1"/>
    <w:rsid w:val="00D04BF6"/>
    <w:rsid w:val="00D050B3"/>
    <w:rsid w:val="00D05107"/>
    <w:rsid w:val="00D0523A"/>
    <w:rsid w:val="00D053CB"/>
    <w:rsid w:val="00D059FA"/>
    <w:rsid w:val="00D05E5B"/>
    <w:rsid w:val="00D05F55"/>
    <w:rsid w:val="00D06AF6"/>
    <w:rsid w:val="00D06AFE"/>
    <w:rsid w:val="00D06BAD"/>
    <w:rsid w:val="00D06C80"/>
    <w:rsid w:val="00D06CB1"/>
    <w:rsid w:val="00D06D83"/>
    <w:rsid w:val="00D06DC3"/>
    <w:rsid w:val="00D06E82"/>
    <w:rsid w:val="00D06F79"/>
    <w:rsid w:val="00D078F5"/>
    <w:rsid w:val="00D07B69"/>
    <w:rsid w:val="00D1013E"/>
    <w:rsid w:val="00D1016A"/>
    <w:rsid w:val="00D101C4"/>
    <w:rsid w:val="00D10460"/>
    <w:rsid w:val="00D104FC"/>
    <w:rsid w:val="00D10EF1"/>
    <w:rsid w:val="00D10F20"/>
    <w:rsid w:val="00D10F34"/>
    <w:rsid w:val="00D11057"/>
    <w:rsid w:val="00D1119D"/>
    <w:rsid w:val="00D111FA"/>
    <w:rsid w:val="00D11882"/>
    <w:rsid w:val="00D11A07"/>
    <w:rsid w:val="00D11ABD"/>
    <w:rsid w:val="00D120BD"/>
    <w:rsid w:val="00D12321"/>
    <w:rsid w:val="00D123B1"/>
    <w:rsid w:val="00D1286B"/>
    <w:rsid w:val="00D129C1"/>
    <w:rsid w:val="00D12C45"/>
    <w:rsid w:val="00D12EC8"/>
    <w:rsid w:val="00D13429"/>
    <w:rsid w:val="00D137C1"/>
    <w:rsid w:val="00D13AE8"/>
    <w:rsid w:val="00D13B12"/>
    <w:rsid w:val="00D13F0A"/>
    <w:rsid w:val="00D1421C"/>
    <w:rsid w:val="00D146B5"/>
    <w:rsid w:val="00D1472D"/>
    <w:rsid w:val="00D147C0"/>
    <w:rsid w:val="00D14E15"/>
    <w:rsid w:val="00D14F22"/>
    <w:rsid w:val="00D15742"/>
    <w:rsid w:val="00D15819"/>
    <w:rsid w:val="00D162FF"/>
    <w:rsid w:val="00D16470"/>
    <w:rsid w:val="00D169B6"/>
    <w:rsid w:val="00D16C96"/>
    <w:rsid w:val="00D16D70"/>
    <w:rsid w:val="00D16DA1"/>
    <w:rsid w:val="00D16E03"/>
    <w:rsid w:val="00D177A1"/>
    <w:rsid w:val="00D178B3"/>
    <w:rsid w:val="00D17995"/>
    <w:rsid w:val="00D20A09"/>
    <w:rsid w:val="00D20DC3"/>
    <w:rsid w:val="00D21009"/>
    <w:rsid w:val="00D21045"/>
    <w:rsid w:val="00D21789"/>
    <w:rsid w:val="00D217DC"/>
    <w:rsid w:val="00D218C8"/>
    <w:rsid w:val="00D21DDD"/>
    <w:rsid w:val="00D222AF"/>
    <w:rsid w:val="00D224E6"/>
    <w:rsid w:val="00D22B4C"/>
    <w:rsid w:val="00D22F4D"/>
    <w:rsid w:val="00D23379"/>
    <w:rsid w:val="00D23851"/>
    <w:rsid w:val="00D244A6"/>
    <w:rsid w:val="00D247DA"/>
    <w:rsid w:val="00D24972"/>
    <w:rsid w:val="00D24B05"/>
    <w:rsid w:val="00D24F01"/>
    <w:rsid w:val="00D24F86"/>
    <w:rsid w:val="00D24FCF"/>
    <w:rsid w:val="00D25441"/>
    <w:rsid w:val="00D25AEC"/>
    <w:rsid w:val="00D25BEE"/>
    <w:rsid w:val="00D2673D"/>
    <w:rsid w:val="00D267F7"/>
    <w:rsid w:val="00D268D7"/>
    <w:rsid w:val="00D272FF"/>
    <w:rsid w:val="00D307BB"/>
    <w:rsid w:val="00D30CD3"/>
    <w:rsid w:val="00D3116C"/>
    <w:rsid w:val="00D3185A"/>
    <w:rsid w:val="00D319B6"/>
    <w:rsid w:val="00D31EAC"/>
    <w:rsid w:val="00D32269"/>
    <w:rsid w:val="00D32309"/>
    <w:rsid w:val="00D3279D"/>
    <w:rsid w:val="00D32A21"/>
    <w:rsid w:val="00D32CAE"/>
    <w:rsid w:val="00D32D4E"/>
    <w:rsid w:val="00D32E5F"/>
    <w:rsid w:val="00D32E62"/>
    <w:rsid w:val="00D32F70"/>
    <w:rsid w:val="00D33334"/>
    <w:rsid w:val="00D335C9"/>
    <w:rsid w:val="00D33637"/>
    <w:rsid w:val="00D3382F"/>
    <w:rsid w:val="00D33843"/>
    <w:rsid w:val="00D33961"/>
    <w:rsid w:val="00D33B73"/>
    <w:rsid w:val="00D33C52"/>
    <w:rsid w:val="00D3414B"/>
    <w:rsid w:val="00D34305"/>
    <w:rsid w:val="00D345A7"/>
    <w:rsid w:val="00D3460C"/>
    <w:rsid w:val="00D3468C"/>
    <w:rsid w:val="00D34863"/>
    <w:rsid w:val="00D3500D"/>
    <w:rsid w:val="00D350A1"/>
    <w:rsid w:val="00D353D2"/>
    <w:rsid w:val="00D35781"/>
    <w:rsid w:val="00D35DE0"/>
    <w:rsid w:val="00D36000"/>
    <w:rsid w:val="00D36820"/>
    <w:rsid w:val="00D36838"/>
    <w:rsid w:val="00D36B01"/>
    <w:rsid w:val="00D371AA"/>
    <w:rsid w:val="00D375BE"/>
    <w:rsid w:val="00D376E3"/>
    <w:rsid w:val="00D376F0"/>
    <w:rsid w:val="00D37ECD"/>
    <w:rsid w:val="00D37F15"/>
    <w:rsid w:val="00D400E1"/>
    <w:rsid w:val="00D4044E"/>
    <w:rsid w:val="00D405BD"/>
    <w:rsid w:val="00D4072C"/>
    <w:rsid w:val="00D408E1"/>
    <w:rsid w:val="00D40BD5"/>
    <w:rsid w:val="00D41006"/>
    <w:rsid w:val="00D41428"/>
    <w:rsid w:val="00D41E7D"/>
    <w:rsid w:val="00D41FF9"/>
    <w:rsid w:val="00D4206E"/>
    <w:rsid w:val="00D425E6"/>
    <w:rsid w:val="00D427C3"/>
    <w:rsid w:val="00D4296E"/>
    <w:rsid w:val="00D4297A"/>
    <w:rsid w:val="00D42A18"/>
    <w:rsid w:val="00D42AC4"/>
    <w:rsid w:val="00D437A1"/>
    <w:rsid w:val="00D43E82"/>
    <w:rsid w:val="00D44351"/>
    <w:rsid w:val="00D445B7"/>
    <w:rsid w:val="00D447F4"/>
    <w:rsid w:val="00D448A3"/>
    <w:rsid w:val="00D449C3"/>
    <w:rsid w:val="00D44C27"/>
    <w:rsid w:val="00D451A2"/>
    <w:rsid w:val="00D45216"/>
    <w:rsid w:val="00D45720"/>
    <w:rsid w:val="00D4630E"/>
    <w:rsid w:val="00D463B7"/>
    <w:rsid w:val="00D464D4"/>
    <w:rsid w:val="00D466D9"/>
    <w:rsid w:val="00D468F1"/>
    <w:rsid w:val="00D46DE8"/>
    <w:rsid w:val="00D46EE1"/>
    <w:rsid w:val="00D4791F"/>
    <w:rsid w:val="00D501A5"/>
    <w:rsid w:val="00D503EC"/>
    <w:rsid w:val="00D5052E"/>
    <w:rsid w:val="00D50537"/>
    <w:rsid w:val="00D50C20"/>
    <w:rsid w:val="00D51A05"/>
    <w:rsid w:val="00D51A3E"/>
    <w:rsid w:val="00D51A78"/>
    <w:rsid w:val="00D51DC2"/>
    <w:rsid w:val="00D51FC0"/>
    <w:rsid w:val="00D5206B"/>
    <w:rsid w:val="00D521C5"/>
    <w:rsid w:val="00D52A74"/>
    <w:rsid w:val="00D52B2A"/>
    <w:rsid w:val="00D532FE"/>
    <w:rsid w:val="00D538A8"/>
    <w:rsid w:val="00D53D7F"/>
    <w:rsid w:val="00D53DF9"/>
    <w:rsid w:val="00D541CB"/>
    <w:rsid w:val="00D541D2"/>
    <w:rsid w:val="00D5426C"/>
    <w:rsid w:val="00D543E8"/>
    <w:rsid w:val="00D54417"/>
    <w:rsid w:val="00D54657"/>
    <w:rsid w:val="00D54875"/>
    <w:rsid w:val="00D54CF0"/>
    <w:rsid w:val="00D54FFF"/>
    <w:rsid w:val="00D553E4"/>
    <w:rsid w:val="00D5556F"/>
    <w:rsid w:val="00D55621"/>
    <w:rsid w:val="00D55709"/>
    <w:rsid w:val="00D55D9A"/>
    <w:rsid w:val="00D5617A"/>
    <w:rsid w:val="00D562F9"/>
    <w:rsid w:val="00D56462"/>
    <w:rsid w:val="00D5669E"/>
    <w:rsid w:val="00D566E6"/>
    <w:rsid w:val="00D56AB4"/>
    <w:rsid w:val="00D56E1D"/>
    <w:rsid w:val="00D575E4"/>
    <w:rsid w:val="00D576BC"/>
    <w:rsid w:val="00D57DF5"/>
    <w:rsid w:val="00D602C7"/>
    <w:rsid w:val="00D6093B"/>
    <w:rsid w:val="00D60986"/>
    <w:rsid w:val="00D60C50"/>
    <w:rsid w:val="00D60C51"/>
    <w:rsid w:val="00D60E54"/>
    <w:rsid w:val="00D61151"/>
    <w:rsid w:val="00D615A0"/>
    <w:rsid w:val="00D6174E"/>
    <w:rsid w:val="00D617B9"/>
    <w:rsid w:val="00D61E7B"/>
    <w:rsid w:val="00D622C5"/>
    <w:rsid w:val="00D62357"/>
    <w:rsid w:val="00D62375"/>
    <w:rsid w:val="00D628F8"/>
    <w:rsid w:val="00D62A9B"/>
    <w:rsid w:val="00D62AAE"/>
    <w:rsid w:val="00D62C33"/>
    <w:rsid w:val="00D62C69"/>
    <w:rsid w:val="00D63121"/>
    <w:rsid w:val="00D634C6"/>
    <w:rsid w:val="00D6374A"/>
    <w:rsid w:val="00D638D3"/>
    <w:rsid w:val="00D63EAF"/>
    <w:rsid w:val="00D63FC9"/>
    <w:rsid w:val="00D64097"/>
    <w:rsid w:val="00D6462C"/>
    <w:rsid w:val="00D6483C"/>
    <w:rsid w:val="00D649A3"/>
    <w:rsid w:val="00D64E9C"/>
    <w:rsid w:val="00D65750"/>
    <w:rsid w:val="00D65A09"/>
    <w:rsid w:val="00D65C6A"/>
    <w:rsid w:val="00D66391"/>
    <w:rsid w:val="00D66503"/>
    <w:rsid w:val="00D6664A"/>
    <w:rsid w:val="00D66729"/>
    <w:rsid w:val="00D66B31"/>
    <w:rsid w:val="00D66BF0"/>
    <w:rsid w:val="00D66FFE"/>
    <w:rsid w:val="00D675AB"/>
    <w:rsid w:val="00D679B9"/>
    <w:rsid w:val="00D67F0A"/>
    <w:rsid w:val="00D70061"/>
    <w:rsid w:val="00D7006F"/>
    <w:rsid w:val="00D7037B"/>
    <w:rsid w:val="00D70572"/>
    <w:rsid w:val="00D70DC1"/>
    <w:rsid w:val="00D7114C"/>
    <w:rsid w:val="00D711FB"/>
    <w:rsid w:val="00D713A4"/>
    <w:rsid w:val="00D71535"/>
    <w:rsid w:val="00D71724"/>
    <w:rsid w:val="00D7199F"/>
    <w:rsid w:val="00D719B1"/>
    <w:rsid w:val="00D72763"/>
    <w:rsid w:val="00D7286F"/>
    <w:rsid w:val="00D72B01"/>
    <w:rsid w:val="00D72D31"/>
    <w:rsid w:val="00D73189"/>
    <w:rsid w:val="00D7341E"/>
    <w:rsid w:val="00D738E0"/>
    <w:rsid w:val="00D74456"/>
    <w:rsid w:val="00D74661"/>
    <w:rsid w:val="00D7470E"/>
    <w:rsid w:val="00D75887"/>
    <w:rsid w:val="00D759E0"/>
    <w:rsid w:val="00D75C8F"/>
    <w:rsid w:val="00D75CD5"/>
    <w:rsid w:val="00D7630A"/>
    <w:rsid w:val="00D76792"/>
    <w:rsid w:val="00D76F5F"/>
    <w:rsid w:val="00D7752D"/>
    <w:rsid w:val="00D778EB"/>
    <w:rsid w:val="00D7791F"/>
    <w:rsid w:val="00D80126"/>
    <w:rsid w:val="00D80335"/>
    <w:rsid w:val="00D80729"/>
    <w:rsid w:val="00D814D4"/>
    <w:rsid w:val="00D818EF"/>
    <w:rsid w:val="00D8190D"/>
    <w:rsid w:val="00D81E7B"/>
    <w:rsid w:val="00D82112"/>
    <w:rsid w:val="00D82186"/>
    <w:rsid w:val="00D82373"/>
    <w:rsid w:val="00D82966"/>
    <w:rsid w:val="00D82A21"/>
    <w:rsid w:val="00D82CC6"/>
    <w:rsid w:val="00D82E90"/>
    <w:rsid w:val="00D832EB"/>
    <w:rsid w:val="00D83517"/>
    <w:rsid w:val="00D835C1"/>
    <w:rsid w:val="00D8365E"/>
    <w:rsid w:val="00D83738"/>
    <w:rsid w:val="00D83826"/>
    <w:rsid w:val="00D83A4E"/>
    <w:rsid w:val="00D83E70"/>
    <w:rsid w:val="00D84220"/>
    <w:rsid w:val="00D8427D"/>
    <w:rsid w:val="00D84280"/>
    <w:rsid w:val="00D84350"/>
    <w:rsid w:val="00D843A4"/>
    <w:rsid w:val="00D8452E"/>
    <w:rsid w:val="00D846EF"/>
    <w:rsid w:val="00D85031"/>
    <w:rsid w:val="00D8549F"/>
    <w:rsid w:val="00D85523"/>
    <w:rsid w:val="00D85556"/>
    <w:rsid w:val="00D863A8"/>
    <w:rsid w:val="00D8645D"/>
    <w:rsid w:val="00D86731"/>
    <w:rsid w:val="00D8673F"/>
    <w:rsid w:val="00D8681B"/>
    <w:rsid w:val="00D86A21"/>
    <w:rsid w:val="00D86FC7"/>
    <w:rsid w:val="00D870DC"/>
    <w:rsid w:val="00D87783"/>
    <w:rsid w:val="00D877DF"/>
    <w:rsid w:val="00D87849"/>
    <w:rsid w:val="00D87FF9"/>
    <w:rsid w:val="00D90397"/>
    <w:rsid w:val="00D90490"/>
    <w:rsid w:val="00D90578"/>
    <w:rsid w:val="00D90B9B"/>
    <w:rsid w:val="00D90CDE"/>
    <w:rsid w:val="00D91153"/>
    <w:rsid w:val="00D912FC"/>
    <w:rsid w:val="00D914D6"/>
    <w:rsid w:val="00D915DA"/>
    <w:rsid w:val="00D9175E"/>
    <w:rsid w:val="00D91E36"/>
    <w:rsid w:val="00D9227C"/>
    <w:rsid w:val="00D92CC0"/>
    <w:rsid w:val="00D92DE0"/>
    <w:rsid w:val="00D92F2C"/>
    <w:rsid w:val="00D9306E"/>
    <w:rsid w:val="00D93203"/>
    <w:rsid w:val="00D93B95"/>
    <w:rsid w:val="00D93B96"/>
    <w:rsid w:val="00D94021"/>
    <w:rsid w:val="00D941AB"/>
    <w:rsid w:val="00D9447F"/>
    <w:rsid w:val="00D94491"/>
    <w:rsid w:val="00D9456D"/>
    <w:rsid w:val="00D94983"/>
    <w:rsid w:val="00D94FEA"/>
    <w:rsid w:val="00D950A2"/>
    <w:rsid w:val="00D95307"/>
    <w:rsid w:val="00D953F8"/>
    <w:rsid w:val="00D95A98"/>
    <w:rsid w:val="00D95E6E"/>
    <w:rsid w:val="00D95F97"/>
    <w:rsid w:val="00D96325"/>
    <w:rsid w:val="00D964AC"/>
    <w:rsid w:val="00D968A5"/>
    <w:rsid w:val="00D96C20"/>
    <w:rsid w:val="00D96CBB"/>
    <w:rsid w:val="00D96D6A"/>
    <w:rsid w:val="00D97252"/>
    <w:rsid w:val="00D97284"/>
    <w:rsid w:val="00D9759E"/>
    <w:rsid w:val="00D975F7"/>
    <w:rsid w:val="00D97DB1"/>
    <w:rsid w:val="00D97FA4"/>
    <w:rsid w:val="00DA01C9"/>
    <w:rsid w:val="00DA0460"/>
    <w:rsid w:val="00DA0509"/>
    <w:rsid w:val="00DA0699"/>
    <w:rsid w:val="00DA08AF"/>
    <w:rsid w:val="00DA08B9"/>
    <w:rsid w:val="00DA0A7D"/>
    <w:rsid w:val="00DA0D42"/>
    <w:rsid w:val="00DA1722"/>
    <w:rsid w:val="00DA17EE"/>
    <w:rsid w:val="00DA1B3C"/>
    <w:rsid w:val="00DA1D0E"/>
    <w:rsid w:val="00DA1D6B"/>
    <w:rsid w:val="00DA2249"/>
    <w:rsid w:val="00DA236A"/>
    <w:rsid w:val="00DA266B"/>
    <w:rsid w:val="00DA2693"/>
    <w:rsid w:val="00DA2A75"/>
    <w:rsid w:val="00DA2AB6"/>
    <w:rsid w:val="00DA2BCB"/>
    <w:rsid w:val="00DA30C8"/>
    <w:rsid w:val="00DA346E"/>
    <w:rsid w:val="00DA35EC"/>
    <w:rsid w:val="00DA38CD"/>
    <w:rsid w:val="00DA38E8"/>
    <w:rsid w:val="00DA3E20"/>
    <w:rsid w:val="00DA4016"/>
    <w:rsid w:val="00DA4222"/>
    <w:rsid w:val="00DA42A2"/>
    <w:rsid w:val="00DA48B0"/>
    <w:rsid w:val="00DA4B3A"/>
    <w:rsid w:val="00DA51A1"/>
    <w:rsid w:val="00DA56B5"/>
    <w:rsid w:val="00DA5811"/>
    <w:rsid w:val="00DA5C17"/>
    <w:rsid w:val="00DA5F6D"/>
    <w:rsid w:val="00DA63C7"/>
    <w:rsid w:val="00DA6A2B"/>
    <w:rsid w:val="00DA6D70"/>
    <w:rsid w:val="00DA7573"/>
    <w:rsid w:val="00DA76E6"/>
    <w:rsid w:val="00DA7701"/>
    <w:rsid w:val="00DA7A1C"/>
    <w:rsid w:val="00DA7BE1"/>
    <w:rsid w:val="00DA7BEB"/>
    <w:rsid w:val="00DB00E0"/>
    <w:rsid w:val="00DB0224"/>
    <w:rsid w:val="00DB04F4"/>
    <w:rsid w:val="00DB0699"/>
    <w:rsid w:val="00DB0B3B"/>
    <w:rsid w:val="00DB1193"/>
    <w:rsid w:val="00DB1D7F"/>
    <w:rsid w:val="00DB1F78"/>
    <w:rsid w:val="00DB240F"/>
    <w:rsid w:val="00DB2C21"/>
    <w:rsid w:val="00DB2F96"/>
    <w:rsid w:val="00DB34BA"/>
    <w:rsid w:val="00DB3ABF"/>
    <w:rsid w:val="00DB3EFA"/>
    <w:rsid w:val="00DB4145"/>
    <w:rsid w:val="00DB442E"/>
    <w:rsid w:val="00DB44C1"/>
    <w:rsid w:val="00DB44F8"/>
    <w:rsid w:val="00DB45D5"/>
    <w:rsid w:val="00DB466C"/>
    <w:rsid w:val="00DB49D6"/>
    <w:rsid w:val="00DB4FD1"/>
    <w:rsid w:val="00DB5142"/>
    <w:rsid w:val="00DB5197"/>
    <w:rsid w:val="00DB57FA"/>
    <w:rsid w:val="00DB5B2C"/>
    <w:rsid w:val="00DB6124"/>
    <w:rsid w:val="00DB62B7"/>
    <w:rsid w:val="00DB6398"/>
    <w:rsid w:val="00DB64CA"/>
    <w:rsid w:val="00DB66E9"/>
    <w:rsid w:val="00DB6C48"/>
    <w:rsid w:val="00DB6E77"/>
    <w:rsid w:val="00DB6EAB"/>
    <w:rsid w:val="00DB6F0C"/>
    <w:rsid w:val="00DB7035"/>
    <w:rsid w:val="00DB712E"/>
    <w:rsid w:val="00DB7179"/>
    <w:rsid w:val="00DB72BB"/>
    <w:rsid w:val="00DB72F1"/>
    <w:rsid w:val="00DB745B"/>
    <w:rsid w:val="00DB78F1"/>
    <w:rsid w:val="00DB7B85"/>
    <w:rsid w:val="00DB7D43"/>
    <w:rsid w:val="00DC0111"/>
    <w:rsid w:val="00DC01DB"/>
    <w:rsid w:val="00DC0252"/>
    <w:rsid w:val="00DC06EB"/>
    <w:rsid w:val="00DC071D"/>
    <w:rsid w:val="00DC0A87"/>
    <w:rsid w:val="00DC0AD9"/>
    <w:rsid w:val="00DC0E88"/>
    <w:rsid w:val="00DC163D"/>
    <w:rsid w:val="00DC1765"/>
    <w:rsid w:val="00DC1CC8"/>
    <w:rsid w:val="00DC1CE7"/>
    <w:rsid w:val="00DC237E"/>
    <w:rsid w:val="00DC256B"/>
    <w:rsid w:val="00DC29B9"/>
    <w:rsid w:val="00DC2DA6"/>
    <w:rsid w:val="00DC2E00"/>
    <w:rsid w:val="00DC368B"/>
    <w:rsid w:val="00DC3A26"/>
    <w:rsid w:val="00DC3DBC"/>
    <w:rsid w:val="00DC42E0"/>
    <w:rsid w:val="00DC4426"/>
    <w:rsid w:val="00DC4879"/>
    <w:rsid w:val="00DC4AE7"/>
    <w:rsid w:val="00DC4F19"/>
    <w:rsid w:val="00DC54FB"/>
    <w:rsid w:val="00DC60C4"/>
    <w:rsid w:val="00DC6895"/>
    <w:rsid w:val="00DC68B0"/>
    <w:rsid w:val="00DC6C59"/>
    <w:rsid w:val="00DC6FD3"/>
    <w:rsid w:val="00DC7279"/>
    <w:rsid w:val="00DC7365"/>
    <w:rsid w:val="00DC7B84"/>
    <w:rsid w:val="00DC7B9D"/>
    <w:rsid w:val="00DC7DFA"/>
    <w:rsid w:val="00DD0041"/>
    <w:rsid w:val="00DD070B"/>
    <w:rsid w:val="00DD07D5"/>
    <w:rsid w:val="00DD0B73"/>
    <w:rsid w:val="00DD115A"/>
    <w:rsid w:val="00DD150E"/>
    <w:rsid w:val="00DD18E5"/>
    <w:rsid w:val="00DD1BE1"/>
    <w:rsid w:val="00DD1CA6"/>
    <w:rsid w:val="00DD2529"/>
    <w:rsid w:val="00DD25D2"/>
    <w:rsid w:val="00DD2971"/>
    <w:rsid w:val="00DD298D"/>
    <w:rsid w:val="00DD2BDA"/>
    <w:rsid w:val="00DD2C01"/>
    <w:rsid w:val="00DD2CF6"/>
    <w:rsid w:val="00DD3337"/>
    <w:rsid w:val="00DD3397"/>
    <w:rsid w:val="00DD34F2"/>
    <w:rsid w:val="00DD3BA7"/>
    <w:rsid w:val="00DD3D18"/>
    <w:rsid w:val="00DD3E2D"/>
    <w:rsid w:val="00DD3E93"/>
    <w:rsid w:val="00DD3EC0"/>
    <w:rsid w:val="00DD4A88"/>
    <w:rsid w:val="00DD4B68"/>
    <w:rsid w:val="00DD4BCB"/>
    <w:rsid w:val="00DD4D73"/>
    <w:rsid w:val="00DD4DE2"/>
    <w:rsid w:val="00DD4E79"/>
    <w:rsid w:val="00DD514F"/>
    <w:rsid w:val="00DD5347"/>
    <w:rsid w:val="00DD57A7"/>
    <w:rsid w:val="00DD58BF"/>
    <w:rsid w:val="00DD5974"/>
    <w:rsid w:val="00DD5E89"/>
    <w:rsid w:val="00DD6096"/>
    <w:rsid w:val="00DD645A"/>
    <w:rsid w:val="00DD6684"/>
    <w:rsid w:val="00DD6796"/>
    <w:rsid w:val="00DD6917"/>
    <w:rsid w:val="00DD6CAB"/>
    <w:rsid w:val="00DD6D1A"/>
    <w:rsid w:val="00DD7326"/>
    <w:rsid w:val="00DD74E1"/>
    <w:rsid w:val="00DD75C5"/>
    <w:rsid w:val="00DD7A19"/>
    <w:rsid w:val="00DD7E3A"/>
    <w:rsid w:val="00DE0435"/>
    <w:rsid w:val="00DE070A"/>
    <w:rsid w:val="00DE0CFE"/>
    <w:rsid w:val="00DE159F"/>
    <w:rsid w:val="00DE19CC"/>
    <w:rsid w:val="00DE2010"/>
    <w:rsid w:val="00DE2296"/>
    <w:rsid w:val="00DE2BD9"/>
    <w:rsid w:val="00DE2C3F"/>
    <w:rsid w:val="00DE2EEE"/>
    <w:rsid w:val="00DE30DF"/>
    <w:rsid w:val="00DE31F1"/>
    <w:rsid w:val="00DE3256"/>
    <w:rsid w:val="00DE3529"/>
    <w:rsid w:val="00DE3559"/>
    <w:rsid w:val="00DE3671"/>
    <w:rsid w:val="00DE37C9"/>
    <w:rsid w:val="00DE3BA4"/>
    <w:rsid w:val="00DE3DF1"/>
    <w:rsid w:val="00DE4230"/>
    <w:rsid w:val="00DE4242"/>
    <w:rsid w:val="00DE43A1"/>
    <w:rsid w:val="00DE4971"/>
    <w:rsid w:val="00DE4B6F"/>
    <w:rsid w:val="00DE4CFC"/>
    <w:rsid w:val="00DE5457"/>
    <w:rsid w:val="00DE55F2"/>
    <w:rsid w:val="00DE568F"/>
    <w:rsid w:val="00DE5715"/>
    <w:rsid w:val="00DE5D2F"/>
    <w:rsid w:val="00DE5DDA"/>
    <w:rsid w:val="00DE5E28"/>
    <w:rsid w:val="00DE5EC4"/>
    <w:rsid w:val="00DE5FA7"/>
    <w:rsid w:val="00DE60A6"/>
    <w:rsid w:val="00DE63DF"/>
    <w:rsid w:val="00DE6FB7"/>
    <w:rsid w:val="00DE709B"/>
    <w:rsid w:val="00DE75A5"/>
    <w:rsid w:val="00DE797D"/>
    <w:rsid w:val="00DE7BE4"/>
    <w:rsid w:val="00DE7F5C"/>
    <w:rsid w:val="00DF019B"/>
    <w:rsid w:val="00DF0248"/>
    <w:rsid w:val="00DF053F"/>
    <w:rsid w:val="00DF12F0"/>
    <w:rsid w:val="00DF1899"/>
    <w:rsid w:val="00DF18DB"/>
    <w:rsid w:val="00DF1AE7"/>
    <w:rsid w:val="00DF1F14"/>
    <w:rsid w:val="00DF2144"/>
    <w:rsid w:val="00DF24DF"/>
    <w:rsid w:val="00DF2A1E"/>
    <w:rsid w:val="00DF2E79"/>
    <w:rsid w:val="00DF3108"/>
    <w:rsid w:val="00DF328B"/>
    <w:rsid w:val="00DF3299"/>
    <w:rsid w:val="00DF32FB"/>
    <w:rsid w:val="00DF39F1"/>
    <w:rsid w:val="00DF454C"/>
    <w:rsid w:val="00DF50EC"/>
    <w:rsid w:val="00DF5276"/>
    <w:rsid w:val="00DF5374"/>
    <w:rsid w:val="00DF5563"/>
    <w:rsid w:val="00DF576A"/>
    <w:rsid w:val="00DF5A44"/>
    <w:rsid w:val="00DF5AB6"/>
    <w:rsid w:val="00DF5BC5"/>
    <w:rsid w:val="00DF61DD"/>
    <w:rsid w:val="00DF63D6"/>
    <w:rsid w:val="00DF651A"/>
    <w:rsid w:val="00DF65E6"/>
    <w:rsid w:val="00DF6658"/>
    <w:rsid w:val="00DF6D90"/>
    <w:rsid w:val="00DF6DE4"/>
    <w:rsid w:val="00DF72ED"/>
    <w:rsid w:val="00DF7676"/>
    <w:rsid w:val="00DF7920"/>
    <w:rsid w:val="00E0021C"/>
    <w:rsid w:val="00E0061B"/>
    <w:rsid w:val="00E00635"/>
    <w:rsid w:val="00E009FC"/>
    <w:rsid w:val="00E0177C"/>
    <w:rsid w:val="00E01869"/>
    <w:rsid w:val="00E01A3E"/>
    <w:rsid w:val="00E01B7A"/>
    <w:rsid w:val="00E01D46"/>
    <w:rsid w:val="00E01D78"/>
    <w:rsid w:val="00E029F5"/>
    <w:rsid w:val="00E02BB9"/>
    <w:rsid w:val="00E030CE"/>
    <w:rsid w:val="00E03232"/>
    <w:rsid w:val="00E034E7"/>
    <w:rsid w:val="00E0368E"/>
    <w:rsid w:val="00E04404"/>
    <w:rsid w:val="00E052C1"/>
    <w:rsid w:val="00E05339"/>
    <w:rsid w:val="00E053A0"/>
    <w:rsid w:val="00E0580D"/>
    <w:rsid w:val="00E05977"/>
    <w:rsid w:val="00E05B82"/>
    <w:rsid w:val="00E0672A"/>
    <w:rsid w:val="00E06AB4"/>
    <w:rsid w:val="00E06EB1"/>
    <w:rsid w:val="00E07138"/>
    <w:rsid w:val="00E07387"/>
    <w:rsid w:val="00E07D55"/>
    <w:rsid w:val="00E07DE9"/>
    <w:rsid w:val="00E103E8"/>
    <w:rsid w:val="00E1044E"/>
    <w:rsid w:val="00E10461"/>
    <w:rsid w:val="00E10844"/>
    <w:rsid w:val="00E108FB"/>
    <w:rsid w:val="00E10D64"/>
    <w:rsid w:val="00E11061"/>
    <w:rsid w:val="00E114B9"/>
    <w:rsid w:val="00E114DA"/>
    <w:rsid w:val="00E115BC"/>
    <w:rsid w:val="00E11942"/>
    <w:rsid w:val="00E11AD0"/>
    <w:rsid w:val="00E120DD"/>
    <w:rsid w:val="00E122FE"/>
    <w:rsid w:val="00E12939"/>
    <w:rsid w:val="00E12AA7"/>
    <w:rsid w:val="00E12DF9"/>
    <w:rsid w:val="00E13181"/>
    <w:rsid w:val="00E1352A"/>
    <w:rsid w:val="00E1357D"/>
    <w:rsid w:val="00E13710"/>
    <w:rsid w:val="00E137C6"/>
    <w:rsid w:val="00E1392D"/>
    <w:rsid w:val="00E13BBC"/>
    <w:rsid w:val="00E13E2E"/>
    <w:rsid w:val="00E14100"/>
    <w:rsid w:val="00E14152"/>
    <w:rsid w:val="00E14315"/>
    <w:rsid w:val="00E14BC0"/>
    <w:rsid w:val="00E14D9E"/>
    <w:rsid w:val="00E15433"/>
    <w:rsid w:val="00E154A9"/>
    <w:rsid w:val="00E154D7"/>
    <w:rsid w:val="00E15EFF"/>
    <w:rsid w:val="00E163FF"/>
    <w:rsid w:val="00E164F5"/>
    <w:rsid w:val="00E16645"/>
    <w:rsid w:val="00E167AE"/>
    <w:rsid w:val="00E1680C"/>
    <w:rsid w:val="00E16B32"/>
    <w:rsid w:val="00E16BEB"/>
    <w:rsid w:val="00E16EEF"/>
    <w:rsid w:val="00E170D4"/>
    <w:rsid w:val="00E17212"/>
    <w:rsid w:val="00E1758C"/>
    <w:rsid w:val="00E1790B"/>
    <w:rsid w:val="00E17DA8"/>
    <w:rsid w:val="00E17E34"/>
    <w:rsid w:val="00E17F63"/>
    <w:rsid w:val="00E200ED"/>
    <w:rsid w:val="00E20209"/>
    <w:rsid w:val="00E2069B"/>
    <w:rsid w:val="00E20708"/>
    <w:rsid w:val="00E207CE"/>
    <w:rsid w:val="00E21341"/>
    <w:rsid w:val="00E2159C"/>
    <w:rsid w:val="00E2170A"/>
    <w:rsid w:val="00E21808"/>
    <w:rsid w:val="00E220DB"/>
    <w:rsid w:val="00E22248"/>
    <w:rsid w:val="00E222C0"/>
    <w:rsid w:val="00E2233F"/>
    <w:rsid w:val="00E2238E"/>
    <w:rsid w:val="00E22420"/>
    <w:rsid w:val="00E22810"/>
    <w:rsid w:val="00E229B0"/>
    <w:rsid w:val="00E22B03"/>
    <w:rsid w:val="00E23022"/>
    <w:rsid w:val="00E23572"/>
    <w:rsid w:val="00E23683"/>
    <w:rsid w:val="00E23856"/>
    <w:rsid w:val="00E23C9C"/>
    <w:rsid w:val="00E23FCF"/>
    <w:rsid w:val="00E2472A"/>
    <w:rsid w:val="00E249D5"/>
    <w:rsid w:val="00E24BCD"/>
    <w:rsid w:val="00E24DE4"/>
    <w:rsid w:val="00E25127"/>
    <w:rsid w:val="00E2513F"/>
    <w:rsid w:val="00E25353"/>
    <w:rsid w:val="00E256AC"/>
    <w:rsid w:val="00E2580D"/>
    <w:rsid w:val="00E25A97"/>
    <w:rsid w:val="00E25C14"/>
    <w:rsid w:val="00E2641F"/>
    <w:rsid w:val="00E269B2"/>
    <w:rsid w:val="00E26B5F"/>
    <w:rsid w:val="00E26C70"/>
    <w:rsid w:val="00E26FB0"/>
    <w:rsid w:val="00E2701F"/>
    <w:rsid w:val="00E271EE"/>
    <w:rsid w:val="00E27782"/>
    <w:rsid w:val="00E27AA5"/>
    <w:rsid w:val="00E27C38"/>
    <w:rsid w:val="00E27D2D"/>
    <w:rsid w:val="00E27E8B"/>
    <w:rsid w:val="00E300AD"/>
    <w:rsid w:val="00E3019B"/>
    <w:rsid w:val="00E30678"/>
    <w:rsid w:val="00E31191"/>
    <w:rsid w:val="00E31261"/>
    <w:rsid w:val="00E312B2"/>
    <w:rsid w:val="00E313B1"/>
    <w:rsid w:val="00E31897"/>
    <w:rsid w:val="00E3193A"/>
    <w:rsid w:val="00E31A42"/>
    <w:rsid w:val="00E321D7"/>
    <w:rsid w:val="00E321E5"/>
    <w:rsid w:val="00E3295F"/>
    <w:rsid w:val="00E32F8D"/>
    <w:rsid w:val="00E32FE9"/>
    <w:rsid w:val="00E330FB"/>
    <w:rsid w:val="00E33109"/>
    <w:rsid w:val="00E33573"/>
    <w:rsid w:val="00E336F8"/>
    <w:rsid w:val="00E3383F"/>
    <w:rsid w:val="00E33A1E"/>
    <w:rsid w:val="00E33BB9"/>
    <w:rsid w:val="00E3416D"/>
    <w:rsid w:val="00E343B0"/>
    <w:rsid w:val="00E346EB"/>
    <w:rsid w:val="00E346FB"/>
    <w:rsid w:val="00E34846"/>
    <w:rsid w:val="00E34FCF"/>
    <w:rsid w:val="00E3500F"/>
    <w:rsid w:val="00E3501D"/>
    <w:rsid w:val="00E351BD"/>
    <w:rsid w:val="00E35865"/>
    <w:rsid w:val="00E359DA"/>
    <w:rsid w:val="00E35C18"/>
    <w:rsid w:val="00E36157"/>
    <w:rsid w:val="00E3637A"/>
    <w:rsid w:val="00E3673D"/>
    <w:rsid w:val="00E3678E"/>
    <w:rsid w:val="00E37028"/>
    <w:rsid w:val="00E3706F"/>
    <w:rsid w:val="00E37110"/>
    <w:rsid w:val="00E37939"/>
    <w:rsid w:val="00E379E9"/>
    <w:rsid w:val="00E37CBD"/>
    <w:rsid w:val="00E40163"/>
    <w:rsid w:val="00E405E0"/>
    <w:rsid w:val="00E407E1"/>
    <w:rsid w:val="00E409F3"/>
    <w:rsid w:val="00E40CA9"/>
    <w:rsid w:val="00E40DBA"/>
    <w:rsid w:val="00E41B03"/>
    <w:rsid w:val="00E41E27"/>
    <w:rsid w:val="00E42CD3"/>
    <w:rsid w:val="00E42CF7"/>
    <w:rsid w:val="00E42D98"/>
    <w:rsid w:val="00E4329E"/>
    <w:rsid w:val="00E43787"/>
    <w:rsid w:val="00E439A9"/>
    <w:rsid w:val="00E43B59"/>
    <w:rsid w:val="00E44361"/>
    <w:rsid w:val="00E4452D"/>
    <w:rsid w:val="00E44776"/>
    <w:rsid w:val="00E44FF4"/>
    <w:rsid w:val="00E45086"/>
    <w:rsid w:val="00E453E1"/>
    <w:rsid w:val="00E45657"/>
    <w:rsid w:val="00E456AD"/>
    <w:rsid w:val="00E4582C"/>
    <w:rsid w:val="00E45C13"/>
    <w:rsid w:val="00E45D58"/>
    <w:rsid w:val="00E45FB5"/>
    <w:rsid w:val="00E4634E"/>
    <w:rsid w:val="00E468A0"/>
    <w:rsid w:val="00E468A6"/>
    <w:rsid w:val="00E46B64"/>
    <w:rsid w:val="00E46D14"/>
    <w:rsid w:val="00E47274"/>
    <w:rsid w:val="00E4777C"/>
    <w:rsid w:val="00E477A4"/>
    <w:rsid w:val="00E477F7"/>
    <w:rsid w:val="00E47801"/>
    <w:rsid w:val="00E47E43"/>
    <w:rsid w:val="00E5056C"/>
    <w:rsid w:val="00E507CF"/>
    <w:rsid w:val="00E50D83"/>
    <w:rsid w:val="00E50E2A"/>
    <w:rsid w:val="00E50E9B"/>
    <w:rsid w:val="00E50E9D"/>
    <w:rsid w:val="00E5109D"/>
    <w:rsid w:val="00E5149A"/>
    <w:rsid w:val="00E518FE"/>
    <w:rsid w:val="00E51AD5"/>
    <w:rsid w:val="00E51D58"/>
    <w:rsid w:val="00E51FA0"/>
    <w:rsid w:val="00E52073"/>
    <w:rsid w:val="00E522C5"/>
    <w:rsid w:val="00E524D8"/>
    <w:rsid w:val="00E52C3B"/>
    <w:rsid w:val="00E52F5F"/>
    <w:rsid w:val="00E530AD"/>
    <w:rsid w:val="00E530BE"/>
    <w:rsid w:val="00E532D4"/>
    <w:rsid w:val="00E534A5"/>
    <w:rsid w:val="00E5387C"/>
    <w:rsid w:val="00E544E4"/>
    <w:rsid w:val="00E54ACB"/>
    <w:rsid w:val="00E54C04"/>
    <w:rsid w:val="00E5511B"/>
    <w:rsid w:val="00E552B6"/>
    <w:rsid w:val="00E5538D"/>
    <w:rsid w:val="00E55903"/>
    <w:rsid w:val="00E55D7C"/>
    <w:rsid w:val="00E55EC7"/>
    <w:rsid w:val="00E5603C"/>
    <w:rsid w:val="00E563F6"/>
    <w:rsid w:val="00E56485"/>
    <w:rsid w:val="00E5679B"/>
    <w:rsid w:val="00E56875"/>
    <w:rsid w:val="00E569BA"/>
    <w:rsid w:val="00E56FA1"/>
    <w:rsid w:val="00E5781D"/>
    <w:rsid w:val="00E57AE7"/>
    <w:rsid w:val="00E57AF6"/>
    <w:rsid w:val="00E57B8F"/>
    <w:rsid w:val="00E57DC3"/>
    <w:rsid w:val="00E6022C"/>
    <w:rsid w:val="00E60280"/>
    <w:rsid w:val="00E602F5"/>
    <w:rsid w:val="00E6037D"/>
    <w:rsid w:val="00E60497"/>
    <w:rsid w:val="00E6081A"/>
    <w:rsid w:val="00E60D0F"/>
    <w:rsid w:val="00E60FF7"/>
    <w:rsid w:val="00E61415"/>
    <w:rsid w:val="00E61819"/>
    <w:rsid w:val="00E618F8"/>
    <w:rsid w:val="00E62017"/>
    <w:rsid w:val="00E620AA"/>
    <w:rsid w:val="00E620FD"/>
    <w:rsid w:val="00E62316"/>
    <w:rsid w:val="00E628C7"/>
    <w:rsid w:val="00E6313C"/>
    <w:rsid w:val="00E6331B"/>
    <w:rsid w:val="00E6344B"/>
    <w:rsid w:val="00E6384C"/>
    <w:rsid w:val="00E63939"/>
    <w:rsid w:val="00E63B45"/>
    <w:rsid w:val="00E63BE5"/>
    <w:rsid w:val="00E63DE1"/>
    <w:rsid w:val="00E63FF4"/>
    <w:rsid w:val="00E646C3"/>
    <w:rsid w:val="00E646C6"/>
    <w:rsid w:val="00E6489B"/>
    <w:rsid w:val="00E64A5F"/>
    <w:rsid w:val="00E64C67"/>
    <w:rsid w:val="00E65362"/>
    <w:rsid w:val="00E6559D"/>
    <w:rsid w:val="00E6595F"/>
    <w:rsid w:val="00E66283"/>
    <w:rsid w:val="00E662E9"/>
    <w:rsid w:val="00E662EA"/>
    <w:rsid w:val="00E6689D"/>
    <w:rsid w:val="00E668C5"/>
    <w:rsid w:val="00E66C8E"/>
    <w:rsid w:val="00E66CBA"/>
    <w:rsid w:val="00E66D47"/>
    <w:rsid w:val="00E672AD"/>
    <w:rsid w:val="00E67782"/>
    <w:rsid w:val="00E679BD"/>
    <w:rsid w:val="00E67F74"/>
    <w:rsid w:val="00E7017A"/>
    <w:rsid w:val="00E701A0"/>
    <w:rsid w:val="00E70491"/>
    <w:rsid w:val="00E70715"/>
    <w:rsid w:val="00E70A46"/>
    <w:rsid w:val="00E70F25"/>
    <w:rsid w:val="00E716C7"/>
    <w:rsid w:val="00E71AB7"/>
    <w:rsid w:val="00E71F2E"/>
    <w:rsid w:val="00E7231C"/>
    <w:rsid w:val="00E723AC"/>
    <w:rsid w:val="00E723EB"/>
    <w:rsid w:val="00E72611"/>
    <w:rsid w:val="00E72A75"/>
    <w:rsid w:val="00E72B09"/>
    <w:rsid w:val="00E72E68"/>
    <w:rsid w:val="00E73082"/>
    <w:rsid w:val="00E731CD"/>
    <w:rsid w:val="00E7366C"/>
    <w:rsid w:val="00E73902"/>
    <w:rsid w:val="00E73A8D"/>
    <w:rsid w:val="00E74153"/>
    <w:rsid w:val="00E74315"/>
    <w:rsid w:val="00E743DE"/>
    <w:rsid w:val="00E74B21"/>
    <w:rsid w:val="00E74D99"/>
    <w:rsid w:val="00E74ED9"/>
    <w:rsid w:val="00E75212"/>
    <w:rsid w:val="00E756E3"/>
    <w:rsid w:val="00E757D6"/>
    <w:rsid w:val="00E7585F"/>
    <w:rsid w:val="00E76068"/>
    <w:rsid w:val="00E76591"/>
    <w:rsid w:val="00E7692C"/>
    <w:rsid w:val="00E76AA6"/>
    <w:rsid w:val="00E76ACF"/>
    <w:rsid w:val="00E76DB3"/>
    <w:rsid w:val="00E771AD"/>
    <w:rsid w:val="00E7737B"/>
    <w:rsid w:val="00E77412"/>
    <w:rsid w:val="00E7760E"/>
    <w:rsid w:val="00E7771F"/>
    <w:rsid w:val="00E778C0"/>
    <w:rsid w:val="00E779B6"/>
    <w:rsid w:val="00E779E1"/>
    <w:rsid w:val="00E77DED"/>
    <w:rsid w:val="00E805A5"/>
    <w:rsid w:val="00E805F8"/>
    <w:rsid w:val="00E805FE"/>
    <w:rsid w:val="00E806BB"/>
    <w:rsid w:val="00E8072A"/>
    <w:rsid w:val="00E808F3"/>
    <w:rsid w:val="00E80936"/>
    <w:rsid w:val="00E80C91"/>
    <w:rsid w:val="00E8119F"/>
    <w:rsid w:val="00E8121C"/>
    <w:rsid w:val="00E81379"/>
    <w:rsid w:val="00E81387"/>
    <w:rsid w:val="00E815B5"/>
    <w:rsid w:val="00E81879"/>
    <w:rsid w:val="00E81979"/>
    <w:rsid w:val="00E823E5"/>
    <w:rsid w:val="00E825F5"/>
    <w:rsid w:val="00E8267F"/>
    <w:rsid w:val="00E82743"/>
    <w:rsid w:val="00E82B23"/>
    <w:rsid w:val="00E82C89"/>
    <w:rsid w:val="00E82F2E"/>
    <w:rsid w:val="00E83164"/>
    <w:rsid w:val="00E83C36"/>
    <w:rsid w:val="00E8450F"/>
    <w:rsid w:val="00E8485B"/>
    <w:rsid w:val="00E84A55"/>
    <w:rsid w:val="00E84A65"/>
    <w:rsid w:val="00E84EC3"/>
    <w:rsid w:val="00E84F43"/>
    <w:rsid w:val="00E84FC0"/>
    <w:rsid w:val="00E8524E"/>
    <w:rsid w:val="00E85283"/>
    <w:rsid w:val="00E853DD"/>
    <w:rsid w:val="00E85508"/>
    <w:rsid w:val="00E85568"/>
    <w:rsid w:val="00E855ED"/>
    <w:rsid w:val="00E85CC5"/>
    <w:rsid w:val="00E85E22"/>
    <w:rsid w:val="00E86277"/>
    <w:rsid w:val="00E86746"/>
    <w:rsid w:val="00E868A8"/>
    <w:rsid w:val="00E86F61"/>
    <w:rsid w:val="00E871C2"/>
    <w:rsid w:val="00E87285"/>
    <w:rsid w:val="00E87A1D"/>
    <w:rsid w:val="00E87B8D"/>
    <w:rsid w:val="00E9009B"/>
    <w:rsid w:val="00E90273"/>
    <w:rsid w:val="00E902B3"/>
    <w:rsid w:val="00E9063A"/>
    <w:rsid w:val="00E90773"/>
    <w:rsid w:val="00E910D4"/>
    <w:rsid w:val="00E911CC"/>
    <w:rsid w:val="00E9132B"/>
    <w:rsid w:val="00E914A3"/>
    <w:rsid w:val="00E91943"/>
    <w:rsid w:val="00E91A26"/>
    <w:rsid w:val="00E91ABC"/>
    <w:rsid w:val="00E91F98"/>
    <w:rsid w:val="00E92242"/>
    <w:rsid w:val="00E9296A"/>
    <w:rsid w:val="00E92F25"/>
    <w:rsid w:val="00E92F49"/>
    <w:rsid w:val="00E93488"/>
    <w:rsid w:val="00E9379A"/>
    <w:rsid w:val="00E93942"/>
    <w:rsid w:val="00E93B46"/>
    <w:rsid w:val="00E93C4E"/>
    <w:rsid w:val="00E94016"/>
    <w:rsid w:val="00E941CA"/>
    <w:rsid w:val="00E946A0"/>
    <w:rsid w:val="00E946A2"/>
    <w:rsid w:val="00E947DA"/>
    <w:rsid w:val="00E94A7B"/>
    <w:rsid w:val="00E950F8"/>
    <w:rsid w:val="00E951BB"/>
    <w:rsid w:val="00E9535C"/>
    <w:rsid w:val="00E95462"/>
    <w:rsid w:val="00E95582"/>
    <w:rsid w:val="00E956C8"/>
    <w:rsid w:val="00E959AC"/>
    <w:rsid w:val="00E95AD9"/>
    <w:rsid w:val="00E95BD1"/>
    <w:rsid w:val="00E96004"/>
    <w:rsid w:val="00E96027"/>
    <w:rsid w:val="00E96300"/>
    <w:rsid w:val="00E96537"/>
    <w:rsid w:val="00E9678D"/>
    <w:rsid w:val="00E96DC6"/>
    <w:rsid w:val="00E97683"/>
    <w:rsid w:val="00E97CA6"/>
    <w:rsid w:val="00E97DDA"/>
    <w:rsid w:val="00E97E65"/>
    <w:rsid w:val="00E97FD7"/>
    <w:rsid w:val="00EA0A6F"/>
    <w:rsid w:val="00EA0AA2"/>
    <w:rsid w:val="00EA0D99"/>
    <w:rsid w:val="00EA0F89"/>
    <w:rsid w:val="00EA113B"/>
    <w:rsid w:val="00EA1221"/>
    <w:rsid w:val="00EA1A3A"/>
    <w:rsid w:val="00EA1A6E"/>
    <w:rsid w:val="00EA2BE0"/>
    <w:rsid w:val="00EA2CE1"/>
    <w:rsid w:val="00EA2E51"/>
    <w:rsid w:val="00EA2FC2"/>
    <w:rsid w:val="00EA3A95"/>
    <w:rsid w:val="00EA3C3F"/>
    <w:rsid w:val="00EA4007"/>
    <w:rsid w:val="00EA4284"/>
    <w:rsid w:val="00EA44E4"/>
    <w:rsid w:val="00EA4959"/>
    <w:rsid w:val="00EA4ADB"/>
    <w:rsid w:val="00EA5144"/>
    <w:rsid w:val="00EA52D0"/>
    <w:rsid w:val="00EA585E"/>
    <w:rsid w:val="00EA590B"/>
    <w:rsid w:val="00EA59D0"/>
    <w:rsid w:val="00EA5DBC"/>
    <w:rsid w:val="00EA60D5"/>
    <w:rsid w:val="00EA6933"/>
    <w:rsid w:val="00EA6CE2"/>
    <w:rsid w:val="00EA6EF0"/>
    <w:rsid w:val="00EA74CA"/>
    <w:rsid w:val="00EA7F1A"/>
    <w:rsid w:val="00EB0149"/>
    <w:rsid w:val="00EB04AC"/>
    <w:rsid w:val="00EB0645"/>
    <w:rsid w:val="00EB07BF"/>
    <w:rsid w:val="00EB091D"/>
    <w:rsid w:val="00EB1119"/>
    <w:rsid w:val="00EB12DA"/>
    <w:rsid w:val="00EB131A"/>
    <w:rsid w:val="00EB137F"/>
    <w:rsid w:val="00EB146B"/>
    <w:rsid w:val="00EB17A7"/>
    <w:rsid w:val="00EB1AC6"/>
    <w:rsid w:val="00EB1B77"/>
    <w:rsid w:val="00EB1D64"/>
    <w:rsid w:val="00EB1F58"/>
    <w:rsid w:val="00EB2230"/>
    <w:rsid w:val="00EB22ED"/>
    <w:rsid w:val="00EB23C3"/>
    <w:rsid w:val="00EB23FF"/>
    <w:rsid w:val="00EB282C"/>
    <w:rsid w:val="00EB2A4B"/>
    <w:rsid w:val="00EB2BF3"/>
    <w:rsid w:val="00EB300E"/>
    <w:rsid w:val="00EB3181"/>
    <w:rsid w:val="00EB3813"/>
    <w:rsid w:val="00EB3A10"/>
    <w:rsid w:val="00EB3EDA"/>
    <w:rsid w:val="00EB43F7"/>
    <w:rsid w:val="00EB44F6"/>
    <w:rsid w:val="00EB472E"/>
    <w:rsid w:val="00EB507E"/>
    <w:rsid w:val="00EB5188"/>
    <w:rsid w:val="00EB5205"/>
    <w:rsid w:val="00EB5386"/>
    <w:rsid w:val="00EB54B1"/>
    <w:rsid w:val="00EB5E78"/>
    <w:rsid w:val="00EB5F4A"/>
    <w:rsid w:val="00EB60DA"/>
    <w:rsid w:val="00EB6415"/>
    <w:rsid w:val="00EB66A5"/>
    <w:rsid w:val="00EB67E0"/>
    <w:rsid w:val="00EB683A"/>
    <w:rsid w:val="00EB69C3"/>
    <w:rsid w:val="00EB6F0E"/>
    <w:rsid w:val="00EB715F"/>
    <w:rsid w:val="00EB7470"/>
    <w:rsid w:val="00EB75BC"/>
    <w:rsid w:val="00EB7620"/>
    <w:rsid w:val="00EB7998"/>
    <w:rsid w:val="00EB7A9B"/>
    <w:rsid w:val="00EB7B54"/>
    <w:rsid w:val="00EB7F93"/>
    <w:rsid w:val="00EC03EE"/>
    <w:rsid w:val="00EC04F1"/>
    <w:rsid w:val="00EC0FFE"/>
    <w:rsid w:val="00EC10E6"/>
    <w:rsid w:val="00EC1176"/>
    <w:rsid w:val="00EC15FD"/>
    <w:rsid w:val="00EC1A50"/>
    <w:rsid w:val="00EC1B67"/>
    <w:rsid w:val="00EC221E"/>
    <w:rsid w:val="00EC233F"/>
    <w:rsid w:val="00EC2A14"/>
    <w:rsid w:val="00EC2A79"/>
    <w:rsid w:val="00EC3459"/>
    <w:rsid w:val="00EC38A9"/>
    <w:rsid w:val="00EC3D27"/>
    <w:rsid w:val="00EC3DB1"/>
    <w:rsid w:val="00EC4104"/>
    <w:rsid w:val="00EC446B"/>
    <w:rsid w:val="00EC44AC"/>
    <w:rsid w:val="00EC475F"/>
    <w:rsid w:val="00EC4927"/>
    <w:rsid w:val="00EC4A14"/>
    <w:rsid w:val="00EC4AE5"/>
    <w:rsid w:val="00EC5A63"/>
    <w:rsid w:val="00EC5DEB"/>
    <w:rsid w:val="00EC5E56"/>
    <w:rsid w:val="00EC5E98"/>
    <w:rsid w:val="00EC5F92"/>
    <w:rsid w:val="00EC6306"/>
    <w:rsid w:val="00EC6620"/>
    <w:rsid w:val="00EC6840"/>
    <w:rsid w:val="00EC6D05"/>
    <w:rsid w:val="00EC6F02"/>
    <w:rsid w:val="00EC721A"/>
    <w:rsid w:val="00EC72AE"/>
    <w:rsid w:val="00EC77AE"/>
    <w:rsid w:val="00EC7EC6"/>
    <w:rsid w:val="00ED03A4"/>
    <w:rsid w:val="00ED07C9"/>
    <w:rsid w:val="00ED08EB"/>
    <w:rsid w:val="00ED0A9C"/>
    <w:rsid w:val="00ED0B1A"/>
    <w:rsid w:val="00ED11A3"/>
    <w:rsid w:val="00ED14A2"/>
    <w:rsid w:val="00ED15AF"/>
    <w:rsid w:val="00ED15EB"/>
    <w:rsid w:val="00ED1734"/>
    <w:rsid w:val="00ED18B0"/>
    <w:rsid w:val="00ED19ED"/>
    <w:rsid w:val="00ED1C12"/>
    <w:rsid w:val="00ED1EB3"/>
    <w:rsid w:val="00ED1F55"/>
    <w:rsid w:val="00ED1FA0"/>
    <w:rsid w:val="00ED273F"/>
    <w:rsid w:val="00ED2D4B"/>
    <w:rsid w:val="00ED2E9A"/>
    <w:rsid w:val="00ED2EDF"/>
    <w:rsid w:val="00ED3368"/>
    <w:rsid w:val="00ED34C5"/>
    <w:rsid w:val="00ED3788"/>
    <w:rsid w:val="00ED3A52"/>
    <w:rsid w:val="00ED3CC2"/>
    <w:rsid w:val="00ED3CE9"/>
    <w:rsid w:val="00ED3D8D"/>
    <w:rsid w:val="00ED3F95"/>
    <w:rsid w:val="00ED42F9"/>
    <w:rsid w:val="00ED4558"/>
    <w:rsid w:val="00ED4637"/>
    <w:rsid w:val="00ED489D"/>
    <w:rsid w:val="00ED4B5C"/>
    <w:rsid w:val="00ED52F8"/>
    <w:rsid w:val="00ED54F3"/>
    <w:rsid w:val="00ED5B1F"/>
    <w:rsid w:val="00ED5D25"/>
    <w:rsid w:val="00ED5F3C"/>
    <w:rsid w:val="00ED5F57"/>
    <w:rsid w:val="00ED6644"/>
    <w:rsid w:val="00ED6CF5"/>
    <w:rsid w:val="00ED6E8C"/>
    <w:rsid w:val="00ED7153"/>
    <w:rsid w:val="00ED73EF"/>
    <w:rsid w:val="00ED768D"/>
    <w:rsid w:val="00ED7E0D"/>
    <w:rsid w:val="00EE075E"/>
    <w:rsid w:val="00EE0801"/>
    <w:rsid w:val="00EE0C16"/>
    <w:rsid w:val="00EE1024"/>
    <w:rsid w:val="00EE10B3"/>
    <w:rsid w:val="00EE11F0"/>
    <w:rsid w:val="00EE17AE"/>
    <w:rsid w:val="00EE1CAC"/>
    <w:rsid w:val="00EE2592"/>
    <w:rsid w:val="00EE26A6"/>
    <w:rsid w:val="00EE2B46"/>
    <w:rsid w:val="00EE2BA7"/>
    <w:rsid w:val="00EE2CAE"/>
    <w:rsid w:val="00EE3817"/>
    <w:rsid w:val="00EE3890"/>
    <w:rsid w:val="00EE3A97"/>
    <w:rsid w:val="00EE3BDD"/>
    <w:rsid w:val="00EE3D24"/>
    <w:rsid w:val="00EE3D4D"/>
    <w:rsid w:val="00EE3FCC"/>
    <w:rsid w:val="00EE48D0"/>
    <w:rsid w:val="00EE5182"/>
    <w:rsid w:val="00EE51FD"/>
    <w:rsid w:val="00EE57A6"/>
    <w:rsid w:val="00EE5D8D"/>
    <w:rsid w:val="00EE5F32"/>
    <w:rsid w:val="00EE6304"/>
    <w:rsid w:val="00EE69CE"/>
    <w:rsid w:val="00EE6AE8"/>
    <w:rsid w:val="00EE6C62"/>
    <w:rsid w:val="00EE6DD9"/>
    <w:rsid w:val="00EE7208"/>
    <w:rsid w:val="00EE763B"/>
    <w:rsid w:val="00EE7B0F"/>
    <w:rsid w:val="00EE7BF0"/>
    <w:rsid w:val="00EF00D5"/>
    <w:rsid w:val="00EF0236"/>
    <w:rsid w:val="00EF061E"/>
    <w:rsid w:val="00EF070C"/>
    <w:rsid w:val="00EF0788"/>
    <w:rsid w:val="00EF0920"/>
    <w:rsid w:val="00EF0932"/>
    <w:rsid w:val="00EF09A8"/>
    <w:rsid w:val="00EF0D1F"/>
    <w:rsid w:val="00EF0E56"/>
    <w:rsid w:val="00EF1007"/>
    <w:rsid w:val="00EF1451"/>
    <w:rsid w:val="00EF1F0A"/>
    <w:rsid w:val="00EF2148"/>
    <w:rsid w:val="00EF2482"/>
    <w:rsid w:val="00EF2555"/>
    <w:rsid w:val="00EF3126"/>
    <w:rsid w:val="00EF3393"/>
    <w:rsid w:val="00EF3CC6"/>
    <w:rsid w:val="00EF50E9"/>
    <w:rsid w:val="00EF521F"/>
    <w:rsid w:val="00EF53B7"/>
    <w:rsid w:val="00EF551C"/>
    <w:rsid w:val="00EF6667"/>
    <w:rsid w:val="00EF67D8"/>
    <w:rsid w:val="00EF6BF0"/>
    <w:rsid w:val="00EF6F30"/>
    <w:rsid w:val="00EF7316"/>
    <w:rsid w:val="00EF73D8"/>
    <w:rsid w:val="00EF76C1"/>
    <w:rsid w:val="00EF7820"/>
    <w:rsid w:val="00EF7A2F"/>
    <w:rsid w:val="00EF7D58"/>
    <w:rsid w:val="00F00425"/>
    <w:rsid w:val="00F00EF9"/>
    <w:rsid w:val="00F01160"/>
    <w:rsid w:val="00F01261"/>
    <w:rsid w:val="00F014FC"/>
    <w:rsid w:val="00F01F54"/>
    <w:rsid w:val="00F02020"/>
    <w:rsid w:val="00F02229"/>
    <w:rsid w:val="00F02848"/>
    <w:rsid w:val="00F02CC4"/>
    <w:rsid w:val="00F030FA"/>
    <w:rsid w:val="00F0371C"/>
    <w:rsid w:val="00F03861"/>
    <w:rsid w:val="00F03A9A"/>
    <w:rsid w:val="00F03CCC"/>
    <w:rsid w:val="00F0401F"/>
    <w:rsid w:val="00F04079"/>
    <w:rsid w:val="00F04203"/>
    <w:rsid w:val="00F04298"/>
    <w:rsid w:val="00F045AC"/>
    <w:rsid w:val="00F0470D"/>
    <w:rsid w:val="00F04875"/>
    <w:rsid w:val="00F05062"/>
    <w:rsid w:val="00F055AE"/>
    <w:rsid w:val="00F055E8"/>
    <w:rsid w:val="00F05674"/>
    <w:rsid w:val="00F05C15"/>
    <w:rsid w:val="00F06263"/>
    <w:rsid w:val="00F06594"/>
    <w:rsid w:val="00F066D9"/>
    <w:rsid w:val="00F06A1C"/>
    <w:rsid w:val="00F07215"/>
    <w:rsid w:val="00F073D6"/>
    <w:rsid w:val="00F07541"/>
    <w:rsid w:val="00F0770C"/>
    <w:rsid w:val="00F07814"/>
    <w:rsid w:val="00F079DD"/>
    <w:rsid w:val="00F07A0A"/>
    <w:rsid w:val="00F07E68"/>
    <w:rsid w:val="00F100B0"/>
    <w:rsid w:val="00F10307"/>
    <w:rsid w:val="00F10AA8"/>
    <w:rsid w:val="00F10BD4"/>
    <w:rsid w:val="00F10C84"/>
    <w:rsid w:val="00F10F2A"/>
    <w:rsid w:val="00F1119D"/>
    <w:rsid w:val="00F11710"/>
    <w:rsid w:val="00F11874"/>
    <w:rsid w:val="00F11CB9"/>
    <w:rsid w:val="00F12013"/>
    <w:rsid w:val="00F1226E"/>
    <w:rsid w:val="00F12356"/>
    <w:rsid w:val="00F125C4"/>
    <w:rsid w:val="00F127F0"/>
    <w:rsid w:val="00F12895"/>
    <w:rsid w:val="00F12A2B"/>
    <w:rsid w:val="00F12ABF"/>
    <w:rsid w:val="00F12B6D"/>
    <w:rsid w:val="00F12FEE"/>
    <w:rsid w:val="00F135C7"/>
    <w:rsid w:val="00F13723"/>
    <w:rsid w:val="00F138F3"/>
    <w:rsid w:val="00F13C5C"/>
    <w:rsid w:val="00F13ECA"/>
    <w:rsid w:val="00F14456"/>
    <w:rsid w:val="00F1496D"/>
    <w:rsid w:val="00F14B79"/>
    <w:rsid w:val="00F14D0E"/>
    <w:rsid w:val="00F150B2"/>
    <w:rsid w:val="00F150BD"/>
    <w:rsid w:val="00F1570C"/>
    <w:rsid w:val="00F1571F"/>
    <w:rsid w:val="00F158DA"/>
    <w:rsid w:val="00F15A89"/>
    <w:rsid w:val="00F15E8C"/>
    <w:rsid w:val="00F162A1"/>
    <w:rsid w:val="00F167CC"/>
    <w:rsid w:val="00F169FA"/>
    <w:rsid w:val="00F16D00"/>
    <w:rsid w:val="00F170A2"/>
    <w:rsid w:val="00F17105"/>
    <w:rsid w:val="00F1792E"/>
    <w:rsid w:val="00F179FC"/>
    <w:rsid w:val="00F17EE6"/>
    <w:rsid w:val="00F200F8"/>
    <w:rsid w:val="00F2060B"/>
    <w:rsid w:val="00F206BE"/>
    <w:rsid w:val="00F207B0"/>
    <w:rsid w:val="00F21401"/>
    <w:rsid w:val="00F21F92"/>
    <w:rsid w:val="00F221DE"/>
    <w:rsid w:val="00F22475"/>
    <w:rsid w:val="00F226C1"/>
    <w:rsid w:val="00F227FA"/>
    <w:rsid w:val="00F22800"/>
    <w:rsid w:val="00F228B5"/>
    <w:rsid w:val="00F22902"/>
    <w:rsid w:val="00F22B1F"/>
    <w:rsid w:val="00F22D8D"/>
    <w:rsid w:val="00F22FCB"/>
    <w:rsid w:val="00F2307B"/>
    <w:rsid w:val="00F23363"/>
    <w:rsid w:val="00F2365B"/>
    <w:rsid w:val="00F23C52"/>
    <w:rsid w:val="00F23D9B"/>
    <w:rsid w:val="00F23DD0"/>
    <w:rsid w:val="00F23E79"/>
    <w:rsid w:val="00F2430D"/>
    <w:rsid w:val="00F243C0"/>
    <w:rsid w:val="00F24472"/>
    <w:rsid w:val="00F2472A"/>
    <w:rsid w:val="00F24AC2"/>
    <w:rsid w:val="00F25295"/>
    <w:rsid w:val="00F2536F"/>
    <w:rsid w:val="00F253A4"/>
    <w:rsid w:val="00F25437"/>
    <w:rsid w:val="00F261EF"/>
    <w:rsid w:val="00F26676"/>
    <w:rsid w:val="00F26857"/>
    <w:rsid w:val="00F26A09"/>
    <w:rsid w:val="00F26B4D"/>
    <w:rsid w:val="00F26D49"/>
    <w:rsid w:val="00F26E31"/>
    <w:rsid w:val="00F26FF3"/>
    <w:rsid w:val="00F2705C"/>
    <w:rsid w:val="00F278EF"/>
    <w:rsid w:val="00F27F10"/>
    <w:rsid w:val="00F302DD"/>
    <w:rsid w:val="00F30410"/>
    <w:rsid w:val="00F30A0F"/>
    <w:rsid w:val="00F30A3F"/>
    <w:rsid w:val="00F30F83"/>
    <w:rsid w:val="00F31126"/>
    <w:rsid w:val="00F31742"/>
    <w:rsid w:val="00F317F9"/>
    <w:rsid w:val="00F31957"/>
    <w:rsid w:val="00F31E6B"/>
    <w:rsid w:val="00F31F55"/>
    <w:rsid w:val="00F327E9"/>
    <w:rsid w:val="00F32A5B"/>
    <w:rsid w:val="00F32A69"/>
    <w:rsid w:val="00F32D4F"/>
    <w:rsid w:val="00F331F2"/>
    <w:rsid w:val="00F3333D"/>
    <w:rsid w:val="00F33C65"/>
    <w:rsid w:val="00F33E79"/>
    <w:rsid w:val="00F3432C"/>
    <w:rsid w:val="00F3438A"/>
    <w:rsid w:val="00F347FF"/>
    <w:rsid w:val="00F34906"/>
    <w:rsid w:val="00F34B39"/>
    <w:rsid w:val="00F34E98"/>
    <w:rsid w:val="00F354D8"/>
    <w:rsid w:val="00F35A7C"/>
    <w:rsid w:val="00F35CC0"/>
    <w:rsid w:val="00F35CCD"/>
    <w:rsid w:val="00F35EBD"/>
    <w:rsid w:val="00F362F5"/>
    <w:rsid w:val="00F368E1"/>
    <w:rsid w:val="00F36955"/>
    <w:rsid w:val="00F36A56"/>
    <w:rsid w:val="00F37E93"/>
    <w:rsid w:val="00F40379"/>
    <w:rsid w:val="00F40705"/>
    <w:rsid w:val="00F40FD9"/>
    <w:rsid w:val="00F4154D"/>
    <w:rsid w:val="00F4196D"/>
    <w:rsid w:val="00F427AF"/>
    <w:rsid w:val="00F42812"/>
    <w:rsid w:val="00F4296B"/>
    <w:rsid w:val="00F429DD"/>
    <w:rsid w:val="00F42B72"/>
    <w:rsid w:val="00F42C8A"/>
    <w:rsid w:val="00F42D58"/>
    <w:rsid w:val="00F42DF8"/>
    <w:rsid w:val="00F42FD1"/>
    <w:rsid w:val="00F4308B"/>
    <w:rsid w:val="00F433D1"/>
    <w:rsid w:val="00F4394D"/>
    <w:rsid w:val="00F43CA5"/>
    <w:rsid w:val="00F43E23"/>
    <w:rsid w:val="00F43E7A"/>
    <w:rsid w:val="00F441EA"/>
    <w:rsid w:val="00F44800"/>
    <w:rsid w:val="00F44E47"/>
    <w:rsid w:val="00F4507D"/>
    <w:rsid w:val="00F45754"/>
    <w:rsid w:val="00F46219"/>
    <w:rsid w:val="00F46330"/>
    <w:rsid w:val="00F46B68"/>
    <w:rsid w:val="00F46DFF"/>
    <w:rsid w:val="00F46EFC"/>
    <w:rsid w:val="00F4713B"/>
    <w:rsid w:val="00F4715C"/>
    <w:rsid w:val="00F47449"/>
    <w:rsid w:val="00F474E5"/>
    <w:rsid w:val="00F4754A"/>
    <w:rsid w:val="00F47667"/>
    <w:rsid w:val="00F47A1F"/>
    <w:rsid w:val="00F47B84"/>
    <w:rsid w:val="00F47ED0"/>
    <w:rsid w:val="00F47FCA"/>
    <w:rsid w:val="00F503F7"/>
    <w:rsid w:val="00F506A1"/>
    <w:rsid w:val="00F508B3"/>
    <w:rsid w:val="00F50F37"/>
    <w:rsid w:val="00F51B0C"/>
    <w:rsid w:val="00F51CCE"/>
    <w:rsid w:val="00F527DA"/>
    <w:rsid w:val="00F528A4"/>
    <w:rsid w:val="00F52BB1"/>
    <w:rsid w:val="00F52EEB"/>
    <w:rsid w:val="00F52F8E"/>
    <w:rsid w:val="00F53500"/>
    <w:rsid w:val="00F53E95"/>
    <w:rsid w:val="00F54400"/>
    <w:rsid w:val="00F544E8"/>
    <w:rsid w:val="00F5478B"/>
    <w:rsid w:val="00F54AF5"/>
    <w:rsid w:val="00F54D20"/>
    <w:rsid w:val="00F550C6"/>
    <w:rsid w:val="00F55606"/>
    <w:rsid w:val="00F55607"/>
    <w:rsid w:val="00F55885"/>
    <w:rsid w:val="00F55AC7"/>
    <w:rsid w:val="00F55CD2"/>
    <w:rsid w:val="00F55DE4"/>
    <w:rsid w:val="00F55E54"/>
    <w:rsid w:val="00F55F22"/>
    <w:rsid w:val="00F56033"/>
    <w:rsid w:val="00F561E9"/>
    <w:rsid w:val="00F562DA"/>
    <w:rsid w:val="00F56C0E"/>
    <w:rsid w:val="00F56F24"/>
    <w:rsid w:val="00F571D1"/>
    <w:rsid w:val="00F57259"/>
    <w:rsid w:val="00F57440"/>
    <w:rsid w:val="00F57467"/>
    <w:rsid w:val="00F57689"/>
    <w:rsid w:val="00F576AA"/>
    <w:rsid w:val="00F57939"/>
    <w:rsid w:val="00F57F3E"/>
    <w:rsid w:val="00F60176"/>
    <w:rsid w:val="00F60343"/>
    <w:rsid w:val="00F604A6"/>
    <w:rsid w:val="00F608A5"/>
    <w:rsid w:val="00F608F2"/>
    <w:rsid w:val="00F60B24"/>
    <w:rsid w:val="00F60DF9"/>
    <w:rsid w:val="00F61231"/>
    <w:rsid w:val="00F61342"/>
    <w:rsid w:val="00F61A1A"/>
    <w:rsid w:val="00F61C36"/>
    <w:rsid w:val="00F61DAB"/>
    <w:rsid w:val="00F6212B"/>
    <w:rsid w:val="00F62C1E"/>
    <w:rsid w:val="00F62E24"/>
    <w:rsid w:val="00F63280"/>
    <w:rsid w:val="00F6386A"/>
    <w:rsid w:val="00F63B09"/>
    <w:rsid w:val="00F63B91"/>
    <w:rsid w:val="00F63E95"/>
    <w:rsid w:val="00F6426B"/>
    <w:rsid w:val="00F648EB"/>
    <w:rsid w:val="00F648F4"/>
    <w:rsid w:val="00F648FA"/>
    <w:rsid w:val="00F649BF"/>
    <w:rsid w:val="00F64E90"/>
    <w:rsid w:val="00F65012"/>
    <w:rsid w:val="00F6505E"/>
    <w:rsid w:val="00F658AB"/>
    <w:rsid w:val="00F65934"/>
    <w:rsid w:val="00F6597F"/>
    <w:rsid w:val="00F65C92"/>
    <w:rsid w:val="00F65E9B"/>
    <w:rsid w:val="00F66047"/>
    <w:rsid w:val="00F66057"/>
    <w:rsid w:val="00F664CA"/>
    <w:rsid w:val="00F66887"/>
    <w:rsid w:val="00F668E5"/>
    <w:rsid w:val="00F66975"/>
    <w:rsid w:val="00F6727B"/>
    <w:rsid w:val="00F675EA"/>
    <w:rsid w:val="00F70CF7"/>
    <w:rsid w:val="00F70EA1"/>
    <w:rsid w:val="00F71C36"/>
    <w:rsid w:val="00F71C86"/>
    <w:rsid w:val="00F71CB6"/>
    <w:rsid w:val="00F723AD"/>
    <w:rsid w:val="00F7242F"/>
    <w:rsid w:val="00F7330E"/>
    <w:rsid w:val="00F737EC"/>
    <w:rsid w:val="00F73A5F"/>
    <w:rsid w:val="00F73DB2"/>
    <w:rsid w:val="00F73EC1"/>
    <w:rsid w:val="00F74794"/>
    <w:rsid w:val="00F749A4"/>
    <w:rsid w:val="00F74B43"/>
    <w:rsid w:val="00F74BC9"/>
    <w:rsid w:val="00F74DF5"/>
    <w:rsid w:val="00F7506A"/>
    <w:rsid w:val="00F75AA5"/>
    <w:rsid w:val="00F75B1E"/>
    <w:rsid w:val="00F75F89"/>
    <w:rsid w:val="00F76118"/>
    <w:rsid w:val="00F76D1B"/>
    <w:rsid w:val="00F76E73"/>
    <w:rsid w:val="00F76F09"/>
    <w:rsid w:val="00F770B7"/>
    <w:rsid w:val="00F77A11"/>
    <w:rsid w:val="00F77F3F"/>
    <w:rsid w:val="00F80023"/>
    <w:rsid w:val="00F800F0"/>
    <w:rsid w:val="00F801EC"/>
    <w:rsid w:val="00F808DE"/>
    <w:rsid w:val="00F80BB9"/>
    <w:rsid w:val="00F813D2"/>
    <w:rsid w:val="00F81B97"/>
    <w:rsid w:val="00F81F61"/>
    <w:rsid w:val="00F81F6A"/>
    <w:rsid w:val="00F82026"/>
    <w:rsid w:val="00F823A2"/>
    <w:rsid w:val="00F8265D"/>
    <w:rsid w:val="00F8289A"/>
    <w:rsid w:val="00F82B0B"/>
    <w:rsid w:val="00F83013"/>
    <w:rsid w:val="00F8341C"/>
    <w:rsid w:val="00F83598"/>
    <w:rsid w:val="00F83917"/>
    <w:rsid w:val="00F83955"/>
    <w:rsid w:val="00F83D40"/>
    <w:rsid w:val="00F83FBD"/>
    <w:rsid w:val="00F84C0A"/>
    <w:rsid w:val="00F84DAA"/>
    <w:rsid w:val="00F84EBC"/>
    <w:rsid w:val="00F85033"/>
    <w:rsid w:val="00F85041"/>
    <w:rsid w:val="00F85144"/>
    <w:rsid w:val="00F8530B"/>
    <w:rsid w:val="00F85560"/>
    <w:rsid w:val="00F857A3"/>
    <w:rsid w:val="00F859F1"/>
    <w:rsid w:val="00F85B15"/>
    <w:rsid w:val="00F85DBC"/>
    <w:rsid w:val="00F85E68"/>
    <w:rsid w:val="00F861F3"/>
    <w:rsid w:val="00F86787"/>
    <w:rsid w:val="00F86A91"/>
    <w:rsid w:val="00F86AB6"/>
    <w:rsid w:val="00F871C1"/>
    <w:rsid w:val="00F8761D"/>
    <w:rsid w:val="00F87DB2"/>
    <w:rsid w:val="00F87DEC"/>
    <w:rsid w:val="00F87E87"/>
    <w:rsid w:val="00F87F49"/>
    <w:rsid w:val="00F90299"/>
    <w:rsid w:val="00F909EF"/>
    <w:rsid w:val="00F90D92"/>
    <w:rsid w:val="00F90FA9"/>
    <w:rsid w:val="00F919FC"/>
    <w:rsid w:val="00F91AA9"/>
    <w:rsid w:val="00F91BCD"/>
    <w:rsid w:val="00F925A4"/>
    <w:rsid w:val="00F92AE0"/>
    <w:rsid w:val="00F92DF6"/>
    <w:rsid w:val="00F92EB9"/>
    <w:rsid w:val="00F92F51"/>
    <w:rsid w:val="00F9331E"/>
    <w:rsid w:val="00F93414"/>
    <w:rsid w:val="00F938AA"/>
    <w:rsid w:val="00F9399B"/>
    <w:rsid w:val="00F93E85"/>
    <w:rsid w:val="00F93F55"/>
    <w:rsid w:val="00F93F82"/>
    <w:rsid w:val="00F943F7"/>
    <w:rsid w:val="00F94988"/>
    <w:rsid w:val="00F94B87"/>
    <w:rsid w:val="00F94C95"/>
    <w:rsid w:val="00F94F3D"/>
    <w:rsid w:val="00F94FA4"/>
    <w:rsid w:val="00F95025"/>
    <w:rsid w:val="00F954A2"/>
    <w:rsid w:val="00F954C0"/>
    <w:rsid w:val="00F9572F"/>
    <w:rsid w:val="00F958C6"/>
    <w:rsid w:val="00F96147"/>
    <w:rsid w:val="00F9618F"/>
    <w:rsid w:val="00F961ED"/>
    <w:rsid w:val="00F96605"/>
    <w:rsid w:val="00F96AD6"/>
    <w:rsid w:val="00F96BBC"/>
    <w:rsid w:val="00F96C3C"/>
    <w:rsid w:val="00F96DF6"/>
    <w:rsid w:val="00F96ECA"/>
    <w:rsid w:val="00F974A8"/>
    <w:rsid w:val="00F977B8"/>
    <w:rsid w:val="00F977E9"/>
    <w:rsid w:val="00F97EB6"/>
    <w:rsid w:val="00F97EBD"/>
    <w:rsid w:val="00FA042A"/>
    <w:rsid w:val="00FA079B"/>
    <w:rsid w:val="00FA0A40"/>
    <w:rsid w:val="00FA0DEB"/>
    <w:rsid w:val="00FA1429"/>
    <w:rsid w:val="00FA1471"/>
    <w:rsid w:val="00FA14C9"/>
    <w:rsid w:val="00FA15B9"/>
    <w:rsid w:val="00FA163A"/>
    <w:rsid w:val="00FA18BD"/>
    <w:rsid w:val="00FA1A6C"/>
    <w:rsid w:val="00FA1E36"/>
    <w:rsid w:val="00FA2095"/>
    <w:rsid w:val="00FA2159"/>
    <w:rsid w:val="00FA2890"/>
    <w:rsid w:val="00FA2931"/>
    <w:rsid w:val="00FA2CF5"/>
    <w:rsid w:val="00FA2D51"/>
    <w:rsid w:val="00FA2DDA"/>
    <w:rsid w:val="00FA3299"/>
    <w:rsid w:val="00FA33C6"/>
    <w:rsid w:val="00FA36CA"/>
    <w:rsid w:val="00FA378A"/>
    <w:rsid w:val="00FA382A"/>
    <w:rsid w:val="00FA4319"/>
    <w:rsid w:val="00FA4885"/>
    <w:rsid w:val="00FA519A"/>
    <w:rsid w:val="00FA5493"/>
    <w:rsid w:val="00FA572E"/>
    <w:rsid w:val="00FA61D1"/>
    <w:rsid w:val="00FA6308"/>
    <w:rsid w:val="00FA7068"/>
    <w:rsid w:val="00FA71B6"/>
    <w:rsid w:val="00FA72EF"/>
    <w:rsid w:val="00FA7399"/>
    <w:rsid w:val="00FA749C"/>
    <w:rsid w:val="00FA74A9"/>
    <w:rsid w:val="00FA74CD"/>
    <w:rsid w:val="00FA7A95"/>
    <w:rsid w:val="00FB032A"/>
    <w:rsid w:val="00FB0443"/>
    <w:rsid w:val="00FB0761"/>
    <w:rsid w:val="00FB08BD"/>
    <w:rsid w:val="00FB0B95"/>
    <w:rsid w:val="00FB0C6C"/>
    <w:rsid w:val="00FB0EB3"/>
    <w:rsid w:val="00FB0FBA"/>
    <w:rsid w:val="00FB129F"/>
    <w:rsid w:val="00FB154A"/>
    <w:rsid w:val="00FB183A"/>
    <w:rsid w:val="00FB1913"/>
    <w:rsid w:val="00FB1ABD"/>
    <w:rsid w:val="00FB1C63"/>
    <w:rsid w:val="00FB1F20"/>
    <w:rsid w:val="00FB2135"/>
    <w:rsid w:val="00FB25D5"/>
    <w:rsid w:val="00FB283A"/>
    <w:rsid w:val="00FB2FCB"/>
    <w:rsid w:val="00FB3722"/>
    <w:rsid w:val="00FB3C83"/>
    <w:rsid w:val="00FB3DC9"/>
    <w:rsid w:val="00FB3E7D"/>
    <w:rsid w:val="00FB3EF4"/>
    <w:rsid w:val="00FB40AA"/>
    <w:rsid w:val="00FB4902"/>
    <w:rsid w:val="00FB4920"/>
    <w:rsid w:val="00FB54CA"/>
    <w:rsid w:val="00FB5588"/>
    <w:rsid w:val="00FB5667"/>
    <w:rsid w:val="00FB5AB9"/>
    <w:rsid w:val="00FB676D"/>
    <w:rsid w:val="00FB6D30"/>
    <w:rsid w:val="00FB6EE4"/>
    <w:rsid w:val="00FB702C"/>
    <w:rsid w:val="00FC00C0"/>
    <w:rsid w:val="00FC0129"/>
    <w:rsid w:val="00FC01FC"/>
    <w:rsid w:val="00FC027C"/>
    <w:rsid w:val="00FC0422"/>
    <w:rsid w:val="00FC057D"/>
    <w:rsid w:val="00FC0747"/>
    <w:rsid w:val="00FC076D"/>
    <w:rsid w:val="00FC0BB7"/>
    <w:rsid w:val="00FC1055"/>
    <w:rsid w:val="00FC10E8"/>
    <w:rsid w:val="00FC12DE"/>
    <w:rsid w:val="00FC191F"/>
    <w:rsid w:val="00FC1D9C"/>
    <w:rsid w:val="00FC2396"/>
    <w:rsid w:val="00FC2BE6"/>
    <w:rsid w:val="00FC2C65"/>
    <w:rsid w:val="00FC2E64"/>
    <w:rsid w:val="00FC2EBC"/>
    <w:rsid w:val="00FC3104"/>
    <w:rsid w:val="00FC32CC"/>
    <w:rsid w:val="00FC3500"/>
    <w:rsid w:val="00FC361B"/>
    <w:rsid w:val="00FC36CD"/>
    <w:rsid w:val="00FC3BB7"/>
    <w:rsid w:val="00FC3D33"/>
    <w:rsid w:val="00FC4588"/>
    <w:rsid w:val="00FC5019"/>
    <w:rsid w:val="00FC58D8"/>
    <w:rsid w:val="00FC5EF3"/>
    <w:rsid w:val="00FC5F2B"/>
    <w:rsid w:val="00FC6906"/>
    <w:rsid w:val="00FC6CFE"/>
    <w:rsid w:val="00FC703D"/>
    <w:rsid w:val="00FC7831"/>
    <w:rsid w:val="00FD032F"/>
    <w:rsid w:val="00FD0A2A"/>
    <w:rsid w:val="00FD0CDC"/>
    <w:rsid w:val="00FD0CEC"/>
    <w:rsid w:val="00FD1421"/>
    <w:rsid w:val="00FD1437"/>
    <w:rsid w:val="00FD1533"/>
    <w:rsid w:val="00FD15AF"/>
    <w:rsid w:val="00FD15C7"/>
    <w:rsid w:val="00FD18A9"/>
    <w:rsid w:val="00FD2144"/>
    <w:rsid w:val="00FD2964"/>
    <w:rsid w:val="00FD2F9D"/>
    <w:rsid w:val="00FD32F8"/>
    <w:rsid w:val="00FD3393"/>
    <w:rsid w:val="00FD34C3"/>
    <w:rsid w:val="00FD3644"/>
    <w:rsid w:val="00FD372D"/>
    <w:rsid w:val="00FD3B60"/>
    <w:rsid w:val="00FD3BC9"/>
    <w:rsid w:val="00FD3EF4"/>
    <w:rsid w:val="00FD41D1"/>
    <w:rsid w:val="00FD41FB"/>
    <w:rsid w:val="00FD4216"/>
    <w:rsid w:val="00FD463E"/>
    <w:rsid w:val="00FD46A1"/>
    <w:rsid w:val="00FD4A85"/>
    <w:rsid w:val="00FD5059"/>
    <w:rsid w:val="00FD5491"/>
    <w:rsid w:val="00FD5B2F"/>
    <w:rsid w:val="00FD5C7D"/>
    <w:rsid w:val="00FD5CB1"/>
    <w:rsid w:val="00FD629F"/>
    <w:rsid w:val="00FD645A"/>
    <w:rsid w:val="00FD6837"/>
    <w:rsid w:val="00FD6B4D"/>
    <w:rsid w:val="00FD6D17"/>
    <w:rsid w:val="00FD6F9A"/>
    <w:rsid w:val="00FD71AC"/>
    <w:rsid w:val="00FD75D0"/>
    <w:rsid w:val="00FD7706"/>
    <w:rsid w:val="00FE0831"/>
    <w:rsid w:val="00FE0A06"/>
    <w:rsid w:val="00FE0BE4"/>
    <w:rsid w:val="00FE1021"/>
    <w:rsid w:val="00FE107F"/>
    <w:rsid w:val="00FE1124"/>
    <w:rsid w:val="00FE1374"/>
    <w:rsid w:val="00FE17A4"/>
    <w:rsid w:val="00FE19E6"/>
    <w:rsid w:val="00FE2155"/>
    <w:rsid w:val="00FE30BF"/>
    <w:rsid w:val="00FE33D1"/>
    <w:rsid w:val="00FE37E8"/>
    <w:rsid w:val="00FE39C6"/>
    <w:rsid w:val="00FE3A20"/>
    <w:rsid w:val="00FE3AA9"/>
    <w:rsid w:val="00FE3B28"/>
    <w:rsid w:val="00FE3B5F"/>
    <w:rsid w:val="00FE3C2B"/>
    <w:rsid w:val="00FE4203"/>
    <w:rsid w:val="00FE4401"/>
    <w:rsid w:val="00FE44F1"/>
    <w:rsid w:val="00FE4987"/>
    <w:rsid w:val="00FE4EB5"/>
    <w:rsid w:val="00FE4FDF"/>
    <w:rsid w:val="00FE56DB"/>
    <w:rsid w:val="00FE5EEB"/>
    <w:rsid w:val="00FE679F"/>
    <w:rsid w:val="00FE726E"/>
    <w:rsid w:val="00FE7584"/>
    <w:rsid w:val="00FE7A5A"/>
    <w:rsid w:val="00FE7BEC"/>
    <w:rsid w:val="00FF0295"/>
    <w:rsid w:val="00FF02FC"/>
    <w:rsid w:val="00FF04CF"/>
    <w:rsid w:val="00FF0F43"/>
    <w:rsid w:val="00FF1554"/>
    <w:rsid w:val="00FF1B9F"/>
    <w:rsid w:val="00FF1E57"/>
    <w:rsid w:val="00FF1EB4"/>
    <w:rsid w:val="00FF246D"/>
    <w:rsid w:val="00FF2621"/>
    <w:rsid w:val="00FF27C4"/>
    <w:rsid w:val="00FF2AA3"/>
    <w:rsid w:val="00FF2C90"/>
    <w:rsid w:val="00FF2DCC"/>
    <w:rsid w:val="00FF3267"/>
    <w:rsid w:val="00FF32A9"/>
    <w:rsid w:val="00FF3448"/>
    <w:rsid w:val="00FF3742"/>
    <w:rsid w:val="00FF397E"/>
    <w:rsid w:val="00FF3ACC"/>
    <w:rsid w:val="00FF3C0A"/>
    <w:rsid w:val="00FF3C70"/>
    <w:rsid w:val="00FF3DDC"/>
    <w:rsid w:val="00FF3E5C"/>
    <w:rsid w:val="00FF40D5"/>
    <w:rsid w:val="00FF43B1"/>
    <w:rsid w:val="00FF4584"/>
    <w:rsid w:val="00FF4708"/>
    <w:rsid w:val="00FF4A8F"/>
    <w:rsid w:val="00FF5130"/>
    <w:rsid w:val="00FF520D"/>
    <w:rsid w:val="00FF5300"/>
    <w:rsid w:val="00FF5605"/>
    <w:rsid w:val="00FF58C2"/>
    <w:rsid w:val="00FF5962"/>
    <w:rsid w:val="00FF59DF"/>
    <w:rsid w:val="00FF5ACA"/>
    <w:rsid w:val="00FF5DFD"/>
    <w:rsid w:val="00FF6187"/>
    <w:rsid w:val="00FF69AF"/>
    <w:rsid w:val="00FF6B2F"/>
    <w:rsid w:val="00FF72F2"/>
    <w:rsid w:val="00FF7482"/>
    <w:rsid w:val="00FF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AEAA9"/>
  <w15:docId w15:val="{9CB035CF-DE8E-034B-AB2A-8AD4F225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lsdException w:name="heading 9" w:locked="1"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96"/>
    <w:pPr>
      <w:spacing w:line="480" w:lineRule="auto"/>
      <w:ind w:firstLine="431"/>
    </w:pPr>
    <w:rPr>
      <w:rFonts w:ascii="Times New Roman" w:eastAsia="Times New Roman" w:hAnsi="Times New Roman" w:cs="Vrinda"/>
      <w:sz w:val="22"/>
      <w:szCs w:val="24"/>
      <w:lang w:val="en-GB"/>
    </w:rPr>
  </w:style>
  <w:style w:type="paragraph" w:styleId="Heading1">
    <w:name w:val="heading 1"/>
    <w:basedOn w:val="Normal"/>
    <w:next w:val="Normal"/>
    <w:link w:val="Heading1Char"/>
    <w:qFormat/>
    <w:rsid w:val="00D16C96"/>
    <w:pPr>
      <w:keepNext/>
      <w:keepLines/>
      <w:ind w:firstLine="0"/>
      <w:jc w:val="center"/>
      <w:outlineLvl w:val="0"/>
    </w:pPr>
    <w:rPr>
      <w:rFonts w:eastAsia="SimSun"/>
      <w:bCs/>
      <w:caps/>
    </w:rPr>
  </w:style>
  <w:style w:type="paragraph" w:styleId="Heading2">
    <w:name w:val="heading 2"/>
    <w:basedOn w:val="Normal"/>
    <w:next w:val="Normal"/>
    <w:link w:val="Heading2Char"/>
    <w:qFormat/>
    <w:rsid w:val="00217673"/>
    <w:pPr>
      <w:keepNext/>
      <w:ind w:firstLine="0"/>
      <w:outlineLvl w:val="1"/>
    </w:pPr>
    <w:rPr>
      <w:b/>
      <w:bCs/>
      <w:lang w:val="en-US"/>
    </w:rPr>
  </w:style>
  <w:style w:type="paragraph" w:styleId="Heading3">
    <w:name w:val="heading 3"/>
    <w:basedOn w:val="Normal"/>
    <w:next w:val="Normal"/>
    <w:link w:val="Heading3Char"/>
    <w:qFormat/>
    <w:rsid w:val="00D16C96"/>
    <w:pPr>
      <w:keepNext/>
      <w:tabs>
        <w:tab w:val="left" w:pos="567"/>
      </w:tabs>
      <w:outlineLvl w:val="2"/>
    </w:pPr>
    <w:rPr>
      <w:i/>
      <w:lang w:val="en-US"/>
    </w:rPr>
  </w:style>
  <w:style w:type="paragraph" w:styleId="Heading4">
    <w:name w:val="heading 4"/>
    <w:basedOn w:val="Normal"/>
    <w:next w:val="Normal"/>
    <w:link w:val="Heading4Char"/>
    <w:qFormat/>
    <w:rsid w:val="006A1B08"/>
    <w:pPr>
      <w:keepNext/>
      <w:keepLines/>
      <w:numPr>
        <w:ilvl w:val="3"/>
        <w:numId w:val="1"/>
      </w:numPr>
      <w:spacing w:before="200"/>
      <w:outlineLvl w:val="3"/>
    </w:pPr>
    <w:rPr>
      <w:rFonts w:ascii="Cambria" w:eastAsia="SimSun" w:hAnsi="Cambria"/>
      <w:b/>
      <w:bCs/>
      <w:i/>
      <w:iCs/>
      <w:color w:val="4F81BD"/>
      <w:szCs w:val="20"/>
    </w:rPr>
  </w:style>
  <w:style w:type="paragraph" w:styleId="Heading5">
    <w:name w:val="heading 5"/>
    <w:basedOn w:val="Normal"/>
    <w:next w:val="Normal"/>
    <w:link w:val="Heading5Char"/>
    <w:qFormat/>
    <w:rsid w:val="006A1B08"/>
    <w:pPr>
      <w:keepNext/>
      <w:keepLines/>
      <w:numPr>
        <w:ilvl w:val="4"/>
        <w:numId w:val="1"/>
      </w:numPr>
      <w:spacing w:before="200"/>
      <w:outlineLvl w:val="4"/>
    </w:pPr>
    <w:rPr>
      <w:rFonts w:ascii="Cambria" w:eastAsia="SimSun" w:hAnsi="Cambria"/>
      <w:color w:val="243F60"/>
      <w:szCs w:val="20"/>
    </w:rPr>
  </w:style>
  <w:style w:type="paragraph" w:styleId="Heading6">
    <w:name w:val="heading 6"/>
    <w:basedOn w:val="Normal"/>
    <w:next w:val="Normal"/>
    <w:link w:val="Heading6Char"/>
    <w:qFormat/>
    <w:rsid w:val="006A1B08"/>
    <w:pPr>
      <w:keepNext/>
      <w:keepLines/>
      <w:numPr>
        <w:ilvl w:val="5"/>
        <w:numId w:val="1"/>
      </w:numPr>
      <w:spacing w:before="200"/>
      <w:outlineLvl w:val="5"/>
    </w:pPr>
    <w:rPr>
      <w:rFonts w:ascii="Cambria" w:eastAsia="SimSun" w:hAnsi="Cambria"/>
      <w:i/>
      <w:iCs/>
      <w:color w:val="243F60"/>
      <w:szCs w:val="20"/>
    </w:rPr>
  </w:style>
  <w:style w:type="paragraph" w:styleId="Heading7">
    <w:name w:val="heading 7"/>
    <w:basedOn w:val="Normal"/>
    <w:next w:val="Normal"/>
    <w:link w:val="Heading7Char"/>
    <w:qFormat/>
    <w:rsid w:val="006A1B08"/>
    <w:pPr>
      <w:keepNext/>
      <w:keepLines/>
      <w:numPr>
        <w:ilvl w:val="6"/>
        <w:numId w:val="1"/>
      </w:numPr>
      <w:spacing w:before="200"/>
      <w:outlineLvl w:val="6"/>
    </w:pPr>
    <w:rPr>
      <w:rFonts w:ascii="Cambria" w:eastAsia="SimSun" w:hAnsi="Cambria"/>
      <w:i/>
      <w:iCs/>
      <w:color w:val="404040"/>
      <w:szCs w:val="20"/>
    </w:rPr>
  </w:style>
  <w:style w:type="paragraph" w:styleId="Heading8">
    <w:name w:val="heading 8"/>
    <w:basedOn w:val="Normal"/>
    <w:next w:val="Normal"/>
    <w:link w:val="Heading8Char"/>
    <w:rsid w:val="006A1B08"/>
    <w:pPr>
      <w:keepNext/>
      <w:keepLines/>
      <w:numPr>
        <w:ilvl w:val="7"/>
        <w:numId w:val="1"/>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rsid w:val="006A1B08"/>
    <w:pPr>
      <w:keepNext/>
      <w:keepLines/>
      <w:numPr>
        <w:ilvl w:val="8"/>
        <w:numId w:val="1"/>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16C96"/>
    <w:rPr>
      <w:rFonts w:ascii="Times New Roman" w:eastAsia="SimSun" w:hAnsi="Times New Roman" w:cs="Vrinda"/>
      <w:bCs/>
      <w:caps/>
      <w:sz w:val="22"/>
      <w:szCs w:val="24"/>
      <w:lang w:val="en-GB"/>
    </w:rPr>
  </w:style>
  <w:style w:type="character" w:customStyle="1" w:styleId="Heading2Char">
    <w:name w:val="Heading 2 Char"/>
    <w:link w:val="Heading2"/>
    <w:locked/>
    <w:rsid w:val="00217673"/>
    <w:rPr>
      <w:rFonts w:ascii="Times New Roman" w:eastAsia="Times New Roman" w:hAnsi="Times New Roman" w:cs="Vrinda"/>
      <w:b/>
      <w:bCs/>
      <w:sz w:val="22"/>
      <w:szCs w:val="24"/>
    </w:rPr>
  </w:style>
  <w:style w:type="character" w:customStyle="1" w:styleId="Heading3Char">
    <w:name w:val="Heading 3 Char"/>
    <w:link w:val="Heading3"/>
    <w:locked/>
    <w:rsid w:val="00D16C96"/>
    <w:rPr>
      <w:rFonts w:ascii="Times New Roman" w:eastAsia="Times New Roman" w:hAnsi="Times New Roman" w:cs="Vrinda"/>
      <w:i/>
      <w:sz w:val="22"/>
      <w:szCs w:val="24"/>
    </w:rPr>
  </w:style>
  <w:style w:type="character" w:customStyle="1" w:styleId="Heading4Char">
    <w:name w:val="Heading 4 Char"/>
    <w:link w:val="Heading4"/>
    <w:locked/>
    <w:rsid w:val="006A1B08"/>
    <w:rPr>
      <w:rFonts w:ascii="Cambria" w:eastAsia="SimSun" w:hAnsi="Cambria" w:cs="Vrinda"/>
      <w:b/>
      <w:bCs/>
      <w:i/>
      <w:iCs/>
      <w:color w:val="4F81BD"/>
      <w:sz w:val="24"/>
      <w:lang w:val="en-GB"/>
    </w:rPr>
  </w:style>
  <w:style w:type="character" w:customStyle="1" w:styleId="Heading5Char">
    <w:name w:val="Heading 5 Char"/>
    <w:link w:val="Heading5"/>
    <w:locked/>
    <w:rsid w:val="006A1B08"/>
    <w:rPr>
      <w:rFonts w:ascii="Cambria" w:eastAsia="SimSun" w:hAnsi="Cambria" w:cs="Vrinda"/>
      <w:color w:val="243F60"/>
      <w:sz w:val="24"/>
      <w:lang w:val="en-GB"/>
    </w:rPr>
  </w:style>
  <w:style w:type="character" w:customStyle="1" w:styleId="Heading6Char">
    <w:name w:val="Heading 6 Char"/>
    <w:link w:val="Heading6"/>
    <w:locked/>
    <w:rsid w:val="006A1B08"/>
    <w:rPr>
      <w:rFonts w:ascii="Cambria" w:eastAsia="SimSun" w:hAnsi="Cambria" w:cs="Vrinda"/>
      <w:i/>
      <w:iCs/>
      <w:color w:val="243F60"/>
      <w:sz w:val="24"/>
      <w:lang w:val="en-GB"/>
    </w:rPr>
  </w:style>
  <w:style w:type="character" w:customStyle="1" w:styleId="Heading7Char">
    <w:name w:val="Heading 7 Char"/>
    <w:link w:val="Heading7"/>
    <w:locked/>
    <w:rsid w:val="006A1B08"/>
    <w:rPr>
      <w:rFonts w:ascii="Cambria" w:eastAsia="SimSun" w:hAnsi="Cambria" w:cs="Vrinda"/>
      <w:i/>
      <w:iCs/>
      <w:color w:val="404040"/>
      <w:sz w:val="24"/>
      <w:lang w:val="en-GB"/>
    </w:rPr>
  </w:style>
  <w:style w:type="character" w:customStyle="1" w:styleId="Heading8Char">
    <w:name w:val="Heading 8 Char"/>
    <w:link w:val="Heading8"/>
    <w:locked/>
    <w:rsid w:val="006A1B08"/>
    <w:rPr>
      <w:rFonts w:ascii="Cambria" w:eastAsia="SimSun" w:hAnsi="Cambria" w:cs="Vrinda"/>
      <w:color w:val="404040"/>
      <w:lang w:val="en-GB"/>
    </w:rPr>
  </w:style>
  <w:style w:type="character" w:customStyle="1" w:styleId="Heading9Char">
    <w:name w:val="Heading 9 Char"/>
    <w:link w:val="Heading9"/>
    <w:locked/>
    <w:rsid w:val="006A1B08"/>
    <w:rPr>
      <w:rFonts w:ascii="Cambria" w:eastAsia="SimSun" w:hAnsi="Cambria" w:cs="Vrinda"/>
      <w:i/>
      <w:iCs/>
      <w:color w:val="404040"/>
      <w:lang w:val="en-GB"/>
    </w:rPr>
  </w:style>
  <w:style w:type="paragraph" w:styleId="NoSpacing">
    <w:name w:val="No Spacing"/>
    <w:link w:val="NoSpacingChar1"/>
    <w:qFormat/>
    <w:rsid w:val="00926019"/>
    <w:rPr>
      <w:rFonts w:eastAsia="Times New Roman"/>
      <w:sz w:val="22"/>
      <w:szCs w:val="22"/>
    </w:rPr>
  </w:style>
  <w:style w:type="character" w:customStyle="1" w:styleId="NoSpacingChar1">
    <w:name w:val="No Spacing Char1"/>
    <w:link w:val="NoSpacing"/>
    <w:locked/>
    <w:rsid w:val="00747F96"/>
    <w:rPr>
      <w:rFonts w:eastAsia="Times New Roman"/>
      <w:sz w:val="22"/>
      <w:szCs w:val="22"/>
      <w:lang w:val="en-US" w:eastAsia="en-US" w:bidi="ar-SA"/>
    </w:rPr>
  </w:style>
  <w:style w:type="paragraph" w:customStyle="1" w:styleId="Lauftext">
    <w:name w:val="Lauftext"/>
    <w:basedOn w:val="Normal"/>
    <w:link w:val="LauftextZchn"/>
    <w:rsid w:val="00B26144"/>
    <w:pPr>
      <w:suppressAutoHyphens/>
      <w:spacing w:after="240" w:line="312" w:lineRule="atLeast"/>
      <w:ind w:firstLine="170"/>
    </w:pPr>
    <w:rPr>
      <w:rFonts w:eastAsia="Calibri"/>
      <w:sz w:val="20"/>
      <w:szCs w:val="20"/>
      <w:lang w:eastAsia="ar-SA"/>
    </w:rPr>
  </w:style>
  <w:style w:type="character" w:customStyle="1" w:styleId="LauftextZchn">
    <w:name w:val="Lauftext Zchn"/>
    <w:link w:val="Lauftext"/>
    <w:locked/>
    <w:rsid w:val="00B26144"/>
    <w:rPr>
      <w:rFonts w:ascii="Times New Roman" w:hAnsi="Times New Roman" w:cs="Times New Roman"/>
      <w:sz w:val="20"/>
      <w:szCs w:val="20"/>
      <w:lang w:eastAsia="ar-SA" w:bidi="ar-SA"/>
    </w:rPr>
  </w:style>
  <w:style w:type="paragraph" w:styleId="FootnoteText">
    <w:name w:val="footnote text"/>
    <w:basedOn w:val="Normal"/>
    <w:link w:val="FootnoteTextChar"/>
    <w:semiHidden/>
    <w:rsid w:val="00D16470"/>
    <w:pPr>
      <w:spacing w:line="240" w:lineRule="auto"/>
    </w:pPr>
    <w:rPr>
      <w:rFonts w:ascii="Calibri" w:eastAsia="Calibri" w:hAnsi="Calibri"/>
      <w:sz w:val="20"/>
      <w:szCs w:val="20"/>
    </w:rPr>
  </w:style>
  <w:style w:type="character" w:customStyle="1" w:styleId="FootnoteTextChar">
    <w:name w:val="Footnote Text Char"/>
    <w:link w:val="FootnoteText"/>
    <w:semiHidden/>
    <w:locked/>
    <w:rsid w:val="00D16470"/>
    <w:rPr>
      <w:rFonts w:cs="Times New Roman"/>
      <w:sz w:val="20"/>
      <w:szCs w:val="20"/>
    </w:rPr>
  </w:style>
  <w:style w:type="character" w:styleId="FootnoteReference">
    <w:name w:val="footnote reference"/>
    <w:semiHidden/>
    <w:rsid w:val="00D16470"/>
    <w:rPr>
      <w:rFonts w:cs="Times New Roman"/>
      <w:vertAlign w:val="superscript"/>
    </w:rPr>
  </w:style>
  <w:style w:type="paragraph" w:styleId="Header">
    <w:name w:val="header"/>
    <w:basedOn w:val="Normal"/>
    <w:link w:val="HeaderChar"/>
    <w:rsid w:val="00FF4584"/>
    <w:pPr>
      <w:tabs>
        <w:tab w:val="center" w:pos="4680"/>
        <w:tab w:val="right" w:pos="9360"/>
      </w:tabs>
      <w:spacing w:line="240" w:lineRule="auto"/>
    </w:pPr>
    <w:rPr>
      <w:rFonts w:ascii="Calibri" w:eastAsia="Calibri" w:hAnsi="Calibri"/>
      <w:sz w:val="20"/>
      <w:szCs w:val="20"/>
    </w:rPr>
  </w:style>
  <w:style w:type="character" w:customStyle="1" w:styleId="HeaderChar">
    <w:name w:val="Header Char"/>
    <w:link w:val="Header"/>
    <w:locked/>
    <w:rsid w:val="00FF4584"/>
    <w:rPr>
      <w:rFonts w:cs="Times New Roman"/>
    </w:rPr>
  </w:style>
  <w:style w:type="paragraph" w:styleId="Footer">
    <w:name w:val="footer"/>
    <w:basedOn w:val="Normal"/>
    <w:link w:val="FooterChar"/>
    <w:uiPriority w:val="99"/>
    <w:rsid w:val="00491D38"/>
    <w:pPr>
      <w:tabs>
        <w:tab w:val="center" w:pos="4680"/>
        <w:tab w:val="right" w:pos="9360"/>
      </w:tabs>
      <w:spacing w:line="240" w:lineRule="auto"/>
      <w:ind w:firstLine="0"/>
    </w:pPr>
    <w:rPr>
      <w:rFonts w:eastAsia="Calibri"/>
      <w:sz w:val="20"/>
      <w:szCs w:val="20"/>
    </w:rPr>
  </w:style>
  <w:style w:type="character" w:customStyle="1" w:styleId="FooterChar">
    <w:name w:val="Footer Char"/>
    <w:link w:val="Footer"/>
    <w:uiPriority w:val="99"/>
    <w:locked/>
    <w:rsid w:val="00491D38"/>
    <w:rPr>
      <w:rFonts w:ascii="Times New Roman" w:hAnsi="Times New Roman" w:cs="Vrinda"/>
      <w:lang w:val="en-GB"/>
    </w:rPr>
  </w:style>
  <w:style w:type="paragraph" w:styleId="ListParagraph">
    <w:name w:val="List Paragraph"/>
    <w:basedOn w:val="Normal"/>
    <w:uiPriority w:val="34"/>
    <w:qFormat/>
    <w:rsid w:val="00DF5A44"/>
    <w:pPr>
      <w:ind w:left="720"/>
      <w:contextualSpacing/>
    </w:pPr>
  </w:style>
  <w:style w:type="character" w:styleId="Hyperlink">
    <w:name w:val="Hyperlink"/>
    <w:uiPriority w:val="99"/>
    <w:rsid w:val="00653AEC"/>
    <w:rPr>
      <w:rFonts w:cs="Times New Roman"/>
      <w:color w:val="0000FF"/>
      <w:u w:val="single"/>
    </w:rPr>
  </w:style>
  <w:style w:type="paragraph" w:styleId="BalloonText">
    <w:name w:val="Balloon Text"/>
    <w:basedOn w:val="Normal"/>
    <w:link w:val="BalloonTextChar"/>
    <w:semiHidden/>
    <w:rsid w:val="00096970"/>
    <w:pPr>
      <w:spacing w:line="240" w:lineRule="auto"/>
    </w:pPr>
    <w:rPr>
      <w:rFonts w:ascii="Tahoma" w:eastAsia="Calibri" w:hAnsi="Tahoma"/>
      <w:sz w:val="16"/>
      <w:szCs w:val="16"/>
    </w:rPr>
  </w:style>
  <w:style w:type="character" w:customStyle="1" w:styleId="BalloonTextChar">
    <w:name w:val="Balloon Text Char"/>
    <w:link w:val="BalloonText"/>
    <w:semiHidden/>
    <w:locked/>
    <w:rsid w:val="00096970"/>
    <w:rPr>
      <w:rFonts w:ascii="Tahoma" w:hAnsi="Tahoma" w:cs="Tahoma"/>
      <w:sz w:val="16"/>
      <w:szCs w:val="16"/>
    </w:rPr>
  </w:style>
  <w:style w:type="paragraph" w:customStyle="1" w:styleId="References">
    <w:name w:val="References"/>
    <w:basedOn w:val="Normal"/>
    <w:link w:val="ReferencesChar"/>
    <w:rsid w:val="00086CFD"/>
    <w:pPr>
      <w:ind w:left="284" w:hanging="284"/>
    </w:pPr>
    <w:rPr>
      <w:rFonts w:eastAsia="Calibri"/>
      <w:szCs w:val="20"/>
      <w:lang w:val="de-DE"/>
    </w:rPr>
  </w:style>
  <w:style w:type="character" w:customStyle="1" w:styleId="ReferencesChar">
    <w:name w:val="References Char"/>
    <w:link w:val="References"/>
    <w:locked/>
    <w:rsid w:val="00086CFD"/>
    <w:rPr>
      <w:rFonts w:ascii="Times New Roman" w:hAnsi="Times New Roman" w:cs="Times New Roman"/>
      <w:sz w:val="24"/>
      <w:lang w:val="de-DE"/>
    </w:rPr>
  </w:style>
  <w:style w:type="paragraph" w:styleId="Caption">
    <w:name w:val="caption"/>
    <w:basedOn w:val="Normal"/>
    <w:next w:val="Normal"/>
    <w:link w:val="CaptionChar"/>
    <w:qFormat/>
    <w:rsid w:val="005C6C15"/>
    <w:pPr>
      <w:keepNext/>
      <w:keepLines/>
      <w:widowControl w:val="0"/>
      <w:spacing w:after="120" w:line="240" w:lineRule="auto"/>
    </w:pPr>
    <w:rPr>
      <w:bCs/>
    </w:rPr>
  </w:style>
  <w:style w:type="character" w:customStyle="1" w:styleId="CaptionChar">
    <w:name w:val="Caption Char"/>
    <w:link w:val="Caption"/>
    <w:locked/>
    <w:rsid w:val="005C6C15"/>
    <w:rPr>
      <w:rFonts w:ascii="Times New Roman" w:eastAsia="Times New Roman" w:hAnsi="Times New Roman"/>
      <w:bCs/>
      <w:sz w:val="24"/>
      <w:szCs w:val="24"/>
    </w:rPr>
  </w:style>
  <w:style w:type="paragraph" w:customStyle="1" w:styleId="No">
    <w:name w:val="No"/>
    <w:basedOn w:val="NoSpacing"/>
    <w:link w:val="NoChar"/>
    <w:rsid w:val="00747F96"/>
    <w:rPr>
      <w:b/>
    </w:rPr>
  </w:style>
  <w:style w:type="character" w:customStyle="1" w:styleId="NoChar">
    <w:name w:val="No Char"/>
    <w:link w:val="No"/>
    <w:locked/>
    <w:rsid w:val="00747F96"/>
    <w:rPr>
      <w:rFonts w:eastAsia="Times New Roman"/>
      <w:b/>
      <w:sz w:val="22"/>
      <w:szCs w:val="22"/>
      <w:lang w:val="en-US" w:eastAsia="en-US" w:bidi="ar-SA"/>
    </w:rPr>
  </w:style>
  <w:style w:type="paragraph" w:customStyle="1" w:styleId="Notes">
    <w:name w:val="Notes"/>
    <w:basedOn w:val="Normal"/>
    <w:link w:val="NotesChar"/>
    <w:rsid w:val="00747F96"/>
    <w:pPr>
      <w:spacing w:after="480" w:line="240" w:lineRule="auto"/>
    </w:pPr>
    <w:rPr>
      <w:rFonts w:eastAsia="Calibri"/>
      <w:sz w:val="20"/>
      <w:szCs w:val="20"/>
    </w:rPr>
  </w:style>
  <w:style w:type="character" w:customStyle="1" w:styleId="NotesChar">
    <w:name w:val="Notes Char"/>
    <w:link w:val="Notes"/>
    <w:locked/>
    <w:rsid w:val="00747F96"/>
    <w:rPr>
      <w:rFonts w:ascii="Times New Roman" w:hAnsi="Times New Roman" w:cs="Times New Roman"/>
      <w:sz w:val="20"/>
    </w:rPr>
  </w:style>
  <w:style w:type="character" w:styleId="CommentReference">
    <w:name w:val="annotation reference"/>
    <w:uiPriority w:val="99"/>
    <w:semiHidden/>
    <w:rsid w:val="00E4452D"/>
    <w:rPr>
      <w:rFonts w:cs="Times New Roman"/>
      <w:sz w:val="16"/>
      <w:szCs w:val="16"/>
    </w:rPr>
  </w:style>
  <w:style w:type="paragraph" w:styleId="CommentText">
    <w:name w:val="annotation text"/>
    <w:basedOn w:val="Normal"/>
    <w:link w:val="CommentTextChar"/>
    <w:uiPriority w:val="99"/>
    <w:semiHidden/>
    <w:rsid w:val="00E4452D"/>
    <w:pPr>
      <w:spacing w:line="240" w:lineRule="auto"/>
    </w:pPr>
    <w:rPr>
      <w:rFonts w:eastAsia="Calibri"/>
      <w:sz w:val="20"/>
      <w:szCs w:val="20"/>
    </w:rPr>
  </w:style>
  <w:style w:type="character" w:customStyle="1" w:styleId="CommentTextChar">
    <w:name w:val="Comment Text Char"/>
    <w:link w:val="CommentText"/>
    <w:uiPriority w:val="99"/>
    <w:semiHidden/>
    <w:locked/>
    <w:rsid w:val="00E4452D"/>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4452D"/>
    <w:rPr>
      <w:b/>
      <w:bCs/>
    </w:rPr>
  </w:style>
  <w:style w:type="character" w:customStyle="1" w:styleId="CommentSubjectChar">
    <w:name w:val="Comment Subject Char"/>
    <w:link w:val="CommentSubject"/>
    <w:semiHidden/>
    <w:locked/>
    <w:rsid w:val="00E4452D"/>
    <w:rPr>
      <w:rFonts w:ascii="Times New Roman" w:hAnsi="Times New Roman" w:cs="Times New Roman"/>
      <w:b/>
      <w:bCs/>
      <w:sz w:val="20"/>
      <w:szCs w:val="20"/>
    </w:rPr>
  </w:style>
  <w:style w:type="paragraph" w:styleId="Revision">
    <w:name w:val="Revision"/>
    <w:hidden/>
    <w:semiHidden/>
    <w:rsid w:val="00970A53"/>
    <w:rPr>
      <w:rFonts w:ascii="Times New Roman" w:eastAsia="Times New Roman" w:hAnsi="Times New Roman"/>
      <w:sz w:val="24"/>
      <w:szCs w:val="22"/>
    </w:rPr>
  </w:style>
  <w:style w:type="paragraph" w:customStyle="1" w:styleId="NoSpacing1">
    <w:name w:val="No Spacing1"/>
    <w:link w:val="NoSpacingChar"/>
    <w:qFormat/>
    <w:rsid w:val="004915B7"/>
    <w:rPr>
      <w:rFonts w:eastAsia="Times New Roman"/>
      <w:sz w:val="22"/>
      <w:szCs w:val="22"/>
    </w:rPr>
  </w:style>
  <w:style w:type="character" w:customStyle="1" w:styleId="NoSpacingChar">
    <w:name w:val="No Spacing Char"/>
    <w:link w:val="NoSpacing1"/>
    <w:locked/>
    <w:rsid w:val="004915B7"/>
    <w:rPr>
      <w:rFonts w:eastAsia="Times New Roman"/>
      <w:sz w:val="22"/>
      <w:szCs w:val="22"/>
      <w:lang w:val="en-US" w:eastAsia="en-US" w:bidi="ar-SA"/>
    </w:rPr>
  </w:style>
  <w:style w:type="paragraph" w:styleId="DocumentMap">
    <w:name w:val="Document Map"/>
    <w:basedOn w:val="Normal"/>
    <w:link w:val="DocumentMapChar"/>
    <w:locked/>
    <w:rsid w:val="00B55A16"/>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B55A16"/>
    <w:rPr>
      <w:rFonts w:ascii="Tahoma" w:eastAsia="Times New Roman" w:hAnsi="Tahoma" w:cs="Tahoma"/>
      <w:sz w:val="16"/>
      <w:szCs w:val="16"/>
    </w:rPr>
  </w:style>
  <w:style w:type="table" w:styleId="TableGrid">
    <w:name w:val="Table Grid"/>
    <w:basedOn w:val="TableNormal"/>
    <w:locked/>
    <w:rsid w:val="0062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Rechts076cm">
    <w:name w:val="Formatvorlage Überschrift 1 + Rechts:  076 cm"/>
    <w:basedOn w:val="Heading1"/>
    <w:rsid w:val="00BB0F76"/>
    <w:pPr>
      <w:keepLines w:val="0"/>
      <w:tabs>
        <w:tab w:val="left" w:pos="567"/>
      </w:tabs>
    </w:pPr>
    <w:rPr>
      <w:rFonts w:eastAsia="Times New Roman"/>
      <w:b/>
      <w:caps w:val="0"/>
      <w:kern w:val="36"/>
    </w:rPr>
  </w:style>
  <w:style w:type="paragraph" w:customStyle="1" w:styleId="EndNoteBibliographyTitle">
    <w:name w:val="EndNote Bibliography Title"/>
    <w:basedOn w:val="Normal"/>
    <w:link w:val="EndNoteBibliographyTitleChar"/>
    <w:rsid w:val="007A0248"/>
    <w:pPr>
      <w:jc w:val="center"/>
    </w:pPr>
    <w:rPr>
      <w:rFonts w:cs="Times New Roman"/>
      <w:noProof/>
      <w:sz w:val="24"/>
      <w:lang w:val="en-US"/>
    </w:rPr>
  </w:style>
  <w:style w:type="character" w:customStyle="1" w:styleId="EndNoteBibliographyTitleChar">
    <w:name w:val="EndNote Bibliography Title Char"/>
    <w:basedOn w:val="DefaultParagraphFont"/>
    <w:link w:val="EndNoteBibliographyTitle"/>
    <w:rsid w:val="007A0248"/>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175201"/>
    <w:pPr>
      <w:spacing w:line="240" w:lineRule="auto"/>
      <w:ind w:firstLine="0"/>
    </w:pPr>
    <w:rPr>
      <w:rFonts w:cs="Times New Roman"/>
      <w:noProof/>
      <w:sz w:val="24"/>
      <w:lang w:val="en-US"/>
    </w:rPr>
  </w:style>
  <w:style w:type="character" w:customStyle="1" w:styleId="EndNoteBibliographyChar">
    <w:name w:val="EndNote Bibliography Char"/>
    <w:basedOn w:val="DefaultParagraphFont"/>
    <w:link w:val="EndNoteBibliography"/>
    <w:rsid w:val="00175201"/>
    <w:rPr>
      <w:rFonts w:ascii="Times New Roman" w:eastAsia="Times New Roman" w:hAnsi="Times New Roman"/>
      <w:noProof/>
      <w:sz w:val="24"/>
      <w:szCs w:val="24"/>
    </w:rPr>
  </w:style>
  <w:style w:type="paragraph" w:styleId="Subtitle">
    <w:name w:val="Subtitle"/>
    <w:basedOn w:val="Normal"/>
    <w:next w:val="Normal"/>
    <w:link w:val="SubtitleChar"/>
    <w:qFormat/>
    <w:locked/>
    <w:rsid w:val="009A413E"/>
    <w:pPr>
      <w:numPr>
        <w:ilvl w:val="1"/>
      </w:numPr>
      <w:ind w:firstLine="432"/>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A413E"/>
    <w:rPr>
      <w:rFonts w:asciiTheme="majorHAnsi" w:eastAsiaTheme="majorEastAsia" w:hAnsiTheme="majorHAnsi" w:cstheme="majorBidi"/>
      <w:i/>
      <w:iCs/>
      <w:color w:val="4F81BD" w:themeColor="accent1"/>
      <w:spacing w:val="15"/>
      <w:sz w:val="24"/>
      <w:szCs w:val="24"/>
      <w:lang w:val="en-GB"/>
    </w:rPr>
  </w:style>
  <w:style w:type="character" w:customStyle="1" w:styleId="apple-converted-space">
    <w:name w:val="apple-converted-space"/>
    <w:basedOn w:val="DefaultParagraphFont"/>
    <w:rsid w:val="000A749B"/>
  </w:style>
  <w:style w:type="character" w:styleId="Strong">
    <w:name w:val="Strong"/>
    <w:basedOn w:val="DefaultParagraphFont"/>
    <w:uiPriority w:val="22"/>
    <w:qFormat/>
    <w:locked/>
    <w:rsid w:val="009A3E12"/>
    <w:rPr>
      <w:b/>
      <w:bCs/>
    </w:rPr>
  </w:style>
  <w:style w:type="paragraph" w:styleId="NormalWeb">
    <w:name w:val="Normal (Web)"/>
    <w:basedOn w:val="Normal"/>
    <w:uiPriority w:val="99"/>
    <w:unhideWhenUsed/>
    <w:locked/>
    <w:rsid w:val="00A3438A"/>
    <w:pPr>
      <w:spacing w:before="100" w:beforeAutospacing="1" w:after="100" w:afterAutospacing="1" w:line="240" w:lineRule="auto"/>
      <w:ind w:firstLine="0"/>
    </w:pPr>
    <w:rPr>
      <w:rFonts w:ascii="Times" w:eastAsia="Calibri" w:hAnsi="Times" w:cs="Times New Roman"/>
      <w:sz w:val="20"/>
      <w:szCs w:val="20"/>
      <w:lang w:val="en-US" w:eastAsia="da-DK"/>
    </w:rPr>
  </w:style>
  <w:style w:type="character" w:styleId="Emphasis">
    <w:name w:val="Emphasis"/>
    <w:basedOn w:val="DefaultParagraphFont"/>
    <w:uiPriority w:val="20"/>
    <w:qFormat/>
    <w:locked/>
    <w:rsid w:val="00A9770F"/>
    <w:rPr>
      <w:i/>
      <w:iCs/>
    </w:rPr>
  </w:style>
  <w:style w:type="character" w:customStyle="1" w:styleId="UnresolvedMention1">
    <w:name w:val="Unresolved Mention1"/>
    <w:basedOn w:val="DefaultParagraphFont"/>
    <w:uiPriority w:val="99"/>
    <w:semiHidden/>
    <w:unhideWhenUsed/>
    <w:rsid w:val="009A1A49"/>
    <w:rPr>
      <w:color w:val="808080"/>
      <w:shd w:val="clear" w:color="auto" w:fill="E6E6E6"/>
    </w:rPr>
  </w:style>
  <w:style w:type="character" w:styleId="FollowedHyperlink">
    <w:name w:val="FollowedHyperlink"/>
    <w:basedOn w:val="DefaultParagraphFont"/>
    <w:uiPriority w:val="99"/>
    <w:semiHidden/>
    <w:unhideWhenUsed/>
    <w:locked/>
    <w:rsid w:val="0012234A"/>
    <w:rPr>
      <w:color w:val="800080" w:themeColor="followedHyperlink"/>
      <w:u w:val="single"/>
    </w:rPr>
  </w:style>
  <w:style w:type="character" w:styleId="PlaceholderText">
    <w:name w:val="Placeholder Text"/>
    <w:basedOn w:val="DefaultParagraphFont"/>
    <w:uiPriority w:val="99"/>
    <w:semiHidden/>
    <w:rsid w:val="00375939"/>
    <w:rPr>
      <w:color w:val="808080"/>
    </w:rPr>
  </w:style>
  <w:style w:type="paragraph" w:styleId="EndnoteText">
    <w:name w:val="endnote text"/>
    <w:basedOn w:val="Normal"/>
    <w:link w:val="EndnoteTextChar"/>
    <w:semiHidden/>
    <w:unhideWhenUsed/>
    <w:locked/>
    <w:rsid w:val="009644C3"/>
    <w:pPr>
      <w:spacing w:line="240" w:lineRule="auto"/>
    </w:pPr>
    <w:rPr>
      <w:sz w:val="20"/>
      <w:szCs w:val="20"/>
    </w:rPr>
  </w:style>
  <w:style w:type="character" w:customStyle="1" w:styleId="EndnoteTextChar">
    <w:name w:val="Endnote Text Char"/>
    <w:basedOn w:val="DefaultParagraphFont"/>
    <w:link w:val="EndnoteText"/>
    <w:semiHidden/>
    <w:rsid w:val="009644C3"/>
    <w:rPr>
      <w:rFonts w:ascii="Times New Roman" w:eastAsia="Times New Roman" w:hAnsi="Times New Roman" w:cs="Vrinda"/>
      <w:lang w:val="en-GB"/>
    </w:rPr>
  </w:style>
  <w:style w:type="character" w:styleId="EndnoteReference">
    <w:name w:val="endnote reference"/>
    <w:basedOn w:val="DefaultParagraphFont"/>
    <w:semiHidden/>
    <w:unhideWhenUsed/>
    <w:locked/>
    <w:rsid w:val="009644C3"/>
    <w:rPr>
      <w:vertAlign w:val="superscript"/>
    </w:rPr>
  </w:style>
  <w:style w:type="paragraph" w:customStyle="1" w:styleId="2ndparagraph">
    <w:name w:val="2nd paragraph"/>
    <w:basedOn w:val="Normal"/>
    <w:link w:val="2ndparagraphChar"/>
    <w:qFormat/>
    <w:rsid w:val="009A2B7B"/>
    <w:rPr>
      <w:lang w:val="en-US"/>
    </w:rPr>
  </w:style>
  <w:style w:type="character" w:customStyle="1" w:styleId="2ndparagraphChar">
    <w:name w:val="2nd paragraph Char"/>
    <w:basedOn w:val="DefaultParagraphFont"/>
    <w:link w:val="2ndparagraph"/>
    <w:rsid w:val="009A2B7B"/>
    <w:rPr>
      <w:rFonts w:ascii="Times New Roman" w:eastAsia="Times New Roman" w:hAnsi="Times New Roman" w:cs="Vrinda"/>
      <w:sz w:val="22"/>
      <w:szCs w:val="24"/>
    </w:rPr>
  </w:style>
  <w:style w:type="character" w:customStyle="1" w:styleId="UnresolvedMention2">
    <w:name w:val="Unresolved Mention2"/>
    <w:basedOn w:val="DefaultParagraphFont"/>
    <w:uiPriority w:val="99"/>
    <w:semiHidden/>
    <w:unhideWhenUsed/>
    <w:rsid w:val="0096482A"/>
    <w:rPr>
      <w:color w:val="605E5C"/>
      <w:shd w:val="clear" w:color="auto" w:fill="E1DFDD"/>
    </w:rPr>
  </w:style>
  <w:style w:type="paragraph" w:customStyle="1" w:styleId="Default">
    <w:name w:val="Default"/>
    <w:rsid w:val="004D0B2A"/>
    <w:pPr>
      <w:autoSpaceDE w:val="0"/>
      <w:autoSpaceDN w:val="0"/>
      <w:adjustRightInd w:val="0"/>
    </w:pPr>
    <w:rPr>
      <w:rFonts w:cs="Calibri"/>
      <w:color w:val="000000"/>
      <w:sz w:val="24"/>
      <w:szCs w:val="24"/>
      <w:lang w:val="en-GB"/>
    </w:rPr>
  </w:style>
  <w:style w:type="character" w:customStyle="1" w:styleId="honorific-prefix">
    <w:name w:val="honorific-prefix"/>
    <w:basedOn w:val="DefaultParagraphFont"/>
    <w:rsid w:val="00F83917"/>
  </w:style>
  <w:style w:type="character" w:customStyle="1" w:styleId="given-name">
    <w:name w:val="given-name"/>
    <w:basedOn w:val="DefaultParagraphFont"/>
    <w:rsid w:val="00F83917"/>
  </w:style>
  <w:style w:type="character" w:customStyle="1" w:styleId="family-name">
    <w:name w:val="family-name"/>
    <w:basedOn w:val="DefaultParagraphFont"/>
    <w:rsid w:val="00F8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120"/>
      <w:marRight w:val="120"/>
      <w:marTop w:val="45"/>
      <w:marBottom w:val="45"/>
      <w:divBdr>
        <w:top w:val="none" w:sz="0" w:space="0" w:color="auto"/>
        <w:left w:val="none" w:sz="0" w:space="0" w:color="auto"/>
        <w:bottom w:val="none" w:sz="0" w:space="0" w:color="auto"/>
        <w:right w:val="none" w:sz="0" w:space="0" w:color="auto"/>
      </w:divBdr>
      <w:divsChild>
        <w:div w:id="7">
          <w:marLeft w:val="240"/>
          <w:marRight w:val="24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120"/>
      <w:marRight w:val="120"/>
      <w:marTop w:val="45"/>
      <w:marBottom w:val="45"/>
      <w:divBdr>
        <w:top w:val="none" w:sz="0" w:space="0" w:color="auto"/>
        <w:left w:val="none" w:sz="0" w:space="0" w:color="auto"/>
        <w:bottom w:val="none" w:sz="0" w:space="0" w:color="auto"/>
        <w:right w:val="none" w:sz="0" w:space="0" w:color="auto"/>
      </w:divBdr>
      <w:divsChild>
        <w:div w:id="3">
          <w:marLeft w:val="240"/>
          <w:marRight w:val="24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271526">
      <w:bodyDiv w:val="1"/>
      <w:marLeft w:val="0"/>
      <w:marRight w:val="0"/>
      <w:marTop w:val="0"/>
      <w:marBottom w:val="0"/>
      <w:divBdr>
        <w:top w:val="none" w:sz="0" w:space="0" w:color="auto"/>
        <w:left w:val="none" w:sz="0" w:space="0" w:color="auto"/>
        <w:bottom w:val="none" w:sz="0" w:space="0" w:color="auto"/>
        <w:right w:val="none" w:sz="0" w:space="0" w:color="auto"/>
      </w:divBdr>
    </w:div>
    <w:div w:id="25451522">
      <w:bodyDiv w:val="1"/>
      <w:marLeft w:val="0"/>
      <w:marRight w:val="0"/>
      <w:marTop w:val="0"/>
      <w:marBottom w:val="0"/>
      <w:divBdr>
        <w:top w:val="none" w:sz="0" w:space="0" w:color="auto"/>
        <w:left w:val="none" w:sz="0" w:space="0" w:color="auto"/>
        <w:bottom w:val="none" w:sz="0" w:space="0" w:color="auto"/>
        <w:right w:val="none" w:sz="0" w:space="0" w:color="auto"/>
      </w:divBdr>
    </w:div>
    <w:div w:id="46538601">
      <w:bodyDiv w:val="1"/>
      <w:marLeft w:val="0"/>
      <w:marRight w:val="0"/>
      <w:marTop w:val="0"/>
      <w:marBottom w:val="0"/>
      <w:divBdr>
        <w:top w:val="none" w:sz="0" w:space="0" w:color="auto"/>
        <w:left w:val="none" w:sz="0" w:space="0" w:color="auto"/>
        <w:bottom w:val="none" w:sz="0" w:space="0" w:color="auto"/>
        <w:right w:val="none" w:sz="0" w:space="0" w:color="auto"/>
      </w:divBdr>
    </w:div>
    <w:div w:id="66539424">
      <w:bodyDiv w:val="1"/>
      <w:marLeft w:val="0"/>
      <w:marRight w:val="0"/>
      <w:marTop w:val="0"/>
      <w:marBottom w:val="0"/>
      <w:divBdr>
        <w:top w:val="none" w:sz="0" w:space="0" w:color="auto"/>
        <w:left w:val="none" w:sz="0" w:space="0" w:color="auto"/>
        <w:bottom w:val="none" w:sz="0" w:space="0" w:color="auto"/>
        <w:right w:val="none" w:sz="0" w:space="0" w:color="auto"/>
      </w:divBdr>
    </w:div>
    <w:div w:id="68772167">
      <w:bodyDiv w:val="1"/>
      <w:marLeft w:val="0"/>
      <w:marRight w:val="0"/>
      <w:marTop w:val="0"/>
      <w:marBottom w:val="0"/>
      <w:divBdr>
        <w:top w:val="none" w:sz="0" w:space="0" w:color="auto"/>
        <w:left w:val="none" w:sz="0" w:space="0" w:color="auto"/>
        <w:bottom w:val="none" w:sz="0" w:space="0" w:color="auto"/>
        <w:right w:val="none" w:sz="0" w:space="0" w:color="auto"/>
      </w:divBdr>
    </w:div>
    <w:div w:id="88279637">
      <w:bodyDiv w:val="1"/>
      <w:marLeft w:val="0"/>
      <w:marRight w:val="0"/>
      <w:marTop w:val="0"/>
      <w:marBottom w:val="0"/>
      <w:divBdr>
        <w:top w:val="none" w:sz="0" w:space="0" w:color="auto"/>
        <w:left w:val="none" w:sz="0" w:space="0" w:color="auto"/>
        <w:bottom w:val="none" w:sz="0" w:space="0" w:color="auto"/>
        <w:right w:val="none" w:sz="0" w:space="0" w:color="auto"/>
      </w:divBdr>
    </w:div>
    <w:div w:id="119613352">
      <w:bodyDiv w:val="1"/>
      <w:marLeft w:val="0"/>
      <w:marRight w:val="0"/>
      <w:marTop w:val="0"/>
      <w:marBottom w:val="0"/>
      <w:divBdr>
        <w:top w:val="none" w:sz="0" w:space="0" w:color="auto"/>
        <w:left w:val="none" w:sz="0" w:space="0" w:color="auto"/>
        <w:bottom w:val="none" w:sz="0" w:space="0" w:color="auto"/>
        <w:right w:val="none" w:sz="0" w:space="0" w:color="auto"/>
      </w:divBdr>
    </w:div>
    <w:div w:id="136150250">
      <w:bodyDiv w:val="1"/>
      <w:marLeft w:val="0"/>
      <w:marRight w:val="0"/>
      <w:marTop w:val="0"/>
      <w:marBottom w:val="0"/>
      <w:divBdr>
        <w:top w:val="none" w:sz="0" w:space="0" w:color="auto"/>
        <w:left w:val="none" w:sz="0" w:space="0" w:color="auto"/>
        <w:bottom w:val="none" w:sz="0" w:space="0" w:color="auto"/>
        <w:right w:val="none" w:sz="0" w:space="0" w:color="auto"/>
      </w:divBdr>
    </w:div>
    <w:div w:id="140923319">
      <w:bodyDiv w:val="1"/>
      <w:marLeft w:val="0"/>
      <w:marRight w:val="0"/>
      <w:marTop w:val="0"/>
      <w:marBottom w:val="0"/>
      <w:divBdr>
        <w:top w:val="none" w:sz="0" w:space="0" w:color="auto"/>
        <w:left w:val="none" w:sz="0" w:space="0" w:color="auto"/>
        <w:bottom w:val="none" w:sz="0" w:space="0" w:color="auto"/>
        <w:right w:val="none" w:sz="0" w:space="0" w:color="auto"/>
      </w:divBdr>
    </w:div>
    <w:div w:id="160238773">
      <w:bodyDiv w:val="1"/>
      <w:marLeft w:val="0"/>
      <w:marRight w:val="0"/>
      <w:marTop w:val="0"/>
      <w:marBottom w:val="0"/>
      <w:divBdr>
        <w:top w:val="none" w:sz="0" w:space="0" w:color="auto"/>
        <w:left w:val="none" w:sz="0" w:space="0" w:color="auto"/>
        <w:bottom w:val="none" w:sz="0" w:space="0" w:color="auto"/>
        <w:right w:val="none" w:sz="0" w:space="0" w:color="auto"/>
      </w:divBdr>
    </w:div>
    <w:div w:id="164437329">
      <w:bodyDiv w:val="1"/>
      <w:marLeft w:val="0"/>
      <w:marRight w:val="0"/>
      <w:marTop w:val="0"/>
      <w:marBottom w:val="0"/>
      <w:divBdr>
        <w:top w:val="none" w:sz="0" w:space="0" w:color="auto"/>
        <w:left w:val="none" w:sz="0" w:space="0" w:color="auto"/>
        <w:bottom w:val="none" w:sz="0" w:space="0" w:color="auto"/>
        <w:right w:val="none" w:sz="0" w:space="0" w:color="auto"/>
      </w:divBdr>
    </w:div>
    <w:div w:id="177239701">
      <w:bodyDiv w:val="1"/>
      <w:marLeft w:val="0"/>
      <w:marRight w:val="0"/>
      <w:marTop w:val="0"/>
      <w:marBottom w:val="0"/>
      <w:divBdr>
        <w:top w:val="none" w:sz="0" w:space="0" w:color="auto"/>
        <w:left w:val="none" w:sz="0" w:space="0" w:color="auto"/>
        <w:bottom w:val="none" w:sz="0" w:space="0" w:color="auto"/>
        <w:right w:val="none" w:sz="0" w:space="0" w:color="auto"/>
      </w:divBdr>
    </w:div>
    <w:div w:id="182016762">
      <w:bodyDiv w:val="1"/>
      <w:marLeft w:val="0"/>
      <w:marRight w:val="0"/>
      <w:marTop w:val="0"/>
      <w:marBottom w:val="0"/>
      <w:divBdr>
        <w:top w:val="none" w:sz="0" w:space="0" w:color="auto"/>
        <w:left w:val="none" w:sz="0" w:space="0" w:color="auto"/>
        <w:bottom w:val="none" w:sz="0" w:space="0" w:color="auto"/>
        <w:right w:val="none" w:sz="0" w:space="0" w:color="auto"/>
      </w:divBdr>
    </w:div>
    <w:div w:id="182132916">
      <w:bodyDiv w:val="1"/>
      <w:marLeft w:val="0"/>
      <w:marRight w:val="0"/>
      <w:marTop w:val="0"/>
      <w:marBottom w:val="0"/>
      <w:divBdr>
        <w:top w:val="none" w:sz="0" w:space="0" w:color="auto"/>
        <w:left w:val="none" w:sz="0" w:space="0" w:color="auto"/>
        <w:bottom w:val="none" w:sz="0" w:space="0" w:color="auto"/>
        <w:right w:val="none" w:sz="0" w:space="0" w:color="auto"/>
      </w:divBdr>
    </w:div>
    <w:div w:id="201287650">
      <w:bodyDiv w:val="1"/>
      <w:marLeft w:val="0"/>
      <w:marRight w:val="0"/>
      <w:marTop w:val="0"/>
      <w:marBottom w:val="0"/>
      <w:divBdr>
        <w:top w:val="none" w:sz="0" w:space="0" w:color="auto"/>
        <w:left w:val="none" w:sz="0" w:space="0" w:color="auto"/>
        <w:bottom w:val="none" w:sz="0" w:space="0" w:color="auto"/>
        <w:right w:val="none" w:sz="0" w:space="0" w:color="auto"/>
      </w:divBdr>
    </w:div>
    <w:div w:id="201595509">
      <w:bodyDiv w:val="1"/>
      <w:marLeft w:val="0"/>
      <w:marRight w:val="0"/>
      <w:marTop w:val="0"/>
      <w:marBottom w:val="0"/>
      <w:divBdr>
        <w:top w:val="none" w:sz="0" w:space="0" w:color="auto"/>
        <w:left w:val="none" w:sz="0" w:space="0" w:color="auto"/>
        <w:bottom w:val="none" w:sz="0" w:space="0" w:color="auto"/>
        <w:right w:val="none" w:sz="0" w:space="0" w:color="auto"/>
      </w:divBdr>
    </w:div>
    <w:div w:id="203712059">
      <w:bodyDiv w:val="1"/>
      <w:marLeft w:val="0"/>
      <w:marRight w:val="0"/>
      <w:marTop w:val="0"/>
      <w:marBottom w:val="0"/>
      <w:divBdr>
        <w:top w:val="none" w:sz="0" w:space="0" w:color="auto"/>
        <w:left w:val="none" w:sz="0" w:space="0" w:color="auto"/>
        <w:bottom w:val="none" w:sz="0" w:space="0" w:color="auto"/>
        <w:right w:val="none" w:sz="0" w:space="0" w:color="auto"/>
      </w:divBdr>
    </w:div>
    <w:div w:id="209265232">
      <w:bodyDiv w:val="1"/>
      <w:marLeft w:val="0"/>
      <w:marRight w:val="0"/>
      <w:marTop w:val="0"/>
      <w:marBottom w:val="0"/>
      <w:divBdr>
        <w:top w:val="none" w:sz="0" w:space="0" w:color="auto"/>
        <w:left w:val="none" w:sz="0" w:space="0" w:color="auto"/>
        <w:bottom w:val="none" w:sz="0" w:space="0" w:color="auto"/>
        <w:right w:val="none" w:sz="0" w:space="0" w:color="auto"/>
      </w:divBdr>
    </w:div>
    <w:div w:id="216823673">
      <w:bodyDiv w:val="1"/>
      <w:marLeft w:val="0"/>
      <w:marRight w:val="0"/>
      <w:marTop w:val="0"/>
      <w:marBottom w:val="0"/>
      <w:divBdr>
        <w:top w:val="none" w:sz="0" w:space="0" w:color="auto"/>
        <w:left w:val="none" w:sz="0" w:space="0" w:color="auto"/>
        <w:bottom w:val="none" w:sz="0" w:space="0" w:color="auto"/>
        <w:right w:val="none" w:sz="0" w:space="0" w:color="auto"/>
      </w:divBdr>
    </w:div>
    <w:div w:id="217471386">
      <w:bodyDiv w:val="1"/>
      <w:marLeft w:val="0"/>
      <w:marRight w:val="0"/>
      <w:marTop w:val="0"/>
      <w:marBottom w:val="0"/>
      <w:divBdr>
        <w:top w:val="none" w:sz="0" w:space="0" w:color="auto"/>
        <w:left w:val="none" w:sz="0" w:space="0" w:color="auto"/>
        <w:bottom w:val="none" w:sz="0" w:space="0" w:color="auto"/>
        <w:right w:val="none" w:sz="0" w:space="0" w:color="auto"/>
      </w:divBdr>
      <w:divsChild>
        <w:div w:id="153034251">
          <w:marLeft w:val="360"/>
          <w:marRight w:val="0"/>
          <w:marTop w:val="200"/>
          <w:marBottom w:val="0"/>
          <w:divBdr>
            <w:top w:val="none" w:sz="0" w:space="0" w:color="auto"/>
            <w:left w:val="none" w:sz="0" w:space="0" w:color="auto"/>
            <w:bottom w:val="none" w:sz="0" w:space="0" w:color="auto"/>
            <w:right w:val="none" w:sz="0" w:space="0" w:color="auto"/>
          </w:divBdr>
        </w:div>
      </w:divsChild>
    </w:div>
    <w:div w:id="260844153">
      <w:bodyDiv w:val="1"/>
      <w:marLeft w:val="0"/>
      <w:marRight w:val="0"/>
      <w:marTop w:val="0"/>
      <w:marBottom w:val="0"/>
      <w:divBdr>
        <w:top w:val="none" w:sz="0" w:space="0" w:color="auto"/>
        <w:left w:val="none" w:sz="0" w:space="0" w:color="auto"/>
        <w:bottom w:val="none" w:sz="0" w:space="0" w:color="auto"/>
        <w:right w:val="none" w:sz="0" w:space="0" w:color="auto"/>
      </w:divBdr>
    </w:div>
    <w:div w:id="301542254">
      <w:bodyDiv w:val="1"/>
      <w:marLeft w:val="0"/>
      <w:marRight w:val="0"/>
      <w:marTop w:val="0"/>
      <w:marBottom w:val="0"/>
      <w:divBdr>
        <w:top w:val="none" w:sz="0" w:space="0" w:color="auto"/>
        <w:left w:val="none" w:sz="0" w:space="0" w:color="auto"/>
        <w:bottom w:val="none" w:sz="0" w:space="0" w:color="auto"/>
        <w:right w:val="none" w:sz="0" w:space="0" w:color="auto"/>
      </w:divBdr>
    </w:div>
    <w:div w:id="316342755">
      <w:bodyDiv w:val="1"/>
      <w:marLeft w:val="0"/>
      <w:marRight w:val="0"/>
      <w:marTop w:val="0"/>
      <w:marBottom w:val="0"/>
      <w:divBdr>
        <w:top w:val="none" w:sz="0" w:space="0" w:color="auto"/>
        <w:left w:val="none" w:sz="0" w:space="0" w:color="auto"/>
        <w:bottom w:val="none" w:sz="0" w:space="0" w:color="auto"/>
        <w:right w:val="none" w:sz="0" w:space="0" w:color="auto"/>
      </w:divBdr>
    </w:div>
    <w:div w:id="324281372">
      <w:bodyDiv w:val="1"/>
      <w:marLeft w:val="0"/>
      <w:marRight w:val="0"/>
      <w:marTop w:val="0"/>
      <w:marBottom w:val="0"/>
      <w:divBdr>
        <w:top w:val="none" w:sz="0" w:space="0" w:color="auto"/>
        <w:left w:val="none" w:sz="0" w:space="0" w:color="auto"/>
        <w:bottom w:val="none" w:sz="0" w:space="0" w:color="auto"/>
        <w:right w:val="none" w:sz="0" w:space="0" w:color="auto"/>
      </w:divBdr>
      <w:divsChild>
        <w:div w:id="390547161">
          <w:marLeft w:val="360"/>
          <w:marRight w:val="0"/>
          <w:marTop w:val="200"/>
          <w:marBottom w:val="0"/>
          <w:divBdr>
            <w:top w:val="none" w:sz="0" w:space="0" w:color="auto"/>
            <w:left w:val="none" w:sz="0" w:space="0" w:color="auto"/>
            <w:bottom w:val="none" w:sz="0" w:space="0" w:color="auto"/>
            <w:right w:val="none" w:sz="0" w:space="0" w:color="auto"/>
          </w:divBdr>
        </w:div>
      </w:divsChild>
    </w:div>
    <w:div w:id="355159779">
      <w:bodyDiv w:val="1"/>
      <w:marLeft w:val="0"/>
      <w:marRight w:val="0"/>
      <w:marTop w:val="0"/>
      <w:marBottom w:val="0"/>
      <w:divBdr>
        <w:top w:val="none" w:sz="0" w:space="0" w:color="auto"/>
        <w:left w:val="none" w:sz="0" w:space="0" w:color="auto"/>
        <w:bottom w:val="none" w:sz="0" w:space="0" w:color="auto"/>
        <w:right w:val="none" w:sz="0" w:space="0" w:color="auto"/>
      </w:divBdr>
    </w:div>
    <w:div w:id="391275775">
      <w:bodyDiv w:val="1"/>
      <w:marLeft w:val="0"/>
      <w:marRight w:val="0"/>
      <w:marTop w:val="0"/>
      <w:marBottom w:val="0"/>
      <w:divBdr>
        <w:top w:val="none" w:sz="0" w:space="0" w:color="auto"/>
        <w:left w:val="none" w:sz="0" w:space="0" w:color="auto"/>
        <w:bottom w:val="none" w:sz="0" w:space="0" w:color="auto"/>
        <w:right w:val="none" w:sz="0" w:space="0" w:color="auto"/>
      </w:divBdr>
    </w:div>
    <w:div w:id="401177314">
      <w:bodyDiv w:val="1"/>
      <w:marLeft w:val="0"/>
      <w:marRight w:val="0"/>
      <w:marTop w:val="0"/>
      <w:marBottom w:val="0"/>
      <w:divBdr>
        <w:top w:val="none" w:sz="0" w:space="0" w:color="auto"/>
        <w:left w:val="none" w:sz="0" w:space="0" w:color="auto"/>
        <w:bottom w:val="none" w:sz="0" w:space="0" w:color="auto"/>
        <w:right w:val="none" w:sz="0" w:space="0" w:color="auto"/>
      </w:divBdr>
    </w:div>
    <w:div w:id="411320512">
      <w:bodyDiv w:val="1"/>
      <w:marLeft w:val="0"/>
      <w:marRight w:val="0"/>
      <w:marTop w:val="0"/>
      <w:marBottom w:val="0"/>
      <w:divBdr>
        <w:top w:val="none" w:sz="0" w:space="0" w:color="auto"/>
        <w:left w:val="none" w:sz="0" w:space="0" w:color="auto"/>
        <w:bottom w:val="none" w:sz="0" w:space="0" w:color="auto"/>
        <w:right w:val="none" w:sz="0" w:space="0" w:color="auto"/>
      </w:divBdr>
    </w:div>
    <w:div w:id="415639843">
      <w:bodyDiv w:val="1"/>
      <w:marLeft w:val="0"/>
      <w:marRight w:val="0"/>
      <w:marTop w:val="0"/>
      <w:marBottom w:val="0"/>
      <w:divBdr>
        <w:top w:val="none" w:sz="0" w:space="0" w:color="auto"/>
        <w:left w:val="none" w:sz="0" w:space="0" w:color="auto"/>
        <w:bottom w:val="none" w:sz="0" w:space="0" w:color="auto"/>
        <w:right w:val="none" w:sz="0" w:space="0" w:color="auto"/>
      </w:divBdr>
    </w:div>
    <w:div w:id="420179848">
      <w:bodyDiv w:val="1"/>
      <w:marLeft w:val="0"/>
      <w:marRight w:val="0"/>
      <w:marTop w:val="0"/>
      <w:marBottom w:val="0"/>
      <w:divBdr>
        <w:top w:val="none" w:sz="0" w:space="0" w:color="auto"/>
        <w:left w:val="none" w:sz="0" w:space="0" w:color="auto"/>
        <w:bottom w:val="none" w:sz="0" w:space="0" w:color="auto"/>
        <w:right w:val="none" w:sz="0" w:space="0" w:color="auto"/>
      </w:divBdr>
    </w:div>
    <w:div w:id="431514792">
      <w:bodyDiv w:val="1"/>
      <w:marLeft w:val="0"/>
      <w:marRight w:val="0"/>
      <w:marTop w:val="0"/>
      <w:marBottom w:val="0"/>
      <w:divBdr>
        <w:top w:val="none" w:sz="0" w:space="0" w:color="auto"/>
        <w:left w:val="none" w:sz="0" w:space="0" w:color="auto"/>
        <w:bottom w:val="none" w:sz="0" w:space="0" w:color="auto"/>
        <w:right w:val="none" w:sz="0" w:space="0" w:color="auto"/>
      </w:divBdr>
    </w:div>
    <w:div w:id="451435625">
      <w:bodyDiv w:val="1"/>
      <w:marLeft w:val="0"/>
      <w:marRight w:val="0"/>
      <w:marTop w:val="0"/>
      <w:marBottom w:val="0"/>
      <w:divBdr>
        <w:top w:val="none" w:sz="0" w:space="0" w:color="auto"/>
        <w:left w:val="none" w:sz="0" w:space="0" w:color="auto"/>
        <w:bottom w:val="none" w:sz="0" w:space="0" w:color="auto"/>
        <w:right w:val="none" w:sz="0" w:space="0" w:color="auto"/>
      </w:divBdr>
    </w:div>
    <w:div w:id="462356996">
      <w:bodyDiv w:val="1"/>
      <w:marLeft w:val="0"/>
      <w:marRight w:val="0"/>
      <w:marTop w:val="0"/>
      <w:marBottom w:val="0"/>
      <w:divBdr>
        <w:top w:val="none" w:sz="0" w:space="0" w:color="auto"/>
        <w:left w:val="none" w:sz="0" w:space="0" w:color="auto"/>
        <w:bottom w:val="none" w:sz="0" w:space="0" w:color="auto"/>
        <w:right w:val="none" w:sz="0" w:space="0" w:color="auto"/>
      </w:divBdr>
    </w:div>
    <w:div w:id="462386854">
      <w:bodyDiv w:val="1"/>
      <w:marLeft w:val="0"/>
      <w:marRight w:val="0"/>
      <w:marTop w:val="0"/>
      <w:marBottom w:val="0"/>
      <w:divBdr>
        <w:top w:val="none" w:sz="0" w:space="0" w:color="auto"/>
        <w:left w:val="none" w:sz="0" w:space="0" w:color="auto"/>
        <w:bottom w:val="none" w:sz="0" w:space="0" w:color="auto"/>
        <w:right w:val="none" w:sz="0" w:space="0" w:color="auto"/>
      </w:divBdr>
    </w:div>
    <w:div w:id="478310450">
      <w:bodyDiv w:val="1"/>
      <w:marLeft w:val="0"/>
      <w:marRight w:val="0"/>
      <w:marTop w:val="0"/>
      <w:marBottom w:val="0"/>
      <w:divBdr>
        <w:top w:val="none" w:sz="0" w:space="0" w:color="auto"/>
        <w:left w:val="none" w:sz="0" w:space="0" w:color="auto"/>
        <w:bottom w:val="none" w:sz="0" w:space="0" w:color="auto"/>
        <w:right w:val="none" w:sz="0" w:space="0" w:color="auto"/>
      </w:divBdr>
    </w:div>
    <w:div w:id="480969172">
      <w:bodyDiv w:val="1"/>
      <w:marLeft w:val="0"/>
      <w:marRight w:val="0"/>
      <w:marTop w:val="0"/>
      <w:marBottom w:val="0"/>
      <w:divBdr>
        <w:top w:val="none" w:sz="0" w:space="0" w:color="auto"/>
        <w:left w:val="none" w:sz="0" w:space="0" w:color="auto"/>
        <w:bottom w:val="none" w:sz="0" w:space="0" w:color="auto"/>
        <w:right w:val="none" w:sz="0" w:space="0" w:color="auto"/>
      </w:divBdr>
    </w:div>
    <w:div w:id="481241437">
      <w:bodyDiv w:val="1"/>
      <w:marLeft w:val="0"/>
      <w:marRight w:val="0"/>
      <w:marTop w:val="0"/>
      <w:marBottom w:val="0"/>
      <w:divBdr>
        <w:top w:val="none" w:sz="0" w:space="0" w:color="auto"/>
        <w:left w:val="none" w:sz="0" w:space="0" w:color="auto"/>
        <w:bottom w:val="none" w:sz="0" w:space="0" w:color="auto"/>
        <w:right w:val="none" w:sz="0" w:space="0" w:color="auto"/>
      </w:divBdr>
    </w:div>
    <w:div w:id="484736803">
      <w:bodyDiv w:val="1"/>
      <w:marLeft w:val="0"/>
      <w:marRight w:val="0"/>
      <w:marTop w:val="0"/>
      <w:marBottom w:val="0"/>
      <w:divBdr>
        <w:top w:val="none" w:sz="0" w:space="0" w:color="auto"/>
        <w:left w:val="none" w:sz="0" w:space="0" w:color="auto"/>
        <w:bottom w:val="none" w:sz="0" w:space="0" w:color="auto"/>
        <w:right w:val="none" w:sz="0" w:space="0" w:color="auto"/>
      </w:divBdr>
    </w:div>
    <w:div w:id="493499708">
      <w:bodyDiv w:val="1"/>
      <w:marLeft w:val="0"/>
      <w:marRight w:val="0"/>
      <w:marTop w:val="0"/>
      <w:marBottom w:val="0"/>
      <w:divBdr>
        <w:top w:val="none" w:sz="0" w:space="0" w:color="auto"/>
        <w:left w:val="none" w:sz="0" w:space="0" w:color="auto"/>
        <w:bottom w:val="none" w:sz="0" w:space="0" w:color="auto"/>
        <w:right w:val="none" w:sz="0" w:space="0" w:color="auto"/>
      </w:divBdr>
    </w:div>
    <w:div w:id="503130701">
      <w:bodyDiv w:val="1"/>
      <w:marLeft w:val="0"/>
      <w:marRight w:val="0"/>
      <w:marTop w:val="0"/>
      <w:marBottom w:val="0"/>
      <w:divBdr>
        <w:top w:val="none" w:sz="0" w:space="0" w:color="auto"/>
        <w:left w:val="none" w:sz="0" w:space="0" w:color="auto"/>
        <w:bottom w:val="none" w:sz="0" w:space="0" w:color="auto"/>
        <w:right w:val="none" w:sz="0" w:space="0" w:color="auto"/>
      </w:divBdr>
    </w:div>
    <w:div w:id="526871910">
      <w:bodyDiv w:val="1"/>
      <w:marLeft w:val="0"/>
      <w:marRight w:val="0"/>
      <w:marTop w:val="0"/>
      <w:marBottom w:val="0"/>
      <w:divBdr>
        <w:top w:val="none" w:sz="0" w:space="0" w:color="auto"/>
        <w:left w:val="none" w:sz="0" w:space="0" w:color="auto"/>
        <w:bottom w:val="none" w:sz="0" w:space="0" w:color="auto"/>
        <w:right w:val="none" w:sz="0" w:space="0" w:color="auto"/>
      </w:divBdr>
    </w:div>
    <w:div w:id="536939316">
      <w:bodyDiv w:val="1"/>
      <w:marLeft w:val="0"/>
      <w:marRight w:val="0"/>
      <w:marTop w:val="0"/>
      <w:marBottom w:val="0"/>
      <w:divBdr>
        <w:top w:val="none" w:sz="0" w:space="0" w:color="auto"/>
        <w:left w:val="none" w:sz="0" w:space="0" w:color="auto"/>
        <w:bottom w:val="none" w:sz="0" w:space="0" w:color="auto"/>
        <w:right w:val="none" w:sz="0" w:space="0" w:color="auto"/>
      </w:divBdr>
    </w:div>
    <w:div w:id="538708500">
      <w:bodyDiv w:val="1"/>
      <w:marLeft w:val="0"/>
      <w:marRight w:val="0"/>
      <w:marTop w:val="0"/>
      <w:marBottom w:val="0"/>
      <w:divBdr>
        <w:top w:val="none" w:sz="0" w:space="0" w:color="auto"/>
        <w:left w:val="none" w:sz="0" w:space="0" w:color="auto"/>
        <w:bottom w:val="none" w:sz="0" w:space="0" w:color="auto"/>
        <w:right w:val="none" w:sz="0" w:space="0" w:color="auto"/>
      </w:divBdr>
    </w:div>
    <w:div w:id="545333872">
      <w:bodyDiv w:val="1"/>
      <w:marLeft w:val="0"/>
      <w:marRight w:val="0"/>
      <w:marTop w:val="0"/>
      <w:marBottom w:val="0"/>
      <w:divBdr>
        <w:top w:val="none" w:sz="0" w:space="0" w:color="auto"/>
        <w:left w:val="none" w:sz="0" w:space="0" w:color="auto"/>
        <w:bottom w:val="none" w:sz="0" w:space="0" w:color="auto"/>
        <w:right w:val="none" w:sz="0" w:space="0" w:color="auto"/>
      </w:divBdr>
    </w:div>
    <w:div w:id="550658258">
      <w:bodyDiv w:val="1"/>
      <w:marLeft w:val="0"/>
      <w:marRight w:val="0"/>
      <w:marTop w:val="0"/>
      <w:marBottom w:val="0"/>
      <w:divBdr>
        <w:top w:val="none" w:sz="0" w:space="0" w:color="auto"/>
        <w:left w:val="none" w:sz="0" w:space="0" w:color="auto"/>
        <w:bottom w:val="none" w:sz="0" w:space="0" w:color="auto"/>
        <w:right w:val="none" w:sz="0" w:space="0" w:color="auto"/>
      </w:divBdr>
    </w:div>
    <w:div w:id="570120727">
      <w:bodyDiv w:val="1"/>
      <w:marLeft w:val="0"/>
      <w:marRight w:val="0"/>
      <w:marTop w:val="0"/>
      <w:marBottom w:val="0"/>
      <w:divBdr>
        <w:top w:val="none" w:sz="0" w:space="0" w:color="auto"/>
        <w:left w:val="none" w:sz="0" w:space="0" w:color="auto"/>
        <w:bottom w:val="none" w:sz="0" w:space="0" w:color="auto"/>
        <w:right w:val="none" w:sz="0" w:space="0" w:color="auto"/>
      </w:divBdr>
    </w:div>
    <w:div w:id="571740598">
      <w:bodyDiv w:val="1"/>
      <w:marLeft w:val="0"/>
      <w:marRight w:val="0"/>
      <w:marTop w:val="0"/>
      <w:marBottom w:val="0"/>
      <w:divBdr>
        <w:top w:val="none" w:sz="0" w:space="0" w:color="auto"/>
        <w:left w:val="none" w:sz="0" w:space="0" w:color="auto"/>
        <w:bottom w:val="none" w:sz="0" w:space="0" w:color="auto"/>
        <w:right w:val="none" w:sz="0" w:space="0" w:color="auto"/>
      </w:divBdr>
    </w:div>
    <w:div w:id="621352400">
      <w:bodyDiv w:val="1"/>
      <w:marLeft w:val="0"/>
      <w:marRight w:val="0"/>
      <w:marTop w:val="0"/>
      <w:marBottom w:val="0"/>
      <w:divBdr>
        <w:top w:val="none" w:sz="0" w:space="0" w:color="auto"/>
        <w:left w:val="none" w:sz="0" w:space="0" w:color="auto"/>
        <w:bottom w:val="none" w:sz="0" w:space="0" w:color="auto"/>
        <w:right w:val="none" w:sz="0" w:space="0" w:color="auto"/>
      </w:divBdr>
    </w:div>
    <w:div w:id="644358037">
      <w:bodyDiv w:val="1"/>
      <w:marLeft w:val="0"/>
      <w:marRight w:val="0"/>
      <w:marTop w:val="0"/>
      <w:marBottom w:val="0"/>
      <w:divBdr>
        <w:top w:val="none" w:sz="0" w:space="0" w:color="auto"/>
        <w:left w:val="none" w:sz="0" w:space="0" w:color="auto"/>
        <w:bottom w:val="none" w:sz="0" w:space="0" w:color="auto"/>
        <w:right w:val="none" w:sz="0" w:space="0" w:color="auto"/>
      </w:divBdr>
    </w:div>
    <w:div w:id="646471568">
      <w:bodyDiv w:val="1"/>
      <w:marLeft w:val="0"/>
      <w:marRight w:val="0"/>
      <w:marTop w:val="0"/>
      <w:marBottom w:val="0"/>
      <w:divBdr>
        <w:top w:val="none" w:sz="0" w:space="0" w:color="auto"/>
        <w:left w:val="none" w:sz="0" w:space="0" w:color="auto"/>
        <w:bottom w:val="none" w:sz="0" w:space="0" w:color="auto"/>
        <w:right w:val="none" w:sz="0" w:space="0" w:color="auto"/>
      </w:divBdr>
    </w:div>
    <w:div w:id="653728982">
      <w:bodyDiv w:val="1"/>
      <w:marLeft w:val="0"/>
      <w:marRight w:val="0"/>
      <w:marTop w:val="0"/>
      <w:marBottom w:val="0"/>
      <w:divBdr>
        <w:top w:val="none" w:sz="0" w:space="0" w:color="auto"/>
        <w:left w:val="none" w:sz="0" w:space="0" w:color="auto"/>
        <w:bottom w:val="none" w:sz="0" w:space="0" w:color="auto"/>
        <w:right w:val="none" w:sz="0" w:space="0" w:color="auto"/>
      </w:divBdr>
    </w:div>
    <w:div w:id="680468447">
      <w:bodyDiv w:val="1"/>
      <w:marLeft w:val="0"/>
      <w:marRight w:val="0"/>
      <w:marTop w:val="0"/>
      <w:marBottom w:val="0"/>
      <w:divBdr>
        <w:top w:val="none" w:sz="0" w:space="0" w:color="auto"/>
        <w:left w:val="none" w:sz="0" w:space="0" w:color="auto"/>
        <w:bottom w:val="none" w:sz="0" w:space="0" w:color="auto"/>
        <w:right w:val="none" w:sz="0" w:space="0" w:color="auto"/>
      </w:divBdr>
    </w:div>
    <w:div w:id="688068207">
      <w:bodyDiv w:val="1"/>
      <w:marLeft w:val="0"/>
      <w:marRight w:val="0"/>
      <w:marTop w:val="0"/>
      <w:marBottom w:val="0"/>
      <w:divBdr>
        <w:top w:val="none" w:sz="0" w:space="0" w:color="auto"/>
        <w:left w:val="none" w:sz="0" w:space="0" w:color="auto"/>
        <w:bottom w:val="none" w:sz="0" w:space="0" w:color="auto"/>
        <w:right w:val="none" w:sz="0" w:space="0" w:color="auto"/>
      </w:divBdr>
    </w:div>
    <w:div w:id="693654983">
      <w:bodyDiv w:val="1"/>
      <w:marLeft w:val="0"/>
      <w:marRight w:val="0"/>
      <w:marTop w:val="0"/>
      <w:marBottom w:val="0"/>
      <w:divBdr>
        <w:top w:val="none" w:sz="0" w:space="0" w:color="auto"/>
        <w:left w:val="none" w:sz="0" w:space="0" w:color="auto"/>
        <w:bottom w:val="none" w:sz="0" w:space="0" w:color="auto"/>
        <w:right w:val="none" w:sz="0" w:space="0" w:color="auto"/>
      </w:divBdr>
    </w:div>
    <w:div w:id="714038022">
      <w:bodyDiv w:val="1"/>
      <w:marLeft w:val="0"/>
      <w:marRight w:val="0"/>
      <w:marTop w:val="0"/>
      <w:marBottom w:val="0"/>
      <w:divBdr>
        <w:top w:val="none" w:sz="0" w:space="0" w:color="auto"/>
        <w:left w:val="none" w:sz="0" w:space="0" w:color="auto"/>
        <w:bottom w:val="none" w:sz="0" w:space="0" w:color="auto"/>
        <w:right w:val="none" w:sz="0" w:space="0" w:color="auto"/>
      </w:divBdr>
      <w:divsChild>
        <w:div w:id="1410082323">
          <w:marLeft w:val="360"/>
          <w:marRight w:val="0"/>
          <w:marTop w:val="200"/>
          <w:marBottom w:val="0"/>
          <w:divBdr>
            <w:top w:val="none" w:sz="0" w:space="0" w:color="auto"/>
            <w:left w:val="none" w:sz="0" w:space="0" w:color="auto"/>
            <w:bottom w:val="none" w:sz="0" w:space="0" w:color="auto"/>
            <w:right w:val="none" w:sz="0" w:space="0" w:color="auto"/>
          </w:divBdr>
        </w:div>
      </w:divsChild>
    </w:div>
    <w:div w:id="727529198">
      <w:bodyDiv w:val="1"/>
      <w:marLeft w:val="0"/>
      <w:marRight w:val="0"/>
      <w:marTop w:val="0"/>
      <w:marBottom w:val="0"/>
      <w:divBdr>
        <w:top w:val="none" w:sz="0" w:space="0" w:color="auto"/>
        <w:left w:val="none" w:sz="0" w:space="0" w:color="auto"/>
        <w:bottom w:val="none" w:sz="0" w:space="0" w:color="auto"/>
        <w:right w:val="none" w:sz="0" w:space="0" w:color="auto"/>
      </w:divBdr>
    </w:div>
    <w:div w:id="733820512">
      <w:bodyDiv w:val="1"/>
      <w:marLeft w:val="0"/>
      <w:marRight w:val="0"/>
      <w:marTop w:val="0"/>
      <w:marBottom w:val="0"/>
      <w:divBdr>
        <w:top w:val="none" w:sz="0" w:space="0" w:color="auto"/>
        <w:left w:val="none" w:sz="0" w:space="0" w:color="auto"/>
        <w:bottom w:val="none" w:sz="0" w:space="0" w:color="auto"/>
        <w:right w:val="none" w:sz="0" w:space="0" w:color="auto"/>
      </w:divBdr>
    </w:div>
    <w:div w:id="761268925">
      <w:bodyDiv w:val="1"/>
      <w:marLeft w:val="0"/>
      <w:marRight w:val="0"/>
      <w:marTop w:val="0"/>
      <w:marBottom w:val="0"/>
      <w:divBdr>
        <w:top w:val="none" w:sz="0" w:space="0" w:color="auto"/>
        <w:left w:val="none" w:sz="0" w:space="0" w:color="auto"/>
        <w:bottom w:val="none" w:sz="0" w:space="0" w:color="auto"/>
        <w:right w:val="none" w:sz="0" w:space="0" w:color="auto"/>
      </w:divBdr>
    </w:div>
    <w:div w:id="766072360">
      <w:bodyDiv w:val="1"/>
      <w:marLeft w:val="0"/>
      <w:marRight w:val="0"/>
      <w:marTop w:val="0"/>
      <w:marBottom w:val="0"/>
      <w:divBdr>
        <w:top w:val="none" w:sz="0" w:space="0" w:color="auto"/>
        <w:left w:val="none" w:sz="0" w:space="0" w:color="auto"/>
        <w:bottom w:val="none" w:sz="0" w:space="0" w:color="auto"/>
        <w:right w:val="none" w:sz="0" w:space="0" w:color="auto"/>
      </w:divBdr>
    </w:div>
    <w:div w:id="769349466">
      <w:bodyDiv w:val="1"/>
      <w:marLeft w:val="0"/>
      <w:marRight w:val="0"/>
      <w:marTop w:val="0"/>
      <w:marBottom w:val="0"/>
      <w:divBdr>
        <w:top w:val="none" w:sz="0" w:space="0" w:color="auto"/>
        <w:left w:val="none" w:sz="0" w:space="0" w:color="auto"/>
        <w:bottom w:val="none" w:sz="0" w:space="0" w:color="auto"/>
        <w:right w:val="none" w:sz="0" w:space="0" w:color="auto"/>
      </w:divBdr>
    </w:div>
    <w:div w:id="811216045">
      <w:bodyDiv w:val="1"/>
      <w:marLeft w:val="0"/>
      <w:marRight w:val="0"/>
      <w:marTop w:val="0"/>
      <w:marBottom w:val="0"/>
      <w:divBdr>
        <w:top w:val="none" w:sz="0" w:space="0" w:color="auto"/>
        <w:left w:val="none" w:sz="0" w:space="0" w:color="auto"/>
        <w:bottom w:val="none" w:sz="0" w:space="0" w:color="auto"/>
        <w:right w:val="none" w:sz="0" w:space="0" w:color="auto"/>
      </w:divBdr>
    </w:div>
    <w:div w:id="815418604">
      <w:bodyDiv w:val="1"/>
      <w:marLeft w:val="0"/>
      <w:marRight w:val="0"/>
      <w:marTop w:val="0"/>
      <w:marBottom w:val="0"/>
      <w:divBdr>
        <w:top w:val="none" w:sz="0" w:space="0" w:color="auto"/>
        <w:left w:val="none" w:sz="0" w:space="0" w:color="auto"/>
        <w:bottom w:val="none" w:sz="0" w:space="0" w:color="auto"/>
        <w:right w:val="none" w:sz="0" w:space="0" w:color="auto"/>
      </w:divBdr>
    </w:div>
    <w:div w:id="861088189">
      <w:bodyDiv w:val="1"/>
      <w:marLeft w:val="0"/>
      <w:marRight w:val="0"/>
      <w:marTop w:val="0"/>
      <w:marBottom w:val="0"/>
      <w:divBdr>
        <w:top w:val="none" w:sz="0" w:space="0" w:color="auto"/>
        <w:left w:val="none" w:sz="0" w:space="0" w:color="auto"/>
        <w:bottom w:val="none" w:sz="0" w:space="0" w:color="auto"/>
        <w:right w:val="none" w:sz="0" w:space="0" w:color="auto"/>
      </w:divBdr>
    </w:div>
    <w:div w:id="877737921">
      <w:bodyDiv w:val="1"/>
      <w:marLeft w:val="0"/>
      <w:marRight w:val="0"/>
      <w:marTop w:val="0"/>
      <w:marBottom w:val="0"/>
      <w:divBdr>
        <w:top w:val="none" w:sz="0" w:space="0" w:color="auto"/>
        <w:left w:val="none" w:sz="0" w:space="0" w:color="auto"/>
        <w:bottom w:val="none" w:sz="0" w:space="0" w:color="auto"/>
        <w:right w:val="none" w:sz="0" w:space="0" w:color="auto"/>
      </w:divBdr>
    </w:div>
    <w:div w:id="917135703">
      <w:bodyDiv w:val="1"/>
      <w:marLeft w:val="0"/>
      <w:marRight w:val="0"/>
      <w:marTop w:val="0"/>
      <w:marBottom w:val="0"/>
      <w:divBdr>
        <w:top w:val="none" w:sz="0" w:space="0" w:color="auto"/>
        <w:left w:val="none" w:sz="0" w:space="0" w:color="auto"/>
        <w:bottom w:val="none" w:sz="0" w:space="0" w:color="auto"/>
        <w:right w:val="none" w:sz="0" w:space="0" w:color="auto"/>
      </w:divBdr>
    </w:div>
    <w:div w:id="924263012">
      <w:bodyDiv w:val="1"/>
      <w:marLeft w:val="0"/>
      <w:marRight w:val="0"/>
      <w:marTop w:val="0"/>
      <w:marBottom w:val="0"/>
      <w:divBdr>
        <w:top w:val="none" w:sz="0" w:space="0" w:color="auto"/>
        <w:left w:val="none" w:sz="0" w:space="0" w:color="auto"/>
        <w:bottom w:val="none" w:sz="0" w:space="0" w:color="auto"/>
        <w:right w:val="none" w:sz="0" w:space="0" w:color="auto"/>
      </w:divBdr>
    </w:div>
    <w:div w:id="934480211">
      <w:bodyDiv w:val="1"/>
      <w:marLeft w:val="0"/>
      <w:marRight w:val="0"/>
      <w:marTop w:val="0"/>
      <w:marBottom w:val="0"/>
      <w:divBdr>
        <w:top w:val="none" w:sz="0" w:space="0" w:color="auto"/>
        <w:left w:val="none" w:sz="0" w:space="0" w:color="auto"/>
        <w:bottom w:val="none" w:sz="0" w:space="0" w:color="auto"/>
        <w:right w:val="none" w:sz="0" w:space="0" w:color="auto"/>
      </w:divBdr>
    </w:div>
    <w:div w:id="976301593">
      <w:bodyDiv w:val="1"/>
      <w:marLeft w:val="0"/>
      <w:marRight w:val="0"/>
      <w:marTop w:val="0"/>
      <w:marBottom w:val="0"/>
      <w:divBdr>
        <w:top w:val="none" w:sz="0" w:space="0" w:color="auto"/>
        <w:left w:val="none" w:sz="0" w:space="0" w:color="auto"/>
        <w:bottom w:val="none" w:sz="0" w:space="0" w:color="auto"/>
        <w:right w:val="none" w:sz="0" w:space="0" w:color="auto"/>
      </w:divBdr>
    </w:div>
    <w:div w:id="978417767">
      <w:bodyDiv w:val="1"/>
      <w:marLeft w:val="0"/>
      <w:marRight w:val="0"/>
      <w:marTop w:val="0"/>
      <w:marBottom w:val="0"/>
      <w:divBdr>
        <w:top w:val="none" w:sz="0" w:space="0" w:color="auto"/>
        <w:left w:val="none" w:sz="0" w:space="0" w:color="auto"/>
        <w:bottom w:val="none" w:sz="0" w:space="0" w:color="auto"/>
        <w:right w:val="none" w:sz="0" w:space="0" w:color="auto"/>
      </w:divBdr>
    </w:div>
    <w:div w:id="998390614">
      <w:bodyDiv w:val="1"/>
      <w:marLeft w:val="0"/>
      <w:marRight w:val="0"/>
      <w:marTop w:val="0"/>
      <w:marBottom w:val="0"/>
      <w:divBdr>
        <w:top w:val="none" w:sz="0" w:space="0" w:color="auto"/>
        <w:left w:val="none" w:sz="0" w:space="0" w:color="auto"/>
        <w:bottom w:val="none" w:sz="0" w:space="0" w:color="auto"/>
        <w:right w:val="none" w:sz="0" w:space="0" w:color="auto"/>
      </w:divBdr>
    </w:div>
    <w:div w:id="998577218">
      <w:bodyDiv w:val="1"/>
      <w:marLeft w:val="0"/>
      <w:marRight w:val="0"/>
      <w:marTop w:val="0"/>
      <w:marBottom w:val="0"/>
      <w:divBdr>
        <w:top w:val="none" w:sz="0" w:space="0" w:color="auto"/>
        <w:left w:val="none" w:sz="0" w:space="0" w:color="auto"/>
        <w:bottom w:val="none" w:sz="0" w:space="0" w:color="auto"/>
        <w:right w:val="none" w:sz="0" w:space="0" w:color="auto"/>
      </w:divBdr>
    </w:div>
    <w:div w:id="1000036398">
      <w:bodyDiv w:val="1"/>
      <w:marLeft w:val="0"/>
      <w:marRight w:val="0"/>
      <w:marTop w:val="0"/>
      <w:marBottom w:val="0"/>
      <w:divBdr>
        <w:top w:val="none" w:sz="0" w:space="0" w:color="auto"/>
        <w:left w:val="none" w:sz="0" w:space="0" w:color="auto"/>
        <w:bottom w:val="none" w:sz="0" w:space="0" w:color="auto"/>
        <w:right w:val="none" w:sz="0" w:space="0" w:color="auto"/>
      </w:divBdr>
    </w:div>
    <w:div w:id="1001615252">
      <w:bodyDiv w:val="1"/>
      <w:marLeft w:val="0"/>
      <w:marRight w:val="0"/>
      <w:marTop w:val="0"/>
      <w:marBottom w:val="0"/>
      <w:divBdr>
        <w:top w:val="none" w:sz="0" w:space="0" w:color="auto"/>
        <w:left w:val="none" w:sz="0" w:space="0" w:color="auto"/>
        <w:bottom w:val="none" w:sz="0" w:space="0" w:color="auto"/>
        <w:right w:val="none" w:sz="0" w:space="0" w:color="auto"/>
      </w:divBdr>
    </w:div>
    <w:div w:id="1008561123">
      <w:bodyDiv w:val="1"/>
      <w:marLeft w:val="0"/>
      <w:marRight w:val="0"/>
      <w:marTop w:val="0"/>
      <w:marBottom w:val="0"/>
      <w:divBdr>
        <w:top w:val="none" w:sz="0" w:space="0" w:color="auto"/>
        <w:left w:val="none" w:sz="0" w:space="0" w:color="auto"/>
        <w:bottom w:val="none" w:sz="0" w:space="0" w:color="auto"/>
        <w:right w:val="none" w:sz="0" w:space="0" w:color="auto"/>
      </w:divBdr>
    </w:div>
    <w:div w:id="1028599870">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41856586">
      <w:bodyDiv w:val="1"/>
      <w:marLeft w:val="0"/>
      <w:marRight w:val="0"/>
      <w:marTop w:val="0"/>
      <w:marBottom w:val="0"/>
      <w:divBdr>
        <w:top w:val="none" w:sz="0" w:space="0" w:color="auto"/>
        <w:left w:val="none" w:sz="0" w:space="0" w:color="auto"/>
        <w:bottom w:val="none" w:sz="0" w:space="0" w:color="auto"/>
        <w:right w:val="none" w:sz="0" w:space="0" w:color="auto"/>
      </w:divBdr>
    </w:div>
    <w:div w:id="1061560983">
      <w:bodyDiv w:val="1"/>
      <w:marLeft w:val="0"/>
      <w:marRight w:val="0"/>
      <w:marTop w:val="0"/>
      <w:marBottom w:val="0"/>
      <w:divBdr>
        <w:top w:val="none" w:sz="0" w:space="0" w:color="auto"/>
        <w:left w:val="none" w:sz="0" w:space="0" w:color="auto"/>
        <w:bottom w:val="none" w:sz="0" w:space="0" w:color="auto"/>
        <w:right w:val="none" w:sz="0" w:space="0" w:color="auto"/>
      </w:divBdr>
    </w:div>
    <w:div w:id="1079523019">
      <w:bodyDiv w:val="1"/>
      <w:marLeft w:val="0"/>
      <w:marRight w:val="0"/>
      <w:marTop w:val="0"/>
      <w:marBottom w:val="0"/>
      <w:divBdr>
        <w:top w:val="none" w:sz="0" w:space="0" w:color="auto"/>
        <w:left w:val="none" w:sz="0" w:space="0" w:color="auto"/>
        <w:bottom w:val="none" w:sz="0" w:space="0" w:color="auto"/>
        <w:right w:val="none" w:sz="0" w:space="0" w:color="auto"/>
      </w:divBdr>
    </w:div>
    <w:div w:id="1080980345">
      <w:bodyDiv w:val="1"/>
      <w:marLeft w:val="0"/>
      <w:marRight w:val="0"/>
      <w:marTop w:val="0"/>
      <w:marBottom w:val="0"/>
      <w:divBdr>
        <w:top w:val="none" w:sz="0" w:space="0" w:color="auto"/>
        <w:left w:val="none" w:sz="0" w:space="0" w:color="auto"/>
        <w:bottom w:val="none" w:sz="0" w:space="0" w:color="auto"/>
        <w:right w:val="none" w:sz="0" w:space="0" w:color="auto"/>
      </w:divBdr>
      <w:divsChild>
        <w:div w:id="832717734">
          <w:marLeft w:val="0"/>
          <w:marRight w:val="0"/>
          <w:marTop w:val="0"/>
          <w:marBottom w:val="0"/>
          <w:divBdr>
            <w:top w:val="none" w:sz="0" w:space="0" w:color="auto"/>
            <w:left w:val="none" w:sz="0" w:space="0" w:color="auto"/>
            <w:bottom w:val="none" w:sz="0" w:space="0" w:color="auto"/>
            <w:right w:val="none" w:sz="0" w:space="0" w:color="auto"/>
          </w:divBdr>
        </w:div>
        <w:div w:id="1180200662">
          <w:marLeft w:val="0"/>
          <w:marRight w:val="0"/>
          <w:marTop w:val="0"/>
          <w:marBottom w:val="0"/>
          <w:divBdr>
            <w:top w:val="none" w:sz="0" w:space="0" w:color="auto"/>
            <w:left w:val="none" w:sz="0" w:space="0" w:color="auto"/>
            <w:bottom w:val="none" w:sz="0" w:space="0" w:color="auto"/>
            <w:right w:val="none" w:sz="0" w:space="0" w:color="auto"/>
          </w:divBdr>
        </w:div>
        <w:div w:id="1675182009">
          <w:marLeft w:val="0"/>
          <w:marRight w:val="0"/>
          <w:marTop w:val="0"/>
          <w:marBottom w:val="0"/>
          <w:divBdr>
            <w:top w:val="none" w:sz="0" w:space="0" w:color="auto"/>
            <w:left w:val="none" w:sz="0" w:space="0" w:color="auto"/>
            <w:bottom w:val="none" w:sz="0" w:space="0" w:color="auto"/>
            <w:right w:val="none" w:sz="0" w:space="0" w:color="auto"/>
          </w:divBdr>
        </w:div>
      </w:divsChild>
    </w:div>
    <w:div w:id="1100026880">
      <w:bodyDiv w:val="1"/>
      <w:marLeft w:val="0"/>
      <w:marRight w:val="0"/>
      <w:marTop w:val="0"/>
      <w:marBottom w:val="0"/>
      <w:divBdr>
        <w:top w:val="none" w:sz="0" w:space="0" w:color="auto"/>
        <w:left w:val="none" w:sz="0" w:space="0" w:color="auto"/>
        <w:bottom w:val="none" w:sz="0" w:space="0" w:color="auto"/>
        <w:right w:val="none" w:sz="0" w:space="0" w:color="auto"/>
      </w:divBdr>
    </w:div>
    <w:div w:id="1106657038">
      <w:bodyDiv w:val="1"/>
      <w:marLeft w:val="0"/>
      <w:marRight w:val="0"/>
      <w:marTop w:val="0"/>
      <w:marBottom w:val="0"/>
      <w:divBdr>
        <w:top w:val="none" w:sz="0" w:space="0" w:color="auto"/>
        <w:left w:val="none" w:sz="0" w:space="0" w:color="auto"/>
        <w:bottom w:val="none" w:sz="0" w:space="0" w:color="auto"/>
        <w:right w:val="none" w:sz="0" w:space="0" w:color="auto"/>
      </w:divBdr>
    </w:div>
    <w:div w:id="1116099072">
      <w:bodyDiv w:val="1"/>
      <w:marLeft w:val="0"/>
      <w:marRight w:val="0"/>
      <w:marTop w:val="0"/>
      <w:marBottom w:val="0"/>
      <w:divBdr>
        <w:top w:val="none" w:sz="0" w:space="0" w:color="auto"/>
        <w:left w:val="none" w:sz="0" w:space="0" w:color="auto"/>
        <w:bottom w:val="none" w:sz="0" w:space="0" w:color="auto"/>
        <w:right w:val="none" w:sz="0" w:space="0" w:color="auto"/>
      </w:divBdr>
    </w:div>
    <w:div w:id="1149596478">
      <w:bodyDiv w:val="1"/>
      <w:marLeft w:val="0"/>
      <w:marRight w:val="0"/>
      <w:marTop w:val="0"/>
      <w:marBottom w:val="0"/>
      <w:divBdr>
        <w:top w:val="none" w:sz="0" w:space="0" w:color="auto"/>
        <w:left w:val="none" w:sz="0" w:space="0" w:color="auto"/>
        <w:bottom w:val="none" w:sz="0" w:space="0" w:color="auto"/>
        <w:right w:val="none" w:sz="0" w:space="0" w:color="auto"/>
      </w:divBdr>
    </w:div>
    <w:div w:id="1156607971">
      <w:bodyDiv w:val="1"/>
      <w:marLeft w:val="0"/>
      <w:marRight w:val="0"/>
      <w:marTop w:val="0"/>
      <w:marBottom w:val="0"/>
      <w:divBdr>
        <w:top w:val="none" w:sz="0" w:space="0" w:color="auto"/>
        <w:left w:val="none" w:sz="0" w:space="0" w:color="auto"/>
        <w:bottom w:val="none" w:sz="0" w:space="0" w:color="auto"/>
        <w:right w:val="none" w:sz="0" w:space="0" w:color="auto"/>
      </w:divBdr>
    </w:div>
    <w:div w:id="1187595391">
      <w:bodyDiv w:val="1"/>
      <w:marLeft w:val="0"/>
      <w:marRight w:val="0"/>
      <w:marTop w:val="0"/>
      <w:marBottom w:val="0"/>
      <w:divBdr>
        <w:top w:val="none" w:sz="0" w:space="0" w:color="auto"/>
        <w:left w:val="none" w:sz="0" w:space="0" w:color="auto"/>
        <w:bottom w:val="none" w:sz="0" w:space="0" w:color="auto"/>
        <w:right w:val="none" w:sz="0" w:space="0" w:color="auto"/>
      </w:divBdr>
    </w:div>
    <w:div w:id="1218779751">
      <w:bodyDiv w:val="1"/>
      <w:marLeft w:val="0"/>
      <w:marRight w:val="0"/>
      <w:marTop w:val="0"/>
      <w:marBottom w:val="0"/>
      <w:divBdr>
        <w:top w:val="none" w:sz="0" w:space="0" w:color="auto"/>
        <w:left w:val="none" w:sz="0" w:space="0" w:color="auto"/>
        <w:bottom w:val="none" w:sz="0" w:space="0" w:color="auto"/>
        <w:right w:val="none" w:sz="0" w:space="0" w:color="auto"/>
      </w:divBdr>
    </w:div>
    <w:div w:id="1234898060">
      <w:bodyDiv w:val="1"/>
      <w:marLeft w:val="0"/>
      <w:marRight w:val="0"/>
      <w:marTop w:val="0"/>
      <w:marBottom w:val="0"/>
      <w:divBdr>
        <w:top w:val="none" w:sz="0" w:space="0" w:color="auto"/>
        <w:left w:val="none" w:sz="0" w:space="0" w:color="auto"/>
        <w:bottom w:val="none" w:sz="0" w:space="0" w:color="auto"/>
        <w:right w:val="none" w:sz="0" w:space="0" w:color="auto"/>
      </w:divBdr>
    </w:div>
    <w:div w:id="1243875404">
      <w:bodyDiv w:val="1"/>
      <w:marLeft w:val="0"/>
      <w:marRight w:val="0"/>
      <w:marTop w:val="0"/>
      <w:marBottom w:val="0"/>
      <w:divBdr>
        <w:top w:val="none" w:sz="0" w:space="0" w:color="auto"/>
        <w:left w:val="none" w:sz="0" w:space="0" w:color="auto"/>
        <w:bottom w:val="none" w:sz="0" w:space="0" w:color="auto"/>
        <w:right w:val="none" w:sz="0" w:space="0" w:color="auto"/>
      </w:divBdr>
    </w:div>
    <w:div w:id="1251622265">
      <w:bodyDiv w:val="1"/>
      <w:marLeft w:val="0"/>
      <w:marRight w:val="0"/>
      <w:marTop w:val="0"/>
      <w:marBottom w:val="0"/>
      <w:divBdr>
        <w:top w:val="none" w:sz="0" w:space="0" w:color="auto"/>
        <w:left w:val="none" w:sz="0" w:space="0" w:color="auto"/>
        <w:bottom w:val="none" w:sz="0" w:space="0" w:color="auto"/>
        <w:right w:val="none" w:sz="0" w:space="0" w:color="auto"/>
      </w:divBdr>
    </w:div>
    <w:div w:id="1272514278">
      <w:bodyDiv w:val="1"/>
      <w:marLeft w:val="0"/>
      <w:marRight w:val="0"/>
      <w:marTop w:val="0"/>
      <w:marBottom w:val="0"/>
      <w:divBdr>
        <w:top w:val="none" w:sz="0" w:space="0" w:color="auto"/>
        <w:left w:val="none" w:sz="0" w:space="0" w:color="auto"/>
        <w:bottom w:val="none" w:sz="0" w:space="0" w:color="auto"/>
        <w:right w:val="none" w:sz="0" w:space="0" w:color="auto"/>
      </w:divBdr>
    </w:div>
    <w:div w:id="1281254764">
      <w:bodyDiv w:val="1"/>
      <w:marLeft w:val="0"/>
      <w:marRight w:val="0"/>
      <w:marTop w:val="0"/>
      <w:marBottom w:val="0"/>
      <w:divBdr>
        <w:top w:val="none" w:sz="0" w:space="0" w:color="auto"/>
        <w:left w:val="none" w:sz="0" w:space="0" w:color="auto"/>
        <w:bottom w:val="none" w:sz="0" w:space="0" w:color="auto"/>
        <w:right w:val="none" w:sz="0" w:space="0" w:color="auto"/>
      </w:divBdr>
    </w:div>
    <w:div w:id="1299534129">
      <w:bodyDiv w:val="1"/>
      <w:marLeft w:val="0"/>
      <w:marRight w:val="0"/>
      <w:marTop w:val="0"/>
      <w:marBottom w:val="0"/>
      <w:divBdr>
        <w:top w:val="none" w:sz="0" w:space="0" w:color="auto"/>
        <w:left w:val="none" w:sz="0" w:space="0" w:color="auto"/>
        <w:bottom w:val="none" w:sz="0" w:space="0" w:color="auto"/>
        <w:right w:val="none" w:sz="0" w:space="0" w:color="auto"/>
      </w:divBdr>
    </w:div>
    <w:div w:id="1320620012">
      <w:bodyDiv w:val="1"/>
      <w:marLeft w:val="0"/>
      <w:marRight w:val="0"/>
      <w:marTop w:val="0"/>
      <w:marBottom w:val="0"/>
      <w:divBdr>
        <w:top w:val="none" w:sz="0" w:space="0" w:color="auto"/>
        <w:left w:val="none" w:sz="0" w:space="0" w:color="auto"/>
        <w:bottom w:val="none" w:sz="0" w:space="0" w:color="auto"/>
        <w:right w:val="none" w:sz="0" w:space="0" w:color="auto"/>
      </w:divBdr>
    </w:div>
    <w:div w:id="1327898643">
      <w:bodyDiv w:val="1"/>
      <w:marLeft w:val="0"/>
      <w:marRight w:val="0"/>
      <w:marTop w:val="0"/>
      <w:marBottom w:val="0"/>
      <w:divBdr>
        <w:top w:val="none" w:sz="0" w:space="0" w:color="auto"/>
        <w:left w:val="none" w:sz="0" w:space="0" w:color="auto"/>
        <w:bottom w:val="none" w:sz="0" w:space="0" w:color="auto"/>
        <w:right w:val="none" w:sz="0" w:space="0" w:color="auto"/>
      </w:divBdr>
    </w:div>
    <w:div w:id="1329480635">
      <w:bodyDiv w:val="1"/>
      <w:marLeft w:val="0"/>
      <w:marRight w:val="0"/>
      <w:marTop w:val="0"/>
      <w:marBottom w:val="0"/>
      <w:divBdr>
        <w:top w:val="none" w:sz="0" w:space="0" w:color="auto"/>
        <w:left w:val="none" w:sz="0" w:space="0" w:color="auto"/>
        <w:bottom w:val="none" w:sz="0" w:space="0" w:color="auto"/>
        <w:right w:val="none" w:sz="0" w:space="0" w:color="auto"/>
      </w:divBdr>
    </w:div>
    <w:div w:id="1334263866">
      <w:bodyDiv w:val="1"/>
      <w:marLeft w:val="0"/>
      <w:marRight w:val="0"/>
      <w:marTop w:val="0"/>
      <w:marBottom w:val="0"/>
      <w:divBdr>
        <w:top w:val="none" w:sz="0" w:space="0" w:color="auto"/>
        <w:left w:val="none" w:sz="0" w:space="0" w:color="auto"/>
        <w:bottom w:val="none" w:sz="0" w:space="0" w:color="auto"/>
        <w:right w:val="none" w:sz="0" w:space="0" w:color="auto"/>
      </w:divBdr>
    </w:div>
    <w:div w:id="1343437486">
      <w:bodyDiv w:val="1"/>
      <w:marLeft w:val="0"/>
      <w:marRight w:val="0"/>
      <w:marTop w:val="0"/>
      <w:marBottom w:val="0"/>
      <w:divBdr>
        <w:top w:val="none" w:sz="0" w:space="0" w:color="auto"/>
        <w:left w:val="none" w:sz="0" w:space="0" w:color="auto"/>
        <w:bottom w:val="none" w:sz="0" w:space="0" w:color="auto"/>
        <w:right w:val="none" w:sz="0" w:space="0" w:color="auto"/>
      </w:divBdr>
    </w:div>
    <w:div w:id="1344279084">
      <w:bodyDiv w:val="1"/>
      <w:marLeft w:val="0"/>
      <w:marRight w:val="0"/>
      <w:marTop w:val="0"/>
      <w:marBottom w:val="0"/>
      <w:divBdr>
        <w:top w:val="none" w:sz="0" w:space="0" w:color="auto"/>
        <w:left w:val="none" w:sz="0" w:space="0" w:color="auto"/>
        <w:bottom w:val="none" w:sz="0" w:space="0" w:color="auto"/>
        <w:right w:val="none" w:sz="0" w:space="0" w:color="auto"/>
      </w:divBdr>
    </w:div>
    <w:div w:id="1364094781">
      <w:bodyDiv w:val="1"/>
      <w:marLeft w:val="0"/>
      <w:marRight w:val="0"/>
      <w:marTop w:val="0"/>
      <w:marBottom w:val="0"/>
      <w:divBdr>
        <w:top w:val="none" w:sz="0" w:space="0" w:color="auto"/>
        <w:left w:val="none" w:sz="0" w:space="0" w:color="auto"/>
        <w:bottom w:val="none" w:sz="0" w:space="0" w:color="auto"/>
        <w:right w:val="none" w:sz="0" w:space="0" w:color="auto"/>
      </w:divBdr>
    </w:div>
    <w:div w:id="1404912469">
      <w:bodyDiv w:val="1"/>
      <w:marLeft w:val="0"/>
      <w:marRight w:val="0"/>
      <w:marTop w:val="0"/>
      <w:marBottom w:val="0"/>
      <w:divBdr>
        <w:top w:val="none" w:sz="0" w:space="0" w:color="auto"/>
        <w:left w:val="none" w:sz="0" w:space="0" w:color="auto"/>
        <w:bottom w:val="none" w:sz="0" w:space="0" w:color="auto"/>
        <w:right w:val="none" w:sz="0" w:space="0" w:color="auto"/>
      </w:divBdr>
    </w:div>
    <w:div w:id="1434979148">
      <w:bodyDiv w:val="1"/>
      <w:marLeft w:val="0"/>
      <w:marRight w:val="0"/>
      <w:marTop w:val="0"/>
      <w:marBottom w:val="0"/>
      <w:divBdr>
        <w:top w:val="none" w:sz="0" w:space="0" w:color="auto"/>
        <w:left w:val="none" w:sz="0" w:space="0" w:color="auto"/>
        <w:bottom w:val="none" w:sz="0" w:space="0" w:color="auto"/>
        <w:right w:val="none" w:sz="0" w:space="0" w:color="auto"/>
      </w:divBdr>
    </w:div>
    <w:div w:id="1438794403">
      <w:bodyDiv w:val="1"/>
      <w:marLeft w:val="0"/>
      <w:marRight w:val="0"/>
      <w:marTop w:val="0"/>
      <w:marBottom w:val="0"/>
      <w:divBdr>
        <w:top w:val="none" w:sz="0" w:space="0" w:color="auto"/>
        <w:left w:val="none" w:sz="0" w:space="0" w:color="auto"/>
        <w:bottom w:val="none" w:sz="0" w:space="0" w:color="auto"/>
        <w:right w:val="none" w:sz="0" w:space="0" w:color="auto"/>
      </w:divBdr>
    </w:div>
    <w:div w:id="1450392169">
      <w:bodyDiv w:val="1"/>
      <w:marLeft w:val="0"/>
      <w:marRight w:val="0"/>
      <w:marTop w:val="0"/>
      <w:marBottom w:val="0"/>
      <w:divBdr>
        <w:top w:val="none" w:sz="0" w:space="0" w:color="auto"/>
        <w:left w:val="none" w:sz="0" w:space="0" w:color="auto"/>
        <w:bottom w:val="none" w:sz="0" w:space="0" w:color="auto"/>
        <w:right w:val="none" w:sz="0" w:space="0" w:color="auto"/>
      </w:divBdr>
    </w:div>
    <w:div w:id="1480028514">
      <w:bodyDiv w:val="1"/>
      <w:marLeft w:val="0"/>
      <w:marRight w:val="0"/>
      <w:marTop w:val="0"/>
      <w:marBottom w:val="0"/>
      <w:divBdr>
        <w:top w:val="none" w:sz="0" w:space="0" w:color="auto"/>
        <w:left w:val="none" w:sz="0" w:space="0" w:color="auto"/>
        <w:bottom w:val="none" w:sz="0" w:space="0" w:color="auto"/>
        <w:right w:val="none" w:sz="0" w:space="0" w:color="auto"/>
      </w:divBdr>
    </w:div>
    <w:div w:id="1485505289">
      <w:bodyDiv w:val="1"/>
      <w:marLeft w:val="0"/>
      <w:marRight w:val="0"/>
      <w:marTop w:val="0"/>
      <w:marBottom w:val="0"/>
      <w:divBdr>
        <w:top w:val="none" w:sz="0" w:space="0" w:color="auto"/>
        <w:left w:val="none" w:sz="0" w:space="0" w:color="auto"/>
        <w:bottom w:val="none" w:sz="0" w:space="0" w:color="auto"/>
        <w:right w:val="none" w:sz="0" w:space="0" w:color="auto"/>
      </w:divBdr>
    </w:div>
    <w:div w:id="1494177133">
      <w:bodyDiv w:val="1"/>
      <w:marLeft w:val="0"/>
      <w:marRight w:val="0"/>
      <w:marTop w:val="0"/>
      <w:marBottom w:val="0"/>
      <w:divBdr>
        <w:top w:val="none" w:sz="0" w:space="0" w:color="auto"/>
        <w:left w:val="none" w:sz="0" w:space="0" w:color="auto"/>
        <w:bottom w:val="none" w:sz="0" w:space="0" w:color="auto"/>
        <w:right w:val="none" w:sz="0" w:space="0" w:color="auto"/>
      </w:divBdr>
    </w:div>
    <w:div w:id="1501851154">
      <w:bodyDiv w:val="1"/>
      <w:marLeft w:val="0"/>
      <w:marRight w:val="0"/>
      <w:marTop w:val="0"/>
      <w:marBottom w:val="0"/>
      <w:divBdr>
        <w:top w:val="none" w:sz="0" w:space="0" w:color="auto"/>
        <w:left w:val="none" w:sz="0" w:space="0" w:color="auto"/>
        <w:bottom w:val="none" w:sz="0" w:space="0" w:color="auto"/>
        <w:right w:val="none" w:sz="0" w:space="0" w:color="auto"/>
      </w:divBdr>
    </w:div>
    <w:div w:id="1512985503">
      <w:bodyDiv w:val="1"/>
      <w:marLeft w:val="0"/>
      <w:marRight w:val="0"/>
      <w:marTop w:val="0"/>
      <w:marBottom w:val="0"/>
      <w:divBdr>
        <w:top w:val="none" w:sz="0" w:space="0" w:color="auto"/>
        <w:left w:val="none" w:sz="0" w:space="0" w:color="auto"/>
        <w:bottom w:val="none" w:sz="0" w:space="0" w:color="auto"/>
        <w:right w:val="none" w:sz="0" w:space="0" w:color="auto"/>
      </w:divBdr>
    </w:div>
    <w:div w:id="1519352071">
      <w:bodyDiv w:val="1"/>
      <w:marLeft w:val="0"/>
      <w:marRight w:val="0"/>
      <w:marTop w:val="0"/>
      <w:marBottom w:val="0"/>
      <w:divBdr>
        <w:top w:val="none" w:sz="0" w:space="0" w:color="auto"/>
        <w:left w:val="none" w:sz="0" w:space="0" w:color="auto"/>
        <w:bottom w:val="none" w:sz="0" w:space="0" w:color="auto"/>
        <w:right w:val="none" w:sz="0" w:space="0" w:color="auto"/>
      </w:divBdr>
    </w:div>
    <w:div w:id="1521165361">
      <w:bodyDiv w:val="1"/>
      <w:marLeft w:val="0"/>
      <w:marRight w:val="0"/>
      <w:marTop w:val="0"/>
      <w:marBottom w:val="0"/>
      <w:divBdr>
        <w:top w:val="none" w:sz="0" w:space="0" w:color="auto"/>
        <w:left w:val="none" w:sz="0" w:space="0" w:color="auto"/>
        <w:bottom w:val="none" w:sz="0" w:space="0" w:color="auto"/>
        <w:right w:val="none" w:sz="0" w:space="0" w:color="auto"/>
      </w:divBdr>
    </w:div>
    <w:div w:id="1528837200">
      <w:bodyDiv w:val="1"/>
      <w:marLeft w:val="0"/>
      <w:marRight w:val="0"/>
      <w:marTop w:val="0"/>
      <w:marBottom w:val="0"/>
      <w:divBdr>
        <w:top w:val="none" w:sz="0" w:space="0" w:color="auto"/>
        <w:left w:val="none" w:sz="0" w:space="0" w:color="auto"/>
        <w:bottom w:val="none" w:sz="0" w:space="0" w:color="auto"/>
        <w:right w:val="none" w:sz="0" w:space="0" w:color="auto"/>
      </w:divBdr>
    </w:div>
    <w:div w:id="1552690569">
      <w:bodyDiv w:val="1"/>
      <w:marLeft w:val="0"/>
      <w:marRight w:val="0"/>
      <w:marTop w:val="0"/>
      <w:marBottom w:val="0"/>
      <w:divBdr>
        <w:top w:val="none" w:sz="0" w:space="0" w:color="auto"/>
        <w:left w:val="none" w:sz="0" w:space="0" w:color="auto"/>
        <w:bottom w:val="none" w:sz="0" w:space="0" w:color="auto"/>
        <w:right w:val="none" w:sz="0" w:space="0" w:color="auto"/>
      </w:divBdr>
    </w:div>
    <w:div w:id="1560439952">
      <w:bodyDiv w:val="1"/>
      <w:marLeft w:val="0"/>
      <w:marRight w:val="0"/>
      <w:marTop w:val="0"/>
      <w:marBottom w:val="0"/>
      <w:divBdr>
        <w:top w:val="none" w:sz="0" w:space="0" w:color="auto"/>
        <w:left w:val="none" w:sz="0" w:space="0" w:color="auto"/>
        <w:bottom w:val="none" w:sz="0" w:space="0" w:color="auto"/>
        <w:right w:val="none" w:sz="0" w:space="0" w:color="auto"/>
      </w:divBdr>
    </w:div>
    <w:div w:id="1562592820">
      <w:bodyDiv w:val="1"/>
      <w:marLeft w:val="0"/>
      <w:marRight w:val="0"/>
      <w:marTop w:val="0"/>
      <w:marBottom w:val="0"/>
      <w:divBdr>
        <w:top w:val="none" w:sz="0" w:space="0" w:color="auto"/>
        <w:left w:val="none" w:sz="0" w:space="0" w:color="auto"/>
        <w:bottom w:val="none" w:sz="0" w:space="0" w:color="auto"/>
        <w:right w:val="none" w:sz="0" w:space="0" w:color="auto"/>
      </w:divBdr>
    </w:div>
    <w:div w:id="1606494618">
      <w:bodyDiv w:val="1"/>
      <w:marLeft w:val="0"/>
      <w:marRight w:val="0"/>
      <w:marTop w:val="0"/>
      <w:marBottom w:val="0"/>
      <w:divBdr>
        <w:top w:val="none" w:sz="0" w:space="0" w:color="auto"/>
        <w:left w:val="none" w:sz="0" w:space="0" w:color="auto"/>
        <w:bottom w:val="none" w:sz="0" w:space="0" w:color="auto"/>
        <w:right w:val="none" w:sz="0" w:space="0" w:color="auto"/>
      </w:divBdr>
    </w:div>
    <w:div w:id="1611012102">
      <w:bodyDiv w:val="1"/>
      <w:marLeft w:val="0"/>
      <w:marRight w:val="0"/>
      <w:marTop w:val="0"/>
      <w:marBottom w:val="0"/>
      <w:divBdr>
        <w:top w:val="none" w:sz="0" w:space="0" w:color="auto"/>
        <w:left w:val="none" w:sz="0" w:space="0" w:color="auto"/>
        <w:bottom w:val="none" w:sz="0" w:space="0" w:color="auto"/>
        <w:right w:val="none" w:sz="0" w:space="0" w:color="auto"/>
      </w:divBdr>
    </w:div>
    <w:div w:id="1615668844">
      <w:bodyDiv w:val="1"/>
      <w:marLeft w:val="0"/>
      <w:marRight w:val="0"/>
      <w:marTop w:val="0"/>
      <w:marBottom w:val="0"/>
      <w:divBdr>
        <w:top w:val="none" w:sz="0" w:space="0" w:color="auto"/>
        <w:left w:val="none" w:sz="0" w:space="0" w:color="auto"/>
        <w:bottom w:val="none" w:sz="0" w:space="0" w:color="auto"/>
        <w:right w:val="none" w:sz="0" w:space="0" w:color="auto"/>
      </w:divBdr>
    </w:div>
    <w:div w:id="1622614366">
      <w:bodyDiv w:val="1"/>
      <w:marLeft w:val="0"/>
      <w:marRight w:val="0"/>
      <w:marTop w:val="0"/>
      <w:marBottom w:val="0"/>
      <w:divBdr>
        <w:top w:val="none" w:sz="0" w:space="0" w:color="auto"/>
        <w:left w:val="none" w:sz="0" w:space="0" w:color="auto"/>
        <w:bottom w:val="none" w:sz="0" w:space="0" w:color="auto"/>
        <w:right w:val="none" w:sz="0" w:space="0" w:color="auto"/>
      </w:divBdr>
    </w:div>
    <w:div w:id="1624070577">
      <w:bodyDiv w:val="1"/>
      <w:marLeft w:val="0"/>
      <w:marRight w:val="0"/>
      <w:marTop w:val="0"/>
      <w:marBottom w:val="0"/>
      <w:divBdr>
        <w:top w:val="none" w:sz="0" w:space="0" w:color="auto"/>
        <w:left w:val="none" w:sz="0" w:space="0" w:color="auto"/>
        <w:bottom w:val="none" w:sz="0" w:space="0" w:color="auto"/>
        <w:right w:val="none" w:sz="0" w:space="0" w:color="auto"/>
      </w:divBdr>
    </w:div>
    <w:div w:id="1642147616">
      <w:bodyDiv w:val="1"/>
      <w:marLeft w:val="0"/>
      <w:marRight w:val="0"/>
      <w:marTop w:val="0"/>
      <w:marBottom w:val="0"/>
      <w:divBdr>
        <w:top w:val="none" w:sz="0" w:space="0" w:color="auto"/>
        <w:left w:val="none" w:sz="0" w:space="0" w:color="auto"/>
        <w:bottom w:val="none" w:sz="0" w:space="0" w:color="auto"/>
        <w:right w:val="none" w:sz="0" w:space="0" w:color="auto"/>
      </w:divBdr>
    </w:div>
    <w:div w:id="1653833405">
      <w:bodyDiv w:val="1"/>
      <w:marLeft w:val="0"/>
      <w:marRight w:val="0"/>
      <w:marTop w:val="0"/>
      <w:marBottom w:val="0"/>
      <w:divBdr>
        <w:top w:val="none" w:sz="0" w:space="0" w:color="auto"/>
        <w:left w:val="none" w:sz="0" w:space="0" w:color="auto"/>
        <w:bottom w:val="none" w:sz="0" w:space="0" w:color="auto"/>
        <w:right w:val="none" w:sz="0" w:space="0" w:color="auto"/>
      </w:divBdr>
    </w:div>
    <w:div w:id="1663465301">
      <w:bodyDiv w:val="1"/>
      <w:marLeft w:val="0"/>
      <w:marRight w:val="0"/>
      <w:marTop w:val="0"/>
      <w:marBottom w:val="0"/>
      <w:divBdr>
        <w:top w:val="none" w:sz="0" w:space="0" w:color="auto"/>
        <w:left w:val="none" w:sz="0" w:space="0" w:color="auto"/>
        <w:bottom w:val="none" w:sz="0" w:space="0" w:color="auto"/>
        <w:right w:val="none" w:sz="0" w:space="0" w:color="auto"/>
      </w:divBdr>
    </w:div>
    <w:div w:id="1667246080">
      <w:bodyDiv w:val="1"/>
      <w:marLeft w:val="0"/>
      <w:marRight w:val="0"/>
      <w:marTop w:val="0"/>
      <w:marBottom w:val="0"/>
      <w:divBdr>
        <w:top w:val="none" w:sz="0" w:space="0" w:color="auto"/>
        <w:left w:val="none" w:sz="0" w:space="0" w:color="auto"/>
        <w:bottom w:val="none" w:sz="0" w:space="0" w:color="auto"/>
        <w:right w:val="none" w:sz="0" w:space="0" w:color="auto"/>
      </w:divBdr>
    </w:div>
    <w:div w:id="1688483992">
      <w:bodyDiv w:val="1"/>
      <w:marLeft w:val="0"/>
      <w:marRight w:val="0"/>
      <w:marTop w:val="0"/>
      <w:marBottom w:val="0"/>
      <w:divBdr>
        <w:top w:val="none" w:sz="0" w:space="0" w:color="auto"/>
        <w:left w:val="none" w:sz="0" w:space="0" w:color="auto"/>
        <w:bottom w:val="none" w:sz="0" w:space="0" w:color="auto"/>
        <w:right w:val="none" w:sz="0" w:space="0" w:color="auto"/>
      </w:divBdr>
    </w:div>
    <w:div w:id="1690136493">
      <w:bodyDiv w:val="1"/>
      <w:marLeft w:val="0"/>
      <w:marRight w:val="0"/>
      <w:marTop w:val="0"/>
      <w:marBottom w:val="0"/>
      <w:divBdr>
        <w:top w:val="none" w:sz="0" w:space="0" w:color="auto"/>
        <w:left w:val="none" w:sz="0" w:space="0" w:color="auto"/>
        <w:bottom w:val="none" w:sz="0" w:space="0" w:color="auto"/>
        <w:right w:val="none" w:sz="0" w:space="0" w:color="auto"/>
      </w:divBdr>
    </w:div>
    <w:div w:id="1702052794">
      <w:bodyDiv w:val="1"/>
      <w:marLeft w:val="0"/>
      <w:marRight w:val="0"/>
      <w:marTop w:val="0"/>
      <w:marBottom w:val="0"/>
      <w:divBdr>
        <w:top w:val="none" w:sz="0" w:space="0" w:color="auto"/>
        <w:left w:val="none" w:sz="0" w:space="0" w:color="auto"/>
        <w:bottom w:val="none" w:sz="0" w:space="0" w:color="auto"/>
        <w:right w:val="none" w:sz="0" w:space="0" w:color="auto"/>
      </w:divBdr>
    </w:div>
    <w:div w:id="1719091436">
      <w:bodyDiv w:val="1"/>
      <w:marLeft w:val="0"/>
      <w:marRight w:val="0"/>
      <w:marTop w:val="0"/>
      <w:marBottom w:val="0"/>
      <w:divBdr>
        <w:top w:val="none" w:sz="0" w:space="0" w:color="auto"/>
        <w:left w:val="none" w:sz="0" w:space="0" w:color="auto"/>
        <w:bottom w:val="none" w:sz="0" w:space="0" w:color="auto"/>
        <w:right w:val="none" w:sz="0" w:space="0" w:color="auto"/>
      </w:divBdr>
      <w:divsChild>
        <w:div w:id="1400636372">
          <w:marLeft w:val="360"/>
          <w:marRight w:val="0"/>
          <w:marTop w:val="200"/>
          <w:marBottom w:val="0"/>
          <w:divBdr>
            <w:top w:val="none" w:sz="0" w:space="0" w:color="auto"/>
            <w:left w:val="none" w:sz="0" w:space="0" w:color="auto"/>
            <w:bottom w:val="none" w:sz="0" w:space="0" w:color="auto"/>
            <w:right w:val="none" w:sz="0" w:space="0" w:color="auto"/>
          </w:divBdr>
        </w:div>
        <w:div w:id="1877156288">
          <w:marLeft w:val="360"/>
          <w:marRight w:val="0"/>
          <w:marTop w:val="200"/>
          <w:marBottom w:val="0"/>
          <w:divBdr>
            <w:top w:val="none" w:sz="0" w:space="0" w:color="auto"/>
            <w:left w:val="none" w:sz="0" w:space="0" w:color="auto"/>
            <w:bottom w:val="none" w:sz="0" w:space="0" w:color="auto"/>
            <w:right w:val="none" w:sz="0" w:space="0" w:color="auto"/>
          </w:divBdr>
        </w:div>
        <w:div w:id="1901473213">
          <w:marLeft w:val="360"/>
          <w:marRight w:val="0"/>
          <w:marTop w:val="200"/>
          <w:marBottom w:val="0"/>
          <w:divBdr>
            <w:top w:val="none" w:sz="0" w:space="0" w:color="auto"/>
            <w:left w:val="none" w:sz="0" w:space="0" w:color="auto"/>
            <w:bottom w:val="none" w:sz="0" w:space="0" w:color="auto"/>
            <w:right w:val="none" w:sz="0" w:space="0" w:color="auto"/>
          </w:divBdr>
        </w:div>
      </w:divsChild>
    </w:div>
    <w:div w:id="1719819509">
      <w:bodyDiv w:val="1"/>
      <w:marLeft w:val="0"/>
      <w:marRight w:val="0"/>
      <w:marTop w:val="0"/>
      <w:marBottom w:val="0"/>
      <w:divBdr>
        <w:top w:val="none" w:sz="0" w:space="0" w:color="auto"/>
        <w:left w:val="none" w:sz="0" w:space="0" w:color="auto"/>
        <w:bottom w:val="none" w:sz="0" w:space="0" w:color="auto"/>
        <w:right w:val="none" w:sz="0" w:space="0" w:color="auto"/>
      </w:divBdr>
    </w:div>
    <w:div w:id="1751928465">
      <w:bodyDiv w:val="1"/>
      <w:marLeft w:val="0"/>
      <w:marRight w:val="0"/>
      <w:marTop w:val="0"/>
      <w:marBottom w:val="0"/>
      <w:divBdr>
        <w:top w:val="none" w:sz="0" w:space="0" w:color="auto"/>
        <w:left w:val="none" w:sz="0" w:space="0" w:color="auto"/>
        <w:bottom w:val="none" w:sz="0" w:space="0" w:color="auto"/>
        <w:right w:val="none" w:sz="0" w:space="0" w:color="auto"/>
      </w:divBdr>
    </w:div>
    <w:div w:id="1754736819">
      <w:bodyDiv w:val="1"/>
      <w:marLeft w:val="0"/>
      <w:marRight w:val="0"/>
      <w:marTop w:val="0"/>
      <w:marBottom w:val="0"/>
      <w:divBdr>
        <w:top w:val="none" w:sz="0" w:space="0" w:color="auto"/>
        <w:left w:val="none" w:sz="0" w:space="0" w:color="auto"/>
        <w:bottom w:val="none" w:sz="0" w:space="0" w:color="auto"/>
        <w:right w:val="none" w:sz="0" w:space="0" w:color="auto"/>
      </w:divBdr>
    </w:div>
    <w:div w:id="1755004705">
      <w:bodyDiv w:val="1"/>
      <w:marLeft w:val="0"/>
      <w:marRight w:val="0"/>
      <w:marTop w:val="0"/>
      <w:marBottom w:val="0"/>
      <w:divBdr>
        <w:top w:val="none" w:sz="0" w:space="0" w:color="auto"/>
        <w:left w:val="none" w:sz="0" w:space="0" w:color="auto"/>
        <w:bottom w:val="none" w:sz="0" w:space="0" w:color="auto"/>
        <w:right w:val="none" w:sz="0" w:space="0" w:color="auto"/>
      </w:divBdr>
    </w:div>
    <w:div w:id="1798181627">
      <w:bodyDiv w:val="1"/>
      <w:marLeft w:val="0"/>
      <w:marRight w:val="0"/>
      <w:marTop w:val="0"/>
      <w:marBottom w:val="0"/>
      <w:divBdr>
        <w:top w:val="none" w:sz="0" w:space="0" w:color="auto"/>
        <w:left w:val="none" w:sz="0" w:space="0" w:color="auto"/>
        <w:bottom w:val="none" w:sz="0" w:space="0" w:color="auto"/>
        <w:right w:val="none" w:sz="0" w:space="0" w:color="auto"/>
      </w:divBdr>
    </w:div>
    <w:div w:id="1820921848">
      <w:bodyDiv w:val="1"/>
      <w:marLeft w:val="0"/>
      <w:marRight w:val="0"/>
      <w:marTop w:val="0"/>
      <w:marBottom w:val="0"/>
      <w:divBdr>
        <w:top w:val="none" w:sz="0" w:space="0" w:color="auto"/>
        <w:left w:val="none" w:sz="0" w:space="0" w:color="auto"/>
        <w:bottom w:val="none" w:sz="0" w:space="0" w:color="auto"/>
        <w:right w:val="none" w:sz="0" w:space="0" w:color="auto"/>
      </w:divBdr>
    </w:div>
    <w:div w:id="1831945206">
      <w:bodyDiv w:val="1"/>
      <w:marLeft w:val="0"/>
      <w:marRight w:val="0"/>
      <w:marTop w:val="0"/>
      <w:marBottom w:val="0"/>
      <w:divBdr>
        <w:top w:val="none" w:sz="0" w:space="0" w:color="auto"/>
        <w:left w:val="none" w:sz="0" w:space="0" w:color="auto"/>
        <w:bottom w:val="none" w:sz="0" w:space="0" w:color="auto"/>
        <w:right w:val="none" w:sz="0" w:space="0" w:color="auto"/>
      </w:divBdr>
    </w:div>
    <w:div w:id="1865249505">
      <w:bodyDiv w:val="1"/>
      <w:marLeft w:val="0"/>
      <w:marRight w:val="0"/>
      <w:marTop w:val="0"/>
      <w:marBottom w:val="0"/>
      <w:divBdr>
        <w:top w:val="none" w:sz="0" w:space="0" w:color="auto"/>
        <w:left w:val="none" w:sz="0" w:space="0" w:color="auto"/>
        <w:bottom w:val="none" w:sz="0" w:space="0" w:color="auto"/>
        <w:right w:val="none" w:sz="0" w:space="0" w:color="auto"/>
      </w:divBdr>
    </w:div>
    <w:div w:id="1868790187">
      <w:bodyDiv w:val="1"/>
      <w:marLeft w:val="0"/>
      <w:marRight w:val="0"/>
      <w:marTop w:val="0"/>
      <w:marBottom w:val="0"/>
      <w:divBdr>
        <w:top w:val="none" w:sz="0" w:space="0" w:color="auto"/>
        <w:left w:val="none" w:sz="0" w:space="0" w:color="auto"/>
        <w:bottom w:val="none" w:sz="0" w:space="0" w:color="auto"/>
        <w:right w:val="none" w:sz="0" w:space="0" w:color="auto"/>
      </w:divBdr>
    </w:div>
    <w:div w:id="1872377344">
      <w:bodyDiv w:val="1"/>
      <w:marLeft w:val="0"/>
      <w:marRight w:val="0"/>
      <w:marTop w:val="0"/>
      <w:marBottom w:val="0"/>
      <w:divBdr>
        <w:top w:val="none" w:sz="0" w:space="0" w:color="auto"/>
        <w:left w:val="none" w:sz="0" w:space="0" w:color="auto"/>
        <w:bottom w:val="none" w:sz="0" w:space="0" w:color="auto"/>
        <w:right w:val="none" w:sz="0" w:space="0" w:color="auto"/>
      </w:divBdr>
    </w:div>
    <w:div w:id="1879774925">
      <w:bodyDiv w:val="1"/>
      <w:marLeft w:val="0"/>
      <w:marRight w:val="0"/>
      <w:marTop w:val="0"/>
      <w:marBottom w:val="0"/>
      <w:divBdr>
        <w:top w:val="none" w:sz="0" w:space="0" w:color="auto"/>
        <w:left w:val="none" w:sz="0" w:space="0" w:color="auto"/>
        <w:bottom w:val="none" w:sz="0" w:space="0" w:color="auto"/>
        <w:right w:val="none" w:sz="0" w:space="0" w:color="auto"/>
      </w:divBdr>
    </w:div>
    <w:div w:id="1890023753">
      <w:bodyDiv w:val="1"/>
      <w:marLeft w:val="0"/>
      <w:marRight w:val="0"/>
      <w:marTop w:val="0"/>
      <w:marBottom w:val="0"/>
      <w:divBdr>
        <w:top w:val="none" w:sz="0" w:space="0" w:color="auto"/>
        <w:left w:val="none" w:sz="0" w:space="0" w:color="auto"/>
        <w:bottom w:val="none" w:sz="0" w:space="0" w:color="auto"/>
        <w:right w:val="none" w:sz="0" w:space="0" w:color="auto"/>
      </w:divBdr>
    </w:div>
    <w:div w:id="1892185243">
      <w:bodyDiv w:val="1"/>
      <w:marLeft w:val="0"/>
      <w:marRight w:val="0"/>
      <w:marTop w:val="0"/>
      <w:marBottom w:val="0"/>
      <w:divBdr>
        <w:top w:val="none" w:sz="0" w:space="0" w:color="auto"/>
        <w:left w:val="none" w:sz="0" w:space="0" w:color="auto"/>
        <w:bottom w:val="none" w:sz="0" w:space="0" w:color="auto"/>
        <w:right w:val="none" w:sz="0" w:space="0" w:color="auto"/>
      </w:divBdr>
    </w:div>
    <w:div w:id="1902860017">
      <w:bodyDiv w:val="1"/>
      <w:marLeft w:val="0"/>
      <w:marRight w:val="0"/>
      <w:marTop w:val="0"/>
      <w:marBottom w:val="0"/>
      <w:divBdr>
        <w:top w:val="none" w:sz="0" w:space="0" w:color="auto"/>
        <w:left w:val="none" w:sz="0" w:space="0" w:color="auto"/>
        <w:bottom w:val="none" w:sz="0" w:space="0" w:color="auto"/>
        <w:right w:val="none" w:sz="0" w:space="0" w:color="auto"/>
      </w:divBdr>
    </w:div>
    <w:div w:id="1910339160">
      <w:bodyDiv w:val="1"/>
      <w:marLeft w:val="0"/>
      <w:marRight w:val="0"/>
      <w:marTop w:val="0"/>
      <w:marBottom w:val="0"/>
      <w:divBdr>
        <w:top w:val="none" w:sz="0" w:space="0" w:color="auto"/>
        <w:left w:val="none" w:sz="0" w:space="0" w:color="auto"/>
        <w:bottom w:val="none" w:sz="0" w:space="0" w:color="auto"/>
        <w:right w:val="none" w:sz="0" w:space="0" w:color="auto"/>
      </w:divBdr>
    </w:div>
    <w:div w:id="1910772803">
      <w:bodyDiv w:val="1"/>
      <w:marLeft w:val="0"/>
      <w:marRight w:val="0"/>
      <w:marTop w:val="0"/>
      <w:marBottom w:val="0"/>
      <w:divBdr>
        <w:top w:val="none" w:sz="0" w:space="0" w:color="auto"/>
        <w:left w:val="none" w:sz="0" w:space="0" w:color="auto"/>
        <w:bottom w:val="none" w:sz="0" w:space="0" w:color="auto"/>
        <w:right w:val="none" w:sz="0" w:space="0" w:color="auto"/>
      </w:divBdr>
    </w:div>
    <w:div w:id="1939828373">
      <w:bodyDiv w:val="1"/>
      <w:marLeft w:val="0"/>
      <w:marRight w:val="0"/>
      <w:marTop w:val="0"/>
      <w:marBottom w:val="0"/>
      <w:divBdr>
        <w:top w:val="none" w:sz="0" w:space="0" w:color="auto"/>
        <w:left w:val="none" w:sz="0" w:space="0" w:color="auto"/>
        <w:bottom w:val="none" w:sz="0" w:space="0" w:color="auto"/>
        <w:right w:val="none" w:sz="0" w:space="0" w:color="auto"/>
      </w:divBdr>
    </w:div>
    <w:div w:id="1949239017">
      <w:bodyDiv w:val="1"/>
      <w:marLeft w:val="0"/>
      <w:marRight w:val="0"/>
      <w:marTop w:val="0"/>
      <w:marBottom w:val="0"/>
      <w:divBdr>
        <w:top w:val="none" w:sz="0" w:space="0" w:color="auto"/>
        <w:left w:val="none" w:sz="0" w:space="0" w:color="auto"/>
        <w:bottom w:val="none" w:sz="0" w:space="0" w:color="auto"/>
        <w:right w:val="none" w:sz="0" w:space="0" w:color="auto"/>
      </w:divBdr>
    </w:div>
    <w:div w:id="1952936991">
      <w:bodyDiv w:val="1"/>
      <w:marLeft w:val="0"/>
      <w:marRight w:val="0"/>
      <w:marTop w:val="0"/>
      <w:marBottom w:val="0"/>
      <w:divBdr>
        <w:top w:val="none" w:sz="0" w:space="0" w:color="auto"/>
        <w:left w:val="none" w:sz="0" w:space="0" w:color="auto"/>
        <w:bottom w:val="none" w:sz="0" w:space="0" w:color="auto"/>
        <w:right w:val="none" w:sz="0" w:space="0" w:color="auto"/>
      </w:divBdr>
      <w:divsChild>
        <w:div w:id="440341662">
          <w:marLeft w:val="360"/>
          <w:marRight w:val="0"/>
          <w:marTop w:val="200"/>
          <w:marBottom w:val="0"/>
          <w:divBdr>
            <w:top w:val="none" w:sz="0" w:space="0" w:color="auto"/>
            <w:left w:val="none" w:sz="0" w:space="0" w:color="auto"/>
            <w:bottom w:val="none" w:sz="0" w:space="0" w:color="auto"/>
            <w:right w:val="none" w:sz="0" w:space="0" w:color="auto"/>
          </w:divBdr>
        </w:div>
      </w:divsChild>
    </w:div>
    <w:div w:id="1974940918">
      <w:bodyDiv w:val="1"/>
      <w:marLeft w:val="0"/>
      <w:marRight w:val="0"/>
      <w:marTop w:val="0"/>
      <w:marBottom w:val="0"/>
      <w:divBdr>
        <w:top w:val="none" w:sz="0" w:space="0" w:color="auto"/>
        <w:left w:val="none" w:sz="0" w:space="0" w:color="auto"/>
        <w:bottom w:val="none" w:sz="0" w:space="0" w:color="auto"/>
        <w:right w:val="none" w:sz="0" w:space="0" w:color="auto"/>
      </w:divBdr>
    </w:div>
    <w:div w:id="1995720945">
      <w:bodyDiv w:val="1"/>
      <w:marLeft w:val="0"/>
      <w:marRight w:val="0"/>
      <w:marTop w:val="0"/>
      <w:marBottom w:val="0"/>
      <w:divBdr>
        <w:top w:val="none" w:sz="0" w:space="0" w:color="auto"/>
        <w:left w:val="none" w:sz="0" w:space="0" w:color="auto"/>
        <w:bottom w:val="none" w:sz="0" w:space="0" w:color="auto"/>
        <w:right w:val="none" w:sz="0" w:space="0" w:color="auto"/>
      </w:divBdr>
    </w:div>
    <w:div w:id="1998536996">
      <w:bodyDiv w:val="1"/>
      <w:marLeft w:val="0"/>
      <w:marRight w:val="0"/>
      <w:marTop w:val="0"/>
      <w:marBottom w:val="0"/>
      <w:divBdr>
        <w:top w:val="none" w:sz="0" w:space="0" w:color="auto"/>
        <w:left w:val="none" w:sz="0" w:space="0" w:color="auto"/>
        <w:bottom w:val="none" w:sz="0" w:space="0" w:color="auto"/>
        <w:right w:val="none" w:sz="0" w:space="0" w:color="auto"/>
      </w:divBdr>
      <w:divsChild>
        <w:div w:id="2073770958">
          <w:marLeft w:val="360"/>
          <w:marRight w:val="0"/>
          <w:marTop w:val="200"/>
          <w:marBottom w:val="0"/>
          <w:divBdr>
            <w:top w:val="none" w:sz="0" w:space="0" w:color="auto"/>
            <w:left w:val="none" w:sz="0" w:space="0" w:color="auto"/>
            <w:bottom w:val="none" w:sz="0" w:space="0" w:color="auto"/>
            <w:right w:val="none" w:sz="0" w:space="0" w:color="auto"/>
          </w:divBdr>
        </w:div>
      </w:divsChild>
    </w:div>
    <w:div w:id="2024282300">
      <w:bodyDiv w:val="1"/>
      <w:marLeft w:val="0"/>
      <w:marRight w:val="0"/>
      <w:marTop w:val="0"/>
      <w:marBottom w:val="0"/>
      <w:divBdr>
        <w:top w:val="none" w:sz="0" w:space="0" w:color="auto"/>
        <w:left w:val="none" w:sz="0" w:space="0" w:color="auto"/>
        <w:bottom w:val="none" w:sz="0" w:space="0" w:color="auto"/>
        <w:right w:val="none" w:sz="0" w:space="0" w:color="auto"/>
      </w:divBdr>
    </w:div>
    <w:div w:id="2040350523">
      <w:bodyDiv w:val="1"/>
      <w:marLeft w:val="0"/>
      <w:marRight w:val="0"/>
      <w:marTop w:val="0"/>
      <w:marBottom w:val="0"/>
      <w:divBdr>
        <w:top w:val="none" w:sz="0" w:space="0" w:color="auto"/>
        <w:left w:val="none" w:sz="0" w:space="0" w:color="auto"/>
        <w:bottom w:val="none" w:sz="0" w:space="0" w:color="auto"/>
        <w:right w:val="none" w:sz="0" w:space="0" w:color="auto"/>
      </w:divBdr>
    </w:div>
    <w:div w:id="2041006781">
      <w:bodyDiv w:val="1"/>
      <w:marLeft w:val="0"/>
      <w:marRight w:val="0"/>
      <w:marTop w:val="0"/>
      <w:marBottom w:val="0"/>
      <w:divBdr>
        <w:top w:val="none" w:sz="0" w:space="0" w:color="auto"/>
        <w:left w:val="none" w:sz="0" w:space="0" w:color="auto"/>
        <w:bottom w:val="none" w:sz="0" w:space="0" w:color="auto"/>
        <w:right w:val="none" w:sz="0" w:space="0" w:color="auto"/>
      </w:divBdr>
    </w:div>
    <w:div w:id="2055734605">
      <w:bodyDiv w:val="1"/>
      <w:marLeft w:val="0"/>
      <w:marRight w:val="0"/>
      <w:marTop w:val="0"/>
      <w:marBottom w:val="0"/>
      <w:divBdr>
        <w:top w:val="none" w:sz="0" w:space="0" w:color="auto"/>
        <w:left w:val="none" w:sz="0" w:space="0" w:color="auto"/>
        <w:bottom w:val="none" w:sz="0" w:space="0" w:color="auto"/>
        <w:right w:val="none" w:sz="0" w:space="0" w:color="auto"/>
      </w:divBdr>
    </w:div>
    <w:div w:id="2062098482">
      <w:bodyDiv w:val="1"/>
      <w:marLeft w:val="0"/>
      <w:marRight w:val="0"/>
      <w:marTop w:val="0"/>
      <w:marBottom w:val="0"/>
      <w:divBdr>
        <w:top w:val="none" w:sz="0" w:space="0" w:color="auto"/>
        <w:left w:val="none" w:sz="0" w:space="0" w:color="auto"/>
        <w:bottom w:val="none" w:sz="0" w:space="0" w:color="auto"/>
        <w:right w:val="none" w:sz="0" w:space="0" w:color="auto"/>
      </w:divBdr>
    </w:div>
    <w:div w:id="21113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3584-EB02-4BCB-8BEC-6F405C61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66158</Words>
  <Characters>377102</Characters>
  <Application>Microsoft Office Word</Application>
  <DocSecurity>0</DocSecurity>
  <Lines>3142</Lines>
  <Paragraphs>884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USDA-ERS</Company>
  <LinksUpToDate>false</LinksUpToDate>
  <CharactersWithSpaces>442376</CharactersWithSpaces>
  <SharedDoc>false</SharedDoc>
  <HLinks>
    <vt:vector size="486" baseType="variant">
      <vt:variant>
        <vt:i4>4194315</vt:i4>
      </vt:variant>
      <vt:variant>
        <vt:i4>480</vt:i4>
      </vt:variant>
      <vt:variant>
        <vt:i4>0</vt:i4>
      </vt:variant>
      <vt:variant>
        <vt:i4>5</vt:i4>
      </vt:variant>
      <vt:variant>
        <vt:lpwstr/>
      </vt:variant>
      <vt:variant>
        <vt:lpwstr>_ENREF_19</vt:lpwstr>
      </vt:variant>
      <vt:variant>
        <vt:i4>4587531</vt:i4>
      </vt:variant>
      <vt:variant>
        <vt:i4>474</vt:i4>
      </vt:variant>
      <vt:variant>
        <vt:i4>0</vt:i4>
      </vt:variant>
      <vt:variant>
        <vt:i4>5</vt:i4>
      </vt:variant>
      <vt:variant>
        <vt:lpwstr/>
      </vt:variant>
      <vt:variant>
        <vt:lpwstr>_ENREF_7</vt:lpwstr>
      </vt:variant>
      <vt:variant>
        <vt:i4>4194315</vt:i4>
      </vt:variant>
      <vt:variant>
        <vt:i4>459</vt:i4>
      </vt:variant>
      <vt:variant>
        <vt:i4>0</vt:i4>
      </vt:variant>
      <vt:variant>
        <vt:i4>5</vt:i4>
      </vt:variant>
      <vt:variant>
        <vt:lpwstr/>
      </vt:variant>
      <vt:variant>
        <vt:lpwstr>_ENREF_16</vt:lpwstr>
      </vt:variant>
      <vt:variant>
        <vt:i4>4390923</vt:i4>
      </vt:variant>
      <vt:variant>
        <vt:i4>453</vt:i4>
      </vt:variant>
      <vt:variant>
        <vt:i4>0</vt:i4>
      </vt:variant>
      <vt:variant>
        <vt:i4>5</vt:i4>
      </vt:variant>
      <vt:variant>
        <vt:lpwstr/>
      </vt:variant>
      <vt:variant>
        <vt:lpwstr>_ENREF_21</vt:lpwstr>
      </vt:variant>
      <vt:variant>
        <vt:i4>4325387</vt:i4>
      </vt:variant>
      <vt:variant>
        <vt:i4>447</vt:i4>
      </vt:variant>
      <vt:variant>
        <vt:i4>0</vt:i4>
      </vt:variant>
      <vt:variant>
        <vt:i4>5</vt:i4>
      </vt:variant>
      <vt:variant>
        <vt:lpwstr/>
      </vt:variant>
      <vt:variant>
        <vt:lpwstr>_ENREF_30</vt:lpwstr>
      </vt:variant>
      <vt:variant>
        <vt:i4>4325387</vt:i4>
      </vt:variant>
      <vt:variant>
        <vt:i4>441</vt:i4>
      </vt:variant>
      <vt:variant>
        <vt:i4>0</vt:i4>
      </vt:variant>
      <vt:variant>
        <vt:i4>5</vt:i4>
      </vt:variant>
      <vt:variant>
        <vt:lpwstr/>
      </vt:variant>
      <vt:variant>
        <vt:lpwstr>_ENREF_32</vt:lpwstr>
      </vt:variant>
      <vt:variant>
        <vt:i4>4784139</vt:i4>
      </vt:variant>
      <vt:variant>
        <vt:i4>435</vt:i4>
      </vt:variant>
      <vt:variant>
        <vt:i4>0</vt:i4>
      </vt:variant>
      <vt:variant>
        <vt:i4>5</vt:i4>
      </vt:variant>
      <vt:variant>
        <vt:lpwstr/>
      </vt:variant>
      <vt:variant>
        <vt:lpwstr>_ENREF_8</vt:lpwstr>
      </vt:variant>
      <vt:variant>
        <vt:i4>4521995</vt:i4>
      </vt:variant>
      <vt:variant>
        <vt:i4>426</vt:i4>
      </vt:variant>
      <vt:variant>
        <vt:i4>0</vt:i4>
      </vt:variant>
      <vt:variant>
        <vt:i4>5</vt:i4>
      </vt:variant>
      <vt:variant>
        <vt:lpwstr/>
      </vt:variant>
      <vt:variant>
        <vt:lpwstr>_ENREF_40</vt:lpwstr>
      </vt:variant>
      <vt:variant>
        <vt:i4>4521995</vt:i4>
      </vt:variant>
      <vt:variant>
        <vt:i4>420</vt:i4>
      </vt:variant>
      <vt:variant>
        <vt:i4>0</vt:i4>
      </vt:variant>
      <vt:variant>
        <vt:i4>5</vt:i4>
      </vt:variant>
      <vt:variant>
        <vt:lpwstr/>
      </vt:variant>
      <vt:variant>
        <vt:lpwstr>_ENREF_40</vt:lpwstr>
      </vt:variant>
      <vt:variant>
        <vt:i4>4194315</vt:i4>
      </vt:variant>
      <vt:variant>
        <vt:i4>414</vt:i4>
      </vt:variant>
      <vt:variant>
        <vt:i4>0</vt:i4>
      </vt:variant>
      <vt:variant>
        <vt:i4>5</vt:i4>
      </vt:variant>
      <vt:variant>
        <vt:lpwstr/>
      </vt:variant>
      <vt:variant>
        <vt:lpwstr>_ENREF_14</vt:lpwstr>
      </vt:variant>
      <vt:variant>
        <vt:i4>4194315</vt:i4>
      </vt:variant>
      <vt:variant>
        <vt:i4>411</vt:i4>
      </vt:variant>
      <vt:variant>
        <vt:i4>0</vt:i4>
      </vt:variant>
      <vt:variant>
        <vt:i4>5</vt:i4>
      </vt:variant>
      <vt:variant>
        <vt:lpwstr/>
      </vt:variant>
      <vt:variant>
        <vt:lpwstr>_ENREF_14</vt:lpwstr>
      </vt:variant>
      <vt:variant>
        <vt:i4>4390923</vt:i4>
      </vt:variant>
      <vt:variant>
        <vt:i4>405</vt:i4>
      </vt:variant>
      <vt:variant>
        <vt:i4>0</vt:i4>
      </vt:variant>
      <vt:variant>
        <vt:i4>5</vt:i4>
      </vt:variant>
      <vt:variant>
        <vt:lpwstr/>
      </vt:variant>
      <vt:variant>
        <vt:lpwstr>_ENREF_28</vt:lpwstr>
      </vt:variant>
      <vt:variant>
        <vt:i4>4325387</vt:i4>
      </vt:variant>
      <vt:variant>
        <vt:i4>399</vt:i4>
      </vt:variant>
      <vt:variant>
        <vt:i4>0</vt:i4>
      </vt:variant>
      <vt:variant>
        <vt:i4>5</vt:i4>
      </vt:variant>
      <vt:variant>
        <vt:lpwstr/>
      </vt:variant>
      <vt:variant>
        <vt:lpwstr>_ENREF_30</vt:lpwstr>
      </vt:variant>
      <vt:variant>
        <vt:i4>4194315</vt:i4>
      </vt:variant>
      <vt:variant>
        <vt:i4>393</vt:i4>
      </vt:variant>
      <vt:variant>
        <vt:i4>0</vt:i4>
      </vt:variant>
      <vt:variant>
        <vt:i4>5</vt:i4>
      </vt:variant>
      <vt:variant>
        <vt:lpwstr/>
      </vt:variant>
      <vt:variant>
        <vt:lpwstr>_ENREF_12</vt:lpwstr>
      </vt:variant>
      <vt:variant>
        <vt:i4>4587531</vt:i4>
      </vt:variant>
      <vt:variant>
        <vt:i4>387</vt:i4>
      </vt:variant>
      <vt:variant>
        <vt:i4>0</vt:i4>
      </vt:variant>
      <vt:variant>
        <vt:i4>5</vt:i4>
      </vt:variant>
      <vt:variant>
        <vt:lpwstr/>
      </vt:variant>
      <vt:variant>
        <vt:lpwstr>_ENREF_7</vt:lpwstr>
      </vt:variant>
      <vt:variant>
        <vt:i4>4784139</vt:i4>
      </vt:variant>
      <vt:variant>
        <vt:i4>381</vt:i4>
      </vt:variant>
      <vt:variant>
        <vt:i4>0</vt:i4>
      </vt:variant>
      <vt:variant>
        <vt:i4>5</vt:i4>
      </vt:variant>
      <vt:variant>
        <vt:lpwstr/>
      </vt:variant>
      <vt:variant>
        <vt:lpwstr>_ENREF_8</vt:lpwstr>
      </vt:variant>
      <vt:variant>
        <vt:i4>4521995</vt:i4>
      </vt:variant>
      <vt:variant>
        <vt:i4>375</vt:i4>
      </vt:variant>
      <vt:variant>
        <vt:i4>0</vt:i4>
      </vt:variant>
      <vt:variant>
        <vt:i4>5</vt:i4>
      </vt:variant>
      <vt:variant>
        <vt:lpwstr/>
      </vt:variant>
      <vt:variant>
        <vt:lpwstr>_ENREF_4</vt:lpwstr>
      </vt:variant>
      <vt:variant>
        <vt:i4>4784139</vt:i4>
      </vt:variant>
      <vt:variant>
        <vt:i4>369</vt:i4>
      </vt:variant>
      <vt:variant>
        <vt:i4>0</vt:i4>
      </vt:variant>
      <vt:variant>
        <vt:i4>5</vt:i4>
      </vt:variant>
      <vt:variant>
        <vt:lpwstr/>
      </vt:variant>
      <vt:variant>
        <vt:lpwstr>_ENREF_8</vt:lpwstr>
      </vt:variant>
      <vt:variant>
        <vt:i4>4784139</vt:i4>
      </vt:variant>
      <vt:variant>
        <vt:i4>363</vt:i4>
      </vt:variant>
      <vt:variant>
        <vt:i4>0</vt:i4>
      </vt:variant>
      <vt:variant>
        <vt:i4>5</vt:i4>
      </vt:variant>
      <vt:variant>
        <vt:lpwstr/>
      </vt:variant>
      <vt:variant>
        <vt:lpwstr>_ENREF_8</vt:lpwstr>
      </vt:variant>
      <vt:variant>
        <vt:i4>4587531</vt:i4>
      </vt:variant>
      <vt:variant>
        <vt:i4>357</vt:i4>
      </vt:variant>
      <vt:variant>
        <vt:i4>0</vt:i4>
      </vt:variant>
      <vt:variant>
        <vt:i4>5</vt:i4>
      </vt:variant>
      <vt:variant>
        <vt:lpwstr/>
      </vt:variant>
      <vt:variant>
        <vt:lpwstr>_ENREF_7</vt:lpwstr>
      </vt:variant>
      <vt:variant>
        <vt:i4>4784139</vt:i4>
      </vt:variant>
      <vt:variant>
        <vt:i4>351</vt:i4>
      </vt:variant>
      <vt:variant>
        <vt:i4>0</vt:i4>
      </vt:variant>
      <vt:variant>
        <vt:i4>5</vt:i4>
      </vt:variant>
      <vt:variant>
        <vt:lpwstr/>
      </vt:variant>
      <vt:variant>
        <vt:lpwstr>_ENREF_8</vt:lpwstr>
      </vt:variant>
      <vt:variant>
        <vt:i4>4521995</vt:i4>
      </vt:variant>
      <vt:variant>
        <vt:i4>345</vt:i4>
      </vt:variant>
      <vt:variant>
        <vt:i4>0</vt:i4>
      </vt:variant>
      <vt:variant>
        <vt:i4>5</vt:i4>
      </vt:variant>
      <vt:variant>
        <vt:lpwstr/>
      </vt:variant>
      <vt:variant>
        <vt:lpwstr>_ENREF_4</vt:lpwstr>
      </vt:variant>
      <vt:variant>
        <vt:i4>4390923</vt:i4>
      </vt:variant>
      <vt:variant>
        <vt:i4>339</vt:i4>
      </vt:variant>
      <vt:variant>
        <vt:i4>0</vt:i4>
      </vt:variant>
      <vt:variant>
        <vt:i4>5</vt:i4>
      </vt:variant>
      <vt:variant>
        <vt:lpwstr/>
      </vt:variant>
      <vt:variant>
        <vt:lpwstr>_ENREF_20</vt:lpwstr>
      </vt:variant>
      <vt:variant>
        <vt:i4>4194315</vt:i4>
      </vt:variant>
      <vt:variant>
        <vt:i4>333</vt:i4>
      </vt:variant>
      <vt:variant>
        <vt:i4>0</vt:i4>
      </vt:variant>
      <vt:variant>
        <vt:i4>5</vt:i4>
      </vt:variant>
      <vt:variant>
        <vt:lpwstr/>
      </vt:variant>
      <vt:variant>
        <vt:lpwstr>_ENREF_18</vt:lpwstr>
      </vt:variant>
      <vt:variant>
        <vt:i4>4325387</vt:i4>
      </vt:variant>
      <vt:variant>
        <vt:i4>327</vt:i4>
      </vt:variant>
      <vt:variant>
        <vt:i4>0</vt:i4>
      </vt:variant>
      <vt:variant>
        <vt:i4>5</vt:i4>
      </vt:variant>
      <vt:variant>
        <vt:lpwstr/>
      </vt:variant>
      <vt:variant>
        <vt:lpwstr>_ENREF_33</vt:lpwstr>
      </vt:variant>
      <vt:variant>
        <vt:i4>4390923</vt:i4>
      </vt:variant>
      <vt:variant>
        <vt:i4>321</vt:i4>
      </vt:variant>
      <vt:variant>
        <vt:i4>0</vt:i4>
      </vt:variant>
      <vt:variant>
        <vt:i4>5</vt:i4>
      </vt:variant>
      <vt:variant>
        <vt:lpwstr/>
      </vt:variant>
      <vt:variant>
        <vt:lpwstr>_ENREF_20</vt:lpwstr>
      </vt:variant>
      <vt:variant>
        <vt:i4>4784139</vt:i4>
      </vt:variant>
      <vt:variant>
        <vt:i4>315</vt:i4>
      </vt:variant>
      <vt:variant>
        <vt:i4>0</vt:i4>
      </vt:variant>
      <vt:variant>
        <vt:i4>5</vt:i4>
      </vt:variant>
      <vt:variant>
        <vt:lpwstr/>
      </vt:variant>
      <vt:variant>
        <vt:lpwstr>_ENREF_8</vt:lpwstr>
      </vt:variant>
      <vt:variant>
        <vt:i4>4390923</vt:i4>
      </vt:variant>
      <vt:variant>
        <vt:i4>309</vt:i4>
      </vt:variant>
      <vt:variant>
        <vt:i4>0</vt:i4>
      </vt:variant>
      <vt:variant>
        <vt:i4>5</vt:i4>
      </vt:variant>
      <vt:variant>
        <vt:lpwstr/>
      </vt:variant>
      <vt:variant>
        <vt:lpwstr>_ENREF_22</vt:lpwstr>
      </vt:variant>
      <vt:variant>
        <vt:i4>4325387</vt:i4>
      </vt:variant>
      <vt:variant>
        <vt:i4>303</vt:i4>
      </vt:variant>
      <vt:variant>
        <vt:i4>0</vt:i4>
      </vt:variant>
      <vt:variant>
        <vt:i4>5</vt:i4>
      </vt:variant>
      <vt:variant>
        <vt:lpwstr/>
      </vt:variant>
      <vt:variant>
        <vt:lpwstr>_ENREF_30</vt:lpwstr>
      </vt:variant>
      <vt:variant>
        <vt:i4>4587531</vt:i4>
      </vt:variant>
      <vt:variant>
        <vt:i4>297</vt:i4>
      </vt:variant>
      <vt:variant>
        <vt:i4>0</vt:i4>
      </vt:variant>
      <vt:variant>
        <vt:i4>5</vt:i4>
      </vt:variant>
      <vt:variant>
        <vt:lpwstr/>
      </vt:variant>
      <vt:variant>
        <vt:lpwstr>_ENREF_7</vt:lpwstr>
      </vt:variant>
      <vt:variant>
        <vt:i4>4325387</vt:i4>
      </vt:variant>
      <vt:variant>
        <vt:i4>291</vt:i4>
      </vt:variant>
      <vt:variant>
        <vt:i4>0</vt:i4>
      </vt:variant>
      <vt:variant>
        <vt:i4>5</vt:i4>
      </vt:variant>
      <vt:variant>
        <vt:lpwstr/>
      </vt:variant>
      <vt:variant>
        <vt:lpwstr>_ENREF_38</vt:lpwstr>
      </vt:variant>
      <vt:variant>
        <vt:i4>4325387</vt:i4>
      </vt:variant>
      <vt:variant>
        <vt:i4>285</vt:i4>
      </vt:variant>
      <vt:variant>
        <vt:i4>0</vt:i4>
      </vt:variant>
      <vt:variant>
        <vt:i4>5</vt:i4>
      </vt:variant>
      <vt:variant>
        <vt:lpwstr/>
      </vt:variant>
      <vt:variant>
        <vt:lpwstr>_ENREF_38</vt:lpwstr>
      </vt:variant>
      <vt:variant>
        <vt:i4>4784139</vt:i4>
      </vt:variant>
      <vt:variant>
        <vt:i4>279</vt:i4>
      </vt:variant>
      <vt:variant>
        <vt:i4>0</vt:i4>
      </vt:variant>
      <vt:variant>
        <vt:i4>5</vt:i4>
      </vt:variant>
      <vt:variant>
        <vt:lpwstr/>
      </vt:variant>
      <vt:variant>
        <vt:lpwstr>_ENREF_8</vt:lpwstr>
      </vt:variant>
      <vt:variant>
        <vt:i4>4784139</vt:i4>
      </vt:variant>
      <vt:variant>
        <vt:i4>273</vt:i4>
      </vt:variant>
      <vt:variant>
        <vt:i4>0</vt:i4>
      </vt:variant>
      <vt:variant>
        <vt:i4>5</vt:i4>
      </vt:variant>
      <vt:variant>
        <vt:lpwstr/>
      </vt:variant>
      <vt:variant>
        <vt:lpwstr>_ENREF_8</vt:lpwstr>
      </vt:variant>
      <vt:variant>
        <vt:i4>4194315</vt:i4>
      </vt:variant>
      <vt:variant>
        <vt:i4>270</vt:i4>
      </vt:variant>
      <vt:variant>
        <vt:i4>0</vt:i4>
      </vt:variant>
      <vt:variant>
        <vt:i4>5</vt:i4>
      </vt:variant>
      <vt:variant>
        <vt:lpwstr/>
      </vt:variant>
      <vt:variant>
        <vt:lpwstr>_ENREF_16</vt:lpwstr>
      </vt:variant>
      <vt:variant>
        <vt:i4>4390923</vt:i4>
      </vt:variant>
      <vt:variant>
        <vt:i4>264</vt:i4>
      </vt:variant>
      <vt:variant>
        <vt:i4>0</vt:i4>
      </vt:variant>
      <vt:variant>
        <vt:i4>5</vt:i4>
      </vt:variant>
      <vt:variant>
        <vt:lpwstr/>
      </vt:variant>
      <vt:variant>
        <vt:lpwstr>_ENREF_27</vt:lpwstr>
      </vt:variant>
      <vt:variant>
        <vt:i4>4784139</vt:i4>
      </vt:variant>
      <vt:variant>
        <vt:i4>258</vt:i4>
      </vt:variant>
      <vt:variant>
        <vt:i4>0</vt:i4>
      </vt:variant>
      <vt:variant>
        <vt:i4>5</vt:i4>
      </vt:variant>
      <vt:variant>
        <vt:lpwstr/>
      </vt:variant>
      <vt:variant>
        <vt:lpwstr>_ENREF_8</vt:lpwstr>
      </vt:variant>
      <vt:variant>
        <vt:i4>4194315</vt:i4>
      </vt:variant>
      <vt:variant>
        <vt:i4>252</vt:i4>
      </vt:variant>
      <vt:variant>
        <vt:i4>0</vt:i4>
      </vt:variant>
      <vt:variant>
        <vt:i4>5</vt:i4>
      </vt:variant>
      <vt:variant>
        <vt:lpwstr/>
      </vt:variant>
      <vt:variant>
        <vt:lpwstr>_ENREF_18</vt:lpwstr>
      </vt:variant>
      <vt:variant>
        <vt:i4>4390923</vt:i4>
      </vt:variant>
      <vt:variant>
        <vt:i4>246</vt:i4>
      </vt:variant>
      <vt:variant>
        <vt:i4>0</vt:i4>
      </vt:variant>
      <vt:variant>
        <vt:i4>5</vt:i4>
      </vt:variant>
      <vt:variant>
        <vt:lpwstr/>
      </vt:variant>
      <vt:variant>
        <vt:lpwstr>_ENREF_23</vt:lpwstr>
      </vt:variant>
      <vt:variant>
        <vt:i4>4325387</vt:i4>
      </vt:variant>
      <vt:variant>
        <vt:i4>240</vt:i4>
      </vt:variant>
      <vt:variant>
        <vt:i4>0</vt:i4>
      </vt:variant>
      <vt:variant>
        <vt:i4>5</vt:i4>
      </vt:variant>
      <vt:variant>
        <vt:lpwstr/>
      </vt:variant>
      <vt:variant>
        <vt:lpwstr>_ENREF_31</vt:lpwstr>
      </vt:variant>
      <vt:variant>
        <vt:i4>4390923</vt:i4>
      </vt:variant>
      <vt:variant>
        <vt:i4>234</vt:i4>
      </vt:variant>
      <vt:variant>
        <vt:i4>0</vt:i4>
      </vt:variant>
      <vt:variant>
        <vt:i4>5</vt:i4>
      </vt:variant>
      <vt:variant>
        <vt:lpwstr/>
      </vt:variant>
      <vt:variant>
        <vt:lpwstr>_ENREF_29</vt:lpwstr>
      </vt:variant>
      <vt:variant>
        <vt:i4>4325387</vt:i4>
      </vt:variant>
      <vt:variant>
        <vt:i4>228</vt:i4>
      </vt:variant>
      <vt:variant>
        <vt:i4>0</vt:i4>
      </vt:variant>
      <vt:variant>
        <vt:i4>5</vt:i4>
      </vt:variant>
      <vt:variant>
        <vt:lpwstr/>
      </vt:variant>
      <vt:variant>
        <vt:lpwstr>_ENREF_36</vt:lpwstr>
      </vt:variant>
      <vt:variant>
        <vt:i4>4325387</vt:i4>
      </vt:variant>
      <vt:variant>
        <vt:i4>222</vt:i4>
      </vt:variant>
      <vt:variant>
        <vt:i4>0</vt:i4>
      </vt:variant>
      <vt:variant>
        <vt:i4>5</vt:i4>
      </vt:variant>
      <vt:variant>
        <vt:lpwstr/>
      </vt:variant>
      <vt:variant>
        <vt:lpwstr>_ENREF_32</vt:lpwstr>
      </vt:variant>
      <vt:variant>
        <vt:i4>4390923</vt:i4>
      </vt:variant>
      <vt:variant>
        <vt:i4>216</vt:i4>
      </vt:variant>
      <vt:variant>
        <vt:i4>0</vt:i4>
      </vt:variant>
      <vt:variant>
        <vt:i4>5</vt:i4>
      </vt:variant>
      <vt:variant>
        <vt:lpwstr/>
      </vt:variant>
      <vt:variant>
        <vt:lpwstr>_ENREF_23</vt:lpwstr>
      </vt:variant>
      <vt:variant>
        <vt:i4>4325387</vt:i4>
      </vt:variant>
      <vt:variant>
        <vt:i4>210</vt:i4>
      </vt:variant>
      <vt:variant>
        <vt:i4>0</vt:i4>
      </vt:variant>
      <vt:variant>
        <vt:i4>5</vt:i4>
      </vt:variant>
      <vt:variant>
        <vt:lpwstr/>
      </vt:variant>
      <vt:variant>
        <vt:lpwstr>_ENREF_34</vt:lpwstr>
      </vt:variant>
      <vt:variant>
        <vt:i4>4325387</vt:i4>
      </vt:variant>
      <vt:variant>
        <vt:i4>204</vt:i4>
      </vt:variant>
      <vt:variant>
        <vt:i4>0</vt:i4>
      </vt:variant>
      <vt:variant>
        <vt:i4>5</vt:i4>
      </vt:variant>
      <vt:variant>
        <vt:lpwstr/>
      </vt:variant>
      <vt:variant>
        <vt:lpwstr>_ENREF_36</vt:lpwstr>
      </vt:variant>
      <vt:variant>
        <vt:i4>4325387</vt:i4>
      </vt:variant>
      <vt:variant>
        <vt:i4>198</vt:i4>
      </vt:variant>
      <vt:variant>
        <vt:i4>0</vt:i4>
      </vt:variant>
      <vt:variant>
        <vt:i4>5</vt:i4>
      </vt:variant>
      <vt:variant>
        <vt:lpwstr/>
      </vt:variant>
      <vt:variant>
        <vt:lpwstr>_ENREF_35</vt:lpwstr>
      </vt:variant>
      <vt:variant>
        <vt:i4>4325387</vt:i4>
      </vt:variant>
      <vt:variant>
        <vt:i4>192</vt:i4>
      </vt:variant>
      <vt:variant>
        <vt:i4>0</vt:i4>
      </vt:variant>
      <vt:variant>
        <vt:i4>5</vt:i4>
      </vt:variant>
      <vt:variant>
        <vt:lpwstr/>
      </vt:variant>
      <vt:variant>
        <vt:lpwstr>_ENREF_31</vt:lpwstr>
      </vt:variant>
      <vt:variant>
        <vt:i4>4325387</vt:i4>
      </vt:variant>
      <vt:variant>
        <vt:i4>186</vt:i4>
      </vt:variant>
      <vt:variant>
        <vt:i4>0</vt:i4>
      </vt:variant>
      <vt:variant>
        <vt:i4>5</vt:i4>
      </vt:variant>
      <vt:variant>
        <vt:lpwstr/>
      </vt:variant>
      <vt:variant>
        <vt:lpwstr>_ENREF_33</vt:lpwstr>
      </vt:variant>
      <vt:variant>
        <vt:i4>4653067</vt:i4>
      </vt:variant>
      <vt:variant>
        <vt:i4>180</vt:i4>
      </vt:variant>
      <vt:variant>
        <vt:i4>0</vt:i4>
      </vt:variant>
      <vt:variant>
        <vt:i4>5</vt:i4>
      </vt:variant>
      <vt:variant>
        <vt:lpwstr/>
      </vt:variant>
      <vt:variant>
        <vt:lpwstr>_ENREF_6</vt:lpwstr>
      </vt:variant>
      <vt:variant>
        <vt:i4>4325387</vt:i4>
      </vt:variant>
      <vt:variant>
        <vt:i4>174</vt:i4>
      </vt:variant>
      <vt:variant>
        <vt:i4>0</vt:i4>
      </vt:variant>
      <vt:variant>
        <vt:i4>5</vt:i4>
      </vt:variant>
      <vt:variant>
        <vt:lpwstr/>
      </vt:variant>
      <vt:variant>
        <vt:lpwstr>_ENREF_33</vt:lpwstr>
      </vt:variant>
      <vt:variant>
        <vt:i4>4194315</vt:i4>
      </vt:variant>
      <vt:variant>
        <vt:i4>168</vt:i4>
      </vt:variant>
      <vt:variant>
        <vt:i4>0</vt:i4>
      </vt:variant>
      <vt:variant>
        <vt:i4>5</vt:i4>
      </vt:variant>
      <vt:variant>
        <vt:lpwstr/>
      </vt:variant>
      <vt:variant>
        <vt:lpwstr>_ENREF_11</vt:lpwstr>
      </vt:variant>
      <vt:variant>
        <vt:i4>4390923</vt:i4>
      </vt:variant>
      <vt:variant>
        <vt:i4>162</vt:i4>
      </vt:variant>
      <vt:variant>
        <vt:i4>0</vt:i4>
      </vt:variant>
      <vt:variant>
        <vt:i4>5</vt:i4>
      </vt:variant>
      <vt:variant>
        <vt:lpwstr/>
      </vt:variant>
      <vt:variant>
        <vt:lpwstr>_ENREF_21</vt:lpwstr>
      </vt:variant>
      <vt:variant>
        <vt:i4>4325387</vt:i4>
      </vt:variant>
      <vt:variant>
        <vt:i4>156</vt:i4>
      </vt:variant>
      <vt:variant>
        <vt:i4>0</vt:i4>
      </vt:variant>
      <vt:variant>
        <vt:i4>5</vt:i4>
      </vt:variant>
      <vt:variant>
        <vt:lpwstr/>
      </vt:variant>
      <vt:variant>
        <vt:lpwstr>_ENREF_30</vt:lpwstr>
      </vt:variant>
      <vt:variant>
        <vt:i4>4390923</vt:i4>
      </vt:variant>
      <vt:variant>
        <vt:i4>150</vt:i4>
      </vt:variant>
      <vt:variant>
        <vt:i4>0</vt:i4>
      </vt:variant>
      <vt:variant>
        <vt:i4>5</vt:i4>
      </vt:variant>
      <vt:variant>
        <vt:lpwstr/>
      </vt:variant>
      <vt:variant>
        <vt:lpwstr>_ENREF_26</vt:lpwstr>
      </vt:variant>
      <vt:variant>
        <vt:i4>4390923</vt:i4>
      </vt:variant>
      <vt:variant>
        <vt:i4>144</vt:i4>
      </vt:variant>
      <vt:variant>
        <vt:i4>0</vt:i4>
      </vt:variant>
      <vt:variant>
        <vt:i4>5</vt:i4>
      </vt:variant>
      <vt:variant>
        <vt:lpwstr/>
      </vt:variant>
      <vt:variant>
        <vt:lpwstr>_ENREF_28</vt:lpwstr>
      </vt:variant>
      <vt:variant>
        <vt:i4>4325387</vt:i4>
      </vt:variant>
      <vt:variant>
        <vt:i4>138</vt:i4>
      </vt:variant>
      <vt:variant>
        <vt:i4>0</vt:i4>
      </vt:variant>
      <vt:variant>
        <vt:i4>5</vt:i4>
      </vt:variant>
      <vt:variant>
        <vt:lpwstr/>
      </vt:variant>
      <vt:variant>
        <vt:lpwstr>_ENREF_39</vt:lpwstr>
      </vt:variant>
      <vt:variant>
        <vt:i4>4194315</vt:i4>
      </vt:variant>
      <vt:variant>
        <vt:i4>132</vt:i4>
      </vt:variant>
      <vt:variant>
        <vt:i4>0</vt:i4>
      </vt:variant>
      <vt:variant>
        <vt:i4>5</vt:i4>
      </vt:variant>
      <vt:variant>
        <vt:lpwstr/>
      </vt:variant>
      <vt:variant>
        <vt:lpwstr>_ENREF_10</vt:lpwstr>
      </vt:variant>
      <vt:variant>
        <vt:i4>4456459</vt:i4>
      </vt:variant>
      <vt:variant>
        <vt:i4>126</vt:i4>
      </vt:variant>
      <vt:variant>
        <vt:i4>0</vt:i4>
      </vt:variant>
      <vt:variant>
        <vt:i4>5</vt:i4>
      </vt:variant>
      <vt:variant>
        <vt:lpwstr/>
      </vt:variant>
      <vt:variant>
        <vt:lpwstr>_ENREF_5</vt:lpwstr>
      </vt:variant>
      <vt:variant>
        <vt:i4>4390923</vt:i4>
      </vt:variant>
      <vt:variant>
        <vt:i4>120</vt:i4>
      </vt:variant>
      <vt:variant>
        <vt:i4>0</vt:i4>
      </vt:variant>
      <vt:variant>
        <vt:i4>5</vt:i4>
      </vt:variant>
      <vt:variant>
        <vt:lpwstr/>
      </vt:variant>
      <vt:variant>
        <vt:lpwstr>_ENREF_2</vt:lpwstr>
      </vt:variant>
      <vt:variant>
        <vt:i4>4325387</vt:i4>
      </vt:variant>
      <vt:variant>
        <vt:i4>114</vt:i4>
      </vt:variant>
      <vt:variant>
        <vt:i4>0</vt:i4>
      </vt:variant>
      <vt:variant>
        <vt:i4>5</vt:i4>
      </vt:variant>
      <vt:variant>
        <vt:lpwstr/>
      </vt:variant>
      <vt:variant>
        <vt:lpwstr>_ENREF_37</vt:lpwstr>
      </vt:variant>
      <vt:variant>
        <vt:i4>4194315</vt:i4>
      </vt:variant>
      <vt:variant>
        <vt:i4>108</vt:i4>
      </vt:variant>
      <vt:variant>
        <vt:i4>0</vt:i4>
      </vt:variant>
      <vt:variant>
        <vt:i4>5</vt:i4>
      </vt:variant>
      <vt:variant>
        <vt:lpwstr/>
      </vt:variant>
      <vt:variant>
        <vt:lpwstr>_ENREF_15</vt:lpwstr>
      </vt:variant>
      <vt:variant>
        <vt:i4>4194315</vt:i4>
      </vt:variant>
      <vt:variant>
        <vt:i4>102</vt:i4>
      </vt:variant>
      <vt:variant>
        <vt:i4>0</vt:i4>
      </vt:variant>
      <vt:variant>
        <vt:i4>5</vt:i4>
      </vt:variant>
      <vt:variant>
        <vt:lpwstr/>
      </vt:variant>
      <vt:variant>
        <vt:lpwstr>_ENREF_17</vt:lpwstr>
      </vt:variant>
      <vt:variant>
        <vt:i4>4325387</vt:i4>
      </vt:variant>
      <vt:variant>
        <vt:i4>96</vt:i4>
      </vt:variant>
      <vt:variant>
        <vt:i4>0</vt:i4>
      </vt:variant>
      <vt:variant>
        <vt:i4>5</vt:i4>
      </vt:variant>
      <vt:variant>
        <vt:lpwstr/>
      </vt:variant>
      <vt:variant>
        <vt:lpwstr>_ENREF_30</vt:lpwstr>
      </vt:variant>
      <vt:variant>
        <vt:i4>4194315</vt:i4>
      </vt:variant>
      <vt:variant>
        <vt:i4>90</vt:i4>
      </vt:variant>
      <vt:variant>
        <vt:i4>0</vt:i4>
      </vt:variant>
      <vt:variant>
        <vt:i4>5</vt:i4>
      </vt:variant>
      <vt:variant>
        <vt:lpwstr/>
      </vt:variant>
      <vt:variant>
        <vt:lpwstr>_ENREF_13</vt:lpwstr>
      </vt:variant>
      <vt:variant>
        <vt:i4>4456459</vt:i4>
      </vt:variant>
      <vt:variant>
        <vt:i4>84</vt:i4>
      </vt:variant>
      <vt:variant>
        <vt:i4>0</vt:i4>
      </vt:variant>
      <vt:variant>
        <vt:i4>5</vt:i4>
      </vt:variant>
      <vt:variant>
        <vt:lpwstr/>
      </vt:variant>
      <vt:variant>
        <vt:lpwstr>_ENREF_5</vt:lpwstr>
      </vt:variant>
      <vt:variant>
        <vt:i4>4194315</vt:i4>
      </vt:variant>
      <vt:variant>
        <vt:i4>78</vt:i4>
      </vt:variant>
      <vt:variant>
        <vt:i4>0</vt:i4>
      </vt:variant>
      <vt:variant>
        <vt:i4>5</vt:i4>
      </vt:variant>
      <vt:variant>
        <vt:lpwstr/>
      </vt:variant>
      <vt:variant>
        <vt:lpwstr>_ENREF_14</vt:lpwstr>
      </vt:variant>
      <vt:variant>
        <vt:i4>4194315</vt:i4>
      </vt:variant>
      <vt:variant>
        <vt:i4>72</vt:i4>
      </vt:variant>
      <vt:variant>
        <vt:i4>0</vt:i4>
      </vt:variant>
      <vt:variant>
        <vt:i4>5</vt:i4>
      </vt:variant>
      <vt:variant>
        <vt:lpwstr/>
      </vt:variant>
      <vt:variant>
        <vt:lpwstr>_ENREF_1</vt:lpwstr>
      </vt:variant>
      <vt:variant>
        <vt:i4>4390923</vt:i4>
      </vt:variant>
      <vt:variant>
        <vt:i4>66</vt:i4>
      </vt:variant>
      <vt:variant>
        <vt:i4>0</vt:i4>
      </vt:variant>
      <vt:variant>
        <vt:i4>5</vt:i4>
      </vt:variant>
      <vt:variant>
        <vt:lpwstr/>
      </vt:variant>
      <vt:variant>
        <vt:lpwstr>_ENREF_25</vt:lpwstr>
      </vt:variant>
      <vt:variant>
        <vt:i4>4784139</vt:i4>
      </vt:variant>
      <vt:variant>
        <vt:i4>60</vt:i4>
      </vt:variant>
      <vt:variant>
        <vt:i4>0</vt:i4>
      </vt:variant>
      <vt:variant>
        <vt:i4>5</vt:i4>
      </vt:variant>
      <vt:variant>
        <vt:lpwstr/>
      </vt:variant>
      <vt:variant>
        <vt:lpwstr>_ENREF_8</vt:lpwstr>
      </vt:variant>
      <vt:variant>
        <vt:i4>4718603</vt:i4>
      </vt:variant>
      <vt:variant>
        <vt:i4>54</vt:i4>
      </vt:variant>
      <vt:variant>
        <vt:i4>0</vt:i4>
      </vt:variant>
      <vt:variant>
        <vt:i4>5</vt:i4>
      </vt:variant>
      <vt:variant>
        <vt:lpwstr/>
      </vt:variant>
      <vt:variant>
        <vt:lpwstr>_ENREF_9</vt:lpwstr>
      </vt:variant>
      <vt:variant>
        <vt:i4>4390923</vt:i4>
      </vt:variant>
      <vt:variant>
        <vt:i4>48</vt:i4>
      </vt:variant>
      <vt:variant>
        <vt:i4>0</vt:i4>
      </vt:variant>
      <vt:variant>
        <vt:i4>5</vt:i4>
      </vt:variant>
      <vt:variant>
        <vt:lpwstr/>
      </vt:variant>
      <vt:variant>
        <vt:lpwstr>_ENREF_24</vt:lpwstr>
      </vt:variant>
      <vt:variant>
        <vt:i4>4521995</vt:i4>
      </vt:variant>
      <vt:variant>
        <vt:i4>44</vt:i4>
      </vt:variant>
      <vt:variant>
        <vt:i4>0</vt:i4>
      </vt:variant>
      <vt:variant>
        <vt:i4>5</vt:i4>
      </vt:variant>
      <vt:variant>
        <vt:lpwstr/>
      </vt:variant>
      <vt:variant>
        <vt:lpwstr>_ENREF_41</vt:lpwstr>
      </vt:variant>
      <vt:variant>
        <vt:i4>4325387</vt:i4>
      </vt:variant>
      <vt:variant>
        <vt:i4>41</vt:i4>
      </vt:variant>
      <vt:variant>
        <vt:i4>0</vt:i4>
      </vt:variant>
      <vt:variant>
        <vt:i4>5</vt:i4>
      </vt:variant>
      <vt:variant>
        <vt:lpwstr/>
      </vt:variant>
      <vt:variant>
        <vt:lpwstr>_ENREF_3</vt:lpwstr>
      </vt:variant>
      <vt:variant>
        <vt:i4>4784139</vt:i4>
      </vt:variant>
      <vt:variant>
        <vt:i4>33</vt:i4>
      </vt:variant>
      <vt:variant>
        <vt:i4>0</vt:i4>
      </vt:variant>
      <vt:variant>
        <vt:i4>5</vt:i4>
      </vt:variant>
      <vt:variant>
        <vt:lpwstr/>
      </vt:variant>
      <vt:variant>
        <vt:lpwstr>_ENREF_8</vt:lpwstr>
      </vt:variant>
      <vt:variant>
        <vt:i4>4325387</vt:i4>
      </vt:variant>
      <vt:variant>
        <vt:i4>27</vt:i4>
      </vt:variant>
      <vt:variant>
        <vt:i4>0</vt:i4>
      </vt:variant>
      <vt:variant>
        <vt:i4>5</vt:i4>
      </vt:variant>
      <vt:variant>
        <vt:lpwstr/>
      </vt:variant>
      <vt:variant>
        <vt:lpwstr>_ENREF_30</vt:lpwstr>
      </vt:variant>
      <vt:variant>
        <vt:i4>4325387</vt:i4>
      </vt:variant>
      <vt:variant>
        <vt:i4>21</vt:i4>
      </vt:variant>
      <vt:variant>
        <vt:i4>0</vt:i4>
      </vt:variant>
      <vt:variant>
        <vt:i4>5</vt:i4>
      </vt:variant>
      <vt:variant>
        <vt:lpwstr/>
      </vt:variant>
      <vt:variant>
        <vt:lpwstr>_ENREF_31</vt:lpwstr>
      </vt:variant>
      <vt:variant>
        <vt:i4>4587531</vt:i4>
      </vt:variant>
      <vt:variant>
        <vt:i4>15</vt:i4>
      </vt:variant>
      <vt:variant>
        <vt:i4>0</vt:i4>
      </vt:variant>
      <vt:variant>
        <vt:i4>5</vt:i4>
      </vt:variant>
      <vt:variant>
        <vt:lpwstr/>
      </vt:variant>
      <vt:variant>
        <vt:lpwstr>_ENREF_7</vt:lpwstr>
      </vt:variant>
      <vt:variant>
        <vt:i4>4390923</vt:i4>
      </vt:variant>
      <vt:variant>
        <vt:i4>12</vt:i4>
      </vt:variant>
      <vt:variant>
        <vt:i4>0</vt:i4>
      </vt:variant>
      <vt:variant>
        <vt:i4>5</vt:i4>
      </vt:variant>
      <vt:variant>
        <vt:lpwstr/>
      </vt:variant>
      <vt:variant>
        <vt:lpwstr>_ENREF_25</vt:lpwstr>
      </vt:variant>
      <vt:variant>
        <vt:i4>4325387</vt:i4>
      </vt:variant>
      <vt:variant>
        <vt:i4>6</vt:i4>
      </vt:variant>
      <vt:variant>
        <vt:i4>0</vt:i4>
      </vt:variant>
      <vt:variant>
        <vt:i4>5</vt:i4>
      </vt:variant>
      <vt:variant>
        <vt:lpwstr/>
      </vt:variant>
      <vt:variant>
        <vt:lpwstr>_ENREF_30</vt:lpwstr>
      </vt:variant>
      <vt:variant>
        <vt:i4>4194315</vt:i4>
      </vt:variant>
      <vt:variant>
        <vt:i4>0</vt:i4>
      </vt:variant>
      <vt:variant>
        <vt:i4>0</vt:i4>
      </vt:variant>
      <vt:variant>
        <vt:i4>5</vt:i4>
      </vt:variant>
      <vt:variant>
        <vt:lpwstr/>
      </vt:variant>
      <vt:variant>
        <vt:lpwstr>_ENREF_13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Christoph Grimpe</dc:creator>
  <cp:keywords/>
  <dc:description/>
  <cp:lastModifiedBy>Angelidou, Sofia</cp:lastModifiedBy>
  <cp:revision>2</cp:revision>
  <cp:lastPrinted>2022-06-15T07:11:00Z</cp:lastPrinted>
  <dcterms:created xsi:type="dcterms:W3CDTF">2022-07-11T16:04:00Z</dcterms:created>
  <dcterms:modified xsi:type="dcterms:W3CDTF">2022-07-11T16:04:00Z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WnCUserId">
    <vt:lpwstr>5450</vt:lpwstr>
  </property>
  <property fmtid="{D5CDD505-2E9C-101B-9397-08002B2CF9AE}" pid="4" name="WnCSubscriberId">
    <vt:lpwstr>1635</vt:lpwstr>
  </property>
  <property fmtid="{D5CDD505-2E9C-101B-9397-08002B2CF9AE}" pid="5" name="WnCOutputStyleId">
    <vt:lpwstr>10326</vt:lpwstr>
  </property>
  <property fmtid="{D5CDD505-2E9C-101B-9397-08002B2CF9AE}" pid="6" name="RWProductId">
    <vt:lpwstr>WnC</vt:lpwstr>
  </property>
  <property fmtid="{D5CDD505-2E9C-101B-9397-08002B2CF9AE}" pid="7" name="WnCUser">
    <vt:lpwstr>aoo.ino@cbs.dk_1635</vt:lpwstr>
  </property>
  <property fmtid="{D5CDD505-2E9C-101B-9397-08002B2CF9AE}" pid="8" name="WnC4Folder">
    <vt:lpwstr/>
  </property>
  <property fmtid="{D5CDD505-2E9C-101B-9397-08002B2CF9AE}" pid="9" name="Mendeley Recent Style Id 0_1">
    <vt:lpwstr>http://www.zotero.org/styles/academy-of-management-learning-and-education</vt:lpwstr>
  </property>
  <property fmtid="{D5CDD505-2E9C-101B-9397-08002B2CF9AE}" pid="10" name="Mendeley Recent Style Name 0_1">
    <vt:lpwstr>Academy of Management Learning and Education</vt:lpwstr>
  </property>
  <property fmtid="{D5CDD505-2E9C-101B-9397-08002B2CF9AE}" pid="11" name="Mendeley Recent Style Id 1_1">
    <vt:lpwstr>http://www.zotero.org/styles/academy-of-management-review</vt:lpwstr>
  </property>
  <property fmtid="{D5CDD505-2E9C-101B-9397-08002B2CF9AE}" pid="12" name="Mendeley Recent Style Name 1_1">
    <vt:lpwstr>Academy of Management Review</vt:lpwstr>
  </property>
  <property fmtid="{D5CDD505-2E9C-101B-9397-08002B2CF9AE}" pid="13" name="Mendeley Recent Style Id 2_1">
    <vt:lpwstr>http://www.zotero.org/styles/american-medical-association</vt:lpwstr>
  </property>
  <property fmtid="{D5CDD505-2E9C-101B-9397-08002B2CF9AE}" pid="14" name="Mendeley Recent Style Name 2_1">
    <vt:lpwstr>American Medical Association</vt:lpwstr>
  </property>
  <property fmtid="{D5CDD505-2E9C-101B-9397-08002B2CF9AE}" pid="15" name="Mendeley Recent Style Id 3_1">
    <vt:lpwstr>http://www.zotero.org/styles/american-political-science-association</vt:lpwstr>
  </property>
  <property fmtid="{D5CDD505-2E9C-101B-9397-08002B2CF9AE}" pid="16" name="Mendeley Recent Style Name 3_1">
    <vt:lpwstr>American Political Science Association</vt:lpwstr>
  </property>
  <property fmtid="{D5CDD505-2E9C-101B-9397-08002B2CF9AE}" pid="17" name="Mendeley Recent Style Id 4_1">
    <vt:lpwstr>http://www.zotero.org/styles/american-sociological-association</vt:lpwstr>
  </property>
  <property fmtid="{D5CDD505-2E9C-101B-9397-08002B2CF9AE}" pid="18" name="Mendeley Recent Style Name 4_1">
    <vt:lpwstr>American Sociological Association</vt:lpwstr>
  </property>
  <property fmtid="{D5CDD505-2E9C-101B-9397-08002B2CF9AE}" pid="19" name="Mendeley Recent Style Id 5_1">
    <vt:lpwstr>http://www.zotero.org/styles/chicago-author-date</vt:lpwstr>
  </property>
  <property fmtid="{D5CDD505-2E9C-101B-9397-08002B2CF9AE}" pid="20" name="Mendeley Recent Style Name 5_1">
    <vt:lpwstr>Chicago Manual of Style 17th edition (author-date)</vt:lpwstr>
  </property>
  <property fmtid="{D5CDD505-2E9C-101B-9397-08002B2CF9AE}" pid="21" name="Mendeley Recent Style Id 6_1">
    <vt:lpwstr>http://www.zotero.org/styles/harvard-cite-them-right</vt:lpwstr>
  </property>
  <property fmtid="{D5CDD505-2E9C-101B-9397-08002B2CF9AE}" pid="22" name="Mendeley Recent Style Name 6_1">
    <vt:lpwstr>Cite Them Right 10th edition - Harvard</vt:lpwstr>
  </property>
  <property fmtid="{D5CDD505-2E9C-101B-9397-08002B2CF9AE}" pid="23" name="Mendeley Recent Style Id 7_1">
    <vt:lpwstr>http://www.zotero.org/styles/organization-studies</vt:lpwstr>
  </property>
  <property fmtid="{D5CDD505-2E9C-101B-9397-08002B2CF9AE}" pid="24" name="Mendeley Recent Style Name 7_1">
    <vt:lpwstr>Organization Studies</vt:lpwstr>
  </property>
  <property fmtid="{D5CDD505-2E9C-101B-9397-08002B2CF9AE}" pid="25" name="Mendeley Recent Style Id 8_1">
    <vt:lpwstr>http://www.zotero.org/styles/research-policy</vt:lpwstr>
  </property>
  <property fmtid="{D5CDD505-2E9C-101B-9397-08002B2CF9AE}" pid="26" name="Mendeley Recent Style Name 8_1">
    <vt:lpwstr>Research Policy</vt:lpwstr>
  </property>
  <property fmtid="{D5CDD505-2E9C-101B-9397-08002B2CF9AE}" pid="27" name="Mendeley Recent Style Id 9_1">
    <vt:lpwstr>http://www.zotero.org/styles/technovation</vt:lpwstr>
  </property>
  <property fmtid="{D5CDD505-2E9C-101B-9397-08002B2CF9AE}" pid="28" name="Mendeley Recent Style Name 9_1">
    <vt:lpwstr>Technovation</vt:lpwstr>
  </property>
  <property fmtid="{D5CDD505-2E9C-101B-9397-08002B2CF9AE}" pid="29" name="Mendeley Document_1">
    <vt:lpwstr>True</vt:lpwstr>
  </property>
  <property fmtid="{D5CDD505-2E9C-101B-9397-08002B2CF9AE}" pid="30" name="Mendeley Unique User Id_1">
    <vt:lpwstr>1a77f3f6-1e14-3be2-aa0b-951d1b43e86d</vt:lpwstr>
  </property>
  <property fmtid="{D5CDD505-2E9C-101B-9397-08002B2CF9AE}" pid="31" name="Mendeley Citation Style_1">
    <vt:lpwstr>http://www.zotero.org/styles/research-policy</vt:lpwstr>
  </property>
</Properties>
</file>