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A23DE" w14:textId="77777777" w:rsidR="003D4FFF" w:rsidRPr="003D4FFF" w:rsidRDefault="003D4FFF" w:rsidP="003D4FFF">
      <w:pPr>
        <w:spacing w:line="276" w:lineRule="auto"/>
        <w:rPr>
          <w:rFonts w:cstheme="minorHAnsi"/>
          <w:b/>
        </w:rPr>
      </w:pPr>
      <w:bookmarkStart w:id="0" w:name="_GoBack"/>
      <w:bookmarkEnd w:id="0"/>
      <w:r w:rsidRPr="003D4FFF">
        <w:rPr>
          <w:rFonts w:cstheme="minorHAnsi"/>
          <w:b/>
        </w:rPr>
        <w:t>Police Encounters</w:t>
      </w:r>
    </w:p>
    <w:p w14:paraId="4DD24403" w14:textId="77777777" w:rsidR="003D4FFF" w:rsidRPr="003D4FFF" w:rsidRDefault="003D4FFF" w:rsidP="003D4FFF">
      <w:pPr>
        <w:spacing w:line="276" w:lineRule="auto"/>
        <w:rPr>
          <w:rFonts w:cstheme="minorHAnsi"/>
        </w:rPr>
      </w:pPr>
    </w:p>
    <w:p w14:paraId="1687F89D" w14:textId="77777777" w:rsidR="00C4560C" w:rsidRDefault="003D4FFF" w:rsidP="00C921F6">
      <w:pPr>
        <w:spacing w:line="276" w:lineRule="auto"/>
        <w:rPr>
          <w:rFonts w:cstheme="minorHAnsi"/>
        </w:rPr>
      </w:pPr>
      <w:r w:rsidRPr="00C921F6">
        <w:rPr>
          <w:rFonts w:cstheme="minorHAnsi"/>
        </w:rPr>
        <w:t xml:space="preserve">Waddington (1999) argued that police officers define key aspects of what it is to be a citizen. Those most subject to police attention experience citizenship differently to those for whom police encounters are a rare event. </w:t>
      </w:r>
      <w:r w:rsidR="00A36A8F">
        <w:rPr>
          <w:rFonts w:cstheme="minorHAnsi"/>
        </w:rPr>
        <w:t xml:space="preserve">These encounters, and in particular those stop and search/frisk interactions initiated by police officers, have been studied in detail in the US (for example: Epp </w:t>
      </w:r>
      <w:r w:rsidR="00A36A8F" w:rsidRPr="00A36A8F">
        <w:rPr>
          <w:rFonts w:cstheme="minorHAnsi"/>
          <w:i/>
        </w:rPr>
        <w:t>et al.</w:t>
      </w:r>
      <w:r w:rsidR="00A36A8F">
        <w:rPr>
          <w:rFonts w:cstheme="minorHAnsi"/>
        </w:rPr>
        <w:t xml:space="preserve">, 2014; White and Fradella, 2016; Ross, 2020) and in England and Wales (for example: Miller </w:t>
      </w:r>
      <w:r w:rsidR="00A36A8F" w:rsidRPr="00A36A8F">
        <w:rPr>
          <w:rFonts w:cstheme="minorHAnsi"/>
          <w:i/>
        </w:rPr>
        <w:t>et al.</w:t>
      </w:r>
      <w:r w:rsidR="00A36A8F">
        <w:rPr>
          <w:rFonts w:cstheme="minorHAnsi"/>
        </w:rPr>
        <w:t xml:space="preserve">, 2001; Quinton, 2011; Bradford, 2017). </w:t>
      </w:r>
      <w:r w:rsidR="00C4560C">
        <w:rPr>
          <w:rFonts w:cstheme="minorHAnsi"/>
        </w:rPr>
        <w:t>At the heart of the interest has been the use of policing powers disproportionately against black and minority communities, and particularly young men. Similar attention has emerged more recently in Scotland (Murray, 2014), Northern Ireland (Bradford and Topping, 2020) and beyond the English speaking world (</w:t>
      </w:r>
      <w:proofErr w:type="spellStart"/>
      <w:r w:rsidR="00C4560C">
        <w:rPr>
          <w:rFonts w:cstheme="minorHAnsi"/>
        </w:rPr>
        <w:t>Delsol</w:t>
      </w:r>
      <w:proofErr w:type="spellEnd"/>
      <w:r w:rsidR="00C4560C">
        <w:rPr>
          <w:rFonts w:cstheme="minorHAnsi"/>
        </w:rPr>
        <w:t xml:space="preserve"> and Shiner, 2015</w:t>
      </w:r>
      <w:r w:rsidR="003B60EE">
        <w:rPr>
          <w:rFonts w:cstheme="minorHAnsi"/>
        </w:rPr>
        <w:t xml:space="preserve">; </w:t>
      </w:r>
      <w:proofErr w:type="spellStart"/>
      <w:r w:rsidR="00757CA5">
        <w:t>Oberwittler</w:t>
      </w:r>
      <w:proofErr w:type="spellEnd"/>
      <w:r w:rsidR="00757CA5">
        <w:t xml:space="preserve"> and </w:t>
      </w:r>
      <w:proofErr w:type="spellStart"/>
      <w:r w:rsidR="00757CA5">
        <w:t>Roché</w:t>
      </w:r>
      <w:proofErr w:type="spellEnd"/>
      <w:r w:rsidR="00757CA5">
        <w:t xml:space="preserve">, 2018; de Maillard </w:t>
      </w:r>
      <w:r w:rsidR="00757CA5" w:rsidRPr="00757CA5">
        <w:rPr>
          <w:i/>
        </w:rPr>
        <w:t>et al.</w:t>
      </w:r>
      <w:r w:rsidR="00757CA5">
        <w:t>, 2018</w:t>
      </w:r>
      <w:r w:rsidR="00C4560C">
        <w:rPr>
          <w:rFonts w:cstheme="minorHAnsi"/>
        </w:rPr>
        <w:t xml:space="preserve">). </w:t>
      </w:r>
      <w:r w:rsidR="003B60EE">
        <w:rPr>
          <w:rFonts w:cstheme="minorHAnsi"/>
        </w:rPr>
        <w:t>However, in many countries, the issue is not one that has prompted sustained interest</w:t>
      </w:r>
      <w:r w:rsidR="00757CA5">
        <w:rPr>
          <w:rFonts w:cstheme="minorHAnsi"/>
        </w:rPr>
        <w:t>.</w:t>
      </w:r>
    </w:p>
    <w:p w14:paraId="1F244598" w14:textId="1FE987F0" w:rsidR="00F243EE" w:rsidRDefault="00C4560C" w:rsidP="00C4560C">
      <w:pPr>
        <w:spacing w:line="276" w:lineRule="auto"/>
        <w:rPr>
          <w:rFonts w:cstheme="minorHAnsi"/>
        </w:rPr>
      </w:pPr>
      <w:r>
        <w:rPr>
          <w:rFonts w:cstheme="minorHAnsi"/>
        </w:rPr>
        <w:t>The papers in this Special Issue have emerged from an EU COST</w:t>
      </w:r>
      <w:r w:rsidR="003024EF">
        <w:rPr>
          <w:rFonts w:cstheme="minorHAnsi"/>
        </w:rPr>
        <w:t>-</w:t>
      </w:r>
      <w:r>
        <w:rPr>
          <w:rFonts w:cstheme="minorHAnsi"/>
        </w:rPr>
        <w:t>funded Action on Police Stops (Police Stops, 2022). Our aim has been to raise the use of powers to stop citizens, to check their identity and, in some circumstances, to conduct a search</w:t>
      </w:r>
      <w:r w:rsidR="00757CA5">
        <w:rPr>
          <w:rFonts w:cstheme="minorHAnsi"/>
        </w:rPr>
        <w:t xml:space="preserve"> as an issue of academic and public concern. We have sought to understand</w:t>
      </w:r>
      <w:r w:rsidR="00056F40">
        <w:rPr>
          <w:rFonts w:cstheme="minorHAnsi"/>
        </w:rPr>
        <w:t>, in countries beyond the US and the UK,</w:t>
      </w:r>
      <w:r w:rsidR="00757CA5">
        <w:rPr>
          <w:rFonts w:cstheme="minorHAnsi"/>
        </w:rPr>
        <w:t xml:space="preserve"> how these powers are experienced, how </w:t>
      </w:r>
      <w:r w:rsidR="007159E8">
        <w:rPr>
          <w:rFonts w:cstheme="minorHAnsi"/>
        </w:rPr>
        <w:t>policing practitioners</w:t>
      </w:r>
      <w:r w:rsidR="00757CA5">
        <w:rPr>
          <w:rFonts w:cstheme="minorHAnsi"/>
        </w:rPr>
        <w:t xml:space="preserve"> are held accountable and the politics surrounding </w:t>
      </w:r>
      <w:r w:rsidR="005552F1">
        <w:rPr>
          <w:rFonts w:cstheme="minorHAnsi"/>
        </w:rPr>
        <w:t>the</w:t>
      </w:r>
      <w:r w:rsidR="00757CA5">
        <w:rPr>
          <w:rFonts w:cstheme="minorHAnsi"/>
        </w:rPr>
        <w:t xml:space="preserve"> use</w:t>
      </w:r>
      <w:r w:rsidR="005552F1">
        <w:rPr>
          <w:rFonts w:cstheme="minorHAnsi"/>
        </w:rPr>
        <w:t xml:space="preserve"> of</w:t>
      </w:r>
      <w:r w:rsidR="009D1392">
        <w:rPr>
          <w:rFonts w:cstheme="minorHAnsi"/>
        </w:rPr>
        <w:t xml:space="preserve"> these powers</w:t>
      </w:r>
      <w:r w:rsidR="00757CA5">
        <w:rPr>
          <w:rFonts w:cstheme="minorHAnsi"/>
        </w:rPr>
        <w:t xml:space="preserve">. </w:t>
      </w:r>
      <w:r w:rsidR="00E762B0">
        <w:rPr>
          <w:rFonts w:cstheme="minorHAnsi"/>
        </w:rPr>
        <w:t>T</w:t>
      </w:r>
      <w:r w:rsidR="00757CA5">
        <w:rPr>
          <w:rFonts w:cstheme="minorHAnsi"/>
        </w:rPr>
        <w:t>his Special Issue</w:t>
      </w:r>
      <w:r w:rsidR="00E762B0">
        <w:rPr>
          <w:rFonts w:cstheme="minorHAnsi"/>
        </w:rPr>
        <w:t xml:space="preserve"> reflects our additional</w:t>
      </w:r>
      <w:r w:rsidR="00757CA5">
        <w:rPr>
          <w:rFonts w:cstheme="minorHAnsi"/>
        </w:rPr>
        <w:t xml:space="preserve"> concern to understand how police officers</w:t>
      </w:r>
      <w:r w:rsidR="00E762B0">
        <w:rPr>
          <w:rFonts w:cstheme="minorHAnsi"/>
        </w:rPr>
        <w:t xml:space="preserve"> themselves</w:t>
      </w:r>
      <w:r w:rsidR="00757CA5">
        <w:rPr>
          <w:rFonts w:cstheme="minorHAnsi"/>
        </w:rPr>
        <w:t xml:space="preserve"> understand and use </w:t>
      </w:r>
      <w:r w:rsidR="00574B92">
        <w:rPr>
          <w:rFonts w:cstheme="minorHAnsi"/>
        </w:rPr>
        <w:t>their power to stop citizens</w:t>
      </w:r>
      <w:r w:rsidR="00757CA5">
        <w:rPr>
          <w:rFonts w:cstheme="minorHAnsi"/>
        </w:rPr>
        <w:t xml:space="preserve">. </w:t>
      </w:r>
    </w:p>
    <w:p w14:paraId="4AAFB8C3" w14:textId="072BA2A9" w:rsidR="00737C9A" w:rsidRDefault="00757CA5" w:rsidP="00C4560C">
      <w:pPr>
        <w:spacing w:line="276" w:lineRule="auto"/>
        <w:rPr>
          <w:rFonts w:cstheme="minorHAnsi"/>
        </w:rPr>
      </w:pPr>
      <w:r>
        <w:rPr>
          <w:rFonts w:cstheme="minorHAnsi"/>
        </w:rPr>
        <w:t>Historically, understanding the ways police make judgements and apply the law has been explored through ethnographic work</w:t>
      </w:r>
      <w:r w:rsidR="0015331F">
        <w:rPr>
          <w:rFonts w:cstheme="minorHAnsi"/>
        </w:rPr>
        <w:t>, principally in the US and the UK</w:t>
      </w:r>
      <w:r>
        <w:rPr>
          <w:rFonts w:cstheme="minorHAnsi"/>
        </w:rPr>
        <w:t xml:space="preserve"> (Bittner</w:t>
      </w:r>
      <w:r w:rsidR="00196A90">
        <w:rPr>
          <w:rFonts w:cstheme="minorHAnsi"/>
        </w:rPr>
        <w:t>, 1967; Cain, 1973; Holdaway, 1983; Manning and van Maanen, 1978).</w:t>
      </w:r>
      <w:r w:rsidR="004C1595">
        <w:rPr>
          <w:rFonts w:cstheme="minorHAnsi"/>
        </w:rPr>
        <w:t xml:space="preserve"> </w:t>
      </w:r>
      <w:r w:rsidR="000F604F">
        <w:rPr>
          <w:rFonts w:cstheme="minorHAnsi"/>
        </w:rPr>
        <w:t xml:space="preserve">Ethnography is </w:t>
      </w:r>
      <w:r w:rsidR="00345138">
        <w:rPr>
          <w:rFonts w:cstheme="minorHAnsi"/>
        </w:rPr>
        <w:t xml:space="preserve">a powerful tool in the </w:t>
      </w:r>
      <w:r w:rsidR="00FF4D0D">
        <w:rPr>
          <w:rFonts w:cstheme="minorHAnsi"/>
        </w:rPr>
        <w:t>study of policing</w:t>
      </w:r>
      <w:r w:rsidR="00AE3868">
        <w:rPr>
          <w:rFonts w:cstheme="minorHAnsi"/>
        </w:rPr>
        <w:t xml:space="preserve">, albeit one that </w:t>
      </w:r>
      <w:r w:rsidR="0092560D">
        <w:rPr>
          <w:rFonts w:cstheme="minorHAnsi"/>
        </w:rPr>
        <w:t xml:space="preserve">can be difficult to implement due to </w:t>
      </w:r>
      <w:r w:rsidR="00AC659A">
        <w:rPr>
          <w:rFonts w:cstheme="minorHAnsi"/>
        </w:rPr>
        <w:t xml:space="preserve">the heavy demands it can place on time and resources for the researcher, as well as </w:t>
      </w:r>
      <w:r w:rsidR="00A60640">
        <w:rPr>
          <w:rFonts w:cstheme="minorHAnsi"/>
        </w:rPr>
        <w:t xml:space="preserve">the intricacies of negotiating access to active police practitioners. </w:t>
      </w:r>
      <w:r w:rsidR="009A36E2">
        <w:rPr>
          <w:rFonts w:cstheme="minorHAnsi"/>
        </w:rPr>
        <w:t xml:space="preserve">Once these obstacles are overcome, however, police ethnographies can reveal rich data on the nuances of face-to-face encounters with members of the public. </w:t>
      </w:r>
      <w:r w:rsidR="00444361">
        <w:rPr>
          <w:rFonts w:cstheme="minorHAnsi"/>
        </w:rPr>
        <w:t>S</w:t>
      </w:r>
      <w:r w:rsidR="00021508">
        <w:rPr>
          <w:rFonts w:cstheme="minorHAnsi"/>
        </w:rPr>
        <w:t>tatistical assessments of the number of searche</w:t>
      </w:r>
      <w:r w:rsidR="007D61C3">
        <w:rPr>
          <w:rFonts w:cstheme="minorHAnsi"/>
        </w:rPr>
        <w:t>s</w:t>
      </w:r>
      <w:r w:rsidR="00021508">
        <w:rPr>
          <w:rFonts w:cstheme="minorHAnsi"/>
        </w:rPr>
        <w:t xml:space="preserve"> conducted </w:t>
      </w:r>
      <w:r w:rsidR="00B76DB2">
        <w:rPr>
          <w:rFonts w:cstheme="minorHAnsi"/>
        </w:rPr>
        <w:t xml:space="preserve">and the demographics of those searched </w:t>
      </w:r>
      <w:r w:rsidR="00533095">
        <w:rPr>
          <w:rFonts w:cstheme="minorHAnsi"/>
        </w:rPr>
        <w:t>are important</w:t>
      </w:r>
      <w:r w:rsidR="00444361">
        <w:rPr>
          <w:rFonts w:cstheme="minorHAnsi"/>
        </w:rPr>
        <w:t>, though these are not routinely available beyond England, Wales and Scotland. These assessments reveal the disproportionate use of powers, particularly on young Black men</w:t>
      </w:r>
      <w:r w:rsidR="00A05284">
        <w:rPr>
          <w:rFonts w:cstheme="minorHAnsi"/>
        </w:rPr>
        <w:t xml:space="preserve"> (e.g. Home Office, 2021)</w:t>
      </w:r>
      <w:r w:rsidR="00444361">
        <w:rPr>
          <w:rFonts w:cstheme="minorHAnsi"/>
        </w:rPr>
        <w:t>. W</w:t>
      </w:r>
      <w:r w:rsidR="00533095">
        <w:rPr>
          <w:rFonts w:cstheme="minorHAnsi"/>
        </w:rPr>
        <w:t>hat the</w:t>
      </w:r>
      <w:r w:rsidR="00444361">
        <w:rPr>
          <w:rFonts w:cstheme="minorHAnsi"/>
        </w:rPr>
        <w:t>se data ca</w:t>
      </w:r>
      <w:r w:rsidR="00533095">
        <w:rPr>
          <w:rFonts w:cstheme="minorHAnsi"/>
        </w:rPr>
        <w:t xml:space="preserve">nnot </w:t>
      </w:r>
      <w:r w:rsidR="00444361">
        <w:rPr>
          <w:rFonts w:cstheme="minorHAnsi"/>
        </w:rPr>
        <w:t>reveal</w:t>
      </w:r>
      <w:r w:rsidR="00533095">
        <w:rPr>
          <w:rFonts w:cstheme="minorHAnsi"/>
        </w:rPr>
        <w:t xml:space="preserve"> are the</w:t>
      </w:r>
      <w:r w:rsidR="00A05284">
        <w:rPr>
          <w:rFonts w:cstheme="minorHAnsi"/>
        </w:rPr>
        <w:t xml:space="preserve"> context in which an encounter takes place. How does an officer decide to </w:t>
      </w:r>
      <w:r w:rsidR="00675C7E">
        <w:rPr>
          <w:rFonts w:cstheme="minorHAnsi"/>
        </w:rPr>
        <w:t>stop a person</w:t>
      </w:r>
      <w:r w:rsidR="00A05284">
        <w:rPr>
          <w:rFonts w:cstheme="minorHAnsi"/>
        </w:rPr>
        <w:t>? What is it that arouses suspicion? How does an interaction develop? What are the words exchanged,</w:t>
      </w:r>
      <w:r w:rsidR="00675C7E">
        <w:rPr>
          <w:rFonts w:cstheme="minorHAnsi"/>
        </w:rPr>
        <w:t xml:space="preserve"> the facial expressions, the body language and the tone of voice</w:t>
      </w:r>
      <w:r w:rsidR="00A05284">
        <w:rPr>
          <w:rFonts w:cstheme="minorHAnsi"/>
        </w:rPr>
        <w:t>?</w:t>
      </w:r>
      <w:r w:rsidR="00675C7E">
        <w:rPr>
          <w:rFonts w:cstheme="minorHAnsi"/>
        </w:rPr>
        <w:t xml:space="preserve"> </w:t>
      </w:r>
      <w:r w:rsidR="00B66E73">
        <w:rPr>
          <w:rFonts w:cstheme="minorHAnsi"/>
        </w:rPr>
        <w:t xml:space="preserve">These, among other observations, are also powerful data to </w:t>
      </w:r>
      <w:r w:rsidR="000F219E">
        <w:rPr>
          <w:rFonts w:cstheme="minorHAnsi"/>
        </w:rPr>
        <w:t xml:space="preserve">deepen our understanding of what ‘stops’ mean in a particular jurisdiction and </w:t>
      </w:r>
      <w:r w:rsidR="002142C1">
        <w:rPr>
          <w:rFonts w:cstheme="minorHAnsi"/>
        </w:rPr>
        <w:t>to the people involved.</w:t>
      </w:r>
      <w:r w:rsidR="008B088A">
        <w:rPr>
          <w:rFonts w:cstheme="minorHAnsi"/>
        </w:rPr>
        <w:t xml:space="preserve"> These insights can be </w:t>
      </w:r>
      <w:r w:rsidR="004D2FAB">
        <w:rPr>
          <w:rFonts w:cstheme="minorHAnsi"/>
        </w:rPr>
        <w:t xml:space="preserve">employed to seek a better and more </w:t>
      </w:r>
      <w:r w:rsidR="0012425D">
        <w:rPr>
          <w:rFonts w:cstheme="minorHAnsi"/>
        </w:rPr>
        <w:t>equitable use of the power</w:t>
      </w:r>
      <w:r w:rsidR="00C24BBC">
        <w:rPr>
          <w:rFonts w:cstheme="minorHAnsi"/>
        </w:rPr>
        <w:t xml:space="preserve">, </w:t>
      </w:r>
      <w:proofErr w:type="gramStart"/>
      <w:r w:rsidR="00C24BBC">
        <w:rPr>
          <w:rFonts w:cstheme="minorHAnsi"/>
        </w:rPr>
        <w:t>taking into account</w:t>
      </w:r>
      <w:proofErr w:type="gramEnd"/>
      <w:r w:rsidR="00C24BBC">
        <w:rPr>
          <w:rFonts w:cstheme="minorHAnsi"/>
        </w:rPr>
        <w:t xml:space="preserve"> local context and </w:t>
      </w:r>
      <w:r w:rsidR="00565CFD">
        <w:rPr>
          <w:rFonts w:cstheme="minorHAnsi"/>
        </w:rPr>
        <w:t xml:space="preserve">social relationships. </w:t>
      </w:r>
    </w:p>
    <w:p w14:paraId="1797D9C8" w14:textId="378A86FA" w:rsidR="005F55ED" w:rsidRDefault="005F55ED" w:rsidP="00C4560C">
      <w:pPr>
        <w:spacing w:line="276" w:lineRule="auto"/>
        <w:rPr>
          <w:rFonts w:cstheme="minorHAnsi"/>
        </w:rPr>
      </w:pPr>
    </w:p>
    <w:p w14:paraId="5868FCEF" w14:textId="52B48E35" w:rsidR="005F55ED" w:rsidRPr="005F55ED" w:rsidRDefault="005F55ED" w:rsidP="00C4560C">
      <w:pPr>
        <w:spacing w:line="276" w:lineRule="auto"/>
        <w:rPr>
          <w:rFonts w:cstheme="minorHAnsi"/>
          <w:b/>
          <w:bCs/>
        </w:rPr>
      </w:pPr>
      <w:r w:rsidRPr="005F55ED">
        <w:rPr>
          <w:rFonts w:cstheme="minorHAnsi"/>
          <w:b/>
          <w:bCs/>
        </w:rPr>
        <w:t>Overview of Special Issue</w:t>
      </w:r>
    </w:p>
    <w:p w14:paraId="765713E0" w14:textId="3FB573A2" w:rsidR="003D4FFF" w:rsidRDefault="00A666CB" w:rsidP="00C921F6">
      <w:pPr>
        <w:spacing w:line="276" w:lineRule="auto"/>
        <w:rPr>
          <w:rFonts w:cstheme="minorHAnsi"/>
        </w:rPr>
      </w:pPr>
      <w:r>
        <w:rPr>
          <w:rFonts w:cstheme="minorHAnsi"/>
        </w:rPr>
        <w:t xml:space="preserve">The papers included </w:t>
      </w:r>
      <w:r w:rsidR="00E762B0">
        <w:rPr>
          <w:rFonts w:cstheme="minorHAnsi"/>
        </w:rPr>
        <w:t>in this Special Issue</w:t>
      </w:r>
      <w:r>
        <w:rPr>
          <w:rFonts w:cstheme="minorHAnsi"/>
        </w:rPr>
        <w:t xml:space="preserve"> are rich accounts of policing and police stops</w:t>
      </w:r>
      <w:r w:rsidR="00970AE7">
        <w:rPr>
          <w:rFonts w:cstheme="minorHAnsi"/>
        </w:rPr>
        <w:t>.</w:t>
      </w:r>
      <w:r w:rsidR="00392341">
        <w:rPr>
          <w:rFonts w:cstheme="minorHAnsi"/>
        </w:rPr>
        <w:t xml:space="preserve"> </w:t>
      </w:r>
      <w:r w:rsidR="00970AE7">
        <w:rPr>
          <w:rFonts w:cstheme="minorHAnsi"/>
        </w:rPr>
        <w:t>They concern</w:t>
      </w:r>
      <w:r w:rsidR="00392341">
        <w:rPr>
          <w:rFonts w:cstheme="minorHAnsi"/>
        </w:rPr>
        <w:t xml:space="preserve"> police encounters in Belgium, Germany, Italy, India</w:t>
      </w:r>
      <w:r w:rsidR="00B43F7C">
        <w:rPr>
          <w:rFonts w:cstheme="minorHAnsi"/>
        </w:rPr>
        <w:t xml:space="preserve">, </w:t>
      </w:r>
      <w:r w:rsidR="00392341">
        <w:rPr>
          <w:rFonts w:cstheme="minorHAnsi"/>
        </w:rPr>
        <w:t>Australia</w:t>
      </w:r>
      <w:r w:rsidR="00B43F7C">
        <w:rPr>
          <w:rFonts w:cstheme="minorHAnsi"/>
        </w:rPr>
        <w:t xml:space="preserve"> and New Zealand</w:t>
      </w:r>
      <w:r w:rsidR="00117BC2">
        <w:rPr>
          <w:rFonts w:cstheme="minorHAnsi"/>
        </w:rPr>
        <w:t xml:space="preserve">, offering the </w:t>
      </w:r>
      <w:r w:rsidR="00117BC2">
        <w:rPr>
          <w:rFonts w:cstheme="minorHAnsi"/>
        </w:rPr>
        <w:lastRenderedPageBreak/>
        <w:t>potential for fresh ethnographic perspectives from beyond the UK and US.</w:t>
      </w:r>
      <w:r w:rsidR="0012425D">
        <w:rPr>
          <w:rFonts w:cstheme="minorHAnsi"/>
        </w:rPr>
        <w:t xml:space="preserve"> </w:t>
      </w:r>
      <w:r w:rsidR="00226212">
        <w:rPr>
          <w:rFonts w:cstheme="minorHAnsi"/>
        </w:rPr>
        <w:t>They consider</w:t>
      </w:r>
      <w:r w:rsidR="00117BC2">
        <w:rPr>
          <w:rFonts w:cstheme="minorHAnsi"/>
        </w:rPr>
        <w:t>:</w:t>
      </w:r>
      <w:r w:rsidR="001D3016">
        <w:rPr>
          <w:rFonts w:cstheme="minorHAnsi"/>
        </w:rPr>
        <w:t xml:space="preserve"> processes by which ‘suspicion’ is determined (which may be grounds for a stop)</w:t>
      </w:r>
      <w:r w:rsidR="00117BC2">
        <w:rPr>
          <w:rFonts w:cstheme="minorHAnsi"/>
        </w:rPr>
        <w:t>;</w:t>
      </w:r>
      <w:r w:rsidR="001D3016">
        <w:rPr>
          <w:rFonts w:cstheme="minorHAnsi"/>
        </w:rPr>
        <w:t xml:space="preserve"> the role that stereotyping plays in th</w:t>
      </w:r>
      <w:r w:rsidR="00117BC2">
        <w:rPr>
          <w:rFonts w:cstheme="minorHAnsi"/>
        </w:rPr>
        <w:t>ese suspicions;</w:t>
      </w:r>
      <w:r w:rsidR="001D3016">
        <w:rPr>
          <w:rFonts w:cstheme="minorHAnsi"/>
        </w:rPr>
        <w:t xml:space="preserve"> </w:t>
      </w:r>
      <w:r w:rsidR="00117BC2">
        <w:rPr>
          <w:rFonts w:cstheme="minorHAnsi"/>
        </w:rPr>
        <w:t>the ‘</w:t>
      </w:r>
      <w:r w:rsidR="001D3016">
        <w:rPr>
          <w:rFonts w:cstheme="minorHAnsi"/>
        </w:rPr>
        <w:t>norm</w:t>
      </w:r>
      <w:r w:rsidR="00117BC2">
        <w:rPr>
          <w:rFonts w:cstheme="minorHAnsi"/>
        </w:rPr>
        <w:t>s</w:t>
      </w:r>
      <w:r w:rsidR="001D3016">
        <w:rPr>
          <w:rFonts w:cstheme="minorHAnsi"/>
        </w:rPr>
        <w:t xml:space="preserve">’ </w:t>
      </w:r>
      <w:r w:rsidR="00117BC2">
        <w:rPr>
          <w:rFonts w:cstheme="minorHAnsi"/>
        </w:rPr>
        <w:t>of</w:t>
      </w:r>
      <w:r w:rsidR="001D3016">
        <w:rPr>
          <w:rFonts w:cstheme="minorHAnsi"/>
        </w:rPr>
        <w:t xml:space="preserve"> police street encounters</w:t>
      </w:r>
      <w:r w:rsidR="00117BC2">
        <w:rPr>
          <w:rFonts w:cstheme="minorHAnsi"/>
        </w:rPr>
        <w:t>;</w:t>
      </w:r>
      <w:r w:rsidR="001D3016">
        <w:rPr>
          <w:rFonts w:cstheme="minorHAnsi"/>
        </w:rPr>
        <w:t xml:space="preserve"> considerations of context and space at both individual</w:t>
      </w:r>
      <w:r w:rsidR="00862280">
        <w:rPr>
          <w:rFonts w:cstheme="minorHAnsi"/>
        </w:rPr>
        <w:t xml:space="preserve">, </w:t>
      </w:r>
      <w:r w:rsidR="001D3016">
        <w:rPr>
          <w:rFonts w:cstheme="minorHAnsi"/>
        </w:rPr>
        <w:t>institutional</w:t>
      </w:r>
      <w:r w:rsidR="00862280">
        <w:rPr>
          <w:rFonts w:cstheme="minorHAnsi"/>
        </w:rPr>
        <w:t xml:space="preserve"> and national</w:t>
      </w:r>
      <w:r w:rsidR="001D3016">
        <w:rPr>
          <w:rFonts w:cstheme="minorHAnsi"/>
        </w:rPr>
        <w:t xml:space="preserve"> levels</w:t>
      </w:r>
      <w:r w:rsidR="00117BC2">
        <w:rPr>
          <w:rFonts w:cstheme="minorHAnsi"/>
        </w:rPr>
        <w:t>;</w:t>
      </w:r>
      <w:r w:rsidR="002D2B4A">
        <w:rPr>
          <w:rFonts w:cstheme="minorHAnsi"/>
        </w:rPr>
        <w:t xml:space="preserve"> and how internal frameworks in policing can either enable problematic behaviour or actively discourage community-focused methods.</w:t>
      </w:r>
      <w:r w:rsidR="001347AC">
        <w:rPr>
          <w:rFonts w:cstheme="minorHAnsi"/>
        </w:rPr>
        <w:t xml:space="preserve"> We will consider each of these papers and their contribution to this area in more detail below.</w:t>
      </w:r>
    </w:p>
    <w:p w14:paraId="2E6FC0FF" w14:textId="58DA1DBC" w:rsidR="007050E2" w:rsidRDefault="007050E2" w:rsidP="00C921F6">
      <w:pPr>
        <w:spacing w:line="276" w:lineRule="auto"/>
        <w:rPr>
          <w:rFonts w:cstheme="minorHAnsi"/>
        </w:rPr>
      </w:pPr>
      <w:bookmarkStart w:id="1" w:name="_Hlk95209490"/>
      <w:r>
        <w:rPr>
          <w:rFonts w:cstheme="minorHAnsi"/>
        </w:rPr>
        <w:t>Research by Saudelli et al</w:t>
      </w:r>
      <w:r w:rsidR="00117BC2">
        <w:rPr>
          <w:rFonts w:cstheme="minorHAnsi"/>
        </w:rPr>
        <w:t>.</w:t>
      </w:r>
      <w:r>
        <w:rPr>
          <w:rFonts w:cstheme="minorHAnsi"/>
        </w:rPr>
        <w:t xml:space="preserve"> explore the process by which police officers in Belgium develop sufficient ‘suspicion’ to stop a member of the public. Through extensive ethnographic work and interviews, they found that while there are a variety of factors at play</w:t>
      </w:r>
      <w:r w:rsidR="009E6358">
        <w:rPr>
          <w:rFonts w:cstheme="minorHAnsi"/>
        </w:rPr>
        <w:t xml:space="preserve"> in this decision</w:t>
      </w:r>
      <w:r>
        <w:rPr>
          <w:rFonts w:cstheme="minorHAnsi"/>
        </w:rPr>
        <w:t>, the role of occupational culture cannot be dismissed. Stereotypes in relation to ethnicity, gender and clothing are used to decide if a person does not fit the ‘norm’ and should therefore be stopped. Some of these stereotypes stem from an indiv</w:t>
      </w:r>
      <w:r w:rsidR="009E6358">
        <w:rPr>
          <w:rFonts w:cstheme="minorHAnsi"/>
        </w:rPr>
        <w:t>id</w:t>
      </w:r>
      <w:r>
        <w:rPr>
          <w:rFonts w:cstheme="minorHAnsi"/>
        </w:rPr>
        <w:t xml:space="preserve">ual’s own life experience and some from </w:t>
      </w:r>
      <w:r w:rsidR="009E6358">
        <w:rPr>
          <w:rFonts w:cstheme="minorHAnsi"/>
        </w:rPr>
        <w:t xml:space="preserve">the professional culture of their department which sets certain expectations and images </w:t>
      </w:r>
      <w:r w:rsidR="0045228D">
        <w:rPr>
          <w:rFonts w:cstheme="minorHAnsi"/>
        </w:rPr>
        <w:t xml:space="preserve">of what is and is not ‘normal’. </w:t>
      </w:r>
    </w:p>
    <w:p w14:paraId="069F5F39" w14:textId="742E9290" w:rsidR="001D3016" w:rsidRDefault="001D3016" w:rsidP="001D3016">
      <w:pPr>
        <w:spacing w:line="276" w:lineRule="auto"/>
        <w:rPr>
          <w:rFonts w:cstheme="minorHAnsi"/>
        </w:rPr>
      </w:pPr>
      <w:r>
        <w:rPr>
          <w:rFonts w:cstheme="minorHAnsi"/>
        </w:rPr>
        <w:t>The outcome of the unequal nature of power relations in police stops in Germany is the focus of the paper from Aden et al</w:t>
      </w:r>
      <w:r w:rsidR="005E1DE3">
        <w:rPr>
          <w:rFonts w:cstheme="minorHAnsi"/>
        </w:rPr>
        <w:t>.  C</w:t>
      </w:r>
      <w:r>
        <w:rPr>
          <w:rFonts w:cstheme="minorHAnsi"/>
        </w:rPr>
        <w:t>ontinuing the theme of the origins and expressions of stereotypes in street policing</w:t>
      </w:r>
      <w:r w:rsidR="005E1DE3">
        <w:rPr>
          <w:rFonts w:cstheme="minorHAnsi"/>
        </w:rPr>
        <w:t>, t</w:t>
      </w:r>
      <w:r>
        <w:rPr>
          <w:rFonts w:cstheme="minorHAnsi"/>
        </w:rPr>
        <w:t xml:space="preserve">hey highlight the prominence of personal experiences and attitudes over that of police training in these encounters. </w:t>
      </w:r>
      <w:r w:rsidR="00220207">
        <w:rPr>
          <w:rFonts w:cstheme="minorHAnsi"/>
        </w:rPr>
        <w:t xml:space="preserve">Despite a relatively well-developed legal framework, officers exercise discretion in ways that appear unhindered by those laws. </w:t>
      </w:r>
      <w:r>
        <w:rPr>
          <w:rFonts w:cstheme="minorHAnsi"/>
        </w:rPr>
        <w:t>The</w:t>
      </w:r>
      <w:r w:rsidR="00220207">
        <w:rPr>
          <w:rFonts w:cstheme="minorHAnsi"/>
        </w:rPr>
        <w:t xml:space="preserve"> paper</w:t>
      </w:r>
      <w:r>
        <w:rPr>
          <w:rFonts w:cstheme="minorHAnsi"/>
        </w:rPr>
        <w:t xml:space="preserve"> consider</w:t>
      </w:r>
      <w:r w:rsidR="005E1DE3">
        <w:rPr>
          <w:rFonts w:cstheme="minorHAnsi"/>
        </w:rPr>
        <w:t>s</w:t>
      </w:r>
      <w:r>
        <w:rPr>
          <w:rFonts w:cstheme="minorHAnsi"/>
        </w:rPr>
        <w:t xml:space="preserve"> the ‘micro-politics’ of stops and how these are expressed in methods of communication and the assumptions made about the person being stopped. This therefore scope for discriminatory practice</w:t>
      </w:r>
      <w:r w:rsidR="00220207">
        <w:rPr>
          <w:rFonts w:cstheme="minorHAnsi"/>
        </w:rPr>
        <w:t>s</w:t>
      </w:r>
      <w:r>
        <w:rPr>
          <w:rFonts w:cstheme="minorHAnsi"/>
        </w:rPr>
        <w:t xml:space="preserve"> and </w:t>
      </w:r>
      <w:r w:rsidR="00220207">
        <w:rPr>
          <w:rFonts w:cstheme="minorHAnsi"/>
        </w:rPr>
        <w:t xml:space="preserve">substantial </w:t>
      </w:r>
      <w:r>
        <w:rPr>
          <w:rFonts w:cstheme="minorHAnsi"/>
        </w:rPr>
        <w:t xml:space="preserve">variability from one officer to another. </w:t>
      </w:r>
    </w:p>
    <w:p w14:paraId="28D5A93A" w14:textId="39285D4E" w:rsidR="00E320E2" w:rsidRDefault="001D3016" w:rsidP="00E320E2">
      <w:pPr>
        <w:spacing w:line="276" w:lineRule="auto"/>
        <w:rPr>
          <w:rFonts w:cstheme="minorHAnsi"/>
        </w:rPr>
      </w:pPr>
      <w:r>
        <w:rPr>
          <w:rFonts w:cstheme="minorHAnsi"/>
        </w:rPr>
        <w:t>In a similar vein to Saudelli et al</w:t>
      </w:r>
      <w:r w:rsidR="00220207">
        <w:rPr>
          <w:rFonts w:cstheme="minorHAnsi"/>
        </w:rPr>
        <w:t>.</w:t>
      </w:r>
      <w:r>
        <w:rPr>
          <w:rFonts w:cstheme="minorHAnsi"/>
        </w:rPr>
        <w:t>, t</w:t>
      </w:r>
      <w:r w:rsidR="00E320E2">
        <w:rPr>
          <w:rFonts w:cstheme="minorHAnsi"/>
        </w:rPr>
        <w:t xml:space="preserve">he process by which officers conclude that a person or a situation is ‘suspicious’ is also the focus of the paper from Hendy who reports on ethnographic research </w:t>
      </w:r>
      <w:r w:rsidR="00220207">
        <w:rPr>
          <w:rFonts w:cstheme="minorHAnsi"/>
        </w:rPr>
        <w:t xml:space="preserve">in </w:t>
      </w:r>
      <w:r w:rsidR="00E320E2">
        <w:rPr>
          <w:rFonts w:cstheme="minorHAnsi"/>
        </w:rPr>
        <w:t xml:space="preserve">New Zealand and Australia. Hendy’s particular concern is the process by which suspicion is decided prior to </w:t>
      </w:r>
      <w:r w:rsidR="00E320E2">
        <w:rPr>
          <w:rFonts w:cstheme="minorHAnsi"/>
          <w:i/>
          <w:iCs/>
        </w:rPr>
        <w:t>informal</w:t>
      </w:r>
      <w:r w:rsidR="00E320E2">
        <w:rPr>
          <w:rFonts w:cstheme="minorHAnsi"/>
        </w:rPr>
        <w:t xml:space="preserve"> ‘stop and chat’ encounters, rather than prior to formal police stops. </w:t>
      </w:r>
      <w:r w:rsidR="00FA37AC">
        <w:rPr>
          <w:rFonts w:cstheme="minorHAnsi"/>
        </w:rPr>
        <w:t xml:space="preserve">Hendy found that officers will make a judgement based on the measure of perceived harm, the legality of the behaviour and whether it is socially acceptable before deciding to initiate an encounter, a process labelled ‘suspicioning’. Unlike other research, there was not as much evidence in Hendy’s research </w:t>
      </w:r>
      <w:r w:rsidR="00220207">
        <w:rPr>
          <w:rFonts w:cstheme="minorHAnsi"/>
        </w:rPr>
        <w:t>regarding</w:t>
      </w:r>
      <w:r w:rsidR="00FA37AC">
        <w:rPr>
          <w:rFonts w:cstheme="minorHAnsi"/>
        </w:rPr>
        <w:t xml:space="preserve"> bias on grounds of ethnicity, although other social groupings did seem to attract disproportionate attention (such as ‘students’ or ‘revellers’). These would be specific to the local context. </w:t>
      </w:r>
    </w:p>
    <w:p w14:paraId="1AB22181" w14:textId="472ACC50" w:rsidR="00FA37AC" w:rsidRDefault="00FA37AC" w:rsidP="00FA37AC">
      <w:pPr>
        <w:spacing w:line="276" w:lineRule="auto"/>
        <w:rPr>
          <w:rFonts w:cstheme="minorHAnsi"/>
        </w:rPr>
      </w:pPr>
      <w:r>
        <w:rPr>
          <w:rFonts w:cstheme="minorHAnsi"/>
        </w:rPr>
        <w:t>The topics of ethnicity and context ar</w:t>
      </w:r>
      <w:r w:rsidR="00220207">
        <w:rPr>
          <w:rFonts w:cstheme="minorHAnsi"/>
        </w:rPr>
        <w:t>e brought together in Brauer</w:t>
      </w:r>
      <w:r w:rsidR="00BB5B52">
        <w:rPr>
          <w:rFonts w:cstheme="minorHAnsi"/>
        </w:rPr>
        <w:t xml:space="preserve"> et al.,</w:t>
      </w:r>
      <w:r>
        <w:rPr>
          <w:rFonts w:cstheme="minorHAnsi"/>
        </w:rPr>
        <w:t xml:space="preserve"> which examines the role that space plays in policing urban areas in Germany, both in terms of institutional perceptions of urban space and in terms of how these influence the work of individual police officers. Brauer examines the social processes, including gender and ethnicity, that are involved in the institutional constructions of space, and which influence police systems of inclusion and exclusion in these spaces. These processes of ‘doing space’ while ‘doing ethnicity and gender’ allow for differentiated yet legitimised police practices in the distribution of security measures in diverse communities. </w:t>
      </w:r>
    </w:p>
    <w:p w14:paraId="146F0869" w14:textId="395E313F" w:rsidR="00862280" w:rsidRDefault="00862280" w:rsidP="00862280">
      <w:pPr>
        <w:spacing w:line="276" w:lineRule="auto"/>
        <w:rPr>
          <w:rFonts w:cstheme="minorHAnsi"/>
        </w:rPr>
      </w:pPr>
      <w:r>
        <w:rPr>
          <w:rFonts w:cstheme="minorHAnsi"/>
        </w:rPr>
        <w:t>The importance of considering the broader context of police and citizen encounters is highlighted at a more macro-level by Varghese (2022) through research conducted in India. As a postcolonial state, the nature of street-level interactions here cannot be assumed to be similar to th</w:t>
      </w:r>
      <w:r w:rsidR="00D07F90">
        <w:rPr>
          <w:rFonts w:cstheme="minorHAnsi"/>
        </w:rPr>
        <w:t>ose</w:t>
      </w:r>
      <w:r>
        <w:rPr>
          <w:rFonts w:cstheme="minorHAnsi"/>
        </w:rPr>
        <w:t xml:space="preserve"> in</w:t>
      </w:r>
      <w:r w:rsidR="00D07F90">
        <w:rPr>
          <w:rFonts w:cstheme="minorHAnsi"/>
        </w:rPr>
        <w:t xml:space="preserve"> an</w:t>
      </w:r>
      <w:r>
        <w:rPr>
          <w:rFonts w:cstheme="minorHAnsi"/>
        </w:rPr>
        <w:t xml:space="preserve"> Anglophone world</w:t>
      </w:r>
      <w:r w:rsidR="00D07F90">
        <w:rPr>
          <w:rFonts w:cstheme="minorHAnsi"/>
        </w:rPr>
        <w:t xml:space="preserve"> because of</w:t>
      </w:r>
      <w:r>
        <w:rPr>
          <w:rFonts w:cstheme="minorHAnsi"/>
        </w:rPr>
        <w:t xml:space="preserve"> differ</w:t>
      </w:r>
      <w:r w:rsidR="00D07F90">
        <w:rPr>
          <w:rFonts w:cstheme="minorHAnsi"/>
        </w:rPr>
        <w:t>ence in</w:t>
      </w:r>
      <w:r>
        <w:rPr>
          <w:rFonts w:cstheme="minorHAnsi"/>
        </w:rPr>
        <w:t xml:space="preserve"> political and institutional systems as well as differ</w:t>
      </w:r>
      <w:r w:rsidR="00D07F90">
        <w:rPr>
          <w:rFonts w:cstheme="minorHAnsi"/>
        </w:rPr>
        <w:t>ent</w:t>
      </w:r>
      <w:r>
        <w:rPr>
          <w:rFonts w:cstheme="minorHAnsi"/>
        </w:rPr>
        <w:t xml:space="preserve"> </w:t>
      </w:r>
      <w:r>
        <w:rPr>
          <w:rFonts w:cstheme="minorHAnsi"/>
        </w:rPr>
        <w:lastRenderedPageBreak/>
        <w:t xml:space="preserve">accountability structures. For Varghese, these create a particular frame for police-citizen encounters that mean legal procedures are enacted selectively and </w:t>
      </w:r>
      <w:r w:rsidR="002D2B4A">
        <w:rPr>
          <w:rFonts w:cstheme="minorHAnsi"/>
        </w:rPr>
        <w:t xml:space="preserve">with little risk of accountability for the police. This is also evident at a local scale through the ethnographic data taken from two different police regions which show further diversification in their relationships with local publics. </w:t>
      </w:r>
    </w:p>
    <w:p w14:paraId="4523B768" w14:textId="4D0D0779" w:rsidR="00C921F6" w:rsidRPr="009435DA" w:rsidRDefault="002D2B4A" w:rsidP="00C921F6">
      <w:pPr>
        <w:spacing w:line="276" w:lineRule="auto"/>
        <w:rPr>
          <w:rFonts w:cstheme="minorHAnsi"/>
        </w:rPr>
      </w:pPr>
      <w:r>
        <w:rPr>
          <w:rFonts w:cstheme="minorHAnsi"/>
        </w:rPr>
        <w:t>The last two papers in the Special Issue have a particular focus on these internal policing frameworks, but in these cases, one is particularly enabling of police brutality whereas the other is disabling of engagement-based policing. Firstly, i</w:t>
      </w:r>
      <w:r w:rsidR="009E6358">
        <w:rPr>
          <w:rFonts w:cstheme="minorHAnsi"/>
        </w:rPr>
        <w:t xml:space="preserve">n the paper by Scalia, </w:t>
      </w:r>
      <w:r w:rsidR="00763633">
        <w:rPr>
          <w:rFonts w:cstheme="minorHAnsi"/>
        </w:rPr>
        <w:t xml:space="preserve">there is a detailed analysis of the circumstances and subsequent trial surrounding the death of Riccardo </w:t>
      </w:r>
      <w:proofErr w:type="spellStart"/>
      <w:r w:rsidR="00763633">
        <w:rPr>
          <w:rFonts w:cstheme="minorHAnsi"/>
        </w:rPr>
        <w:t>Magherini</w:t>
      </w:r>
      <w:proofErr w:type="spellEnd"/>
      <w:r w:rsidR="00763633">
        <w:rPr>
          <w:rFonts w:cstheme="minorHAnsi"/>
        </w:rPr>
        <w:t xml:space="preserve"> in 2014 after being stopped by the </w:t>
      </w:r>
      <w:proofErr w:type="spellStart"/>
      <w:r w:rsidR="00763633">
        <w:rPr>
          <w:rFonts w:cstheme="minorHAnsi"/>
        </w:rPr>
        <w:t>Corpo</w:t>
      </w:r>
      <w:proofErr w:type="spellEnd"/>
      <w:r w:rsidR="00763633">
        <w:rPr>
          <w:rFonts w:cstheme="minorHAnsi"/>
        </w:rPr>
        <w:t xml:space="preserve"> </w:t>
      </w:r>
      <w:proofErr w:type="spellStart"/>
      <w:r w:rsidR="00763633">
        <w:rPr>
          <w:rFonts w:cstheme="minorHAnsi"/>
        </w:rPr>
        <w:t>dei</w:t>
      </w:r>
      <w:proofErr w:type="spellEnd"/>
      <w:r w:rsidR="00763633">
        <w:rPr>
          <w:rFonts w:cstheme="minorHAnsi"/>
        </w:rPr>
        <w:t xml:space="preserve"> Carabinieri in Italy. The way in which the police agents involved make sense of the case is a particular focus.</w:t>
      </w:r>
      <w:r w:rsidR="004D2D5F">
        <w:rPr>
          <w:rFonts w:cstheme="minorHAnsi"/>
        </w:rPr>
        <w:t xml:space="preserve"> </w:t>
      </w:r>
      <w:proofErr w:type="spellStart"/>
      <w:r w:rsidR="004D2D5F">
        <w:rPr>
          <w:rFonts w:cstheme="minorHAnsi"/>
        </w:rPr>
        <w:t>Magherini</w:t>
      </w:r>
      <w:proofErr w:type="spellEnd"/>
      <w:r w:rsidR="004D2D5F">
        <w:rPr>
          <w:rFonts w:cstheme="minorHAnsi"/>
        </w:rPr>
        <w:t xml:space="preserve"> died of asphyxiation during the stop and the police account of the event differed from that of video footage taken by a bystander.</w:t>
      </w:r>
      <w:r w:rsidR="00763633">
        <w:rPr>
          <w:rFonts w:cstheme="minorHAnsi"/>
        </w:rPr>
        <w:t xml:space="preserve"> </w:t>
      </w:r>
      <w:r w:rsidR="004D2D5F">
        <w:rPr>
          <w:rFonts w:cstheme="minorHAnsi"/>
        </w:rPr>
        <w:t xml:space="preserve">The case has been taken to the European Court of Human Rights. Scalia argues that the police felt they were justified in their treatment of </w:t>
      </w:r>
      <w:proofErr w:type="spellStart"/>
      <w:r w:rsidR="004D2D5F">
        <w:rPr>
          <w:rFonts w:cstheme="minorHAnsi"/>
        </w:rPr>
        <w:t>Magherini</w:t>
      </w:r>
      <w:proofErr w:type="spellEnd"/>
      <w:r w:rsidR="004D2D5F">
        <w:rPr>
          <w:rFonts w:cstheme="minorHAnsi"/>
        </w:rPr>
        <w:t xml:space="preserve"> because he fitted their stereotype as a member of the ‘dangerous classes’ from whom others needed to be protected. </w:t>
      </w:r>
      <w:r w:rsidR="009435DA">
        <w:rPr>
          <w:rFonts w:cstheme="minorHAnsi"/>
        </w:rPr>
        <w:t xml:space="preserve">In addition, and as the military branch of the Italian police, the officers felt entitled to use force considering </w:t>
      </w:r>
      <w:proofErr w:type="spellStart"/>
      <w:r w:rsidR="009435DA">
        <w:rPr>
          <w:rFonts w:cstheme="minorHAnsi"/>
        </w:rPr>
        <w:t>Magherini’s</w:t>
      </w:r>
      <w:proofErr w:type="spellEnd"/>
      <w:r w:rsidR="009435DA">
        <w:rPr>
          <w:rFonts w:cstheme="minorHAnsi"/>
        </w:rPr>
        <w:t xml:space="preserve"> perceived law-breaking. Scalia highlights the role of </w:t>
      </w:r>
      <w:r w:rsidR="009435DA">
        <w:rPr>
          <w:rFonts w:cstheme="minorHAnsi"/>
          <w:i/>
          <w:iCs/>
        </w:rPr>
        <w:t>police knowledge</w:t>
      </w:r>
      <w:r w:rsidR="009435DA">
        <w:rPr>
          <w:rFonts w:cstheme="minorHAnsi"/>
        </w:rPr>
        <w:t xml:space="preserve"> in this sense-making process, which is guided more by occupational culture than by formal procedure.</w:t>
      </w:r>
      <w:r w:rsidR="009E2BBC">
        <w:rPr>
          <w:rFonts w:cstheme="minorHAnsi"/>
        </w:rPr>
        <w:t xml:space="preserve"> </w:t>
      </w:r>
      <w:proofErr w:type="spellStart"/>
      <w:r w:rsidR="009E2BBC">
        <w:rPr>
          <w:rFonts w:cstheme="minorHAnsi"/>
        </w:rPr>
        <w:t>Scallia</w:t>
      </w:r>
      <w:proofErr w:type="spellEnd"/>
      <w:r w:rsidR="009E2BBC">
        <w:rPr>
          <w:rFonts w:cstheme="minorHAnsi"/>
        </w:rPr>
        <w:t xml:space="preserve"> also uses a particular approach, examining witness statements and other evidence as sources for an ethnographic analysis inspired also in part by a micro-historical approach (Sullivan, 2012; </w:t>
      </w:r>
      <w:r w:rsidR="00B43F7C">
        <w:rPr>
          <w:rFonts w:cstheme="minorHAnsi"/>
        </w:rPr>
        <w:t>Darnton, 1984)</w:t>
      </w:r>
      <w:r w:rsidR="009E2BBC">
        <w:rPr>
          <w:rFonts w:cstheme="minorHAnsi"/>
        </w:rPr>
        <w:t>.</w:t>
      </w:r>
    </w:p>
    <w:bookmarkEnd w:id="1"/>
    <w:p w14:paraId="63735885" w14:textId="16027B02" w:rsidR="00C921F6" w:rsidRDefault="002D2B4A" w:rsidP="00C921F6">
      <w:pPr>
        <w:spacing w:line="276" w:lineRule="auto"/>
        <w:rPr>
          <w:rFonts w:cstheme="minorHAnsi"/>
        </w:rPr>
      </w:pPr>
      <w:r>
        <w:rPr>
          <w:rFonts w:cstheme="minorHAnsi"/>
        </w:rPr>
        <w:t>In relation to the internal disabling of engagement-based policing, a</w:t>
      </w:r>
      <w:r w:rsidR="009C529A">
        <w:rPr>
          <w:rFonts w:cstheme="minorHAnsi"/>
        </w:rPr>
        <w:t xml:space="preserve">ction research conducted by Van Praet in Belgium found an important connection between internal organisational justice within the police organisation and the use of procedural justice methods when on patrol. She reports that officers who did not feel supported by their managers to do community policing work or who were not allocated time to reflect on their practice were more likely to execute their tasks quickly. These officers felt that they were under pressure to appease the caller, to have ‘satisfied customers’ rather than to </w:t>
      </w:r>
      <w:r w:rsidR="00B43F7C">
        <w:rPr>
          <w:rFonts w:cstheme="minorHAnsi"/>
        </w:rPr>
        <w:t xml:space="preserve">seek the best possible outcome in </w:t>
      </w:r>
      <w:r w:rsidR="009C529A">
        <w:rPr>
          <w:rFonts w:cstheme="minorHAnsi"/>
        </w:rPr>
        <w:t>a</w:t>
      </w:r>
      <w:r w:rsidR="00B43F7C">
        <w:rPr>
          <w:rFonts w:cstheme="minorHAnsi"/>
        </w:rPr>
        <w:t xml:space="preserve"> particular</w:t>
      </w:r>
      <w:r w:rsidR="009C529A">
        <w:rPr>
          <w:rFonts w:cstheme="minorHAnsi"/>
        </w:rPr>
        <w:t xml:space="preserve"> situation. This led to frequent use of formal police stops rather than a less formal engagement with the member of the public to fully understand the context of a situation.</w:t>
      </w:r>
    </w:p>
    <w:p w14:paraId="13DCB396" w14:textId="77777777" w:rsidR="00E762B0" w:rsidRDefault="00E762B0" w:rsidP="00C921F6">
      <w:pPr>
        <w:spacing w:line="276" w:lineRule="auto"/>
        <w:rPr>
          <w:rFonts w:cstheme="minorHAnsi"/>
        </w:rPr>
      </w:pPr>
    </w:p>
    <w:p w14:paraId="40EF1727" w14:textId="05F74B34" w:rsidR="00936D1E" w:rsidRPr="005F55ED" w:rsidRDefault="00936D1E" w:rsidP="00C921F6">
      <w:pPr>
        <w:spacing w:line="276" w:lineRule="auto"/>
        <w:rPr>
          <w:rFonts w:cstheme="minorHAnsi"/>
          <w:b/>
          <w:bCs/>
        </w:rPr>
      </w:pPr>
      <w:r w:rsidRPr="005F55ED">
        <w:rPr>
          <w:rFonts w:cstheme="minorHAnsi"/>
          <w:b/>
          <w:bCs/>
        </w:rPr>
        <w:t>Conclusion</w:t>
      </w:r>
    </w:p>
    <w:p w14:paraId="100E7D45" w14:textId="0CADD7D9" w:rsidR="00B43F7C" w:rsidRDefault="00B43F7C" w:rsidP="00B43F7C">
      <w:r>
        <w:t>Beyond the central theme of the Special Issue, the papers make for interesting reading. They open up the world of policing in different jurisdictions to reveal much that is familiar across them. Those who have observed officers will recognise the ‘police radar’ that Saudelli et al. discuss. How is it that officers can spot a false car licence plate at a distance or that an ATM has been tampered with? To the ethnographic observer, these levels of acuity are to be admired. What is it about the microscopic detail in a scene that draws attention? For all the crude stereotypes to be found in the decisions to stop some citizens, there is a sophistication to other aspects of policing.</w:t>
      </w:r>
    </w:p>
    <w:p w14:paraId="043E5C87" w14:textId="7E251C45" w:rsidR="00B43F7C" w:rsidRDefault="00B43F7C" w:rsidP="00B43F7C">
      <w:r>
        <w:t>However, the detailed observations reported in this Special Issue raise some further and deeper questions, ones we can only point to in this editorial. As ethnographers of policing, the detail in these seven papers is recognizable across jurisdictions. That is not to dismiss this evidence as merely repeating and echoing the existing and largely Anglophone ethnographic studies. The</w:t>
      </w:r>
      <w:r w:rsidR="00A06B13">
        <w:t>se texts</w:t>
      </w:r>
      <w:r>
        <w:t xml:space="preserve"> add detail and nuance, bringing different lenses to the scrutiny of familiar practices. Instead, the point is </w:t>
      </w:r>
      <w:r>
        <w:lastRenderedPageBreak/>
        <w:t>that the practice of police stops appears to be a universal feature of contemporary policing. In one sense, that is to be expected. We would expect officers, who see something they believe to be wrong, to be able to intervene to prevent harm or criminality. What constitutes evidence for such beliefs, however, appears also to be broadly familiar across jurisdictions. Despite the different legal codes governing stops in Belgium, Germany, India, Australia, New Zealand and Italy</w:t>
      </w:r>
      <w:r w:rsidR="002A22E8">
        <w:t>, we recognise policing we have observed elsewhere. This raises further questions. If the law appears to play only a limited role in directing and constraining police stops, what other tools or levers of influence will we need to use if we are to reform those aspects of the practice that lead to disproportionate use and attention on young and particularly minority men.</w:t>
      </w:r>
    </w:p>
    <w:p w14:paraId="5B17E505" w14:textId="77777777" w:rsidR="00C921F6" w:rsidRDefault="00C921F6" w:rsidP="00C921F6">
      <w:pPr>
        <w:spacing w:line="276" w:lineRule="auto"/>
        <w:rPr>
          <w:rFonts w:cstheme="minorHAnsi"/>
        </w:rPr>
      </w:pPr>
    </w:p>
    <w:p w14:paraId="3EB9D093" w14:textId="77777777" w:rsidR="00C921F6" w:rsidRDefault="00C921F6" w:rsidP="00C921F6">
      <w:pPr>
        <w:spacing w:line="276" w:lineRule="auto"/>
        <w:rPr>
          <w:rFonts w:cstheme="minorHAnsi"/>
        </w:rPr>
      </w:pPr>
    </w:p>
    <w:p w14:paraId="7983767C" w14:textId="77777777" w:rsidR="00C921F6" w:rsidRPr="00757CA5" w:rsidRDefault="00C921F6" w:rsidP="00757CA5">
      <w:pPr>
        <w:spacing w:line="276" w:lineRule="auto"/>
        <w:rPr>
          <w:rFonts w:cstheme="minorHAnsi"/>
          <w:b/>
        </w:rPr>
      </w:pPr>
      <w:r w:rsidRPr="00757CA5">
        <w:rPr>
          <w:rFonts w:cstheme="minorHAnsi"/>
          <w:b/>
        </w:rPr>
        <w:t>References</w:t>
      </w:r>
    </w:p>
    <w:p w14:paraId="43656025" w14:textId="77777777" w:rsidR="00757CA5" w:rsidRPr="00757CA5" w:rsidRDefault="00196A90" w:rsidP="00196A90">
      <w:pPr>
        <w:autoSpaceDE w:val="0"/>
        <w:autoSpaceDN w:val="0"/>
        <w:adjustRightInd w:val="0"/>
        <w:spacing w:line="276" w:lineRule="auto"/>
        <w:ind w:left="426" w:hanging="426"/>
        <w:rPr>
          <w:rFonts w:cstheme="minorHAnsi"/>
        </w:rPr>
      </w:pPr>
      <w:r>
        <w:rPr>
          <w:rFonts w:cstheme="minorHAnsi"/>
        </w:rPr>
        <w:t>Bittner</w:t>
      </w:r>
      <w:r w:rsidR="00757CA5" w:rsidRPr="00757CA5">
        <w:rPr>
          <w:rFonts w:cstheme="minorHAnsi"/>
        </w:rPr>
        <w:t>, E</w:t>
      </w:r>
      <w:r>
        <w:rPr>
          <w:rFonts w:cstheme="minorHAnsi"/>
        </w:rPr>
        <w:t>.</w:t>
      </w:r>
      <w:r w:rsidR="00757CA5" w:rsidRPr="00757CA5">
        <w:rPr>
          <w:rFonts w:cstheme="minorHAnsi"/>
        </w:rPr>
        <w:t xml:space="preserve">  (1967), ‘The Police on Skid Row: A Study of Peacekeeping’</w:t>
      </w:r>
      <w:r>
        <w:rPr>
          <w:rFonts w:cstheme="minorHAnsi"/>
        </w:rPr>
        <w:t>,</w:t>
      </w:r>
      <w:r w:rsidR="00757CA5" w:rsidRPr="00757CA5">
        <w:rPr>
          <w:rFonts w:cstheme="minorHAnsi"/>
        </w:rPr>
        <w:t xml:space="preserve"> </w:t>
      </w:r>
      <w:r w:rsidR="00757CA5" w:rsidRPr="00757CA5">
        <w:rPr>
          <w:rFonts w:cstheme="minorHAnsi"/>
          <w:i/>
          <w:iCs/>
        </w:rPr>
        <w:t>American Sociological Review</w:t>
      </w:r>
      <w:r w:rsidR="00757CA5" w:rsidRPr="00757CA5">
        <w:rPr>
          <w:rFonts w:cstheme="minorHAnsi"/>
          <w:iCs/>
        </w:rPr>
        <w:t xml:space="preserve">, 32(5): </w:t>
      </w:r>
      <w:r w:rsidR="00757CA5" w:rsidRPr="00757CA5">
        <w:rPr>
          <w:rFonts w:cstheme="minorHAnsi"/>
        </w:rPr>
        <w:t>699-715.</w:t>
      </w:r>
    </w:p>
    <w:p w14:paraId="232630E7" w14:textId="77777777" w:rsidR="003D4FFF" w:rsidRPr="00196A90" w:rsidRDefault="003D4FFF" w:rsidP="00196A90">
      <w:pPr>
        <w:spacing w:line="276" w:lineRule="auto"/>
        <w:ind w:left="426" w:hanging="426"/>
        <w:rPr>
          <w:rFonts w:cstheme="minorHAnsi"/>
        </w:rPr>
      </w:pPr>
      <w:r w:rsidRPr="00196A90">
        <w:rPr>
          <w:rFonts w:cstheme="minorHAnsi"/>
        </w:rPr>
        <w:t xml:space="preserve">Bradford, B. (2017), </w:t>
      </w:r>
      <w:r w:rsidRPr="00196A90">
        <w:rPr>
          <w:rFonts w:cstheme="minorHAnsi"/>
          <w:i/>
        </w:rPr>
        <w:t>Stop and search and police legitimacy</w:t>
      </w:r>
      <w:r w:rsidRPr="00196A90">
        <w:rPr>
          <w:rFonts w:cstheme="minorHAnsi"/>
        </w:rPr>
        <w:t>. London: Routledge.</w:t>
      </w:r>
    </w:p>
    <w:p w14:paraId="0B2ED002" w14:textId="77777777" w:rsidR="003D4FFF" w:rsidRPr="00196A90" w:rsidRDefault="00C921F6" w:rsidP="00196A90">
      <w:pPr>
        <w:spacing w:line="276" w:lineRule="auto"/>
        <w:ind w:left="426" w:hanging="426"/>
        <w:rPr>
          <w:rFonts w:cstheme="minorHAnsi"/>
        </w:rPr>
      </w:pPr>
      <w:r w:rsidRPr="00196A90">
        <w:rPr>
          <w:rFonts w:cstheme="minorHAnsi"/>
        </w:rPr>
        <w:t>Bradford, B. and Topping, J. (2020</w:t>
      </w:r>
      <w:r w:rsidR="00A36A8F" w:rsidRPr="00196A90">
        <w:rPr>
          <w:rFonts w:cstheme="minorHAnsi"/>
        </w:rPr>
        <w:t>),</w:t>
      </w:r>
      <w:r w:rsidR="003D4FFF" w:rsidRPr="00196A90">
        <w:rPr>
          <w:rFonts w:cstheme="minorHAnsi"/>
        </w:rPr>
        <w:t xml:space="preserve"> </w:t>
      </w:r>
      <w:r w:rsidR="00A36A8F" w:rsidRPr="00196A90">
        <w:rPr>
          <w:rFonts w:cstheme="minorHAnsi"/>
        </w:rPr>
        <w:t>‘</w:t>
      </w:r>
      <w:r w:rsidR="003D4FFF" w:rsidRPr="00196A90">
        <w:rPr>
          <w:rFonts w:cstheme="minorHAnsi"/>
        </w:rPr>
        <w:t>Now you see it, now you don’t: On the (in)visibility of police stop and search in Northern Ireland</w:t>
      </w:r>
      <w:r w:rsidR="00A36A8F" w:rsidRPr="00196A90">
        <w:rPr>
          <w:rFonts w:cstheme="minorHAnsi"/>
        </w:rPr>
        <w:t>’</w:t>
      </w:r>
      <w:r w:rsidR="003D4FFF" w:rsidRPr="00196A90">
        <w:rPr>
          <w:rFonts w:cstheme="minorHAnsi"/>
        </w:rPr>
        <w:t xml:space="preserve">. </w:t>
      </w:r>
      <w:r w:rsidR="003D4FFF" w:rsidRPr="00196A90">
        <w:rPr>
          <w:rFonts w:cstheme="minorHAnsi"/>
          <w:i/>
        </w:rPr>
        <w:t>Criminology and Criminal Justice</w:t>
      </w:r>
      <w:r w:rsidRPr="00196A90">
        <w:rPr>
          <w:rFonts w:cstheme="minorHAnsi"/>
        </w:rPr>
        <w:t>, 20(1): 93-110.</w:t>
      </w:r>
    </w:p>
    <w:p w14:paraId="1DEE9826" w14:textId="77777777" w:rsidR="00196A90" w:rsidRPr="00196A90" w:rsidRDefault="00196A90" w:rsidP="00196A90">
      <w:pPr>
        <w:spacing w:line="276" w:lineRule="auto"/>
        <w:ind w:left="426" w:hanging="426"/>
        <w:rPr>
          <w:rFonts w:cstheme="minorHAnsi"/>
        </w:rPr>
      </w:pPr>
      <w:r w:rsidRPr="00196A90">
        <w:rPr>
          <w:rFonts w:cstheme="minorHAnsi"/>
        </w:rPr>
        <w:t>Cain, M</w:t>
      </w:r>
      <w:r>
        <w:rPr>
          <w:rFonts w:cstheme="minorHAnsi"/>
        </w:rPr>
        <w:t>. (1973)</w:t>
      </w:r>
      <w:r w:rsidRPr="00196A90">
        <w:rPr>
          <w:rFonts w:cstheme="minorHAnsi"/>
        </w:rPr>
        <w:t xml:space="preserve">, </w:t>
      </w:r>
      <w:r w:rsidRPr="00196A90">
        <w:rPr>
          <w:rFonts w:cstheme="minorHAnsi"/>
          <w:i/>
          <w:iCs/>
        </w:rPr>
        <w:t>Society and the Policeman’s Role</w:t>
      </w:r>
      <w:r w:rsidRPr="00196A90">
        <w:rPr>
          <w:rFonts w:cstheme="minorHAnsi"/>
          <w:iCs/>
        </w:rPr>
        <w:t>,</w:t>
      </w:r>
      <w:r w:rsidRPr="00196A90">
        <w:rPr>
          <w:rFonts w:cstheme="minorHAnsi"/>
          <w:i/>
          <w:iCs/>
        </w:rPr>
        <w:t xml:space="preserve"> </w:t>
      </w:r>
      <w:r w:rsidRPr="00196A90">
        <w:rPr>
          <w:rFonts w:cstheme="minorHAnsi"/>
        </w:rPr>
        <w:t>London</w:t>
      </w:r>
      <w:r>
        <w:rPr>
          <w:rFonts w:cstheme="minorHAnsi"/>
        </w:rPr>
        <w:t>:</w:t>
      </w:r>
      <w:r w:rsidRPr="00196A90">
        <w:rPr>
          <w:rFonts w:cstheme="minorHAnsi"/>
        </w:rPr>
        <w:t xml:space="preserve"> Routledge and Kegan Paul.</w:t>
      </w:r>
    </w:p>
    <w:p w14:paraId="5F5DA9C2" w14:textId="27304FF1" w:rsidR="009E2BBC" w:rsidRDefault="009E2BBC" w:rsidP="00196A90">
      <w:pPr>
        <w:spacing w:line="276" w:lineRule="auto"/>
        <w:ind w:left="426" w:hanging="426"/>
        <w:rPr>
          <w:rFonts w:cstheme="minorHAnsi"/>
        </w:rPr>
      </w:pPr>
      <w:r>
        <w:rPr>
          <w:rFonts w:cstheme="minorHAnsi"/>
        </w:rPr>
        <w:t xml:space="preserve">Darnton, R. (1984), </w:t>
      </w:r>
      <w:r w:rsidRPr="009E2BBC">
        <w:rPr>
          <w:rFonts w:cstheme="minorHAnsi"/>
          <w:i/>
        </w:rPr>
        <w:t>The great cat massacre and other episodes in French cultural history</w:t>
      </w:r>
      <w:r>
        <w:rPr>
          <w:rFonts w:cstheme="minorHAnsi"/>
        </w:rPr>
        <w:t>. New Yoro: Basic Books.</w:t>
      </w:r>
    </w:p>
    <w:p w14:paraId="654F9EDA" w14:textId="062BF4DE" w:rsidR="003B60EE" w:rsidRPr="00196A90" w:rsidRDefault="003B60EE" w:rsidP="00196A90">
      <w:pPr>
        <w:spacing w:line="276" w:lineRule="auto"/>
        <w:ind w:left="426" w:hanging="426"/>
        <w:rPr>
          <w:rFonts w:cstheme="minorHAnsi"/>
        </w:rPr>
      </w:pPr>
      <w:r w:rsidRPr="00196A90">
        <w:rPr>
          <w:rFonts w:cstheme="minorHAnsi"/>
        </w:rPr>
        <w:t xml:space="preserve">de Maillard, J., </w:t>
      </w:r>
      <w:proofErr w:type="spellStart"/>
      <w:r w:rsidRPr="00196A90">
        <w:rPr>
          <w:rFonts w:cstheme="minorHAnsi"/>
        </w:rPr>
        <w:t>Hunold</w:t>
      </w:r>
      <w:proofErr w:type="spellEnd"/>
      <w:r w:rsidRPr="00196A90">
        <w:rPr>
          <w:rFonts w:cstheme="minorHAnsi"/>
        </w:rPr>
        <w:t xml:space="preserve">, D., </w:t>
      </w:r>
      <w:proofErr w:type="spellStart"/>
      <w:r w:rsidRPr="00196A90">
        <w:rPr>
          <w:rFonts w:cstheme="minorHAnsi"/>
        </w:rPr>
        <w:t>Roché</w:t>
      </w:r>
      <w:proofErr w:type="spellEnd"/>
      <w:r w:rsidRPr="00196A90">
        <w:rPr>
          <w:rFonts w:cstheme="minorHAnsi"/>
        </w:rPr>
        <w:t>, S.</w:t>
      </w:r>
      <w:r w:rsidR="00196A90">
        <w:rPr>
          <w:rFonts w:cstheme="minorHAnsi"/>
        </w:rPr>
        <w:t xml:space="preserve"> and</w:t>
      </w:r>
      <w:r w:rsidRPr="00196A90">
        <w:rPr>
          <w:rFonts w:cstheme="minorHAnsi"/>
        </w:rPr>
        <w:t xml:space="preserve"> </w:t>
      </w:r>
      <w:proofErr w:type="spellStart"/>
      <w:r w:rsidRPr="00196A90">
        <w:rPr>
          <w:rFonts w:cstheme="minorHAnsi"/>
        </w:rPr>
        <w:t>Oberwittler</w:t>
      </w:r>
      <w:proofErr w:type="spellEnd"/>
      <w:r w:rsidRPr="00196A90">
        <w:rPr>
          <w:rFonts w:cstheme="minorHAnsi"/>
        </w:rPr>
        <w:t>, D. (2018)</w:t>
      </w:r>
      <w:r w:rsidR="00196A90">
        <w:rPr>
          <w:rFonts w:cstheme="minorHAnsi"/>
        </w:rPr>
        <w:t>,</w:t>
      </w:r>
      <w:r w:rsidRPr="00196A90">
        <w:rPr>
          <w:rFonts w:cstheme="minorHAnsi"/>
        </w:rPr>
        <w:t xml:space="preserve"> </w:t>
      </w:r>
      <w:r w:rsidR="00196A90">
        <w:rPr>
          <w:rFonts w:cstheme="minorHAnsi"/>
        </w:rPr>
        <w:t>‘</w:t>
      </w:r>
      <w:r w:rsidRPr="00196A90">
        <w:rPr>
          <w:rFonts w:cstheme="minorHAnsi"/>
        </w:rPr>
        <w:t>Different styles of policing: discretionary power in street controls by the public police in France and Germany</w:t>
      </w:r>
      <w:r w:rsidR="00196A90">
        <w:rPr>
          <w:rFonts w:cstheme="minorHAnsi"/>
        </w:rPr>
        <w:t>’,</w:t>
      </w:r>
      <w:r w:rsidRPr="00196A90">
        <w:rPr>
          <w:rFonts w:cstheme="minorHAnsi"/>
        </w:rPr>
        <w:t> </w:t>
      </w:r>
      <w:r w:rsidRPr="00196A90">
        <w:rPr>
          <w:rFonts w:cstheme="minorHAnsi"/>
          <w:i/>
        </w:rPr>
        <w:t xml:space="preserve">Policing and </w:t>
      </w:r>
      <w:r w:rsidR="00196A90">
        <w:rPr>
          <w:rFonts w:cstheme="minorHAnsi"/>
          <w:i/>
        </w:rPr>
        <w:t>S</w:t>
      </w:r>
      <w:r w:rsidRPr="00196A90">
        <w:rPr>
          <w:rFonts w:cstheme="minorHAnsi"/>
          <w:i/>
        </w:rPr>
        <w:t>ociety</w:t>
      </w:r>
      <w:r w:rsidRPr="00196A90">
        <w:rPr>
          <w:rFonts w:cstheme="minorHAnsi"/>
        </w:rPr>
        <w:t>, 28(2), 175-188.</w:t>
      </w:r>
    </w:p>
    <w:p w14:paraId="3A8E021D" w14:textId="77777777" w:rsidR="003D4FFF" w:rsidRPr="00196A90" w:rsidRDefault="003D4FFF" w:rsidP="00196A90">
      <w:pPr>
        <w:spacing w:line="276" w:lineRule="auto"/>
        <w:ind w:left="426" w:hanging="426"/>
        <w:rPr>
          <w:rFonts w:cstheme="minorHAnsi"/>
        </w:rPr>
      </w:pPr>
      <w:proofErr w:type="spellStart"/>
      <w:r w:rsidRPr="00196A90">
        <w:rPr>
          <w:rFonts w:cstheme="minorHAnsi"/>
        </w:rPr>
        <w:t>Delsol</w:t>
      </w:r>
      <w:proofErr w:type="spellEnd"/>
      <w:r w:rsidRPr="00196A90">
        <w:rPr>
          <w:rFonts w:cstheme="minorHAnsi"/>
        </w:rPr>
        <w:t xml:space="preserve">, R. </w:t>
      </w:r>
      <w:r w:rsidR="00C921F6" w:rsidRPr="00196A90">
        <w:rPr>
          <w:rFonts w:cstheme="minorHAnsi"/>
        </w:rPr>
        <w:t>and</w:t>
      </w:r>
      <w:r w:rsidRPr="00196A90">
        <w:rPr>
          <w:rFonts w:cstheme="minorHAnsi"/>
        </w:rPr>
        <w:t xml:space="preserve"> M. Shiner (eds) (2015). </w:t>
      </w:r>
      <w:r w:rsidRPr="00196A90">
        <w:rPr>
          <w:rFonts w:cstheme="minorHAnsi"/>
          <w:i/>
        </w:rPr>
        <w:t>Stop and Search: the Anatomy of a Police Power</w:t>
      </w:r>
      <w:r w:rsidRPr="00196A90">
        <w:rPr>
          <w:rFonts w:cstheme="minorHAnsi"/>
        </w:rPr>
        <w:t>. London: Palgrave Macmillan</w:t>
      </w:r>
    </w:p>
    <w:p w14:paraId="74F3E21B" w14:textId="77777777" w:rsidR="00C921F6" w:rsidRPr="00196A90" w:rsidRDefault="00C921F6" w:rsidP="00196A90">
      <w:pPr>
        <w:spacing w:line="276" w:lineRule="auto"/>
        <w:ind w:left="426" w:hanging="426"/>
        <w:rPr>
          <w:rFonts w:cstheme="minorHAnsi"/>
        </w:rPr>
      </w:pPr>
      <w:r w:rsidRPr="00196A90">
        <w:rPr>
          <w:rFonts w:cstheme="minorHAnsi"/>
        </w:rPr>
        <w:t>Epp, C. R., Maynard-Moody, S. and Haider-Markel, D. P. (2014). </w:t>
      </w:r>
      <w:r w:rsidRPr="00196A90">
        <w:rPr>
          <w:rFonts w:cstheme="minorHAnsi"/>
          <w:i/>
        </w:rPr>
        <w:t>Pulled over: How police stops define race and citizenship</w:t>
      </w:r>
      <w:r w:rsidRPr="00196A90">
        <w:rPr>
          <w:rFonts w:cstheme="minorHAnsi"/>
        </w:rPr>
        <w:t>. University of Chicago Press.</w:t>
      </w:r>
    </w:p>
    <w:p w14:paraId="4B362244" w14:textId="77777777" w:rsidR="00196A90" w:rsidRPr="00196A90" w:rsidRDefault="00196A90" w:rsidP="00196A90">
      <w:pPr>
        <w:spacing w:line="276" w:lineRule="auto"/>
        <w:ind w:left="426" w:hanging="426"/>
        <w:rPr>
          <w:rFonts w:cstheme="minorHAnsi"/>
        </w:rPr>
      </w:pPr>
      <w:r w:rsidRPr="00196A90">
        <w:rPr>
          <w:rFonts w:cstheme="minorHAnsi"/>
        </w:rPr>
        <w:t>Holdaway, S</w:t>
      </w:r>
      <w:r>
        <w:rPr>
          <w:rFonts w:cstheme="minorHAnsi"/>
        </w:rPr>
        <w:t>. (1983)</w:t>
      </w:r>
      <w:r w:rsidRPr="00196A90">
        <w:rPr>
          <w:rFonts w:cstheme="minorHAnsi"/>
        </w:rPr>
        <w:t xml:space="preserve">, </w:t>
      </w:r>
      <w:r w:rsidRPr="00196A90">
        <w:rPr>
          <w:rFonts w:cstheme="minorHAnsi"/>
          <w:i/>
          <w:iCs/>
        </w:rPr>
        <w:t xml:space="preserve">Inside the British </w:t>
      </w:r>
      <w:r>
        <w:rPr>
          <w:rFonts w:cstheme="minorHAnsi"/>
          <w:i/>
          <w:iCs/>
        </w:rPr>
        <w:t>p</w:t>
      </w:r>
      <w:r w:rsidRPr="00196A90">
        <w:rPr>
          <w:rFonts w:cstheme="minorHAnsi"/>
          <w:i/>
          <w:iCs/>
        </w:rPr>
        <w:t>olice</w:t>
      </w:r>
      <w:r w:rsidRPr="00196A90">
        <w:rPr>
          <w:rFonts w:cstheme="minorHAnsi"/>
          <w:iCs/>
        </w:rPr>
        <w:t>,</w:t>
      </w:r>
      <w:r w:rsidRPr="00196A90">
        <w:rPr>
          <w:rFonts w:cstheme="minorHAnsi"/>
          <w:i/>
          <w:iCs/>
        </w:rPr>
        <w:t xml:space="preserve"> </w:t>
      </w:r>
      <w:r w:rsidRPr="00196A90">
        <w:rPr>
          <w:rFonts w:cstheme="minorHAnsi"/>
        </w:rPr>
        <w:t>Oxford</w:t>
      </w:r>
      <w:r>
        <w:rPr>
          <w:rFonts w:cstheme="minorHAnsi"/>
        </w:rPr>
        <w:t>: Basil Blackwell</w:t>
      </w:r>
      <w:r w:rsidRPr="00196A90">
        <w:rPr>
          <w:rFonts w:cstheme="minorHAnsi"/>
        </w:rPr>
        <w:t>.</w:t>
      </w:r>
    </w:p>
    <w:p w14:paraId="2370403A" w14:textId="562E7A75" w:rsidR="00A05284" w:rsidRDefault="00A05284" w:rsidP="00196A90">
      <w:pPr>
        <w:autoSpaceDE w:val="0"/>
        <w:autoSpaceDN w:val="0"/>
        <w:adjustRightInd w:val="0"/>
        <w:spacing w:line="276" w:lineRule="auto"/>
        <w:ind w:left="426" w:hanging="426"/>
        <w:rPr>
          <w:rFonts w:ascii="Times New Roman" w:hAnsi="Times New Roman" w:cs="Times New Roman"/>
          <w:sz w:val="24"/>
          <w:szCs w:val="24"/>
        </w:rPr>
      </w:pPr>
      <w:r>
        <w:rPr>
          <w:rFonts w:ascii="Times New Roman" w:hAnsi="Times New Roman" w:cs="Times New Roman"/>
          <w:sz w:val="24"/>
          <w:szCs w:val="24"/>
        </w:rPr>
        <w:t xml:space="preserve">Home Office (2021), ‘Police powers and procedures: stop and search and arrests, England and Wales: year ending 31 March 2021’. Available at: </w:t>
      </w:r>
      <w:hyperlink r:id="rId5" w:history="1">
        <w:r>
          <w:rPr>
            <w:rStyle w:val="Hyperlink"/>
            <w:rFonts w:ascii="Times New Roman" w:hAnsi="Times New Roman" w:cs="Times New Roman"/>
            <w:sz w:val="24"/>
            <w:szCs w:val="24"/>
          </w:rPr>
          <w:t>https://www.gov.uk/government/statistics/police-powers-and-procedures-stop-and-search-and-arrests-england-and-wales-year-ending-31-march-2021/police-powers-and-procedures-stop-and-search-and-arrests-england-and-wales-year-ending-31-march-2021</w:t>
        </w:r>
      </w:hyperlink>
      <w:r>
        <w:rPr>
          <w:rFonts w:ascii="Times New Roman" w:hAnsi="Times New Roman" w:cs="Times New Roman"/>
          <w:sz w:val="24"/>
          <w:szCs w:val="24"/>
        </w:rPr>
        <w:t xml:space="preserve"> (accessed 23 March, 2022)</w:t>
      </w:r>
    </w:p>
    <w:p w14:paraId="76CD594D" w14:textId="2FF6A04C" w:rsidR="00196A90" w:rsidRPr="00196A90" w:rsidRDefault="00196A90" w:rsidP="00196A90">
      <w:pPr>
        <w:autoSpaceDE w:val="0"/>
        <w:autoSpaceDN w:val="0"/>
        <w:adjustRightInd w:val="0"/>
        <w:spacing w:line="276" w:lineRule="auto"/>
        <w:ind w:left="426" w:hanging="426"/>
        <w:rPr>
          <w:rFonts w:cstheme="minorHAnsi"/>
        </w:rPr>
      </w:pPr>
      <w:r w:rsidRPr="00196A90">
        <w:rPr>
          <w:rFonts w:cstheme="minorHAnsi"/>
        </w:rPr>
        <w:t>Manning, P. and van Maanen, J. (eds</w:t>
      </w:r>
      <w:r>
        <w:rPr>
          <w:rFonts w:cstheme="minorHAnsi"/>
        </w:rPr>
        <w:t>.</w:t>
      </w:r>
      <w:r w:rsidRPr="00196A90">
        <w:rPr>
          <w:rFonts w:cstheme="minorHAnsi"/>
        </w:rPr>
        <w:t xml:space="preserve">) (1978), </w:t>
      </w:r>
      <w:r w:rsidRPr="00196A90">
        <w:rPr>
          <w:rFonts w:cstheme="minorHAnsi"/>
          <w:i/>
          <w:iCs/>
        </w:rPr>
        <w:t>Policing: a view from the street</w:t>
      </w:r>
      <w:r w:rsidRPr="00196A90">
        <w:rPr>
          <w:rFonts w:cstheme="minorHAnsi"/>
        </w:rPr>
        <w:t>, Sant</w:t>
      </w:r>
      <w:r>
        <w:rPr>
          <w:rFonts w:cstheme="minorHAnsi"/>
        </w:rPr>
        <w:t xml:space="preserve">a Monica, CA: </w:t>
      </w:r>
      <w:r w:rsidRPr="00196A90">
        <w:rPr>
          <w:rFonts w:cstheme="minorHAnsi"/>
        </w:rPr>
        <w:t>Goodyear.</w:t>
      </w:r>
    </w:p>
    <w:p w14:paraId="3EE7CD91" w14:textId="77777777" w:rsidR="00A36A8F" w:rsidRPr="00196A90" w:rsidRDefault="00A36A8F" w:rsidP="00196A90">
      <w:pPr>
        <w:spacing w:line="276" w:lineRule="auto"/>
        <w:ind w:left="426" w:hanging="426"/>
        <w:rPr>
          <w:rFonts w:cstheme="minorHAnsi"/>
        </w:rPr>
      </w:pPr>
      <w:r w:rsidRPr="00196A90">
        <w:rPr>
          <w:rFonts w:cstheme="minorHAnsi"/>
        </w:rPr>
        <w:lastRenderedPageBreak/>
        <w:t xml:space="preserve">Miller, J., Bland, N. and Quinton, P. (2001), ‘A Challenge for Police-Community Relations: Rethinking Stop and Search in England and Wales’, </w:t>
      </w:r>
      <w:r w:rsidRPr="00196A90">
        <w:rPr>
          <w:rFonts w:cstheme="minorHAnsi"/>
          <w:i/>
        </w:rPr>
        <w:t>European Journal on Criminal Policy and Research</w:t>
      </w:r>
      <w:r w:rsidRPr="00196A90">
        <w:rPr>
          <w:rFonts w:cstheme="minorHAnsi"/>
        </w:rPr>
        <w:t>, 9(1), 71-93.</w:t>
      </w:r>
    </w:p>
    <w:p w14:paraId="5DC61169" w14:textId="77777777" w:rsidR="00C921F6" w:rsidRPr="00196A90" w:rsidRDefault="00C921F6" w:rsidP="00196A90">
      <w:pPr>
        <w:spacing w:line="276" w:lineRule="auto"/>
        <w:ind w:left="426" w:hanging="426"/>
        <w:rPr>
          <w:rFonts w:cstheme="minorHAnsi"/>
        </w:rPr>
      </w:pPr>
      <w:r w:rsidRPr="00196A90">
        <w:rPr>
          <w:rFonts w:cstheme="minorHAnsi"/>
        </w:rPr>
        <w:t xml:space="preserve">Murray, K. (2014), </w:t>
      </w:r>
      <w:r w:rsidRPr="00196A90">
        <w:rPr>
          <w:rFonts w:cstheme="minorHAnsi"/>
          <w:i/>
        </w:rPr>
        <w:t>Stop and search in Scotland: an evaluation</w:t>
      </w:r>
      <w:r w:rsidRPr="00196A90">
        <w:rPr>
          <w:rFonts w:cstheme="minorHAnsi"/>
        </w:rPr>
        <w:t>. Glasgow: Scottish Centre for Crime and Justice Research.</w:t>
      </w:r>
    </w:p>
    <w:p w14:paraId="1296CBE7" w14:textId="77777777" w:rsidR="00757CA5" w:rsidRDefault="00757CA5" w:rsidP="00196A90">
      <w:pPr>
        <w:spacing w:line="276" w:lineRule="auto"/>
        <w:ind w:left="426" w:hanging="426"/>
      </w:pPr>
      <w:proofErr w:type="spellStart"/>
      <w:r w:rsidRPr="00196A90">
        <w:rPr>
          <w:rFonts w:cstheme="minorHAnsi"/>
        </w:rPr>
        <w:t>Oberwittler</w:t>
      </w:r>
      <w:proofErr w:type="spellEnd"/>
      <w:r w:rsidRPr="00196A90">
        <w:rPr>
          <w:rFonts w:cstheme="minorHAnsi"/>
        </w:rPr>
        <w:t xml:space="preserve"> D. and</w:t>
      </w:r>
      <w:r w:rsidR="00196A90">
        <w:rPr>
          <w:rFonts w:cstheme="minorHAnsi"/>
        </w:rPr>
        <w:t xml:space="preserve"> </w:t>
      </w:r>
      <w:proofErr w:type="spellStart"/>
      <w:r w:rsidR="00196A90">
        <w:rPr>
          <w:rFonts w:cstheme="minorHAnsi"/>
        </w:rPr>
        <w:t>Roché</w:t>
      </w:r>
      <w:proofErr w:type="spellEnd"/>
      <w:r w:rsidR="00196A90">
        <w:rPr>
          <w:rFonts w:cstheme="minorHAnsi"/>
        </w:rPr>
        <w:t xml:space="preserve"> S. (2018),</w:t>
      </w:r>
      <w:r w:rsidRPr="00196A90">
        <w:rPr>
          <w:rFonts w:cstheme="minorHAnsi"/>
        </w:rPr>
        <w:t xml:space="preserve"> </w:t>
      </w:r>
      <w:r w:rsidR="00196A90">
        <w:rPr>
          <w:rFonts w:cstheme="minorHAnsi"/>
        </w:rPr>
        <w:t>‘</w:t>
      </w:r>
      <w:r w:rsidRPr="00196A90">
        <w:rPr>
          <w:rFonts w:cstheme="minorHAnsi"/>
        </w:rPr>
        <w:t>Ethnic disparities in police-initiated contacts of ad</w:t>
      </w:r>
      <w:r w:rsidR="00196A90">
        <w:rPr>
          <w:rFonts w:cstheme="minorHAnsi"/>
        </w:rPr>
        <w:t>o</w:t>
      </w:r>
      <w:r w:rsidRPr="00196A90">
        <w:rPr>
          <w:rFonts w:cstheme="minorHAnsi"/>
        </w:rPr>
        <w:t>l</w:t>
      </w:r>
      <w:r w:rsidR="00196A90">
        <w:rPr>
          <w:rFonts w:cstheme="minorHAnsi"/>
        </w:rPr>
        <w:t>e</w:t>
      </w:r>
      <w:r w:rsidRPr="00196A90">
        <w:rPr>
          <w:rFonts w:cstheme="minorHAnsi"/>
        </w:rPr>
        <w:t>scents and attitudes towards the police</w:t>
      </w:r>
      <w:r>
        <w:t xml:space="preserve"> in France and Germany</w:t>
      </w:r>
      <w:r w:rsidR="00196A90">
        <w:t>’</w:t>
      </w:r>
      <w:r>
        <w:t xml:space="preserve">. In </w:t>
      </w:r>
      <w:proofErr w:type="spellStart"/>
      <w:r>
        <w:t>Oberwittler</w:t>
      </w:r>
      <w:proofErr w:type="spellEnd"/>
      <w:r>
        <w:t xml:space="preserve"> D.</w:t>
      </w:r>
      <w:r w:rsidR="00196A90">
        <w:t xml:space="preserve"> and </w:t>
      </w:r>
      <w:proofErr w:type="spellStart"/>
      <w:r w:rsidR="00196A90">
        <w:t>Roché</w:t>
      </w:r>
      <w:proofErr w:type="spellEnd"/>
      <w:r w:rsidR="00196A90">
        <w:t xml:space="preserve"> S. (e</w:t>
      </w:r>
      <w:r>
        <w:t xml:space="preserve">ds.), </w:t>
      </w:r>
      <w:r w:rsidRPr="00196A90">
        <w:rPr>
          <w:i/>
        </w:rPr>
        <w:t>Police-citizen relations across the world. Comparing sources and contexts of trust and legitimacy</w:t>
      </w:r>
      <w:r>
        <w:t>, Abingdon</w:t>
      </w:r>
      <w:r w:rsidR="00196A90">
        <w:t>:</w:t>
      </w:r>
      <w:r>
        <w:t xml:space="preserve"> Routledge, 73-107.</w:t>
      </w:r>
    </w:p>
    <w:p w14:paraId="3E191FD4" w14:textId="77777777" w:rsidR="00C4560C" w:rsidRDefault="00C4560C" w:rsidP="00196A90">
      <w:pPr>
        <w:spacing w:line="276" w:lineRule="auto"/>
        <w:ind w:left="426" w:hanging="426"/>
      </w:pPr>
      <w:r>
        <w:t xml:space="preserve">Police Stops (2022), ‘Exploring “stop and search” practices in Europe’, </w:t>
      </w:r>
      <w:hyperlink r:id="rId6" w:history="1">
        <w:r w:rsidRPr="00126443">
          <w:rPr>
            <w:rStyle w:val="Hyperlink"/>
          </w:rPr>
          <w:t>https://polstops.eu/</w:t>
        </w:r>
      </w:hyperlink>
      <w:r>
        <w:t xml:space="preserve"> (accessed 18 January, 2022).</w:t>
      </w:r>
    </w:p>
    <w:p w14:paraId="64E6E9B8" w14:textId="77777777" w:rsidR="00A36A8F" w:rsidRDefault="00A36A8F" w:rsidP="00196A90">
      <w:pPr>
        <w:spacing w:line="276" w:lineRule="auto"/>
        <w:ind w:left="426" w:hanging="426"/>
      </w:pPr>
      <w:r>
        <w:t xml:space="preserve">Quinton, P. (2011), ‘The formation of suspicions: Police stop and search practices in England and Wales’. </w:t>
      </w:r>
      <w:r w:rsidRPr="00A36A8F">
        <w:rPr>
          <w:i/>
        </w:rPr>
        <w:t>Policing and Society</w:t>
      </w:r>
      <w:r>
        <w:t>, 21(4), 357-368.</w:t>
      </w:r>
    </w:p>
    <w:p w14:paraId="09A132A8" w14:textId="77777777" w:rsidR="00C921F6" w:rsidRPr="00C921F6" w:rsidRDefault="00C921F6" w:rsidP="00196A90">
      <w:pPr>
        <w:spacing w:line="276" w:lineRule="auto"/>
        <w:ind w:left="426" w:hanging="426"/>
        <w:rPr>
          <w:rFonts w:cstheme="minorHAnsi"/>
        </w:rPr>
      </w:pPr>
      <w:r w:rsidRPr="00C921F6">
        <w:rPr>
          <w:rFonts w:cstheme="minorHAnsi"/>
        </w:rPr>
        <w:t xml:space="preserve">Ross, J. (2020), </w:t>
      </w:r>
      <w:r w:rsidRPr="00C921F6">
        <w:rPr>
          <w:rFonts w:cstheme="minorHAnsi"/>
          <w:i/>
        </w:rPr>
        <w:t>A feminist critique of police stops</w:t>
      </w:r>
      <w:r w:rsidRPr="00C921F6">
        <w:rPr>
          <w:rFonts w:cstheme="minorHAnsi"/>
        </w:rPr>
        <w:t>. Cambridge: Cambridge University Press.</w:t>
      </w:r>
    </w:p>
    <w:p w14:paraId="74A1A7B9" w14:textId="0A0BEA66" w:rsidR="009E2BBC" w:rsidRDefault="009E2BBC" w:rsidP="00196A90">
      <w:pPr>
        <w:spacing w:line="276" w:lineRule="auto"/>
        <w:ind w:left="426" w:hanging="426"/>
        <w:rPr>
          <w:rFonts w:cstheme="minorHAnsi"/>
        </w:rPr>
      </w:pPr>
      <w:r>
        <w:rPr>
          <w:rFonts w:cstheme="minorHAnsi"/>
        </w:rPr>
        <w:t>Sullivan, P. (2012), ‘The personality of public documents: a case study in normalising Aboriginal risk’, Journal of Organizational Ethnography 1(1): 52-61</w:t>
      </w:r>
    </w:p>
    <w:p w14:paraId="0820FF59" w14:textId="2685C34A" w:rsidR="003D4FFF" w:rsidRPr="00C921F6" w:rsidRDefault="003D4FFF" w:rsidP="00196A90">
      <w:pPr>
        <w:spacing w:line="276" w:lineRule="auto"/>
        <w:ind w:left="426" w:hanging="426"/>
        <w:rPr>
          <w:rFonts w:cstheme="minorHAnsi"/>
        </w:rPr>
      </w:pPr>
      <w:r w:rsidRPr="00C921F6">
        <w:rPr>
          <w:rFonts w:cstheme="minorHAnsi"/>
        </w:rPr>
        <w:t xml:space="preserve">Waddington, P. (1999), </w:t>
      </w:r>
      <w:r w:rsidRPr="00C921F6">
        <w:rPr>
          <w:rFonts w:cstheme="minorHAnsi"/>
          <w:i/>
        </w:rPr>
        <w:t>Policing citizens: authority and rights</w:t>
      </w:r>
      <w:r w:rsidRPr="00C921F6">
        <w:rPr>
          <w:rFonts w:cstheme="minorHAnsi"/>
        </w:rPr>
        <w:t>. London: Routledge.</w:t>
      </w:r>
    </w:p>
    <w:p w14:paraId="74F0A22A" w14:textId="77777777" w:rsidR="00C921F6" w:rsidRPr="00C921F6" w:rsidRDefault="00C921F6" w:rsidP="00196A90">
      <w:pPr>
        <w:spacing w:line="276" w:lineRule="auto"/>
        <w:ind w:left="426" w:hanging="426"/>
        <w:rPr>
          <w:rFonts w:cstheme="minorHAnsi"/>
        </w:rPr>
      </w:pPr>
      <w:r w:rsidRPr="00C921F6">
        <w:rPr>
          <w:rFonts w:cstheme="minorHAnsi"/>
        </w:rPr>
        <w:t xml:space="preserve">White, M. and Fradella, H. (2016), </w:t>
      </w:r>
      <w:r w:rsidRPr="00C921F6">
        <w:rPr>
          <w:rFonts w:cstheme="minorHAnsi"/>
          <w:i/>
        </w:rPr>
        <w:t>Stop and frisk: the use and abuse of a controversial policing tactic</w:t>
      </w:r>
      <w:r w:rsidRPr="00C921F6">
        <w:rPr>
          <w:rFonts w:cstheme="minorHAnsi"/>
        </w:rPr>
        <w:t>. New York: New York University Press.</w:t>
      </w:r>
    </w:p>
    <w:p w14:paraId="4E8A253C" w14:textId="77777777" w:rsidR="003D4FFF" w:rsidRPr="003D4FFF" w:rsidRDefault="003D4FFF" w:rsidP="003D4FFF">
      <w:pPr>
        <w:spacing w:line="276" w:lineRule="auto"/>
        <w:rPr>
          <w:rFonts w:cstheme="minorHAnsi"/>
        </w:rPr>
      </w:pPr>
    </w:p>
    <w:sectPr w:rsidR="003D4FFF" w:rsidRPr="003D4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FFF"/>
    <w:rsid w:val="00005C6F"/>
    <w:rsid w:val="00021508"/>
    <w:rsid w:val="000534E0"/>
    <w:rsid w:val="00056F40"/>
    <w:rsid w:val="000F219E"/>
    <w:rsid w:val="000F604F"/>
    <w:rsid w:val="00117BC2"/>
    <w:rsid w:val="0012425D"/>
    <w:rsid w:val="00131E97"/>
    <w:rsid w:val="001347AC"/>
    <w:rsid w:val="0015331F"/>
    <w:rsid w:val="001948E2"/>
    <w:rsid w:val="00196A90"/>
    <w:rsid w:val="00197F87"/>
    <w:rsid w:val="001D19CE"/>
    <w:rsid w:val="001D3016"/>
    <w:rsid w:val="002142C1"/>
    <w:rsid w:val="00220207"/>
    <w:rsid w:val="00226212"/>
    <w:rsid w:val="002A22E8"/>
    <w:rsid w:val="002D2B4A"/>
    <w:rsid w:val="002F1376"/>
    <w:rsid w:val="003024EF"/>
    <w:rsid w:val="00323769"/>
    <w:rsid w:val="00342D7F"/>
    <w:rsid w:val="00345138"/>
    <w:rsid w:val="003857CF"/>
    <w:rsid w:val="00387572"/>
    <w:rsid w:val="00392341"/>
    <w:rsid w:val="003B60EE"/>
    <w:rsid w:val="003D4FFF"/>
    <w:rsid w:val="00443B08"/>
    <w:rsid w:val="00444361"/>
    <w:rsid w:val="0045228D"/>
    <w:rsid w:val="004C1595"/>
    <w:rsid w:val="004C604A"/>
    <w:rsid w:val="004D2D5F"/>
    <w:rsid w:val="004D2FAB"/>
    <w:rsid w:val="00533095"/>
    <w:rsid w:val="005552F1"/>
    <w:rsid w:val="00565CFD"/>
    <w:rsid w:val="00574B92"/>
    <w:rsid w:val="005E1DE3"/>
    <w:rsid w:val="005F55ED"/>
    <w:rsid w:val="00675C7E"/>
    <w:rsid w:val="00692EE1"/>
    <w:rsid w:val="00693EAC"/>
    <w:rsid w:val="0069486E"/>
    <w:rsid w:val="006C2989"/>
    <w:rsid w:val="007050E2"/>
    <w:rsid w:val="007159E8"/>
    <w:rsid w:val="00737C9A"/>
    <w:rsid w:val="007431CC"/>
    <w:rsid w:val="00757CA5"/>
    <w:rsid w:val="00763633"/>
    <w:rsid w:val="00786452"/>
    <w:rsid w:val="007A4085"/>
    <w:rsid w:val="007D61C3"/>
    <w:rsid w:val="00802057"/>
    <w:rsid w:val="00822869"/>
    <w:rsid w:val="00862280"/>
    <w:rsid w:val="00863A5D"/>
    <w:rsid w:val="008A686E"/>
    <w:rsid w:val="008B088A"/>
    <w:rsid w:val="0092560D"/>
    <w:rsid w:val="00936D1E"/>
    <w:rsid w:val="009435DA"/>
    <w:rsid w:val="00970AE7"/>
    <w:rsid w:val="009A36E2"/>
    <w:rsid w:val="009C529A"/>
    <w:rsid w:val="009D1226"/>
    <w:rsid w:val="009D1392"/>
    <w:rsid w:val="009E2BBC"/>
    <w:rsid w:val="009E6358"/>
    <w:rsid w:val="00A05284"/>
    <w:rsid w:val="00A06B13"/>
    <w:rsid w:val="00A36A8F"/>
    <w:rsid w:val="00A57831"/>
    <w:rsid w:val="00A60640"/>
    <w:rsid w:val="00A666CB"/>
    <w:rsid w:val="00AB0837"/>
    <w:rsid w:val="00AC659A"/>
    <w:rsid w:val="00AE3868"/>
    <w:rsid w:val="00B22D3D"/>
    <w:rsid w:val="00B23037"/>
    <w:rsid w:val="00B43F7C"/>
    <w:rsid w:val="00B66E73"/>
    <w:rsid w:val="00B76DB2"/>
    <w:rsid w:val="00BB5B52"/>
    <w:rsid w:val="00C24BBC"/>
    <w:rsid w:val="00C4560C"/>
    <w:rsid w:val="00C921F6"/>
    <w:rsid w:val="00D07F90"/>
    <w:rsid w:val="00D50D1B"/>
    <w:rsid w:val="00D864CB"/>
    <w:rsid w:val="00E1023F"/>
    <w:rsid w:val="00E320E2"/>
    <w:rsid w:val="00E762B0"/>
    <w:rsid w:val="00EA1703"/>
    <w:rsid w:val="00EA209A"/>
    <w:rsid w:val="00EB7CC9"/>
    <w:rsid w:val="00EC4CC4"/>
    <w:rsid w:val="00F243EE"/>
    <w:rsid w:val="00F25D27"/>
    <w:rsid w:val="00FA2BD4"/>
    <w:rsid w:val="00FA37AC"/>
    <w:rsid w:val="00FD4977"/>
    <w:rsid w:val="00FF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D6D9"/>
  <w15:chartTrackingRefBased/>
  <w15:docId w15:val="{F16D1C89-3A11-45D5-817E-A63FF5B8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60C"/>
    <w:rPr>
      <w:color w:val="0563C1" w:themeColor="hyperlink"/>
      <w:u w:val="single"/>
    </w:rPr>
  </w:style>
  <w:style w:type="character" w:styleId="CommentReference">
    <w:name w:val="annotation reference"/>
    <w:basedOn w:val="DefaultParagraphFont"/>
    <w:uiPriority w:val="99"/>
    <w:semiHidden/>
    <w:unhideWhenUsed/>
    <w:rsid w:val="00936D1E"/>
    <w:rPr>
      <w:sz w:val="16"/>
      <w:szCs w:val="16"/>
    </w:rPr>
  </w:style>
  <w:style w:type="paragraph" w:styleId="CommentText">
    <w:name w:val="annotation text"/>
    <w:basedOn w:val="Normal"/>
    <w:link w:val="CommentTextChar"/>
    <w:uiPriority w:val="99"/>
    <w:semiHidden/>
    <w:unhideWhenUsed/>
    <w:rsid w:val="00936D1E"/>
    <w:pPr>
      <w:spacing w:line="240" w:lineRule="auto"/>
    </w:pPr>
    <w:rPr>
      <w:sz w:val="20"/>
      <w:szCs w:val="20"/>
    </w:rPr>
  </w:style>
  <w:style w:type="character" w:customStyle="1" w:styleId="CommentTextChar">
    <w:name w:val="Comment Text Char"/>
    <w:basedOn w:val="DefaultParagraphFont"/>
    <w:link w:val="CommentText"/>
    <w:uiPriority w:val="99"/>
    <w:semiHidden/>
    <w:rsid w:val="00936D1E"/>
    <w:rPr>
      <w:sz w:val="20"/>
      <w:szCs w:val="20"/>
    </w:rPr>
  </w:style>
  <w:style w:type="paragraph" w:styleId="CommentSubject">
    <w:name w:val="annotation subject"/>
    <w:basedOn w:val="CommentText"/>
    <w:next w:val="CommentText"/>
    <w:link w:val="CommentSubjectChar"/>
    <w:uiPriority w:val="99"/>
    <w:semiHidden/>
    <w:unhideWhenUsed/>
    <w:rsid w:val="00936D1E"/>
    <w:rPr>
      <w:b/>
      <w:bCs/>
    </w:rPr>
  </w:style>
  <w:style w:type="character" w:customStyle="1" w:styleId="CommentSubjectChar">
    <w:name w:val="Comment Subject Char"/>
    <w:basedOn w:val="CommentTextChar"/>
    <w:link w:val="CommentSubject"/>
    <w:uiPriority w:val="99"/>
    <w:semiHidden/>
    <w:rsid w:val="00936D1E"/>
    <w:rPr>
      <w:b/>
      <w:bCs/>
      <w:sz w:val="20"/>
      <w:szCs w:val="20"/>
    </w:rPr>
  </w:style>
  <w:style w:type="character" w:styleId="FollowedHyperlink">
    <w:name w:val="FollowedHyperlink"/>
    <w:basedOn w:val="DefaultParagraphFont"/>
    <w:uiPriority w:val="99"/>
    <w:semiHidden/>
    <w:unhideWhenUsed/>
    <w:rsid w:val="00A05284"/>
    <w:rPr>
      <w:color w:val="954F72" w:themeColor="followedHyperlink"/>
      <w:u w:val="single"/>
    </w:rPr>
  </w:style>
  <w:style w:type="paragraph" w:styleId="BalloonText">
    <w:name w:val="Balloon Text"/>
    <w:basedOn w:val="Normal"/>
    <w:link w:val="BalloonTextChar"/>
    <w:uiPriority w:val="99"/>
    <w:semiHidden/>
    <w:unhideWhenUsed/>
    <w:rsid w:val="00D07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olstops.eu/" TargetMode="External"/><Relationship Id="rId5" Type="http://schemas.openxmlformats.org/officeDocument/2006/relationships/hyperlink" Target="https://www.gov.uk/government/statistics/police-powers-and-procedures-stop-and-search-and-arrests-england-and-wales-year-ending-31-march-2021/police-powers-and-procedures-stop-and-search-and-arrests-england-and-wales-year-ending-31-march-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2083B-D5C5-4F00-83F4-3DF98646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Mike</dc:creator>
  <cp:keywords/>
  <dc:description/>
  <cp:lastModifiedBy>Rowe, Mike</cp:lastModifiedBy>
  <cp:revision>3</cp:revision>
  <dcterms:created xsi:type="dcterms:W3CDTF">2022-04-07T04:17:00Z</dcterms:created>
  <dcterms:modified xsi:type="dcterms:W3CDTF">2022-04-09T08:25:00Z</dcterms:modified>
</cp:coreProperties>
</file>