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9B" w:rsidRPr="00BE2022" w:rsidRDefault="00786F9B" w:rsidP="00786F9B">
      <w:pPr>
        <w:spacing w:line="360" w:lineRule="auto"/>
        <w:jc w:val="center"/>
        <w:rPr>
          <w:rFonts w:cstheme="minorHAnsi"/>
          <w:b/>
          <w:bCs/>
          <w:szCs w:val="22"/>
        </w:rPr>
      </w:pPr>
      <w:bookmarkStart w:id="0" w:name="_GoBack"/>
      <w:bookmarkEnd w:id="0"/>
      <w:r w:rsidRPr="00BE2022">
        <w:rPr>
          <w:rFonts w:cstheme="minorHAnsi"/>
          <w:b/>
          <w:bCs/>
          <w:szCs w:val="22"/>
        </w:rPr>
        <w:t>Clinical Utility of Albumin Bilirubin Grade as a Prognostic Marker in Patients with Hepatocellular Carcinoma undergoing Transarterial Chemoembolization: A Systematic Review and Meta-Analysis.</w:t>
      </w:r>
    </w:p>
    <w:p w:rsidR="00786F9B" w:rsidRDefault="00786F9B" w:rsidP="00786F9B">
      <w:pPr>
        <w:spacing w:line="360" w:lineRule="auto"/>
        <w:rPr>
          <w:rFonts w:cstheme="minorHAnsi"/>
          <w:sz w:val="21"/>
          <w:szCs w:val="21"/>
        </w:rPr>
      </w:pPr>
    </w:p>
    <w:p w:rsidR="00786F9B" w:rsidRPr="00CF75FA" w:rsidRDefault="00786F9B" w:rsidP="00786F9B">
      <w:pPr>
        <w:spacing w:line="360" w:lineRule="auto"/>
        <w:jc w:val="center"/>
        <w:rPr>
          <w:rFonts w:cstheme="minorHAnsi"/>
          <w:sz w:val="22"/>
          <w:szCs w:val="22"/>
        </w:rPr>
      </w:pPr>
      <w:r w:rsidRPr="00675527">
        <w:rPr>
          <w:rFonts w:cstheme="minorHAnsi"/>
          <w:sz w:val="22"/>
          <w:szCs w:val="22"/>
        </w:rPr>
        <w:t>Gauri</w:t>
      </w:r>
      <w:r>
        <w:rPr>
          <w:rFonts w:cstheme="minorHAnsi"/>
          <w:sz w:val="22"/>
          <w:szCs w:val="22"/>
        </w:rPr>
        <w:t xml:space="preserve"> </w:t>
      </w:r>
      <w:r w:rsidRPr="00675527">
        <w:rPr>
          <w:rFonts w:cstheme="minorHAnsi"/>
          <w:sz w:val="22"/>
          <w:szCs w:val="22"/>
        </w:rPr>
        <w:t>Mishra</w:t>
      </w:r>
      <w:r w:rsidRPr="00675527">
        <w:rPr>
          <w:rFonts w:cstheme="minorHAnsi"/>
          <w:sz w:val="22"/>
          <w:szCs w:val="22"/>
          <w:vertAlign w:val="superscript"/>
        </w:rPr>
        <w:t>1</w:t>
      </w:r>
      <w:r>
        <w:rPr>
          <w:rFonts w:cstheme="minorHAnsi"/>
          <w:sz w:val="22"/>
          <w:szCs w:val="22"/>
          <w:vertAlign w:val="superscript"/>
        </w:rPr>
        <w:t>,2</w:t>
      </w:r>
      <w:r w:rsidRPr="00675527">
        <w:rPr>
          <w:rFonts w:cstheme="minorHAnsi"/>
          <w:sz w:val="22"/>
          <w:szCs w:val="22"/>
          <w:vertAlign w:val="superscript"/>
        </w:rPr>
        <w:t xml:space="preserve"> </w:t>
      </w:r>
      <w:r>
        <w:rPr>
          <w:rFonts w:cstheme="minorHAnsi"/>
          <w:sz w:val="22"/>
          <w:szCs w:val="22"/>
        </w:rPr>
        <w:t xml:space="preserve">, </w:t>
      </w:r>
      <w:r w:rsidRPr="00675527">
        <w:rPr>
          <w:rFonts w:cstheme="minorHAnsi"/>
          <w:sz w:val="22"/>
          <w:szCs w:val="22"/>
        </w:rPr>
        <w:t>Ammar Majeed</w:t>
      </w:r>
      <w:r w:rsidRPr="00A2136A">
        <w:rPr>
          <w:rFonts w:cstheme="minorHAnsi"/>
          <w:sz w:val="22"/>
          <w:szCs w:val="22"/>
          <w:vertAlign w:val="superscript"/>
        </w:rPr>
        <w:t>2</w:t>
      </w:r>
      <w:r>
        <w:rPr>
          <w:rFonts w:cstheme="minorHAnsi"/>
          <w:sz w:val="22"/>
          <w:szCs w:val="22"/>
          <w:vertAlign w:val="superscript"/>
        </w:rPr>
        <w:t>,3</w:t>
      </w:r>
      <w:r>
        <w:rPr>
          <w:rFonts w:cstheme="minorHAnsi"/>
          <w:sz w:val="22"/>
          <w:szCs w:val="22"/>
        </w:rPr>
        <w:t xml:space="preserve">, </w:t>
      </w:r>
      <w:r w:rsidRPr="00675527">
        <w:rPr>
          <w:rFonts w:cstheme="minorHAnsi"/>
          <w:sz w:val="22"/>
          <w:szCs w:val="22"/>
        </w:rPr>
        <w:t>Anouk Dev</w:t>
      </w:r>
      <w:r w:rsidRPr="00675527">
        <w:rPr>
          <w:rFonts w:cstheme="minorHAnsi"/>
          <w:sz w:val="22"/>
          <w:szCs w:val="22"/>
          <w:vertAlign w:val="superscript"/>
        </w:rPr>
        <w:t>1</w:t>
      </w:r>
      <w:r>
        <w:rPr>
          <w:rFonts w:cstheme="minorHAnsi"/>
          <w:sz w:val="22"/>
          <w:szCs w:val="22"/>
          <w:vertAlign w:val="superscript"/>
        </w:rPr>
        <w:t>,2</w:t>
      </w:r>
      <w:r>
        <w:rPr>
          <w:rFonts w:cstheme="minorHAnsi"/>
          <w:sz w:val="22"/>
          <w:szCs w:val="22"/>
        </w:rPr>
        <w:t xml:space="preserve">, </w:t>
      </w:r>
      <w:r w:rsidRPr="00675527">
        <w:rPr>
          <w:rFonts w:cstheme="minorHAnsi"/>
          <w:sz w:val="22"/>
          <w:szCs w:val="22"/>
        </w:rPr>
        <w:t xml:space="preserve">Guy </w:t>
      </w:r>
      <w:r>
        <w:rPr>
          <w:rFonts w:cstheme="minorHAnsi"/>
          <w:sz w:val="22"/>
          <w:szCs w:val="22"/>
        </w:rPr>
        <w:t xml:space="preserve">D. </w:t>
      </w:r>
      <w:r w:rsidRPr="00675527">
        <w:rPr>
          <w:rFonts w:cstheme="minorHAnsi"/>
          <w:sz w:val="22"/>
          <w:szCs w:val="22"/>
        </w:rPr>
        <w:t>Eslick</w:t>
      </w:r>
      <w:r>
        <w:rPr>
          <w:rFonts w:cstheme="minorHAnsi"/>
          <w:sz w:val="22"/>
          <w:szCs w:val="22"/>
          <w:vertAlign w:val="superscript"/>
        </w:rPr>
        <w:t>4</w:t>
      </w:r>
      <w:r>
        <w:rPr>
          <w:rFonts w:cstheme="minorHAnsi"/>
          <w:sz w:val="22"/>
          <w:szCs w:val="22"/>
        </w:rPr>
        <w:t xml:space="preserve">, </w:t>
      </w:r>
      <w:r w:rsidRPr="00675527">
        <w:rPr>
          <w:rFonts w:cstheme="minorHAnsi"/>
          <w:sz w:val="22"/>
          <w:szCs w:val="22"/>
        </w:rPr>
        <w:t>David J Pinato</w:t>
      </w:r>
      <w:r w:rsidRPr="00675527">
        <w:rPr>
          <w:rFonts w:cstheme="minorHAnsi"/>
          <w:sz w:val="22"/>
          <w:szCs w:val="22"/>
          <w:vertAlign w:val="superscript"/>
        </w:rPr>
        <w:t>5</w:t>
      </w:r>
      <w:r>
        <w:rPr>
          <w:rFonts w:cstheme="minorHAnsi"/>
          <w:sz w:val="22"/>
          <w:szCs w:val="22"/>
        </w:rPr>
        <w:t xml:space="preserve">, </w:t>
      </w:r>
      <w:r w:rsidRPr="00675527">
        <w:rPr>
          <w:rFonts w:cstheme="minorHAnsi"/>
          <w:sz w:val="22"/>
          <w:szCs w:val="22"/>
        </w:rPr>
        <w:t>Hirofumi Izumoto</w:t>
      </w:r>
      <w:r>
        <w:rPr>
          <w:rFonts w:cstheme="minorHAnsi"/>
          <w:sz w:val="22"/>
          <w:szCs w:val="22"/>
          <w:vertAlign w:val="superscript"/>
        </w:rPr>
        <w:t>6</w:t>
      </w:r>
      <w:r>
        <w:rPr>
          <w:rFonts w:cstheme="minorHAnsi"/>
          <w:sz w:val="22"/>
          <w:szCs w:val="22"/>
        </w:rPr>
        <w:t xml:space="preserve">, </w:t>
      </w:r>
      <w:r w:rsidRPr="00675527">
        <w:rPr>
          <w:rFonts w:cstheme="minorHAnsi"/>
          <w:sz w:val="22"/>
          <w:szCs w:val="22"/>
        </w:rPr>
        <w:t>Atsushi</w:t>
      </w:r>
      <w:r>
        <w:rPr>
          <w:rFonts w:cstheme="minorHAnsi"/>
          <w:sz w:val="22"/>
          <w:szCs w:val="22"/>
        </w:rPr>
        <w:t xml:space="preserve">, </w:t>
      </w:r>
      <w:r w:rsidRPr="00675527">
        <w:rPr>
          <w:rFonts w:cstheme="minorHAnsi"/>
          <w:sz w:val="22"/>
          <w:szCs w:val="22"/>
        </w:rPr>
        <w:t>Hiraoka</w:t>
      </w:r>
      <w:r>
        <w:rPr>
          <w:rFonts w:cstheme="minorHAnsi"/>
          <w:sz w:val="22"/>
          <w:szCs w:val="22"/>
          <w:vertAlign w:val="superscript"/>
        </w:rPr>
        <w:t>6</w:t>
      </w:r>
      <w:r>
        <w:rPr>
          <w:rFonts w:cstheme="minorHAnsi"/>
          <w:sz w:val="22"/>
          <w:szCs w:val="22"/>
        </w:rPr>
        <w:t xml:space="preserve">, </w:t>
      </w:r>
      <w:proofErr w:type="spellStart"/>
      <w:r w:rsidRPr="00675527">
        <w:rPr>
          <w:rFonts w:cstheme="minorHAnsi"/>
          <w:sz w:val="22"/>
          <w:szCs w:val="22"/>
        </w:rPr>
        <w:t>Teh</w:t>
      </w:r>
      <w:r w:rsidRPr="00675527">
        <w:rPr>
          <w:rFonts w:cstheme="minorHAnsi"/>
          <w:sz w:val="22"/>
          <w:szCs w:val="22"/>
        </w:rPr>
        <w:softHyphen/>
      </w:r>
      <w:r>
        <w:rPr>
          <w:rFonts w:cstheme="minorHAnsi"/>
          <w:sz w:val="22"/>
          <w:szCs w:val="22"/>
        </w:rPr>
        <w:t>-I</w:t>
      </w:r>
      <w:r w:rsidRPr="00675527">
        <w:rPr>
          <w:rFonts w:cstheme="minorHAnsi"/>
          <w:sz w:val="22"/>
          <w:szCs w:val="22"/>
        </w:rPr>
        <w:t>a</w:t>
      </w:r>
      <w:proofErr w:type="spellEnd"/>
      <w:r w:rsidRPr="00675527">
        <w:rPr>
          <w:rFonts w:cstheme="minorHAnsi"/>
          <w:sz w:val="22"/>
          <w:szCs w:val="22"/>
        </w:rPr>
        <w:t xml:space="preserve"> Huo</w:t>
      </w:r>
      <w:r>
        <w:rPr>
          <w:rFonts w:cstheme="minorHAnsi"/>
          <w:sz w:val="22"/>
          <w:szCs w:val="22"/>
          <w:vertAlign w:val="superscript"/>
        </w:rPr>
        <w:t>7,8</w:t>
      </w:r>
      <w:r w:rsidRPr="00675527">
        <w:rPr>
          <w:rFonts w:cstheme="minorHAnsi"/>
          <w:sz w:val="22"/>
          <w:szCs w:val="22"/>
        </w:rPr>
        <w:t xml:space="preserve"> </w:t>
      </w:r>
      <w:r>
        <w:rPr>
          <w:rFonts w:cstheme="minorHAnsi"/>
          <w:sz w:val="22"/>
          <w:szCs w:val="22"/>
        </w:rPr>
        <w:t xml:space="preserve">, </w:t>
      </w:r>
      <w:r w:rsidRPr="00675527">
        <w:rPr>
          <w:rFonts w:cstheme="minorHAnsi"/>
          <w:sz w:val="22"/>
          <w:szCs w:val="22"/>
        </w:rPr>
        <w:t>Po</w:t>
      </w:r>
      <w:r w:rsidRPr="00675527">
        <w:rPr>
          <w:rFonts w:cstheme="minorHAnsi"/>
          <w:sz w:val="22"/>
          <w:szCs w:val="22"/>
        </w:rPr>
        <w:softHyphen/>
      </w:r>
      <w:r>
        <w:rPr>
          <w:rFonts w:cstheme="minorHAnsi"/>
          <w:sz w:val="22"/>
          <w:szCs w:val="22"/>
        </w:rPr>
        <w:t xml:space="preserve"> </w:t>
      </w:r>
      <w:r w:rsidRPr="00675527">
        <w:rPr>
          <w:rFonts w:cstheme="minorHAnsi"/>
          <w:sz w:val="22"/>
          <w:szCs w:val="22"/>
        </w:rPr>
        <w:t>Hong Liu</w:t>
      </w:r>
      <w:r>
        <w:rPr>
          <w:rFonts w:cstheme="minorHAnsi"/>
          <w:sz w:val="22"/>
          <w:szCs w:val="22"/>
          <w:vertAlign w:val="superscript"/>
        </w:rPr>
        <w:t>9</w:t>
      </w:r>
      <w:r w:rsidRPr="00675527">
        <w:rPr>
          <w:rFonts w:cstheme="minorHAnsi"/>
          <w:position w:val="8"/>
          <w:sz w:val="22"/>
          <w:szCs w:val="22"/>
        </w:rPr>
        <w:t xml:space="preserve"> </w:t>
      </w:r>
      <w:r>
        <w:rPr>
          <w:rFonts w:cstheme="minorHAnsi"/>
          <w:sz w:val="22"/>
          <w:szCs w:val="22"/>
        </w:rPr>
        <w:t xml:space="preserve">, </w:t>
      </w:r>
      <w:r w:rsidRPr="00675527">
        <w:rPr>
          <w:rFonts w:cstheme="minorHAnsi"/>
          <w:sz w:val="22"/>
          <w:szCs w:val="22"/>
        </w:rPr>
        <w:t>Philip</w:t>
      </w:r>
      <w:r>
        <w:rPr>
          <w:rFonts w:cstheme="minorHAnsi"/>
          <w:sz w:val="22"/>
          <w:szCs w:val="22"/>
        </w:rPr>
        <w:t xml:space="preserve"> J</w:t>
      </w:r>
      <w:r w:rsidRPr="00675527">
        <w:rPr>
          <w:rFonts w:cstheme="minorHAnsi"/>
          <w:sz w:val="22"/>
          <w:szCs w:val="22"/>
        </w:rPr>
        <w:t xml:space="preserve"> Johnson</w:t>
      </w:r>
      <w:r w:rsidRPr="00675527">
        <w:rPr>
          <w:rFonts w:cstheme="minorHAnsi"/>
          <w:sz w:val="22"/>
          <w:szCs w:val="22"/>
          <w:vertAlign w:val="superscript"/>
        </w:rPr>
        <w:t>1</w:t>
      </w:r>
      <w:r>
        <w:rPr>
          <w:rFonts w:cstheme="minorHAnsi"/>
          <w:sz w:val="22"/>
          <w:szCs w:val="22"/>
          <w:vertAlign w:val="superscript"/>
        </w:rPr>
        <w:t>0</w:t>
      </w:r>
      <w:r>
        <w:rPr>
          <w:rFonts w:cstheme="minorHAnsi"/>
          <w:sz w:val="22"/>
          <w:szCs w:val="22"/>
        </w:rPr>
        <w:t xml:space="preserve">, </w:t>
      </w:r>
      <w:r w:rsidRPr="00675527">
        <w:rPr>
          <w:rFonts w:cstheme="minorHAnsi"/>
          <w:sz w:val="22"/>
          <w:szCs w:val="22"/>
        </w:rPr>
        <w:t>Stuart K Roberts</w:t>
      </w:r>
      <w:r w:rsidRPr="00675527">
        <w:rPr>
          <w:rFonts w:cstheme="minorHAnsi"/>
          <w:sz w:val="22"/>
          <w:szCs w:val="22"/>
          <w:vertAlign w:val="superscript"/>
        </w:rPr>
        <w:t>2,3</w:t>
      </w:r>
      <w:r>
        <w:rPr>
          <w:rFonts w:cstheme="minorHAnsi"/>
          <w:sz w:val="22"/>
          <w:szCs w:val="22"/>
          <w:vertAlign w:val="superscript"/>
        </w:rPr>
        <w:t>*</w:t>
      </w:r>
    </w:p>
    <w:p w:rsidR="00786F9B" w:rsidRPr="00675527" w:rsidRDefault="00786F9B" w:rsidP="00786F9B">
      <w:pPr>
        <w:spacing w:line="360" w:lineRule="auto"/>
        <w:jc w:val="center"/>
        <w:rPr>
          <w:rFonts w:cstheme="minorHAnsi"/>
          <w:sz w:val="22"/>
          <w:szCs w:val="22"/>
        </w:rPr>
      </w:pPr>
    </w:p>
    <w:p w:rsidR="00786F9B" w:rsidRDefault="00786F9B" w:rsidP="00786F9B">
      <w:pPr>
        <w:spacing w:line="360" w:lineRule="auto"/>
        <w:rPr>
          <w:rFonts w:cstheme="minorHAnsi"/>
          <w:sz w:val="22"/>
          <w:szCs w:val="22"/>
        </w:rPr>
      </w:pPr>
      <w:r w:rsidRPr="00675527">
        <w:rPr>
          <w:rFonts w:cstheme="minorHAnsi"/>
          <w:sz w:val="22"/>
          <w:szCs w:val="22"/>
          <w:vertAlign w:val="superscript"/>
        </w:rPr>
        <w:t>1</w:t>
      </w:r>
      <w:r w:rsidRPr="00675527">
        <w:rPr>
          <w:rFonts w:cstheme="minorHAnsi"/>
          <w:sz w:val="22"/>
          <w:szCs w:val="22"/>
        </w:rPr>
        <w:t>Gastroenterology</w:t>
      </w:r>
      <w:r>
        <w:rPr>
          <w:rFonts w:cstheme="minorHAnsi"/>
          <w:sz w:val="22"/>
          <w:szCs w:val="22"/>
        </w:rPr>
        <w:t xml:space="preserve"> </w:t>
      </w:r>
      <w:proofErr w:type="spellStart"/>
      <w:r>
        <w:rPr>
          <w:rFonts w:cstheme="minorHAnsi"/>
          <w:sz w:val="22"/>
          <w:szCs w:val="22"/>
        </w:rPr>
        <w:t>Dept</w:t>
      </w:r>
      <w:proofErr w:type="spellEnd"/>
      <w:r w:rsidRPr="00675527">
        <w:rPr>
          <w:rFonts w:cstheme="minorHAnsi"/>
          <w:sz w:val="22"/>
          <w:szCs w:val="22"/>
        </w:rPr>
        <w:t>, Monash Health</w:t>
      </w:r>
      <w:r>
        <w:rPr>
          <w:rFonts w:cstheme="minorHAnsi"/>
          <w:sz w:val="22"/>
          <w:szCs w:val="22"/>
        </w:rPr>
        <w:t>, Australia.</w:t>
      </w:r>
    </w:p>
    <w:p w:rsidR="00786F9B" w:rsidRDefault="00786F9B" w:rsidP="00786F9B">
      <w:pPr>
        <w:spacing w:line="360" w:lineRule="auto"/>
        <w:rPr>
          <w:rFonts w:cstheme="minorHAnsi"/>
          <w:sz w:val="22"/>
          <w:szCs w:val="22"/>
        </w:rPr>
      </w:pPr>
      <w:r w:rsidRPr="00675527">
        <w:rPr>
          <w:rFonts w:cstheme="minorHAnsi"/>
          <w:sz w:val="22"/>
          <w:szCs w:val="22"/>
          <w:vertAlign w:val="superscript"/>
        </w:rPr>
        <w:t>2</w:t>
      </w:r>
      <w:r>
        <w:rPr>
          <w:rFonts w:cstheme="minorHAnsi"/>
          <w:sz w:val="22"/>
          <w:szCs w:val="22"/>
        </w:rPr>
        <w:t>Monash University, Melbourne, Australia.</w:t>
      </w:r>
    </w:p>
    <w:p w:rsidR="00786F9B" w:rsidRDefault="00786F9B" w:rsidP="00786F9B">
      <w:pPr>
        <w:spacing w:line="360" w:lineRule="auto"/>
        <w:rPr>
          <w:rFonts w:cstheme="minorHAnsi"/>
          <w:sz w:val="22"/>
          <w:szCs w:val="22"/>
        </w:rPr>
      </w:pPr>
      <w:r w:rsidRPr="00675527">
        <w:rPr>
          <w:rFonts w:cstheme="minorHAnsi"/>
          <w:sz w:val="22"/>
          <w:szCs w:val="22"/>
          <w:vertAlign w:val="superscript"/>
        </w:rPr>
        <w:t>3</w:t>
      </w:r>
      <w:r w:rsidRPr="00675527">
        <w:rPr>
          <w:rFonts w:cstheme="minorHAnsi"/>
          <w:sz w:val="22"/>
          <w:szCs w:val="22"/>
        </w:rPr>
        <w:t xml:space="preserve">Gastroenterology </w:t>
      </w:r>
      <w:r>
        <w:rPr>
          <w:rFonts w:cstheme="minorHAnsi"/>
          <w:sz w:val="22"/>
          <w:szCs w:val="22"/>
        </w:rPr>
        <w:t>Dept. Alfred Health, Melbourne, Australia.</w:t>
      </w:r>
      <w:r w:rsidRPr="00675527">
        <w:rPr>
          <w:rFonts w:cstheme="minorHAnsi"/>
          <w:sz w:val="22"/>
          <w:szCs w:val="22"/>
        </w:rPr>
        <w:t xml:space="preserve"> </w:t>
      </w:r>
    </w:p>
    <w:p w:rsidR="00786F9B" w:rsidRDefault="00786F9B" w:rsidP="00786F9B">
      <w:pPr>
        <w:spacing w:line="360" w:lineRule="auto"/>
        <w:rPr>
          <w:rFonts w:cstheme="minorHAnsi"/>
          <w:sz w:val="22"/>
          <w:szCs w:val="22"/>
        </w:rPr>
      </w:pPr>
      <w:r w:rsidRPr="00675527">
        <w:rPr>
          <w:rFonts w:cstheme="minorHAnsi"/>
          <w:sz w:val="22"/>
          <w:szCs w:val="22"/>
          <w:vertAlign w:val="superscript"/>
        </w:rPr>
        <w:t>4</w:t>
      </w:r>
      <w:r>
        <w:rPr>
          <w:rFonts w:cstheme="minorHAnsi"/>
          <w:sz w:val="22"/>
          <w:szCs w:val="22"/>
          <w:vertAlign w:val="superscript"/>
        </w:rPr>
        <w:t xml:space="preserve"> </w:t>
      </w:r>
      <w:r>
        <w:rPr>
          <w:rFonts w:cstheme="minorHAnsi"/>
          <w:sz w:val="22"/>
          <w:szCs w:val="22"/>
        </w:rPr>
        <w:t xml:space="preserve">The </w:t>
      </w:r>
      <w:proofErr w:type="spellStart"/>
      <w:r>
        <w:rPr>
          <w:rFonts w:cstheme="minorHAnsi"/>
          <w:sz w:val="22"/>
          <w:szCs w:val="22"/>
        </w:rPr>
        <w:t>Whiteley</w:t>
      </w:r>
      <w:proofErr w:type="spellEnd"/>
      <w:r>
        <w:rPr>
          <w:rFonts w:cstheme="minorHAnsi"/>
          <w:sz w:val="22"/>
          <w:szCs w:val="22"/>
        </w:rPr>
        <w:t xml:space="preserve">-Martin Research Centre, Discipline of Surgery, The </w:t>
      </w:r>
      <w:r w:rsidRPr="00675527">
        <w:rPr>
          <w:rFonts w:cstheme="minorHAnsi"/>
          <w:sz w:val="22"/>
          <w:szCs w:val="22"/>
        </w:rPr>
        <w:t>University of Sydney</w:t>
      </w:r>
      <w:r>
        <w:rPr>
          <w:rFonts w:cstheme="minorHAnsi"/>
          <w:sz w:val="22"/>
          <w:szCs w:val="22"/>
        </w:rPr>
        <w:t>, Australia.</w:t>
      </w:r>
    </w:p>
    <w:p w:rsidR="00786F9B" w:rsidRDefault="00786F9B" w:rsidP="00786F9B">
      <w:pPr>
        <w:spacing w:line="360" w:lineRule="auto"/>
        <w:rPr>
          <w:rFonts w:cstheme="minorHAnsi"/>
          <w:sz w:val="22"/>
          <w:szCs w:val="22"/>
        </w:rPr>
      </w:pPr>
      <w:r>
        <w:rPr>
          <w:rFonts w:cstheme="minorHAnsi"/>
          <w:sz w:val="22"/>
          <w:szCs w:val="22"/>
          <w:vertAlign w:val="superscript"/>
        </w:rPr>
        <w:t>5</w:t>
      </w:r>
      <w:r w:rsidRPr="00675527">
        <w:rPr>
          <w:rFonts w:cstheme="minorHAnsi"/>
          <w:sz w:val="22"/>
          <w:szCs w:val="22"/>
        </w:rPr>
        <w:t>Department of Surgery and Cancer, Imperial College London, Hammersmith Hospital</w:t>
      </w:r>
      <w:r>
        <w:rPr>
          <w:rFonts w:cstheme="minorHAnsi"/>
          <w:sz w:val="22"/>
          <w:szCs w:val="22"/>
        </w:rPr>
        <w:t>, UK.</w:t>
      </w:r>
    </w:p>
    <w:p w:rsidR="00786F9B" w:rsidRDefault="00786F9B" w:rsidP="00786F9B">
      <w:pPr>
        <w:spacing w:line="360" w:lineRule="auto"/>
        <w:rPr>
          <w:rFonts w:cstheme="minorHAnsi"/>
          <w:sz w:val="22"/>
          <w:szCs w:val="22"/>
        </w:rPr>
      </w:pPr>
      <w:r>
        <w:rPr>
          <w:rFonts w:cstheme="minorHAnsi"/>
          <w:sz w:val="22"/>
          <w:szCs w:val="22"/>
          <w:vertAlign w:val="superscript"/>
        </w:rPr>
        <w:t>6</w:t>
      </w:r>
      <w:r w:rsidRPr="00675527">
        <w:rPr>
          <w:rFonts w:cstheme="minorHAnsi"/>
          <w:sz w:val="22"/>
          <w:szCs w:val="22"/>
        </w:rPr>
        <w:t>Gastroenterology Center, Ehime Prefectural Central Hospital</w:t>
      </w:r>
      <w:r>
        <w:rPr>
          <w:rFonts w:cstheme="minorHAnsi"/>
          <w:sz w:val="22"/>
          <w:szCs w:val="22"/>
        </w:rPr>
        <w:t>, Japan.</w:t>
      </w:r>
      <w:r w:rsidRPr="00675527">
        <w:rPr>
          <w:rFonts w:cstheme="minorHAnsi"/>
          <w:sz w:val="22"/>
          <w:szCs w:val="22"/>
        </w:rPr>
        <w:t xml:space="preserve"> </w:t>
      </w:r>
    </w:p>
    <w:p w:rsidR="00786F9B" w:rsidRDefault="00786F9B" w:rsidP="00786F9B">
      <w:pPr>
        <w:spacing w:line="360" w:lineRule="auto"/>
        <w:rPr>
          <w:rFonts w:eastAsia="Microsoft JhengHei"/>
          <w:color w:val="000000"/>
          <w:sz w:val="22"/>
          <w:szCs w:val="22"/>
          <w:shd w:val="clear" w:color="auto" w:fill="FFFFFF"/>
          <w:lang w:eastAsia="en-GB"/>
        </w:rPr>
      </w:pPr>
      <w:r>
        <w:rPr>
          <w:rFonts w:cstheme="minorHAnsi"/>
          <w:sz w:val="22"/>
          <w:szCs w:val="22"/>
          <w:vertAlign w:val="superscript"/>
        </w:rPr>
        <w:t>7</w:t>
      </w:r>
      <w:r w:rsidRPr="000A202E">
        <w:rPr>
          <w:rFonts w:eastAsia="Microsoft JhengHei"/>
          <w:color w:val="000000"/>
          <w:sz w:val="22"/>
          <w:szCs w:val="22"/>
          <w:shd w:val="clear" w:color="auto" w:fill="FFFFFF"/>
          <w:lang w:eastAsia="en-GB"/>
        </w:rPr>
        <w:t>Department of Medical Research, Taipei Veterans General Hospital, Taipei, Taiwan</w:t>
      </w:r>
      <w:r>
        <w:rPr>
          <w:rFonts w:eastAsia="Microsoft JhengHei"/>
          <w:color w:val="000000"/>
          <w:sz w:val="22"/>
          <w:szCs w:val="22"/>
          <w:shd w:val="clear" w:color="auto" w:fill="FFFFFF"/>
          <w:lang w:eastAsia="en-GB"/>
        </w:rPr>
        <w:t>.</w:t>
      </w:r>
    </w:p>
    <w:p w:rsidR="00786F9B" w:rsidRDefault="00786F9B" w:rsidP="00786F9B">
      <w:pPr>
        <w:spacing w:line="360" w:lineRule="auto"/>
        <w:rPr>
          <w:sz w:val="22"/>
          <w:szCs w:val="22"/>
          <w:lang w:eastAsia="en-GB"/>
        </w:rPr>
      </w:pPr>
      <w:r>
        <w:rPr>
          <w:rFonts w:eastAsia="Microsoft JhengHei"/>
          <w:color w:val="000000"/>
          <w:sz w:val="22"/>
          <w:szCs w:val="22"/>
          <w:shd w:val="clear" w:color="auto" w:fill="FFFFFF"/>
          <w:vertAlign w:val="superscript"/>
          <w:lang w:eastAsia="en-GB"/>
        </w:rPr>
        <w:t>8</w:t>
      </w:r>
      <w:r w:rsidRPr="000A202E">
        <w:rPr>
          <w:rFonts w:eastAsia="Microsoft JhengHei"/>
          <w:color w:val="000000"/>
          <w:sz w:val="22"/>
          <w:szCs w:val="22"/>
          <w:shd w:val="clear" w:color="auto" w:fill="FFFFFF"/>
          <w:lang w:eastAsia="en-GB"/>
        </w:rPr>
        <w:t>Institute of Pharmacology, National Yang-Ming University School of Medicine, Taiwan</w:t>
      </w:r>
      <w:r>
        <w:rPr>
          <w:rFonts w:eastAsia="Microsoft JhengHei"/>
          <w:color w:val="000000"/>
          <w:sz w:val="22"/>
          <w:szCs w:val="22"/>
          <w:shd w:val="clear" w:color="auto" w:fill="FFFFFF"/>
          <w:lang w:eastAsia="en-GB"/>
        </w:rPr>
        <w:t>.</w:t>
      </w:r>
    </w:p>
    <w:p w:rsidR="00786F9B" w:rsidRDefault="00786F9B" w:rsidP="00786F9B">
      <w:pPr>
        <w:spacing w:line="360" w:lineRule="auto"/>
        <w:rPr>
          <w:rFonts w:cstheme="minorHAnsi"/>
          <w:sz w:val="22"/>
          <w:szCs w:val="22"/>
        </w:rPr>
      </w:pPr>
      <w:r>
        <w:rPr>
          <w:rFonts w:cstheme="minorHAnsi"/>
          <w:sz w:val="22"/>
          <w:szCs w:val="22"/>
          <w:vertAlign w:val="superscript"/>
        </w:rPr>
        <w:t>9</w:t>
      </w:r>
      <w:r w:rsidRPr="000A202E">
        <w:rPr>
          <w:rFonts w:cstheme="minorHAnsi"/>
          <w:sz w:val="22"/>
          <w:szCs w:val="22"/>
        </w:rPr>
        <w:t>Internal Medicine, University of Texas Southwestern Medical Center, USA</w:t>
      </w:r>
      <w:r>
        <w:rPr>
          <w:rFonts w:cstheme="minorHAnsi"/>
          <w:sz w:val="22"/>
          <w:szCs w:val="22"/>
        </w:rPr>
        <w:t>.</w:t>
      </w:r>
    </w:p>
    <w:p w:rsidR="00786F9B" w:rsidRPr="000A202E" w:rsidRDefault="00786F9B" w:rsidP="00786F9B">
      <w:pPr>
        <w:spacing w:line="360" w:lineRule="auto"/>
        <w:rPr>
          <w:rFonts w:cstheme="minorHAnsi"/>
          <w:sz w:val="22"/>
          <w:szCs w:val="22"/>
          <w:vertAlign w:val="superscript"/>
        </w:rPr>
      </w:pPr>
      <w:r w:rsidRPr="000A202E">
        <w:rPr>
          <w:rFonts w:cstheme="minorHAnsi"/>
          <w:sz w:val="22"/>
          <w:szCs w:val="22"/>
          <w:vertAlign w:val="superscript"/>
        </w:rPr>
        <w:t>1</w:t>
      </w:r>
      <w:r>
        <w:rPr>
          <w:rFonts w:cstheme="minorHAnsi"/>
          <w:sz w:val="22"/>
          <w:szCs w:val="22"/>
          <w:vertAlign w:val="superscript"/>
        </w:rPr>
        <w:t>0</w:t>
      </w:r>
      <w:r w:rsidRPr="000A202E">
        <w:rPr>
          <w:rFonts w:cstheme="minorHAnsi"/>
          <w:sz w:val="22"/>
          <w:szCs w:val="22"/>
        </w:rPr>
        <w:t>Department of Clinical Cancer Medicine, University of Liverpool,</w:t>
      </w:r>
      <w:r>
        <w:rPr>
          <w:rFonts w:cstheme="minorHAnsi"/>
          <w:sz w:val="22"/>
          <w:szCs w:val="22"/>
        </w:rPr>
        <w:t xml:space="preserve"> UK.</w:t>
      </w:r>
    </w:p>
    <w:p w:rsidR="00786F9B" w:rsidRDefault="00786F9B" w:rsidP="00786F9B">
      <w:pPr>
        <w:pStyle w:val="ColorfulList-Accent11"/>
        <w:spacing w:line="360" w:lineRule="auto"/>
        <w:jc w:val="both"/>
        <w:rPr>
          <w:rFonts w:ascii="Times New Roman" w:hAnsi="Times New Roman"/>
          <w:b/>
          <w:lang w:val="en-US"/>
        </w:rPr>
      </w:pPr>
    </w:p>
    <w:p w:rsidR="00786F9B" w:rsidRPr="00067A40" w:rsidRDefault="00786F9B" w:rsidP="00786F9B">
      <w:pPr>
        <w:pStyle w:val="ColorfulList-Accent11"/>
        <w:spacing w:line="360" w:lineRule="auto"/>
        <w:ind w:left="0"/>
        <w:jc w:val="both"/>
        <w:rPr>
          <w:rFonts w:asciiTheme="minorHAnsi" w:hAnsiTheme="minorHAnsi" w:cstheme="minorHAnsi"/>
          <w:sz w:val="22"/>
          <w:szCs w:val="22"/>
          <w:lang w:val="en-US"/>
        </w:rPr>
      </w:pPr>
      <w:r>
        <w:rPr>
          <w:rFonts w:asciiTheme="minorHAnsi" w:hAnsiTheme="minorHAnsi" w:cstheme="minorHAnsi"/>
          <w:b/>
          <w:sz w:val="22"/>
          <w:szCs w:val="22"/>
          <w:lang w:val="en-US"/>
        </w:rPr>
        <w:t xml:space="preserve">Short Title: </w:t>
      </w:r>
      <w:r>
        <w:rPr>
          <w:rFonts w:asciiTheme="minorHAnsi" w:hAnsiTheme="minorHAnsi" w:cstheme="minorHAnsi"/>
          <w:sz w:val="22"/>
          <w:szCs w:val="22"/>
          <w:lang w:val="en-US"/>
        </w:rPr>
        <w:t>ALBI grade as prognostic marker in HCC treated with TACE.</w:t>
      </w:r>
    </w:p>
    <w:p w:rsidR="00786F9B" w:rsidRDefault="00786F9B" w:rsidP="00786F9B">
      <w:pPr>
        <w:pStyle w:val="ColorfulList-Accent11"/>
        <w:spacing w:line="360" w:lineRule="auto"/>
        <w:ind w:left="0"/>
        <w:jc w:val="both"/>
        <w:rPr>
          <w:rFonts w:asciiTheme="minorHAnsi" w:hAnsiTheme="minorHAnsi" w:cstheme="minorHAnsi"/>
          <w:b/>
          <w:sz w:val="22"/>
          <w:szCs w:val="22"/>
          <w:lang w:val="en-US"/>
        </w:rPr>
      </w:pPr>
    </w:p>
    <w:p w:rsidR="00786F9B" w:rsidRPr="00675527" w:rsidRDefault="00786F9B" w:rsidP="00786F9B">
      <w:pPr>
        <w:pStyle w:val="ColorfulList-Accent11"/>
        <w:spacing w:line="360" w:lineRule="auto"/>
        <w:ind w:left="0"/>
        <w:jc w:val="both"/>
        <w:rPr>
          <w:rFonts w:asciiTheme="minorHAnsi" w:hAnsiTheme="minorHAnsi" w:cstheme="minorHAnsi"/>
          <w:b/>
          <w:sz w:val="22"/>
          <w:szCs w:val="22"/>
          <w:lang w:val="en-US"/>
        </w:rPr>
      </w:pPr>
      <w:r>
        <w:rPr>
          <w:rFonts w:asciiTheme="minorHAnsi" w:hAnsiTheme="minorHAnsi" w:cstheme="minorHAnsi"/>
          <w:b/>
          <w:sz w:val="22"/>
          <w:szCs w:val="22"/>
          <w:lang w:val="en-US"/>
        </w:rPr>
        <w:t>*</w:t>
      </w:r>
      <w:r w:rsidRPr="00675527">
        <w:rPr>
          <w:rFonts w:asciiTheme="minorHAnsi" w:hAnsiTheme="minorHAnsi" w:cstheme="minorHAnsi"/>
          <w:b/>
          <w:sz w:val="22"/>
          <w:szCs w:val="22"/>
          <w:lang w:val="en-US"/>
        </w:rPr>
        <w:t>Corresponding Author:</w:t>
      </w:r>
    </w:p>
    <w:p w:rsidR="00786F9B" w:rsidRPr="00675527" w:rsidRDefault="00786F9B" w:rsidP="00786F9B">
      <w:pPr>
        <w:pStyle w:val="ColorfulList-Accent11"/>
        <w:spacing w:line="360" w:lineRule="auto"/>
        <w:ind w:left="0"/>
        <w:jc w:val="both"/>
        <w:rPr>
          <w:rFonts w:asciiTheme="minorHAnsi" w:hAnsiTheme="minorHAnsi" w:cstheme="minorHAnsi"/>
          <w:sz w:val="22"/>
          <w:szCs w:val="22"/>
          <w:lang w:val="en-US"/>
        </w:rPr>
      </w:pPr>
      <w:r w:rsidRPr="00675527">
        <w:rPr>
          <w:rFonts w:asciiTheme="minorHAnsi" w:hAnsiTheme="minorHAnsi" w:cstheme="minorHAnsi"/>
          <w:sz w:val="22"/>
          <w:szCs w:val="22"/>
          <w:lang w:val="en-US"/>
        </w:rPr>
        <w:t>Professor Stuart Roberts</w:t>
      </w:r>
    </w:p>
    <w:p w:rsidR="00786F9B" w:rsidRPr="00675527" w:rsidRDefault="00786F9B" w:rsidP="00786F9B">
      <w:pPr>
        <w:pStyle w:val="ColorfulList-Accent11"/>
        <w:spacing w:line="360" w:lineRule="auto"/>
        <w:ind w:left="0"/>
        <w:jc w:val="both"/>
        <w:rPr>
          <w:rFonts w:asciiTheme="minorHAnsi" w:hAnsiTheme="minorHAnsi" w:cstheme="minorHAnsi"/>
          <w:sz w:val="22"/>
          <w:szCs w:val="22"/>
          <w:lang w:val="en-US"/>
        </w:rPr>
      </w:pPr>
      <w:r w:rsidRPr="00675527">
        <w:rPr>
          <w:rFonts w:asciiTheme="minorHAnsi" w:hAnsiTheme="minorHAnsi" w:cstheme="minorHAnsi"/>
          <w:sz w:val="22"/>
          <w:szCs w:val="22"/>
          <w:lang w:val="en-US"/>
        </w:rPr>
        <w:t>Department of Gastroenterology, The Alfred</w:t>
      </w:r>
      <w:r>
        <w:rPr>
          <w:rFonts w:asciiTheme="minorHAnsi" w:hAnsiTheme="minorHAnsi" w:cstheme="minorHAnsi"/>
          <w:sz w:val="22"/>
          <w:szCs w:val="22"/>
          <w:lang w:val="en-US"/>
        </w:rPr>
        <w:t xml:space="preserve"> Hospital</w:t>
      </w:r>
    </w:p>
    <w:p w:rsidR="00786F9B" w:rsidRDefault="00786F9B" w:rsidP="00786F9B">
      <w:pPr>
        <w:pStyle w:val="ColorfulList-Accent11"/>
        <w:spacing w:line="360" w:lineRule="auto"/>
        <w:ind w:left="0"/>
        <w:jc w:val="both"/>
        <w:rPr>
          <w:rFonts w:asciiTheme="minorHAnsi" w:hAnsiTheme="minorHAnsi" w:cstheme="minorHAnsi"/>
          <w:sz w:val="22"/>
          <w:szCs w:val="22"/>
          <w:lang w:val="en-US"/>
        </w:rPr>
      </w:pPr>
      <w:r w:rsidRPr="00675527">
        <w:rPr>
          <w:rFonts w:asciiTheme="minorHAnsi" w:hAnsiTheme="minorHAnsi" w:cstheme="minorHAnsi"/>
          <w:sz w:val="22"/>
          <w:szCs w:val="22"/>
          <w:lang w:val="en-US"/>
        </w:rPr>
        <w:t xml:space="preserve">55 Commercial Rd, </w:t>
      </w:r>
    </w:p>
    <w:p w:rsidR="00786F9B" w:rsidRDefault="00786F9B" w:rsidP="00786F9B">
      <w:pPr>
        <w:pStyle w:val="ColorfulList-Accent11"/>
        <w:spacing w:line="360" w:lineRule="auto"/>
        <w:ind w:left="0"/>
        <w:jc w:val="both"/>
        <w:rPr>
          <w:rFonts w:asciiTheme="minorHAnsi" w:hAnsiTheme="minorHAnsi" w:cstheme="minorHAnsi"/>
          <w:sz w:val="22"/>
          <w:szCs w:val="22"/>
          <w:lang w:val="en-US"/>
        </w:rPr>
      </w:pPr>
      <w:r w:rsidRPr="00675527">
        <w:rPr>
          <w:rFonts w:asciiTheme="minorHAnsi" w:hAnsiTheme="minorHAnsi" w:cstheme="minorHAnsi"/>
          <w:sz w:val="22"/>
          <w:szCs w:val="22"/>
          <w:lang w:val="en-US"/>
        </w:rPr>
        <w:t>Melbourne, Australia 3004</w:t>
      </w:r>
    </w:p>
    <w:p w:rsidR="00786F9B" w:rsidRPr="00675527" w:rsidRDefault="00786F9B" w:rsidP="00786F9B">
      <w:pPr>
        <w:pStyle w:val="ColorfulList-Accent11"/>
        <w:spacing w:line="360" w:lineRule="auto"/>
        <w:ind w:left="0"/>
        <w:jc w:val="both"/>
        <w:rPr>
          <w:rFonts w:asciiTheme="minorHAnsi" w:hAnsiTheme="minorHAnsi" w:cstheme="minorHAnsi"/>
          <w:sz w:val="22"/>
          <w:szCs w:val="22"/>
          <w:lang w:val="en-US"/>
        </w:rPr>
      </w:pPr>
      <w:r>
        <w:rPr>
          <w:rFonts w:asciiTheme="minorHAnsi" w:hAnsiTheme="minorHAnsi" w:cstheme="minorHAnsi"/>
          <w:sz w:val="22"/>
          <w:szCs w:val="22"/>
          <w:lang w:val="en-US"/>
        </w:rPr>
        <w:t>Tel: +613 9076 3375</w:t>
      </w:r>
    </w:p>
    <w:p w:rsidR="00786F9B" w:rsidRPr="00675527" w:rsidRDefault="00786F9B" w:rsidP="00786F9B">
      <w:pPr>
        <w:pStyle w:val="ColorfulList-Accent11"/>
        <w:spacing w:line="360" w:lineRule="auto"/>
        <w:ind w:left="0"/>
        <w:jc w:val="both"/>
        <w:rPr>
          <w:rFonts w:asciiTheme="minorHAnsi" w:hAnsiTheme="minorHAnsi" w:cstheme="minorHAnsi"/>
          <w:sz w:val="22"/>
          <w:szCs w:val="22"/>
          <w:lang w:val="en-US"/>
        </w:rPr>
      </w:pPr>
      <w:r w:rsidRPr="00675527">
        <w:rPr>
          <w:rFonts w:asciiTheme="minorHAnsi" w:hAnsiTheme="minorHAnsi" w:cstheme="minorHAnsi"/>
          <w:sz w:val="22"/>
          <w:szCs w:val="22"/>
          <w:lang w:val="en-US"/>
        </w:rPr>
        <w:t>Email: s.roberts@alfred.org.au</w:t>
      </w:r>
    </w:p>
    <w:p w:rsidR="00786F9B" w:rsidRDefault="00786F9B" w:rsidP="00786F9B">
      <w:pPr>
        <w:pStyle w:val="ColorfulList-Accent11"/>
        <w:spacing w:line="360" w:lineRule="auto"/>
        <w:ind w:left="0"/>
        <w:jc w:val="both"/>
        <w:rPr>
          <w:rFonts w:asciiTheme="minorHAnsi" w:hAnsiTheme="minorHAnsi" w:cstheme="minorHAnsi"/>
          <w:b/>
          <w:sz w:val="22"/>
          <w:szCs w:val="22"/>
          <w:lang w:val="en-US"/>
        </w:rPr>
      </w:pPr>
    </w:p>
    <w:p w:rsidR="00786F9B" w:rsidRPr="00675527" w:rsidRDefault="00786F9B" w:rsidP="00786F9B">
      <w:pPr>
        <w:pStyle w:val="ColorfulList-Accent11"/>
        <w:spacing w:line="360" w:lineRule="auto"/>
        <w:ind w:left="-284" w:firstLine="284"/>
        <w:jc w:val="both"/>
        <w:rPr>
          <w:rFonts w:asciiTheme="minorHAnsi" w:hAnsiTheme="minorHAnsi" w:cstheme="minorHAnsi"/>
          <w:b/>
          <w:sz w:val="22"/>
          <w:szCs w:val="22"/>
          <w:lang w:val="en-US"/>
        </w:rPr>
      </w:pPr>
      <w:r w:rsidRPr="00675527">
        <w:rPr>
          <w:rFonts w:asciiTheme="minorHAnsi" w:hAnsiTheme="minorHAnsi" w:cstheme="minorHAnsi"/>
          <w:b/>
          <w:sz w:val="22"/>
          <w:szCs w:val="22"/>
          <w:lang w:val="en-US"/>
        </w:rPr>
        <w:t>Key words:</w:t>
      </w:r>
      <w:r w:rsidRPr="00675527">
        <w:rPr>
          <w:rFonts w:asciiTheme="minorHAnsi" w:hAnsiTheme="minorHAnsi" w:cstheme="minorHAnsi"/>
          <w:sz w:val="22"/>
          <w:szCs w:val="22"/>
          <w:lang w:val="en-US"/>
        </w:rPr>
        <w:t xml:space="preserve"> </w:t>
      </w:r>
      <w:r>
        <w:rPr>
          <w:rFonts w:asciiTheme="minorHAnsi" w:hAnsiTheme="minorHAnsi" w:cstheme="minorHAnsi"/>
          <w:sz w:val="22"/>
          <w:szCs w:val="22"/>
          <w:lang w:val="en-US"/>
        </w:rPr>
        <w:t>ALBI grade, TACE, HCC, meta-analysis, prognosis.</w:t>
      </w:r>
    </w:p>
    <w:p w:rsidR="00786F9B" w:rsidRDefault="00786F9B" w:rsidP="00786F9B">
      <w:pPr>
        <w:pStyle w:val="ColorfulList-Accent11"/>
        <w:spacing w:line="360" w:lineRule="auto"/>
        <w:ind w:left="284"/>
        <w:jc w:val="both"/>
        <w:rPr>
          <w:rFonts w:asciiTheme="minorHAnsi" w:hAnsiTheme="minorHAnsi" w:cstheme="minorHAnsi"/>
          <w:b/>
          <w:sz w:val="22"/>
          <w:szCs w:val="22"/>
          <w:lang w:val="en-US"/>
        </w:rPr>
      </w:pPr>
    </w:p>
    <w:p w:rsidR="00786F9B" w:rsidRPr="00675527" w:rsidRDefault="00786F9B" w:rsidP="00786F9B">
      <w:pPr>
        <w:pStyle w:val="ColorfulList-Accent11"/>
        <w:spacing w:line="360" w:lineRule="auto"/>
        <w:ind w:left="284"/>
        <w:jc w:val="both"/>
        <w:rPr>
          <w:rFonts w:asciiTheme="minorHAnsi" w:hAnsiTheme="minorHAnsi" w:cstheme="minorHAnsi"/>
          <w:b/>
          <w:sz w:val="22"/>
          <w:szCs w:val="22"/>
          <w:lang w:val="en-US"/>
        </w:rPr>
      </w:pPr>
    </w:p>
    <w:p w:rsidR="00786F9B" w:rsidRDefault="00786F9B" w:rsidP="00786F9B">
      <w:pPr>
        <w:pStyle w:val="NormalWeb"/>
        <w:spacing w:line="360" w:lineRule="auto"/>
        <w:ind w:left="284"/>
        <w:rPr>
          <w:rFonts w:ascii="ArialMT" w:hAnsi="ArialMT"/>
          <w:sz w:val="20"/>
          <w:szCs w:val="20"/>
        </w:rPr>
      </w:pPr>
    </w:p>
    <w:p w:rsidR="00786F9B" w:rsidRDefault="00786F9B" w:rsidP="00786F9B">
      <w:pPr>
        <w:spacing w:line="360" w:lineRule="auto"/>
        <w:rPr>
          <w:rFonts w:cstheme="minorHAnsi"/>
          <w:b/>
          <w:sz w:val="22"/>
          <w:szCs w:val="22"/>
        </w:rPr>
      </w:pPr>
    </w:p>
    <w:p w:rsidR="00786F9B" w:rsidRPr="00F84A39" w:rsidRDefault="00786F9B" w:rsidP="00786F9B">
      <w:pPr>
        <w:spacing w:line="360" w:lineRule="auto"/>
        <w:rPr>
          <w:b/>
          <w:sz w:val="22"/>
          <w:szCs w:val="22"/>
        </w:rPr>
      </w:pPr>
      <w:r w:rsidRPr="00F84A39">
        <w:rPr>
          <w:b/>
          <w:sz w:val="22"/>
          <w:szCs w:val="22"/>
        </w:rPr>
        <w:lastRenderedPageBreak/>
        <w:t>ABSTRACT</w:t>
      </w:r>
      <w:r w:rsidRPr="00F84A39">
        <w:rPr>
          <w:b/>
          <w:sz w:val="22"/>
          <w:szCs w:val="22"/>
        </w:rPr>
        <w:br/>
      </w:r>
    </w:p>
    <w:p w:rsidR="00786F9B" w:rsidRPr="00F84A39" w:rsidRDefault="00786F9B" w:rsidP="00786F9B">
      <w:pPr>
        <w:spacing w:line="360" w:lineRule="auto"/>
        <w:jc w:val="both"/>
        <w:rPr>
          <w:color w:val="000000"/>
          <w:sz w:val="22"/>
          <w:szCs w:val="22"/>
          <w:shd w:val="clear" w:color="auto" w:fill="FFFFFF"/>
        </w:rPr>
      </w:pPr>
      <w:r w:rsidRPr="00F84A39">
        <w:rPr>
          <w:b/>
          <w:sz w:val="22"/>
          <w:szCs w:val="22"/>
        </w:rPr>
        <w:t>Background:</w:t>
      </w:r>
      <w:r w:rsidRPr="00F84A39">
        <w:rPr>
          <w:color w:val="000000"/>
          <w:sz w:val="22"/>
          <w:szCs w:val="22"/>
          <w:shd w:val="clear" w:color="auto" w:fill="FFFFFF"/>
        </w:rPr>
        <w:t xml:space="preserve">  Hepatic functional reserve is a key prognostic marker in patients with hepatocellular cancer (HCC) undergoing transarterial chemoembolization (TACE) and is central to appropriate patient selection. </w:t>
      </w:r>
      <w:r w:rsidRPr="00F84A39">
        <w:rPr>
          <w:rFonts w:cstheme="minorHAnsi"/>
          <w:color w:val="000000"/>
          <w:sz w:val="22"/>
          <w:szCs w:val="22"/>
          <w:shd w:val="clear" w:color="auto" w:fill="FFFFFF"/>
        </w:rPr>
        <w:t>The ALBI grade is an emerging model of hepatic function measurement and its clinical utility has been investigated in several published studies in patients undergoing TACE</w:t>
      </w:r>
      <w:r w:rsidRPr="00F84A39">
        <w:rPr>
          <w:color w:val="000000"/>
          <w:sz w:val="22"/>
          <w:szCs w:val="22"/>
          <w:shd w:val="clear" w:color="auto" w:fill="FFFFFF"/>
        </w:rPr>
        <w:t>.</w:t>
      </w:r>
    </w:p>
    <w:p w:rsidR="00786F9B" w:rsidRPr="00F84A39" w:rsidRDefault="00786F9B" w:rsidP="00786F9B">
      <w:pPr>
        <w:spacing w:line="360" w:lineRule="auto"/>
        <w:jc w:val="both"/>
        <w:rPr>
          <w:color w:val="000000"/>
          <w:sz w:val="22"/>
          <w:szCs w:val="22"/>
          <w:shd w:val="clear" w:color="auto" w:fill="FFFFFF"/>
        </w:rPr>
      </w:pPr>
    </w:p>
    <w:p w:rsidR="00786F9B" w:rsidRPr="00F84A39" w:rsidRDefault="00786F9B" w:rsidP="00786F9B">
      <w:pPr>
        <w:spacing w:line="360" w:lineRule="auto"/>
        <w:jc w:val="both"/>
        <w:rPr>
          <w:bCs/>
          <w:sz w:val="22"/>
          <w:szCs w:val="22"/>
        </w:rPr>
      </w:pPr>
      <w:r w:rsidRPr="00F84A39">
        <w:rPr>
          <w:b/>
          <w:color w:val="000000"/>
          <w:sz w:val="22"/>
          <w:szCs w:val="22"/>
          <w:shd w:val="clear" w:color="auto" w:fill="FFFFFF"/>
        </w:rPr>
        <w:t>Objective:</w:t>
      </w:r>
      <w:r w:rsidRPr="00F84A39">
        <w:rPr>
          <w:color w:val="000000"/>
          <w:sz w:val="22"/>
          <w:szCs w:val="22"/>
          <w:shd w:val="clear" w:color="auto" w:fill="FFFFFF"/>
        </w:rPr>
        <w:t xml:space="preserve"> To investigate the clinical utility of the ALBI grade </w:t>
      </w:r>
      <w:r w:rsidRPr="00F84A39">
        <w:rPr>
          <w:bCs/>
          <w:sz w:val="22"/>
          <w:szCs w:val="22"/>
        </w:rPr>
        <w:t>in patients with HCC undergoing TACE via a</w:t>
      </w:r>
      <w:r w:rsidRPr="00F84A39">
        <w:rPr>
          <w:b/>
          <w:sz w:val="22"/>
          <w:szCs w:val="22"/>
        </w:rPr>
        <w:t xml:space="preserve"> </w:t>
      </w:r>
      <w:r w:rsidRPr="00F84A39">
        <w:rPr>
          <w:bCs/>
          <w:sz w:val="22"/>
          <w:szCs w:val="22"/>
        </w:rPr>
        <w:t>meta-analysis of published studies.</w:t>
      </w:r>
    </w:p>
    <w:p w:rsidR="00786F9B" w:rsidRPr="00F84A39" w:rsidRDefault="00786F9B" w:rsidP="00786F9B">
      <w:pPr>
        <w:spacing w:line="360" w:lineRule="auto"/>
        <w:jc w:val="both"/>
        <w:rPr>
          <w:b/>
          <w:sz w:val="22"/>
          <w:szCs w:val="22"/>
        </w:rPr>
      </w:pPr>
    </w:p>
    <w:p w:rsidR="00786F9B" w:rsidRPr="00F84A39" w:rsidRDefault="00786F9B" w:rsidP="00786F9B">
      <w:pPr>
        <w:spacing w:line="360" w:lineRule="auto"/>
        <w:jc w:val="both"/>
        <w:rPr>
          <w:color w:val="000000"/>
          <w:sz w:val="22"/>
          <w:szCs w:val="22"/>
          <w:shd w:val="clear" w:color="auto" w:fill="FFFFFF"/>
        </w:rPr>
      </w:pPr>
      <w:r w:rsidRPr="00F84A39">
        <w:rPr>
          <w:b/>
          <w:sz w:val="22"/>
          <w:szCs w:val="22"/>
        </w:rPr>
        <w:t xml:space="preserve">Methods: </w:t>
      </w:r>
      <w:r w:rsidRPr="00F84A39">
        <w:rPr>
          <w:sz w:val="22"/>
          <w:szCs w:val="22"/>
        </w:rPr>
        <w:t xml:space="preserve">Publications including full text articles and abstracts regarding ALBI grade were sourced by two independent researchers from databases including, </w:t>
      </w:r>
      <w:r w:rsidRPr="00F84A39">
        <w:rPr>
          <w:color w:val="000000"/>
          <w:sz w:val="22"/>
          <w:szCs w:val="22"/>
          <w:shd w:val="clear" w:color="auto" w:fill="FFFFFF"/>
        </w:rPr>
        <w:t xml:space="preserve">PubMed, </w:t>
      </w:r>
      <w:proofErr w:type="spellStart"/>
      <w:r w:rsidRPr="00F84A39">
        <w:rPr>
          <w:color w:val="000000"/>
          <w:sz w:val="22"/>
          <w:szCs w:val="22"/>
          <w:shd w:val="clear" w:color="auto" w:fill="FFFFFF"/>
        </w:rPr>
        <w:t>EMbase</w:t>
      </w:r>
      <w:proofErr w:type="spellEnd"/>
      <w:r w:rsidRPr="00F84A39">
        <w:rPr>
          <w:color w:val="000000"/>
          <w:sz w:val="22"/>
          <w:szCs w:val="22"/>
          <w:shd w:val="clear" w:color="auto" w:fill="FFFFFF"/>
        </w:rPr>
        <w:t xml:space="preserve">, Medline, and Cochrane Library. </w:t>
      </w:r>
      <w:r w:rsidRPr="00F84A39">
        <w:rPr>
          <w:sz w:val="22"/>
          <w:szCs w:val="22"/>
        </w:rPr>
        <w:t xml:space="preserve">Studies analysing patients with HCC undergoing TACE treatment were systematically screened utilising the PRISMA tool for data extraction and synthesis, after exclusion of duplicates, non-relevant studies and overlapping cohorts. </w:t>
      </w:r>
      <w:r w:rsidRPr="00F84A39">
        <w:rPr>
          <w:color w:val="000000"/>
          <w:sz w:val="22"/>
          <w:szCs w:val="22"/>
          <w:shd w:val="clear" w:color="auto" w:fill="FFFFFF"/>
        </w:rPr>
        <w:t>The primary outcome was overall survival (OS), as determined by ALBI grade and assessed by hazard ratio (HRs) with 95% confidence intervals (CIs), with analysis of collated data using Comprehensive Meta-analysis, version 3.0 software.</w:t>
      </w:r>
    </w:p>
    <w:p w:rsidR="00786F9B" w:rsidRPr="00F84A39" w:rsidRDefault="00786F9B" w:rsidP="00786F9B">
      <w:pPr>
        <w:spacing w:line="360" w:lineRule="auto"/>
        <w:jc w:val="both"/>
        <w:rPr>
          <w:sz w:val="22"/>
          <w:szCs w:val="22"/>
        </w:rPr>
      </w:pPr>
    </w:p>
    <w:p w:rsidR="00786F9B" w:rsidRPr="00F84A39" w:rsidRDefault="00786F9B" w:rsidP="00786F9B">
      <w:pPr>
        <w:spacing w:line="360" w:lineRule="auto"/>
        <w:jc w:val="both"/>
        <w:rPr>
          <w:color w:val="000000"/>
          <w:sz w:val="22"/>
          <w:szCs w:val="22"/>
        </w:rPr>
      </w:pPr>
      <w:r w:rsidRPr="00F84A39">
        <w:rPr>
          <w:b/>
          <w:sz w:val="22"/>
          <w:szCs w:val="22"/>
        </w:rPr>
        <w:t xml:space="preserve">Results:  </w:t>
      </w:r>
      <w:r w:rsidRPr="00F84A39">
        <w:rPr>
          <w:bCs/>
          <w:sz w:val="22"/>
          <w:szCs w:val="22"/>
        </w:rPr>
        <w:t xml:space="preserve">Eight studies were eligible for inclusion, with </w:t>
      </w:r>
      <w:r w:rsidRPr="00F84A39">
        <w:rPr>
          <w:color w:val="000000"/>
          <w:sz w:val="22"/>
          <w:szCs w:val="22"/>
        </w:rPr>
        <w:t xml:space="preserve">a pooled population of 6538 HCC who underwent TACE. Higher pre-treatment ALBI was associated with poor OS, with median OS of 12.0 months (P&lt;0.001) in ALBI grade 3, compared to 33.5 months in ALBI grade 1 (P&lt;0.001). Significant heterogeneity within each ALBI grade was associated with age and tumour size (P&lt;0.001) in ALBI grade 1 and 2. In contrast, age and alcohol-related liver disease were significant in the ALBI grade 3 group (p&lt;0.001).  </w:t>
      </w:r>
    </w:p>
    <w:p w:rsidR="00786F9B" w:rsidRPr="00F84A39" w:rsidRDefault="00786F9B" w:rsidP="00786F9B">
      <w:pPr>
        <w:spacing w:line="360" w:lineRule="auto"/>
        <w:jc w:val="both"/>
        <w:rPr>
          <w:color w:val="000000"/>
          <w:sz w:val="22"/>
          <w:szCs w:val="22"/>
        </w:rPr>
      </w:pPr>
    </w:p>
    <w:p w:rsidR="00786F9B" w:rsidRPr="00F84A39" w:rsidRDefault="00786F9B" w:rsidP="00786F9B">
      <w:pPr>
        <w:spacing w:line="360" w:lineRule="auto"/>
        <w:jc w:val="both"/>
        <w:rPr>
          <w:b/>
          <w:sz w:val="22"/>
          <w:szCs w:val="22"/>
        </w:rPr>
      </w:pPr>
      <w:r w:rsidRPr="00F84A39">
        <w:rPr>
          <w:b/>
          <w:sz w:val="22"/>
          <w:szCs w:val="22"/>
        </w:rPr>
        <w:t xml:space="preserve">Conclusions: </w:t>
      </w:r>
      <w:r w:rsidRPr="00F84A39">
        <w:rPr>
          <w:color w:val="000000"/>
          <w:sz w:val="22"/>
          <w:szCs w:val="22"/>
          <w:shd w:val="clear" w:color="auto" w:fill="FFFFFF"/>
        </w:rPr>
        <w:t xml:space="preserve">High pre-treatment ALBI grade is associated with poor prognosis in patients with HCC undergoing TACE therapy. This study demonstrates the ALBI grade is a useful clinical prognostication tool to aid clinical decisions on </w:t>
      </w:r>
      <w:r>
        <w:rPr>
          <w:color w:val="000000"/>
          <w:sz w:val="22"/>
          <w:szCs w:val="22"/>
          <w:shd w:val="clear" w:color="auto" w:fill="FFFFFF"/>
        </w:rPr>
        <w:t xml:space="preserve">patient selection and </w:t>
      </w:r>
      <w:r w:rsidRPr="00F84A39">
        <w:rPr>
          <w:color w:val="000000"/>
          <w:sz w:val="22"/>
          <w:szCs w:val="22"/>
          <w:shd w:val="clear" w:color="auto" w:fill="FFFFFF"/>
        </w:rPr>
        <w:t xml:space="preserve">treatment allocation. </w:t>
      </w:r>
    </w:p>
    <w:p w:rsidR="00786F9B" w:rsidRDefault="00786F9B" w:rsidP="00786F9B">
      <w:pPr>
        <w:spacing w:line="360" w:lineRule="auto"/>
        <w:jc w:val="both"/>
        <w:rPr>
          <w:rFonts w:cstheme="minorHAnsi"/>
          <w:b/>
          <w:sz w:val="22"/>
          <w:szCs w:val="22"/>
        </w:rPr>
      </w:pPr>
    </w:p>
    <w:p w:rsidR="00786F9B" w:rsidRDefault="00786F9B" w:rsidP="00786F9B">
      <w:pPr>
        <w:spacing w:line="360" w:lineRule="auto"/>
        <w:jc w:val="both"/>
        <w:rPr>
          <w:rFonts w:cstheme="minorHAnsi"/>
          <w:b/>
          <w:sz w:val="22"/>
          <w:szCs w:val="22"/>
        </w:rPr>
      </w:pPr>
    </w:p>
    <w:p w:rsidR="00786F9B" w:rsidRDefault="00786F9B" w:rsidP="00786F9B">
      <w:pPr>
        <w:spacing w:line="360" w:lineRule="auto"/>
        <w:jc w:val="both"/>
        <w:rPr>
          <w:rFonts w:cstheme="minorHAnsi"/>
          <w:b/>
          <w:sz w:val="22"/>
          <w:szCs w:val="22"/>
        </w:rPr>
      </w:pPr>
    </w:p>
    <w:p w:rsidR="00786F9B" w:rsidRDefault="00786F9B" w:rsidP="00786F9B">
      <w:pPr>
        <w:spacing w:line="360" w:lineRule="auto"/>
        <w:jc w:val="both"/>
        <w:rPr>
          <w:rFonts w:cstheme="minorHAnsi"/>
          <w:b/>
          <w:sz w:val="22"/>
          <w:szCs w:val="22"/>
        </w:rPr>
      </w:pPr>
    </w:p>
    <w:p w:rsidR="00786F9B" w:rsidRDefault="00786F9B" w:rsidP="00786F9B">
      <w:pPr>
        <w:spacing w:line="360" w:lineRule="auto"/>
        <w:jc w:val="both"/>
        <w:rPr>
          <w:rFonts w:cstheme="minorHAnsi"/>
          <w:b/>
          <w:sz w:val="22"/>
          <w:szCs w:val="22"/>
        </w:rPr>
      </w:pPr>
    </w:p>
    <w:p w:rsidR="00786F9B" w:rsidRDefault="00786F9B" w:rsidP="00786F9B">
      <w:pPr>
        <w:spacing w:line="360" w:lineRule="auto"/>
        <w:jc w:val="both"/>
        <w:rPr>
          <w:rFonts w:cstheme="minorHAnsi"/>
          <w:b/>
          <w:sz w:val="22"/>
          <w:szCs w:val="22"/>
        </w:rPr>
      </w:pPr>
    </w:p>
    <w:p w:rsidR="00786F9B" w:rsidRDefault="00786F9B" w:rsidP="00786F9B">
      <w:pPr>
        <w:spacing w:line="360" w:lineRule="auto"/>
        <w:jc w:val="both"/>
        <w:rPr>
          <w:rFonts w:cstheme="minorHAnsi"/>
          <w:b/>
          <w:sz w:val="22"/>
          <w:szCs w:val="22"/>
        </w:rPr>
      </w:pPr>
    </w:p>
    <w:p w:rsidR="00786F9B" w:rsidRDefault="00786F9B" w:rsidP="00786F9B">
      <w:pPr>
        <w:spacing w:line="360" w:lineRule="auto"/>
        <w:jc w:val="both"/>
        <w:rPr>
          <w:rFonts w:cstheme="minorHAnsi"/>
          <w:b/>
          <w:sz w:val="22"/>
          <w:szCs w:val="22"/>
        </w:rPr>
      </w:pPr>
    </w:p>
    <w:p w:rsidR="00786F9B" w:rsidRDefault="00786F9B" w:rsidP="00786F9B">
      <w:pPr>
        <w:spacing w:line="360" w:lineRule="auto"/>
        <w:jc w:val="both"/>
        <w:rPr>
          <w:rFonts w:cstheme="minorHAnsi"/>
          <w:b/>
          <w:sz w:val="22"/>
          <w:szCs w:val="22"/>
        </w:rPr>
      </w:pPr>
    </w:p>
    <w:p w:rsidR="00786F9B" w:rsidRDefault="00786F9B" w:rsidP="00786F9B">
      <w:pPr>
        <w:spacing w:line="360" w:lineRule="auto"/>
        <w:rPr>
          <w:rFonts w:cstheme="minorHAnsi"/>
          <w:b/>
          <w:sz w:val="22"/>
          <w:szCs w:val="22"/>
        </w:rPr>
      </w:pPr>
    </w:p>
    <w:p w:rsidR="00786F9B" w:rsidRDefault="00786F9B" w:rsidP="00786F9B">
      <w:pPr>
        <w:spacing w:line="360" w:lineRule="auto"/>
        <w:rPr>
          <w:rFonts w:cstheme="minorHAnsi"/>
          <w:b/>
          <w:sz w:val="22"/>
          <w:szCs w:val="22"/>
        </w:rPr>
      </w:pPr>
      <w:r w:rsidRPr="00675527">
        <w:rPr>
          <w:rFonts w:cstheme="minorHAnsi"/>
          <w:b/>
          <w:sz w:val="22"/>
          <w:szCs w:val="22"/>
        </w:rPr>
        <w:lastRenderedPageBreak/>
        <w:t>INTRODUCTION</w:t>
      </w:r>
    </w:p>
    <w:p w:rsidR="00786F9B" w:rsidRPr="00F153C3" w:rsidRDefault="00786F9B" w:rsidP="00786F9B">
      <w:pPr>
        <w:spacing w:line="360" w:lineRule="auto"/>
        <w:rPr>
          <w:rFonts w:cstheme="minorHAnsi"/>
          <w:b/>
          <w:bCs/>
          <w:sz w:val="22"/>
          <w:szCs w:val="22"/>
        </w:rPr>
      </w:pPr>
    </w:p>
    <w:p w:rsidR="00786F9B" w:rsidRPr="00675527" w:rsidRDefault="00786F9B" w:rsidP="00786F9B">
      <w:pPr>
        <w:spacing w:line="360" w:lineRule="auto"/>
        <w:jc w:val="both"/>
        <w:rPr>
          <w:rFonts w:cstheme="minorHAnsi"/>
          <w:sz w:val="22"/>
          <w:szCs w:val="22"/>
        </w:rPr>
      </w:pPr>
      <w:r w:rsidRPr="00F153C3">
        <w:rPr>
          <w:rFonts w:cstheme="minorHAnsi"/>
          <w:sz w:val="22"/>
          <w:szCs w:val="22"/>
        </w:rPr>
        <w:t xml:space="preserve">Hepatocellular carcinoma </w:t>
      </w:r>
      <w:r w:rsidRPr="0010482A">
        <w:rPr>
          <w:sz w:val="22"/>
          <w:szCs w:val="22"/>
        </w:rPr>
        <w:t xml:space="preserve">(HCC) is a major and rapidly increasing cause of global premature morbidity and </w:t>
      </w:r>
      <w:r>
        <w:rPr>
          <w:sz w:val="22"/>
          <w:szCs w:val="22"/>
        </w:rPr>
        <w:t>mortality. It is</w:t>
      </w:r>
      <w:r w:rsidRPr="0010482A">
        <w:rPr>
          <w:sz w:val="22"/>
          <w:szCs w:val="22"/>
        </w:rPr>
        <w:t xml:space="preserve"> </w:t>
      </w:r>
      <w:r w:rsidRPr="00F153C3">
        <w:rPr>
          <w:rFonts w:cstheme="minorHAnsi"/>
          <w:sz w:val="22"/>
          <w:szCs w:val="22"/>
        </w:rPr>
        <w:t xml:space="preserve">the </w:t>
      </w:r>
      <w:r w:rsidRPr="00F153C3">
        <w:rPr>
          <w:rFonts w:cstheme="minorHAnsi"/>
          <w:color w:val="000000"/>
          <w:sz w:val="22"/>
          <w:szCs w:val="22"/>
          <w:shd w:val="clear" w:color="auto" w:fill="FFFFFF"/>
        </w:rPr>
        <w:t>fifth most common cancer globally and the second leading cause of cancer-related mortality</w:t>
      </w:r>
      <w:r>
        <w:rPr>
          <w:rFonts w:cstheme="minorHAnsi"/>
          <w:color w:val="000000"/>
          <w:sz w:val="22"/>
          <w:szCs w:val="22"/>
          <w:shd w:val="clear" w:color="auto" w:fill="FFFFFF"/>
        </w:rPr>
        <w:t xml:space="preserve"> [1,2]</w:t>
      </w:r>
      <w:sdt>
        <w:sdtPr>
          <w:rPr>
            <w:rFonts w:ascii="Calibri" w:hAnsi="Calibri" w:cstheme="minorHAnsi"/>
            <w:color w:val="000000"/>
            <w:sz w:val="22"/>
            <w:szCs w:val="22"/>
            <w:shd w:val="clear" w:color="auto" w:fill="FFFFFF"/>
          </w:rPr>
          <w:tag w:val="citation"/>
          <w:id w:val="1655112481"/>
          <w:placeholder>
            <w:docPart w:val="E64A715E5D0D2F46B49836C205445331"/>
          </w:placeholder>
        </w:sdtPr>
        <w:sdtEndPr/>
        <w:sdtContent>
          <w:r>
            <w:rPr>
              <w:rFonts w:ascii="Calibri" w:hAnsi="Calibri" w:cstheme="minorHAnsi"/>
              <w:color w:val="000000"/>
              <w:sz w:val="22"/>
              <w:szCs w:val="22"/>
              <w:shd w:val="clear" w:color="auto" w:fill="FFFFFF"/>
            </w:rPr>
            <w:t xml:space="preserve">. </w:t>
          </w:r>
        </w:sdtContent>
      </w:sdt>
      <w:r>
        <w:rPr>
          <w:rFonts w:cstheme="minorHAnsi"/>
          <w:bCs/>
          <w:sz w:val="22"/>
          <w:szCs w:val="22"/>
          <w:lang w:val="en-US"/>
        </w:rPr>
        <w:t xml:space="preserve">In managing HCC, the Barcelona Clinic Liver Cancer (BCLC) staging system is a widely adopted system used to stage patients and guide therapeutic decisions [3]. According to the BCLC system, subjects with intermediate stage (BCLC B) HCC should undergo transarterial chemoembolization (TACE)[4,5]. Indeed, </w:t>
      </w:r>
      <w:r w:rsidRPr="00F153C3">
        <w:rPr>
          <w:rFonts w:cstheme="minorHAnsi"/>
          <w:sz w:val="22"/>
          <w:szCs w:val="22"/>
        </w:rPr>
        <w:t xml:space="preserve">TACE is the </w:t>
      </w:r>
      <w:r>
        <w:rPr>
          <w:rFonts w:cstheme="minorHAnsi"/>
          <w:sz w:val="22"/>
          <w:szCs w:val="22"/>
        </w:rPr>
        <w:t xml:space="preserve">most </w:t>
      </w:r>
      <w:r w:rsidRPr="00F153C3">
        <w:rPr>
          <w:rFonts w:cstheme="minorHAnsi"/>
          <w:sz w:val="22"/>
          <w:szCs w:val="22"/>
        </w:rPr>
        <w:t>common</w:t>
      </w:r>
      <w:r>
        <w:rPr>
          <w:rFonts w:cstheme="minorHAnsi"/>
          <w:sz w:val="22"/>
          <w:szCs w:val="22"/>
        </w:rPr>
        <w:t>ly</w:t>
      </w:r>
      <w:r w:rsidRPr="00F153C3">
        <w:rPr>
          <w:rFonts w:cstheme="minorHAnsi"/>
          <w:sz w:val="22"/>
          <w:szCs w:val="22"/>
        </w:rPr>
        <w:t xml:space="preserve"> prescribed treatment for patients with HCC as the majority </w:t>
      </w:r>
      <w:r>
        <w:rPr>
          <w:rFonts w:cstheme="minorHAnsi"/>
          <w:sz w:val="22"/>
          <w:szCs w:val="22"/>
        </w:rPr>
        <w:t xml:space="preserve">of patients </w:t>
      </w:r>
      <w:r w:rsidRPr="00F153C3">
        <w:rPr>
          <w:rFonts w:cstheme="minorHAnsi"/>
          <w:sz w:val="22"/>
          <w:szCs w:val="22"/>
        </w:rPr>
        <w:t xml:space="preserve">present </w:t>
      </w:r>
      <w:r>
        <w:rPr>
          <w:rFonts w:cstheme="minorHAnsi"/>
          <w:sz w:val="22"/>
          <w:szCs w:val="22"/>
        </w:rPr>
        <w:t>with</w:t>
      </w:r>
      <w:r w:rsidRPr="00F153C3">
        <w:rPr>
          <w:rFonts w:cstheme="minorHAnsi"/>
          <w:sz w:val="22"/>
          <w:szCs w:val="22"/>
        </w:rPr>
        <w:t xml:space="preserve"> </w:t>
      </w:r>
      <w:r>
        <w:rPr>
          <w:rFonts w:cstheme="minorHAnsi"/>
          <w:sz w:val="22"/>
          <w:szCs w:val="22"/>
        </w:rPr>
        <w:t xml:space="preserve">disease that is </w:t>
      </w:r>
      <w:r w:rsidRPr="00F153C3">
        <w:rPr>
          <w:rFonts w:cstheme="minorHAnsi"/>
          <w:sz w:val="22"/>
          <w:szCs w:val="22"/>
        </w:rPr>
        <w:t xml:space="preserve">not amenable to </w:t>
      </w:r>
      <w:r>
        <w:rPr>
          <w:rFonts w:cstheme="minorHAnsi"/>
          <w:sz w:val="22"/>
          <w:szCs w:val="22"/>
        </w:rPr>
        <w:t xml:space="preserve">potentially </w:t>
      </w:r>
      <w:r w:rsidRPr="00F153C3">
        <w:rPr>
          <w:rFonts w:cstheme="minorHAnsi"/>
          <w:sz w:val="22"/>
          <w:szCs w:val="22"/>
        </w:rPr>
        <w:t>curative therap</w:t>
      </w:r>
      <w:r>
        <w:rPr>
          <w:rFonts w:cstheme="minorHAnsi"/>
          <w:sz w:val="22"/>
          <w:szCs w:val="22"/>
        </w:rPr>
        <w:t xml:space="preserve">ies [6-8]. </w:t>
      </w:r>
      <w:r w:rsidRPr="00F153C3">
        <w:rPr>
          <w:rFonts w:cstheme="minorHAnsi"/>
          <w:sz w:val="22"/>
          <w:szCs w:val="22"/>
        </w:rPr>
        <w:t xml:space="preserve"> TACE not only improve</w:t>
      </w:r>
      <w:r>
        <w:rPr>
          <w:rFonts w:cstheme="minorHAnsi"/>
          <w:sz w:val="22"/>
          <w:szCs w:val="22"/>
        </w:rPr>
        <w:t>s</w:t>
      </w:r>
      <w:r w:rsidRPr="00F153C3">
        <w:rPr>
          <w:rFonts w:cstheme="minorHAnsi"/>
          <w:sz w:val="22"/>
          <w:szCs w:val="22"/>
        </w:rPr>
        <w:t xml:space="preserve"> </w:t>
      </w:r>
      <w:r>
        <w:rPr>
          <w:rFonts w:cstheme="minorHAnsi"/>
          <w:sz w:val="22"/>
          <w:szCs w:val="22"/>
        </w:rPr>
        <w:t>the overall survival</w:t>
      </w:r>
      <w:r w:rsidRPr="00F153C3">
        <w:rPr>
          <w:rFonts w:cstheme="minorHAnsi"/>
          <w:sz w:val="22"/>
          <w:szCs w:val="22"/>
        </w:rPr>
        <w:t xml:space="preserve"> in </w:t>
      </w:r>
      <w:r>
        <w:rPr>
          <w:rFonts w:cstheme="minorHAnsi"/>
          <w:sz w:val="22"/>
          <w:szCs w:val="22"/>
        </w:rPr>
        <w:t xml:space="preserve">such </w:t>
      </w:r>
      <w:r w:rsidRPr="00F153C3">
        <w:rPr>
          <w:rFonts w:cstheme="minorHAnsi"/>
          <w:sz w:val="22"/>
          <w:szCs w:val="22"/>
        </w:rPr>
        <w:t xml:space="preserve">patients, </w:t>
      </w:r>
      <w:r>
        <w:rPr>
          <w:rFonts w:cstheme="minorHAnsi"/>
          <w:sz w:val="22"/>
          <w:szCs w:val="22"/>
        </w:rPr>
        <w:t>but also has an adjunctive role</w:t>
      </w:r>
      <w:r w:rsidRPr="00F153C3">
        <w:rPr>
          <w:rFonts w:cstheme="minorHAnsi"/>
          <w:sz w:val="22"/>
          <w:szCs w:val="22"/>
        </w:rPr>
        <w:t xml:space="preserve"> </w:t>
      </w:r>
      <w:r>
        <w:rPr>
          <w:rFonts w:cstheme="minorHAnsi"/>
          <w:sz w:val="22"/>
          <w:szCs w:val="22"/>
        </w:rPr>
        <w:t>in controlling disease before liver transplantation as well</w:t>
      </w:r>
      <w:r w:rsidRPr="00F153C3">
        <w:rPr>
          <w:rFonts w:cstheme="minorHAnsi"/>
          <w:sz w:val="22"/>
          <w:szCs w:val="22"/>
        </w:rPr>
        <w:t xml:space="preserve"> </w:t>
      </w:r>
      <w:r>
        <w:rPr>
          <w:rFonts w:cstheme="minorHAnsi"/>
          <w:sz w:val="22"/>
          <w:szCs w:val="22"/>
        </w:rPr>
        <w:t xml:space="preserve">increasing patient eligibility for other </w:t>
      </w:r>
      <w:r w:rsidRPr="00F153C3">
        <w:rPr>
          <w:rFonts w:cstheme="minorHAnsi"/>
          <w:sz w:val="22"/>
          <w:szCs w:val="22"/>
        </w:rPr>
        <w:t>treatments such as ablation and surger</w:t>
      </w:r>
      <w:r>
        <w:rPr>
          <w:rFonts w:cstheme="minorHAnsi"/>
          <w:sz w:val="22"/>
          <w:szCs w:val="22"/>
        </w:rPr>
        <w:t>y [9,10].</w:t>
      </w:r>
    </w:p>
    <w:p w:rsidR="00786F9B" w:rsidRPr="00675527" w:rsidRDefault="00786F9B" w:rsidP="00786F9B">
      <w:pPr>
        <w:spacing w:line="360" w:lineRule="auto"/>
        <w:jc w:val="both"/>
        <w:rPr>
          <w:rFonts w:cstheme="minorHAnsi"/>
          <w:bCs/>
          <w:sz w:val="22"/>
          <w:szCs w:val="22"/>
          <w:lang w:val="en-US"/>
        </w:rPr>
      </w:pPr>
    </w:p>
    <w:p w:rsidR="00786F9B" w:rsidRPr="00F153C3" w:rsidRDefault="00786F9B" w:rsidP="00786F9B">
      <w:pPr>
        <w:spacing w:line="360" w:lineRule="auto"/>
        <w:jc w:val="both"/>
        <w:rPr>
          <w:rFonts w:cstheme="minorHAnsi"/>
          <w:sz w:val="22"/>
          <w:szCs w:val="22"/>
        </w:rPr>
      </w:pPr>
      <w:r>
        <w:rPr>
          <w:rFonts w:cstheme="minorHAnsi"/>
          <w:bCs/>
          <w:sz w:val="22"/>
          <w:szCs w:val="22"/>
          <w:lang w:val="en-US"/>
        </w:rPr>
        <w:t>However,  patient outcomes with TACE are quite heterogeneous with median survival rates varying between 20 and 45 months [11,14]  This is</w:t>
      </w:r>
      <w:r w:rsidRPr="00141609">
        <w:rPr>
          <w:rFonts w:cstheme="minorHAnsi"/>
          <w:bCs/>
          <w:sz w:val="22"/>
          <w:szCs w:val="22"/>
          <w:lang w:val="en-US"/>
        </w:rPr>
        <w:t xml:space="preserve"> </w:t>
      </w:r>
      <w:r>
        <w:rPr>
          <w:rFonts w:cstheme="minorHAnsi"/>
          <w:bCs/>
          <w:sz w:val="22"/>
          <w:szCs w:val="22"/>
          <w:lang w:val="en-US"/>
        </w:rPr>
        <w:t xml:space="preserve">due, in part, to the wide spectrum of liver dysfunction observed in BCLC stage B patients [15-17].  </w:t>
      </w:r>
      <w:r w:rsidRPr="00F153C3">
        <w:rPr>
          <w:rFonts w:cstheme="minorHAnsi"/>
          <w:sz w:val="22"/>
          <w:szCs w:val="22"/>
        </w:rPr>
        <w:t>Patient selection</w:t>
      </w:r>
      <w:r>
        <w:rPr>
          <w:rFonts w:cstheme="minorHAnsi"/>
          <w:sz w:val="22"/>
          <w:szCs w:val="22"/>
        </w:rPr>
        <w:t>,</w:t>
      </w:r>
      <w:r w:rsidRPr="00F153C3">
        <w:rPr>
          <w:rFonts w:cstheme="minorHAnsi"/>
          <w:sz w:val="22"/>
          <w:szCs w:val="22"/>
        </w:rPr>
        <w:t xml:space="preserve"> </w:t>
      </w:r>
      <w:r>
        <w:rPr>
          <w:rFonts w:cstheme="minorHAnsi"/>
          <w:sz w:val="22"/>
          <w:szCs w:val="22"/>
        </w:rPr>
        <w:t xml:space="preserve">therefore, </w:t>
      </w:r>
      <w:r w:rsidRPr="00F153C3">
        <w:rPr>
          <w:rFonts w:cstheme="minorHAnsi"/>
          <w:sz w:val="22"/>
          <w:szCs w:val="22"/>
        </w:rPr>
        <w:t xml:space="preserve">plays an important role in treating patients with </w:t>
      </w:r>
      <w:r>
        <w:rPr>
          <w:rFonts w:cstheme="minorHAnsi"/>
          <w:sz w:val="22"/>
          <w:szCs w:val="22"/>
        </w:rPr>
        <w:t>TACE</w:t>
      </w:r>
      <w:r w:rsidRPr="00F153C3">
        <w:rPr>
          <w:rFonts w:cstheme="minorHAnsi"/>
          <w:sz w:val="22"/>
          <w:szCs w:val="22"/>
        </w:rPr>
        <w:t xml:space="preserve"> as severity of pre-treatment liver dysfunction predict</w:t>
      </w:r>
      <w:r>
        <w:rPr>
          <w:rFonts w:cstheme="minorHAnsi"/>
          <w:sz w:val="22"/>
          <w:szCs w:val="22"/>
        </w:rPr>
        <w:t>s</w:t>
      </w:r>
      <w:r w:rsidRPr="00F153C3">
        <w:rPr>
          <w:rFonts w:cstheme="minorHAnsi"/>
          <w:sz w:val="22"/>
          <w:szCs w:val="22"/>
        </w:rPr>
        <w:t xml:space="preserve"> </w:t>
      </w:r>
      <w:r>
        <w:rPr>
          <w:rFonts w:cstheme="minorHAnsi"/>
          <w:sz w:val="22"/>
          <w:szCs w:val="22"/>
        </w:rPr>
        <w:t>both</w:t>
      </w:r>
      <w:r w:rsidRPr="00F153C3">
        <w:rPr>
          <w:rFonts w:cstheme="minorHAnsi"/>
          <w:sz w:val="22"/>
          <w:szCs w:val="22"/>
        </w:rPr>
        <w:t xml:space="preserve"> post</w:t>
      </w:r>
      <w:r>
        <w:rPr>
          <w:rFonts w:cstheme="minorHAnsi"/>
          <w:sz w:val="22"/>
          <w:szCs w:val="22"/>
        </w:rPr>
        <w:t>-</w:t>
      </w:r>
      <w:r w:rsidRPr="00F153C3">
        <w:rPr>
          <w:rFonts w:cstheme="minorHAnsi"/>
          <w:sz w:val="22"/>
          <w:szCs w:val="22"/>
        </w:rPr>
        <w:t>treatment complications and overall survival</w:t>
      </w:r>
      <w:r>
        <w:rPr>
          <w:rFonts w:cstheme="minorHAnsi"/>
          <w:sz w:val="22"/>
          <w:szCs w:val="22"/>
        </w:rPr>
        <w:t xml:space="preserve"> [18-20] Several</w:t>
      </w:r>
      <w:r w:rsidRPr="00F153C3">
        <w:rPr>
          <w:rFonts w:cstheme="minorHAnsi"/>
          <w:sz w:val="22"/>
          <w:szCs w:val="22"/>
        </w:rPr>
        <w:t xml:space="preserve"> models have been proposed to assess </w:t>
      </w:r>
      <w:r>
        <w:rPr>
          <w:rFonts w:cstheme="minorHAnsi"/>
          <w:sz w:val="22"/>
          <w:szCs w:val="22"/>
        </w:rPr>
        <w:t xml:space="preserve">hepatic </w:t>
      </w:r>
      <w:r w:rsidRPr="00F153C3">
        <w:rPr>
          <w:rFonts w:cstheme="minorHAnsi"/>
          <w:sz w:val="22"/>
          <w:szCs w:val="22"/>
        </w:rPr>
        <w:t>reserve</w:t>
      </w:r>
      <w:r>
        <w:rPr>
          <w:rFonts w:cstheme="minorHAnsi"/>
          <w:sz w:val="22"/>
          <w:szCs w:val="22"/>
        </w:rPr>
        <w:t xml:space="preserve"> [19,21-23], however </w:t>
      </w:r>
      <w:r w:rsidRPr="00F153C3">
        <w:rPr>
          <w:rFonts w:cstheme="minorHAnsi"/>
          <w:sz w:val="22"/>
          <w:szCs w:val="22"/>
        </w:rPr>
        <w:t xml:space="preserve">their clinical utility </w:t>
      </w:r>
      <w:r>
        <w:rPr>
          <w:rFonts w:cstheme="minorHAnsi"/>
          <w:sz w:val="22"/>
          <w:szCs w:val="22"/>
        </w:rPr>
        <w:t>is</w:t>
      </w:r>
      <w:r w:rsidRPr="00F153C3">
        <w:rPr>
          <w:rFonts w:cstheme="minorHAnsi"/>
          <w:sz w:val="22"/>
          <w:szCs w:val="22"/>
        </w:rPr>
        <w:t xml:space="preserve"> limited </w:t>
      </w:r>
      <w:r>
        <w:rPr>
          <w:rFonts w:cstheme="minorHAnsi"/>
          <w:sz w:val="22"/>
          <w:szCs w:val="22"/>
        </w:rPr>
        <w:t>by</w:t>
      </w:r>
      <w:r w:rsidRPr="00F153C3">
        <w:rPr>
          <w:rFonts w:cstheme="minorHAnsi"/>
          <w:sz w:val="22"/>
          <w:szCs w:val="22"/>
        </w:rPr>
        <w:t xml:space="preserve"> variation </w:t>
      </w:r>
      <w:r>
        <w:rPr>
          <w:rFonts w:cstheme="minorHAnsi"/>
          <w:sz w:val="22"/>
          <w:szCs w:val="22"/>
        </w:rPr>
        <w:t xml:space="preserve">in both </w:t>
      </w:r>
      <w:r w:rsidRPr="00F153C3">
        <w:rPr>
          <w:rFonts w:cstheme="minorHAnsi"/>
          <w:sz w:val="22"/>
          <w:szCs w:val="22"/>
        </w:rPr>
        <w:t>objectiv</w:t>
      </w:r>
      <w:r>
        <w:rPr>
          <w:rFonts w:cstheme="minorHAnsi"/>
          <w:sz w:val="22"/>
          <w:szCs w:val="22"/>
        </w:rPr>
        <w:t>ity</w:t>
      </w:r>
      <w:r w:rsidRPr="00F153C3">
        <w:rPr>
          <w:rFonts w:cstheme="minorHAnsi"/>
          <w:sz w:val="22"/>
          <w:szCs w:val="22"/>
        </w:rPr>
        <w:t xml:space="preserve"> and sensitiv</w:t>
      </w:r>
      <w:r>
        <w:rPr>
          <w:rFonts w:cstheme="minorHAnsi"/>
          <w:sz w:val="22"/>
          <w:szCs w:val="22"/>
        </w:rPr>
        <w:t>ity</w:t>
      </w:r>
      <w:r w:rsidRPr="00F153C3">
        <w:rPr>
          <w:rFonts w:cstheme="minorHAnsi"/>
          <w:sz w:val="22"/>
          <w:szCs w:val="22"/>
        </w:rPr>
        <w:t xml:space="preserve"> in stratifying </w:t>
      </w:r>
      <w:r>
        <w:rPr>
          <w:rFonts w:cstheme="minorHAnsi"/>
          <w:sz w:val="22"/>
          <w:szCs w:val="22"/>
        </w:rPr>
        <w:t>stages</w:t>
      </w:r>
      <w:r w:rsidRPr="00F153C3">
        <w:rPr>
          <w:rFonts w:cstheme="minorHAnsi"/>
          <w:sz w:val="22"/>
          <w:szCs w:val="22"/>
        </w:rPr>
        <w:t xml:space="preserve"> of hepatic dysfunction</w:t>
      </w:r>
      <w:r>
        <w:rPr>
          <w:rFonts w:cstheme="minorHAnsi"/>
          <w:sz w:val="22"/>
          <w:szCs w:val="22"/>
        </w:rPr>
        <w:t xml:space="preserve"> [7,24-26]</w:t>
      </w:r>
      <w:r w:rsidRPr="00F153C3">
        <w:rPr>
          <w:rFonts w:cstheme="minorHAnsi"/>
          <w:sz w:val="22"/>
          <w:szCs w:val="22"/>
        </w:rPr>
        <w:t>.</w:t>
      </w:r>
    </w:p>
    <w:p w:rsidR="00786F9B" w:rsidRPr="00F153C3" w:rsidRDefault="00786F9B" w:rsidP="00786F9B">
      <w:pPr>
        <w:spacing w:line="360" w:lineRule="auto"/>
        <w:rPr>
          <w:rFonts w:cstheme="minorHAnsi"/>
          <w:sz w:val="22"/>
          <w:szCs w:val="22"/>
        </w:rPr>
      </w:pPr>
    </w:p>
    <w:p w:rsidR="00786F9B" w:rsidRPr="0094115C" w:rsidRDefault="00786F9B" w:rsidP="00786F9B">
      <w:pPr>
        <w:spacing w:line="360" w:lineRule="auto"/>
        <w:jc w:val="both"/>
        <w:rPr>
          <w:rFonts w:cstheme="minorHAnsi"/>
          <w:sz w:val="22"/>
          <w:szCs w:val="22"/>
        </w:rPr>
      </w:pPr>
      <w:r>
        <w:rPr>
          <w:rFonts w:cstheme="minorHAnsi"/>
          <w:sz w:val="22"/>
          <w:szCs w:val="22"/>
        </w:rPr>
        <w:t>T</w:t>
      </w:r>
      <w:r w:rsidRPr="00F153C3">
        <w:rPr>
          <w:rFonts w:cstheme="minorHAnsi"/>
          <w:sz w:val="22"/>
          <w:szCs w:val="22"/>
        </w:rPr>
        <w:t>he ALBI score</w:t>
      </w:r>
      <w:r>
        <w:rPr>
          <w:rFonts w:cstheme="minorHAnsi"/>
          <w:sz w:val="22"/>
          <w:szCs w:val="22"/>
        </w:rPr>
        <w:t xml:space="preserve">, derived from both serum albumin and bilirubin levels, </w:t>
      </w:r>
      <w:r w:rsidRPr="00F153C3">
        <w:rPr>
          <w:rFonts w:cstheme="minorHAnsi"/>
          <w:sz w:val="22"/>
          <w:szCs w:val="22"/>
        </w:rPr>
        <w:t xml:space="preserve">was </w:t>
      </w:r>
      <w:r>
        <w:rPr>
          <w:rFonts w:cstheme="minorHAnsi"/>
          <w:sz w:val="22"/>
          <w:szCs w:val="22"/>
        </w:rPr>
        <w:t xml:space="preserve">recently </w:t>
      </w:r>
      <w:r w:rsidRPr="00F153C3">
        <w:rPr>
          <w:rFonts w:cstheme="minorHAnsi"/>
          <w:sz w:val="22"/>
          <w:szCs w:val="22"/>
        </w:rPr>
        <w:t xml:space="preserve">proposed </w:t>
      </w:r>
      <w:r>
        <w:rPr>
          <w:rFonts w:cstheme="minorHAnsi"/>
          <w:sz w:val="22"/>
          <w:szCs w:val="22"/>
        </w:rPr>
        <w:t xml:space="preserve">by Johnson et al. </w:t>
      </w:r>
      <w:r w:rsidRPr="00F153C3">
        <w:rPr>
          <w:rFonts w:cstheme="minorHAnsi"/>
          <w:sz w:val="22"/>
          <w:szCs w:val="22"/>
        </w:rPr>
        <w:t xml:space="preserve">as </w:t>
      </w:r>
      <w:r>
        <w:rPr>
          <w:rFonts w:cstheme="minorHAnsi"/>
          <w:sz w:val="22"/>
          <w:szCs w:val="22"/>
        </w:rPr>
        <w:t xml:space="preserve">an </w:t>
      </w:r>
      <w:r w:rsidRPr="00F153C3">
        <w:rPr>
          <w:rFonts w:cstheme="minorHAnsi"/>
          <w:sz w:val="22"/>
          <w:szCs w:val="22"/>
        </w:rPr>
        <w:t>objective measure of liver reserve in patients with HC</w:t>
      </w:r>
      <w:r>
        <w:rPr>
          <w:rFonts w:cstheme="minorHAnsi"/>
          <w:sz w:val="22"/>
          <w:szCs w:val="22"/>
        </w:rPr>
        <w:t>C [27].</w:t>
      </w:r>
      <w:r w:rsidRPr="00F153C3">
        <w:rPr>
          <w:rFonts w:cstheme="minorHAnsi"/>
          <w:sz w:val="22"/>
          <w:szCs w:val="22"/>
        </w:rPr>
        <w:t xml:space="preserve"> </w:t>
      </w:r>
      <w:r>
        <w:rPr>
          <w:rFonts w:cstheme="minorHAnsi"/>
          <w:sz w:val="22"/>
          <w:szCs w:val="22"/>
        </w:rPr>
        <w:t>S</w:t>
      </w:r>
      <w:r w:rsidRPr="00F153C3">
        <w:rPr>
          <w:rFonts w:cstheme="minorHAnsi"/>
          <w:sz w:val="22"/>
          <w:szCs w:val="22"/>
        </w:rPr>
        <w:t>ubsequent</w:t>
      </w:r>
      <w:r>
        <w:rPr>
          <w:rFonts w:cstheme="minorHAnsi"/>
          <w:sz w:val="22"/>
          <w:szCs w:val="22"/>
        </w:rPr>
        <w:t>ly,</w:t>
      </w:r>
      <w:r w:rsidRPr="00F153C3">
        <w:rPr>
          <w:rFonts w:cstheme="minorHAnsi"/>
          <w:sz w:val="22"/>
          <w:szCs w:val="22"/>
        </w:rPr>
        <w:t xml:space="preserve"> multiple studies have </w:t>
      </w:r>
      <w:r>
        <w:rPr>
          <w:rFonts w:cstheme="minorHAnsi"/>
          <w:sz w:val="22"/>
          <w:szCs w:val="22"/>
        </w:rPr>
        <w:t>shown</w:t>
      </w:r>
      <w:r w:rsidRPr="00F153C3">
        <w:rPr>
          <w:rFonts w:cstheme="minorHAnsi"/>
          <w:sz w:val="22"/>
          <w:szCs w:val="22"/>
        </w:rPr>
        <w:t xml:space="preserve"> it to </w:t>
      </w:r>
      <w:r>
        <w:rPr>
          <w:rFonts w:cstheme="minorHAnsi"/>
          <w:sz w:val="22"/>
          <w:szCs w:val="22"/>
        </w:rPr>
        <w:t>have</w:t>
      </w:r>
      <w:r w:rsidRPr="00F153C3">
        <w:rPr>
          <w:rFonts w:cstheme="minorHAnsi"/>
          <w:sz w:val="22"/>
          <w:szCs w:val="22"/>
        </w:rPr>
        <w:t xml:space="preserve"> significant discriminatory power in patients undergoing TACE</w:t>
      </w:r>
      <w:r>
        <w:rPr>
          <w:rFonts w:cstheme="minorHAnsi"/>
          <w:sz w:val="22"/>
          <w:szCs w:val="22"/>
        </w:rPr>
        <w:t xml:space="preserve"> [28-40]. In particular, it has been found to have </w:t>
      </w:r>
      <w:r w:rsidRPr="00F153C3">
        <w:rPr>
          <w:rFonts w:cstheme="minorHAnsi"/>
          <w:sz w:val="22"/>
          <w:szCs w:val="22"/>
        </w:rPr>
        <w:t>equivalent o</w:t>
      </w:r>
      <w:r>
        <w:rPr>
          <w:rFonts w:cstheme="minorHAnsi"/>
          <w:sz w:val="22"/>
          <w:szCs w:val="22"/>
        </w:rPr>
        <w:t>r</w:t>
      </w:r>
      <w:r w:rsidRPr="00F153C3">
        <w:rPr>
          <w:rFonts w:cstheme="minorHAnsi"/>
          <w:sz w:val="22"/>
          <w:szCs w:val="22"/>
        </w:rPr>
        <w:t xml:space="preserve"> superior prognostic power to </w:t>
      </w:r>
      <w:r>
        <w:rPr>
          <w:rFonts w:cstheme="minorHAnsi"/>
          <w:sz w:val="22"/>
          <w:szCs w:val="22"/>
        </w:rPr>
        <w:t>the Child-Pugh score that also includes subjective markers such as ascites and hepatic encephalopathy, as well as</w:t>
      </w:r>
      <w:r w:rsidRPr="00F153C3">
        <w:rPr>
          <w:rFonts w:cstheme="minorHAnsi"/>
          <w:sz w:val="22"/>
          <w:szCs w:val="22"/>
        </w:rPr>
        <w:t xml:space="preserve"> </w:t>
      </w:r>
      <w:r>
        <w:rPr>
          <w:rFonts w:cstheme="minorHAnsi"/>
          <w:sz w:val="22"/>
          <w:szCs w:val="22"/>
        </w:rPr>
        <w:t>the model of end stage liver disease (M</w:t>
      </w:r>
      <w:r w:rsidRPr="00F153C3">
        <w:rPr>
          <w:rFonts w:cstheme="minorHAnsi"/>
          <w:sz w:val="22"/>
          <w:szCs w:val="22"/>
        </w:rPr>
        <w:t>ELD</w:t>
      </w:r>
      <w:r>
        <w:rPr>
          <w:rFonts w:cstheme="minorHAnsi"/>
          <w:sz w:val="22"/>
          <w:szCs w:val="22"/>
        </w:rPr>
        <w:t>)</w:t>
      </w:r>
      <w:r w:rsidRPr="00F153C3">
        <w:rPr>
          <w:rFonts w:cstheme="minorHAnsi"/>
          <w:sz w:val="22"/>
          <w:szCs w:val="22"/>
        </w:rPr>
        <w:t xml:space="preserve"> score</w:t>
      </w:r>
      <w:r>
        <w:rPr>
          <w:rFonts w:cstheme="minorHAnsi"/>
          <w:sz w:val="22"/>
          <w:szCs w:val="22"/>
        </w:rPr>
        <w:t xml:space="preserve">[24,28-30]. </w:t>
      </w:r>
      <w:r>
        <w:rPr>
          <w:rFonts w:cstheme="minorHAnsi"/>
          <w:color w:val="000000"/>
          <w:sz w:val="22"/>
          <w:szCs w:val="22"/>
          <w:shd w:val="clear" w:color="auto" w:fill="FFFFFF"/>
        </w:rPr>
        <w:t xml:space="preserve">We, therefore, undertook a systematic review and meta-analysis of published studies to determine </w:t>
      </w:r>
      <w:r w:rsidRPr="00726197">
        <w:rPr>
          <w:rFonts w:cstheme="minorHAnsi"/>
          <w:bCs/>
          <w:sz w:val="22"/>
          <w:szCs w:val="22"/>
        </w:rPr>
        <w:t>the role of ALBI grade as a prognostic determinant in HCC patients undergoing TACE</w:t>
      </w:r>
      <w:r>
        <w:rPr>
          <w:rFonts w:cstheme="minorHAnsi"/>
          <w:bCs/>
          <w:sz w:val="22"/>
          <w:szCs w:val="22"/>
        </w:rPr>
        <w:t>.</w:t>
      </w:r>
    </w:p>
    <w:p w:rsidR="00786F9B" w:rsidRDefault="00786F9B" w:rsidP="00786F9B">
      <w:pPr>
        <w:spacing w:line="360" w:lineRule="auto"/>
        <w:rPr>
          <w:rFonts w:cstheme="minorHAnsi"/>
          <w:b/>
          <w:bCs/>
          <w:sz w:val="22"/>
          <w:szCs w:val="22"/>
        </w:rPr>
      </w:pPr>
    </w:p>
    <w:p w:rsidR="00786F9B" w:rsidRDefault="00786F9B" w:rsidP="00786F9B">
      <w:pPr>
        <w:spacing w:line="360" w:lineRule="auto"/>
        <w:rPr>
          <w:rFonts w:cstheme="minorHAnsi"/>
          <w:b/>
          <w:bCs/>
          <w:sz w:val="22"/>
          <w:szCs w:val="22"/>
        </w:rPr>
      </w:pPr>
    </w:p>
    <w:p w:rsidR="00786F9B" w:rsidRDefault="00786F9B" w:rsidP="00786F9B">
      <w:pPr>
        <w:spacing w:line="360" w:lineRule="auto"/>
        <w:rPr>
          <w:rFonts w:cstheme="minorHAnsi"/>
          <w:b/>
          <w:bCs/>
          <w:sz w:val="22"/>
          <w:szCs w:val="22"/>
        </w:rPr>
      </w:pPr>
      <w:r>
        <w:rPr>
          <w:rFonts w:cstheme="minorHAnsi"/>
          <w:b/>
          <w:bCs/>
          <w:sz w:val="22"/>
          <w:szCs w:val="22"/>
        </w:rPr>
        <w:t>METHODS</w:t>
      </w:r>
    </w:p>
    <w:p w:rsidR="00786F9B" w:rsidRPr="00F153C3" w:rsidRDefault="00786F9B" w:rsidP="00786F9B">
      <w:pPr>
        <w:spacing w:line="360" w:lineRule="auto"/>
        <w:rPr>
          <w:rFonts w:cstheme="minorHAnsi"/>
          <w:sz w:val="22"/>
          <w:szCs w:val="22"/>
        </w:rPr>
      </w:pPr>
    </w:p>
    <w:p w:rsidR="00786F9B" w:rsidRPr="00F153C3" w:rsidRDefault="00786F9B" w:rsidP="00786F9B">
      <w:pPr>
        <w:spacing w:line="360" w:lineRule="auto"/>
        <w:rPr>
          <w:rFonts w:cstheme="minorHAnsi"/>
          <w:b/>
          <w:sz w:val="22"/>
          <w:szCs w:val="22"/>
        </w:rPr>
      </w:pPr>
      <w:r w:rsidRPr="00F153C3">
        <w:rPr>
          <w:rFonts w:cstheme="minorHAnsi"/>
          <w:b/>
          <w:sz w:val="22"/>
          <w:szCs w:val="22"/>
        </w:rPr>
        <w:t>Literature search strategy</w:t>
      </w:r>
    </w:p>
    <w:p w:rsidR="00786F9B" w:rsidRPr="00615C6D" w:rsidRDefault="00786F9B" w:rsidP="00786F9B">
      <w:pPr>
        <w:spacing w:line="360" w:lineRule="auto"/>
        <w:jc w:val="both"/>
        <w:rPr>
          <w:b/>
          <w:color w:val="C00000"/>
          <w:sz w:val="22"/>
          <w:szCs w:val="22"/>
          <w:shd w:val="clear" w:color="auto" w:fill="FFFFFF"/>
        </w:rPr>
      </w:pPr>
      <w:r w:rsidRPr="00F153C3">
        <w:rPr>
          <w:rFonts w:cstheme="minorHAnsi"/>
          <w:color w:val="000000"/>
          <w:sz w:val="22"/>
          <w:szCs w:val="22"/>
          <w:shd w:val="clear" w:color="auto" w:fill="FFFFFF"/>
        </w:rPr>
        <w:t>A compre</w:t>
      </w:r>
      <w:r>
        <w:rPr>
          <w:rFonts w:cstheme="minorHAnsi"/>
          <w:color w:val="000000"/>
          <w:sz w:val="22"/>
          <w:szCs w:val="22"/>
          <w:shd w:val="clear" w:color="auto" w:fill="FFFFFF"/>
        </w:rPr>
        <w:t>he</w:t>
      </w:r>
      <w:r w:rsidRPr="00F153C3">
        <w:rPr>
          <w:rFonts w:cstheme="minorHAnsi"/>
          <w:color w:val="000000"/>
          <w:sz w:val="22"/>
          <w:szCs w:val="22"/>
          <w:shd w:val="clear" w:color="auto" w:fill="FFFFFF"/>
        </w:rPr>
        <w:t xml:space="preserve">nsive </w:t>
      </w:r>
      <w:r>
        <w:rPr>
          <w:rFonts w:cstheme="minorHAnsi"/>
          <w:color w:val="000000"/>
          <w:sz w:val="22"/>
          <w:szCs w:val="22"/>
          <w:shd w:val="clear" w:color="auto" w:fill="FFFFFF"/>
        </w:rPr>
        <w:t xml:space="preserve">and </w:t>
      </w:r>
      <w:r w:rsidRPr="00F153C3">
        <w:rPr>
          <w:rFonts w:cstheme="minorHAnsi"/>
          <w:color w:val="000000"/>
          <w:sz w:val="22"/>
          <w:szCs w:val="22"/>
          <w:shd w:val="clear" w:color="auto" w:fill="FFFFFF"/>
        </w:rPr>
        <w:t xml:space="preserve">systematic literature search was carried out </w:t>
      </w:r>
      <w:r>
        <w:rPr>
          <w:rFonts w:cstheme="minorHAnsi"/>
          <w:color w:val="000000"/>
          <w:sz w:val="22"/>
          <w:szCs w:val="22"/>
          <w:shd w:val="clear" w:color="auto" w:fill="FFFFFF"/>
        </w:rPr>
        <w:t>in</w:t>
      </w:r>
      <w:r w:rsidRPr="00F153C3">
        <w:rPr>
          <w:rFonts w:cstheme="minorHAnsi"/>
          <w:color w:val="000000"/>
          <w:sz w:val="22"/>
          <w:szCs w:val="22"/>
          <w:shd w:val="clear" w:color="auto" w:fill="FFFFFF"/>
        </w:rPr>
        <w:t xml:space="preserve"> databases including PubMed, </w:t>
      </w:r>
      <w:proofErr w:type="spellStart"/>
      <w:r w:rsidRPr="00F153C3">
        <w:rPr>
          <w:rFonts w:cstheme="minorHAnsi"/>
          <w:color w:val="000000"/>
          <w:sz w:val="22"/>
          <w:szCs w:val="22"/>
          <w:shd w:val="clear" w:color="auto" w:fill="FFFFFF"/>
        </w:rPr>
        <w:t>E</w:t>
      </w:r>
      <w:r>
        <w:rPr>
          <w:rFonts w:cstheme="minorHAnsi"/>
          <w:color w:val="000000"/>
          <w:sz w:val="22"/>
          <w:szCs w:val="22"/>
          <w:shd w:val="clear" w:color="auto" w:fill="FFFFFF"/>
        </w:rPr>
        <w:t>m</w:t>
      </w:r>
      <w:r w:rsidRPr="00F153C3">
        <w:rPr>
          <w:rFonts w:cstheme="minorHAnsi"/>
          <w:color w:val="000000"/>
          <w:sz w:val="22"/>
          <w:szCs w:val="22"/>
          <w:shd w:val="clear" w:color="auto" w:fill="FFFFFF"/>
        </w:rPr>
        <w:t>base</w:t>
      </w:r>
      <w:proofErr w:type="spellEnd"/>
      <w:r w:rsidRPr="00F153C3">
        <w:rPr>
          <w:rFonts w:cstheme="minorHAnsi"/>
          <w:color w:val="000000"/>
          <w:sz w:val="22"/>
          <w:szCs w:val="22"/>
          <w:shd w:val="clear" w:color="auto" w:fill="FFFFFF"/>
        </w:rPr>
        <w:t xml:space="preserve">, Medline, Web of Science, and Cochrane library (up to </w:t>
      </w:r>
      <w:r>
        <w:rPr>
          <w:rFonts w:cstheme="minorHAnsi"/>
          <w:color w:val="000000"/>
          <w:sz w:val="22"/>
          <w:szCs w:val="22"/>
          <w:shd w:val="clear" w:color="auto" w:fill="FFFFFF"/>
        </w:rPr>
        <w:t>July</w:t>
      </w:r>
      <w:r w:rsidRPr="00F153C3">
        <w:rPr>
          <w:rFonts w:cstheme="minorHAnsi"/>
          <w:color w:val="000000"/>
          <w:sz w:val="22"/>
          <w:szCs w:val="22"/>
          <w:shd w:val="clear" w:color="auto" w:fill="FFFFFF"/>
        </w:rPr>
        <w:t xml:space="preserve"> 1, 2019).  The following search terms were combined as key words: </w:t>
      </w:r>
      <w:r w:rsidR="0036748F" w:rsidRPr="00D93153">
        <w:rPr>
          <w:color w:val="FF0000"/>
          <w:sz w:val="22"/>
          <w:szCs w:val="22"/>
          <w:shd w:val="clear" w:color="auto" w:fill="FFFFFF"/>
        </w:rPr>
        <w:t>(hepatocellular or liver) and (tumor or cancer or carcinoma or malignant) and (chemoembolization or chemoembolisation or embolisation or embolization) and (albumin to bilirubin ratio or albumin/bilirubin or albumin to bilirubin or ALBI or albumin and bilirubin).</w:t>
      </w:r>
    </w:p>
    <w:p w:rsidR="00786F9B" w:rsidRPr="00F153C3" w:rsidRDefault="00786F9B" w:rsidP="00786F9B">
      <w:pPr>
        <w:spacing w:line="360" w:lineRule="auto"/>
        <w:rPr>
          <w:rFonts w:cstheme="minorHAnsi"/>
          <w:sz w:val="22"/>
          <w:szCs w:val="22"/>
        </w:rPr>
      </w:pPr>
      <w:r w:rsidRPr="00F153C3">
        <w:rPr>
          <w:rFonts w:cstheme="minorHAnsi"/>
          <w:b/>
          <w:sz w:val="22"/>
          <w:szCs w:val="22"/>
        </w:rPr>
        <w:lastRenderedPageBreak/>
        <w:t>Inclusion criteria</w:t>
      </w:r>
    </w:p>
    <w:p w:rsidR="00786F9B" w:rsidRPr="00675527" w:rsidRDefault="00786F9B" w:rsidP="00786F9B">
      <w:pPr>
        <w:spacing w:line="360" w:lineRule="auto"/>
        <w:jc w:val="both"/>
        <w:rPr>
          <w:rFonts w:cstheme="minorHAnsi"/>
          <w:color w:val="000000"/>
          <w:sz w:val="22"/>
          <w:szCs w:val="22"/>
          <w:shd w:val="clear" w:color="auto" w:fill="FFFFFF"/>
        </w:rPr>
      </w:pPr>
      <w:r w:rsidRPr="00F153C3">
        <w:rPr>
          <w:rFonts w:cstheme="minorHAnsi"/>
          <w:color w:val="000000"/>
          <w:sz w:val="22"/>
          <w:szCs w:val="22"/>
          <w:shd w:val="clear" w:color="auto" w:fill="FFFFFF"/>
        </w:rPr>
        <w:t xml:space="preserve">The inclusion criteria included: </w:t>
      </w:r>
      <w:r>
        <w:rPr>
          <w:rFonts w:cstheme="minorHAnsi"/>
          <w:color w:val="000000"/>
          <w:sz w:val="22"/>
          <w:szCs w:val="22"/>
          <w:shd w:val="clear" w:color="auto" w:fill="FFFFFF"/>
        </w:rPr>
        <w:t>(</w:t>
      </w:r>
      <w:proofErr w:type="spellStart"/>
      <w:r>
        <w:rPr>
          <w:rFonts w:cstheme="minorHAnsi"/>
          <w:color w:val="000000"/>
          <w:sz w:val="22"/>
          <w:szCs w:val="22"/>
          <w:shd w:val="clear" w:color="auto" w:fill="FFFFFF"/>
        </w:rPr>
        <w:t>i</w:t>
      </w:r>
      <w:proofErr w:type="spellEnd"/>
      <w:r>
        <w:rPr>
          <w:rFonts w:cstheme="minorHAnsi"/>
          <w:color w:val="000000"/>
          <w:sz w:val="22"/>
          <w:szCs w:val="22"/>
          <w:shd w:val="clear" w:color="auto" w:fill="FFFFFF"/>
        </w:rPr>
        <w:t>)</w:t>
      </w:r>
      <w:r w:rsidRPr="00F153C3">
        <w:rPr>
          <w:rFonts w:cstheme="minorHAnsi"/>
          <w:color w:val="000000"/>
          <w:sz w:val="22"/>
          <w:szCs w:val="22"/>
          <w:shd w:val="clear" w:color="auto" w:fill="FFFFFF"/>
        </w:rPr>
        <w:t xml:space="preserve"> patients with </w:t>
      </w:r>
      <w:r>
        <w:rPr>
          <w:rFonts w:cstheme="minorHAnsi"/>
          <w:color w:val="000000"/>
          <w:sz w:val="22"/>
          <w:szCs w:val="22"/>
          <w:shd w:val="clear" w:color="auto" w:fill="FFFFFF"/>
        </w:rPr>
        <w:t>HCC</w:t>
      </w:r>
      <w:r w:rsidRPr="00F153C3">
        <w:rPr>
          <w:rFonts w:cstheme="minorHAnsi"/>
          <w:color w:val="000000"/>
          <w:sz w:val="22"/>
          <w:szCs w:val="22"/>
          <w:shd w:val="clear" w:color="auto" w:fill="FFFFFF"/>
        </w:rPr>
        <w:t>; (</w:t>
      </w:r>
      <w:r>
        <w:rPr>
          <w:rFonts w:cstheme="minorHAnsi"/>
          <w:color w:val="000000"/>
          <w:sz w:val="22"/>
          <w:szCs w:val="22"/>
          <w:shd w:val="clear" w:color="auto" w:fill="FFFFFF"/>
        </w:rPr>
        <w:t>ii</w:t>
      </w:r>
      <w:r w:rsidRPr="00F153C3">
        <w:rPr>
          <w:rFonts w:cstheme="minorHAnsi"/>
          <w:color w:val="000000"/>
          <w:sz w:val="22"/>
          <w:szCs w:val="22"/>
          <w:shd w:val="clear" w:color="auto" w:fill="FFFFFF"/>
        </w:rPr>
        <w:t>) prognostic value of ALBI was evaluated on overall survival (OS); (</w:t>
      </w:r>
      <w:r>
        <w:rPr>
          <w:rFonts w:cstheme="minorHAnsi"/>
          <w:color w:val="000000"/>
          <w:sz w:val="22"/>
          <w:szCs w:val="22"/>
          <w:shd w:val="clear" w:color="auto" w:fill="FFFFFF"/>
        </w:rPr>
        <w:t>iii</w:t>
      </w:r>
      <w:r w:rsidRPr="00F153C3">
        <w:rPr>
          <w:rFonts w:cstheme="minorHAnsi"/>
          <w:color w:val="000000"/>
          <w:sz w:val="22"/>
          <w:szCs w:val="22"/>
          <w:shd w:val="clear" w:color="auto" w:fill="FFFFFF"/>
        </w:rPr>
        <w:t>) the survival outcomes were measured by hazard ratio (HRs) with 95% confidence interval (CIs), Kaplan–Meier curve, or data for calculating HR with its corresponding 95%</w:t>
      </w:r>
      <w:r>
        <w:rPr>
          <w:rFonts w:cstheme="minorHAnsi"/>
          <w:color w:val="000000"/>
          <w:sz w:val="22"/>
          <w:szCs w:val="22"/>
          <w:shd w:val="clear" w:color="auto" w:fill="FFFFFF"/>
        </w:rPr>
        <w:t xml:space="preserve"> </w:t>
      </w:r>
      <w:r w:rsidRPr="00F153C3">
        <w:rPr>
          <w:rFonts w:cstheme="minorHAnsi"/>
          <w:color w:val="000000"/>
          <w:sz w:val="22"/>
          <w:szCs w:val="22"/>
          <w:shd w:val="clear" w:color="auto" w:fill="FFFFFF"/>
        </w:rPr>
        <w:t xml:space="preserve">CI; </w:t>
      </w:r>
      <w:r>
        <w:rPr>
          <w:rFonts w:cstheme="minorHAnsi"/>
          <w:color w:val="000000"/>
          <w:sz w:val="22"/>
          <w:szCs w:val="22"/>
          <w:shd w:val="clear" w:color="auto" w:fill="FFFFFF"/>
        </w:rPr>
        <w:t xml:space="preserve">and </w:t>
      </w:r>
      <w:r w:rsidRPr="00F153C3">
        <w:rPr>
          <w:rFonts w:cstheme="minorHAnsi"/>
          <w:color w:val="000000"/>
          <w:sz w:val="22"/>
          <w:szCs w:val="22"/>
          <w:shd w:val="clear" w:color="auto" w:fill="FFFFFF"/>
        </w:rPr>
        <w:t>(</w:t>
      </w:r>
      <w:r>
        <w:rPr>
          <w:rFonts w:cstheme="minorHAnsi"/>
          <w:color w:val="000000"/>
          <w:sz w:val="22"/>
          <w:szCs w:val="22"/>
          <w:shd w:val="clear" w:color="auto" w:fill="FFFFFF"/>
        </w:rPr>
        <w:t>iv</w:t>
      </w:r>
      <w:r w:rsidRPr="00F153C3">
        <w:rPr>
          <w:rFonts w:cstheme="minorHAnsi"/>
          <w:color w:val="000000"/>
          <w:sz w:val="22"/>
          <w:szCs w:val="22"/>
          <w:shd w:val="clear" w:color="auto" w:fill="FFFFFF"/>
        </w:rPr>
        <w:t>) studies were full text</w:t>
      </w:r>
      <w:r w:rsidR="00FF7121">
        <w:rPr>
          <w:rFonts w:cstheme="minorHAnsi"/>
          <w:color w:val="000000"/>
          <w:sz w:val="22"/>
          <w:szCs w:val="22"/>
          <w:shd w:val="clear" w:color="auto" w:fill="FFFFFF"/>
        </w:rPr>
        <w:t xml:space="preserve"> </w:t>
      </w:r>
      <w:r w:rsidR="00FF7121">
        <w:rPr>
          <w:rFonts w:cstheme="minorHAnsi"/>
          <w:b/>
          <w:color w:val="000000"/>
          <w:sz w:val="22"/>
          <w:szCs w:val="22"/>
          <w:shd w:val="clear" w:color="auto" w:fill="FFFFFF"/>
        </w:rPr>
        <w:t>or conference abstract</w:t>
      </w:r>
      <w:r w:rsidRPr="00F153C3">
        <w:rPr>
          <w:rFonts w:cstheme="minorHAnsi"/>
          <w:color w:val="000000"/>
          <w:sz w:val="22"/>
          <w:szCs w:val="22"/>
          <w:shd w:val="clear" w:color="auto" w:fill="FFFFFF"/>
        </w:rPr>
        <w:t xml:space="preserve">. </w:t>
      </w:r>
      <w:r>
        <w:rPr>
          <w:rFonts w:cstheme="minorHAnsi"/>
          <w:color w:val="000000"/>
          <w:sz w:val="22"/>
          <w:szCs w:val="22"/>
          <w:shd w:val="clear" w:color="auto" w:fill="FFFFFF"/>
        </w:rPr>
        <w:t xml:space="preserve"> Studies were excluded based on the following criteria: (</w:t>
      </w:r>
      <w:proofErr w:type="spellStart"/>
      <w:r>
        <w:rPr>
          <w:rFonts w:cstheme="minorHAnsi"/>
          <w:color w:val="000000"/>
          <w:sz w:val="22"/>
          <w:szCs w:val="22"/>
          <w:shd w:val="clear" w:color="auto" w:fill="FFFFFF"/>
        </w:rPr>
        <w:t>i</w:t>
      </w:r>
      <w:proofErr w:type="spellEnd"/>
      <w:r>
        <w:rPr>
          <w:rFonts w:cstheme="minorHAnsi"/>
          <w:color w:val="000000"/>
          <w:sz w:val="22"/>
          <w:szCs w:val="22"/>
          <w:shd w:val="clear" w:color="auto" w:fill="FFFFFF"/>
        </w:rPr>
        <w:t xml:space="preserve">) </w:t>
      </w:r>
      <w:r w:rsidRPr="00F153C3">
        <w:rPr>
          <w:rFonts w:cstheme="minorHAnsi"/>
          <w:color w:val="000000"/>
          <w:sz w:val="22"/>
          <w:szCs w:val="22"/>
          <w:shd w:val="clear" w:color="auto" w:fill="FFFFFF"/>
        </w:rPr>
        <w:t xml:space="preserve">case reports, reviews, letters, and comments; </w:t>
      </w:r>
      <w:r>
        <w:rPr>
          <w:rFonts w:cstheme="minorHAnsi"/>
          <w:color w:val="000000"/>
          <w:sz w:val="22"/>
          <w:szCs w:val="22"/>
          <w:shd w:val="clear" w:color="auto" w:fill="FFFFFF"/>
        </w:rPr>
        <w:t>(ii) i</w:t>
      </w:r>
      <w:r w:rsidRPr="00F153C3">
        <w:rPr>
          <w:rFonts w:cstheme="minorHAnsi"/>
          <w:color w:val="000000"/>
          <w:sz w:val="22"/>
          <w:szCs w:val="22"/>
          <w:shd w:val="clear" w:color="auto" w:fill="FFFFFF"/>
        </w:rPr>
        <w:t>nclusion of patients undergoing liver transplantation</w:t>
      </w:r>
      <w:r>
        <w:rPr>
          <w:rFonts w:cstheme="minorHAnsi"/>
          <w:color w:val="000000"/>
          <w:sz w:val="22"/>
          <w:szCs w:val="22"/>
          <w:shd w:val="clear" w:color="auto" w:fill="FFFFFF"/>
        </w:rPr>
        <w:t xml:space="preserve">; (iii) </w:t>
      </w:r>
      <w:r w:rsidRPr="00675527">
        <w:rPr>
          <w:rFonts w:cstheme="minorHAnsi"/>
          <w:color w:val="000000"/>
          <w:sz w:val="22"/>
          <w:szCs w:val="22"/>
          <w:shd w:val="clear" w:color="auto" w:fill="FFFFFF"/>
        </w:rPr>
        <w:t>studies without sufficient data to calculate HR with 95%</w:t>
      </w:r>
      <w:r>
        <w:rPr>
          <w:rFonts w:cstheme="minorHAnsi"/>
          <w:color w:val="000000"/>
          <w:sz w:val="22"/>
          <w:szCs w:val="22"/>
          <w:shd w:val="clear" w:color="auto" w:fill="FFFFFF"/>
        </w:rPr>
        <w:t xml:space="preserve"> </w:t>
      </w:r>
      <w:r w:rsidRPr="00675527">
        <w:rPr>
          <w:rFonts w:cstheme="minorHAnsi"/>
          <w:color w:val="000000"/>
          <w:sz w:val="22"/>
          <w:szCs w:val="22"/>
          <w:shd w:val="clear" w:color="auto" w:fill="FFFFFF"/>
        </w:rPr>
        <w:t>CI</w:t>
      </w:r>
      <w:r>
        <w:rPr>
          <w:rFonts w:cstheme="minorHAnsi"/>
          <w:color w:val="000000"/>
          <w:sz w:val="22"/>
          <w:szCs w:val="22"/>
          <w:shd w:val="clear" w:color="auto" w:fill="FFFFFF"/>
        </w:rPr>
        <w:t>; and (iv) studies where we were unable to obtain missing data after contacting the</w:t>
      </w:r>
      <w:r w:rsidRPr="00F153C3">
        <w:rPr>
          <w:rFonts w:cstheme="minorHAnsi"/>
          <w:color w:val="000000"/>
          <w:sz w:val="22"/>
          <w:szCs w:val="22"/>
          <w:shd w:val="clear" w:color="auto" w:fill="FFFFFF"/>
        </w:rPr>
        <w:t xml:space="preserve"> corresponding author</w:t>
      </w:r>
      <w:r>
        <w:rPr>
          <w:rFonts w:cstheme="minorHAnsi"/>
          <w:color w:val="000000"/>
          <w:sz w:val="22"/>
          <w:szCs w:val="22"/>
          <w:shd w:val="clear" w:color="auto" w:fill="FFFFFF"/>
        </w:rPr>
        <w:t>(</w:t>
      </w:r>
      <w:r w:rsidRPr="00F153C3">
        <w:rPr>
          <w:rFonts w:cstheme="minorHAnsi"/>
          <w:color w:val="000000"/>
          <w:sz w:val="22"/>
          <w:szCs w:val="22"/>
          <w:shd w:val="clear" w:color="auto" w:fill="FFFFFF"/>
        </w:rPr>
        <w:t>s</w:t>
      </w:r>
      <w:r>
        <w:rPr>
          <w:rFonts w:cstheme="minorHAnsi"/>
          <w:color w:val="000000"/>
          <w:sz w:val="22"/>
          <w:szCs w:val="22"/>
          <w:shd w:val="clear" w:color="auto" w:fill="FFFFFF"/>
        </w:rPr>
        <w:t xml:space="preserve">).  </w:t>
      </w:r>
      <w:r w:rsidRPr="00675527">
        <w:rPr>
          <w:sz w:val="22"/>
          <w:szCs w:val="22"/>
        </w:rPr>
        <w:t>Studies were included or excluded following consensus between two authors (</w:t>
      </w:r>
      <w:r>
        <w:rPr>
          <w:sz w:val="22"/>
          <w:szCs w:val="22"/>
        </w:rPr>
        <w:t>GM</w:t>
      </w:r>
      <w:r w:rsidRPr="00675527">
        <w:rPr>
          <w:sz w:val="22"/>
          <w:szCs w:val="22"/>
        </w:rPr>
        <w:t xml:space="preserve"> and </w:t>
      </w:r>
      <w:r>
        <w:rPr>
          <w:sz w:val="22"/>
          <w:szCs w:val="22"/>
        </w:rPr>
        <w:t>AM</w:t>
      </w:r>
      <w:r w:rsidRPr="00675527">
        <w:rPr>
          <w:sz w:val="22"/>
          <w:szCs w:val="22"/>
        </w:rPr>
        <w:t>).</w:t>
      </w:r>
      <w:r>
        <w:rPr>
          <w:sz w:val="22"/>
          <w:szCs w:val="22"/>
        </w:rPr>
        <w:t xml:space="preserve"> </w:t>
      </w:r>
    </w:p>
    <w:p w:rsidR="00786F9B" w:rsidRPr="00F153C3" w:rsidRDefault="00786F9B" w:rsidP="00786F9B">
      <w:pPr>
        <w:spacing w:line="360" w:lineRule="auto"/>
        <w:ind w:left="720"/>
        <w:rPr>
          <w:rFonts w:cstheme="minorHAnsi"/>
          <w:sz w:val="22"/>
          <w:szCs w:val="22"/>
        </w:rPr>
      </w:pPr>
    </w:p>
    <w:p w:rsidR="00786F9B" w:rsidRPr="00F153C3" w:rsidRDefault="00786F9B" w:rsidP="00786F9B">
      <w:pPr>
        <w:spacing w:line="360" w:lineRule="auto"/>
        <w:rPr>
          <w:rFonts w:cstheme="minorHAnsi"/>
          <w:b/>
          <w:bCs/>
          <w:sz w:val="22"/>
          <w:szCs w:val="22"/>
        </w:rPr>
      </w:pPr>
      <w:r w:rsidRPr="00F153C3">
        <w:rPr>
          <w:rFonts w:cstheme="minorHAnsi"/>
          <w:b/>
          <w:bCs/>
          <w:sz w:val="22"/>
          <w:szCs w:val="22"/>
        </w:rPr>
        <w:t>Data extraction</w:t>
      </w:r>
    </w:p>
    <w:p w:rsidR="00786F9B" w:rsidRPr="00F153C3" w:rsidRDefault="00786F9B" w:rsidP="00786F9B">
      <w:pPr>
        <w:spacing w:line="360" w:lineRule="auto"/>
        <w:jc w:val="both"/>
        <w:rPr>
          <w:rFonts w:cstheme="minorHAnsi"/>
          <w:sz w:val="22"/>
          <w:szCs w:val="22"/>
        </w:rPr>
      </w:pPr>
      <w:r w:rsidRPr="00F153C3">
        <w:rPr>
          <w:rFonts w:cstheme="minorHAnsi"/>
          <w:color w:val="000000"/>
          <w:sz w:val="22"/>
          <w:szCs w:val="22"/>
          <w:shd w:val="clear" w:color="auto" w:fill="FFFFFF"/>
        </w:rPr>
        <w:t xml:space="preserve">All the studies were systematically screened </w:t>
      </w:r>
      <w:r>
        <w:rPr>
          <w:rFonts w:cstheme="minorHAnsi"/>
          <w:color w:val="000000"/>
          <w:sz w:val="22"/>
          <w:szCs w:val="22"/>
          <w:shd w:val="clear" w:color="auto" w:fill="FFFFFF"/>
        </w:rPr>
        <w:t xml:space="preserve">and </w:t>
      </w:r>
      <w:r w:rsidRPr="00F153C3">
        <w:rPr>
          <w:rFonts w:cstheme="minorHAnsi"/>
          <w:color w:val="000000"/>
          <w:sz w:val="22"/>
          <w:szCs w:val="22"/>
          <w:shd w:val="clear" w:color="auto" w:fill="FFFFFF"/>
        </w:rPr>
        <w:t>reviewed by two independent researchers</w:t>
      </w:r>
      <w:r>
        <w:rPr>
          <w:rFonts w:cstheme="minorHAnsi"/>
          <w:color w:val="000000"/>
          <w:sz w:val="22"/>
          <w:szCs w:val="22"/>
          <w:shd w:val="clear" w:color="auto" w:fill="FFFFFF"/>
        </w:rPr>
        <w:t xml:space="preserve"> (GM, AM)</w:t>
      </w:r>
      <w:r w:rsidRPr="00F153C3">
        <w:rPr>
          <w:rFonts w:cstheme="minorHAnsi"/>
          <w:color w:val="000000"/>
          <w:sz w:val="22"/>
          <w:szCs w:val="22"/>
          <w:shd w:val="clear" w:color="auto" w:fill="FFFFFF"/>
        </w:rPr>
        <w:t>. Data extraction included</w:t>
      </w:r>
      <w:r>
        <w:rPr>
          <w:rFonts w:cstheme="minorHAnsi"/>
          <w:color w:val="000000"/>
          <w:sz w:val="22"/>
          <w:szCs w:val="22"/>
          <w:shd w:val="clear" w:color="auto" w:fill="FFFFFF"/>
        </w:rPr>
        <w:t>,</w:t>
      </w:r>
      <w:r w:rsidRPr="00F153C3">
        <w:rPr>
          <w:rFonts w:cstheme="minorHAnsi"/>
          <w:color w:val="000000"/>
          <w:sz w:val="22"/>
          <w:szCs w:val="22"/>
          <w:shd w:val="clear" w:color="auto" w:fill="FFFFFF"/>
        </w:rPr>
        <w:t xml:space="preserve"> study ID (first author's name and publication year), country, sample size, cancer stage, treatment method, survival outcome, analysis model, data source, and follow-up period. Any incongruenc</w:t>
      </w:r>
      <w:r>
        <w:rPr>
          <w:rFonts w:cstheme="minorHAnsi"/>
          <w:color w:val="000000"/>
          <w:sz w:val="22"/>
          <w:szCs w:val="22"/>
          <w:shd w:val="clear" w:color="auto" w:fill="FFFFFF"/>
        </w:rPr>
        <w:t>e</w:t>
      </w:r>
      <w:r w:rsidRPr="00F153C3">
        <w:rPr>
          <w:rFonts w:cstheme="minorHAnsi"/>
          <w:color w:val="000000"/>
          <w:sz w:val="22"/>
          <w:szCs w:val="22"/>
          <w:shd w:val="clear" w:color="auto" w:fill="FFFFFF"/>
        </w:rPr>
        <w:t xml:space="preserve"> in data extraction encountered between reviewers w</w:t>
      </w:r>
      <w:r>
        <w:rPr>
          <w:rFonts w:cstheme="minorHAnsi"/>
          <w:color w:val="000000"/>
          <w:sz w:val="22"/>
          <w:szCs w:val="22"/>
          <w:shd w:val="clear" w:color="auto" w:fill="FFFFFF"/>
        </w:rPr>
        <w:t>as</w:t>
      </w:r>
      <w:r w:rsidRPr="00F153C3">
        <w:rPr>
          <w:rFonts w:cstheme="minorHAnsi"/>
          <w:color w:val="000000"/>
          <w:sz w:val="22"/>
          <w:szCs w:val="22"/>
          <w:shd w:val="clear" w:color="auto" w:fill="FFFFFF"/>
        </w:rPr>
        <w:t xml:space="preserve"> resolved by a third investigator through discussion. </w:t>
      </w:r>
    </w:p>
    <w:p w:rsidR="00786F9B" w:rsidRDefault="00786F9B" w:rsidP="00786F9B">
      <w:pPr>
        <w:pStyle w:val="ListParagraph"/>
        <w:spacing w:line="360" w:lineRule="auto"/>
        <w:rPr>
          <w:rFonts w:cstheme="minorHAnsi"/>
          <w:sz w:val="22"/>
          <w:szCs w:val="22"/>
        </w:rPr>
      </w:pPr>
    </w:p>
    <w:p w:rsidR="00786F9B" w:rsidRDefault="00786F9B" w:rsidP="00786F9B">
      <w:pPr>
        <w:spacing w:line="360" w:lineRule="auto"/>
        <w:rPr>
          <w:rFonts w:cstheme="minorHAnsi"/>
          <w:b/>
          <w:bCs/>
          <w:sz w:val="22"/>
          <w:szCs w:val="22"/>
        </w:rPr>
      </w:pPr>
      <w:r w:rsidRPr="00F153C3">
        <w:rPr>
          <w:rFonts w:cstheme="minorHAnsi"/>
          <w:b/>
          <w:bCs/>
          <w:sz w:val="22"/>
          <w:szCs w:val="22"/>
        </w:rPr>
        <w:t>Statistical analysis</w:t>
      </w:r>
    </w:p>
    <w:p w:rsidR="00786F9B" w:rsidRPr="00F153C3" w:rsidRDefault="00786F9B" w:rsidP="00786F9B">
      <w:pPr>
        <w:spacing w:line="360" w:lineRule="auto"/>
        <w:jc w:val="both"/>
        <w:rPr>
          <w:rFonts w:cstheme="minorHAnsi"/>
          <w:sz w:val="22"/>
          <w:szCs w:val="22"/>
        </w:rPr>
      </w:pPr>
      <w:r w:rsidRPr="00F153C3">
        <w:rPr>
          <w:rFonts w:cstheme="minorHAnsi"/>
          <w:color w:val="000000"/>
          <w:sz w:val="22"/>
          <w:szCs w:val="22"/>
        </w:rPr>
        <w:t xml:space="preserve">The ALBI score was calculated as </w:t>
      </w:r>
      <w:r>
        <w:rPr>
          <w:rFonts w:cstheme="minorHAnsi"/>
          <w:color w:val="000000"/>
          <w:sz w:val="22"/>
          <w:szCs w:val="22"/>
        </w:rPr>
        <w:t>a linear predictor = (</w:t>
      </w:r>
      <w:r w:rsidRPr="00F153C3">
        <w:rPr>
          <w:rFonts w:cstheme="minorHAnsi"/>
          <w:color w:val="000000"/>
          <w:sz w:val="22"/>
          <w:szCs w:val="22"/>
        </w:rPr>
        <w:t>log</w:t>
      </w:r>
      <w:r w:rsidRPr="00F153C3">
        <w:rPr>
          <w:rFonts w:cstheme="minorHAnsi"/>
          <w:color w:val="000000"/>
          <w:sz w:val="22"/>
          <w:szCs w:val="22"/>
          <w:vertAlign w:val="subscript"/>
        </w:rPr>
        <w:t>10</w:t>
      </w:r>
      <w:r w:rsidRPr="00F153C3">
        <w:rPr>
          <w:rFonts w:cstheme="minorHAnsi"/>
          <w:color w:val="000000"/>
          <w:sz w:val="22"/>
          <w:szCs w:val="22"/>
        </w:rPr>
        <w:t> bilirubin</w:t>
      </w:r>
      <w:r>
        <w:rPr>
          <w:rFonts w:cstheme="minorHAnsi"/>
          <w:color w:val="000000"/>
          <w:sz w:val="22"/>
          <w:szCs w:val="22"/>
        </w:rPr>
        <w:t xml:space="preserve"> </w:t>
      </w:r>
      <w:r>
        <w:rPr>
          <w:rFonts w:ascii="micro" w:hAnsi="micro" w:cstheme="minorHAnsi"/>
          <w:color w:val="000000"/>
          <w:sz w:val="22"/>
          <w:szCs w:val="22"/>
        </w:rPr>
        <w:t>µ</w:t>
      </w:r>
      <w:r>
        <w:rPr>
          <w:rFonts w:cstheme="minorHAnsi"/>
          <w:color w:val="000000"/>
          <w:sz w:val="22"/>
          <w:szCs w:val="22"/>
        </w:rPr>
        <w:t>mol/L</w:t>
      </w:r>
      <w:r>
        <w:rPr>
          <w:rFonts w:ascii="Cambria Math" w:hAnsi="Cambria Math" w:cs="Cambria Math"/>
          <w:color w:val="000000"/>
          <w:sz w:val="22"/>
          <w:szCs w:val="22"/>
        </w:rPr>
        <w:t xml:space="preserve"> x </w:t>
      </w:r>
      <w:r w:rsidRPr="00F153C3">
        <w:rPr>
          <w:rFonts w:cstheme="minorHAnsi"/>
          <w:color w:val="000000"/>
          <w:sz w:val="22"/>
          <w:szCs w:val="22"/>
        </w:rPr>
        <w:t>0.66</w:t>
      </w:r>
      <w:r>
        <w:rPr>
          <w:rFonts w:cstheme="minorHAnsi"/>
          <w:color w:val="000000"/>
          <w:sz w:val="22"/>
          <w:szCs w:val="22"/>
        </w:rPr>
        <w:t>)</w:t>
      </w:r>
      <w:r w:rsidRPr="00F153C3">
        <w:rPr>
          <w:rFonts w:cstheme="minorHAnsi"/>
          <w:color w:val="000000"/>
          <w:sz w:val="22"/>
          <w:szCs w:val="22"/>
        </w:rPr>
        <w:t> </w:t>
      </w:r>
      <w:r>
        <w:rPr>
          <w:rFonts w:cstheme="minorHAnsi"/>
          <w:color w:val="000000"/>
          <w:sz w:val="22"/>
          <w:szCs w:val="22"/>
        </w:rPr>
        <w:t xml:space="preserve"> </w:t>
      </w:r>
      <w:r w:rsidRPr="00F153C3">
        <w:rPr>
          <w:rFonts w:cstheme="minorHAnsi"/>
          <w:color w:val="000000"/>
          <w:sz w:val="22"/>
          <w:szCs w:val="22"/>
        </w:rPr>
        <w:t>+</w:t>
      </w:r>
      <w:r>
        <w:rPr>
          <w:rFonts w:cstheme="minorHAnsi"/>
          <w:color w:val="000000"/>
          <w:sz w:val="22"/>
          <w:szCs w:val="22"/>
        </w:rPr>
        <w:t xml:space="preserve"> </w:t>
      </w:r>
      <w:r w:rsidRPr="00F153C3">
        <w:rPr>
          <w:rFonts w:cstheme="minorHAnsi"/>
          <w:color w:val="000000"/>
          <w:sz w:val="22"/>
          <w:szCs w:val="22"/>
        </w:rPr>
        <w:t> </w:t>
      </w:r>
      <w:r>
        <w:rPr>
          <w:rFonts w:cstheme="minorHAnsi"/>
          <w:color w:val="000000"/>
          <w:sz w:val="22"/>
          <w:szCs w:val="22"/>
        </w:rPr>
        <w:t>(</w:t>
      </w:r>
      <w:r w:rsidRPr="00F153C3">
        <w:rPr>
          <w:rFonts w:cstheme="minorHAnsi"/>
          <w:color w:val="000000"/>
          <w:sz w:val="22"/>
          <w:szCs w:val="22"/>
        </w:rPr>
        <w:t>albumin</w:t>
      </w:r>
      <w:r>
        <w:rPr>
          <w:rFonts w:cstheme="minorHAnsi"/>
          <w:color w:val="000000"/>
          <w:sz w:val="22"/>
          <w:szCs w:val="22"/>
        </w:rPr>
        <w:t xml:space="preserve"> g/L</w:t>
      </w:r>
      <w:r>
        <w:rPr>
          <w:rFonts w:ascii="Cambria Math" w:hAnsi="Cambria Math" w:cs="Cambria Math"/>
          <w:color w:val="000000"/>
          <w:sz w:val="22"/>
          <w:szCs w:val="22"/>
        </w:rPr>
        <w:t xml:space="preserve"> x -</w:t>
      </w:r>
      <w:r w:rsidRPr="00F153C3">
        <w:rPr>
          <w:rFonts w:cstheme="minorHAnsi"/>
          <w:color w:val="000000"/>
          <w:sz w:val="22"/>
          <w:szCs w:val="22"/>
        </w:rPr>
        <w:t>0.085</w:t>
      </w:r>
      <w:r>
        <w:rPr>
          <w:rFonts w:cstheme="minorHAnsi"/>
          <w:color w:val="000000"/>
          <w:sz w:val="22"/>
          <w:szCs w:val="22"/>
        </w:rPr>
        <w:t>)</w:t>
      </w:r>
      <w:r w:rsidRPr="00F153C3">
        <w:rPr>
          <w:rFonts w:cstheme="minorHAnsi"/>
          <w:color w:val="000000"/>
          <w:sz w:val="22"/>
          <w:szCs w:val="22"/>
        </w:rPr>
        <w:t xml:space="preserve"> and stratified as follows: grade 1: </w:t>
      </w:r>
      <m:oMath>
        <m:r>
          <w:rPr>
            <w:rFonts w:ascii="Cambria Math" w:hAnsi="Cambria Math" w:cstheme="minorHAnsi"/>
            <w:color w:val="000000"/>
            <w:sz w:val="22"/>
            <w:szCs w:val="22"/>
          </w:rPr>
          <m:t>≤</m:t>
        </m:r>
      </m:oMath>
      <w:r w:rsidRPr="00F153C3">
        <w:rPr>
          <w:rFonts w:cstheme="minorHAnsi"/>
          <w:color w:val="000000"/>
          <w:sz w:val="22"/>
          <w:szCs w:val="22"/>
        </w:rPr>
        <w:t>−2.60;</w:t>
      </w:r>
      <w:r>
        <w:rPr>
          <w:rFonts w:cstheme="minorHAnsi"/>
          <w:color w:val="000000"/>
          <w:sz w:val="22"/>
          <w:szCs w:val="22"/>
        </w:rPr>
        <w:t xml:space="preserve"> </w:t>
      </w:r>
      <w:r w:rsidRPr="00F153C3">
        <w:rPr>
          <w:rFonts w:cstheme="minorHAnsi"/>
          <w:color w:val="000000"/>
          <w:sz w:val="22"/>
          <w:szCs w:val="22"/>
        </w:rPr>
        <w:t xml:space="preserve">grade 2: </w:t>
      </w:r>
      <w:r>
        <w:rPr>
          <w:rFonts w:cstheme="minorHAnsi"/>
          <w:color w:val="000000"/>
          <w:sz w:val="22"/>
          <w:szCs w:val="22"/>
        </w:rPr>
        <w:t xml:space="preserve">&gt; </w:t>
      </w:r>
      <w:r w:rsidRPr="00F153C3">
        <w:rPr>
          <w:rFonts w:cstheme="minorHAnsi"/>
          <w:color w:val="000000"/>
          <w:sz w:val="22"/>
          <w:szCs w:val="22"/>
        </w:rPr>
        <w:t>−2.60 to</w:t>
      </w:r>
      <w:r>
        <w:rPr>
          <w:rFonts w:cstheme="minorHAnsi"/>
          <w:color w:val="000000"/>
          <w:sz w:val="22"/>
          <w:szCs w:val="22"/>
        </w:rPr>
        <w:t xml:space="preserve"> </w:t>
      </w:r>
      <m:oMath>
        <m:r>
          <w:rPr>
            <w:rFonts w:ascii="Cambria Math" w:hAnsi="Cambria Math" w:cstheme="minorHAnsi"/>
            <w:color w:val="000000"/>
            <w:sz w:val="22"/>
            <w:szCs w:val="22"/>
          </w:rPr>
          <m:t>≤</m:t>
        </m:r>
      </m:oMath>
      <w:r w:rsidRPr="00F153C3">
        <w:rPr>
          <w:rFonts w:cstheme="minorHAnsi"/>
          <w:color w:val="000000"/>
          <w:sz w:val="22"/>
          <w:szCs w:val="22"/>
        </w:rPr>
        <w:t xml:space="preserve"> −1.39; and grade 3: &gt;</w:t>
      </w:r>
      <w:r>
        <w:rPr>
          <w:rFonts w:cstheme="minorHAnsi"/>
          <w:color w:val="000000"/>
          <w:sz w:val="22"/>
          <w:szCs w:val="22"/>
        </w:rPr>
        <w:t xml:space="preserve"> </w:t>
      </w:r>
      <w:r w:rsidRPr="00F153C3">
        <w:rPr>
          <w:rFonts w:cstheme="minorHAnsi"/>
          <w:color w:val="000000"/>
          <w:sz w:val="22"/>
          <w:szCs w:val="22"/>
        </w:rPr>
        <w:t>−1.39</w:t>
      </w:r>
      <w:r>
        <w:rPr>
          <w:rFonts w:cstheme="minorHAnsi"/>
          <w:color w:val="000000"/>
          <w:sz w:val="22"/>
          <w:szCs w:val="22"/>
        </w:rPr>
        <w:t xml:space="preserve"> [27]. Pooled </w:t>
      </w:r>
      <w:r w:rsidRPr="00F153C3">
        <w:rPr>
          <w:rFonts w:cstheme="minorHAnsi"/>
          <w:color w:val="000000"/>
          <w:sz w:val="22"/>
          <w:szCs w:val="22"/>
        </w:rPr>
        <w:t>HRs with their corresponding 95%</w:t>
      </w:r>
      <w:r>
        <w:rPr>
          <w:rFonts w:cstheme="minorHAnsi"/>
          <w:color w:val="000000"/>
          <w:sz w:val="22"/>
          <w:szCs w:val="22"/>
        </w:rPr>
        <w:t xml:space="preserve"> </w:t>
      </w:r>
      <w:r w:rsidRPr="00F153C3">
        <w:rPr>
          <w:rFonts w:cstheme="minorHAnsi"/>
          <w:color w:val="000000"/>
          <w:sz w:val="22"/>
          <w:szCs w:val="22"/>
        </w:rPr>
        <w:t xml:space="preserve">CI were </w:t>
      </w:r>
      <w:r>
        <w:rPr>
          <w:rFonts w:cstheme="minorHAnsi"/>
          <w:color w:val="000000"/>
          <w:sz w:val="22"/>
          <w:szCs w:val="22"/>
        </w:rPr>
        <w:t>calculated for each ALBI grade</w:t>
      </w:r>
      <w:r w:rsidRPr="00F153C3">
        <w:rPr>
          <w:rFonts w:cstheme="minorHAnsi"/>
          <w:color w:val="000000"/>
          <w:sz w:val="22"/>
          <w:szCs w:val="22"/>
        </w:rPr>
        <w:t xml:space="preserve"> to assess the prognostic value of ALBI on OS in patients with HCC treated with TACE. </w:t>
      </w:r>
      <w:r>
        <w:rPr>
          <w:rFonts w:cstheme="minorHAnsi"/>
          <w:sz w:val="22"/>
          <w:szCs w:val="22"/>
        </w:rPr>
        <w:t xml:space="preserve"> </w:t>
      </w:r>
      <w:r>
        <w:rPr>
          <w:rFonts w:cstheme="minorHAnsi"/>
          <w:color w:val="000000"/>
          <w:sz w:val="22"/>
          <w:szCs w:val="22"/>
        </w:rPr>
        <w:t>A</w:t>
      </w:r>
      <w:r w:rsidRPr="00F153C3">
        <w:rPr>
          <w:rFonts w:cstheme="minorHAnsi"/>
          <w:color w:val="000000"/>
          <w:sz w:val="22"/>
          <w:szCs w:val="22"/>
        </w:rPr>
        <w:t xml:space="preserve"> high ALBI was closely associated with poor survival outcome when </w:t>
      </w:r>
      <w:r>
        <w:rPr>
          <w:rFonts w:cstheme="minorHAnsi"/>
          <w:color w:val="000000"/>
          <w:sz w:val="22"/>
          <w:szCs w:val="22"/>
        </w:rPr>
        <w:t xml:space="preserve">the </w:t>
      </w:r>
      <w:r w:rsidRPr="00F153C3">
        <w:rPr>
          <w:rFonts w:cstheme="minorHAnsi"/>
          <w:color w:val="000000"/>
          <w:sz w:val="22"/>
          <w:szCs w:val="22"/>
        </w:rPr>
        <w:t>HR </w:t>
      </w:r>
      <w:r>
        <w:rPr>
          <w:rFonts w:cstheme="minorHAnsi"/>
          <w:color w:val="000000"/>
          <w:sz w:val="22"/>
          <w:szCs w:val="22"/>
        </w:rPr>
        <w:t xml:space="preserve">was </w:t>
      </w:r>
      <w:r w:rsidRPr="00F153C3">
        <w:rPr>
          <w:rFonts w:cstheme="minorHAnsi"/>
          <w:color w:val="000000"/>
          <w:sz w:val="22"/>
          <w:szCs w:val="22"/>
        </w:rPr>
        <w:t>&gt; 1</w:t>
      </w:r>
      <w:r>
        <w:rPr>
          <w:rFonts w:cstheme="minorHAnsi"/>
          <w:color w:val="000000"/>
          <w:sz w:val="22"/>
          <w:szCs w:val="22"/>
        </w:rPr>
        <w:t xml:space="preserve">. </w:t>
      </w:r>
      <w:r w:rsidRPr="00675527">
        <w:rPr>
          <w:rFonts w:cstheme="minorHAnsi"/>
          <w:sz w:val="22"/>
          <w:szCs w:val="22"/>
        </w:rPr>
        <w:t xml:space="preserve">We tested heterogeneity with Cochran’s Q statistic and </w:t>
      </w:r>
      <w:r w:rsidRPr="00F153C3">
        <w:rPr>
          <w:rFonts w:cstheme="minorHAnsi"/>
          <w:color w:val="000000"/>
          <w:sz w:val="22"/>
          <w:szCs w:val="22"/>
        </w:rPr>
        <w:t>Higgins </w:t>
      </w:r>
      <w:r w:rsidRPr="00F153C3">
        <w:rPr>
          <w:rStyle w:val="Emphasis"/>
          <w:rFonts w:cstheme="minorHAnsi"/>
          <w:color w:val="000000"/>
          <w:sz w:val="22"/>
          <w:szCs w:val="22"/>
        </w:rPr>
        <w:t>I</w:t>
      </w:r>
      <w:r w:rsidRPr="00F153C3">
        <w:rPr>
          <w:rFonts w:cstheme="minorHAnsi"/>
          <w:color w:val="000000"/>
          <w:sz w:val="22"/>
          <w:szCs w:val="22"/>
          <w:vertAlign w:val="superscript"/>
        </w:rPr>
        <w:t>2</w:t>
      </w:r>
      <w:r w:rsidRPr="00F153C3">
        <w:rPr>
          <w:rFonts w:cstheme="minorHAnsi"/>
          <w:color w:val="000000"/>
          <w:sz w:val="22"/>
          <w:szCs w:val="22"/>
        </w:rPr>
        <w:t> statistics</w:t>
      </w:r>
      <w:r w:rsidRPr="00FA411F">
        <w:rPr>
          <w:rFonts w:cstheme="minorHAnsi"/>
          <w:sz w:val="22"/>
          <w:szCs w:val="22"/>
        </w:rPr>
        <w:t xml:space="preserve"> </w:t>
      </w:r>
      <w:r w:rsidRPr="00675527">
        <w:rPr>
          <w:rFonts w:cstheme="minorHAnsi"/>
          <w:sz w:val="22"/>
          <w:szCs w:val="22"/>
        </w:rPr>
        <w:t xml:space="preserve">quantified the degree of heterogeneity using the </w:t>
      </w:r>
      <w:r w:rsidRPr="00F153C3">
        <w:rPr>
          <w:rStyle w:val="Emphasis"/>
          <w:rFonts w:cstheme="minorHAnsi"/>
          <w:color w:val="000000"/>
          <w:sz w:val="22"/>
          <w:szCs w:val="22"/>
        </w:rPr>
        <w:t>I</w:t>
      </w:r>
      <w:r w:rsidRPr="00F153C3">
        <w:rPr>
          <w:rFonts w:cstheme="minorHAnsi"/>
          <w:color w:val="000000"/>
          <w:sz w:val="22"/>
          <w:szCs w:val="22"/>
          <w:vertAlign w:val="superscript"/>
        </w:rPr>
        <w:t>2</w:t>
      </w:r>
      <w:r w:rsidRPr="00F153C3">
        <w:rPr>
          <w:rFonts w:cstheme="minorHAnsi"/>
          <w:color w:val="000000"/>
          <w:sz w:val="22"/>
          <w:szCs w:val="22"/>
        </w:rPr>
        <w:t> </w:t>
      </w:r>
      <w:r w:rsidRPr="00675527">
        <w:rPr>
          <w:rFonts w:cstheme="minorHAnsi"/>
          <w:sz w:val="22"/>
          <w:szCs w:val="22"/>
        </w:rPr>
        <w:t>statistic, which represents the percentage of the total variability across studies which is due to heterogeneit</w:t>
      </w:r>
      <w:r>
        <w:rPr>
          <w:rFonts w:cstheme="minorHAnsi"/>
          <w:sz w:val="22"/>
          <w:szCs w:val="22"/>
        </w:rPr>
        <w:t>y [41]</w:t>
      </w:r>
      <w:r w:rsidRPr="00675527">
        <w:rPr>
          <w:rFonts w:cstheme="minorHAnsi"/>
          <w:i/>
          <w:iCs/>
          <w:sz w:val="22"/>
          <w:szCs w:val="22"/>
        </w:rPr>
        <w:t>. I</w:t>
      </w:r>
      <w:r w:rsidRPr="00675527">
        <w:rPr>
          <w:rFonts w:cstheme="minorHAnsi"/>
          <w:i/>
          <w:iCs/>
          <w:sz w:val="22"/>
          <w:szCs w:val="22"/>
          <w:vertAlign w:val="superscript"/>
        </w:rPr>
        <w:t>2</w:t>
      </w:r>
      <w:r w:rsidRPr="00675527">
        <w:rPr>
          <w:rFonts w:cstheme="minorHAnsi"/>
          <w:sz w:val="22"/>
          <w:szCs w:val="22"/>
        </w:rPr>
        <w:t xml:space="preserve"> values of 25%, 50%, and 75% corresponded to low, moderate and high degrees of heterogeneity, respectivel</w:t>
      </w:r>
      <w:r>
        <w:rPr>
          <w:rFonts w:cstheme="minorHAnsi"/>
          <w:sz w:val="22"/>
          <w:szCs w:val="22"/>
        </w:rPr>
        <w:t>y [42]</w:t>
      </w:r>
      <w:r w:rsidRPr="00675527">
        <w:rPr>
          <w:rFonts w:cstheme="minorHAnsi"/>
          <w:sz w:val="22"/>
          <w:szCs w:val="22"/>
        </w:rPr>
        <w:t xml:space="preserve">. </w:t>
      </w:r>
      <w:r w:rsidRPr="00F153C3">
        <w:rPr>
          <w:rFonts w:cstheme="minorHAnsi"/>
          <w:color w:val="000000"/>
          <w:sz w:val="22"/>
          <w:szCs w:val="22"/>
        </w:rPr>
        <w:t>If there was no heterogeneity (&lt;50%, </w:t>
      </w:r>
      <w:r w:rsidRPr="00F153C3">
        <w:rPr>
          <w:rStyle w:val="Emphasis"/>
          <w:rFonts w:cstheme="minorHAnsi"/>
          <w:color w:val="000000"/>
          <w:sz w:val="22"/>
          <w:szCs w:val="22"/>
        </w:rPr>
        <w:t>P</w:t>
      </w:r>
      <w:r w:rsidRPr="00F153C3">
        <w:rPr>
          <w:rFonts w:cstheme="minorHAnsi"/>
          <w:color w:val="000000"/>
          <w:sz w:val="22"/>
          <w:szCs w:val="22"/>
        </w:rPr>
        <w:t xml:space="preserve"> &gt; .1), fixed-effect model would be used. Otherwise, the random-effect model was applied. </w:t>
      </w:r>
      <w:r w:rsidRPr="00675527">
        <w:rPr>
          <w:rFonts w:cstheme="minorHAnsi"/>
          <w:sz w:val="22"/>
          <w:szCs w:val="22"/>
        </w:rPr>
        <w:t>We quantified publication bias using the Egger’s regression mode</w:t>
      </w:r>
      <w:r>
        <w:rPr>
          <w:rFonts w:cstheme="minorHAnsi"/>
          <w:sz w:val="22"/>
          <w:szCs w:val="22"/>
        </w:rPr>
        <w:t>l [43]</w:t>
      </w:r>
      <w:r w:rsidRPr="00675527">
        <w:rPr>
          <w:rFonts w:cstheme="minorHAnsi"/>
          <w:sz w:val="22"/>
          <w:szCs w:val="22"/>
        </w:rPr>
        <w:t xml:space="preserve">. </w:t>
      </w:r>
      <w:r w:rsidRPr="00F153C3">
        <w:rPr>
          <w:rFonts w:cstheme="minorHAnsi"/>
          <w:color w:val="000000"/>
          <w:sz w:val="22"/>
          <w:szCs w:val="22"/>
        </w:rPr>
        <w:t>The result was defined as statistically significant if </w:t>
      </w:r>
      <w:r w:rsidRPr="00F153C3">
        <w:rPr>
          <w:rStyle w:val="Emphasis"/>
          <w:rFonts w:cstheme="minorHAnsi"/>
          <w:color w:val="000000"/>
          <w:sz w:val="22"/>
          <w:szCs w:val="22"/>
        </w:rPr>
        <w:t>P</w:t>
      </w:r>
      <w:r w:rsidRPr="00F153C3">
        <w:rPr>
          <w:rFonts w:cstheme="minorHAnsi"/>
          <w:color w:val="000000"/>
          <w:sz w:val="22"/>
          <w:szCs w:val="22"/>
        </w:rPr>
        <w:t xml:space="preserve"> &lt; .05. </w:t>
      </w:r>
      <w:r w:rsidRPr="00675527">
        <w:rPr>
          <w:rFonts w:cstheme="minorHAnsi"/>
          <w:sz w:val="22"/>
          <w:szCs w:val="22"/>
        </w:rPr>
        <w:t xml:space="preserve">All analyses were performed </w:t>
      </w:r>
      <w:r>
        <w:rPr>
          <w:rFonts w:cstheme="minorHAnsi"/>
          <w:sz w:val="22"/>
          <w:szCs w:val="22"/>
        </w:rPr>
        <w:t xml:space="preserve">using Comprehensive Meta-analysis, version 3.0, </w:t>
      </w:r>
      <w:proofErr w:type="spellStart"/>
      <w:r>
        <w:rPr>
          <w:rFonts w:cstheme="minorHAnsi"/>
          <w:sz w:val="22"/>
          <w:szCs w:val="22"/>
        </w:rPr>
        <w:t>Biostat</w:t>
      </w:r>
      <w:proofErr w:type="spellEnd"/>
      <w:r>
        <w:rPr>
          <w:rFonts w:cstheme="minorHAnsi"/>
          <w:sz w:val="22"/>
          <w:szCs w:val="22"/>
        </w:rPr>
        <w:t>, Englewood, NJ (2014)</w:t>
      </w:r>
      <w:r w:rsidRPr="00675527">
        <w:rPr>
          <w:rFonts w:cstheme="minorHAnsi"/>
          <w:sz w:val="22"/>
          <w:szCs w:val="22"/>
        </w:rPr>
        <w:t>.</w:t>
      </w:r>
      <w:r w:rsidRPr="00A115FB">
        <w:rPr>
          <w:rFonts w:cstheme="minorHAnsi"/>
          <w:color w:val="000000"/>
          <w:sz w:val="22"/>
          <w:szCs w:val="22"/>
        </w:rPr>
        <w:t xml:space="preserve"> </w:t>
      </w:r>
      <w:r w:rsidRPr="00F153C3">
        <w:rPr>
          <w:rFonts w:cstheme="minorHAnsi"/>
          <w:color w:val="000000"/>
          <w:sz w:val="22"/>
          <w:szCs w:val="22"/>
        </w:rPr>
        <w:t>This is a systematic review and meta-analysis, which does not need to be approved by the institutional review board or Ethics committee.</w:t>
      </w:r>
    </w:p>
    <w:p w:rsidR="00786F9B" w:rsidRDefault="00786F9B" w:rsidP="00786F9B">
      <w:pPr>
        <w:spacing w:line="360" w:lineRule="auto"/>
        <w:rPr>
          <w:rFonts w:cstheme="minorHAnsi"/>
          <w:b/>
          <w:bCs/>
          <w:sz w:val="22"/>
          <w:szCs w:val="22"/>
        </w:rPr>
      </w:pPr>
    </w:p>
    <w:p w:rsidR="00786F9B" w:rsidRDefault="00786F9B" w:rsidP="00786F9B">
      <w:pPr>
        <w:spacing w:line="360" w:lineRule="auto"/>
        <w:rPr>
          <w:rFonts w:cstheme="minorHAnsi"/>
          <w:b/>
          <w:bCs/>
          <w:sz w:val="22"/>
          <w:szCs w:val="22"/>
        </w:rPr>
      </w:pPr>
      <w:r>
        <w:rPr>
          <w:rFonts w:cstheme="minorHAnsi"/>
          <w:b/>
          <w:bCs/>
          <w:sz w:val="22"/>
          <w:szCs w:val="22"/>
        </w:rPr>
        <w:t>RESULTS</w:t>
      </w:r>
    </w:p>
    <w:p w:rsidR="00786F9B" w:rsidRPr="00F153C3" w:rsidRDefault="00786F9B" w:rsidP="00786F9B">
      <w:pPr>
        <w:spacing w:line="360" w:lineRule="auto"/>
        <w:rPr>
          <w:rFonts w:cstheme="minorHAnsi"/>
          <w:sz w:val="22"/>
          <w:szCs w:val="22"/>
        </w:rPr>
      </w:pPr>
    </w:p>
    <w:p w:rsidR="00786F9B" w:rsidRPr="00F153C3" w:rsidRDefault="00786F9B" w:rsidP="00786F9B">
      <w:pPr>
        <w:spacing w:line="360" w:lineRule="auto"/>
        <w:rPr>
          <w:rFonts w:cstheme="minorHAnsi"/>
          <w:sz w:val="22"/>
          <w:szCs w:val="22"/>
        </w:rPr>
      </w:pPr>
      <w:r>
        <w:rPr>
          <w:rFonts w:cstheme="minorHAnsi"/>
          <w:b/>
          <w:bCs/>
          <w:sz w:val="22"/>
          <w:szCs w:val="22"/>
        </w:rPr>
        <w:t>Literature s</w:t>
      </w:r>
      <w:r w:rsidRPr="00F153C3">
        <w:rPr>
          <w:rFonts w:cstheme="minorHAnsi"/>
          <w:b/>
          <w:bCs/>
          <w:sz w:val="22"/>
          <w:szCs w:val="22"/>
        </w:rPr>
        <w:t>earch</w:t>
      </w:r>
    </w:p>
    <w:p w:rsidR="00786F9B" w:rsidRDefault="00786F9B" w:rsidP="00786F9B">
      <w:pPr>
        <w:spacing w:line="360" w:lineRule="auto"/>
        <w:jc w:val="both"/>
        <w:rPr>
          <w:rFonts w:cstheme="minorHAnsi"/>
          <w:sz w:val="22"/>
          <w:szCs w:val="22"/>
        </w:rPr>
      </w:pPr>
      <w:r>
        <w:rPr>
          <w:rFonts w:cstheme="minorHAnsi"/>
          <w:sz w:val="22"/>
          <w:szCs w:val="22"/>
        </w:rPr>
        <w:t xml:space="preserve">Of the </w:t>
      </w:r>
      <w:r w:rsidRPr="00F153C3">
        <w:rPr>
          <w:rFonts w:cstheme="minorHAnsi"/>
          <w:sz w:val="22"/>
          <w:szCs w:val="22"/>
        </w:rPr>
        <w:t>30</w:t>
      </w:r>
      <w:r>
        <w:rPr>
          <w:rFonts w:cstheme="minorHAnsi"/>
          <w:sz w:val="22"/>
          <w:szCs w:val="22"/>
        </w:rPr>
        <w:t>9</w:t>
      </w:r>
      <w:r w:rsidRPr="00F153C3">
        <w:rPr>
          <w:rFonts w:cstheme="minorHAnsi"/>
          <w:sz w:val="22"/>
          <w:szCs w:val="22"/>
        </w:rPr>
        <w:t xml:space="preserve"> articles </w:t>
      </w:r>
      <w:r>
        <w:rPr>
          <w:rFonts w:cstheme="minorHAnsi"/>
          <w:sz w:val="22"/>
          <w:szCs w:val="22"/>
        </w:rPr>
        <w:t>initially identified related to ALBI grade, 33</w:t>
      </w:r>
      <w:r w:rsidRPr="00F153C3">
        <w:rPr>
          <w:rFonts w:cstheme="minorHAnsi"/>
          <w:sz w:val="22"/>
          <w:szCs w:val="22"/>
        </w:rPr>
        <w:t xml:space="preserve"> studies</w:t>
      </w:r>
      <w:r>
        <w:rPr>
          <w:rFonts w:cstheme="minorHAnsi"/>
          <w:sz w:val="22"/>
          <w:szCs w:val="22"/>
        </w:rPr>
        <w:t xml:space="preserve"> that i</w:t>
      </w:r>
      <w:r w:rsidRPr="00F153C3">
        <w:rPr>
          <w:rFonts w:cstheme="minorHAnsi"/>
          <w:sz w:val="22"/>
          <w:szCs w:val="22"/>
        </w:rPr>
        <w:t>ncluded both full text and conference abstrac</w:t>
      </w:r>
      <w:r>
        <w:rPr>
          <w:rFonts w:cstheme="minorHAnsi"/>
          <w:sz w:val="22"/>
          <w:szCs w:val="22"/>
        </w:rPr>
        <w:t>ts</w:t>
      </w:r>
      <w:r w:rsidRPr="00F153C3">
        <w:rPr>
          <w:rFonts w:cstheme="minorHAnsi"/>
          <w:sz w:val="22"/>
          <w:szCs w:val="22"/>
        </w:rPr>
        <w:t xml:space="preserve"> </w:t>
      </w:r>
      <w:r>
        <w:rPr>
          <w:rFonts w:cstheme="minorHAnsi"/>
          <w:sz w:val="22"/>
          <w:szCs w:val="22"/>
        </w:rPr>
        <w:t>were</w:t>
      </w:r>
      <w:r w:rsidRPr="00F153C3">
        <w:rPr>
          <w:rFonts w:cstheme="minorHAnsi"/>
          <w:sz w:val="22"/>
          <w:szCs w:val="22"/>
        </w:rPr>
        <w:t xml:space="preserve"> eligible for inclusion</w:t>
      </w:r>
      <w:r>
        <w:rPr>
          <w:rFonts w:cstheme="minorHAnsi"/>
          <w:sz w:val="22"/>
          <w:szCs w:val="22"/>
        </w:rPr>
        <w:t xml:space="preserve"> after exclusion of duplicates (n=106) and review of records and </w:t>
      </w:r>
      <w:r>
        <w:rPr>
          <w:rFonts w:cstheme="minorHAnsi"/>
          <w:sz w:val="22"/>
          <w:szCs w:val="22"/>
        </w:rPr>
        <w:lastRenderedPageBreak/>
        <w:t>removal of irrelevant articles (n=73).  Of these, 12 studies fulfilled all inclusion criteria after removal of those with overlapping cohorts (n=5) and those that did not include TACE as a treatment cohort (n=20) or have OS data available as either HR with 95%CI or Kaplan Meier curves.  In s</w:t>
      </w:r>
      <w:r w:rsidRPr="00F153C3">
        <w:rPr>
          <w:rFonts w:cstheme="minorHAnsi"/>
          <w:sz w:val="22"/>
          <w:szCs w:val="22"/>
        </w:rPr>
        <w:t xml:space="preserve">tudies that provided incomplete OS data as either HR with 95% CI </w:t>
      </w:r>
      <w:r>
        <w:rPr>
          <w:rFonts w:cstheme="minorHAnsi"/>
          <w:sz w:val="22"/>
          <w:szCs w:val="22"/>
        </w:rPr>
        <w:t>or</w:t>
      </w:r>
      <w:r w:rsidRPr="00F153C3">
        <w:rPr>
          <w:rFonts w:cstheme="minorHAnsi"/>
          <w:sz w:val="22"/>
          <w:szCs w:val="22"/>
        </w:rPr>
        <w:t xml:space="preserve"> Kaplan Meier curves </w:t>
      </w:r>
      <w:r>
        <w:rPr>
          <w:rFonts w:cstheme="minorHAnsi"/>
          <w:sz w:val="22"/>
          <w:szCs w:val="22"/>
        </w:rPr>
        <w:t>the</w:t>
      </w:r>
      <w:r w:rsidRPr="00F153C3">
        <w:rPr>
          <w:rFonts w:cstheme="minorHAnsi"/>
          <w:sz w:val="22"/>
          <w:szCs w:val="22"/>
        </w:rPr>
        <w:t xml:space="preserve"> corresponding author </w:t>
      </w:r>
      <w:r>
        <w:rPr>
          <w:rFonts w:cstheme="minorHAnsi"/>
          <w:sz w:val="22"/>
          <w:szCs w:val="22"/>
        </w:rPr>
        <w:t xml:space="preserve">was contacted </w:t>
      </w:r>
      <w:r w:rsidRPr="00F153C3">
        <w:rPr>
          <w:rFonts w:cstheme="minorHAnsi"/>
          <w:sz w:val="22"/>
          <w:szCs w:val="22"/>
        </w:rPr>
        <w:t>for further data including baseline demographic data stratified by ALBI grade.</w:t>
      </w:r>
      <w:r>
        <w:rPr>
          <w:rFonts w:cstheme="minorHAnsi"/>
          <w:sz w:val="22"/>
          <w:szCs w:val="22"/>
        </w:rPr>
        <w:t xml:space="preserve"> </w:t>
      </w:r>
      <w:r w:rsidRPr="00F153C3">
        <w:rPr>
          <w:rFonts w:cstheme="minorHAnsi"/>
          <w:sz w:val="22"/>
          <w:szCs w:val="22"/>
        </w:rPr>
        <w:t>Based on the data available from original studies and further data provided by study author correspondence a total of 8 studies were included for final analysis</w:t>
      </w:r>
      <w:r>
        <w:rPr>
          <w:rFonts w:cstheme="minorHAnsi"/>
          <w:sz w:val="22"/>
          <w:szCs w:val="22"/>
        </w:rPr>
        <w:t xml:space="preserve"> (see Figure 1)</w:t>
      </w:r>
      <w:r w:rsidRPr="00F153C3">
        <w:rPr>
          <w:rFonts w:cstheme="minorHAnsi"/>
          <w:sz w:val="22"/>
          <w:szCs w:val="22"/>
        </w:rPr>
        <w:t>.</w:t>
      </w:r>
    </w:p>
    <w:p w:rsidR="00786F9B" w:rsidRDefault="00786F9B" w:rsidP="00786F9B">
      <w:pPr>
        <w:spacing w:line="360" w:lineRule="auto"/>
        <w:rPr>
          <w:rFonts w:cstheme="minorHAnsi"/>
          <w:sz w:val="22"/>
          <w:szCs w:val="22"/>
        </w:rPr>
      </w:pPr>
    </w:p>
    <w:p w:rsidR="00786F9B" w:rsidRPr="00F153C3" w:rsidRDefault="00786F9B" w:rsidP="00786F9B">
      <w:pPr>
        <w:spacing w:line="360" w:lineRule="auto"/>
        <w:rPr>
          <w:rFonts w:cstheme="minorHAnsi"/>
          <w:b/>
          <w:bCs/>
          <w:sz w:val="22"/>
          <w:szCs w:val="22"/>
        </w:rPr>
      </w:pPr>
      <w:r>
        <w:rPr>
          <w:rFonts w:cstheme="minorHAnsi"/>
          <w:b/>
          <w:bCs/>
          <w:sz w:val="22"/>
          <w:szCs w:val="22"/>
        </w:rPr>
        <w:t>Clinical studies and c</w:t>
      </w:r>
      <w:r w:rsidRPr="00F153C3">
        <w:rPr>
          <w:rFonts w:cstheme="minorHAnsi"/>
          <w:b/>
          <w:bCs/>
          <w:sz w:val="22"/>
          <w:szCs w:val="22"/>
        </w:rPr>
        <w:t xml:space="preserve">ohort </w:t>
      </w:r>
      <w:r>
        <w:rPr>
          <w:rFonts w:cstheme="minorHAnsi"/>
          <w:b/>
          <w:bCs/>
          <w:sz w:val="22"/>
          <w:szCs w:val="22"/>
        </w:rPr>
        <w:t>c</w:t>
      </w:r>
      <w:r w:rsidRPr="00F153C3">
        <w:rPr>
          <w:rFonts w:cstheme="minorHAnsi"/>
          <w:b/>
          <w:bCs/>
          <w:sz w:val="22"/>
          <w:szCs w:val="22"/>
        </w:rPr>
        <w:t>haracteristics</w:t>
      </w:r>
    </w:p>
    <w:p w:rsidR="00786F9B" w:rsidRDefault="00786F9B" w:rsidP="00786F9B">
      <w:pPr>
        <w:spacing w:line="360" w:lineRule="auto"/>
        <w:jc w:val="both"/>
        <w:rPr>
          <w:rFonts w:cstheme="minorHAnsi"/>
          <w:color w:val="000000"/>
          <w:sz w:val="22"/>
          <w:szCs w:val="22"/>
        </w:rPr>
      </w:pPr>
      <w:r w:rsidRPr="00675527">
        <w:rPr>
          <w:rFonts w:cstheme="minorHAnsi"/>
          <w:sz w:val="22"/>
          <w:szCs w:val="22"/>
        </w:rPr>
        <w:t xml:space="preserve">Characteristics of the </w:t>
      </w:r>
      <w:r>
        <w:rPr>
          <w:rFonts w:cstheme="minorHAnsi"/>
          <w:sz w:val="22"/>
          <w:szCs w:val="22"/>
        </w:rPr>
        <w:t>eight</w:t>
      </w:r>
      <w:r w:rsidRPr="00675527">
        <w:rPr>
          <w:rFonts w:cstheme="minorHAnsi"/>
          <w:sz w:val="22"/>
          <w:szCs w:val="22"/>
        </w:rPr>
        <w:t xml:space="preserve"> included studies are presented in Table</w:t>
      </w:r>
      <w:r>
        <w:rPr>
          <w:rFonts w:cstheme="minorHAnsi"/>
          <w:sz w:val="22"/>
          <w:szCs w:val="22"/>
        </w:rPr>
        <w:t xml:space="preserve">s </w:t>
      </w:r>
      <w:r w:rsidRPr="00675527">
        <w:rPr>
          <w:rFonts w:cstheme="minorHAnsi"/>
          <w:sz w:val="22"/>
          <w:szCs w:val="22"/>
        </w:rPr>
        <w:t>1</w:t>
      </w:r>
      <w:r>
        <w:rPr>
          <w:rFonts w:cstheme="minorHAnsi"/>
          <w:sz w:val="22"/>
          <w:szCs w:val="22"/>
        </w:rPr>
        <w:t xml:space="preserve"> and 2</w:t>
      </w:r>
      <w:r w:rsidRPr="00675527">
        <w:rPr>
          <w:rFonts w:cstheme="minorHAnsi"/>
          <w:sz w:val="22"/>
          <w:szCs w:val="22"/>
        </w:rPr>
        <w:t xml:space="preserve">. The studies </w:t>
      </w:r>
      <w:r>
        <w:rPr>
          <w:rFonts w:cstheme="minorHAnsi"/>
          <w:sz w:val="22"/>
          <w:szCs w:val="22"/>
        </w:rPr>
        <w:t>covered</w:t>
      </w:r>
      <w:r w:rsidRPr="00675527">
        <w:rPr>
          <w:rFonts w:cstheme="minorHAnsi"/>
          <w:sz w:val="22"/>
          <w:szCs w:val="22"/>
        </w:rPr>
        <w:t xml:space="preserve"> a variety of</w:t>
      </w:r>
      <w:r>
        <w:rPr>
          <w:rFonts w:cstheme="minorHAnsi"/>
          <w:sz w:val="22"/>
          <w:szCs w:val="22"/>
        </w:rPr>
        <w:t xml:space="preserve"> </w:t>
      </w:r>
      <w:r w:rsidRPr="00675527">
        <w:rPr>
          <w:rFonts w:cstheme="minorHAnsi"/>
          <w:sz w:val="22"/>
          <w:szCs w:val="22"/>
        </w:rPr>
        <w:t xml:space="preserve">geographical regions including </w:t>
      </w:r>
      <w:r w:rsidRPr="00FA411F">
        <w:rPr>
          <w:rFonts w:cstheme="minorHAnsi"/>
          <w:color w:val="000000"/>
          <w:sz w:val="22"/>
          <w:szCs w:val="22"/>
        </w:rPr>
        <w:t>two large multicenter international studie</w:t>
      </w:r>
      <w:r>
        <w:rPr>
          <w:rFonts w:cstheme="minorHAnsi"/>
          <w:color w:val="000000"/>
          <w:sz w:val="22"/>
          <w:szCs w:val="22"/>
        </w:rPr>
        <w:t>s [28.34] that</w:t>
      </w:r>
      <w:r w:rsidRPr="00A24284">
        <w:rPr>
          <w:rFonts w:cstheme="minorHAnsi"/>
          <w:color w:val="000000"/>
          <w:sz w:val="22"/>
          <w:szCs w:val="22"/>
        </w:rPr>
        <w:t xml:space="preserve"> included populations from USA, Europe, Japan, South Korea and Egypt. The remaining studies included two smaller cohorts</w:t>
      </w:r>
      <w:r>
        <w:rPr>
          <w:rFonts w:cstheme="minorHAnsi"/>
          <w:color w:val="000000"/>
          <w:sz w:val="22"/>
          <w:szCs w:val="22"/>
        </w:rPr>
        <w:t xml:space="preserve"> [35,36] </w:t>
      </w:r>
      <w:r w:rsidRPr="00FA411F">
        <w:rPr>
          <w:rFonts w:cstheme="minorHAnsi"/>
          <w:color w:val="000000"/>
          <w:sz w:val="22"/>
          <w:szCs w:val="22"/>
        </w:rPr>
        <w:t>from the US</w:t>
      </w:r>
      <w:r>
        <w:rPr>
          <w:rFonts w:cstheme="minorHAnsi"/>
          <w:color w:val="000000"/>
          <w:sz w:val="22"/>
          <w:szCs w:val="22"/>
        </w:rPr>
        <w:t>,</w:t>
      </w:r>
      <w:r w:rsidRPr="00FA411F">
        <w:rPr>
          <w:rFonts w:cstheme="minorHAnsi"/>
          <w:color w:val="000000"/>
          <w:sz w:val="22"/>
          <w:szCs w:val="22"/>
        </w:rPr>
        <w:t xml:space="preserve"> </w:t>
      </w:r>
      <w:r w:rsidRPr="00A24284">
        <w:rPr>
          <w:rFonts w:cstheme="minorHAnsi"/>
          <w:color w:val="000000"/>
          <w:sz w:val="22"/>
          <w:szCs w:val="22"/>
        </w:rPr>
        <w:t>one from U</w:t>
      </w:r>
      <w:r>
        <w:rPr>
          <w:rFonts w:cstheme="minorHAnsi"/>
          <w:color w:val="000000"/>
          <w:sz w:val="22"/>
          <w:szCs w:val="22"/>
        </w:rPr>
        <w:t>K [37]</w:t>
      </w:r>
      <w:r w:rsidRPr="00A24284">
        <w:rPr>
          <w:rFonts w:cstheme="minorHAnsi"/>
          <w:color w:val="000000"/>
          <w:sz w:val="22"/>
          <w:szCs w:val="22"/>
        </w:rPr>
        <w:t>,</w:t>
      </w:r>
      <w:r>
        <w:rPr>
          <w:rFonts w:cstheme="minorHAnsi"/>
          <w:color w:val="000000"/>
          <w:sz w:val="22"/>
          <w:szCs w:val="22"/>
        </w:rPr>
        <w:t xml:space="preserve"> one from Norway [39] one</w:t>
      </w:r>
      <w:r w:rsidRPr="00A24284">
        <w:rPr>
          <w:rFonts w:cstheme="minorHAnsi"/>
          <w:color w:val="000000"/>
          <w:sz w:val="22"/>
          <w:szCs w:val="22"/>
        </w:rPr>
        <w:t xml:space="preserve"> from Japan</w:t>
      </w:r>
      <w:r>
        <w:rPr>
          <w:rFonts w:ascii="Calibri" w:hAnsi="Calibri"/>
          <w:color w:val="000000"/>
          <w:sz w:val="22"/>
          <w:vertAlign w:val="superscript"/>
        </w:rPr>
        <w:t xml:space="preserve"> </w:t>
      </w:r>
      <w:r>
        <w:rPr>
          <w:rFonts w:cstheme="minorHAnsi"/>
          <w:color w:val="000000"/>
          <w:sz w:val="22"/>
          <w:szCs w:val="22"/>
        </w:rPr>
        <w:t xml:space="preserve">[38] </w:t>
      </w:r>
      <w:r w:rsidRPr="00A24284">
        <w:rPr>
          <w:rFonts w:cstheme="minorHAnsi"/>
          <w:color w:val="000000"/>
          <w:sz w:val="22"/>
          <w:szCs w:val="22"/>
        </w:rPr>
        <w:t xml:space="preserve">and </w:t>
      </w:r>
      <w:r>
        <w:rPr>
          <w:rFonts w:cstheme="minorHAnsi"/>
          <w:color w:val="000000"/>
          <w:sz w:val="22"/>
          <w:szCs w:val="22"/>
        </w:rPr>
        <w:t>one</w:t>
      </w:r>
      <w:r w:rsidRPr="00A24284">
        <w:rPr>
          <w:rFonts w:cstheme="minorHAnsi"/>
          <w:color w:val="000000"/>
          <w:sz w:val="22"/>
          <w:szCs w:val="22"/>
        </w:rPr>
        <w:t xml:space="preserve"> study from </w:t>
      </w:r>
      <w:r>
        <w:rPr>
          <w:rFonts w:cstheme="minorHAnsi"/>
          <w:color w:val="000000"/>
          <w:sz w:val="22"/>
          <w:szCs w:val="22"/>
        </w:rPr>
        <w:t>Taiwan [32]</w:t>
      </w:r>
      <w:r w:rsidRPr="00A24284">
        <w:rPr>
          <w:rFonts w:cstheme="minorHAnsi"/>
          <w:color w:val="000000"/>
          <w:sz w:val="22"/>
          <w:szCs w:val="22"/>
        </w:rPr>
        <w:t>.</w:t>
      </w:r>
      <w:r w:rsidRPr="00675527">
        <w:rPr>
          <w:rFonts w:cstheme="minorHAnsi"/>
          <w:sz w:val="22"/>
          <w:szCs w:val="22"/>
        </w:rPr>
        <w:t xml:space="preserve"> </w:t>
      </w:r>
      <w:r>
        <w:rPr>
          <w:rFonts w:cstheme="minorHAnsi"/>
          <w:sz w:val="22"/>
          <w:szCs w:val="22"/>
        </w:rPr>
        <w:t>The s</w:t>
      </w:r>
      <w:r w:rsidRPr="00675527">
        <w:rPr>
          <w:rFonts w:cstheme="minorHAnsi"/>
          <w:sz w:val="22"/>
          <w:szCs w:val="22"/>
        </w:rPr>
        <w:t xml:space="preserve">tudy </w:t>
      </w:r>
      <w:r>
        <w:rPr>
          <w:rFonts w:cstheme="minorHAnsi"/>
          <w:sz w:val="22"/>
          <w:szCs w:val="22"/>
        </w:rPr>
        <w:t xml:space="preserve">cohort </w:t>
      </w:r>
      <w:r w:rsidRPr="00675527">
        <w:rPr>
          <w:rFonts w:cstheme="minorHAnsi"/>
          <w:sz w:val="22"/>
          <w:szCs w:val="22"/>
        </w:rPr>
        <w:t xml:space="preserve">size ranged from </w:t>
      </w:r>
      <w:r>
        <w:rPr>
          <w:rFonts w:cstheme="minorHAnsi"/>
          <w:sz w:val="22"/>
          <w:szCs w:val="22"/>
        </w:rPr>
        <w:t>49</w:t>
      </w:r>
      <w:r w:rsidRPr="00675527">
        <w:rPr>
          <w:rFonts w:cstheme="minorHAnsi"/>
          <w:sz w:val="22"/>
          <w:szCs w:val="22"/>
        </w:rPr>
        <w:t xml:space="preserve"> to 3030. </w:t>
      </w:r>
      <w:r w:rsidRPr="00FA411F">
        <w:rPr>
          <w:rFonts w:cstheme="minorHAnsi"/>
          <w:sz w:val="22"/>
          <w:szCs w:val="22"/>
        </w:rPr>
        <w:t xml:space="preserve">In </w:t>
      </w:r>
      <w:r w:rsidRPr="00A24284">
        <w:rPr>
          <w:rFonts w:cstheme="minorHAnsi"/>
          <w:sz w:val="22"/>
          <w:szCs w:val="22"/>
        </w:rPr>
        <w:t>total</w:t>
      </w:r>
      <w:r>
        <w:rPr>
          <w:rFonts w:cstheme="minorHAnsi"/>
          <w:sz w:val="22"/>
          <w:szCs w:val="22"/>
        </w:rPr>
        <w:t>, there were</w:t>
      </w:r>
      <w:r w:rsidRPr="00A24284">
        <w:rPr>
          <w:rFonts w:cstheme="minorHAnsi"/>
          <w:sz w:val="22"/>
          <w:szCs w:val="22"/>
        </w:rPr>
        <w:t xml:space="preserve"> </w:t>
      </w:r>
      <w:r w:rsidRPr="00A24284">
        <w:rPr>
          <w:rFonts w:cstheme="minorHAnsi"/>
          <w:color w:val="000000"/>
          <w:sz w:val="22"/>
          <w:szCs w:val="22"/>
        </w:rPr>
        <w:t>6</w:t>
      </w:r>
      <w:r>
        <w:rPr>
          <w:rFonts w:cstheme="minorHAnsi"/>
          <w:color w:val="000000"/>
          <w:sz w:val="22"/>
          <w:szCs w:val="22"/>
        </w:rPr>
        <w:t>538</w:t>
      </w:r>
      <w:r w:rsidRPr="00A24284">
        <w:rPr>
          <w:rFonts w:cstheme="minorHAnsi"/>
          <w:color w:val="000000"/>
          <w:sz w:val="22"/>
          <w:szCs w:val="22"/>
        </w:rPr>
        <w:t xml:space="preserve"> patients with </w:t>
      </w:r>
      <w:r>
        <w:rPr>
          <w:rFonts w:cstheme="minorHAnsi"/>
          <w:color w:val="000000"/>
          <w:sz w:val="22"/>
          <w:szCs w:val="22"/>
        </w:rPr>
        <w:t xml:space="preserve">OS data who had </w:t>
      </w:r>
      <w:r w:rsidRPr="00A24284">
        <w:rPr>
          <w:rFonts w:cstheme="minorHAnsi"/>
          <w:color w:val="000000"/>
          <w:sz w:val="22"/>
          <w:szCs w:val="22"/>
        </w:rPr>
        <w:t xml:space="preserve">HCC </w:t>
      </w:r>
      <w:r>
        <w:rPr>
          <w:rFonts w:cstheme="minorHAnsi"/>
          <w:color w:val="000000"/>
          <w:sz w:val="22"/>
          <w:szCs w:val="22"/>
        </w:rPr>
        <w:t xml:space="preserve">and </w:t>
      </w:r>
      <w:r w:rsidRPr="00A24284">
        <w:rPr>
          <w:rFonts w:cstheme="minorHAnsi"/>
          <w:color w:val="000000"/>
          <w:sz w:val="22"/>
          <w:szCs w:val="22"/>
        </w:rPr>
        <w:t>underwent TACE pooled from the eight eligible studies.</w:t>
      </w:r>
      <w:r>
        <w:rPr>
          <w:rFonts w:cstheme="minorHAnsi"/>
          <w:color w:val="000000"/>
          <w:sz w:val="22"/>
          <w:szCs w:val="22"/>
        </w:rPr>
        <w:t xml:space="preserve"> </w:t>
      </w:r>
      <w:r w:rsidRPr="00F153C3">
        <w:rPr>
          <w:rFonts w:cstheme="minorHAnsi"/>
          <w:color w:val="000000"/>
          <w:sz w:val="22"/>
          <w:szCs w:val="22"/>
        </w:rPr>
        <w:t xml:space="preserve">The baseline population data derived from these studies </w:t>
      </w:r>
      <w:r>
        <w:rPr>
          <w:rFonts w:cstheme="minorHAnsi"/>
          <w:color w:val="000000"/>
          <w:sz w:val="22"/>
          <w:szCs w:val="22"/>
        </w:rPr>
        <w:t>are</w:t>
      </w:r>
      <w:r w:rsidRPr="00F153C3">
        <w:rPr>
          <w:rFonts w:cstheme="minorHAnsi"/>
          <w:color w:val="000000"/>
          <w:sz w:val="22"/>
          <w:szCs w:val="22"/>
        </w:rPr>
        <w:t xml:space="preserve"> outlined in Table 1 and 2</w:t>
      </w:r>
      <w:r>
        <w:rPr>
          <w:rFonts w:cstheme="minorHAnsi"/>
          <w:color w:val="000000"/>
          <w:sz w:val="22"/>
          <w:szCs w:val="22"/>
        </w:rPr>
        <w:t xml:space="preserve"> with</w:t>
      </w:r>
      <w:r w:rsidRPr="00F153C3">
        <w:rPr>
          <w:rFonts w:cstheme="minorHAnsi"/>
          <w:color w:val="000000"/>
          <w:sz w:val="22"/>
          <w:szCs w:val="22"/>
        </w:rPr>
        <w:t xml:space="preserve"> </w:t>
      </w:r>
      <w:r>
        <w:rPr>
          <w:rFonts w:cstheme="minorHAnsi"/>
          <w:color w:val="000000"/>
          <w:sz w:val="22"/>
          <w:szCs w:val="22"/>
        </w:rPr>
        <w:t>a</w:t>
      </w:r>
      <w:r w:rsidRPr="00F153C3">
        <w:rPr>
          <w:rFonts w:cstheme="minorHAnsi"/>
          <w:color w:val="000000"/>
          <w:sz w:val="22"/>
          <w:szCs w:val="22"/>
        </w:rPr>
        <w:t>dditional demographic data provided by the corresponding authors shown in Table 3.</w:t>
      </w:r>
      <w:r>
        <w:rPr>
          <w:rFonts w:cstheme="minorHAnsi"/>
          <w:color w:val="000000"/>
          <w:sz w:val="22"/>
          <w:szCs w:val="22"/>
        </w:rPr>
        <w:t xml:space="preserve"> </w:t>
      </w:r>
    </w:p>
    <w:p w:rsidR="00786F9B" w:rsidRDefault="00786F9B" w:rsidP="00786F9B">
      <w:pPr>
        <w:spacing w:line="360" w:lineRule="auto"/>
        <w:rPr>
          <w:rFonts w:cstheme="minorHAnsi"/>
          <w:color w:val="000000"/>
          <w:sz w:val="22"/>
          <w:szCs w:val="22"/>
        </w:rPr>
      </w:pPr>
    </w:p>
    <w:p w:rsidR="00786F9B" w:rsidRDefault="00786F9B" w:rsidP="00786F9B">
      <w:pPr>
        <w:spacing w:line="360" w:lineRule="auto"/>
        <w:jc w:val="both"/>
        <w:rPr>
          <w:rFonts w:cstheme="minorHAnsi"/>
          <w:sz w:val="22"/>
          <w:szCs w:val="22"/>
        </w:rPr>
      </w:pPr>
      <w:r>
        <w:rPr>
          <w:rFonts w:cstheme="minorHAnsi"/>
          <w:sz w:val="22"/>
          <w:szCs w:val="22"/>
        </w:rPr>
        <w:t xml:space="preserve">The majority of patients were male (74%) with median age ranging from 55 to 75 years. The majority of patients had Child-Pugh A (n=4410) 66% or B (n=1839) 30% liver disease. </w:t>
      </w:r>
      <w:proofErr w:type="spellStart"/>
      <w:r>
        <w:rPr>
          <w:rFonts w:cstheme="minorHAnsi"/>
          <w:sz w:val="22"/>
          <w:szCs w:val="22"/>
        </w:rPr>
        <w:t>Pinato’s</w:t>
      </w:r>
      <w:proofErr w:type="spellEnd"/>
      <w:r>
        <w:rPr>
          <w:rFonts w:cstheme="minorHAnsi"/>
          <w:sz w:val="22"/>
          <w:szCs w:val="22"/>
        </w:rPr>
        <w:t xml:space="preserve"> multicenter study [28] and the Japanese paper</w:t>
      </w:r>
      <w:r>
        <w:rPr>
          <w:rFonts w:cstheme="minorHAnsi"/>
          <w:color w:val="000000"/>
          <w:sz w:val="22"/>
          <w:szCs w:val="22"/>
        </w:rPr>
        <w:t xml:space="preserve"> [38] </w:t>
      </w:r>
      <w:r>
        <w:rPr>
          <w:rFonts w:cstheme="minorHAnsi"/>
          <w:sz w:val="22"/>
          <w:szCs w:val="22"/>
        </w:rPr>
        <w:t>had mainly Child-Pugh A and B patients, while the smaller study from Norway [39] had exclusively Child Pugh A patients. Child-Pugh C patients were seen in the other studies but their overall numbers were small, n=176 (3%).</w:t>
      </w: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r>
        <w:rPr>
          <w:rFonts w:cstheme="minorHAnsi"/>
          <w:sz w:val="22"/>
          <w:szCs w:val="22"/>
        </w:rPr>
        <w:t xml:space="preserve">BCLC staging data was not available on patients from three studies [34,37,40].  Based on the data available from the remaining studies (N= 2209), 24% were BCLC A, 61% were BCLC B and 13% BCLC C. A relatively smaller cohort were BCLC D 1%, all being derived from a single population in </w:t>
      </w:r>
      <w:proofErr w:type="spellStart"/>
      <w:r>
        <w:rPr>
          <w:rFonts w:cstheme="minorHAnsi"/>
          <w:sz w:val="22"/>
          <w:szCs w:val="22"/>
        </w:rPr>
        <w:t>Hansmann’s</w:t>
      </w:r>
      <w:proofErr w:type="spellEnd"/>
      <w:r>
        <w:rPr>
          <w:rFonts w:cstheme="minorHAnsi"/>
          <w:sz w:val="22"/>
          <w:szCs w:val="22"/>
        </w:rPr>
        <w:t xml:space="preserve"> study [35]. The etiology of liver disease data was available in 86% (n=5590) of the entire cohort, and was not available in three studies</w:t>
      </w:r>
      <w:r>
        <w:rPr>
          <w:rFonts w:ascii="Calibri" w:hAnsi="Calibri" w:cstheme="minorHAnsi"/>
          <w:color w:val="000000"/>
          <w:sz w:val="22"/>
          <w:szCs w:val="22"/>
        </w:rPr>
        <w:t xml:space="preserve"> [35-37] </w:t>
      </w:r>
      <w:r>
        <w:rPr>
          <w:rFonts w:cstheme="minorHAnsi"/>
          <w:sz w:val="22"/>
          <w:szCs w:val="22"/>
        </w:rPr>
        <w:t>and multiple aetiologies were grouped together in one study [39]. The most common cause of liver disease was HCV (n=2717), found in 42% of the entire cohort, whilst both HBV, and ETOH had similar incidence at 15%.  Other aetiologies including HBV/HCV co-infection occurred in 10% of the total cohort.</w:t>
      </w:r>
    </w:p>
    <w:p w:rsidR="00786F9B" w:rsidRDefault="00786F9B" w:rsidP="00786F9B">
      <w:pPr>
        <w:spacing w:line="360" w:lineRule="auto"/>
        <w:rPr>
          <w:rFonts w:cstheme="minorHAnsi"/>
          <w:sz w:val="22"/>
          <w:szCs w:val="22"/>
        </w:rPr>
      </w:pPr>
    </w:p>
    <w:p w:rsidR="00786F9B" w:rsidRDefault="00786F9B" w:rsidP="00786F9B">
      <w:pPr>
        <w:spacing w:line="360" w:lineRule="auto"/>
        <w:rPr>
          <w:rFonts w:cstheme="minorHAnsi"/>
          <w:sz w:val="22"/>
          <w:szCs w:val="22"/>
        </w:rPr>
      </w:pPr>
      <w:r>
        <w:rPr>
          <w:rFonts w:cstheme="minorHAnsi"/>
          <w:sz w:val="22"/>
          <w:szCs w:val="22"/>
        </w:rPr>
        <w:t xml:space="preserve">The median tumour size was 4.25 cm and varied widely from a median of 1cm to 19.4cm especially in the two large multicentre studies [28,34]. Macrovascular invasion (MVI) data were available in all cohorts except for one study [37] with MVI present in 11% of the overall cohort with the highest rate of 30% in the Japanese cohort of </w:t>
      </w:r>
      <w:proofErr w:type="spellStart"/>
      <w:r>
        <w:rPr>
          <w:rFonts w:cstheme="minorHAnsi"/>
          <w:sz w:val="22"/>
          <w:szCs w:val="22"/>
        </w:rPr>
        <w:t>Waked’s</w:t>
      </w:r>
      <w:proofErr w:type="spellEnd"/>
      <w:r>
        <w:rPr>
          <w:rFonts w:cstheme="minorHAnsi"/>
          <w:sz w:val="22"/>
          <w:szCs w:val="22"/>
        </w:rPr>
        <w:t xml:space="preserve"> multicenter study [34].  Extrahepatic spread  (EHS) was present in 38 cases, (1%) of </w:t>
      </w:r>
      <w:r>
        <w:rPr>
          <w:rFonts w:cstheme="minorHAnsi"/>
          <w:sz w:val="22"/>
          <w:szCs w:val="22"/>
        </w:rPr>
        <w:lastRenderedPageBreak/>
        <w:t xml:space="preserve">overall cases and derived mainly from the Japanese and South Korean cohort of </w:t>
      </w:r>
      <w:proofErr w:type="spellStart"/>
      <w:r>
        <w:rPr>
          <w:rFonts w:cstheme="minorHAnsi"/>
          <w:sz w:val="22"/>
          <w:szCs w:val="22"/>
        </w:rPr>
        <w:t>Pinato’s</w:t>
      </w:r>
      <w:proofErr w:type="spellEnd"/>
      <w:r>
        <w:rPr>
          <w:rFonts w:cstheme="minorHAnsi"/>
          <w:sz w:val="22"/>
          <w:szCs w:val="22"/>
        </w:rPr>
        <w:t xml:space="preserve"> multicenter study [28] and the small Norwegian cohort study [39].</w:t>
      </w:r>
    </w:p>
    <w:p w:rsidR="00786F9B" w:rsidRPr="00D54BC0" w:rsidRDefault="00786F9B" w:rsidP="00786F9B">
      <w:pPr>
        <w:spacing w:line="360" w:lineRule="auto"/>
        <w:rPr>
          <w:rFonts w:cstheme="minorHAnsi"/>
          <w:sz w:val="22"/>
          <w:szCs w:val="22"/>
        </w:rPr>
      </w:pPr>
    </w:p>
    <w:p w:rsidR="00786F9B" w:rsidRDefault="00786F9B" w:rsidP="00786F9B">
      <w:pPr>
        <w:spacing w:line="360" w:lineRule="auto"/>
        <w:rPr>
          <w:rFonts w:cstheme="minorHAnsi"/>
          <w:b/>
          <w:bCs/>
          <w:sz w:val="22"/>
          <w:szCs w:val="22"/>
        </w:rPr>
      </w:pPr>
      <w:r>
        <w:rPr>
          <w:rFonts w:cstheme="minorHAnsi"/>
          <w:b/>
          <w:bCs/>
          <w:sz w:val="22"/>
          <w:szCs w:val="22"/>
        </w:rPr>
        <w:t>Effect of ALBI grade on overall survival</w:t>
      </w:r>
    </w:p>
    <w:p w:rsidR="00786F9B" w:rsidRDefault="00786F9B" w:rsidP="00786F9B">
      <w:pPr>
        <w:spacing w:line="360" w:lineRule="auto"/>
        <w:jc w:val="both"/>
        <w:rPr>
          <w:rFonts w:cstheme="minorHAnsi"/>
          <w:sz w:val="22"/>
          <w:szCs w:val="22"/>
        </w:rPr>
      </w:pPr>
      <w:r>
        <w:rPr>
          <w:rFonts w:cstheme="minorHAnsi"/>
          <w:sz w:val="22"/>
          <w:szCs w:val="22"/>
        </w:rPr>
        <w:t>A r</w:t>
      </w:r>
      <w:r w:rsidRPr="00F153C3">
        <w:rPr>
          <w:rFonts w:cstheme="minorHAnsi"/>
          <w:sz w:val="22"/>
          <w:szCs w:val="22"/>
        </w:rPr>
        <w:t xml:space="preserve">andom effects model was used to analyse the aggregated data, to account for significant heterogeneity in the studies included. ALBI grade was able to stratify patients </w:t>
      </w:r>
      <w:r>
        <w:rPr>
          <w:rFonts w:cstheme="minorHAnsi"/>
          <w:sz w:val="22"/>
          <w:szCs w:val="22"/>
        </w:rPr>
        <w:t>in to</w:t>
      </w:r>
      <w:r w:rsidRPr="00F153C3">
        <w:rPr>
          <w:rFonts w:cstheme="minorHAnsi"/>
          <w:sz w:val="22"/>
          <w:szCs w:val="22"/>
        </w:rPr>
        <w:t xml:space="preserve"> distinct overall survival </w:t>
      </w:r>
      <w:r>
        <w:rPr>
          <w:rFonts w:cstheme="minorHAnsi"/>
          <w:sz w:val="22"/>
          <w:szCs w:val="22"/>
        </w:rPr>
        <w:t xml:space="preserve">groups </w:t>
      </w:r>
      <w:r w:rsidRPr="00F153C3">
        <w:rPr>
          <w:rFonts w:cstheme="minorHAnsi"/>
          <w:sz w:val="22"/>
          <w:szCs w:val="22"/>
        </w:rPr>
        <w:t>with 3</w:t>
      </w:r>
      <w:r>
        <w:rPr>
          <w:rFonts w:cstheme="minorHAnsi"/>
          <w:sz w:val="22"/>
          <w:szCs w:val="22"/>
        </w:rPr>
        <w:t>3.5</w:t>
      </w:r>
      <w:r w:rsidRPr="00F153C3">
        <w:rPr>
          <w:rFonts w:cstheme="minorHAnsi"/>
          <w:sz w:val="22"/>
          <w:szCs w:val="22"/>
        </w:rPr>
        <w:t xml:space="preserve"> months, (95% CI[2</w:t>
      </w:r>
      <w:r>
        <w:rPr>
          <w:rFonts w:cstheme="minorHAnsi"/>
          <w:sz w:val="22"/>
          <w:szCs w:val="22"/>
        </w:rPr>
        <w:t>6.1-</w:t>
      </w:r>
      <w:r w:rsidRPr="00F153C3">
        <w:rPr>
          <w:rFonts w:cstheme="minorHAnsi"/>
          <w:sz w:val="22"/>
          <w:szCs w:val="22"/>
        </w:rPr>
        <w:softHyphen/>
        <w:t>4</w:t>
      </w:r>
      <w:r>
        <w:rPr>
          <w:rFonts w:cstheme="minorHAnsi"/>
          <w:sz w:val="22"/>
          <w:szCs w:val="22"/>
        </w:rPr>
        <w:t>1.0</w:t>
      </w:r>
      <w:r w:rsidRPr="00F153C3">
        <w:rPr>
          <w:rFonts w:cstheme="minorHAnsi"/>
          <w:sz w:val="22"/>
          <w:szCs w:val="22"/>
        </w:rPr>
        <w:t xml:space="preserve">], P&lt;0.001) in ALBI grade 1, compared to </w:t>
      </w:r>
      <w:r>
        <w:rPr>
          <w:rFonts w:cstheme="minorHAnsi"/>
          <w:sz w:val="22"/>
          <w:szCs w:val="22"/>
        </w:rPr>
        <w:t>19.1</w:t>
      </w:r>
      <w:r w:rsidRPr="00F153C3">
        <w:rPr>
          <w:rFonts w:cstheme="minorHAnsi"/>
          <w:sz w:val="22"/>
          <w:szCs w:val="22"/>
        </w:rPr>
        <w:t xml:space="preserve"> months (95% CI[</w:t>
      </w:r>
      <w:r>
        <w:rPr>
          <w:rFonts w:cstheme="minorHAnsi"/>
          <w:sz w:val="22"/>
          <w:szCs w:val="22"/>
        </w:rPr>
        <w:t>16.3-</w:t>
      </w:r>
      <w:r w:rsidRPr="00F153C3">
        <w:rPr>
          <w:rFonts w:cstheme="minorHAnsi"/>
          <w:sz w:val="22"/>
          <w:szCs w:val="22"/>
        </w:rPr>
        <w:softHyphen/>
        <w:t>2</w:t>
      </w:r>
      <w:r>
        <w:rPr>
          <w:rFonts w:cstheme="minorHAnsi"/>
          <w:sz w:val="22"/>
          <w:szCs w:val="22"/>
        </w:rPr>
        <w:t>1</w:t>
      </w:r>
      <w:r w:rsidRPr="00F153C3">
        <w:rPr>
          <w:rFonts w:cstheme="minorHAnsi"/>
          <w:sz w:val="22"/>
          <w:szCs w:val="22"/>
        </w:rPr>
        <w:t>.</w:t>
      </w:r>
      <w:r>
        <w:rPr>
          <w:rFonts w:cstheme="minorHAnsi"/>
          <w:sz w:val="22"/>
          <w:szCs w:val="22"/>
        </w:rPr>
        <w:t>9</w:t>
      </w:r>
      <w:r w:rsidRPr="00F153C3">
        <w:rPr>
          <w:rFonts w:cstheme="minorHAnsi"/>
          <w:sz w:val="22"/>
          <w:szCs w:val="22"/>
        </w:rPr>
        <w:t>], P&lt;0.001) in ALBI grade 2, and 12.01 months (95% CI[8.71</w:t>
      </w:r>
      <w:r>
        <w:rPr>
          <w:rFonts w:cstheme="minorHAnsi"/>
          <w:sz w:val="22"/>
          <w:szCs w:val="22"/>
        </w:rPr>
        <w:t>-</w:t>
      </w:r>
      <w:r w:rsidRPr="00F153C3">
        <w:rPr>
          <w:rFonts w:cstheme="minorHAnsi"/>
          <w:sz w:val="22"/>
          <w:szCs w:val="22"/>
        </w:rPr>
        <w:softHyphen/>
        <w:t>15.3], P&lt;0.001) in ALBI grade 3 (Fig.</w:t>
      </w:r>
      <w:r>
        <w:rPr>
          <w:rFonts w:cstheme="minorHAnsi"/>
          <w:sz w:val="22"/>
          <w:szCs w:val="22"/>
        </w:rPr>
        <w:t xml:space="preserve"> 2 and 3</w:t>
      </w:r>
      <w:r w:rsidRPr="00F153C3">
        <w:rPr>
          <w:rFonts w:cstheme="minorHAnsi"/>
          <w:sz w:val="22"/>
          <w:szCs w:val="22"/>
        </w:rPr>
        <w:t xml:space="preserve">). </w:t>
      </w:r>
    </w:p>
    <w:p w:rsidR="00786F9B" w:rsidRPr="00F153C3" w:rsidRDefault="00786F9B" w:rsidP="00786F9B">
      <w:pPr>
        <w:spacing w:line="360" w:lineRule="auto"/>
        <w:rPr>
          <w:rFonts w:cstheme="minorHAnsi"/>
          <w:sz w:val="22"/>
          <w:szCs w:val="22"/>
        </w:rPr>
      </w:pPr>
    </w:p>
    <w:p w:rsidR="00786F9B" w:rsidRPr="00F153C3" w:rsidRDefault="00786F9B" w:rsidP="00786F9B">
      <w:pPr>
        <w:spacing w:line="360" w:lineRule="auto"/>
        <w:rPr>
          <w:rFonts w:cstheme="minorHAnsi"/>
          <w:b/>
          <w:bCs/>
          <w:sz w:val="22"/>
          <w:szCs w:val="22"/>
        </w:rPr>
      </w:pPr>
      <w:r>
        <w:rPr>
          <w:rFonts w:cstheme="minorHAnsi"/>
          <w:b/>
          <w:bCs/>
          <w:sz w:val="22"/>
          <w:szCs w:val="22"/>
        </w:rPr>
        <w:t>S</w:t>
      </w:r>
      <w:r w:rsidRPr="00F153C3">
        <w:rPr>
          <w:rFonts w:cstheme="minorHAnsi"/>
          <w:b/>
          <w:bCs/>
          <w:sz w:val="22"/>
          <w:szCs w:val="22"/>
        </w:rPr>
        <w:t>ubgroup analysis</w:t>
      </w:r>
    </w:p>
    <w:p w:rsidR="00786F9B" w:rsidRDefault="00786F9B" w:rsidP="00786F9B">
      <w:pPr>
        <w:spacing w:line="360" w:lineRule="auto"/>
        <w:jc w:val="both"/>
        <w:rPr>
          <w:rFonts w:cstheme="minorHAnsi"/>
          <w:sz w:val="22"/>
          <w:szCs w:val="22"/>
        </w:rPr>
      </w:pPr>
      <w:r w:rsidRPr="00F153C3">
        <w:rPr>
          <w:rFonts w:cstheme="minorHAnsi"/>
          <w:sz w:val="22"/>
          <w:szCs w:val="22"/>
        </w:rPr>
        <w:t>Stratification into subgroups</w:t>
      </w:r>
      <w:r>
        <w:rPr>
          <w:rFonts w:cstheme="minorHAnsi"/>
          <w:sz w:val="22"/>
          <w:szCs w:val="22"/>
        </w:rPr>
        <w:t xml:space="preserve"> (Table 3)</w:t>
      </w:r>
      <w:r w:rsidRPr="00F153C3">
        <w:rPr>
          <w:rFonts w:cstheme="minorHAnsi"/>
          <w:sz w:val="22"/>
          <w:szCs w:val="22"/>
        </w:rPr>
        <w:t>, found heterogeneity in the ALBI grade 1 and 2 groups was significantly</w:t>
      </w:r>
      <w:r>
        <w:rPr>
          <w:rFonts w:cstheme="minorHAnsi"/>
          <w:sz w:val="22"/>
          <w:szCs w:val="22"/>
        </w:rPr>
        <w:t xml:space="preserve"> </w:t>
      </w:r>
      <w:r w:rsidRPr="00F153C3">
        <w:rPr>
          <w:rFonts w:cstheme="minorHAnsi"/>
          <w:sz w:val="22"/>
          <w:szCs w:val="22"/>
        </w:rPr>
        <w:t>associated with age and tumour size (P&lt;0.001), while BCLC</w:t>
      </w:r>
      <w:r w:rsidRPr="00F153C3">
        <w:rPr>
          <w:rFonts w:cstheme="minorHAnsi"/>
          <w:sz w:val="22"/>
          <w:szCs w:val="22"/>
        </w:rPr>
        <w:softHyphen/>
      </w:r>
      <w:r>
        <w:rPr>
          <w:rFonts w:cstheme="minorHAnsi"/>
          <w:sz w:val="22"/>
          <w:szCs w:val="22"/>
        </w:rPr>
        <w:t xml:space="preserve"> </w:t>
      </w:r>
      <w:r w:rsidRPr="00F153C3">
        <w:rPr>
          <w:rFonts w:cstheme="minorHAnsi"/>
          <w:sz w:val="22"/>
          <w:szCs w:val="22"/>
        </w:rPr>
        <w:t>stage</w:t>
      </w:r>
      <w:r>
        <w:rPr>
          <w:rFonts w:cstheme="minorHAnsi"/>
          <w:sz w:val="22"/>
          <w:szCs w:val="22"/>
        </w:rPr>
        <w:t xml:space="preserve"> B</w:t>
      </w:r>
      <w:r w:rsidRPr="00F153C3">
        <w:rPr>
          <w:rFonts w:cstheme="minorHAnsi"/>
          <w:sz w:val="22"/>
          <w:szCs w:val="22"/>
        </w:rPr>
        <w:t xml:space="preserve"> (p&lt;0.001) was an additional factor in the ALBI grade 1 group</w:t>
      </w:r>
      <w:r>
        <w:rPr>
          <w:rFonts w:cstheme="minorHAnsi"/>
          <w:sz w:val="22"/>
          <w:szCs w:val="22"/>
        </w:rPr>
        <w:t xml:space="preserve"> (Supplementary Fig 1A-E)</w:t>
      </w:r>
      <w:r w:rsidRPr="00F153C3">
        <w:rPr>
          <w:rFonts w:cstheme="minorHAnsi"/>
          <w:sz w:val="22"/>
          <w:szCs w:val="22"/>
        </w:rPr>
        <w:t>. In contrast, age and alcohol</w:t>
      </w:r>
      <w:r>
        <w:rPr>
          <w:rFonts w:cstheme="minorHAnsi"/>
          <w:sz w:val="22"/>
          <w:szCs w:val="22"/>
        </w:rPr>
        <w:t>-</w:t>
      </w:r>
      <w:r w:rsidRPr="00F153C3">
        <w:rPr>
          <w:rFonts w:cstheme="minorHAnsi"/>
          <w:sz w:val="22"/>
          <w:szCs w:val="22"/>
        </w:rPr>
        <w:t>related liver disease were associated with heterogeneity in the ALBI grade 3 group (p&lt;0.001)</w:t>
      </w:r>
      <w:r>
        <w:rPr>
          <w:rFonts w:cstheme="minorHAnsi"/>
          <w:sz w:val="22"/>
          <w:szCs w:val="22"/>
        </w:rPr>
        <w:t xml:space="preserve"> (Supplementary Fig. 1F-G)</w:t>
      </w:r>
      <w:r w:rsidRPr="00F153C3">
        <w:rPr>
          <w:rFonts w:cstheme="minorHAnsi"/>
          <w:sz w:val="22"/>
          <w:szCs w:val="22"/>
        </w:rPr>
        <w:t>.</w:t>
      </w:r>
    </w:p>
    <w:p w:rsidR="00786F9B" w:rsidRDefault="00786F9B" w:rsidP="00786F9B">
      <w:pPr>
        <w:spacing w:line="360" w:lineRule="auto"/>
        <w:rPr>
          <w:rFonts w:cstheme="minorHAnsi"/>
          <w:b/>
          <w:bCs/>
          <w:sz w:val="22"/>
          <w:szCs w:val="22"/>
        </w:rPr>
      </w:pPr>
    </w:p>
    <w:p w:rsidR="00187AE0" w:rsidRDefault="00187AE0" w:rsidP="00187AE0">
      <w:pPr>
        <w:spacing w:line="360" w:lineRule="auto"/>
        <w:rPr>
          <w:rFonts w:cstheme="minorHAnsi"/>
          <w:b/>
          <w:bCs/>
          <w:sz w:val="22"/>
          <w:szCs w:val="22"/>
        </w:rPr>
      </w:pPr>
      <w:r w:rsidRPr="00187AE0">
        <w:rPr>
          <w:rFonts w:cstheme="minorHAnsi"/>
          <w:b/>
          <w:bCs/>
          <w:color w:val="FF0000"/>
          <w:sz w:val="22"/>
          <w:szCs w:val="22"/>
        </w:rPr>
        <w:t xml:space="preserve">Comparative </w:t>
      </w:r>
      <w:r>
        <w:rPr>
          <w:rFonts w:cstheme="minorHAnsi"/>
          <w:b/>
          <w:bCs/>
          <w:color w:val="FF0000"/>
          <w:sz w:val="22"/>
          <w:szCs w:val="22"/>
        </w:rPr>
        <w:t xml:space="preserve">subgroup </w:t>
      </w:r>
      <w:r w:rsidRPr="00187AE0">
        <w:rPr>
          <w:rFonts w:cstheme="minorHAnsi"/>
          <w:b/>
          <w:bCs/>
          <w:color w:val="FF0000"/>
          <w:sz w:val="22"/>
          <w:szCs w:val="22"/>
        </w:rPr>
        <w:t>analysis of ALBI grade with current prognostic tools</w:t>
      </w:r>
    </w:p>
    <w:p w:rsidR="00C06416" w:rsidRPr="00F173B5" w:rsidRDefault="00187AE0" w:rsidP="00C06416">
      <w:pPr>
        <w:spacing w:line="360" w:lineRule="auto"/>
        <w:jc w:val="both"/>
        <w:rPr>
          <w:rFonts w:cstheme="minorHAnsi"/>
          <w:color w:val="FF0000"/>
          <w:lang w:val="en-US"/>
        </w:rPr>
      </w:pPr>
      <w:r w:rsidRPr="00187AE0">
        <w:rPr>
          <w:rFonts w:cstheme="minorHAnsi"/>
          <w:color w:val="FF0000"/>
          <w:lang w:val="en-US"/>
        </w:rPr>
        <w:t xml:space="preserve">The ALBI grade had superior prognostic ability to the Child Pugh </w:t>
      </w:r>
      <w:r>
        <w:rPr>
          <w:rFonts w:cstheme="minorHAnsi"/>
          <w:color w:val="FF0000"/>
          <w:lang w:val="en-US"/>
        </w:rPr>
        <w:t>class</w:t>
      </w:r>
      <w:r w:rsidRPr="00187AE0">
        <w:rPr>
          <w:rFonts w:cstheme="minorHAnsi"/>
          <w:color w:val="FF0000"/>
          <w:lang w:val="en-US"/>
        </w:rPr>
        <w:t xml:space="preserve"> in the large multinational study by Waked et al, when applied to the cohort from Europe and China (C-index 0.5749 vs 0.5446) and (C-index 0.5898 vs 0.5684) respectively.  Similarly, Hickey et al showed that the ALBI grade had superior discriminatory ability to the Child Pugh </w:t>
      </w:r>
      <w:r w:rsidR="00C06416">
        <w:rPr>
          <w:rFonts w:cstheme="minorHAnsi"/>
          <w:color w:val="FF0000"/>
          <w:lang w:val="en-US"/>
        </w:rPr>
        <w:t>class</w:t>
      </w:r>
      <w:r w:rsidRPr="00187AE0">
        <w:rPr>
          <w:rFonts w:cstheme="minorHAnsi"/>
          <w:color w:val="FF0000"/>
          <w:lang w:val="en-US"/>
        </w:rPr>
        <w:t xml:space="preserve"> (C-index 0.584 vs. 0.524). </w:t>
      </w:r>
      <w:r>
        <w:rPr>
          <w:rFonts w:cstheme="minorHAnsi"/>
          <w:color w:val="FF0000"/>
          <w:lang w:val="en-US"/>
        </w:rPr>
        <w:t>In addition, f</w:t>
      </w:r>
      <w:r w:rsidRPr="00187AE0">
        <w:rPr>
          <w:rFonts w:cstheme="minorHAnsi"/>
          <w:color w:val="FF0000"/>
          <w:lang w:val="en-US"/>
        </w:rPr>
        <w:t>urther s</w:t>
      </w:r>
      <w:r w:rsidR="00D93153">
        <w:rPr>
          <w:rFonts w:cstheme="minorHAnsi"/>
          <w:color w:val="FF0000"/>
          <w:lang w:val="en-US"/>
        </w:rPr>
        <w:t>ub-</w:t>
      </w:r>
      <w:r w:rsidRPr="00187AE0">
        <w:rPr>
          <w:rFonts w:cstheme="minorHAnsi"/>
          <w:color w:val="FF0000"/>
          <w:lang w:val="en-US"/>
        </w:rPr>
        <w:t xml:space="preserve">stratification with ALBI grade significantly improved the prognostic ability of the </w:t>
      </w:r>
      <w:r>
        <w:rPr>
          <w:rFonts w:cstheme="minorHAnsi"/>
          <w:color w:val="FF0000"/>
          <w:lang w:val="en-US"/>
        </w:rPr>
        <w:t xml:space="preserve">Child Pugh </w:t>
      </w:r>
      <w:r w:rsidR="00C06416">
        <w:rPr>
          <w:rFonts w:cstheme="minorHAnsi"/>
          <w:color w:val="FF0000"/>
          <w:lang w:val="en-US"/>
        </w:rPr>
        <w:t>class</w:t>
      </w:r>
      <w:r>
        <w:rPr>
          <w:rFonts w:cstheme="minorHAnsi"/>
          <w:color w:val="FF0000"/>
          <w:lang w:val="en-US"/>
        </w:rPr>
        <w:t xml:space="preserve"> and </w:t>
      </w:r>
      <w:r w:rsidRPr="00187AE0">
        <w:rPr>
          <w:rFonts w:cstheme="minorHAnsi"/>
          <w:color w:val="FF0000"/>
          <w:lang w:val="en-US"/>
        </w:rPr>
        <w:t>BCLC stage</w:t>
      </w:r>
      <w:r w:rsidR="00C06416">
        <w:rPr>
          <w:rFonts w:cstheme="minorHAnsi"/>
          <w:color w:val="FF0000"/>
          <w:lang w:val="en-US"/>
        </w:rPr>
        <w:t xml:space="preserve"> in both small single center and large multinational stud</w:t>
      </w:r>
      <w:r w:rsidR="00F173B5">
        <w:rPr>
          <w:rFonts w:cstheme="minorHAnsi"/>
          <w:color w:val="FF0000"/>
          <w:lang w:val="en-US"/>
        </w:rPr>
        <w:t>ies</w:t>
      </w:r>
      <w:r w:rsidR="00C06416">
        <w:rPr>
          <w:rFonts w:cstheme="minorHAnsi"/>
          <w:color w:val="FF0000"/>
          <w:lang w:val="en-US"/>
        </w:rPr>
        <w:t xml:space="preserve"> included in our meta-analysis. </w:t>
      </w:r>
      <w:r w:rsidRPr="00187AE0">
        <w:rPr>
          <w:rFonts w:cstheme="minorHAnsi"/>
          <w:color w:val="FF0000"/>
          <w:lang w:val="en-US"/>
        </w:rPr>
        <w:t>In particular</w:t>
      </w:r>
      <w:r>
        <w:rPr>
          <w:rFonts w:cstheme="minorHAnsi"/>
          <w:color w:val="FF0000"/>
          <w:lang w:val="en-US"/>
        </w:rPr>
        <w:t>,</w:t>
      </w:r>
      <w:r w:rsidRPr="00187AE0">
        <w:rPr>
          <w:rFonts w:cstheme="minorHAnsi"/>
          <w:color w:val="FF0000"/>
          <w:lang w:val="en-US"/>
        </w:rPr>
        <w:t xml:space="preserve"> </w:t>
      </w:r>
      <w:proofErr w:type="spellStart"/>
      <w:r w:rsidRPr="00187AE0">
        <w:rPr>
          <w:rFonts w:cstheme="minorHAnsi"/>
          <w:color w:val="FF0000"/>
          <w:lang w:val="en-US"/>
        </w:rPr>
        <w:t>Huo</w:t>
      </w:r>
      <w:proofErr w:type="spellEnd"/>
      <w:r w:rsidRPr="00187AE0">
        <w:rPr>
          <w:rFonts w:cstheme="minorHAnsi"/>
          <w:color w:val="FF0000"/>
          <w:lang w:val="en-US"/>
        </w:rPr>
        <w:t xml:space="preserve"> et al demonstrated improvement in patients with BCLC stage B and </w:t>
      </w:r>
      <w:r w:rsidR="00C06416">
        <w:rPr>
          <w:rFonts w:cstheme="minorHAnsi"/>
          <w:color w:val="FF0000"/>
          <w:lang w:val="en-US"/>
        </w:rPr>
        <w:t>Child Pugh</w:t>
      </w:r>
      <w:r w:rsidRPr="00187AE0">
        <w:rPr>
          <w:rFonts w:cstheme="minorHAnsi"/>
          <w:color w:val="FF0000"/>
          <w:lang w:val="en-US"/>
        </w:rPr>
        <w:t xml:space="preserve"> A disease at baseline. Similarly, </w:t>
      </w:r>
      <w:proofErr w:type="spellStart"/>
      <w:r w:rsidR="00C06416">
        <w:rPr>
          <w:rFonts w:cstheme="minorHAnsi"/>
          <w:color w:val="FF0000"/>
          <w:lang w:val="en-US"/>
        </w:rPr>
        <w:t>Hansman</w:t>
      </w:r>
      <w:proofErr w:type="spellEnd"/>
      <w:r w:rsidR="00C06416">
        <w:rPr>
          <w:rFonts w:cstheme="minorHAnsi"/>
          <w:color w:val="FF0000"/>
          <w:lang w:val="en-US"/>
        </w:rPr>
        <w:t xml:space="preserve"> et al demonstrated the </w:t>
      </w:r>
      <w:r w:rsidRPr="00187AE0">
        <w:rPr>
          <w:rFonts w:cstheme="minorHAnsi"/>
          <w:color w:val="FF0000"/>
          <w:lang w:val="en-US"/>
        </w:rPr>
        <w:t>BCLC stage B had highest discriminatory ability with the application of ALBI grade (C-index 0.917), in addition to BCLC stage A (C-index 0.867) and Child P</w:t>
      </w:r>
      <w:r w:rsidRPr="00C06416">
        <w:rPr>
          <w:rFonts w:cstheme="minorHAnsi"/>
          <w:color w:val="FF0000"/>
          <w:lang w:val="en-US"/>
        </w:rPr>
        <w:t xml:space="preserve">ugh B (C-index 0.892). </w:t>
      </w:r>
      <w:r w:rsidR="00C06416" w:rsidRPr="00C06416">
        <w:rPr>
          <w:rFonts w:cstheme="minorHAnsi"/>
          <w:color w:val="FF0000"/>
          <w:lang w:val="en-US"/>
        </w:rPr>
        <w:t>Complete comparative data with the MELD score was only available in one study (</w:t>
      </w:r>
      <w:proofErr w:type="spellStart"/>
      <w:r w:rsidR="00C06416" w:rsidRPr="00C06416">
        <w:rPr>
          <w:rFonts w:cstheme="minorHAnsi"/>
          <w:color w:val="FF0000"/>
          <w:lang w:val="en-US"/>
        </w:rPr>
        <w:t>Huo</w:t>
      </w:r>
      <w:proofErr w:type="spellEnd"/>
      <w:r w:rsidR="00C06416" w:rsidRPr="00C06416">
        <w:rPr>
          <w:rFonts w:cstheme="minorHAnsi"/>
          <w:color w:val="FF0000"/>
          <w:lang w:val="en-US"/>
        </w:rPr>
        <w:t xml:space="preserve"> et al) and demonstrated the ALBI grade (C-index 0.544) had a better discriminatory index compared to the CPC (C-index 0.527) and MELD (C-index 0.497).</w:t>
      </w:r>
      <w:r w:rsidR="00F173B5">
        <w:rPr>
          <w:rFonts w:cstheme="minorHAnsi"/>
          <w:color w:val="FF0000"/>
          <w:lang w:val="en-US"/>
        </w:rPr>
        <w:t xml:space="preserve"> </w:t>
      </w:r>
      <w:r w:rsidR="00F173B5" w:rsidRPr="00F173B5">
        <w:rPr>
          <w:rFonts w:cstheme="minorHAnsi"/>
          <w:color w:val="FF0000"/>
          <w:lang w:val="en-US"/>
        </w:rPr>
        <w:t>The BCLC stage had the highest discriminatory index in this cohort (C-index 0.575), likely reflecting the influence of key tumour burden paramet</w:t>
      </w:r>
      <w:r w:rsidR="00F173B5">
        <w:rPr>
          <w:rFonts w:cstheme="minorHAnsi"/>
          <w:color w:val="FF0000"/>
          <w:lang w:val="en-US"/>
        </w:rPr>
        <w:t>ers</w:t>
      </w:r>
      <w:r w:rsidR="00F173B5" w:rsidRPr="00F173B5">
        <w:rPr>
          <w:rFonts w:cstheme="minorHAnsi"/>
          <w:color w:val="FF0000"/>
          <w:lang w:val="en-US"/>
        </w:rPr>
        <w:t xml:space="preserve"> that are incorporated in the BCLC staging system.</w:t>
      </w:r>
    </w:p>
    <w:p w:rsidR="00187AE0" w:rsidRDefault="00187AE0" w:rsidP="00786F9B">
      <w:pPr>
        <w:spacing w:line="360" w:lineRule="auto"/>
        <w:rPr>
          <w:rFonts w:cstheme="minorHAnsi"/>
          <w:b/>
          <w:bCs/>
          <w:sz w:val="22"/>
          <w:szCs w:val="22"/>
        </w:rPr>
      </w:pPr>
    </w:p>
    <w:p w:rsidR="00C06416" w:rsidRDefault="00786F9B" w:rsidP="00786F9B">
      <w:pPr>
        <w:spacing w:line="360" w:lineRule="auto"/>
        <w:rPr>
          <w:rFonts w:cstheme="minorHAnsi"/>
          <w:b/>
          <w:bCs/>
          <w:sz w:val="22"/>
          <w:szCs w:val="22"/>
        </w:rPr>
      </w:pPr>
      <w:r w:rsidRPr="00F153C3">
        <w:rPr>
          <w:rFonts w:cstheme="minorHAnsi"/>
          <w:b/>
          <w:bCs/>
          <w:sz w:val="22"/>
          <w:szCs w:val="22"/>
        </w:rPr>
        <w:t>Publication Bias</w:t>
      </w:r>
    </w:p>
    <w:p w:rsidR="00C06416" w:rsidRDefault="00786F9B" w:rsidP="00786F9B">
      <w:pPr>
        <w:spacing w:line="360" w:lineRule="auto"/>
        <w:rPr>
          <w:rFonts w:cstheme="minorHAnsi"/>
          <w:sz w:val="22"/>
          <w:szCs w:val="22"/>
        </w:rPr>
      </w:pPr>
      <w:r w:rsidRPr="00F153C3">
        <w:rPr>
          <w:rFonts w:cstheme="minorHAnsi"/>
          <w:sz w:val="22"/>
          <w:szCs w:val="22"/>
        </w:rPr>
        <w:t xml:space="preserve">The Eggers </w:t>
      </w:r>
      <w:r>
        <w:rPr>
          <w:rFonts w:cstheme="minorHAnsi"/>
          <w:sz w:val="22"/>
          <w:szCs w:val="22"/>
        </w:rPr>
        <w:t>regression analysis</w:t>
      </w:r>
      <w:r w:rsidRPr="00F153C3">
        <w:rPr>
          <w:rFonts w:cstheme="minorHAnsi"/>
          <w:sz w:val="22"/>
          <w:szCs w:val="22"/>
        </w:rPr>
        <w:t xml:space="preserve"> was not significant for publication bias for the studies included for analysis in each ALBI grade</w:t>
      </w:r>
      <w:r>
        <w:rPr>
          <w:rFonts w:cstheme="minorHAnsi"/>
          <w:sz w:val="22"/>
          <w:szCs w:val="22"/>
        </w:rPr>
        <w:t xml:space="preserve"> (ALBI 1 p=0.33; ALBI 2 p=0.16; ALBI 3 p=0.75) (Supplementary Figure 2)</w:t>
      </w:r>
      <w:r w:rsidRPr="00F153C3">
        <w:rPr>
          <w:rFonts w:cstheme="minorHAnsi"/>
          <w:sz w:val="22"/>
          <w:szCs w:val="22"/>
        </w:rPr>
        <w:t xml:space="preserve">. </w:t>
      </w:r>
    </w:p>
    <w:p w:rsidR="00F173B5" w:rsidRDefault="00F173B5" w:rsidP="00786F9B">
      <w:pPr>
        <w:spacing w:line="360" w:lineRule="auto"/>
        <w:rPr>
          <w:rFonts w:cstheme="minorHAnsi"/>
          <w:b/>
          <w:bCs/>
          <w:sz w:val="22"/>
          <w:szCs w:val="22"/>
        </w:rPr>
      </w:pPr>
    </w:p>
    <w:p w:rsidR="00786F9B" w:rsidRDefault="00786F9B" w:rsidP="00786F9B">
      <w:pPr>
        <w:spacing w:line="360" w:lineRule="auto"/>
        <w:rPr>
          <w:rFonts w:cstheme="minorHAnsi"/>
          <w:b/>
          <w:bCs/>
          <w:sz w:val="22"/>
          <w:szCs w:val="22"/>
        </w:rPr>
      </w:pPr>
      <w:r>
        <w:rPr>
          <w:rFonts w:cstheme="minorHAnsi"/>
          <w:b/>
          <w:bCs/>
          <w:sz w:val="22"/>
          <w:szCs w:val="22"/>
        </w:rPr>
        <w:lastRenderedPageBreak/>
        <w:t>DISCUSSION</w:t>
      </w:r>
    </w:p>
    <w:p w:rsidR="00786F9B" w:rsidRPr="00F153C3" w:rsidRDefault="00786F9B" w:rsidP="00786F9B">
      <w:pPr>
        <w:spacing w:line="360" w:lineRule="auto"/>
        <w:jc w:val="both"/>
        <w:rPr>
          <w:rFonts w:cstheme="minorHAnsi"/>
          <w:sz w:val="22"/>
          <w:szCs w:val="22"/>
        </w:rPr>
      </w:pPr>
      <w:r w:rsidRPr="00F153C3">
        <w:rPr>
          <w:rFonts w:cstheme="minorHAnsi"/>
          <w:sz w:val="22"/>
          <w:szCs w:val="22"/>
        </w:rPr>
        <w:t xml:space="preserve">Accurate staging of HCC is an essential step towards improving </w:t>
      </w:r>
      <w:r>
        <w:rPr>
          <w:rFonts w:cstheme="minorHAnsi"/>
          <w:sz w:val="22"/>
          <w:szCs w:val="22"/>
        </w:rPr>
        <w:t>patient survival f</w:t>
      </w:r>
      <w:r w:rsidRPr="00F153C3">
        <w:rPr>
          <w:rFonts w:cstheme="minorHAnsi"/>
          <w:sz w:val="22"/>
          <w:szCs w:val="22"/>
        </w:rPr>
        <w:t xml:space="preserve">or </w:t>
      </w:r>
      <w:r>
        <w:rPr>
          <w:rFonts w:cstheme="minorHAnsi"/>
          <w:sz w:val="22"/>
          <w:szCs w:val="22"/>
        </w:rPr>
        <w:t>this cancer</w:t>
      </w:r>
      <w:sdt>
        <w:sdtPr>
          <w:rPr>
            <w:rFonts w:ascii="Calibri" w:hAnsi="Calibri" w:cstheme="minorHAnsi"/>
            <w:color w:val="000000"/>
            <w:sz w:val="22"/>
            <w:szCs w:val="22"/>
          </w:rPr>
          <w:tag w:val="citation"/>
          <w:id w:val="-57557621"/>
          <w:placeholder>
            <w:docPart w:val="E64A715E5D0D2F46B49836C205445331"/>
          </w:placeholder>
        </w:sdtPr>
        <w:sdtEndPr/>
        <w:sdtContent>
          <w:r>
            <w:rPr>
              <w:rFonts w:ascii="Calibri" w:hAnsi="Calibri"/>
              <w:color w:val="000000"/>
              <w:sz w:val="22"/>
              <w:vertAlign w:val="superscript"/>
            </w:rPr>
            <w:t xml:space="preserve"> </w:t>
          </w:r>
          <w:r>
            <w:rPr>
              <w:rFonts w:cstheme="minorHAnsi"/>
              <w:sz w:val="22"/>
              <w:szCs w:val="22"/>
            </w:rPr>
            <w:t>[2]</w:t>
          </w:r>
          <w:r w:rsidRPr="00C05416">
            <w:rPr>
              <w:rFonts w:cstheme="minorHAnsi"/>
              <w:sz w:val="22"/>
              <w:szCs w:val="22"/>
            </w:rPr>
            <w:t xml:space="preserve"> </w:t>
          </w:r>
          <w:r>
            <w:rPr>
              <w:rFonts w:cstheme="minorHAnsi"/>
              <w:sz w:val="22"/>
              <w:szCs w:val="22"/>
            </w:rPr>
            <w:t>that has a very high mortality [44]</w:t>
          </w:r>
        </w:sdtContent>
      </w:sdt>
      <w:r w:rsidRPr="00F153C3">
        <w:rPr>
          <w:rFonts w:cstheme="minorHAnsi"/>
          <w:sz w:val="22"/>
          <w:szCs w:val="22"/>
        </w:rPr>
        <w:t xml:space="preserve">. </w:t>
      </w:r>
      <w:r>
        <w:rPr>
          <w:rFonts w:cstheme="minorHAnsi"/>
          <w:sz w:val="22"/>
          <w:szCs w:val="22"/>
        </w:rPr>
        <w:t>The t</w:t>
      </w:r>
      <w:r w:rsidRPr="00F153C3">
        <w:rPr>
          <w:rFonts w:cstheme="minorHAnsi"/>
          <w:sz w:val="22"/>
          <w:szCs w:val="22"/>
        </w:rPr>
        <w:t xml:space="preserve">wo main </w:t>
      </w:r>
      <w:r>
        <w:rPr>
          <w:rFonts w:cstheme="minorHAnsi"/>
          <w:sz w:val="22"/>
          <w:szCs w:val="22"/>
        </w:rPr>
        <w:t xml:space="preserve">staging </w:t>
      </w:r>
      <w:r w:rsidRPr="00F153C3">
        <w:rPr>
          <w:rFonts w:cstheme="minorHAnsi"/>
          <w:sz w:val="22"/>
          <w:szCs w:val="22"/>
        </w:rPr>
        <w:t xml:space="preserve">factors </w:t>
      </w:r>
      <w:r>
        <w:rPr>
          <w:rFonts w:cstheme="minorHAnsi"/>
          <w:sz w:val="22"/>
          <w:szCs w:val="22"/>
        </w:rPr>
        <w:t xml:space="preserve">that </w:t>
      </w:r>
      <w:r w:rsidRPr="00F153C3">
        <w:rPr>
          <w:rFonts w:cstheme="minorHAnsi"/>
          <w:sz w:val="22"/>
          <w:szCs w:val="22"/>
        </w:rPr>
        <w:t>contribute to HCC mortality</w:t>
      </w:r>
      <w:r>
        <w:rPr>
          <w:rFonts w:cstheme="minorHAnsi"/>
          <w:sz w:val="22"/>
          <w:szCs w:val="22"/>
        </w:rPr>
        <w:t>, namely the</w:t>
      </w:r>
      <w:r w:rsidRPr="00F153C3">
        <w:rPr>
          <w:rFonts w:cstheme="minorHAnsi"/>
          <w:sz w:val="22"/>
          <w:szCs w:val="22"/>
        </w:rPr>
        <w:t xml:space="preserve"> underlying severity of liver dysfunction and tumour burden, make HCC unique in its category and </w:t>
      </w:r>
      <w:r>
        <w:rPr>
          <w:rFonts w:cstheme="minorHAnsi"/>
          <w:sz w:val="22"/>
          <w:szCs w:val="22"/>
        </w:rPr>
        <w:t>are critical determinants upon which treatment decisions are based [6,7,21,22,45]</w:t>
      </w:r>
      <w:r w:rsidRPr="00F153C3">
        <w:rPr>
          <w:rFonts w:cstheme="minorHAnsi"/>
          <w:sz w:val="22"/>
          <w:szCs w:val="22"/>
        </w:rPr>
        <w:t xml:space="preserve">. </w:t>
      </w:r>
      <w:r>
        <w:rPr>
          <w:rFonts w:cstheme="minorHAnsi"/>
          <w:sz w:val="22"/>
          <w:szCs w:val="22"/>
        </w:rPr>
        <w:t>In this context, the ALBI</w:t>
      </w:r>
      <w:r w:rsidRPr="00F153C3">
        <w:rPr>
          <w:rFonts w:cstheme="minorHAnsi"/>
          <w:sz w:val="22"/>
          <w:szCs w:val="22"/>
        </w:rPr>
        <w:t xml:space="preserve"> scor</w:t>
      </w:r>
      <w:r>
        <w:rPr>
          <w:rFonts w:cstheme="minorHAnsi"/>
          <w:sz w:val="22"/>
          <w:szCs w:val="22"/>
        </w:rPr>
        <w:t>e has</w:t>
      </w:r>
      <w:r w:rsidRPr="00F153C3">
        <w:rPr>
          <w:rFonts w:cstheme="minorHAnsi"/>
          <w:sz w:val="22"/>
          <w:szCs w:val="22"/>
        </w:rPr>
        <w:t xml:space="preserve"> </w:t>
      </w:r>
      <w:r>
        <w:rPr>
          <w:rFonts w:cstheme="minorHAnsi"/>
          <w:sz w:val="22"/>
          <w:szCs w:val="22"/>
        </w:rPr>
        <w:t>emerged as a key grading system to facilitate prognostication and survival of patients with this</w:t>
      </w:r>
      <w:r w:rsidRPr="00F153C3">
        <w:rPr>
          <w:rFonts w:cstheme="minorHAnsi"/>
          <w:sz w:val="22"/>
          <w:szCs w:val="22"/>
        </w:rPr>
        <w:t xml:space="preserve"> inherently </w:t>
      </w:r>
      <w:proofErr w:type="spellStart"/>
      <w:r w:rsidRPr="00F153C3">
        <w:rPr>
          <w:rFonts w:cstheme="minorHAnsi"/>
          <w:sz w:val="22"/>
          <w:szCs w:val="22"/>
        </w:rPr>
        <w:t>heterogenous</w:t>
      </w:r>
      <w:proofErr w:type="spellEnd"/>
      <w:r>
        <w:rPr>
          <w:rFonts w:cstheme="minorHAnsi"/>
          <w:sz w:val="22"/>
          <w:szCs w:val="22"/>
        </w:rPr>
        <w:t xml:space="preserve"> disease [15,27,46]. Notably, the</w:t>
      </w:r>
      <w:r w:rsidRPr="00F153C3">
        <w:rPr>
          <w:rFonts w:cstheme="minorHAnsi"/>
          <w:sz w:val="22"/>
          <w:szCs w:val="22"/>
        </w:rPr>
        <w:t xml:space="preserve"> ALBI score overcome</w:t>
      </w:r>
      <w:r>
        <w:rPr>
          <w:rFonts w:cstheme="minorHAnsi"/>
          <w:sz w:val="22"/>
          <w:szCs w:val="22"/>
        </w:rPr>
        <w:t>s many of</w:t>
      </w:r>
      <w:r w:rsidRPr="00F153C3">
        <w:rPr>
          <w:rFonts w:cstheme="minorHAnsi"/>
          <w:sz w:val="22"/>
          <w:szCs w:val="22"/>
        </w:rPr>
        <w:t xml:space="preserve"> the inherent differences in patient populations </w:t>
      </w:r>
      <w:r>
        <w:rPr>
          <w:rFonts w:cstheme="minorHAnsi"/>
          <w:sz w:val="22"/>
          <w:szCs w:val="22"/>
        </w:rPr>
        <w:t xml:space="preserve">at a </w:t>
      </w:r>
      <w:r w:rsidRPr="00F153C3">
        <w:rPr>
          <w:rFonts w:cstheme="minorHAnsi"/>
          <w:sz w:val="22"/>
          <w:szCs w:val="22"/>
        </w:rPr>
        <w:t>global</w:t>
      </w:r>
      <w:r>
        <w:rPr>
          <w:rFonts w:cstheme="minorHAnsi"/>
          <w:sz w:val="22"/>
          <w:szCs w:val="22"/>
        </w:rPr>
        <w:t xml:space="preserve"> level </w:t>
      </w:r>
      <w:r w:rsidRPr="00F153C3">
        <w:rPr>
          <w:rFonts w:cstheme="minorHAnsi"/>
          <w:sz w:val="22"/>
          <w:szCs w:val="22"/>
        </w:rPr>
        <w:t>by using objective markers of liver function rather th</w:t>
      </w:r>
      <w:r>
        <w:rPr>
          <w:rFonts w:cstheme="minorHAnsi"/>
          <w:sz w:val="22"/>
          <w:szCs w:val="22"/>
        </w:rPr>
        <w:t>a</w:t>
      </w:r>
      <w:r w:rsidRPr="00F153C3">
        <w:rPr>
          <w:rFonts w:cstheme="minorHAnsi"/>
          <w:sz w:val="22"/>
          <w:szCs w:val="22"/>
        </w:rPr>
        <w:t xml:space="preserve">n other traditional markers such as the </w:t>
      </w:r>
      <w:r>
        <w:rPr>
          <w:rFonts w:cstheme="minorHAnsi"/>
          <w:sz w:val="22"/>
          <w:szCs w:val="22"/>
        </w:rPr>
        <w:t xml:space="preserve">Child-Pugh score </w:t>
      </w:r>
      <w:r w:rsidRPr="00F153C3">
        <w:rPr>
          <w:rFonts w:cstheme="minorHAnsi"/>
          <w:sz w:val="22"/>
          <w:szCs w:val="22"/>
        </w:rPr>
        <w:t>which are influenced by subjective clinician assessment</w:t>
      </w:r>
      <w:r>
        <w:rPr>
          <w:rFonts w:cstheme="minorHAnsi"/>
          <w:sz w:val="22"/>
          <w:szCs w:val="22"/>
        </w:rPr>
        <w:t xml:space="preserve"> [24,46,47]. </w:t>
      </w:r>
      <w:r w:rsidRPr="00F153C3">
        <w:rPr>
          <w:rFonts w:cstheme="minorHAnsi"/>
          <w:sz w:val="22"/>
          <w:szCs w:val="22"/>
        </w:rPr>
        <w:t xml:space="preserve">Comparative studies between </w:t>
      </w:r>
      <w:r>
        <w:rPr>
          <w:rFonts w:cstheme="minorHAnsi"/>
          <w:sz w:val="22"/>
          <w:szCs w:val="22"/>
        </w:rPr>
        <w:t>Child-Pugh</w:t>
      </w:r>
      <w:r w:rsidRPr="00F153C3">
        <w:rPr>
          <w:rFonts w:cstheme="minorHAnsi"/>
          <w:sz w:val="22"/>
          <w:szCs w:val="22"/>
        </w:rPr>
        <w:t xml:space="preserve"> and MELD scores in patients undergoing TACE for HCC have found </w:t>
      </w:r>
      <w:r>
        <w:rPr>
          <w:rFonts w:cstheme="minorHAnsi"/>
          <w:sz w:val="22"/>
          <w:szCs w:val="22"/>
        </w:rPr>
        <w:t xml:space="preserve">Child-Pugh score </w:t>
      </w:r>
      <w:r w:rsidRPr="00F153C3">
        <w:rPr>
          <w:rFonts w:cstheme="minorHAnsi"/>
          <w:sz w:val="22"/>
          <w:szCs w:val="22"/>
        </w:rPr>
        <w:t xml:space="preserve">correlated better with OS, particularly the </w:t>
      </w:r>
      <w:r>
        <w:rPr>
          <w:rFonts w:cstheme="minorHAnsi"/>
          <w:sz w:val="22"/>
          <w:szCs w:val="22"/>
        </w:rPr>
        <w:t>a</w:t>
      </w:r>
      <w:r w:rsidRPr="00F153C3">
        <w:rPr>
          <w:rFonts w:cstheme="minorHAnsi"/>
          <w:sz w:val="22"/>
          <w:szCs w:val="22"/>
        </w:rPr>
        <w:t>lbumin component</w:t>
      </w:r>
      <w:r>
        <w:rPr>
          <w:rFonts w:cstheme="minorHAnsi"/>
          <w:sz w:val="22"/>
          <w:szCs w:val="22"/>
        </w:rPr>
        <w:t xml:space="preserve"> [26,48-52]</w:t>
      </w:r>
      <w:r w:rsidRPr="00F153C3">
        <w:rPr>
          <w:rFonts w:cstheme="minorHAnsi"/>
          <w:sz w:val="22"/>
          <w:szCs w:val="22"/>
        </w:rPr>
        <w:t xml:space="preserve">. </w:t>
      </w:r>
    </w:p>
    <w:p w:rsidR="00786F9B" w:rsidRDefault="00786F9B" w:rsidP="00786F9B">
      <w:pPr>
        <w:spacing w:line="360" w:lineRule="auto"/>
        <w:rPr>
          <w:rFonts w:cstheme="minorHAnsi"/>
          <w:sz w:val="22"/>
          <w:szCs w:val="22"/>
        </w:rPr>
      </w:pPr>
    </w:p>
    <w:p w:rsidR="00786F9B" w:rsidRDefault="00786F9B" w:rsidP="00786F9B">
      <w:pPr>
        <w:spacing w:line="360" w:lineRule="auto"/>
        <w:jc w:val="both"/>
        <w:rPr>
          <w:rFonts w:cstheme="minorHAnsi"/>
          <w:sz w:val="22"/>
          <w:szCs w:val="22"/>
        </w:rPr>
      </w:pPr>
      <w:r w:rsidRPr="00F153C3">
        <w:rPr>
          <w:rFonts w:cstheme="minorHAnsi"/>
          <w:sz w:val="22"/>
          <w:szCs w:val="22"/>
        </w:rPr>
        <w:t>Multiple international cohort studies have demonstrated the ALBI score has good discriminatory power and good</w:t>
      </w:r>
      <w:r>
        <w:rPr>
          <w:rFonts w:cstheme="minorHAnsi"/>
          <w:sz w:val="22"/>
          <w:szCs w:val="22"/>
        </w:rPr>
        <w:t xml:space="preserve"> </w:t>
      </w:r>
      <w:r w:rsidRPr="00F153C3">
        <w:rPr>
          <w:rFonts w:cstheme="minorHAnsi"/>
          <w:sz w:val="22"/>
          <w:szCs w:val="22"/>
        </w:rPr>
        <w:t>prognostic function often equivalent and at times superior to current prognostic scoring systems that have variable performance when applied to populations beyond their original derivation cohort</w:t>
      </w:r>
      <w:r>
        <w:rPr>
          <w:rFonts w:cstheme="minorHAnsi"/>
          <w:sz w:val="22"/>
          <w:szCs w:val="22"/>
        </w:rPr>
        <w:t xml:space="preserve"> [53-55]</w:t>
      </w:r>
      <w:r w:rsidRPr="00F153C3">
        <w:rPr>
          <w:rFonts w:cstheme="minorHAnsi"/>
          <w:sz w:val="22"/>
          <w:szCs w:val="22"/>
        </w:rPr>
        <w:t xml:space="preserve">. </w:t>
      </w:r>
      <w:r>
        <w:rPr>
          <w:rFonts w:cstheme="minorHAnsi"/>
          <w:sz w:val="22"/>
          <w:szCs w:val="22"/>
        </w:rPr>
        <w:t xml:space="preserve"> The main findings of our meta-analysis of these cohort studies is the demonstration that ALBI grade is a robust prognostic marker </w:t>
      </w:r>
      <w:r w:rsidRPr="00F153C3">
        <w:rPr>
          <w:rFonts w:cstheme="minorHAnsi"/>
          <w:color w:val="000000"/>
          <w:sz w:val="22"/>
          <w:szCs w:val="22"/>
          <w:shd w:val="clear" w:color="auto" w:fill="FFFFFF"/>
        </w:rPr>
        <w:t xml:space="preserve">in </w:t>
      </w:r>
      <w:r>
        <w:rPr>
          <w:rFonts w:cstheme="minorHAnsi"/>
          <w:color w:val="000000"/>
          <w:sz w:val="22"/>
          <w:szCs w:val="22"/>
          <w:shd w:val="clear" w:color="auto" w:fill="FFFFFF"/>
        </w:rPr>
        <w:t xml:space="preserve">HCC </w:t>
      </w:r>
      <w:r w:rsidRPr="00F153C3">
        <w:rPr>
          <w:rFonts w:cstheme="minorHAnsi"/>
          <w:color w:val="000000"/>
          <w:sz w:val="22"/>
          <w:szCs w:val="22"/>
          <w:shd w:val="clear" w:color="auto" w:fill="FFFFFF"/>
        </w:rPr>
        <w:t xml:space="preserve">patients undergoing TACE </w:t>
      </w:r>
      <w:r>
        <w:rPr>
          <w:rFonts w:cstheme="minorHAnsi"/>
          <w:sz w:val="22"/>
          <w:szCs w:val="22"/>
        </w:rPr>
        <w:t xml:space="preserve">with </w:t>
      </w:r>
      <w:r>
        <w:rPr>
          <w:rFonts w:cstheme="minorHAnsi"/>
          <w:color w:val="000000"/>
          <w:sz w:val="22"/>
          <w:szCs w:val="22"/>
          <w:shd w:val="clear" w:color="auto" w:fill="FFFFFF"/>
        </w:rPr>
        <w:t>h</w:t>
      </w:r>
      <w:r w:rsidRPr="00F153C3">
        <w:rPr>
          <w:rFonts w:cstheme="minorHAnsi"/>
          <w:color w:val="000000"/>
          <w:sz w:val="22"/>
          <w:szCs w:val="22"/>
          <w:shd w:val="clear" w:color="auto" w:fill="FFFFFF"/>
        </w:rPr>
        <w:t xml:space="preserve">igh pre-treatment ALBI grade associated with </w:t>
      </w:r>
      <w:r>
        <w:rPr>
          <w:rFonts w:cstheme="minorHAnsi"/>
          <w:color w:val="000000"/>
          <w:sz w:val="22"/>
          <w:szCs w:val="22"/>
          <w:shd w:val="clear" w:color="auto" w:fill="FFFFFF"/>
        </w:rPr>
        <w:t xml:space="preserve">a </w:t>
      </w:r>
      <w:r w:rsidRPr="00F153C3">
        <w:rPr>
          <w:rFonts w:cstheme="minorHAnsi"/>
          <w:color w:val="000000"/>
          <w:sz w:val="22"/>
          <w:szCs w:val="22"/>
          <w:shd w:val="clear" w:color="auto" w:fill="FFFFFF"/>
        </w:rPr>
        <w:t>poor prognosis.</w:t>
      </w:r>
      <w:r>
        <w:rPr>
          <w:rFonts w:cstheme="minorHAnsi"/>
          <w:color w:val="000000"/>
          <w:sz w:val="22"/>
          <w:szCs w:val="22"/>
          <w:shd w:val="clear" w:color="auto" w:fill="FFFFFF"/>
        </w:rPr>
        <w:t xml:space="preserve"> Importantly, </w:t>
      </w:r>
      <w:r>
        <w:rPr>
          <w:rFonts w:cstheme="minorHAnsi"/>
          <w:sz w:val="22"/>
          <w:szCs w:val="22"/>
        </w:rPr>
        <w:t>we found that</w:t>
      </w:r>
      <w:r w:rsidRPr="00F153C3">
        <w:rPr>
          <w:rFonts w:cstheme="minorHAnsi"/>
          <w:sz w:val="22"/>
          <w:szCs w:val="22"/>
        </w:rPr>
        <w:t xml:space="preserve"> the ALBI score performed well across major global populations</w:t>
      </w:r>
      <w:r>
        <w:rPr>
          <w:rFonts w:cstheme="minorHAnsi"/>
          <w:sz w:val="22"/>
          <w:szCs w:val="22"/>
        </w:rPr>
        <w:t xml:space="preserve"> with ALBI grades 1, 2, and 3, identifying three populations with significantly different overall survivals of 33.5, 19 and 12 months respectively. </w:t>
      </w: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r>
        <w:rPr>
          <w:rFonts w:cstheme="minorHAnsi"/>
          <w:sz w:val="22"/>
          <w:szCs w:val="22"/>
        </w:rPr>
        <w:t>Moreover, the characteristics of the overall cohort in our study are consistent with previous studies of patients with HCC undergoing TACE [6,18,23]. The significant majority (74%) of patients were male with a median age ranging from 55 to 75 years old, with 66% having Child-Pugh A and 30% Child-Pugh B liver disease. However, while over half (n=1358) of the patients with available data (n=2209) had BCLC B stage HCC, they consisted of only 21% of the entire cohort of 6538 patients due to the relatively low 34% rate of reporting of BCLC stage across studies. Thus, accurate and robust conclusions regarding the impact of BCLC stage characteristics</w:t>
      </w:r>
      <w:r w:rsidRPr="00454467">
        <w:rPr>
          <w:rFonts w:cstheme="minorHAnsi"/>
          <w:sz w:val="22"/>
          <w:szCs w:val="22"/>
        </w:rPr>
        <w:t xml:space="preserve"> </w:t>
      </w:r>
      <w:r>
        <w:rPr>
          <w:rFonts w:cstheme="minorHAnsi"/>
          <w:sz w:val="22"/>
          <w:szCs w:val="22"/>
        </w:rPr>
        <w:t>are difficult to make. In contrast, there was a high 87% reporting of data on the etiology of liver disease of patients and a wide range covered in the median tumour size (1-19.4cm), while rates of reporting of MVI and EHS varied across the different cohorts.</w:t>
      </w:r>
    </w:p>
    <w:p w:rsidR="00786F9B" w:rsidRDefault="00786F9B" w:rsidP="00786F9B">
      <w:pPr>
        <w:spacing w:line="360" w:lineRule="auto"/>
        <w:jc w:val="both"/>
        <w:rPr>
          <w:rFonts w:cstheme="minorHAnsi"/>
          <w:sz w:val="22"/>
          <w:szCs w:val="22"/>
        </w:rPr>
      </w:pPr>
    </w:p>
    <w:p w:rsidR="00786F9B" w:rsidRPr="00F153C3" w:rsidRDefault="00786F9B" w:rsidP="00786F9B">
      <w:pPr>
        <w:spacing w:line="360" w:lineRule="auto"/>
        <w:jc w:val="both"/>
        <w:rPr>
          <w:rFonts w:cstheme="minorHAnsi"/>
          <w:sz w:val="22"/>
          <w:szCs w:val="22"/>
        </w:rPr>
      </w:pPr>
      <w:r>
        <w:rPr>
          <w:rFonts w:cstheme="minorHAnsi"/>
          <w:sz w:val="22"/>
          <w:szCs w:val="22"/>
        </w:rPr>
        <w:t xml:space="preserve">The significant </w:t>
      </w:r>
      <w:r w:rsidRPr="00F153C3">
        <w:rPr>
          <w:rFonts w:cstheme="minorHAnsi"/>
          <w:sz w:val="22"/>
          <w:szCs w:val="22"/>
        </w:rPr>
        <w:t xml:space="preserve">heterogeneity </w:t>
      </w:r>
      <w:r>
        <w:rPr>
          <w:rFonts w:cstheme="minorHAnsi"/>
          <w:sz w:val="22"/>
          <w:szCs w:val="22"/>
        </w:rPr>
        <w:t>in our overall cohort</w:t>
      </w:r>
      <w:r w:rsidDel="00BA1442">
        <w:rPr>
          <w:rFonts w:cstheme="minorHAnsi"/>
          <w:sz w:val="22"/>
          <w:szCs w:val="22"/>
        </w:rPr>
        <w:t xml:space="preserve"> </w:t>
      </w:r>
      <w:r>
        <w:rPr>
          <w:rFonts w:cstheme="minorHAnsi"/>
          <w:sz w:val="22"/>
          <w:szCs w:val="22"/>
        </w:rPr>
        <w:t>resulting from the differences in b</w:t>
      </w:r>
      <w:r w:rsidRPr="00F153C3">
        <w:rPr>
          <w:rFonts w:cstheme="minorHAnsi"/>
          <w:sz w:val="22"/>
          <w:szCs w:val="22"/>
        </w:rPr>
        <w:t xml:space="preserve">aseline demographic features within each study population </w:t>
      </w:r>
      <w:r>
        <w:rPr>
          <w:rFonts w:cstheme="minorHAnsi"/>
          <w:sz w:val="22"/>
          <w:szCs w:val="22"/>
        </w:rPr>
        <w:t xml:space="preserve">likely reflect in part </w:t>
      </w:r>
      <w:r w:rsidRPr="00F153C3">
        <w:rPr>
          <w:rFonts w:cstheme="minorHAnsi"/>
          <w:sz w:val="22"/>
          <w:szCs w:val="22"/>
        </w:rPr>
        <w:t>the variations in HCC classification and treatment guidelines between Eastern and Western population</w:t>
      </w:r>
      <w:r>
        <w:rPr>
          <w:rFonts w:cstheme="minorHAnsi"/>
          <w:sz w:val="22"/>
          <w:szCs w:val="22"/>
        </w:rPr>
        <w:t xml:space="preserve">s [16,53-56].  The </w:t>
      </w:r>
      <w:r w:rsidRPr="00F153C3">
        <w:rPr>
          <w:rFonts w:cstheme="minorHAnsi"/>
          <w:sz w:val="22"/>
          <w:szCs w:val="22"/>
        </w:rPr>
        <w:t xml:space="preserve">distribution </w:t>
      </w:r>
      <w:r>
        <w:rPr>
          <w:rFonts w:cstheme="minorHAnsi"/>
          <w:sz w:val="22"/>
          <w:szCs w:val="22"/>
        </w:rPr>
        <w:t xml:space="preserve">of the ALBI grade </w:t>
      </w:r>
      <w:r w:rsidRPr="00F153C3">
        <w:rPr>
          <w:rFonts w:cstheme="minorHAnsi"/>
          <w:sz w:val="22"/>
          <w:szCs w:val="22"/>
        </w:rPr>
        <w:t xml:space="preserve">on subgroup analysis </w:t>
      </w:r>
      <w:r>
        <w:rPr>
          <w:rFonts w:cstheme="minorHAnsi"/>
          <w:sz w:val="22"/>
          <w:szCs w:val="22"/>
        </w:rPr>
        <w:t xml:space="preserve">varies </w:t>
      </w:r>
      <w:r w:rsidRPr="00F153C3">
        <w:rPr>
          <w:rFonts w:cstheme="minorHAnsi"/>
          <w:sz w:val="22"/>
          <w:szCs w:val="22"/>
        </w:rPr>
        <w:t>across Europe and Asia</w:t>
      </w:r>
      <w:r>
        <w:rPr>
          <w:rFonts w:cstheme="minorHAnsi"/>
          <w:sz w:val="22"/>
          <w:szCs w:val="22"/>
        </w:rPr>
        <w:t xml:space="preserve"> and across ALBI grades, with</w:t>
      </w:r>
      <w:r w:rsidRPr="00F153C3">
        <w:rPr>
          <w:rFonts w:cstheme="minorHAnsi"/>
          <w:sz w:val="22"/>
          <w:szCs w:val="22"/>
        </w:rPr>
        <w:t xml:space="preserve"> the </w:t>
      </w:r>
      <w:r>
        <w:rPr>
          <w:rFonts w:cstheme="minorHAnsi"/>
          <w:sz w:val="22"/>
          <w:szCs w:val="22"/>
        </w:rPr>
        <w:t xml:space="preserve">overall </w:t>
      </w:r>
      <w:r w:rsidRPr="00F153C3">
        <w:rPr>
          <w:rFonts w:cstheme="minorHAnsi"/>
          <w:sz w:val="22"/>
          <w:szCs w:val="22"/>
        </w:rPr>
        <w:t>heterogeneity decreas</w:t>
      </w:r>
      <w:r>
        <w:rPr>
          <w:rFonts w:cstheme="minorHAnsi"/>
          <w:sz w:val="22"/>
          <w:szCs w:val="22"/>
        </w:rPr>
        <w:t>ing</w:t>
      </w:r>
      <w:r w:rsidRPr="00F153C3">
        <w:rPr>
          <w:rFonts w:cstheme="minorHAnsi"/>
          <w:sz w:val="22"/>
          <w:szCs w:val="22"/>
        </w:rPr>
        <w:t xml:space="preserve"> in patients classified as ALBI 3 compared to ALBI 1 and ALBI 2</w:t>
      </w:r>
      <w:r>
        <w:rPr>
          <w:rFonts w:cstheme="minorHAnsi"/>
          <w:sz w:val="22"/>
          <w:szCs w:val="22"/>
        </w:rPr>
        <w:t xml:space="preserve"> (supplementary figure 3)</w:t>
      </w:r>
      <w:r w:rsidRPr="00F153C3">
        <w:rPr>
          <w:rFonts w:cstheme="minorHAnsi"/>
          <w:sz w:val="22"/>
          <w:szCs w:val="22"/>
        </w:rPr>
        <w:t>.</w:t>
      </w:r>
      <w:r>
        <w:rPr>
          <w:rFonts w:cstheme="minorHAnsi"/>
          <w:sz w:val="22"/>
          <w:szCs w:val="22"/>
        </w:rPr>
        <w:t xml:space="preserve"> </w:t>
      </w:r>
    </w:p>
    <w:p w:rsidR="00786F9B" w:rsidRDefault="00786F9B" w:rsidP="00786F9B">
      <w:pPr>
        <w:spacing w:line="360" w:lineRule="auto"/>
        <w:jc w:val="both"/>
        <w:rPr>
          <w:rFonts w:cstheme="minorHAnsi"/>
          <w:sz w:val="22"/>
          <w:szCs w:val="22"/>
        </w:rPr>
      </w:pPr>
    </w:p>
    <w:p w:rsidR="00786F9B" w:rsidRPr="00F153C3" w:rsidRDefault="00786F9B" w:rsidP="00786F9B">
      <w:pPr>
        <w:spacing w:line="360" w:lineRule="auto"/>
        <w:jc w:val="both"/>
        <w:rPr>
          <w:rFonts w:cstheme="minorHAnsi"/>
          <w:sz w:val="22"/>
          <w:szCs w:val="22"/>
        </w:rPr>
      </w:pPr>
      <w:r w:rsidRPr="00F153C3">
        <w:rPr>
          <w:rFonts w:cstheme="minorHAnsi"/>
          <w:sz w:val="22"/>
          <w:szCs w:val="22"/>
        </w:rPr>
        <w:lastRenderedPageBreak/>
        <w:t xml:space="preserve">The main factors accounting for heterogeneity </w:t>
      </w:r>
      <w:r>
        <w:rPr>
          <w:rFonts w:cstheme="minorHAnsi"/>
          <w:sz w:val="22"/>
          <w:szCs w:val="22"/>
        </w:rPr>
        <w:t xml:space="preserve">among the different </w:t>
      </w:r>
      <w:r w:rsidRPr="00F153C3">
        <w:rPr>
          <w:rFonts w:cstheme="minorHAnsi"/>
          <w:sz w:val="22"/>
          <w:szCs w:val="22"/>
        </w:rPr>
        <w:t>ALBI grade</w:t>
      </w:r>
      <w:r>
        <w:rPr>
          <w:rFonts w:cstheme="minorHAnsi"/>
          <w:sz w:val="22"/>
          <w:szCs w:val="22"/>
        </w:rPr>
        <w:t xml:space="preserve"> groups</w:t>
      </w:r>
      <w:r w:rsidRPr="00F153C3">
        <w:rPr>
          <w:rFonts w:cstheme="minorHAnsi"/>
          <w:sz w:val="22"/>
          <w:szCs w:val="22"/>
        </w:rPr>
        <w:t xml:space="preserve"> </w:t>
      </w:r>
      <w:r>
        <w:rPr>
          <w:rFonts w:cstheme="minorHAnsi"/>
          <w:sz w:val="22"/>
          <w:szCs w:val="22"/>
        </w:rPr>
        <w:t xml:space="preserve">included </w:t>
      </w:r>
      <w:r w:rsidRPr="00F153C3">
        <w:rPr>
          <w:rFonts w:cstheme="minorHAnsi"/>
          <w:sz w:val="22"/>
          <w:szCs w:val="22"/>
        </w:rPr>
        <w:t>age</w:t>
      </w:r>
      <w:r>
        <w:rPr>
          <w:rFonts w:cstheme="minorHAnsi"/>
          <w:sz w:val="22"/>
          <w:szCs w:val="22"/>
        </w:rPr>
        <w:t>,</w:t>
      </w:r>
      <w:r w:rsidRPr="00F153C3">
        <w:rPr>
          <w:rFonts w:cstheme="minorHAnsi"/>
          <w:sz w:val="22"/>
          <w:szCs w:val="22"/>
        </w:rPr>
        <w:t xml:space="preserve"> </w:t>
      </w:r>
      <w:r>
        <w:rPr>
          <w:rFonts w:cstheme="minorHAnsi"/>
          <w:sz w:val="22"/>
          <w:szCs w:val="22"/>
        </w:rPr>
        <w:t xml:space="preserve">which was present for all ALBI grade groups, and </w:t>
      </w:r>
      <w:r w:rsidRPr="00F153C3">
        <w:rPr>
          <w:rFonts w:cstheme="minorHAnsi"/>
          <w:sz w:val="22"/>
          <w:szCs w:val="22"/>
        </w:rPr>
        <w:t xml:space="preserve">tumour size </w:t>
      </w:r>
      <w:r>
        <w:rPr>
          <w:rFonts w:cstheme="minorHAnsi"/>
          <w:sz w:val="22"/>
          <w:szCs w:val="22"/>
        </w:rPr>
        <w:t>for</w:t>
      </w:r>
      <w:r w:rsidRPr="00F153C3">
        <w:rPr>
          <w:rFonts w:cstheme="minorHAnsi"/>
          <w:sz w:val="22"/>
          <w:szCs w:val="22"/>
        </w:rPr>
        <w:t xml:space="preserve"> ALBI grade 1 and 2</w:t>
      </w:r>
      <w:r>
        <w:rPr>
          <w:rFonts w:cstheme="minorHAnsi"/>
          <w:sz w:val="22"/>
          <w:szCs w:val="22"/>
        </w:rPr>
        <w:t xml:space="preserve"> groups.</w:t>
      </w:r>
      <w:r w:rsidRPr="00F153C3">
        <w:rPr>
          <w:rFonts w:cstheme="minorHAnsi"/>
          <w:sz w:val="22"/>
          <w:szCs w:val="22"/>
        </w:rPr>
        <w:t xml:space="preserve"> BCLC</w:t>
      </w:r>
      <w:r>
        <w:rPr>
          <w:rFonts w:cstheme="minorHAnsi"/>
          <w:sz w:val="22"/>
          <w:szCs w:val="22"/>
        </w:rPr>
        <w:t xml:space="preserve"> </w:t>
      </w:r>
      <w:r w:rsidRPr="00F153C3">
        <w:rPr>
          <w:rFonts w:cstheme="minorHAnsi"/>
          <w:sz w:val="22"/>
          <w:szCs w:val="22"/>
        </w:rPr>
        <w:softHyphen/>
        <w:t xml:space="preserve">B stage </w:t>
      </w:r>
      <w:r>
        <w:rPr>
          <w:rFonts w:cstheme="minorHAnsi"/>
          <w:sz w:val="22"/>
          <w:szCs w:val="22"/>
        </w:rPr>
        <w:t xml:space="preserve">and </w:t>
      </w:r>
      <w:r w:rsidRPr="00F153C3">
        <w:rPr>
          <w:rFonts w:cstheme="minorHAnsi"/>
          <w:sz w:val="22"/>
          <w:szCs w:val="22"/>
        </w:rPr>
        <w:t xml:space="preserve">alcohol related liver disease </w:t>
      </w:r>
      <w:r>
        <w:rPr>
          <w:rFonts w:cstheme="minorHAnsi"/>
          <w:sz w:val="22"/>
          <w:szCs w:val="22"/>
        </w:rPr>
        <w:t>were</w:t>
      </w:r>
      <w:r w:rsidRPr="00F153C3">
        <w:rPr>
          <w:rFonts w:cstheme="minorHAnsi"/>
          <w:sz w:val="22"/>
          <w:szCs w:val="22"/>
        </w:rPr>
        <w:t xml:space="preserve"> </w:t>
      </w:r>
      <w:r>
        <w:rPr>
          <w:rFonts w:cstheme="minorHAnsi"/>
          <w:sz w:val="22"/>
          <w:szCs w:val="22"/>
        </w:rPr>
        <w:t xml:space="preserve">additional </w:t>
      </w:r>
      <w:r w:rsidRPr="00F153C3">
        <w:rPr>
          <w:rFonts w:cstheme="minorHAnsi"/>
          <w:sz w:val="22"/>
          <w:szCs w:val="22"/>
        </w:rPr>
        <w:t>factor</w:t>
      </w:r>
      <w:r>
        <w:rPr>
          <w:rFonts w:cstheme="minorHAnsi"/>
          <w:sz w:val="22"/>
          <w:szCs w:val="22"/>
        </w:rPr>
        <w:t xml:space="preserve">s </w:t>
      </w:r>
      <w:r w:rsidRPr="00F153C3">
        <w:rPr>
          <w:rFonts w:cstheme="minorHAnsi"/>
          <w:sz w:val="22"/>
          <w:szCs w:val="22"/>
        </w:rPr>
        <w:t xml:space="preserve">associated with heterogeneity in </w:t>
      </w:r>
      <w:r>
        <w:rPr>
          <w:rFonts w:cstheme="minorHAnsi"/>
          <w:sz w:val="22"/>
          <w:szCs w:val="22"/>
        </w:rPr>
        <w:t>the ALBI grade 1 and</w:t>
      </w:r>
      <w:r w:rsidRPr="00F153C3">
        <w:rPr>
          <w:rFonts w:cstheme="minorHAnsi"/>
          <w:sz w:val="22"/>
          <w:szCs w:val="22"/>
        </w:rPr>
        <w:t xml:space="preserve"> ALBI grade 3 group</w:t>
      </w:r>
      <w:r>
        <w:rPr>
          <w:rFonts w:cstheme="minorHAnsi"/>
          <w:sz w:val="22"/>
          <w:szCs w:val="22"/>
        </w:rPr>
        <w:t>s respectively</w:t>
      </w:r>
      <w:r w:rsidRPr="00F153C3">
        <w:rPr>
          <w:rFonts w:cstheme="minorHAnsi"/>
          <w:sz w:val="22"/>
          <w:szCs w:val="22"/>
        </w:rPr>
        <w:t xml:space="preserve">. These factors may reflect the baseline demographics and tumour stage of each population group at </w:t>
      </w:r>
      <w:r>
        <w:rPr>
          <w:rFonts w:cstheme="minorHAnsi"/>
          <w:sz w:val="22"/>
          <w:szCs w:val="22"/>
        </w:rPr>
        <w:t xml:space="preserve">the </w:t>
      </w:r>
      <w:r w:rsidRPr="00F153C3">
        <w:rPr>
          <w:rFonts w:cstheme="minorHAnsi"/>
          <w:sz w:val="22"/>
          <w:szCs w:val="22"/>
        </w:rPr>
        <w:t xml:space="preserve">time of TACE therapy with patients in </w:t>
      </w:r>
      <w:r>
        <w:rPr>
          <w:rFonts w:cstheme="minorHAnsi"/>
          <w:sz w:val="22"/>
          <w:szCs w:val="22"/>
        </w:rPr>
        <w:t xml:space="preserve">the </w:t>
      </w:r>
      <w:r w:rsidRPr="00F153C3">
        <w:rPr>
          <w:rFonts w:cstheme="minorHAnsi"/>
          <w:sz w:val="22"/>
          <w:szCs w:val="22"/>
        </w:rPr>
        <w:t>Asian cohorts presenting at an older age, with</w:t>
      </w:r>
      <w:r>
        <w:rPr>
          <w:rFonts w:cstheme="minorHAnsi"/>
          <w:sz w:val="22"/>
          <w:szCs w:val="22"/>
        </w:rPr>
        <w:t xml:space="preserve"> higher rates of</w:t>
      </w:r>
      <w:r w:rsidRPr="00F153C3">
        <w:rPr>
          <w:rFonts w:cstheme="minorHAnsi"/>
          <w:sz w:val="22"/>
          <w:szCs w:val="22"/>
        </w:rPr>
        <w:t xml:space="preserve"> underlying HBV related </w:t>
      </w:r>
      <w:r>
        <w:rPr>
          <w:rFonts w:cstheme="minorHAnsi"/>
          <w:sz w:val="22"/>
          <w:szCs w:val="22"/>
        </w:rPr>
        <w:t>HCC</w:t>
      </w:r>
      <w:r w:rsidRPr="00F153C3">
        <w:rPr>
          <w:rFonts w:cstheme="minorHAnsi"/>
          <w:sz w:val="22"/>
          <w:szCs w:val="22"/>
        </w:rPr>
        <w:t xml:space="preserve"> and </w:t>
      </w:r>
      <w:r>
        <w:rPr>
          <w:rFonts w:cstheme="minorHAnsi"/>
          <w:sz w:val="22"/>
          <w:szCs w:val="22"/>
        </w:rPr>
        <w:t>lower</w:t>
      </w:r>
      <w:r w:rsidRPr="00F153C3">
        <w:rPr>
          <w:rFonts w:cstheme="minorHAnsi"/>
          <w:sz w:val="22"/>
          <w:szCs w:val="22"/>
        </w:rPr>
        <w:t xml:space="preserve"> </w:t>
      </w:r>
      <w:r>
        <w:rPr>
          <w:rFonts w:cstheme="minorHAnsi"/>
          <w:sz w:val="22"/>
          <w:szCs w:val="22"/>
        </w:rPr>
        <w:t>tumour burden as defined by both BCLC stage and</w:t>
      </w:r>
      <w:r w:rsidRPr="00F153C3">
        <w:rPr>
          <w:rFonts w:cstheme="minorHAnsi"/>
          <w:sz w:val="22"/>
          <w:szCs w:val="22"/>
        </w:rPr>
        <w:t xml:space="preserve"> </w:t>
      </w:r>
      <w:r>
        <w:rPr>
          <w:rFonts w:cstheme="minorHAnsi"/>
          <w:sz w:val="22"/>
          <w:szCs w:val="22"/>
        </w:rPr>
        <w:t>smaller</w:t>
      </w:r>
      <w:r w:rsidRPr="00F153C3">
        <w:rPr>
          <w:rFonts w:cstheme="minorHAnsi"/>
          <w:sz w:val="22"/>
          <w:szCs w:val="22"/>
        </w:rPr>
        <w:t xml:space="preserve"> median HCC diameter</w:t>
      </w:r>
      <w:r>
        <w:rPr>
          <w:rFonts w:cstheme="minorHAnsi"/>
          <w:sz w:val="22"/>
          <w:szCs w:val="22"/>
        </w:rPr>
        <w:t xml:space="preserve">. </w:t>
      </w: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r>
        <w:rPr>
          <w:rFonts w:cstheme="minorHAnsi"/>
          <w:sz w:val="22"/>
          <w:szCs w:val="22"/>
        </w:rPr>
        <w:t>Heterogeneity is also seen within the included Asian cohorts with key differences noted in baseline cohort characteristics. For example, the frequency of MVI was 18% in the study by Lui et al [40]</w:t>
      </w:r>
      <w:r w:rsidRPr="00E276B5">
        <w:rPr>
          <w:rFonts w:cstheme="minorHAnsi"/>
          <w:sz w:val="22"/>
          <w:szCs w:val="22"/>
        </w:rPr>
        <w:t xml:space="preserve">, and as high as 30% in the Japanese cohort in </w:t>
      </w:r>
      <w:proofErr w:type="spellStart"/>
      <w:r w:rsidRPr="00E276B5">
        <w:rPr>
          <w:rFonts w:cstheme="minorHAnsi"/>
          <w:sz w:val="22"/>
          <w:szCs w:val="22"/>
        </w:rPr>
        <w:t>Waked’s</w:t>
      </w:r>
      <w:proofErr w:type="spellEnd"/>
      <w:r w:rsidRPr="00E276B5">
        <w:rPr>
          <w:rFonts w:cstheme="minorHAnsi"/>
          <w:sz w:val="22"/>
          <w:szCs w:val="22"/>
        </w:rPr>
        <w:t xml:space="preserve"> study</w:t>
      </w:r>
      <w:r w:rsidR="00283208">
        <w:rPr>
          <w:rFonts w:cstheme="minorHAnsi"/>
          <w:sz w:val="22"/>
          <w:szCs w:val="22"/>
        </w:rPr>
        <w:t>,</w:t>
      </w:r>
      <w:r>
        <w:rPr>
          <w:rFonts w:cstheme="minorHAnsi"/>
          <w:sz w:val="22"/>
          <w:szCs w:val="22"/>
        </w:rPr>
        <w:t xml:space="preserve"> [34]</w:t>
      </w:r>
      <w:r w:rsidRPr="00E276B5">
        <w:rPr>
          <w:rFonts w:cstheme="minorHAnsi"/>
          <w:sz w:val="22"/>
          <w:szCs w:val="22"/>
        </w:rPr>
        <w:t xml:space="preserve"> while </w:t>
      </w:r>
      <w:r>
        <w:rPr>
          <w:rFonts w:cstheme="minorHAnsi"/>
          <w:sz w:val="22"/>
          <w:szCs w:val="22"/>
        </w:rPr>
        <w:t xml:space="preserve">another study from a single centre </w:t>
      </w:r>
      <w:r w:rsidRPr="00E276B5">
        <w:rPr>
          <w:rFonts w:cstheme="minorHAnsi"/>
          <w:sz w:val="22"/>
          <w:szCs w:val="22"/>
        </w:rPr>
        <w:t>Japanese cohort</w:t>
      </w:r>
      <w:r>
        <w:rPr>
          <w:rFonts w:ascii="Calibri" w:hAnsi="Calibri"/>
          <w:color w:val="000000"/>
          <w:sz w:val="22"/>
          <w:vertAlign w:val="superscript"/>
        </w:rPr>
        <w:t xml:space="preserve"> </w:t>
      </w:r>
      <w:r>
        <w:rPr>
          <w:rFonts w:cstheme="minorHAnsi"/>
          <w:sz w:val="22"/>
          <w:szCs w:val="22"/>
        </w:rPr>
        <w:t xml:space="preserve">[38] </w:t>
      </w:r>
      <w:r w:rsidRPr="00E276B5">
        <w:rPr>
          <w:rFonts w:cstheme="minorHAnsi"/>
          <w:sz w:val="22"/>
          <w:szCs w:val="22"/>
        </w:rPr>
        <w:t>included</w:t>
      </w:r>
      <w:r>
        <w:rPr>
          <w:rFonts w:cstheme="minorHAnsi"/>
          <w:sz w:val="22"/>
          <w:szCs w:val="22"/>
        </w:rPr>
        <w:t xml:space="preserve"> only patients with intermediate stage BCLC B disease without MVI or EHS. In addition, HCV related liver disease was more common in both the Japanese and Western cohorts, however </w:t>
      </w:r>
      <w:r w:rsidRPr="00F153C3">
        <w:rPr>
          <w:rFonts w:cstheme="minorHAnsi"/>
          <w:sz w:val="22"/>
          <w:szCs w:val="22"/>
        </w:rPr>
        <w:t xml:space="preserve">patients from </w:t>
      </w:r>
      <w:r>
        <w:rPr>
          <w:rFonts w:cstheme="minorHAnsi"/>
          <w:sz w:val="22"/>
          <w:szCs w:val="22"/>
        </w:rPr>
        <w:t xml:space="preserve">the </w:t>
      </w:r>
      <w:r w:rsidRPr="00F153C3">
        <w:rPr>
          <w:rFonts w:cstheme="minorHAnsi"/>
          <w:sz w:val="22"/>
          <w:szCs w:val="22"/>
        </w:rPr>
        <w:t>Western cohorts were younger</w:t>
      </w:r>
      <w:r>
        <w:rPr>
          <w:rFonts w:cstheme="minorHAnsi"/>
          <w:sz w:val="22"/>
          <w:szCs w:val="22"/>
        </w:rPr>
        <w:t xml:space="preserve"> and also had</w:t>
      </w:r>
      <w:r w:rsidRPr="00F153C3">
        <w:rPr>
          <w:rFonts w:cstheme="minorHAnsi"/>
          <w:sz w:val="22"/>
          <w:szCs w:val="22"/>
        </w:rPr>
        <w:t xml:space="preserve"> a greater proportion of </w:t>
      </w:r>
      <w:r>
        <w:rPr>
          <w:rFonts w:cstheme="minorHAnsi"/>
          <w:sz w:val="22"/>
          <w:szCs w:val="22"/>
        </w:rPr>
        <w:t>alcohol</w:t>
      </w:r>
      <w:r w:rsidRPr="00F153C3">
        <w:rPr>
          <w:rFonts w:cstheme="minorHAnsi"/>
          <w:sz w:val="22"/>
          <w:szCs w:val="22"/>
        </w:rPr>
        <w:t xml:space="preserve"> related liver disease particularly from Europe and </w:t>
      </w:r>
      <w:r>
        <w:rPr>
          <w:rFonts w:cstheme="minorHAnsi"/>
          <w:sz w:val="22"/>
          <w:szCs w:val="22"/>
        </w:rPr>
        <w:t xml:space="preserve">the </w:t>
      </w:r>
      <w:r w:rsidRPr="00F153C3">
        <w:rPr>
          <w:rFonts w:cstheme="minorHAnsi"/>
          <w:sz w:val="22"/>
          <w:szCs w:val="22"/>
        </w:rPr>
        <w:t>USA.</w:t>
      </w:r>
      <w:r>
        <w:rPr>
          <w:rFonts w:cstheme="minorHAnsi"/>
          <w:sz w:val="22"/>
          <w:szCs w:val="22"/>
        </w:rPr>
        <w:t xml:space="preserve"> </w:t>
      </w:r>
      <w:r w:rsidRPr="00F153C3">
        <w:rPr>
          <w:rFonts w:cstheme="minorHAnsi"/>
          <w:sz w:val="22"/>
          <w:szCs w:val="22"/>
        </w:rPr>
        <w:t>Interestingly</w:t>
      </w:r>
      <w:r>
        <w:rPr>
          <w:rFonts w:cstheme="minorHAnsi"/>
          <w:sz w:val="22"/>
          <w:szCs w:val="22"/>
        </w:rPr>
        <w:t>,</w:t>
      </w:r>
      <w:r w:rsidRPr="00F153C3">
        <w:rPr>
          <w:rFonts w:cstheme="minorHAnsi"/>
          <w:sz w:val="22"/>
          <w:szCs w:val="22"/>
        </w:rPr>
        <w:t xml:space="preserve"> patients within the European cohort also underwent TACE at a more advanced stage compared to the </w:t>
      </w:r>
      <w:r>
        <w:rPr>
          <w:rFonts w:cstheme="minorHAnsi"/>
          <w:sz w:val="22"/>
          <w:szCs w:val="22"/>
        </w:rPr>
        <w:t>North American cohort</w:t>
      </w:r>
      <w:r w:rsidRPr="00F153C3">
        <w:rPr>
          <w:rFonts w:cstheme="minorHAnsi"/>
          <w:sz w:val="22"/>
          <w:szCs w:val="22"/>
        </w:rPr>
        <w:t xml:space="preserve">.  Further subgroup analysis is limited however due to the significant number studies with missing variables such as BCLC staging data </w:t>
      </w:r>
      <w:r>
        <w:rPr>
          <w:rFonts w:cstheme="minorHAnsi"/>
          <w:sz w:val="22"/>
          <w:szCs w:val="22"/>
        </w:rPr>
        <w:t xml:space="preserve">as noted above. </w:t>
      </w:r>
      <w:r w:rsidRPr="00F153C3">
        <w:rPr>
          <w:rFonts w:cstheme="minorHAnsi"/>
          <w:sz w:val="22"/>
          <w:szCs w:val="22"/>
        </w:rPr>
        <w:t>There is</w:t>
      </w:r>
      <w:r>
        <w:rPr>
          <w:rFonts w:cstheme="minorHAnsi"/>
          <w:sz w:val="22"/>
          <w:szCs w:val="22"/>
        </w:rPr>
        <w:t>,</w:t>
      </w:r>
      <w:r w:rsidRPr="00F153C3">
        <w:rPr>
          <w:rFonts w:cstheme="minorHAnsi"/>
          <w:sz w:val="22"/>
          <w:szCs w:val="22"/>
        </w:rPr>
        <w:t xml:space="preserve"> however</w:t>
      </w:r>
      <w:r>
        <w:rPr>
          <w:rFonts w:cstheme="minorHAnsi"/>
          <w:sz w:val="22"/>
          <w:szCs w:val="22"/>
        </w:rPr>
        <w:t>,</w:t>
      </w:r>
      <w:r w:rsidRPr="00F153C3">
        <w:rPr>
          <w:rFonts w:cstheme="minorHAnsi"/>
          <w:sz w:val="22"/>
          <w:szCs w:val="22"/>
        </w:rPr>
        <w:t xml:space="preserve"> evidence that patients from </w:t>
      </w:r>
      <w:r>
        <w:rPr>
          <w:rFonts w:cstheme="minorHAnsi"/>
          <w:sz w:val="22"/>
          <w:szCs w:val="22"/>
        </w:rPr>
        <w:t xml:space="preserve">the </w:t>
      </w:r>
      <w:r w:rsidRPr="00F153C3">
        <w:rPr>
          <w:rFonts w:cstheme="minorHAnsi"/>
          <w:sz w:val="22"/>
          <w:szCs w:val="22"/>
        </w:rPr>
        <w:t>Liu et al</w:t>
      </w:r>
      <w:r>
        <w:rPr>
          <w:rFonts w:cstheme="minorHAnsi"/>
          <w:sz w:val="22"/>
          <w:szCs w:val="22"/>
        </w:rPr>
        <w:t>.</w:t>
      </w:r>
      <w:r w:rsidRPr="00F153C3">
        <w:rPr>
          <w:rFonts w:cstheme="minorHAnsi"/>
          <w:sz w:val="22"/>
          <w:szCs w:val="22"/>
        </w:rPr>
        <w:t xml:space="preserve"> </w:t>
      </w:r>
      <w:r>
        <w:rPr>
          <w:rFonts w:cstheme="minorHAnsi"/>
          <w:sz w:val="22"/>
          <w:szCs w:val="22"/>
        </w:rPr>
        <w:t>study [40]</w:t>
      </w:r>
      <w:r w:rsidRPr="00F153C3">
        <w:rPr>
          <w:rFonts w:cstheme="minorHAnsi"/>
          <w:sz w:val="22"/>
          <w:szCs w:val="22"/>
        </w:rPr>
        <w:t xml:space="preserve"> had more advanced HCC stage </w:t>
      </w:r>
      <w:r>
        <w:rPr>
          <w:rFonts w:cstheme="minorHAnsi"/>
          <w:sz w:val="22"/>
          <w:szCs w:val="22"/>
        </w:rPr>
        <w:t>as</w:t>
      </w:r>
      <w:r w:rsidRPr="00F153C3">
        <w:rPr>
          <w:rFonts w:cstheme="minorHAnsi"/>
          <w:sz w:val="22"/>
          <w:szCs w:val="22"/>
        </w:rPr>
        <w:t xml:space="preserve"> almost 50% present</w:t>
      </w:r>
      <w:r>
        <w:rPr>
          <w:rFonts w:cstheme="minorHAnsi"/>
          <w:sz w:val="22"/>
          <w:szCs w:val="22"/>
        </w:rPr>
        <w:t>ed</w:t>
      </w:r>
      <w:r w:rsidRPr="00F153C3">
        <w:rPr>
          <w:rFonts w:cstheme="minorHAnsi"/>
          <w:sz w:val="22"/>
          <w:szCs w:val="22"/>
        </w:rPr>
        <w:t xml:space="preserve"> with HCC &gt; 5cm, </w:t>
      </w:r>
      <w:r>
        <w:rPr>
          <w:rFonts w:cstheme="minorHAnsi"/>
          <w:sz w:val="22"/>
          <w:szCs w:val="22"/>
        </w:rPr>
        <w:t>and mean</w:t>
      </w:r>
      <w:r w:rsidRPr="00F153C3">
        <w:rPr>
          <w:rFonts w:cstheme="minorHAnsi"/>
          <w:sz w:val="22"/>
          <w:szCs w:val="22"/>
        </w:rPr>
        <w:t xml:space="preserve"> AFP </w:t>
      </w:r>
      <w:r>
        <w:rPr>
          <w:rFonts w:cstheme="minorHAnsi"/>
          <w:sz w:val="22"/>
          <w:szCs w:val="22"/>
        </w:rPr>
        <w:t xml:space="preserve">levels </w:t>
      </w:r>
      <w:r w:rsidRPr="00F153C3">
        <w:rPr>
          <w:rFonts w:cstheme="minorHAnsi"/>
          <w:sz w:val="22"/>
          <w:szCs w:val="22"/>
        </w:rPr>
        <w:t>and rate</w:t>
      </w:r>
      <w:r>
        <w:rPr>
          <w:rFonts w:cstheme="minorHAnsi"/>
          <w:sz w:val="22"/>
          <w:szCs w:val="22"/>
        </w:rPr>
        <w:t>s</w:t>
      </w:r>
      <w:r w:rsidRPr="00F153C3">
        <w:rPr>
          <w:rFonts w:cstheme="minorHAnsi"/>
          <w:sz w:val="22"/>
          <w:szCs w:val="22"/>
        </w:rPr>
        <w:t xml:space="preserve"> of </w:t>
      </w:r>
      <w:r>
        <w:rPr>
          <w:rFonts w:cstheme="minorHAnsi"/>
          <w:sz w:val="22"/>
          <w:szCs w:val="22"/>
        </w:rPr>
        <w:t>macrovascular invasion</w:t>
      </w:r>
      <w:r w:rsidRPr="00F153C3">
        <w:rPr>
          <w:rFonts w:cstheme="minorHAnsi"/>
          <w:sz w:val="22"/>
          <w:szCs w:val="22"/>
        </w:rPr>
        <w:t xml:space="preserve"> </w:t>
      </w:r>
      <w:r>
        <w:rPr>
          <w:rFonts w:cstheme="minorHAnsi"/>
          <w:sz w:val="22"/>
          <w:szCs w:val="22"/>
        </w:rPr>
        <w:t>were higher.</w:t>
      </w:r>
    </w:p>
    <w:p w:rsidR="00786F9B" w:rsidRPr="00F153C3"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r w:rsidRPr="00F153C3">
        <w:rPr>
          <w:rFonts w:cstheme="minorHAnsi"/>
          <w:sz w:val="22"/>
          <w:szCs w:val="22"/>
        </w:rPr>
        <w:t>Recently</w:t>
      </w:r>
      <w:r>
        <w:rPr>
          <w:rFonts w:cstheme="minorHAnsi"/>
          <w:sz w:val="22"/>
          <w:szCs w:val="22"/>
        </w:rPr>
        <w:t>,</w:t>
      </w:r>
      <w:r w:rsidRPr="00F153C3">
        <w:rPr>
          <w:rFonts w:cstheme="minorHAnsi"/>
          <w:sz w:val="22"/>
          <w:szCs w:val="22"/>
        </w:rPr>
        <w:t xml:space="preserve"> Xu et al</w:t>
      </w:r>
      <w:sdt>
        <w:sdtPr>
          <w:rPr>
            <w:rFonts w:ascii="Calibri" w:hAnsi="Calibri" w:cstheme="minorHAnsi"/>
            <w:color w:val="000000"/>
            <w:sz w:val="22"/>
            <w:szCs w:val="22"/>
          </w:rPr>
          <w:tag w:val="citation"/>
          <w:id w:val="-572502841"/>
          <w:placeholder>
            <w:docPart w:val="E64A715E5D0D2F46B49836C205445331"/>
          </w:placeholder>
        </w:sdtPr>
        <w:sdtEndPr/>
        <w:sdtContent>
          <w:r>
            <w:rPr>
              <w:rFonts w:ascii="Calibri" w:hAnsi="Calibri" w:cstheme="minorHAnsi"/>
              <w:color w:val="000000"/>
              <w:sz w:val="22"/>
              <w:szCs w:val="22"/>
            </w:rPr>
            <w:t>.[57]</w:t>
          </w:r>
        </w:sdtContent>
      </w:sdt>
      <w:r w:rsidRPr="00F153C3">
        <w:rPr>
          <w:rFonts w:cstheme="minorHAnsi"/>
          <w:sz w:val="22"/>
          <w:szCs w:val="22"/>
        </w:rPr>
        <w:t xml:space="preserve"> published a meta</w:t>
      </w:r>
      <w:r>
        <w:rPr>
          <w:rFonts w:cstheme="minorHAnsi"/>
          <w:sz w:val="22"/>
          <w:szCs w:val="22"/>
        </w:rPr>
        <w:t>-</w:t>
      </w:r>
      <w:r w:rsidRPr="00F153C3">
        <w:rPr>
          <w:rFonts w:cstheme="minorHAnsi"/>
          <w:sz w:val="22"/>
          <w:szCs w:val="22"/>
        </w:rPr>
        <w:t>analysis of the prognostic value of pre</w:t>
      </w:r>
      <w:r>
        <w:rPr>
          <w:rFonts w:cstheme="minorHAnsi"/>
          <w:sz w:val="22"/>
          <w:szCs w:val="22"/>
        </w:rPr>
        <w:t>-</w:t>
      </w:r>
      <w:r w:rsidRPr="00F153C3">
        <w:rPr>
          <w:rFonts w:cstheme="minorHAnsi"/>
          <w:sz w:val="22"/>
          <w:szCs w:val="22"/>
        </w:rPr>
        <w:t xml:space="preserve">treatment ALBI in patients with HCC who underwent various treatments including TACE. </w:t>
      </w:r>
      <w:r>
        <w:rPr>
          <w:rFonts w:cstheme="minorHAnsi"/>
          <w:sz w:val="22"/>
          <w:szCs w:val="22"/>
        </w:rPr>
        <w:t xml:space="preserve">The final 32 studies included in their meta-analysis were mainly derived from Asia (n=22) with significant heterogeneity </w:t>
      </w:r>
      <w:r w:rsidRPr="000C663A">
        <w:rPr>
          <w:rFonts w:cstheme="minorHAnsi"/>
          <w:sz w:val="22"/>
          <w:szCs w:val="22"/>
        </w:rPr>
        <w:t>(I</w:t>
      </w:r>
      <w:r w:rsidRPr="00D11573">
        <w:rPr>
          <w:rFonts w:cstheme="minorHAnsi"/>
          <w:sz w:val="22"/>
          <w:szCs w:val="22"/>
          <w:vertAlign w:val="superscript"/>
        </w:rPr>
        <w:t>2</w:t>
      </w:r>
      <w:r w:rsidRPr="000C663A">
        <w:rPr>
          <w:rFonts w:cstheme="minorHAnsi"/>
          <w:sz w:val="22"/>
          <w:szCs w:val="22"/>
        </w:rPr>
        <w:t>=83.7%,</w:t>
      </w:r>
      <w:r>
        <w:rPr>
          <w:rFonts w:cstheme="minorHAnsi"/>
          <w:sz w:val="22"/>
          <w:szCs w:val="22"/>
        </w:rPr>
        <w:t xml:space="preserve"> </w:t>
      </w:r>
      <w:r w:rsidRPr="000C663A">
        <w:rPr>
          <w:rFonts w:cstheme="minorHAnsi"/>
          <w:sz w:val="22"/>
          <w:szCs w:val="22"/>
        </w:rPr>
        <w:t>P=.000)</w:t>
      </w:r>
      <w:r>
        <w:rPr>
          <w:rFonts w:cstheme="minorHAnsi"/>
          <w:sz w:val="22"/>
          <w:szCs w:val="22"/>
        </w:rPr>
        <w:t xml:space="preserve"> in their overall cohort. Utilising the random effects model in their analysis they found high concordance between high ALBI grade and poor OS </w:t>
      </w:r>
      <w:r w:rsidRPr="00D11573">
        <w:rPr>
          <w:rFonts w:cstheme="minorHAnsi"/>
          <w:sz w:val="22"/>
          <w:szCs w:val="22"/>
        </w:rPr>
        <w:t>(HR = 1.577, 95%CI: 1.464–1.691, P =.000</w:t>
      </w:r>
      <w:r>
        <w:rPr>
          <w:rFonts w:cstheme="minorHAnsi"/>
          <w:sz w:val="22"/>
          <w:szCs w:val="22"/>
        </w:rPr>
        <w:t>) on multivariate analysis, with liver failure associated with mortality in 63.1% of cases. With regards to TACE, Xu et al</w:t>
      </w:r>
      <w:r>
        <w:rPr>
          <w:rFonts w:ascii="Calibri" w:hAnsi="Calibri" w:cstheme="minorHAnsi"/>
          <w:color w:val="000000"/>
          <w:sz w:val="22"/>
          <w:szCs w:val="22"/>
        </w:rPr>
        <w:t xml:space="preserve">. </w:t>
      </w:r>
      <w:sdt>
        <w:sdtPr>
          <w:rPr>
            <w:rFonts w:ascii="Calibri" w:hAnsi="Calibri" w:cstheme="minorHAnsi"/>
            <w:color w:val="000000"/>
            <w:sz w:val="22"/>
            <w:szCs w:val="22"/>
          </w:rPr>
          <w:tag w:val="citation"/>
          <w:id w:val="1700198636"/>
          <w:placeholder>
            <w:docPart w:val="223B523BAA6C7741BB4FD5F990312590"/>
          </w:placeholder>
        </w:sdtPr>
        <w:sdtEndPr/>
        <w:sdtContent>
          <w:r>
            <w:rPr>
              <w:rFonts w:ascii="Calibri" w:hAnsi="Calibri" w:cstheme="minorHAnsi"/>
              <w:color w:val="000000"/>
              <w:sz w:val="22"/>
              <w:szCs w:val="22"/>
            </w:rPr>
            <w:t>[57]</w:t>
          </w:r>
        </w:sdtContent>
      </w:sdt>
      <w:r>
        <w:rPr>
          <w:rFonts w:cstheme="minorHAnsi"/>
          <w:sz w:val="22"/>
          <w:szCs w:val="22"/>
        </w:rPr>
        <w:t xml:space="preserve"> performed treatment stratified analysis that included </w:t>
      </w:r>
      <w:r w:rsidR="002D3048">
        <w:rPr>
          <w:rFonts w:cstheme="minorHAnsi"/>
          <w:sz w:val="22"/>
          <w:szCs w:val="22"/>
        </w:rPr>
        <w:t xml:space="preserve">only </w:t>
      </w:r>
      <w:r>
        <w:rPr>
          <w:rFonts w:cstheme="minorHAnsi"/>
          <w:sz w:val="22"/>
          <w:szCs w:val="22"/>
        </w:rPr>
        <w:t xml:space="preserve">one TACE specific study, although many of the 32 studies included in their MA had subgroups with TACE treatment reflecting limitations of available data for analysis. The authors acknowledged these difficulties with many studies providing </w:t>
      </w:r>
      <w:r w:rsidRPr="00192078">
        <w:rPr>
          <w:rFonts w:cstheme="minorHAnsi"/>
          <w:sz w:val="22"/>
          <w:szCs w:val="22"/>
        </w:rPr>
        <w:t>HR</w:t>
      </w:r>
      <w:r>
        <w:rPr>
          <w:rFonts w:cstheme="minorHAnsi"/>
          <w:sz w:val="22"/>
          <w:szCs w:val="22"/>
        </w:rPr>
        <w:t>s</w:t>
      </w:r>
      <w:r w:rsidRPr="00192078">
        <w:rPr>
          <w:rFonts w:cstheme="minorHAnsi"/>
          <w:sz w:val="22"/>
          <w:szCs w:val="22"/>
        </w:rPr>
        <w:t xml:space="preserve"> with 95%CI</w:t>
      </w:r>
      <w:r>
        <w:rPr>
          <w:rFonts w:cstheme="minorHAnsi"/>
          <w:sz w:val="22"/>
          <w:szCs w:val="22"/>
        </w:rPr>
        <w:t xml:space="preserve"> from univariate analysis or as Kaplan Meier curves requiring extraction of data using the </w:t>
      </w:r>
      <w:proofErr w:type="spellStart"/>
      <w:r>
        <w:rPr>
          <w:rFonts w:cstheme="minorHAnsi"/>
          <w:sz w:val="22"/>
          <w:szCs w:val="22"/>
        </w:rPr>
        <w:t>Engauge</w:t>
      </w:r>
      <w:proofErr w:type="spellEnd"/>
      <w:r>
        <w:rPr>
          <w:rFonts w:cstheme="minorHAnsi"/>
          <w:sz w:val="22"/>
          <w:szCs w:val="22"/>
        </w:rPr>
        <w:t xml:space="preserve"> Digitizer software to convert graphs into numerical data, further increasing the heterogeneity of their overall cohort. Univariate analysis of the TACE specific data found significant correlation between ALBI grade and post TACE overall survival (HR =</w:t>
      </w:r>
      <w:r w:rsidRPr="008E09AA">
        <w:rPr>
          <w:rFonts w:cstheme="minorHAnsi"/>
          <w:sz w:val="22"/>
          <w:szCs w:val="22"/>
        </w:rPr>
        <w:t>1.5</w:t>
      </w:r>
      <w:r>
        <w:rPr>
          <w:rFonts w:cstheme="minorHAnsi"/>
          <w:sz w:val="22"/>
          <w:szCs w:val="22"/>
        </w:rPr>
        <w:t>9, 95% CI</w:t>
      </w:r>
      <w:r w:rsidRPr="008E09AA">
        <w:rPr>
          <w:rFonts w:cstheme="minorHAnsi"/>
          <w:sz w:val="22"/>
          <w:szCs w:val="22"/>
        </w:rPr>
        <w:t>(1.39–1.78)</w:t>
      </w:r>
      <w:r>
        <w:rPr>
          <w:rFonts w:cstheme="minorHAnsi"/>
          <w:sz w:val="22"/>
          <w:szCs w:val="22"/>
        </w:rPr>
        <w:t xml:space="preserve">, P=.000), however further subgroup analysis is limited due to the small sample size.  </w:t>
      </w:r>
    </w:p>
    <w:p w:rsidR="00786F9B" w:rsidRDefault="00786F9B" w:rsidP="00786F9B">
      <w:pPr>
        <w:spacing w:line="360" w:lineRule="auto"/>
        <w:jc w:val="both"/>
        <w:rPr>
          <w:rFonts w:cstheme="minorHAnsi"/>
          <w:sz w:val="22"/>
          <w:szCs w:val="22"/>
        </w:rPr>
      </w:pPr>
    </w:p>
    <w:p w:rsidR="009A0FDB" w:rsidRDefault="009A0FDB" w:rsidP="00C7495E">
      <w:pPr>
        <w:spacing w:line="360" w:lineRule="auto"/>
        <w:jc w:val="both"/>
        <w:rPr>
          <w:color w:val="FF0000"/>
          <w:sz w:val="22"/>
          <w:szCs w:val="22"/>
        </w:rPr>
      </w:pPr>
    </w:p>
    <w:p w:rsidR="004A3F80" w:rsidRPr="007E2ED8" w:rsidRDefault="00F1525E" w:rsidP="00C7495E">
      <w:pPr>
        <w:spacing w:line="360" w:lineRule="auto"/>
        <w:jc w:val="both"/>
        <w:rPr>
          <w:rFonts w:cstheme="minorHAnsi"/>
          <w:sz w:val="22"/>
          <w:szCs w:val="22"/>
          <w:lang w:val="en-US"/>
        </w:rPr>
      </w:pPr>
      <w:r w:rsidRPr="007E2ED8">
        <w:rPr>
          <w:sz w:val="22"/>
          <w:szCs w:val="22"/>
        </w:rPr>
        <w:lastRenderedPageBreak/>
        <w:t>Our stu</w:t>
      </w:r>
      <w:r w:rsidR="00D93153" w:rsidRPr="007E2ED8">
        <w:rPr>
          <w:sz w:val="22"/>
          <w:szCs w:val="22"/>
        </w:rPr>
        <w:t>dy also included</w:t>
      </w:r>
      <w:r w:rsidR="00D13A2B" w:rsidRPr="007E2ED8">
        <w:rPr>
          <w:sz w:val="22"/>
          <w:szCs w:val="22"/>
        </w:rPr>
        <w:t xml:space="preserve"> a subgroup analysis of the performance of the ALBI grade in comparison </w:t>
      </w:r>
      <w:r w:rsidRPr="007E2ED8">
        <w:rPr>
          <w:sz w:val="22"/>
          <w:szCs w:val="22"/>
        </w:rPr>
        <w:t>to</w:t>
      </w:r>
      <w:r w:rsidR="00D13A2B" w:rsidRPr="007E2ED8">
        <w:rPr>
          <w:sz w:val="22"/>
          <w:szCs w:val="22"/>
        </w:rPr>
        <w:t xml:space="preserve"> currently used prognostic tools including the Child Pugh </w:t>
      </w:r>
      <w:r w:rsidR="004A3F80" w:rsidRPr="007E2ED8">
        <w:rPr>
          <w:sz w:val="22"/>
          <w:szCs w:val="22"/>
        </w:rPr>
        <w:t>c</w:t>
      </w:r>
      <w:r w:rsidR="00D13A2B" w:rsidRPr="007E2ED8">
        <w:rPr>
          <w:sz w:val="22"/>
          <w:szCs w:val="22"/>
        </w:rPr>
        <w:t>lass and the BCLC stage.</w:t>
      </w:r>
      <w:r w:rsidRPr="007E2ED8">
        <w:rPr>
          <w:sz w:val="22"/>
          <w:szCs w:val="22"/>
        </w:rPr>
        <w:t xml:space="preserve"> Notably, t</w:t>
      </w:r>
      <w:r w:rsidR="00D13A2B" w:rsidRPr="007E2ED8">
        <w:rPr>
          <w:sz w:val="22"/>
          <w:szCs w:val="22"/>
          <w:lang w:val="en-US"/>
        </w:rPr>
        <w:t xml:space="preserve">he ALBI grade had superior prognostic ability to the Child Pugh grade </w:t>
      </w:r>
      <w:r w:rsidRPr="007E2ED8">
        <w:rPr>
          <w:sz w:val="22"/>
          <w:szCs w:val="22"/>
          <w:lang w:val="en-US"/>
        </w:rPr>
        <w:t xml:space="preserve">in </w:t>
      </w:r>
      <w:r w:rsidR="00D93153" w:rsidRPr="007E2ED8">
        <w:rPr>
          <w:sz w:val="22"/>
          <w:szCs w:val="22"/>
          <w:lang w:val="en-US"/>
        </w:rPr>
        <w:t>some</w:t>
      </w:r>
      <w:r w:rsidRPr="007E2ED8">
        <w:rPr>
          <w:sz w:val="22"/>
          <w:szCs w:val="22"/>
          <w:lang w:val="en-US"/>
        </w:rPr>
        <w:t xml:space="preserve"> </w:t>
      </w:r>
      <w:r w:rsidR="004A3F80" w:rsidRPr="007E2ED8">
        <w:rPr>
          <w:sz w:val="22"/>
          <w:szCs w:val="22"/>
          <w:lang w:val="en-US"/>
        </w:rPr>
        <w:t xml:space="preserve">but not all </w:t>
      </w:r>
      <w:r w:rsidRPr="007E2ED8">
        <w:rPr>
          <w:sz w:val="22"/>
          <w:szCs w:val="22"/>
          <w:lang w:val="en-US"/>
        </w:rPr>
        <w:t>studies</w:t>
      </w:r>
      <w:r w:rsidR="001F7B18" w:rsidRPr="007E2ED8">
        <w:rPr>
          <w:sz w:val="22"/>
          <w:szCs w:val="22"/>
          <w:lang w:val="en-US"/>
        </w:rPr>
        <w:t>.</w:t>
      </w:r>
      <w:r w:rsidR="00283208" w:rsidRPr="007E2ED8">
        <w:rPr>
          <w:sz w:val="22"/>
          <w:szCs w:val="22"/>
          <w:lang w:val="en-US"/>
        </w:rPr>
        <w:t>[34-36,</w:t>
      </w:r>
      <w:r w:rsidR="0095236C" w:rsidRPr="007E2ED8">
        <w:rPr>
          <w:sz w:val="22"/>
          <w:szCs w:val="22"/>
          <w:lang w:val="en-US"/>
        </w:rPr>
        <w:t xml:space="preserve"> </w:t>
      </w:r>
      <w:r w:rsidR="00E2478B" w:rsidRPr="007E2ED8">
        <w:rPr>
          <w:sz w:val="22"/>
          <w:szCs w:val="22"/>
          <w:lang w:val="en-US"/>
        </w:rPr>
        <w:t>40</w:t>
      </w:r>
      <w:r w:rsidR="00283208" w:rsidRPr="007E2ED8">
        <w:rPr>
          <w:sz w:val="22"/>
          <w:szCs w:val="22"/>
          <w:lang w:val="en-US"/>
        </w:rPr>
        <w:t>]</w:t>
      </w:r>
      <w:r w:rsidRPr="007E2ED8">
        <w:rPr>
          <w:sz w:val="22"/>
          <w:szCs w:val="22"/>
          <w:lang w:val="en-US"/>
        </w:rPr>
        <w:t xml:space="preserve"> </w:t>
      </w:r>
      <w:r w:rsidR="00D13A2B" w:rsidRPr="007E2ED8">
        <w:rPr>
          <w:sz w:val="22"/>
          <w:szCs w:val="22"/>
          <w:lang w:val="en-US"/>
        </w:rPr>
        <w:t xml:space="preserve">Whilst these results are encouraging it is important to consider the variation in sample size in each the cohorts, </w:t>
      </w:r>
      <w:r w:rsidR="004A3F80" w:rsidRPr="007E2ED8">
        <w:rPr>
          <w:sz w:val="22"/>
          <w:szCs w:val="22"/>
          <w:lang w:val="en-US"/>
        </w:rPr>
        <w:t xml:space="preserve">and </w:t>
      </w:r>
      <w:r w:rsidR="00D13A2B" w:rsidRPr="007E2ED8">
        <w:rPr>
          <w:sz w:val="22"/>
          <w:szCs w:val="22"/>
          <w:lang w:val="en-US"/>
        </w:rPr>
        <w:t xml:space="preserve">in particular </w:t>
      </w:r>
      <w:r w:rsidR="004A3F80" w:rsidRPr="007E2ED8">
        <w:rPr>
          <w:sz w:val="22"/>
          <w:szCs w:val="22"/>
          <w:lang w:val="en-US"/>
        </w:rPr>
        <w:t xml:space="preserve">the </w:t>
      </w:r>
      <w:r w:rsidR="00D13A2B" w:rsidRPr="007E2ED8">
        <w:rPr>
          <w:sz w:val="22"/>
          <w:szCs w:val="22"/>
          <w:lang w:val="en-US"/>
        </w:rPr>
        <w:t>small number of patients with each cohort included in the sub stratification of the CP</w:t>
      </w:r>
      <w:r w:rsidR="004A3F80" w:rsidRPr="007E2ED8">
        <w:rPr>
          <w:sz w:val="22"/>
          <w:szCs w:val="22"/>
          <w:lang w:val="en-US"/>
        </w:rPr>
        <w:t xml:space="preserve"> class</w:t>
      </w:r>
      <w:r w:rsidR="00D13A2B" w:rsidRPr="007E2ED8">
        <w:rPr>
          <w:sz w:val="22"/>
          <w:szCs w:val="22"/>
          <w:lang w:val="en-US"/>
        </w:rPr>
        <w:t xml:space="preserve"> and BCLC stage according to ALBI grade (Supplementary table 4).</w:t>
      </w:r>
      <w:r w:rsidRPr="007E2ED8">
        <w:rPr>
          <w:sz w:val="22"/>
          <w:szCs w:val="22"/>
          <w:lang w:val="en-US"/>
        </w:rPr>
        <w:t xml:space="preserve"> </w:t>
      </w:r>
      <w:r w:rsidR="004A3F80" w:rsidRPr="007E2ED8">
        <w:rPr>
          <w:sz w:val="22"/>
          <w:szCs w:val="22"/>
          <w:lang w:val="en-US"/>
        </w:rPr>
        <w:t xml:space="preserve">In addition, heterogeneity existed among studies </w:t>
      </w:r>
      <w:r w:rsidR="004A3F80" w:rsidRPr="007E2ED8">
        <w:rPr>
          <w:sz w:val="22"/>
          <w:szCs w:val="22"/>
        </w:rPr>
        <w:t xml:space="preserve">with </w:t>
      </w:r>
      <w:r w:rsidR="00D13A2B" w:rsidRPr="007E2ED8">
        <w:rPr>
          <w:sz w:val="22"/>
          <w:szCs w:val="22"/>
        </w:rPr>
        <w:t xml:space="preserve">Pinato et al </w:t>
      </w:r>
      <w:r w:rsidR="004A3F80" w:rsidRPr="007E2ED8">
        <w:rPr>
          <w:sz w:val="22"/>
          <w:szCs w:val="22"/>
        </w:rPr>
        <w:t>finding</w:t>
      </w:r>
      <w:r w:rsidR="00D13A2B" w:rsidRPr="007E2ED8">
        <w:rPr>
          <w:sz w:val="22"/>
          <w:szCs w:val="22"/>
        </w:rPr>
        <w:t xml:space="preserve"> </w:t>
      </w:r>
      <w:r w:rsidR="004A3F80" w:rsidRPr="007E2ED8">
        <w:rPr>
          <w:sz w:val="22"/>
          <w:szCs w:val="22"/>
        </w:rPr>
        <w:t>that the</w:t>
      </w:r>
      <w:r w:rsidR="00D13A2B" w:rsidRPr="007E2ED8">
        <w:rPr>
          <w:sz w:val="22"/>
          <w:szCs w:val="22"/>
        </w:rPr>
        <w:t xml:space="preserve"> discriminatory ability of the ALBI grade, BCLC stage, and CPC were similar</w:t>
      </w:r>
      <w:r w:rsidR="00270777" w:rsidRPr="007E2ED8">
        <w:rPr>
          <w:sz w:val="22"/>
          <w:szCs w:val="22"/>
        </w:rPr>
        <w:t>.</w:t>
      </w:r>
      <w:r w:rsidR="001F7B18" w:rsidRPr="007E2ED8">
        <w:rPr>
          <w:sz w:val="22"/>
          <w:szCs w:val="22"/>
        </w:rPr>
        <w:t>[28]</w:t>
      </w:r>
      <w:r w:rsidR="00270777" w:rsidRPr="007E2ED8">
        <w:rPr>
          <w:sz w:val="22"/>
          <w:szCs w:val="22"/>
        </w:rPr>
        <w:t xml:space="preserve"> </w:t>
      </w:r>
      <w:r w:rsidR="00D13A2B" w:rsidRPr="007E2ED8">
        <w:rPr>
          <w:sz w:val="22"/>
          <w:szCs w:val="22"/>
        </w:rPr>
        <w:t xml:space="preserve"> </w:t>
      </w:r>
      <w:r w:rsidR="002C4CAE" w:rsidRPr="007E2ED8">
        <w:rPr>
          <w:rFonts w:cstheme="minorHAnsi"/>
          <w:sz w:val="22"/>
          <w:szCs w:val="22"/>
          <w:lang w:val="en-US"/>
        </w:rPr>
        <w:t>Still, the results of the comparative analysis are limited in their interpretability in most studies due to the small number of patients within certain subgroups. In particular, there were very few patients in the groups reflective of advanced liver disease and tumour burden, classified as ALBI grade 3, BCLC stage C and CPC-C across all included studies.</w:t>
      </w:r>
    </w:p>
    <w:p w:rsidR="004A3F80" w:rsidRPr="007E2ED8" w:rsidRDefault="004A3F80" w:rsidP="00270777">
      <w:pPr>
        <w:spacing w:line="360" w:lineRule="auto"/>
        <w:rPr>
          <w:sz w:val="22"/>
          <w:szCs w:val="22"/>
        </w:rPr>
      </w:pPr>
    </w:p>
    <w:p w:rsidR="002C4CAE" w:rsidRPr="007E2ED8" w:rsidRDefault="003D3E5F" w:rsidP="00D93153">
      <w:pPr>
        <w:spacing w:line="360" w:lineRule="auto"/>
        <w:jc w:val="both"/>
        <w:rPr>
          <w:sz w:val="22"/>
          <w:szCs w:val="22"/>
        </w:rPr>
      </w:pPr>
      <w:r w:rsidRPr="007E2ED8">
        <w:rPr>
          <w:sz w:val="22"/>
          <w:szCs w:val="22"/>
        </w:rPr>
        <w:t xml:space="preserve">The </w:t>
      </w:r>
      <w:r w:rsidR="00D13A2B" w:rsidRPr="007E2ED8">
        <w:rPr>
          <w:sz w:val="22"/>
          <w:szCs w:val="22"/>
        </w:rPr>
        <w:t>ALBI grade</w:t>
      </w:r>
      <w:r w:rsidRPr="007E2ED8">
        <w:rPr>
          <w:sz w:val="22"/>
          <w:szCs w:val="22"/>
        </w:rPr>
        <w:t xml:space="preserve"> </w:t>
      </w:r>
      <w:r w:rsidR="004A3F80" w:rsidRPr="007E2ED8">
        <w:rPr>
          <w:sz w:val="22"/>
          <w:szCs w:val="22"/>
        </w:rPr>
        <w:t xml:space="preserve">also </w:t>
      </w:r>
      <w:r w:rsidR="005A1A5A" w:rsidRPr="007E2ED8">
        <w:rPr>
          <w:sz w:val="22"/>
          <w:szCs w:val="22"/>
        </w:rPr>
        <w:t xml:space="preserve">had a variable performance in </w:t>
      </w:r>
      <w:r w:rsidRPr="007E2ED8">
        <w:rPr>
          <w:sz w:val="22"/>
          <w:szCs w:val="22"/>
        </w:rPr>
        <w:t>improv</w:t>
      </w:r>
      <w:r w:rsidR="005A1A5A" w:rsidRPr="007E2ED8">
        <w:rPr>
          <w:sz w:val="22"/>
          <w:szCs w:val="22"/>
        </w:rPr>
        <w:t>ing</w:t>
      </w:r>
      <w:r w:rsidR="00270777" w:rsidRPr="007E2ED8">
        <w:rPr>
          <w:sz w:val="22"/>
          <w:szCs w:val="22"/>
        </w:rPr>
        <w:t xml:space="preserve"> the discr</w:t>
      </w:r>
      <w:r w:rsidR="00D93153" w:rsidRPr="007E2ED8">
        <w:rPr>
          <w:sz w:val="22"/>
          <w:szCs w:val="22"/>
        </w:rPr>
        <w:t xml:space="preserve">iminatory function of the BCLC </w:t>
      </w:r>
      <w:r w:rsidR="00507251" w:rsidRPr="007E2ED8">
        <w:rPr>
          <w:sz w:val="22"/>
          <w:szCs w:val="22"/>
        </w:rPr>
        <w:t>and CP class</w:t>
      </w:r>
      <w:r w:rsidR="00270777" w:rsidRPr="007E2ED8">
        <w:rPr>
          <w:sz w:val="22"/>
          <w:szCs w:val="22"/>
        </w:rPr>
        <w:t>,</w:t>
      </w:r>
      <w:r w:rsidR="008640CF" w:rsidRPr="007E2ED8">
        <w:rPr>
          <w:sz w:val="22"/>
          <w:szCs w:val="22"/>
        </w:rPr>
        <w:t xml:space="preserve"> </w:t>
      </w:r>
      <w:r w:rsidRPr="007E2ED8">
        <w:rPr>
          <w:sz w:val="22"/>
          <w:szCs w:val="22"/>
        </w:rPr>
        <w:t>ranging from significant (C-index 0.917)</w:t>
      </w:r>
      <w:r w:rsidR="0095236C" w:rsidRPr="007E2ED8">
        <w:rPr>
          <w:sz w:val="22"/>
          <w:szCs w:val="22"/>
        </w:rPr>
        <w:t>, [35]</w:t>
      </w:r>
      <w:r w:rsidRPr="007E2ED8">
        <w:rPr>
          <w:sz w:val="22"/>
          <w:szCs w:val="22"/>
        </w:rPr>
        <w:t xml:space="preserve"> to </w:t>
      </w:r>
      <w:r w:rsidR="008640CF" w:rsidRPr="007E2ED8">
        <w:rPr>
          <w:sz w:val="22"/>
          <w:szCs w:val="22"/>
        </w:rPr>
        <w:t>below</w:t>
      </w:r>
      <w:r w:rsidR="00D93153" w:rsidRPr="007E2ED8">
        <w:rPr>
          <w:sz w:val="22"/>
          <w:szCs w:val="22"/>
        </w:rPr>
        <w:t xml:space="preserve"> adequate</w:t>
      </w:r>
      <w:r w:rsidR="00D13A2B" w:rsidRPr="007E2ED8">
        <w:rPr>
          <w:sz w:val="22"/>
          <w:szCs w:val="22"/>
        </w:rPr>
        <w:t xml:space="preserve"> cut off for clinical use (C-index 0.65).</w:t>
      </w:r>
      <w:r w:rsidR="0095236C" w:rsidRPr="007E2ED8">
        <w:rPr>
          <w:sz w:val="22"/>
          <w:szCs w:val="22"/>
        </w:rPr>
        <w:t xml:space="preserve"> [28]</w:t>
      </w:r>
      <w:r w:rsidR="00D13A2B" w:rsidRPr="007E2ED8">
        <w:rPr>
          <w:sz w:val="22"/>
          <w:szCs w:val="22"/>
        </w:rPr>
        <w:t xml:space="preserve"> These results suggest that incorporation </w:t>
      </w:r>
      <w:r w:rsidR="007A40F5" w:rsidRPr="007E2ED8">
        <w:rPr>
          <w:sz w:val="22"/>
          <w:szCs w:val="22"/>
        </w:rPr>
        <w:t>of paramet</w:t>
      </w:r>
      <w:r w:rsidR="004A3F80" w:rsidRPr="007E2ED8">
        <w:rPr>
          <w:sz w:val="22"/>
          <w:szCs w:val="22"/>
        </w:rPr>
        <w:t xml:space="preserve">ers </w:t>
      </w:r>
      <w:r w:rsidR="007A40F5" w:rsidRPr="007E2ED8">
        <w:rPr>
          <w:sz w:val="22"/>
          <w:szCs w:val="22"/>
        </w:rPr>
        <w:t xml:space="preserve">reflective of </w:t>
      </w:r>
      <w:r w:rsidR="00D13A2B" w:rsidRPr="007E2ED8">
        <w:rPr>
          <w:sz w:val="22"/>
          <w:szCs w:val="22"/>
        </w:rPr>
        <w:t>tumour burden</w:t>
      </w:r>
      <w:r w:rsidR="007A40F5" w:rsidRPr="007E2ED8">
        <w:rPr>
          <w:sz w:val="22"/>
          <w:szCs w:val="22"/>
        </w:rPr>
        <w:t xml:space="preserve"> including,</w:t>
      </w:r>
      <w:r w:rsidR="00D13A2B" w:rsidRPr="007E2ED8">
        <w:rPr>
          <w:sz w:val="22"/>
          <w:szCs w:val="22"/>
        </w:rPr>
        <w:t xml:space="preserve"> tumour size</w:t>
      </w:r>
      <w:r w:rsidR="00D93153" w:rsidRPr="007E2ED8">
        <w:rPr>
          <w:sz w:val="22"/>
          <w:szCs w:val="22"/>
        </w:rPr>
        <w:t>, macrovascular invasion</w:t>
      </w:r>
      <w:r w:rsidR="009729B4" w:rsidRPr="007E2ED8">
        <w:rPr>
          <w:sz w:val="22"/>
          <w:szCs w:val="22"/>
        </w:rPr>
        <w:t>,</w:t>
      </w:r>
      <w:r w:rsidR="00D13A2B" w:rsidRPr="007E2ED8">
        <w:rPr>
          <w:sz w:val="22"/>
          <w:szCs w:val="22"/>
        </w:rPr>
        <w:t xml:space="preserve"> </w:t>
      </w:r>
      <w:r w:rsidR="00D93153" w:rsidRPr="007E2ED8">
        <w:rPr>
          <w:sz w:val="22"/>
          <w:szCs w:val="22"/>
        </w:rPr>
        <w:t>extrahepatic spread and tumour markers such as AFP</w:t>
      </w:r>
      <w:r w:rsidR="00D13A2B" w:rsidRPr="007E2ED8">
        <w:rPr>
          <w:sz w:val="22"/>
          <w:szCs w:val="22"/>
        </w:rPr>
        <w:t xml:space="preserve"> </w:t>
      </w:r>
      <w:r w:rsidR="00D93153" w:rsidRPr="007E2ED8">
        <w:rPr>
          <w:sz w:val="22"/>
          <w:szCs w:val="22"/>
        </w:rPr>
        <w:t>remain</w:t>
      </w:r>
      <w:r w:rsidR="00D13A2B" w:rsidRPr="007E2ED8">
        <w:rPr>
          <w:sz w:val="22"/>
          <w:szCs w:val="22"/>
        </w:rPr>
        <w:t xml:space="preserve"> important prognostic factors as </w:t>
      </w:r>
      <w:r w:rsidR="00D93153" w:rsidRPr="007E2ED8">
        <w:rPr>
          <w:sz w:val="22"/>
          <w:szCs w:val="22"/>
        </w:rPr>
        <w:t>has been demonstrated in several multi-</w:t>
      </w:r>
      <w:r w:rsidR="00D13A2B" w:rsidRPr="007E2ED8">
        <w:rPr>
          <w:sz w:val="22"/>
          <w:szCs w:val="22"/>
        </w:rPr>
        <w:t>variate analys</w:t>
      </w:r>
      <w:r w:rsidR="00D93153" w:rsidRPr="007E2ED8">
        <w:rPr>
          <w:sz w:val="22"/>
          <w:szCs w:val="22"/>
        </w:rPr>
        <w:t>e</w:t>
      </w:r>
      <w:r w:rsidR="00D13A2B" w:rsidRPr="007E2ED8">
        <w:rPr>
          <w:sz w:val="22"/>
          <w:szCs w:val="22"/>
        </w:rPr>
        <w:t>s</w:t>
      </w:r>
      <w:r w:rsidR="0095236C" w:rsidRPr="007E2ED8">
        <w:rPr>
          <w:sz w:val="22"/>
          <w:szCs w:val="22"/>
        </w:rPr>
        <w:t>. [28, 34, 36</w:t>
      </w:r>
      <w:r w:rsidR="00A24B8D" w:rsidRPr="007E2ED8">
        <w:rPr>
          <w:sz w:val="22"/>
          <w:szCs w:val="22"/>
        </w:rPr>
        <w:t>,38,</w:t>
      </w:r>
      <w:r w:rsidR="0095236C" w:rsidRPr="007E2ED8">
        <w:rPr>
          <w:sz w:val="22"/>
          <w:szCs w:val="22"/>
        </w:rPr>
        <w:t>39]</w:t>
      </w:r>
    </w:p>
    <w:p w:rsidR="00251213" w:rsidRPr="007E2ED8" w:rsidRDefault="00251213" w:rsidP="00270777">
      <w:pPr>
        <w:spacing w:line="360" w:lineRule="auto"/>
        <w:rPr>
          <w:rFonts w:eastAsiaTheme="minorHAnsi"/>
          <w:sz w:val="22"/>
          <w:szCs w:val="22"/>
          <w:lang w:val="en-US"/>
        </w:rPr>
      </w:pPr>
    </w:p>
    <w:p w:rsidR="00036C88" w:rsidRPr="007E2ED8" w:rsidRDefault="00F42AD5" w:rsidP="00D93153">
      <w:pPr>
        <w:autoSpaceDE w:val="0"/>
        <w:autoSpaceDN w:val="0"/>
        <w:adjustRightInd w:val="0"/>
        <w:spacing w:line="360" w:lineRule="auto"/>
        <w:jc w:val="both"/>
        <w:rPr>
          <w:sz w:val="22"/>
          <w:szCs w:val="22"/>
          <w:lang w:val="en-US"/>
        </w:rPr>
      </w:pPr>
      <w:r w:rsidRPr="007E2ED8">
        <w:rPr>
          <w:sz w:val="22"/>
          <w:szCs w:val="22"/>
          <w:lang w:val="en-US"/>
        </w:rPr>
        <w:t xml:space="preserve">Overall, the </w:t>
      </w:r>
      <w:r w:rsidR="007740C8" w:rsidRPr="007E2ED8">
        <w:rPr>
          <w:sz w:val="22"/>
          <w:szCs w:val="22"/>
          <w:lang w:val="en-US"/>
        </w:rPr>
        <w:t>ALBI grade is an adjunct tool in the assessment of</w:t>
      </w:r>
      <w:r w:rsidRPr="007E2ED8">
        <w:rPr>
          <w:sz w:val="22"/>
          <w:szCs w:val="22"/>
          <w:lang w:val="en-US"/>
        </w:rPr>
        <w:t xml:space="preserve"> prognosis in patients with HCC</w:t>
      </w:r>
      <w:r w:rsidR="00D93153" w:rsidRPr="007E2ED8">
        <w:rPr>
          <w:sz w:val="22"/>
          <w:szCs w:val="22"/>
          <w:lang w:val="en-US"/>
        </w:rPr>
        <w:t xml:space="preserve"> having TACE</w:t>
      </w:r>
      <w:r w:rsidR="007740C8" w:rsidRPr="007E2ED8">
        <w:rPr>
          <w:sz w:val="22"/>
          <w:szCs w:val="22"/>
          <w:lang w:val="en-US"/>
        </w:rPr>
        <w:t xml:space="preserve"> as post TACE hepatic dysfunction is one of the most common complication</w:t>
      </w:r>
      <w:r w:rsidR="00D93153" w:rsidRPr="007E2ED8">
        <w:rPr>
          <w:sz w:val="22"/>
          <w:szCs w:val="22"/>
          <w:lang w:val="en-US"/>
        </w:rPr>
        <w:t>s and</w:t>
      </w:r>
      <w:r w:rsidR="007740C8" w:rsidRPr="007E2ED8">
        <w:rPr>
          <w:sz w:val="22"/>
          <w:szCs w:val="22"/>
          <w:lang w:val="en-US"/>
        </w:rPr>
        <w:t xml:space="preserve"> a </w:t>
      </w:r>
      <w:r w:rsidR="00D93153" w:rsidRPr="007E2ED8">
        <w:rPr>
          <w:sz w:val="22"/>
          <w:szCs w:val="22"/>
          <w:lang w:val="en-US"/>
        </w:rPr>
        <w:t xml:space="preserve">significant </w:t>
      </w:r>
      <w:r w:rsidR="007740C8" w:rsidRPr="007E2ED8">
        <w:rPr>
          <w:sz w:val="22"/>
          <w:szCs w:val="22"/>
          <w:lang w:val="en-US"/>
        </w:rPr>
        <w:t xml:space="preserve">competing cause of mortality </w:t>
      </w:r>
      <w:r w:rsidR="00D93153" w:rsidRPr="007E2ED8">
        <w:rPr>
          <w:sz w:val="22"/>
          <w:szCs w:val="22"/>
          <w:lang w:val="en-US"/>
        </w:rPr>
        <w:t>along with</w:t>
      </w:r>
      <w:r w:rsidR="007740C8" w:rsidRPr="007E2ED8">
        <w:rPr>
          <w:sz w:val="22"/>
          <w:szCs w:val="22"/>
          <w:lang w:val="en-US"/>
        </w:rPr>
        <w:t xml:space="preserve"> tumour burden</w:t>
      </w:r>
      <w:r w:rsidR="006216AD" w:rsidRPr="007E2ED8">
        <w:rPr>
          <w:sz w:val="22"/>
          <w:szCs w:val="22"/>
          <w:lang w:val="en-US"/>
        </w:rPr>
        <w:t>.</w:t>
      </w:r>
      <w:r w:rsidR="00647F27" w:rsidRPr="007E2ED8">
        <w:rPr>
          <w:sz w:val="22"/>
          <w:szCs w:val="22"/>
          <w:lang w:val="en-US"/>
        </w:rPr>
        <w:t xml:space="preserve"> </w:t>
      </w:r>
      <w:r w:rsidR="006216AD" w:rsidRPr="007E2ED8">
        <w:rPr>
          <w:sz w:val="22"/>
          <w:szCs w:val="22"/>
          <w:lang w:val="en-US"/>
        </w:rPr>
        <w:t>[10</w:t>
      </w:r>
      <w:r w:rsidR="00647F27" w:rsidRPr="007E2ED8">
        <w:rPr>
          <w:sz w:val="22"/>
          <w:szCs w:val="22"/>
          <w:lang w:val="en-US"/>
        </w:rPr>
        <w:t>,18</w:t>
      </w:r>
      <w:r w:rsidR="006216AD" w:rsidRPr="007E2ED8">
        <w:rPr>
          <w:sz w:val="22"/>
          <w:szCs w:val="22"/>
          <w:lang w:val="en-US"/>
        </w:rPr>
        <w:t>]</w:t>
      </w:r>
      <w:r w:rsidR="007740C8" w:rsidRPr="007E2ED8">
        <w:rPr>
          <w:sz w:val="22"/>
          <w:szCs w:val="22"/>
          <w:lang w:val="en-US"/>
        </w:rPr>
        <w:t xml:space="preserve"> In a comparative group of patients treated with repeat TACE prior to sorafenib commencement, </w:t>
      </w:r>
      <w:r w:rsidR="00AE4C01" w:rsidRPr="007E2ED8">
        <w:rPr>
          <w:sz w:val="22"/>
          <w:szCs w:val="22"/>
          <w:lang w:val="en-US"/>
        </w:rPr>
        <w:t xml:space="preserve">Hiraoka </w:t>
      </w:r>
      <w:r w:rsidR="007740C8" w:rsidRPr="007E2ED8">
        <w:rPr>
          <w:sz w:val="22"/>
          <w:szCs w:val="22"/>
          <w:lang w:val="en-US"/>
        </w:rPr>
        <w:t>et al demonstrated t</w:t>
      </w:r>
      <w:r w:rsidR="00251213" w:rsidRPr="007E2ED8">
        <w:rPr>
          <w:sz w:val="22"/>
          <w:szCs w:val="22"/>
          <w:lang w:val="en-US"/>
        </w:rPr>
        <w:t xml:space="preserve">he ALBI grade was a more sensitive marker of worsening hepatic function compared to the CPC, and patients that were ALBI 1 grade prior to commencing Sorafenib had significantly better outcomes compared to patients that were ALBI grade 2, OS </w:t>
      </w:r>
      <w:r w:rsidR="00251213" w:rsidRPr="007E2ED8">
        <w:rPr>
          <w:iCs/>
          <w:sz w:val="22"/>
          <w:szCs w:val="22"/>
          <w:lang w:val="en-US"/>
        </w:rPr>
        <w:t>10.9 vs. 10.04 months respectively (p = 0.001)</w:t>
      </w:r>
      <w:r w:rsidR="00251213" w:rsidRPr="007E2ED8">
        <w:rPr>
          <w:sz w:val="22"/>
          <w:szCs w:val="22"/>
          <w:lang w:val="en-US"/>
        </w:rPr>
        <w:t>.</w:t>
      </w:r>
      <w:r w:rsidR="00AE4C01" w:rsidRPr="007E2ED8">
        <w:rPr>
          <w:sz w:val="22"/>
          <w:szCs w:val="22"/>
          <w:lang w:val="en-US"/>
        </w:rPr>
        <w:t xml:space="preserve">[38] </w:t>
      </w:r>
      <w:r w:rsidR="00251213" w:rsidRPr="007E2ED8">
        <w:rPr>
          <w:sz w:val="22"/>
          <w:szCs w:val="22"/>
          <w:lang w:val="en-US"/>
        </w:rPr>
        <w:t xml:space="preserve">These results </w:t>
      </w:r>
      <w:r w:rsidR="007D4560" w:rsidRPr="007E2ED8">
        <w:rPr>
          <w:sz w:val="22"/>
          <w:szCs w:val="22"/>
          <w:lang w:val="en-US"/>
        </w:rPr>
        <w:t>were a</w:t>
      </w:r>
      <w:r w:rsidR="00481D72" w:rsidRPr="007E2ED8">
        <w:rPr>
          <w:sz w:val="22"/>
          <w:szCs w:val="22"/>
          <w:lang w:val="en-US"/>
        </w:rPr>
        <w:t>lso</w:t>
      </w:r>
      <w:r w:rsidR="00251213" w:rsidRPr="007E2ED8">
        <w:rPr>
          <w:sz w:val="22"/>
          <w:szCs w:val="22"/>
          <w:lang w:val="en-US"/>
        </w:rPr>
        <w:t xml:space="preserve"> </w:t>
      </w:r>
      <w:r w:rsidR="00BA2296" w:rsidRPr="007E2ED8">
        <w:rPr>
          <w:sz w:val="22"/>
          <w:szCs w:val="22"/>
          <w:lang w:val="en-US"/>
        </w:rPr>
        <w:t>demonstrated in the multinational study</w:t>
      </w:r>
      <w:r w:rsidR="00251213" w:rsidRPr="007E2ED8">
        <w:rPr>
          <w:sz w:val="22"/>
          <w:szCs w:val="22"/>
          <w:lang w:val="en-US"/>
        </w:rPr>
        <w:t xml:space="preserve"> by Pinato et al, and </w:t>
      </w:r>
      <w:r w:rsidR="00EE6E8D" w:rsidRPr="007E2ED8">
        <w:rPr>
          <w:sz w:val="22"/>
          <w:szCs w:val="22"/>
          <w:lang w:val="en-US"/>
        </w:rPr>
        <w:t>support</w:t>
      </w:r>
      <w:r w:rsidR="00BA2296" w:rsidRPr="007E2ED8">
        <w:rPr>
          <w:sz w:val="22"/>
          <w:szCs w:val="22"/>
          <w:lang w:val="en-US"/>
        </w:rPr>
        <w:t>s</w:t>
      </w:r>
      <w:r w:rsidR="00EE6E8D" w:rsidRPr="007E2ED8">
        <w:rPr>
          <w:sz w:val="22"/>
          <w:szCs w:val="22"/>
          <w:lang w:val="en-US"/>
        </w:rPr>
        <w:t xml:space="preserve"> the</w:t>
      </w:r>
      <w:r w:rsidR="00481D72" w:rsidRPr="007E2ED8">
        <w:rPr>
          <w:sz w:val="22"/>
          <w:szCs w:val="22"/>
          <w:lang w:val="en-US"/>
        </w:rPr>
        <w:t xml:space="preserve"> utility</w:t>
      </w:r>
      <w:r w:rsidR="00BA2296" w:rsidRPr="007E2ED8">
        <w:rPr>
          <w:sz w:val="22"/>
          <w:szCs w:val="22"/>
          <w:lang w:val="en-US"/>
        </w:rPr>
        <w:t xml:space="preserve"> </w:t>
      </w:r>
      <w:r w:rsidR="003C1CFB" w:rsidRPr="007E2ED8">
        <w:rPr>
          <w:sz w:val="22"/>
          <w:szCs w:val="22"/>
          <w:lang w:val="en-US"/>
        </w:rPr>
        <w:t xml:space="preserve">ALBI grade </w:t>
      </w:r>
      <w:r w:rsidR="00EE6E8D" w:rsidRPr="007E2ED8">
        <w:rPr>
          <w:sz w:val="22"/>
          <w:szCs w:val="22"/>
          <w:lang w:val="en-US"/>
        </w:rPr>
        <w:t>as a</w:t>
      </w:r>
      <w:r w:rsidR="00BA2296" w:rsidRPr="007E2ED8">
        <w:rPr>
          <w:sz w:val="22"/>
          <w:szCs w:val="22"/>
          <w:lang w:val="en-US"/>
        </w:rPr>
        <w:t xml:space="preserve">n objective tool for </w:t>
      </w:r>
      <w:r w:rsidR="00D13A2B" w:rsidRPr="007E2ED8">
        <w:rPr>
          <w:sz w:val="22"/>
          <w:szCs w:val="22"/>
          <w:lang w:val="en-US"/>
        </w:rPr>
        <w:t xml:space="preserve">clinicians </w:t>
      </w:r>
      <w:r w:rsidR="003C1CFB" w:rsidRPr="007E2ED8">
        <w:rPr>
          <w:sz w:val="22"/>
          <w:szCs w:val="22"/>
          <w:lang w:val="en-US"/>
        </w:rPr>
        <w:t xml:space="preserve">when </w:t>
      </w:r>
      <w:r w:rsidR="00D13A2B" w:rsidRPr="007E2ED8">
        <w:rPr>
          <w:sz w:val="22"/>
          <w:szCs w:val="22"/>
          <w:lang w:val="en-US"/>
        </w:rPr>
        <w:t xml:space="preserve">assessing </w:t>
      </w:r>
      <w:r w:rsidR="003C1CFB" w:rsidRPr="007E2ED8">
        <w:rPr>
          <w:sz w:val="22"/>
          <w:szCs w:val="22"/>
          <w:lang w:val="en-US"/>
        </w:rPr>
        <w:t xml:space="preserve">liver reserve in patients undergoing repeat TACE and </w:t>
      </w:r>
      <w:r w:rsidR="00481D72" w:rsidRPr="007E2ED8">
        <w:rPr>
          <w:sz w:val="22"/>
          <w:szCs w:val="22"/>
          <w:lang w:val="en-US"/>
        </w:rPr>
        <w:t xml:space="preserve">facilitating </w:t>
      </w:r>
      <w:r w:rsidR="003C1CFB" w:rsidRPr="007E2ED8">
        <w:rPr>
          <w:sz w:val="22"/>
          <w:szCs w:val="22"/>
          <w:lang w:val="en-US"/>
        </w:rPr>
        <w:t xml:space="preserve">timely stage migration </w:t>
      </w:r>
      <w:r w:rsidR="00071646" w:rsidRPr="007E2ED8">
        <w:rPr>
          <w:sz w:val="22"/>
          <w:szCs w:val="22"/>
          <w:lang w:val="en-US"/>
        </w:rPr>
        <w:t xml:space="preserve">to systemic therapies or </w:t>
      </w:r>
      <w:r w:rsidR="00D13A2B" w:rsidRPr="007E2ED8">
        <w:rPr>
          <w:sz w:val="22"/>
          <w:szCs w:val="22"/>
          <w:lang w:val="en-US"/>
        </w:rPr>
        <w:t>enroll</w:t>
      </w:r>
      <w:r w:rsidR="003C1CFB" w:rsidRPr="007E2ED8">
        <w:rPr>
          <w:sz w:val="22"/>
          <w:szCs w:val="22"/>
          <w:lang w:val="en-US"/>
        </w:rPr>
        <w:t>ment</w:t>
      </w:r>
      <w:r w:rsidR="00D13A2B" w:rsidRPr="007E2ED8">
        <w:rPr>
          <w:sz w:val="22"/>
          <w:szCs w:val="22"/>
          <w:lang w:val="en-US"/>
        </w:rPr>
        <w:t xml:space="preserve"> into clinical trials.</w:t>
      </w:r>
      <w:r w:rsidR="00AE4C01" w:rsidRPr="007E2ED8">
        <w:rPr>
          <w:sz w:val="22"/>
          <w:szCs w:val="22"/>
          <w:lang w:val="en-US"/>
        </w:rPr>
        <w:t xml:space="preserve"> [28,38] </w:t>
      </w:r>
      <w:r w:rsidR="00C437D0" w:rsidRPr="007E2ED8">
        <w:rPr>
          <w:sz w:val="22"/>
          <w:szCs w:val="22"/>
          <w:lang w:val="en-US"/>
        </w:rPr>
        <w:t xml:space="preserve">Further large </w:t>
      </w:r>
      <w:r w:rsidR="00C437D0" w:rsidRPr="007E2ED8">
        <w:rPr>
          <w:rFonts w:cstheme="minorHAnsi"/>
          <w:sz w:val="22"/>
          <w:szCs w:val="22"/>
        </w:rPr>
        <w:t xml:space="preserve">prospective studies analysing the role of the ALBI grade with repeat TACE therapy are required to determine the prognostic role of the ALBI score and the impact of the degree of ALBI score change on OS in comparison to currently used clinical tools. </w:t>
      </w:r>
    </w:p>
    <w:p w:rsidR="00D13A2B" w:rsidRPr="00D13A2B" w:rsidRDefault="00D13A2B" w:rsidP="00786F9B">
      <w:pPr>
        <w:spacing w:line="360" w:lineRule="auto"/>
        <w:rPr>
          <w:rFonts w:cstheme="minorHAnsi"/>
          <w:i/>
          <w:sz w:val="22"/>
          <w:szCs w:val="22"/>
        </w:rPr>
      </w:pPr>
    </w:p>
    <w:p w:rsidR="00D93153" w:rsidRPr="00676C7B" w:rsidRDefault="00D93153" w:rsidP="00D93153">
      <w:pPr>
        <w:spacing w:line="360" w:lineRule="auto"/>
        <w:jc w:val="both"/>
        <w:rPr>
          <w:rFonts w:cstheme="minorHAnsi"/>
          <w:b/>
          <w:bCs/>
          <w:color w:val="FF0000"/>
          <w:sz w:val="22"/>
          <w:szCs w:val="22"/>
        </w:rPr>
      </w:pPr>
      <w:r w:rsidRPr="00675527">
        <w:rPr>
          <w:rFonts w:cstheme="minorHAnsi"/>
          <w:sz w:val="22"/>
          <w:szCs w:val="22"/>
        </w:rPr>
        <w:t>The strengths of our study include a comprehensive search strategy, which involved searching four electronic databases</w:t>
      </w:r>
      <w:r>
        <w:rPr>
          <w:rFonts w:cstheme="minorHAnsi"/>
          <w:sz w:val="22"/>
          <w:szCs w:val="22"/>
        </w:rPr>
        <w:t xml:space="preserve"> and availability of a large pooled population derived from several geographical regions and variably sized cohorts for meta-analysis</w:t>
      </w:r>
      <w:r w:rsidRPr="00675527">
        <w:rPr>
          <w:rFonts w:cstheme="minorHAnsi"/>
          <w:sz w:val="22"/>
          <w:szCs w:val="22"/>
        </w:rPr>
        <w:t xml:space="preserve">. </w:t>
      </w:r>
      <w:r>
        <w:rPr>
          <w:rFonts w:cstheme="minorHAnsi"/>
          <w:sz w:val="22"/>
          <w:szCs w:val="22"/>
        </w:rPr>
        <w:t>Moreover, t</w:t>
      </w:r>
      <w:r w:rsidRPr="00675527">
        <w:rPr>
          <w:rFonts w:cstheme="minorHAnsi"/>
          <w:sz w:val="22"/>
          <w:szCs w:val="22"/>
        </w:rPr>
        <w:t xml:space="preserve">here was no evidence of publication bias associated with the studies included in the meta-analysis. In addition, </w:t>
      </w:r>
      <w:r>
        <w:rPr>
          <w:rFonts w:cstheme="minorHAnsi"/>
          <w:sz w:val="22"/>
          <w:szCs w:val="22"/>
        </w:rPr>
        <w:t xml:space="preserve">comprehensive </w:t>
      </w:r>
      <w:r w:rsidRPr="00675527">
        <w:rPr>
          <w:rFonts w:cstheme="minorHAnsi"/>
          <w:sz w:val="22"/>
          <w:szCs w:val="22"/>
        </w:rPr>
        <w:t xml:space="preserve">subgroup analysis was performed according to geographic </w:t>
      </w:r>
      <w:r>
        <w:rPr>
          <w:rFonts w:cstheme="minorHAnsi"/>
          <w:sz w:val="22"/>
          <w:szCs w:val="22"/>
        </w:rPr>
        <w:t>region, and several other factors known to influence patients survival including age, tumour burden, HCC stage, and aetiology of liver disease. This enabled us to</w:t>
      </w:r>
      <w:r w:rsidRPr="00F153C3">
        <w:rPr>
          <w:rFonts w:cstheme="minorHAnsi"/>
          <w:sz w:val="22"/>
          <w:szCs w:val="22"/>
        </w:rPr>
        <w:t xml:space="preserve"> delineat</w:t>
      </w:r>
      <w:r>
        <w:rPr>
          <w:rFonts w:cstheme="minorHAnsi"/>
          <w:sz w:val="22"/>
          <w:szCs w:val="22"/>
        </w:rPr>
        <w:t>e</w:t>
      </w:r>
      <w:r w:rsidRPr="00F153C3">
        <w:rPr>
          <w:rFonts w:cstheme="minorHAnsi"/>
          <w:sz w:val="22"/>
          <w:szCs w:val="22"/>
        </w:rPr>
        <w:t xml:space="preserve"> the strengths and weaknesses of the </w:t>
      </w:r>
      <w:r w:rsidRPr="00F153C3">
        <w:rPr>
          <w:rFonts w:cstheme="minorHAnsi"/>
          <w:sz w:val="22"/>
          <w:szCs w:val="22"/>
        </w:rPr>
        <w:lastRenderedPageBreak/>
        <w:t>ALBI scores prognostic value</w:t>
      </w:r>
      <w:r>
        <w:rPr>
          <w:rFonts w:cstheme="minorHAnsi"/>
          <w:sz w:val="22"/>
          <w:szCs w:val="22"/>
        </w:rPr>
        <w:t xml:space="preserve"> in patients having TACE with regards to several patient and tumour factors akin to what has been done in those </w:t>
      </w:r>
      <w:r w:rsidRPr="00F153C3">
        <w:rPr>
          <w:rFonts w:cstheme="minorHAnsi"/>
          <w:sz w:val="22"/>
          <w:szCs w:val="22"/>
        </w:rPr>
        <w:t xml:space="preserve">undergoing </w:t>
      </w:r>
      <w:r>
        <w:rPr>
          <w:rFonts w:cstheme="minorHAnsi"/>
          <w:sz w:val="22"/>
          <w:szCs w:val="22"/>
        </w:rPr>
        <w:t xml:space="preserve">potentially </w:t>
      </w:r>
      <w:r w:rsidRPr="00F153C3">
        <w:rPr>
          <w:rFonts w:cstheme="minorHAnsi"/>
          <w:sz w:val="22"/>
          <w:szCs w:val="22"/>
        </w:rPr>
        <w:t>curative treatments.</w:t>
      </w:r>
      <w:r>
        <w:rPr>
          <w:rFonts w:cstheme="minorHAnsi"/>
          <w:sz w:val="22"/>
          <w:szCs w:val="22"/>
        </w:rPr>
        <w:t xml:space="preserve"> </w:t>
      </w:r>
      <w:r w:rsidRPr="00F153C3">
        <w:rPr>
          <w:rFonts w:cstheme="minorHAnsi"/>
          <w:sz w:val="22"/>
          <w:szCs w:val="22"/>
        </w:rPr>
        <w:t>Our results are in concordance with</w:t>
      </w:r>
      <w:r>
        <w:rPr>
          <w:rFonts w:cstheme="minorHAnsi"/>
          <w:sz w:val="22"/>
          <w:szCs w:val="22"/>
        </w:rPr>
        <w:t xml:space="preserve"> the conclusion of Xu et al.’s meta-analysis [57] and further confirm the performance of ALBI grade in patients undergoing TACE across a larger cohort of TACE patients derived from a greater number of additional studies.</w:t>
      </w:r>
    </w:p>
    <w:p w:rsidR="00D93153" w:rsidRDefault="00D93153" w:rsidP="00D93153">
      <w:pPr>
        <w:spacing w:line="360" w:lineRule="auto"/>
        <w:rPr>
          <w:rFonts w:cstheme="minorHAnsi"/>
          <w:sz w:val="22"/>
          <w:szCs w:val="22"/>
        </w:rPr>
      </w:pPr>
    </w:p>
    <w:p w:rsidR="00786F9B" w:rsidRDefault="00786F9B" w:rsidP="00786F9B">
      <w:pPr>
        <w:spacing w:line="360" w:lineRule="auto"/>
        <w:jc w:val="both"/>
        <w:rPr>
          <w:rFonts w:cstheme="minorHAnsi"/>
          <w:sz w:val="22"/>
          <w:szCs w:val="22"/>
        </w:rPr>
      </w:pPr>
      <w:r>
        <w:rPr>
          <w:rFonts w:cstheme="minorHAnsi"/>
          <w:sz w:val="22"/>
          <w:szCs w:val="22"/>
        </w:rPr>
        <w:t xml:space="preserve">There were several </w:t>
      </w:r>
      <w:r w:rsidRPr="00FC6AB1">
        <w:rPr>
          <w:rFonts w:cstheme="minorHAnsi"/>
          <w:sz w:val="22"/>
          <w:szCs w:val="22"/>
        </w:rPr>
        <w:t xml:space="preserve">limitations of our study </w:t>
      </w:r>
      <w:r>
        <w:rPr>
          <w:rFonts w:cstheme="minorHAnsi"/>
          <w:sz w:val="22"/>
          <w:szCs w:val="22"/>
        </w:rPr>
        <w:t>that warrant more detailed discussion. Firstly, when</w:t>
      </w:r>
      <w:r w:rsidRPr="00F153C3">
        <w:rPr>
          <w:rFonts w:cstheme="minorHAnsi"/>
          <w:sz w:val="22"/>
          <w:szCs w:val="22"/>
        </w:rPr>
        <w:t xml:space="preserve"> </w:t>
      </w:r>
      <w:r>
        <w:rPr>
          <w:rFonts w:cstheme="minorHAnsi"/>
          <w:sz w:val="22"/>
          <w:szCs w:val="22"/>
        </w:rPr>
        <w:t xml:space="preserve">assessing the correlation between </w:t>
      </w:r>
      <w:r w:rsidRPr="00F153C3">
        <w:rPr>
          <w:rFonts w:cstheme="minorHAnsi"/>
          <w:sz w:val="22"/>
          <w:szCs w:val="22"/>
        </w:rPr>
        <w:t>factors such as HCC staging and grade of liver dysfunction with each ALBI grade and OS outcomes</w:t>
      </w:r>
      <w:r>
        <w:rPr>
          <w:rFonts w:cstheme="minorHAnsi"/>
          <w:sz w:val="22"/>
          <w:szCs w:val="22"/>
        </w:rPr>
        <w:t>, we noted several examples of where data were variably reported and/or unable to be correctly separated.  For</w:t>
      </w:r>
      <w:r w:rsidRPr="00F153C3">
        <w:rPr>
          <w:rFonts w:cstheme="minorHAnsi"/>
          <w:sz w:val="22"/>
          <w:szCs w:val="22"/>
        </w:rPr>
        <w:t xml:space="preserve"> example</w:t>
      </w:r>
      <w:r>
        <w:rPr>
          <w:rFonts w:cstheme="minorHAnsi"/>
          <w:sz w:val="22"/>
          <w:szCs w:val="22"/>
        </w:rPr>
        <w:t xml:space="preserve">, in the study of </w:t>
      </w:r>
      <w:proofErr w:type="spellStart"/>
      <w:r w:rsidRPr="00F153C3">
        <w:rPr>
          <w:rFonts w:cstheme="minorHAnsi"/>
          <w:sz w:val="22"/>
          <w:szCs w:val="22"/>
        </w:rPr>
        <w:t>Hansmann</w:t>
      </w:r>
      <w:proofErr w:type="spellEnd"/>
      <w:r w:rsidRPr="00F153C3">
        <w:rPr>
          <w:rFonts w:cstheme="minorHAnsi"/>
          <w:sz w:val="22"/>
          <w:szCs w:val="22"/>
        </w:rPr>
        <w:t xml:space="preserve"> et al</w:t>
      </w:r>
      <w:r>
        <w:rPr>
          <w:rFonts w:ascii="Calibri" w:hAnsi="Calibri" w:cstheme="minorHAnsi"/>
          <w:color w:val="000000"/>
          <w:sz w:val="22"/>
          <w:szCs w:val="22"/>
        </w:rPr>
        <w:t>. [35]</w:t>
      </w:r>
      <w:r>
        <w:rPr>
          <w:rFonts w:cstheme="minorHAnsi"/>
          <w:sz w:val="22"/>
          <w:szCs w:val="22"/>
        </w:rPr>
        <w:t xml:space="preserve">, </w:t>
      </w:r>
      <w:r w:rsidRPr="00F153C3">
        <w:rPr>
          <w:rFonts w:cstheme="minorHAnsi"/>
          <w:sz w:val="22"/>
          <w:szCs w:val="22"/>
        </w:rPr>
        <w:t xml:space="preserve">BCLC </w:t>
      </w:r>
      <w:r>
        <w:rPr>
          <w:rFonts w:cstheme="minorHAnsi"/>
          <w:sz w:val="22"/>
          <w:szCs w:val="22"/>
        </w:rPr>
        <w:t xml:space="preserve"> </w:t>
      </w:r>
      <w:r w:rsidRPr="00F153C3">
        <w:rPr>
          <w:rFonts w:cstheme="minorHAnsi"/>
          <w:sz w:val="22"/>
          <w:szCs w:val="22"/>
        </w:rPr>
        <w:t xml:space="preserve">0 and A </w:t>
      </w:r>
      <w:r>
        <w:rPr>
          <w:rFonts w:cstheme="minorHAnsi"/>
          <w:sz w:val="22"/>
          <w:szCs w:val="22"/>
        </w:rPr>
        <w:t xml:space="preserve">were categorised </w:t>
      </w:r>
      <w:r w:rsidRPr="00F153C3">
        <w:rPr>
          <w:rFonts w:cstheme="minorHAnsi"/>
          <w:sz w:val="22"/>
          <w:szCs w:val="22"/>
        </w:rPr>
        <w:t xml:space="preserve">together </w:t>
      </w:r>
      <w:r>
        <w:rPr>
          <w:rFonts w:cstheme="minorHAnsi"/>
          <w:sz w:val="22"/>
          <w:szCs w:val="22"/>
        </w:rPr>
        <w:t xml:space="preserve">while </w:t>
      </w:r>
      <w:r w:rsidRPr="00F153C3">
        <w:rPr>
          <w:rFonts w:cstheme="minorHAnsi"/>
          <w:sz w:val="22"/>
          <w:szCs w:val="22"/>
        </w:rPr>
        <w:t>data regarding underlying aetiology of liver disease</w:t>
      </w:r>
      <w:r>
        <w:rPr>
          <w:rFonts w:cstheme="minorHAnsi"/>
          <w:sz w:val="22"/>
          <w:szCs w:val="22"/>
        </w:rPr>
        <w:t>, s</w:t>
      </w:r>
      <w:r w:rsidRPr="00F153C3">
        <w:rPr>
          <w:rFonts w:cstheme="minorHAnsi"/>
          <w:sz w:val="22"/>
          <w:szCs w:val="22"/>
        </w:rPr>
        <w:t xml:space="preserve">erum AFP levels and tumour nodule number and size were </w:t>
      </w:r>
      <w:r>
        <w:rPr>
          <w:rFonts w:cstheme="minorHAnsi"/>
          <w:sz w:val="22"/>
          <w:szCs w:val="22"/>
        </w:rPr>
        <w:t xml:space="preserve">missing or </w:t>
      </w:r>
      <w:r w:rsidRPr="00F153C3">
        <w:rPr>
          <w:rFonts w:cstheme="minorHAnsi"/>
          <w:sz w:val="22"/>
          <w:szCs w:val="22"/>
        </w:rPr>
        <w:t>variably reported.</w:t>
      </w:r>
      <w:r w:rsidRPr="00C05D1E">
        <w:rPr>
          <w:rFonts w:cstheme="minorHAnsi"/>
          <w:sz w:val="22"/>
          <w:szCs w:val="22"/>
        </w:rPr>
        <w:t xml:space="preserve"> </w:t>
      </w:r>
      <w:r>
        <w:rPr>
          <w:rFonts w:cstheme="minorHAnsi"/>
          <w:sz w:val="22"/>
          <w:szCs w:val="22"/>
        </w:rPr>
        <w:t xml:space="preserve"> Secondly, w</w:t>
      </w:r>
      <w:r w:rsidRPr="00F153C3">
        <w:rPr>
          <w:rFonts w:cstheme="minorHAnsi"/>
          <w:sz w:val="22"/>
          <w:szCs w:val="22"/>
        </w:rPr>
        <w:t xml:space="preserve">hile duplicates were removed </w:t>
      </w:r>
      <w:r>
        <w:rPr>
          <w:rFonts w:cstheme="minorHAnsi"/>
          <w:sz w:val="22"/>
          <w:szCs w:val="22"/>
        </w:rPr>
        <w:t>during</w:t>
      </w:r>
      <w:r w:rsidRPr="00F153C3">
        <w:rPr>
          <w:rFonts w:cstheme="minorHAnsi"/>
          <w:sz w:val="22"/>
          <w:szCs w:val="22"/>
        </w:rPr>
        <w:t xml:space="preserve"> the screening process, </w:t>
      </w:r>
      <w:r>
        <w:rPr>
          <w:rFonts w:cstheme="minorHAnsi"/>
          <w:sz w:val="22"/>
          <w:szCs w:val="22"/>
        </w:rPr>
        <w:t>we</w:t>
      </w:r>
      <w:r w:rsidRPr="00F153C3">
        <w:rPr>
          <w:rFonts w:cstheme="minorHAnsi"/>
          <w:sz w:val="22"/>
          <w:szCs w:val="22"/>
        </w:rPr>
        <w:t xml:space="preserve"> noted overlap in cohorts used in multiple publications, </w:t>
      </w:r>
      <w:r>
        <w:rPr>
          <w:rFonts w:cstheme="minorHAnsi"/>
          <w:sz w:val="22"/>
          <w:szCs w:val="22"/>
        </w:rPr>
        <w:t xml:space="preserve">although </w:t>
      </w:r>
      <w:r w:rsidRPr="00F153C3">
        <w:rPr>
          <w:rFonts w:cstheme="minorHAnsi"/>
          <w:sz w:val="22"/>
          <w:szCs w:val="22"/>
        </w:rPr>
        <w:t xml:space="preserve">this proved to be advantageous </w:t>
      </w:r>
      <w:r>
        <w:rPr>
          <w:rFonts w:cstheme="minorHAnsi"/>
          <w:sz w:val="22"/>
          <w:szCs w:val="22"/>
        </w:rPr>
        <w:t xml:space="preserve">in some cases </w:t>
      </w:r>
      <w:r w:rsidRPr="00F153C3">
        <w:rPr>
          <w:rFonts w:cstheme="minorHAnsi"/>
          <w:sz w:val="22"/>
          <w:szCs w:val="22"/>
        </w:rPr>
        <w:t xml:space="preserve">where missing data </w:t>
      </w:r>
      <w:r>
        <w:rPr>
          <w:rFonts w:cstheme="minorHAnsi"/>
          <w:sz w:val="22"/>
          <w:szCs w:val="22"/>
        </w:rPr>
        <w:t>could be</w:t>
      </w:r>
      <w:r w:rsidRPr="00F153C3">
        <w:rPr>
          <w:rFonts w:cstheme="minorHAnsi"/>
          <w:sz w:val="22"/>
          <w:szCs w:val="22"/>
        </w:rPr>
        <w:t xml:space="preserve"> procured from the second publication</w:t>
      </w:r>
      <w:r>
        <w:rPr>
          <w:rFonts w:cstheme="minorHAnsi"/>
          <w:sz w:val="22"/>
          <w:szCs w:val="22"/>
        </w:rPr>
        <w:t xml:space="preserve"> [40,58]. </w:t>
      </w:r>
    </w:p>
    <w:p w:rsidR="00E16989" w:rsidRDefault="00E16989" w:rsidP="00786F9B">
      <w:pPr>
        <w:spacing w:line="360" w:lineRule="auto"/>
        <w:jc w:val="both"/>
        <w:rPr>
          <w:rFonts w:cstheme="minorHAnsi"/>
          <w:sz w:val="22"/>
          <w:szCs w:val="22"/>
        </w:rPr>
      </w:pPr>
    </w:p>
    <w:p w:rsidR="00C437D0" w:rsidRPr="00C437D0" w:rsidRDefault="00786F9B" w:rsidP="00C437D0">
      <w:pPr>
        <w:spacing w:line="360" w:lineRule="auto"/>
        <w:jc w:val="both"/>
        <w:rPr>
          <w:rFonts w:cstheme="minorHAnsi"/>
          <w:sz w:val="22"/>
          <w:szCs w:val="22"/>
        </w:rPr>
      </w:pPr>
      <w:r w:rsidRPr="00F153C3">
        <w:rPr>
          <w:rFonts w:cstheme="minorHAnsi"/>
          <w:sz w:val="22"/>
          <w:szCs w:val="22"/>
        </w:rPr>
        <w:t xml:space="preserve"> </w:t>
      </w:r>
      <w:r>
        <w:rPr>
          <w:rFonts w:cstheme="minorHAnsi"/>
          <w:sz w:val="22"/>
          <w:szCs w:val="22"/>
        </w:rPr>
        <w:t>H</w:t>
      </w:r>
      <w:r w:rsidRPr="00F153C3">
        <w:rPr>
          <w:rFonts w:cstheme="minorHAnsi"/>
          <w:sz w:val="22"/>
          <w:szCs w:val="22"/>
        </w:rPr>
        <w:t>owever</w:t>
      </w:r>
      <w:r>
        <w:rPr>
          <w:rFonts w:cstheme="minorHAnsi"/>
          <w:sz w:val="22"/>
          <w:szCs w:val="22"/>
        </w:rPr>
        <w:t>,</w:t>
      </w:r>
      <w:r w:rsidRPr="00F153C3">
        <w:rPr>
          <w:rFonts w:cstheme="minorHAnsi"/>
          <w:sz w:val="22"/>
          <w:szCs w:val="22"/>
        </w:rPr>
        <w:t xml:space="preserve"> the subgroup analysis suggests errors in the reported data such as the breakdown of </w:t>
      </w:r>
      <w:r>
        <w:rPr>
          <w:rFonts w:cstheme="minorHAnsi"/>
          <w:sz w:val="22"/>
          <w:szCs w:val="22"/>
        </w:rPr>
        <w:t>Child-Pugh categories</w:t>
      </w:r>
      <w:r w:rsidRPr="00F153C3">
        <w:rPr>
          <w:rFonts w:cstheme="minorHAnsi"/>
          <w:sz w:val="22"/>
          <w:szCs w:val="22"/>
        </w:rPr>
        <w:t xml:space="preserve">, </w:t>
      </w:r>
      <w:r>
        <w:rPr>
          <w:rFonts w:cstheme="minorHAnsi"/>
          <w:sz w:val="22"/>
          <w:szCs w:val="22"/>
        </w:rPr>
        <w:t>with the</w:t>
      </w:r>
      <w:r w:rsidRPr="00F153C3">
        <w:rPr>
          <w:rFonts w:cstheme="minorHAnsi"/>
          <w:sz w:val="22"/>
          <w:szCs w:val="22"/>
        </w:rPr>
        <w:t xml:space="preserve"> su</w:t>
      </w:r>
      <w:r>
        <w:rPr>
          <w:rFonts w:cstheme="minorHAnsi"/>
          <w:sz w:val="22"/>
          <w:szCs w:val="22"/>
        </w:rPr>
        <w:t>m of each grade</w:t>
      </w:r>
      <w:r w:rsidRPr="00F153C3">
        <w:rPr>
          <w:rFonts w:cstheme="minorHAnsi"/>
          <w:sz w:val="22"/>
          <w:szCs w:val="22"/>
        </w:rPr>
        <w:t xml:space="preserve"> greater th</w:t>
      </w:r>
      <w:r>
        <w:rPr>
          <w:rFonts w:cstheme="minorHAnsi"/>
          <w:sz w:val="22"/>
          <w:szCs w:val="22"/>
        </w:rPr>
        <w:t>a</w:t>
      </w:r>
      <w:r w:rsidRPr="00F153C3">
        <w:rPr>
          <w:rFonts w:cstheme="minorHAnsi"/>
          <w:sz w:val="22"/>
          <w:szCs w:val="22"/>
        </w:rPr>
        <w:t>n the original TACE cohort</w:t>
      </w:r>
      <w:r>
        <w:rPr>
          <w:rFonts w:cstheme="minorHAnsi"/>
          <w:sz w:val="22"/>
          <w:szCs w:val="22"/>
        </w:rPr>
        <w:t xml:space="preserve"> in one particular study [40,58]</w:t>
      </w:r>
      <w:r w:rsidRPr="00F153C3">
        <w:rPr>
          <w:rFonts w:cstheme="minorHAnsi"/>
          <w:sz w:val="22"/>
          <w:szCs w:val="22"/>
        </w:rPr>
        <w:t xml:space="preserve">. There </w:t>
      </w:r>
      <w:r>
        <w:rPr>
          <w:rFonts w:cstheme="minorHAnsi"/>
          <w:sz w:val="22"/>
          <w:szCs w:val="22"/>
        </w:rPr>
        <w:t>were</w:t>
      </w:r>
      <w:r w:rsidRPr="00F153C3">
        <w:rPr>
          <w:rFonts w:cstheme="minorHAnsi"/>
          <w:sz w:val="22"/>
          <w:szCs w:val="22"/>
        </w:rPr>
        <w:t xml:space="preserve"> also </w:t>
      </w:r>
      <w:r>
        <w:rPr>
          <w:rFonts w:cstheme="minorHAnsi"/>
          <w:sz w:val="22"/>
          <w:szCs w:val="22"/>
        </w:rPr>
        <w:t>differences</w:t>
      </w:r>
      <w:r w:rsidRPr="00F153C3">
        <w:rPr>
          <w:rFonts w:cstheme="minorHAnsi"/>
          <w:sz w:val="22"/>
          <w:szCs w:val="22"/>
        </w:rPr>
        <w:t xml:space="preserve"> due </w:t>
      </w:r>
      <w:r>
        <w:rPr>
          <w:rFonts w:cstheme="minorHAnsi"/>
          <w:sz w:val="22"/>
          <w:szCs w:val="22"/>
        </w:rPr>
        <w:t xml:space="preserve">to </w:t>
      </w:r>
      <w:r w:rsidRPr="00F153C3">
        <w:rPr>
          <w:rFonts w:cstheme="minorHAnsi"/>
          <w:sz w:val="22"/>
          <w:szCs w:val="22"/>
        </w:rPr>
        <w:t>loss of follow up in each study with slight reductions in sample size used to calculate OS and other baseline factors compared to the overall study population.</w:t>
      </w:r>
      <w:r>
        <w:rPr>
          <w:rFonts w:cstheme="minorHAnsi"/>
          <w:sz w:val="22"/>
          <w:szCs w:val="22"/>
        </w:rPr>
        <w:t xml:space="preserve"> Furthermore, </w:t>
      </w:r>
      <w:r w:rsidRPr="00F153C3">
        <w:rPr>
          <w:rFonts w:cstheme="minorHAnsi"/>
          <w:sz w:val="22"/>
          <w:szCs w:val="22"/>
        </w:rPr>
        <w:t xml:space="preserve">the lack of overall survival data and cohort demographics was one of the key barriers to incorporation of additional studies relevant to this </w:t>
      </w:r>
      <w:r>
        <w:rPr>
          <w:rFonts w:cstheme="minorHAnsi"/>
          <w:sz w:val="22"/>
          <w:szCs w:val="22"/>
        </w:rPr>
        <w:t xml:space="preserve">study [31,48,59]. </w:t>
      </w:r>
      <w:r w:rsidRPr="00F153C3">
        <w:rPr>
          <w:rFonts w:cstheme="minorHAnsi"/>
          <w:sz w:val="22"/>
          <w:szCs w:val="22"/>
        </w:rPr>
        <w:t>As a result</w:t>
      </w:r>
      <w:r>
        <w:rPr>
          <w:rFonts w:cstheme="minorHAnsi"/>
          <w:sz w:val="22"/>
          <w:szCs w:val="22"/>
        </w:rPr>
        <w:t>, these</w:t>
      </w:r>
      <w:r w:rsidRPr="00F153C3">
        <w:rPr>
          <w:rFonts w:cstheme="minorHAnsi"/>
          <w:sz w:val="22"/>
          <w:szCs w:val="22"/>
        </w:rPr>
        <w:t xml:space="preserve"> </w:t>
      </w:r>
      <w:r>
        <w:rPr>
          <w:rFonts w:cstheme="minorHAnsi"/>
          <w:sz w:val="22"/>
          <w:szCs w:val="22"/>
        </w:rPr>
        <w:t xml:space="preserve">cohorts of </w:t>
      </w:r>
      <w:r w:rsidRPr="00F153C3">
        <w:rPr>
          <w:rFonts w:cstheme="minorHAnsi"/>
          <w:sz w:val="22"/>
          <w:szCs w:val="22"/>
        </w:rPr>
        <w:t xml:space="preserve">patients who underwent TACE and had ALBI scores applied were excluded from our final analysis </w:t>
      </w:r>
      <w:r>
        <w:rPr>
          <w:rFonts w:cstheme="minorHAnsi"/>
          <w:sz w:val="22"/>
          <w:szCs w:val="22"/>
        </w:rPr>
        <w:t>that</w:t>
      </w:r>
      <w:r w:rsidRPr="00F153C3">
        <w:rPr>
          <w:rFonts w:cstheme="minorHAnsi"/>
          <w:sz w:val="22"/>
          <w:szCs w:val="22"/>
        </w:rPr>
        <w:t xml:space="preserve"> may reduce the applicability of the pooled results.</w:t>
      </w:r>
      <w:r>
        <w:rPr>
          <w:rFonts w:cstheme="minorHAnsi"/>
          <w:sz w:val="22"/>
          <w:szCs w:val="22"/>
        </w:rPr>
        <w:t xml:space="preserve"> Finally, s</w:t>
      </w:r>
      <w:r w:rsidRPr="00F153C3">
        <w:rPr>
          <w:rFonts w:cstheme="minorHAnsi"/>
          <w:sz w:val="22"/>
          <w:szCs w:val="22"/>
        </w:rPr>
        <w:t>ince the initial literature search Lee SK</w:t>
      </w:r>
      <w:r>
        <w:rPr>
          <w:rFonts w:cstheme="minorHAnsi"/>
          <w:sz w:val="22"/>
          <w:szCs w:val="22"/>
        </w:rPr>
        <w:t xml:space="preserve"> and colleagues</w:t>
      </w:r>
      <w:r w:rsidRPr="00F153C3">
        <w:rPr>
          <w:rFonts w:cstheme="minorHAnsi"/>
          <w:sz w:val="22"/>
          <w:szCs w:val="22"/>
        </w:rPr>
        <w:t xml:space="preserve"> published a study comparing the ALBI to PALBI </w:t>
      </w:r>
      <w:r>
        <w:rPr>
          <w:rFonts w:cstheme="minorHAnsi"/>
          <w:sz w:val="22"/>
          <w:szCs w:val="22"/>
        </w:rPr>
        <w:t>(</w:t>
      </w:r>
      <w:r w:rsidRPr="00445765">
        <w:rPr>
          <w:rFonts w:cstheme="minorHAnsi"/>
          <w:sz w:val="22"/>
          <w:szCs w:val="22"/>
          <w:u w:val="single"/>
        </w:rPr>
        <w:t>P</w:t>
      </w:r>
      <w:r>
        <w:rPr>
          <w:rFonts w:cstheme="minorHAnsi"/>
          <w:sz w:val="22"/>
          <w:szCs w:val="22"/>
        </w:rPr>
        <w:t xml:space="preserve">latelet, </w:t>
      </w:r>
      <w:r w:rsidRPr="00445765">
        <w:rPr>
          <w:rFonts w:cstheme="minorHAnsi"/>
          <w:sz w:val="22"/>
          <w:szCs w:val="22"/>
        </w:rPr>
        <w:t>Al</w:t>
      </w:r>
      <w:r>
        <w:rPr>
          <w:rFonts w:cstheme="minorHAnsi"/>
          <w:sz w:val="22"/>
          <w:szCs w:val="22"/>
        </w:rPr>
        <w:t xml:space="preserve">bumin, </w:t>
      </w:r>
      <w:r w:rsidRPr="00445765">
        <w:rPr>
          <w:rFonts w:cstheme="minorHAnsi"/>
          <w:sz w:val="22"/>
          <w:szCs w:val="22"/>
          <w:u w:val="single"/>
        </w:rPr>
        <w:t>Bi</w:t>
      </w:r>
      <w:r>
        <w:rPr>
          <w:rFonts w:cstheme="minorHAnsi"/>
          <w:sz w:val="22"/>
          <w:szCs w:val="22"/>
        </w:rPr>
        <w:t>lirubin) grade</w:t>
      </w:r>
      <w:r w:rsidRPr="00F153C3">
        <w:rPr>
          <w:rFonts w:cstheme="minorHAnsi"/>
          <w:sz w:val="22"/>
          <w:szCs w:val="22"/>
        </w:rPr>
        <w:t xml:space="preserve"> </w:t>
      </w:r>
      <w:r>
        <w:rPr>
          <w:rFonts w:cstheme="minorHAnsi"/>
          <w:sz w:val="22"/>
          <w:szCs w:val="22"/>
        </w:rPr>
        <w:t xml:space="preserve">in </w:t>
      </w:r>
      <w:r w:rsidRPr="00F153C3">
        <w:rPr>
          <w:rFonts w:cstheme="minorHAnsi"/>
          <w:sz w:val="22"/>
          <w:szCs w:val="22"/>
        </w:rPr>
        <w:t>a large cohort of patients with HCC treated with TACE (n = 1715)</w:t>
      </w:r>
      <w:r>
        <w:rPr>
          <w:rFonts w:cstheme="minorHAnsi"/>
          <w:sz w:val="22"/>
          <w:szCs w:val="22"/>
        </w:rPr>
        <w:t xml:space="preserve"> [49]. Additional </w:t>
      </w:r>
      <w:r w:rsidRPr="00F153C3">
        <w:rPr>
          <w:rFonts w:cstheme="minorHAnsi"/>
          <w:sz w:val="22"/>
          <w:szCs w:val="22"/>
        </w:rPr>
        <w:t>data w</w:t>
      </w:r>
      <w:r>
        <w:rPr>
          <w:rFonts w:cstheme="minorHAnsi"/>
          <w:sz w:val="22"/>
          <w:szCs w:val="22"/>
        </w:rPr>
        <w:t>ere</w:t>
      </w:r>
      <w:r w:rsidRPr="00F153C3">
        <w:rPr>
          <w:rFonts w:cstheme="minorHAnsi"/>
          <w:sz w:val="22"/>
          <w:szCs w:val="22"/>
        </w:rPr>
        <w:t xml:space="preserve"> not forthcoming at the time of this publication</w:t>
      </w:r>
      <w:r>
        <w:rPr>
          <w:rFonts w:cstheme="minorHAnsi"/>
          <w:sz w:val="22"/>
          <w:szCs w:val="22"/>
        </w:rPr>
        <w:t xml:space="preserve"> despite efforts to contact corresponding authors.</w:t>
      </w:r>
      <w:r w:rsidR="00C437D0">
        <w:rPr>
          <w:rFonts w:cstheme="minorHAnsi"/>
          <w:sz w:val="22"/>
          <w:szCs w:val="22"/>
        </w:rPr>
        <w:t xml:space="preserve"> </w:t>
      </w:r>
    </w:p>
    <w:p w:rsidR="00C437D0" w:rsidRDefault="00C437D0"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r>
        <w:rPr>
          <w:rFonts w:cstheme="minorHAnsi"/>
          <w:sz w:val="22"/>
          <w:szCs w:val="22"/>
        </w:rPr>
        <w:t>In conclusion, we have shown in t</w:t>
      </w:r>
      <w:r w:rsidRPr="00F153C3">
        <w:rPr>
          <w:rFonts w:cstheme="minorHAnsi"/>
          <w:sz w:val="22"/>
          <w:szCs w:val="22"/>
        </w:rPr>
        <w:t>his meta</w:t>
      </w:r>
      <w:r>
        <w:rPr>
          <w:rFonts w:cstheme="minorHAnsi"/>
          <w:sz w:val="22"/>
          <w:szCs w:val="22"/>
        </w:rPr>
        <w:t>-</w:t>
      </w:r>
      <w:r w:rsidRPr="00F153C3">
        <w:rPr>
          <w:rFonts w:cstheme="minorHAnsi"/>
          <w:sz w:val="22"/>
          <w:szCs w:val="22"/>
        </w:rPr>
        <w:t>analysis incorporating multiple real</w:t>
      </w:r>
      <w:r>
        <w:rPr>
          <w:rFonts w:cstheme="minorHAnsi"/>
          <w:sz w:val="22"/>
          <w:szCs w:val="22"/>
        </w:rPr>
        <w:t>-</w:t>
      </w:r>
      <w:r w:rsidRPr="00F153C3">
        <w:rPr>
          <w:rFonts w:cstheme="minorHAnsi"/>
          <w:sz w:val="22"/>
          <w:szCs w:val="22"/>
        </w:rPr>
        <w:t xml:space="preserve">world international cohorts </w:t>
      </w:r>
      <w:r>
        <w:rPr>
          <w:rFonts w:cstheme="minorHAnsi"/>
          <w:sz w:val="22"/>
          <w:szCs w:val="22"/>
        </w:rPr>
        <w:t>that</w:t>
      </w:r>
      <w:r w:rsidRPr="00F153C3">
        <w:rPr>
          <w:rFonts w:cstheme="minorHAnsi"/>
          <w:sz w:val="22"/>
          <w:szCs w:val="22"/>
        </w:rPr>
        <w:t xml:space="preserve"> ALBI grade is a useful clinical prognostication tool to aid clinical decisions on treatment allocation. A high pre</w:t>
      </w:r>
      <w:r w:rsidRPr="00F153C3">
        <w:rPr>
          <w:rFonts w:cstheme="minorHAnsi"/>
          <w:sz w:val="22"/>
          <w:szCs w:val="22"/>
        </w:rPr>
        <w:softHyphen/>
      </w:r>
      <w:r>
        <w:rPr>
          <w:rFonts w:cstheme="minorHAnsi"/>
          <w:sz w:val="22"/>
          <w:szCs w:val="22"/>
        </w:rPr>
        <w:t>-</w:t>
      </w:r>
      <w:r w:rsidRPr="00F153C3">
        <w:rPr>
          <w:rFonts w:cstheme="minorHAnsi"/>
          <w:sz w:val="22"/>
          <w:szCs w:val="22"/>
        </w:rPr>
        <w:t xml:space="preserve">treatment ALBI grade was associated with poor prognosis in patients with HCC undergoing TACE therapy.  Further prospective studies are required to validate the ALBI grade in patients undergoing repeat TACE therapy and </w:t>
      </w:r>
      <w:r>
        <w:rPr>
          <w:rFonts w:cstheme="minorHAnsi"/>
          <w:sz w:val="22"/>
          <w:szCs w:val="22"/>
        </w:rPr>
        <w:t xml:space="preserve">in those receiving TACE in </w:t>
      </w:r>
      <w:r w:rsidRPr="00F153C3">
        <w:rPr>
          <w:rFonts w:cstheme="minorHAnsi"/>
          <w:sz w:val="22"/>
          <w:szCs w:val="22"/>
        </w:rPr>
        <w:t>combination with other treatment modalities</w:t>
      </w:r>
      <w:r>
        <w:rPr>
          <w:rFonts w:cstheme="minorHAnsi"/>
          <w:sz w:val="22"/>
          <w:szCs w:val="22"/>
        </w:rPr>
        <w:t xml:space="preserve">. </w:t>
      </w: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pStyle w:val="ColorfulList-Accent11"/>
        <w:spacing w:line="360" w:lineRule="auto"/>
        <w:ind w:left="0"/>
        <w:jc w:val="both"/>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STATEMENTS</w:t>
      </w:r>
    </w:p>
    <w:p w:rsidR="00786F9B" w:rsidRDefault="00786F9B" w:rsidP="00786F9B">
      <w:pPr>
        <w:pStyle w:val="ColorfulList-Accent11"/>
        <w:spacing w:line="360" w:lineRule="auto"/>
        <w:ind w:left="284"/>
        <w:jc w:val="both"/>
        <w:rPr>
          <w:rFonts w:asciiTheme="minorHAnsi" w:hAnsiTheme="minorHAnsi" w:cstheme="minorHAnsi"/>
          <w:b/>
          <w:sz w:val="22"/>
          <w:szCs w:val="22"/>
          <w:lang w:val="en-US"/>
        </w:rPr>
      </w:pPr>
    </w:p>
    <w:p w:rsidR="00786F9B" w:rsidRPr="001E37BA" w:rsidRDefault="00786F9B" w:rsidP="00786F9B">
      <w:pPr>
        <w:spacing w:line="360" w:lineRule="auto"/>
        <w:rPr>
          <w:rFonts w:asciiTheme="minorHAnsi" w:hAnsiTheme="minorHAnsi" w:cstheme="minorHAnsi"/>
          <w:sz w:val="22"/>
          <w:szCs w:val="22"/>
        </w:rPr>
      </w:pPr>
      <w:r w:rsidRPr="001E37BA">
        <w:rPr>
          <w:rFonts w:asciiTheme="minorHAnsi" w:hAnsiTheme="minorHAnsi" w:cstheme="minorHAnsi"/>
          <w:b/>
          <w:sz w:val="22"/>
          <w:szCs w:val="22"/>
          <w:lang w:val="en-US"/>
        </w:rPr>
        <w:t>Acknowledgements:</w:t>
      </w:r>
      <w:r w:rsidRPr="001E37BA">
        <w:rPr>
          <w:rFonts w:asciiTheme="minorHAnsi" w:hAnsiTheme="minorHAnsi" w:cstheme="minorHAnsi"/>
          <w:bCs/>
          <w:sz w:val="22"/>
          <w:szCs w:val="22"/>
          <w:lang w:val="en-US"/>
        </w:rPr>
        <w:t xml:space="preserve"> </w:t>
      </w:r>
      <w:r w:rsidRPr="001E37BA">
        <w:rPr>
          <w:rFonts w:asciiTheme="minorHAnsi" w:hAnsiTheme="minorHAnsi" w:cstheme="minorHAnsi"/>
          <w:sz w:val="22"/>
          <w:szCs w:val="22"/>
        </w:rPr>
        <w:t xml:space="preserve"> </w:t>
      </w:r>
      <w:r>
        <w:rPr>
          <w:rFonts w:asciiTheme="minorHAnsi" w:hAnsiTheme="minorHAnsi" w:cstheme="minorHAnsi"/>
          <w:sz w:val="22"/>
          <w:szCs w:val="22"/>
        </w:rPr>
        <w:t>GM</w:t>
      </w:r>
      <w:r w:rsidRPr="001E37BA">
        <w:rPr>
          <w:rFonts w:asciiTheme="minorHAnsi" w:hAnsiTheme="minorHAnsi" w:cstheme="minorHAnsi"/>
          <w:sz w:val="22"/>
          <w:szCs w:val="22"/>
        </w:rPr>
        <w:t xml:space="preserve"> was supported by an Australian Government Research Training Program (RTP) Scholarship. GM, AM, and SKR </w:t>
      </w:r>
      <w:r w:rsidRPr="001E37BA">
        <w:rPr>
          <w:rFonts w:asciiTheme="minorHAnsi" w:hAnsiTheme="minorHAnsi" w:cstheme="minorHAnsi"/>
          <w:color w:val="333333"/>
          <w:sz w:val="22"/>
          <w:szCs w:val="22"/>
        </w:rPr>
        <w:t>had full access to all the data in the study and take responsibility for the integrity of the data and the accuracy of the data analysis.</w:t>
      </w:r>
    </w:p>
    <w:p w:rsidR="00786F9B" w:rsidRDefault="00786F9B" w:rsidP="00786F9B">
      <w:pPr>
        <w:pStyle w:val="ColorfulList-Accent11"/>
        <w:spacing w:line="360" w:lineRule="auto"/>
        <w:ind w:left="0"/>
        <w:jc w:val="both"/>
        <w:rPr>
          <w:rFonts w:asciiTheme="minorHAnsi" w:hAnsiTheme="minorHAnsi" w:cstheme="minorHAnsi"/>
          <w:b/>
          <w:sz w:val="22"/>
          <w:szCs w:val="22"/>
          <w:lang w:val="en-US"/>
        </w:rPr>
      </w:pPr>
    </w:p>
    <w:p w:rsidR="00786F9B" w:rsidRPr="007B57F3" w:rsidRDefault="00786F9B" w:rsidP="00786F9B">
      <w:pPr>
        <w:spacing w:line="360" w:lineRule="auto"/>
        <w:jc w:val="both"/>
        <w:rPr>
          <w:rFonts w:cstheme="minorHAnsi"/>
          <w:sz w:val="22"/>
          <w:szCs w:val="22"/>
        </w:rPr>
      </w:pPr>
      <w:r>
        <w:rPr>
          <w:rFonts w:asciiTheme="minorHAnsi" w:hAnsiTheme="minorHAnsi" w:cstheme="minorHAnsi"/>
          <w:b/>
          <w:sz w:val="22"/>
          <w:szCs w:val="22"/>
          <w:lang w:val="en-US"/>
        </w:rPr>
        <w:t xml:space="preserve">Statement of Ethics: </w:t>
      </w:r>
      <w:r w:rsidRPr="00F153C3">
        <w:rPr>
          <w:rFonts w:cstheme="minorHAnsi"/>
          <w:color w:val="000000"/>
          <w:sz w:val="22"/>
          <w:szCs w:val="22"/>
        </w:rPr>
        <w:t>This is a systematic review and meta-analysis, which does not need to be approved by the institutional review board or Ethics committee.</w:t>
      </w:r>
    </w:p>
    <w:p w:rsidR="00786F9B" w:rsidRDefault="00786F9B" w:rsidP="00786F9B">
      <w:pPr>
        <w:pStyle w:val="ColorfulList-Accent11"/>
        <w:spacing w:line="360" w:lineRule="auto"/>
        <w:ind w:left="0"/>
        <w:jc w:val="both"/>
        <w:rPr>
          <w:rFonts w:asciiTheme="minorHAnsi" w:hAnsiTheme="minorHAnsi" w:cstheme="minorHAnsi"/>
          <w:b/>
          <w:sz w:val="22"/>
          <w:szCs w:val="22"/>
          <w:lang w:val="en-US"/>
        </w:rPr>
      </w:pPr>
    </w:p>
    <w:p w:rsidR="00786F9B" w:rsidRPr="00B3525C" w:rsidRDefault="00786F9B" w:rsidP="00786F9B">
      <w:pPr>
        <w:pStyle w:val="ColorfulList-Accent11"/>
        <w:spacing w:line="360" w:lineRule="auto"/>
        <w:ind w:left="0"/>
        <w:jc w:val="both"/>
        <w:rPr>
          <w:rFonts w:asciiTheme="minorHAnsi" w:hAnsiTheme="minorHAnsi" w:cstheme="minorHAnsi"/>
          <w:sz w:val="22"/>
          <w:szCs w:val="22"/>
          <w:lang w:val="en-US"/>
        </w:rPr>
      </w:pPr>
      <w:r w:rsidRPr="00675527">
        <w:rPr>
          <w:rFonts w:asciiTheme="minorHAnsi" w:hAnsiTheme="minorHAnsi" w:cstheme="minorHAnsi"/>
          <w:b/>
          <w:sz w:val="22"/>
          <w:szCs w:val="22"/>
          <w:lang w:val="en-US"/>
        </w:rPr>
        <w:t>Disclosure</w:t>
      </w:r>
      <w:r>
        <w:rPr>
          <w:rFonts w:asciiTheme="minorHAnsi" w:hAnsiTheme="minorHAnsi" w:cstheme="minorHAnsi"/>
          <w:b/>
          <w:sz w:val="22"/>
          <w:szCs w:val="22"/>
          <w:lang w:val="en-US"/>
        </w:rPr>
        <w:t xml:space="preserve"> statement</w:t>
      </w:r>
      <w:r w:rsidRPr="00675527">
        <w:rPr>
          <w:rFonts w:asciiTheme="minorHAnsi" w:hAnsiTheme="minorHAnsi" w:cstheme="minorHAnsi"/>
          <w:b/>
          <w:sz w:val="22"/>
          <w:szCs w:val="22"/>
          <w:lang w:val="en-US"/>
        </w:rPr>
        <w:t xml:space="preserve">:  </w:t>
      </w:r>
      <w:r>
        <w:rPr>
          <w:rFonts w:asciiTheme="minorHAnsi" w:hAnsiTheme="minorHAnsi" w:cstheme="minorHAnsi"/>
          <w:sz w:val="22"/>
          <w:szCs w:val="22"/>
          <w:lang w:val="en-US"/>
        </w:rPr>
        <w:t>The co-authors have nil</w:t>
      </w:r>
      <w:r w:rsidRPr="00675527">
        <w:rPr>
          <w:rFonts w:asciiTheme="minorHAnsi" w:hAnsiTheme="minorHAnsi" w:cstheme="minorHAnsi"/>
          <w:sz w:val="22"/>
          <w:szCs w:val="22"/>
          <w:lang w:val="en-US"/>
        </w:rPr>
        <w:t xml:space="preserve"> </w:t>
      </w:r>
      <w:r>
        <w:rPr>
          <w:rFonts w:asciiTheme="minorHAnsi" w:hAnsiTheme="minorHAnsi" w:cstheme="minorHAnsi"/>
          <w:sz w:val="22"/>
          <w:szCs w:val="22"/>
          <w:lang w:val="en-US"/>
        </w:rPr>
        <w:t>personal or financial</w:t>
      </w:r>
      <w:r w:rsidRPr="00675527">
        <w:rPr>
          <w:rFonts w:asciiTheme="minorHAnsi" w:hAnsiTheme="minorHAnsi" w:cstheme="minorHAnsi"/>
          <w:sz w:val="22"/>
          <w:szCs w:val="22"/>
          <w:lang w:val="en-US"/>
        </w:rPr>
        <w:t xml:space="preserve"> </w:t>
      </w:r>
      <w:r>
        <w:rPr>
          <w:rFonts w:asciiTheme="minorHAnsi" w:hAnsiTheme="minorHAnsi" w:cstheme="minorHAnsi"/>
          <w:sz w:val="22"/>
          <w:szCs w:val="22"/>
          <w:lang w:val="en-US"/>
        </w:rPr>
        <w:t>disclosures</w:t>
      </w:r>
      <w:r w:rsidRPr="00675527">
        <w:rPr>
          <w:rFonts w:asciiTheme="minorHAnsi" w:hAnsiTheme="minorHAnsi" w:cstheme="minorHAnsi"/>
          <w:sz w:val="22"/>
          <w:szCs w:val="22"/>
          <w:lang w:val="en-US"/>
        </w:rPr>
        <w:t xml:space="preserve"> relevant to this stud</w:t>
      </w:r>
      <w:r>
        <w:rPr>
          <w:rFonts w:asciiTheme="minorHAnsi" w:hAnsiTheme="minorHAnsi" w:cstheme="minorHAnsi"/>
          <w:sz w:val="22"/>
          <w:szCs w:val="22"/>
          <w:lang w:val="en-US"/>
        </w:rPr>
        <w:t>y.</w:t>
      </w:r>
    </w:p>
    <w:p w:rsidR="00786F9B" w:rsidRDefault="00786F9B" w:rsidP="00786F9B">
      <w:pPr>
        <w:pStyle w:val="ColorfulList-Accent11"/>
        <w:spacing w:line="360" w:lineRule="auto"/>
        <w:ind w:left="-284"/>
        <w:jc w:val="both"/>
        <w:rPr>
          <w:rFonts w:asciiTheme="minorHAnsi" w:hAnsiTheme="minorHAnsi" w:cstheme="minorHAnsi"/>
          <w:b/>
          <w:sz w:val="22"/>
          <w:szCs w:val="22"/>
          <w:lang w:val="en-US"/>
        </w:rPr>
      </w:pPr>
    </w:p>
    <w:p w:rsidR="00786F9B" w:rsidRPr="00675527" w:rsidRDefault="00786F9B" w:rsidP="00786F9B">
      <w:pPr>
        <w:pStyle w:val="ColorfulList-Accent11"/>
        <w:spacing w:line="360" w:lineRule="auto"/>
        <w:ind w:left="0"/>
        <w:jc w:val="both"/>
        <w:rPr>
          <w:rFonts w:asciiTheme="minorHAnsi" w:hAnsiTheme="minorHAnsi" w:cstheme="minorHAnsi"/>
          <w:sz w:val="22"/>
          <w:szCs w:val="22"/>
          <w:lang w:val="en-US"/>
        </w:rPr>
      </w:pPr>
      <w:r>
        <w:rPr>
          <w:rFonts w:asciiTheme="minorHAnsi" w:hAnsiTheme="minorHAnsi" w:cstheme="minorHAnsi"/>
          <w:b/>
          <w:sz w:val="22"/>
          <w:szCs w:val="22"/>
          <w:lang w:val="en-US"/>
        </w:rPr>
        <w:t>Funding Sources</w:t>
      </w:r>
      <w:r w:rsidRPr="00675527">
        <w:rPr>
          <w:rFonts w:asciiTheme="minorHAnsi" w:hAnsiTheme="minorHAnsi" w:cstheme="minorHAnsi"/>
          <w:b/>
          <w:sz w:val="22"/>
          <w:szCs w:val="22"/>
          <w:lang w:val="en-US"/>
        </w:rPr>
        <w:t xml:space="preserve">: </w:t>
      </w:r>
      <w:r w:rsidRPr="00675527">
        <w:rPr>
          <w:rFonts w:asciiTheme="minorHAnsi" w:hAnsiTheme="minorHAnsi" w:cstheme="minorHAnsi"/>
          <w:sz w:val="22"/>
          <w:szCs w:val="22"/>
          <w:lang w:val="en-US"/>
        </w:rPr>
        <w:t>Nil</w:t>
      </w:r>
    </w:p>
    <w:p w:rsidR="00786F9B" w:rsidRPr="00675527" w:rsidRDefault="00786F9B" w:rsidP="00786F9B">
      <w:pPr>
        <w:pStyle w:val="ColorfulList-Accent11"/>
        <w:spacing w:line="360" w:lineRule="auto"/>
        <w:ind w:left="0"/>
        <w:jc w:val="both"/>
        <w:rPr>
          <w:rFonts w:asciiTheme="minorHAnsi" w:hAnsiTheme="minorHAnsi" w:cstheme="minorHAnsi"/>
          <w:b/>
          <w:sz w:val="22"/>
          <w:szCs w:val="22"/>
          <w:lang w:val="en-US"/>
        </w:rPr>
      </w:pPr>
    </w:p>
    <w:p w:rsidR="00786F9B" w:rsidRPr="00675527" w:rsidRDefault="00786F9B" w:rsidP="00786F9B">
      <w:pPr>
        <w:pStyle w:val="ColorfulList-Accent11"/>
        <w:spacing w:line="360" w:lineRule="auto"/>
        <w:ind w:left="0"/>
        <w:jc w:val="both"/>
        <w:rPr>
          <w:rFonts w:asciiTheme="minorHAnsi" w:hAnsiTheme="minorHAnsi" w:cstheme="minorHAnsi"/>
          <w:sz w:val="22"/>
          <w:szCs w:val="22"/>
          <w:lang w:val="en-US"/>
        </w:rPr>
      </w:pPr>
      <w:r w:rsidRPr="00675527">
        <w:rPr>
          <w:rFonts w:asciiTheme="minorHAnsi" w:hAnsiTheme="minorHAnsi" w:cstheme="minorHAnsi"/>
          <w:b/>
          <w:sz w:val="22"/>
          <w:szCs w:val="22"/>
          <w:lang w:val="en-US"/>
        </w:rPr>
        <w:t xml:space="preserve">Author Contributions: </w:t>
      </w:r>
      <w:r>
        <w:rPr>
          <w:rFonts w:asciiTheme="minorHAnsi" w:hAnsiTheme="minorHAnsi" w:cstheme="minorHAnsi"/>
          <w:sz w:val="22"/>
          <w:szCs w:val="22"/>
          <w:lang w:val="en-US"/>
        </w:rPr>
        <w:t>GM</w:t>
      </w:r>
      <w:r w:rsidRPr="00675527">
        <w:rPr>
          <w:rFonts w:asciiTheme="minorHAnsi" w:hAnsiTheme="minorHAnsi" w:cstheme="minorHAnsi"/>
          <w:sz w:val="22"/>
          <w:szCs w:val="22"/>
          <w:lang w:val="en-US"/>
        </w:rPr>
        <w:t xml:space="preserve">, </w:t>
      </w:r>
      <w:r>
        <w:rPr>
          <w:rFonts w:asciiTheme="minorHAnsi" w:hAnsiTheme="minorHAnsi" w:cstheme="minorHAnsi"/>
          <w:sz w:val="22"/>
          <w:szCs w:val="22"/>
          <w:lang w:val="en-US"/>
        </w:rPr>
        <w:t>AM</w:t>
      </w:r>
      <w:r w:rsidRPr="00675527">
        <w:rPr>
          <w:rFonts w:asciiTheme="minorHAnsi" w:hAnsiTheme="minorHAnsi" w:cstheme="minorHAnsi"/>
          <w:sz w:val="22"/>
          <w:szCs w:val="22"/>
          <w:lang w:val="en-US"/>
        </w:rPr>
        <w:t xml:space="preserve">, and </w:t>
      </w:r>
      <w:r>
        <w:rPr>
          <w:rFonts w:asciiTheme="minorHAnsi" w:hAnsiTheme="minorHAnsi" w:cstheme="minorHAnsi"/>
          <w:sz w:val="22"/>
          <w:szCs w:val="22"/>
          <w:lang w:val="en-US"/>
        </w:rPr>
        <w:t>SKR</w:t>
      </w:r>
      <w:r w:rsidRPr="00675527">
        <w:rPr>
          <w:rFonts w:asciiTheme="minorHAnsi" w:hAnsiTheme="minorHAnsi" w:cstheme="minorHAnsi"/>
          <w:sz w:val="22"/>
          <w:szCs w:val="22"/>
          <w:lang w:val="en-US"/>
        </w:rPr>
        <w:t xml:space="preserve"> contributed to the study design; </w:t>
      </w:r>
      <w:r>
        <w:rPr>
          <w:rFonts w:asciiTheme="minorHAnsi" w:hAnsiTheme="minorHAnsi" w:cstheme="minorHAnsi"/>
          <w:sz w:val="22"/>
          <w:szCs w:val="22"/>
          <w:lang w:val="en-US"/>
        </w:rPr>
        <w:t xml:space="preserve">GM and AM performed systematic review; GDE performed statistical analysis; DJP, HI, AH, TH, PL, PJ provided significant data input; </w:t>
      </w:r>
      <w:r w:rsidRPr="00675527">
        <w:rPr>
          <w:rFonts w:asciiTheme="minorHAnsi" w:hAnsiTheme="minorHAnsi" w:cstheme="minorHAnsi"/>
          <w:sz w:val="22"/>
          <w:szCs w:val="22"/>
          <w:lang w:val="en-US"/>
        </w:rPr>
        <w:t xml:space="preserve">all authors contributed to the drafting and/or review of the manuscript </w:t>
      </w:r>
    </w:p>
    <w:p w:rsidR="00786F9B" w:rsidRDefault="00786F9B" w:rsidP="00786F9B">
      <w:pPr>
        <w:spacing w:line="360" w:lineRule="auto"/>
        <w:jc w:val="both"/>
        <w:rPr>
          <w:rFonts w:cstheme="minorHAnsi"/>
          <w:sz w:val="22"/>
          <w:szCs w:val="22"/>
        </w:rPr>
      </w:pPr>
    </w:p>
    <w:p w:rsidR="00786F9B" w:rsidRPr="00675527" w:rsidRDefault="00786F9B" w:rsidP="00786F9B">
      <w:pPr>
        <w:pStyle w:val="ColorfulList-Accent11"/>
        <w:spacing w:line="360" w:lineRule="auto"/>
        <w:ind w:left="0"/>
        <w:jc w:val="both"/>
        <w:rPr>
          <w:rFonts w:asciiTheme="minorHAnsi" w:hAnsiTheme="minorHAnsi" w:cstheme="minorHAnsi"/>
          <w:b/>
          <w:sz w:val="22"/>
          <w:szCs w:val="22"/>
          <w:lang w:val="en-US"/>
        </w:rPr>
      </w:pPr>
      <w:r w:rsidRPr="00675527">
        <w:rPr>
          <w:rFonts w:asciiTheme="minorHAnsi" w:hAnsiTheme="minorHAnsi" w:cstheme="minorHAnsi"/>
          <w:b/>
          <w:sz w:val="22"/>
          <w:szCs w:val="22"/>
          <w:lang w:val="en-US"/>
        </w:rPr>
        <w:t xml:space="preserve">Word count: </w:t>
      </w:r>
      <w:r>
        <w:rPr>
          <w:rFonts w:asciiTheme="minorHAnsi" w:hAnsiTheme="minorHAnsi" w:cstheme="minorHAnsi"/>
          <w:sz w:val="22"/>
          <w:szCs w:val="22"/>
          <w:lang w:val="en-US"/>
        </w:rPr>
        <w:t>4659 including references,</w:t>
      </w:r>
      <w:r w:rsidRPr="00675527">
        <w:rPr>
          <w:rFonts w:asciiTheme="minorHAnsi" w:hAnsiTheme="minorHAnsi" w:cstheme="minorHAnsi"/>
          <w:sz w:val="22"/>
          <w:szCs w:val="22"/>
          <w:lang w:val="en-US"/>
        </w:rPr>
        <w:t xml:space="preserve"> </w:t>
      </w:r>
      <w:r>
        <w:rPr>
          <w:rFonts w:asciiTheme="minorHAnsi" w:hAnsiTheme="minorHAnsi" w:cstheme="minorHAnsi"/>
          <w:sz w:val="22"/>
          <w:szCs w:val="22"/>
          <w:lang w:val="en-US"/>
        </w:rPr>
        <w:t>ex</w:t>
      </w:r>
      <w:r w:rsidRPr="00675527">
        <w:rPr>
          <w:rFonts w:asciiTheme="minorHAnsi" w:hAnsiTheme="minorHAnsi" w:cstheme="minorHAnsi"/>
          <w:sz w:val="22"/>
          <w:szCs w:val="22"/>
          <w:lang w:val="en-US"/>
        </w:rPr>
        <w:t xml:space="preserve">cluding </w:t>
      </w:r>
      <w:r>
        <w:rPr>
          <w:rFonts w:asciiTheme="minorHAnsi" w:hAnsiTheme="minorHAnsi" w:cstheme="minorHAnsi"/>
          <w:sz w:val="22"/>
          <w:szCs w:val="22"/>
          <w:lang w:val="en-US"/>
        </w:rPr>
        <w:t>abstract.</w:t>
      </w:r>
    </w:p>
    <w:p w:rsidR="00786F9B" w:rsidRPr="00675527" w:rsidRDefault="00786F9B" w:rsidP="00786F9B">
      <w:pPr>
        <w:pStyle w:val="ColorfulList-Accent11"/>
        <w:spacing w:line="360" w:lineRule="auto"/>
        <w:ind w:left="0"/>
        <w:jc w:val="both"/>
        <w:rPr>
          <w:rFonts w:asciiTheme="minorHAnsi" w:hAnsiTheme="minorHAnsi" w:cstheme="minorHAnsi"/>
          <w:b/>
          <w:sz w:val="22"/>
          <w:szCs w:val="22"/>
          <w:lang w:val="en-US"/>
        </w:rPr>
      </w:pPr>
      <w:r w:rsidRPr="00675527">
        <w:rPr>
          <w:rFonts w:asciiTheme="minorHAnsi" w:hAnsiTheme="minorHAnsi" w:cstheme="minorHAnsi"/>
          <w:b/>
          <w:sz w:val="22"/>
          <w:szCs w:val="22"/>
          <w:lang w:val="en-US"/>
        </w:rPr>
        <w:t xml:space="preserve">Figures and Tables: </w:t>
      </w:r>
      <w:r>
        <w:rPr>
          <w:rFonts w:asciiTheme="minorHAnsi" w:hAnsiTheme="minorHAnsi" w:cstheme="minorHAnsi"/>
          <w:sz w:val="22"/>
          <w:szCs w:val="22"/>
          <w:lang w:val="en-US"/>
        </w:rPr>
        <w:t>Figures 3, Tables 3, supplementary figures 3</w:t>
      </w: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jc w:val="both"/>
        <w:rPr>
          <w:rFonts w:cstheme="minorHAnsi"/>
          <w:sz w:val="22"/>
          <w:szCs w:val="22"/>
        </w:rPr>
      </w:pPr>
    </w:p>
    <w:p w:rsidR="00786F9B" w:rsidRDefault="00786F9B" w:rsidP="00786F9B">
      <w:pPr>
        <w:spacing w:line="360" w:lineRule="auto"/>
        <w:rPr>
          <w:rFonts w:cstheme="minorHAnsi"/>
          <w:sz w:val="22"/>
          <w:szCs w:val="22"/>
        </w:rPr>
      </w:pPr>
    </w:p>
    <w:p w:rsidR="00786F9B" w:rsidRDefault="00786F9B" w:rsidP="00786F9B">
      <w:pPr>
        <w:spacing w:line="360" w:lineRule="auto"/>
        <w:rPr>
          <w:rFonts w:cstheme="minorHAnsi"/>
          <w:sz w:val="22"/>
          <w:szCs w:val="22"/>
        </w:rPr>
      </w:pPr>
    </w:p>
    <w:p w:rsidR="00786F9B" w:rsidRDefault="00786F9B" w:rsidP="00786F9B">
      <w:pPr>
        <w:spacing w:line="360" w:lineRule="auto"/>
        <w:rPr>
          <w:rFonts w:cstheme="minorHAnsi"/>
          <w:b/>
          <w:bCs/>
          <w:sz w:val="22"/>
          <w:szCs w:val="22"/>
          <w:u w:val="single"/>
        </w:rPr>
      </w:pPr>
      <w:r w:rsidRPr="00A718BE">
        <w:rPr>
          <w:rFonts w:cstheme="minorHAnsi"/>
          <w:b/>
          <w:bCs/>
          <w:sz w:val="22"/>
          <w:szCs w:val="22"/>
          <w:u w:val="single"/>
        </w:rPr>
        <w:lastRenderedPageBreak/>
        <w:t>REFERENCES</w:t>
      </w:r>
    </w:p>
    <w:p w:rsidR="00786F9B" w:rsidRPr="00C37E03" w:rsidRDefault="00786F9B" w:rsidP="00786F9B">
      <w:pPr>
        <w:spacing w:line="360" w:lineRule="auto"/>
        <w:rPr>
          <w:rFonts w:asciiTheme="minorHAnsi" w:hAnsiTheme="minorHAnsi"/>
          <w:sz w:val="22"/>
          <w:szCs w:val="22"/>
          <w:lang w:eastAsia="en-GB"/>
        </w:rPr>
      </w:pPr>
      <w:r w:rsidRPr="00C37E03">
        <w:rPr>
          <w:rStyle w:val="csl-left-margin"/>
          <w:rFonts w:asciiTheme="minorHAnsi" w:hAnsiTheme="minorHAnsi"/>
          <w:color w:val="000000"/>
          <w:sz w:val="22"/>
          <w:szCs w:val="22"/>
        </w:rPr>
        <w:t>1</w:t>
      </w:r>
      <w:r w:rsidRPr="00C37E03">
        <w:rPr>
          <w:rFonts w:asciiTheme="minorHAnsi" w:hAnsiTheme="minorHAnsi"/>
          <w:sz w:val="22"/>
          <w:szCs w:val="22"/>
        </w:rPr>
        <w:t xml:space="preserve">. Fitzmaurice C, </w:t>
      </w:r>
      <w:proofErr w:type="spellStart"/>
      <w:r w:rsidRPr="00C37E03">
        <w:rPr>
          <w:rFonts w:asciiTheme="minorHAnsi" w:hAnsiTheme="minorHAnsi"/>
          <w:sz w:val="22"/>
          <w:szCs w:val="22"/>
        </w:rPr>
        <w:t>Akinyemiju</w:t>
      </w:r>
      <w:proofErr w:type="spellEnd"/>
      <w:r w:rsidRPr="00C37E03">
        <w:rPr>
          <w:rFonts w:asciiTheme="minorHAnsi" w:hAnsiTheme="minorHAnsi"/>
          <w:sz w:val="22"/>
          <w:szCs w:val="22"/>
        </w:rPr>
        <w:t xml:space="preserve"> TF, Al </w:t>
      </w:r>
      <w:proofErr w:type="spellStart"/>
      <w:r w:rsidRPr="00C37E03">
        <w:rPr>
          <w:rFonts w:asciiTheme="minorHAnsi" w:hAnsiTheme="minorHAnsi"/>
          <w:sz w:val="22"/>
          <w:szCs w:val="22"/>
        </w:rPr>
        <w:t>Lami</w:t>
      </w:r>
      <w:proofErr w:type="spellEnd"/>
      <w:r w:rsidRPr="00C37E03">
        <w:rPr>
          <w:rFonts w:asciiTheme="minorHAnsi" w:hAnsiTheme="minorHAnsi"/>
          <w:sz w:val="22"/>
          <w:szCs w:val="22"/>
        </w:rPr>
        <w:t xml:space="preserve"> FH, </w:t>
      </w:r>
      <w:r>
        <w:rPr>
          <w:rFonts w:asciiTheme="minorHAnsi" w:hAnsiTheme="minorHAnsi"/>
          <w:sz w:val="22"/>
          <w:szCs w:val="22"/>
        </w:rPr>
        <w:t xml:space="preserve">Alam T, </w:t>
      </w:r>
      <w:proofErr w:type="spellStart"/>
      <w:r>
        <w:rPr>
          <w:rFonts w:asciiTheme="minorHAnsi" w:hAnsiTheme="minorHAnsi"/>
          <w:sz w:val="22"/>
          <w:szCs w:val="22"/>
        </w:rPr>
        <w:t>Alemayohu</w:t>
      </w:r>
      <w:proofErr w:type="spellEnd"/>
      <w:r>
        <w:rPr>
          <w:rFonts w:asciiTheme="minorHAnsi" w:hAnsiTheme="minorHAnsi"/>
          <w:sz w:val="22"/>
          <w:szCs w:val="22"/>
        </w:rPr>
        <w:t xml:space="preserve"> MA, Allen C, et al</w:t>
      </w:r>
      <w:r w:rsidRPr="00C37E03">
        <w:rPr>
          <w:rFonts w:asciiTheme="minorHAnsi" w:hAnsiTheme="minorHAnsi"/>
          <w:sz w:val="22"/>
          <w:szCs w:val="22"/>
        </w:rPr>
        <w:t xml:space="preserve">. </w:t>
      </w:r>
      <w:hyperlink r:id="rId5" w:history="1">
        <w:r w:rsidRPr="00C37E03">
          <w:rPr>
            <w:rFonts w:asciiTheme="minorHAnsi" w:hAnsiTheme="minorHAnsi"/>
            <w:sz w:val="22"/>
            <w:szCs w:val="22"/>
          </w:rPr>
          <w:t>Global Burden of Disease Cancer Collaboration</w:t>
        </w:r>
      </w:hyperlink>
      <w:r w:rsidRPr="00C37E03">
        <w:rPr>
          <w:rFonts w:asciiTheme="minorHAnsi" w:hAnsiTheme="minorHAnsi"/>
          <w:sz w:val="22"/>
          <w:szCs w:val="22"/>
        </w:rPr>
        <w:t>. Global</w:t>
      </w:r>
      <w:r w:rsidRPr="00C37E03">
        <w:rPr>
          <w:rStyle w:val="csl-right-inline"/>
          <w:rFonts w:asciiTheme="minorHAnsi" w:hAnsiTheme="minorHAnsi"/>
          <w:color w:val="000000"/>
          <w:sz w:val="22"/>
          <w:szCs w:val="22"/>
        </w:rPr>
        <w:t xml:space="preserve">, Regional, and National Cancer Incidence, Mortality, Years of Life Lost, Years Lived With Disability, and Disability-Adjusted Life-Years for 29 Cancer Groups, 1990 to 2016: A Systematic Analysis for the Global Burden of Disease Study. </w:t>
      </w:r>
      <w:proofErr w:type="spellStart"/>
      <w:r w:rsidRPr="00C37E03">
        <w:rPr>
          <w:rStyle w:val="csl-right-inline"/>
          <w:rFonts w:asciiTheme="minorHAnsi" w:hAnsiTheme="minorHAnsi"/>
          <w:iCs/>
          <w:color w:val="000000"/>
          <w:sz w:val="22"/>
          <w:szCs w:val="22"/>
        </w:rPr>
        <w:t>Jama</w:t>
      </w:r>
      <w:proofErr w:type="spellEnd"/>
      <w:r w:rsidRPr="00C37E03">
        <w:rPr>
          <w:rStyle w:val="csl-right-inline"/>
          <w:rFonts w:asciiTheme="minorHAnsi" w:hAnsiTheme="minorHAnsi"/>
          <w:iCs/>
          <w:color w:val="000000"/>
          <w:sz w:val="22"/>
          <w:szCs w:val="22"/>
        </w:rPr>
        <w:t xml:space="preserve"> </w:t>
      </w:r>
      <w:proofErr w:type="spellStart"/>
      <w:r w:rsidRPr="00C37E03">
        <w:rPr>
          <w:rStyle w:val="csl-right-inline"/>
          <w:rFonts w:asciiTheme="minorHAnsi" w:hAnsiTheme="minorHAnsi"/>
          <w:iCs/>
          <w:color w:val="000000"/>
          <w:sz w:val="22"/>
          <w:szCs w:val="22"/>
        </w:rPr>
        <w:t>Oncol</w:t>
      </w:r>
      <w:proofErr w:type="spellEnd"/>
      <w:r w:rsidRPr="00C37E03">
        <w:rPr>
          <w:rStyle w:val="csl-right-inline"/>
          <w:rFonts w:asciiTheme="minorHAnsi" w:hAnsiTheme="minorHAnsi"/>
          <w:color w:val="000000"/>
          <w:sz w:val="22"/>
          <w:szCs w:val="22"/>
        </w:rPr>
        <w:t xml:space="preserve">. 2018; </w:t>
      </w:r>
      <w:r w:rsidRPr="00C37E03">
        <w:rPr>
          <w:rFonts w:asciiTheme="minorHAnsi" w:hAnsiTheme="minorHAnsi" w:cs="Arial"/>
          <w:color w:val="000000"/>
          <w:sz w:val="22"/>
          <w:szCs w:val="22"/>
          <w:shd w:val="clear" w:color="auto" w:fill="FFFFFF"/>
          <w:lang w:eastAsia="en-GB"/>
        </w:rPr>
        <w:t>4(11):1553-1568.</w:t>
      </w:r>
    </w:p>
    <w:p w:rsidR="00786F9B" w:rsidRPr="00C37E03" w:rsidRDefault="00786F9B" w:rsidP="00786F9B">
      <w:pPr>
        <w:spacing w:line="360" w:lineRule="auto"/>
        <w:rPr>
          <w:rStyle w:val="csl-right-inline"/>
          <w:rFonts w:ascii="Calibri" w:hAnsi="Calibri"/>
          <w:color w:val="000000"/>
          <w:sz w:val="22"/>
        </w:rPr>
      </w:pPr>
      <w:r w:rsidRPr="00C37E03">
        <w:rPr>
          <w:rFonts w:ascii="Calibri" w:hAnsi="Calibri"/>
          <w:color w:val="000000"/>
          <w:sz w:val="22"/>
        </w:rPr>
        <w:br/>
      </w:r>
      <w:r w:rsidRPr="00C37E03">
        <w:rPr>
          <w:rStyle w:val="csl-left-margin"/>
          <w:rFonts w:ascii="Calibri" w:hAnsi="Calibri"/>
          <w:color w:val="000000"/>
          <w:sz w:val="22"/>
        </w:rPr>
        <w:t xml:space="preserve">2. </w:t>
      </w:r>
      <w:r w:rsidRPr="00C37E03">
        <w:rPr>
          <w:rStyle w:val="csl-right-inline"/>
          <w:rFonts w:ascii="Calibri" w:hAnsi="Calibri"/>
          <w:color w:val="000000"/>
          <w:sz w:val="22"/>
        </w:rPr>
        <w:t xml:space="preserve">Bray F, </w:t>
      </w:r>
      <w:proofErr w:type="spellStart"/>
      <w:r w:rsidRPr="00C37E03">
        <w:rPr>
          <w:rStyle w:val="csl-right-inline"/>
          <w:rFonts w:ascii="Calibri" w:hAnsi="Calibri"/>
          <w:color w:val="000000"/>
          <w:sz w:val="22"/>
        </w:rPr>
        <w:t>Ferlay</w:t>
      </w:r>
      <w:proofErr w:type="spellEnd"/>
      <w:r w:rsidRPr="00C37E03">
        <w:rPr>
          <w:rStyle w:val="csl-right-inline"/>
          <w:rFonts w:ascii="Calibri" w:hAnsi="Calibri"/>
          <w:color w:val="000000"/>
          <w:sz w:val="22"/>
        </w:rPr>
        <w:t xml:space="preserve"> J, </w:t>
      </w:r>
      <w:proofErr w:type="spellStart"/>
      <w:r w:rsidRPr="00C37E03">
        <w:rPr>
          <w:rStyle w:val="csl-right-inline"/>
          <w:rFonts w:ascii="Calibri" w:hAnsi="Calibri"/>
          <w:color w:val="000000"/>
          <w:sz w:val="22"/>
        </w:rPr>
        <w:t>Soerjomataram</w:t>
      </w:r>
      <w:proofErr w:type="spellEnd"/>
      <w:r w:rsidRPr="00C37E03">
        <w:rPr>
          <w:rStyle w:val="csl-right-inline"/>
          <w:rFonts w:ascii="Calibri" w:hAnsi="Calibri"/>
          <w:color w:val="000000"/>
          <w:sz w:val="22"/>
        </w:rPr>
        <w:t xml:space="preserve"> I, </w:t>
      </w:r>
      <w:r>
        <w:rPr>
          <w:rStyle w:val="csl-right-inline"/>
          <w:rFonts w:ascii="Calibri" w:hAnsi="Calibri"/>
          <w:color w:val="000000"/>
          <w:sz w:val="22"/>
        </w:rPr>
        <w:t xml:space="preserve">Siegel RL, Torre LA, </w:t>
      </w:r>
      <w:proofErr w:type="spellStart"/>
      <w:r>
        <w:rPr>
          <w:rStyle w:val="csl-right-inline"/>
          <w:rFonts w:ascii="Calibri" w:hAnsi="Calibri"/>
          <w:color w:val="000000"/>
          <w:sz w:val="22"/>
        </w:rPr>
        <w:t>Jemal</w:t>
      </w:r>
      <w:proofErr w:type="spellEnd"/>
      <w:r>
        <w:rPr>
          <w:rStyle w:val="csl-right-inline"/>
          <w:rFonts w:ascii="Calibri" w:hAnsi="Calibri"/>
          <w:color w:val="000000"/>
          <w:sz w:val="22"/>
        </w:rPr>
        <w:t xml:space="preserve"> A</w:t>
      </w:r>
      <w:r w:rsidRPr="00C37E03">
        <w:rPr>
          <w:rStyle w:val="csl-right-inline"/>
          <w:rFonts w:ascii="Calibri" w:hAnsi="Calibri"/>
          <w:color w:val="000000"/>
          <w:sz w:val="22"/>
        </w:rPr>
        <w:t xml:space="preserve">. Global cancer statistics 2018: GLOBOCAN estimates of incidence and mortality worldwide for 36 cancers in 185 countries. </w:t>
      </w:r>
      <w:r w:rsidRPr="00C37E03">
        <w:rPr>
          <w:rStyle w:val="csl-right-inline"/>
          <w:rFonts w:ascii="Calibri" w:hAnsi="Calibri"/>
          <w:iCs/>
          <w:color w:val="000000"/>
          <w:sz w:val="22"/>
        </w:rPr>
        <w:t xml:space="preserve">Ca Cancer J </w:t>
      </w:r>
      <w:proofErr w:type="spellStart"/>
      <w:r w:rsidRPr="00C37E03">
        <w:rPr>
          <w:rStyle w:val="csl-right-inline"/>
          <w:rFonts w:ascii="Calibri" w:hAnsi="Calibri"/>
          <w:iCs/>
          <w:color w:val="000000"/>
          <w:sz w:val="22"/>
        </w:rPr>
        <w:t>Clin</w:t>
      </w:r>
      <w:proofErr w:type="spellEnd"/>
      <w:r w:rsidRPr="00C37E03">
        <w:rPr>
          <w:rStyle w:val="csl-right-inline"/>
          <w:rFonts w:ascii="Calibri" w:hAnsi="Calibri"/>
          <w:color w:val="000000"/>
          <w:sz w:val="22"/>
        </w:rPr>
        <w:t xml:space="preserve">. 2018;68(6):394-424.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3. Galle PR, </w:t>
      </w:r>
      <w:proofErr w:type="spellStart"/>
      <w:r w:rsidRPr="00C37E03">
        <w:rPr>
          <w:rStyle w:val="csl-left-margin"/>
          <w:rFonts w:ascii="Calibri" w:hAnsi="Calibri"/>
          <w:color w:val="000000"/>
          <w:sz w:val="22"/>
        </w:rPr>
        <w:t>Forner</w:t>
      </w:r>
      <w:proofErr w:type="spellEnd"/>
      <w:r w:rsidRPr="00C37E03">
        <w:rPr>
          <w:rStyle w:val="csl-left-margin"/>
          <w:rFonts w:ascii="Calibri" w:hAnsi="Calibri"/>
          <w:color w:val="000000"/>
          <w:sz w:val="22"/>
        </w:rPr>
        <w:t xml:space="preserve"> A, Llovet JM, </w:t>
      </w:r>
      <w:r>
        <w:rPr>
          <w:rStyle w:val="csl-left-margin"/>
          <w:rFonts w:ascii="Calibri" w:hAnsi="Calibri"/>
          <w:color w:val="000000"/>
          <w:sz w:val="22"/>
        </w:rPr>
        <w:t>Mazzaferro V, Piscaglia F, Raoul JL, et al</w:t>
      </w:r>
      <w:r w:rsidRPr="00C37E03">
        <w:rPr>
          <w:rStyle w:val="csl-left-margin"/>
          <w:rFonts w:ascii="Calibri" w:hAnsi="Calibri"/>
          <w:color w:val="000000"/>
          <w:sz w:val="22"/>
        </w:rPr>
        <w:t xml:space="preserve">. </w:t>
      </w:r>
      <w:r w:rsidRPr="00C37E03">
        <w:rPr>
          <w:rStyle w:val="csl-right-inline"/>
          <w:rFonts w:ascii="Calibri" w:hAnsi="Calibri"/>
          <w:color w:val="000000"/>
          <w:sz w:val="22"/>
        </w:rPr>
        <w:t xml:space="preserve">EASL Clinical Practice Guidelines: Management of hepatocellular carcinoma. </w:t>
      </w:r>
      <w:r w:rsidRPr="00C37E03">
        <w:rPr>
          <w:rStyle w:val="csl-right-inline"/>
          <w:rFonts w:ascii="Calibri" w:hAnsi="Calibri"/>
          <w:iCs/>
          <w:color w:val="000000"/>
          <w:sz w:val="22"/>
        </w:rPr>
        <w:t>J Hepatol</w:t>
      </w:r>
      <w:r w:rsidRPr="00C37E03">
        <w:rPr>
          <w:rStyle w:val="csl-right-inline"/>
          <w:rFonts w:ascii="Calibri" w:hAnsi="Calibri"/>
          <w:color w:val="000000"/>
          <w:sz w:val="22"/>
        </w:rPr>
        <w:t xml:space="preserve">. 2018;69:182-236.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4. </w:t>
      </w:r>
      <w:proofErr w:type="spellStart"/>
      <w:r w:rsidRPr="00C37E03">
        <w:rPr>
          <w:rStyle w:val="csl-right-inline"/>
          <w:rFonts w:ascii="Calibri" w:hAnsi="Calibri"/>
          <w:color w:val="000000"/>
          <w:sz w:val="22"/>
        </w:rPr>
        <w:t>Díaz</w:t>
      </w:r>
      <w:proofErr w:type="spellEnd"/>
      <w:r w:rsidRPr="00C37E03">
        <w:rPr>
          <w:rStyle w:val="csl-right-inline"/>
          <w:rFonts w:ascii="Calibri" w:hAnsi="Calibri"/>
          <w:color w:val="000000"/>
          <w:sz w:val="22"/>
        </w:rPr>
        <w:t xml:space="preserve">-González Á, Reig M, Bruix J. Treatment of Hepatocellular Carcinoma. </w:t>
      </w:r>
      <w:r w:rsidRPr="00C37E03">
        <w:rPr>
          <w:rStyle w:val="csl-right-inline"/>
          <w:rFonts w:ascii="Calibri" w:hAnsi="Calibri"/>
          <w:iCs/>
          <w:color w:val="000000"/>
          <w:sz w:val="22"/>
        </w:rPr>
        <w:t>Digest Dis</w:t>
      </w:r>
      <w:r w:rsidRPr="00C37E03">
        <w:rPr>
          <w:rStyle w:val="csl-right-inline"/>
          <w:rFonts w:ascii="Calibri" w:hAnsi="Calibri"/>
          <w:color w:val="000000"/>
          <w:sz w:val="22"/>
        </w:rPr>
        <w:t xml:space="preserve">. 2016;34(5):597-602.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5. </w:t>
      </w:r>
      <w:r w:rsidRPr="00C37E03">
        <w:rPr>
          <w:rStyle w:val="csl-right-inline"/>
          <w:rFonts w:ascii="Calibri" w:hAnsi="Calibri"/>
          <w:color w:val="000000"/>
          <w:sz w:val="22"/>
        </w:rPr>
        <w:t xml:space="preserve">Lencioni R, Crocetti L, Simone P, </w:t>
      </w:r>
      <w:proofErr w:type="spellStart"/>
      <w:r>
        <w:rPr>
          <w:rStyle w:val="csl-right-inline"/>
          <w:rFonts w:ascii="Calibri" w:hAnsi="Calibri"/>
          <w:color w:val="000000"/>
          <w:sz w:val="22"/>
        </w:rPr>
        <w:t>Filipponi</w:t>
      </w:r>
      <w:proofErr w:type="spellEnd"/>
      <w:r>
        <w:rPr>
          <w:rStyle w:val="csl-right-inline"/>
          <w:rFonts w:ascii="Calibri" w:hAnsi="Calibri"/>
          <w:color w:val="000000"/>
          <w:sz w:val="22"/>
        </w:rPr>
        <w:t xml:space="preserve"> F</w:t>
      </w:r>
      <w:r w:rsidRPr="00C37E03">
        <w:rPr>
          <w:rStyle w:val="csl-right-inline"/>
          <w:rFonts w:ascii="Calibri" w:hAnsi="Calibri"/>
          <w:color w:val="000000"/>
          <w:sz w:val="22"/>
        </w:rPr>
        <w:t xml:space="preserve">. Loco‐regional interventional treatment of hepatocellular carcinoma: techniques, outcomes, and future prospects. </w:t>
      </w:r>
      <w:r w:rsidRPr="00C37E03">
        <w:rPr>
          <w:rStyle w:val="csl-right-inline"/>
          <w:rFonts w:ascii="Calibri" w:hAnsi="Calibri"/>
          <w:iCs/>
          <w:color w:val="000000"/>
          <w:sz w:val="22"/>
        </w:rPr>
        <w:t>Transplant Int</w:t>
      </w:r>
      <w:r w:rsidRPr="00C37E03">
        <w:rPr>
          <w:rStyle w:val="csl-right-inline"/>
          <w:rFonts w:ascii="Calibri" w:hAnsi="Calibri"/>
          <w:color w:val="000000"/>
          <w:sz w:val="22"/>
        </w:rPr>
        <w:t xml:space="preserve">. 2010;23(7):698-703.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6. </w:t>
      </w:r>
      <w:r w:rsidRPr="00C37E03">
        <w:rPr>
          <w:rStyle w:val="csl-right-inline"/>
          <w:rFonts w:ascii="Calibri" w:hAnsi="Calibri"/>
          <w:color w:val="000000"/>
          <w:sz w:val="22"/>
        </w:rPr>
        <w:t xml:space="preserve">Raoul J-L, </w:t>
      </w:r>
      <w:proofErr w:type="spellStart"/>
      <w:r w:rsidRPr="00C37E03">
        <w:rPr>
          <w:rStyle w:val="csl-right-inline"/>
          <w:rFonts w:ascii="Calibri" w:hAnsi="Calibri"/>
          <w:color w:val="000000"/>
          <w:sz w:val="22"/>
        </w:rPr>
        <w:t>Forner</w:t>
      </w:r>
      <w:proofErr w:type="spellEnd"/>
      <w:r w:rsidRPr="00C37E03">
        <w:rPr>
          <w:rStyle w:val="csl-right-inline"/>
          <w:rFonts w:ascii="Calibri" w:hAnsi="Calibri"/>
          <w:color w:val="000000"/>
          <w:sz w:val="22"/>
        </w:rPr>
        <w:t xml:space="preserve"> A, Bolondi L, </w:t>
      </w:r>
      <w:r>
        <w:rPr>
          <w:rStyle w:val="csl-right-inline"/>
          <w:rFonts w:ascii="Calibri" w:hAnsi="Calibri"/>
          <w:color w:val="000000"/>
          <w:sz w:val="22"/>
        </w:rPr>
        <w:t xml:space="preserve">Cheung TT, </w:t>
      </w:r>
      <w:proofErr w:type="spellStart"/>
      <w:r>
        <w:rPr>
          <w:rStyle w:val="csl-right-inline"/>
          <w:rFonts w:ascii="Calibri" w:hAnsi="Calibri"/>
          <w:color w:val="000000"/>
          <w:sz w:val="22"/>
        </w:rPr>
        <w:t>Kloeckner</w:t>
      </w:r>
      <w:proofErr w:type="spellEnd"/>
      <w:r>
        <w:rPr>
          <w:rStyle w:val="csl-right-inline"/>
          <w:rFonts w:ascii="Calibri" w:hAnsi="Calibri"/>
          <w:color w:val="000000"/>
          <w:sz w:val="22"/>
        </w:rPr>
        <w:t xml:space="preserve"> R, de </w:t>
      </w:r>
      <w:proofErr w:type="spellStart"/>
      <w:r>
        <w:rPr>
          <w:rStyle w:val="csl-right-inline"/>
          <w:rFonts w:ascii="Calibri" w:hAnsi="Calibri"/>
          <w:color w:val="000000"/>
          <w:sz w:val="22"/>
        </w:rPr>
        <w:t>Baere</w:t>
      </w:r>
      <w:proofErr w:type="spellEnd"/>
      <w:r>
        <w:rPr>
          <w:rStyle w:val="csl-right-inline"/>
          <w:rFonts w:ascii="Calibri" w:hAnsi="Calibri"/>
          <w:color w:val="000000"/>
          <w:sz w:val="22"/>
        </w:rPr>
        <w:t xml:space="preserve"> T</w:t>
      </w:r>
      <w:r w:rsidRPr="00C37E03">
        <w:rPr>
          <w:rStyle w:val="csl-right-inline"/>
          <w:rFonts w:ascii="Calibri" w:hAnsi="Calibri"/>
          <w:color w:val="000000"/>
          <w:sz w:val="22"/>
        </w:rPr>
        <w:t xml:space="preserve">. Updated use of TACE for hepatocellular carcinoma treatment: how and when to use it based on clinical evidence. </w:t>
      </w:r>
      <w:r w:rsidRPr="00C37E03">
        <w:rPr>
          <w:rStyle w:val="csl-right-inline"/>
          <w:rFonts w:ascii="Calibri" w:hAnsi="Calibri"/>
          <w:iCs/>
          <w:color w:val="000000"/>
          <w:sz w:val="22"/>
        </w:rPr>
        <w:t>Cancer Treat Rev</w:t>
      </w:r>
      <w:r w:rsidRPr="00C37E03">
        <w:rPr>
          <w:rStyle w:val="csl-right-inline"/>
          <w:rFonts w:ascii="Calibri" w:hAnsi="Calibri"/>
          <w:color w:val="000000"/>
          <w:sz w:val="22"/>
        </w:rPr>
        <w:t xml:space="preserve">. 2018;72(Sci Rep 7 2017):28-36.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7. </w:t>
      </w:r>
      <w:r w:rsidRPr="00C37E03">
        <w:rPr>
          <w:rStyle w:val="csl-right-inline"/>
          <w:rFonts w:ascii="Calibri" w:hAnsi="Calibri"/>
          <w:color w:val="000000"/>
          <w:sz w:val="22"/>
        </w:rPr>
        <w:t xml:space="preserve">Raoul J-L, Sangro B, </w:t>
      </w:r>
      <w:proofErr w:type="spellStart"/>
      <w:r w:rsidRPr="00C37E03">
        <w:rPr>
          <w:rStyle w:val="csl-right-inline"/>
          <w:rFonts w:ascii="Calibri" w:hAnsi="Calibri"/>
          <w:color w:val="000000"/>
          <w:sz w:val="22"/>
        </w:rPr>
        <w:t>Forner</w:t>
      </w:r>
      <w:proofErr w:type="spellEnd"/>
      <w:r w:rsidRPr="00C37E03">
        <w:rPr>
          <w:rStyle w:val="csl-right-inline"/>
          <w:rFonts w:ascii="Calibri" w:hAnsi="Calibri"/>
          <w:color w:val="000000"/>
          <w:sz w:val="22"/>
        </w:rPr>
        <w:t xml:space="preserve"> A, </w:t>
      </w:r>
      <w:r>
        <w:rPr>
          <w:rStyle w:val="csl-right-inline"/>
          <w:rFonts w:ascii="Calibri" w:hAnsi="Calibri"/>
          <w:color w:val="000000"/>
          <w:sz w:val="22"/>
        </w:rPr>
        <w:t>Mazzaferro V, Piscaglia F, Bolondi L, et al</w:t>
      </w:r>
      <w:r w:rsidRPr="00C37E03">
        <w:rPr>
          <w:rStyle w:val="csl-right-inline"/>
          <w:rFonts w:ascii="Calibri" w:hAnsi="Calibri"/>
          <w:color w:val="000000"/>
          <w:sz w:val="22"/>
        </w:rPr>
        <w:t xml:space="preserve">. Evolving strategies for the management of intermediate-stage hepatocellular carcinoma: Available evidence and expert opinion on the use of transarterial chemoembolization. </w:t>
      </w:r>
      <w:r w:rsidRPr="00C37E03">
        <w:rPr>
          <w:rStyle w:val="csl-right-inline"/>
          <w:rFonts w:ascii="Calibri" w:hAnsi="Calibri"/>
          <w:iCs/>
          <w:color w:val="000000"/>
          <w:sz w:val="22"/>
        </w:rPr>
        <w:t>Cancer Treat Rev</w:t>
      </w:r>
      <w:r w:rsidRPr="00C37E03">
        <w:rPr>
          <w:rStyle w:val="csl-right-inline"/>
          <w:rFonts w:ascii="Calibri" w:hAnsi="Calibri"/>
          <w:color w:val="000000"/>
          <w:sz w:val="22"/>
        </w:rPr>
        <w:t xml:space="preserve">. 2011;37(3):212-220.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8. </w:t>
      </w:r>
      <w:proofErr w:type="spellStart"/>
      <w:r w:rsidRPr="00C37E03">
        <w:rPr>
          <w:rStyle w:val="csl-right-inline"/>
          <w:rFonts w:ascii="Calibri" w:hAnsi="Calibri"/>
          <w:color w:val="000000"/>
          <w:sz w:val="22"/>
        </w:rPr>
        <w:t>Huo</w:t>
      </w:r>
      <w:proofErr w:type="spellEnd"/>
      <w:r w:rsidRPr="00C37E03">
        <w:rPr>
          <w:rStyle w:val="csl-right-inline"/>
          <w:rFonts w:ascii="Calibri" w:hAnsi="Calibri"/>
          <w:color w:val="000000"/>
          <w:sz w:val="22"/>
        </w:rPr>
        <w:t xml:space="preserve"> Y, </w:t>
      </w:r>
      <w:proofErr w:type="spellStart"/>
      <w:r w:rsidRPr="00C37E03">
        <w:rPr>
          <w:rStyle w:val="csl-right-inline"/>
          <w:rFonts w:ascii="Calibri" w:hAnsi="Calibri"/>
          <w:color w:val="000000"/>
          <w:sz w:val="22"/>
        </w:rPr>
        <w:t>Eslick</w:t>
      </w:r>
      <w:proofErr w:type="spellEnd"/>
      <w:r w:rsidRPr="00C37E03">
        <w:rPr>
          <w:rStyle w:val="csl-right-inline"/>
          <w:rFonts w:ascii="Calibri" w:hAnsi="Calibri"/>
          <w:color w:val="000000"/>
          <w:sz w:val="22"/>
        </w:rPr>
        <w:t xml:space="preserve"> GD. Transcatheter Arterial Chemoembolization Plus Radiotherapy Compared With Chemoembolization Alone for Hepatocellular Carcinoma: A Systematic Review and Meta-analysis. </w:t>
      </w:r>
      <w:r w:rsidRPr="00C37E03">
        <w:rPr>
          <w:rStyle w:val="csl-right-inline"/>
          <w:rFonts w:ascii="Calibri" w:hAnsi="Calibri"/>
          <w:iCs/>
          <w:color w:val="000000"/>
          <w:sz w:val="22"/>
        </w:rPr>
        <w:t>J</w:t>
      </w:r>
      <w:r>
        <w:rPr>
          <w:rStyle w:val="csl-right-inline"/>
          <w:rFonts w:ascii="Calibri" w:hAnsi="Calibri"/>
          <w:iCs/>
          <w:color w:val="000000"/>
          <w:sz w:val="22"/>
        </w:rPr>
        <w:t>AMA</w:t>
      </w:r>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Oncol</w:t>
      </w:r>
      <w:proofErr w:type="spellEnd"/>
      <w:r w:rsidRPr="00C37E03">
        <w:rPr>
          <w:rStyle w:val="csl-right-inline"/>
          <w:rFonts w:ascii="Calibri" w:hAnsi="Calibri"/>
          <w:color w:val="000000"/>
          <w:sz w:val="22"/>
        </w:rPr>
        <w:t xml:space="preserve">. 2015;1(6):756-765. </w:t>
      </w:r>
    </w:p>
    <w:p w:rsidR="00786F9B" w:rsidRDefault="00786F9B" w:rsidP="00786F9B">
      <w:pPr>
        <w:spacing w:line="360" w:lineRule="auto"/>
        <w:rPr>
          <w:rStyle w:val="csl-right-inline"/>
          <w:rFonts w:ascii="Calibri" w:hAnsi="Calibri"/>
          <w:color w:val="000000"/>
          <w:sz w:val="22"/>
        </w:rPr>
      </w:pPr>
      <w:r w:rsidRPr="00C37E03">
        <w:rPr>
          <w:rFonts w:ascii="Calibri" w:hAnsi="Calibri"/>
          <w:color w:val="000000"/>
          <w:sz w:val="22"/>
        </w:rPr>
        <w:br/>
      </w:r>
      <w:r w:rsidRPr="00C37E03">
        <w:rPr>
          <w:rStyle w:val="csl-left-margin"/>
          <w:rFonts w:ascii="Calibri" w:hAnsi="Calibri"/>
          <w:color w:val="000000"/>
          <w:sz w:val="22"/>
        </w:rPr>
        <w:t xml:space="preserve">9. </w:t>
      </w:r>
      <w:r w:rsidRPr="00C37E03">
        <w:rPr>
          <w:rStyle w:val="csl-right-inline"/>
          <w:rFonts w:ascii="Calibri" w:hAnsi="Calibri"/>
          <w:color w:val="000000"/>
          <w:sz w:val="22"/>
        </w:rPr>
        <w:t xml:space="preserve">Cabibbo G, </w:t>
      </w:r>
      <w:proofErr w:type="spellStart"/>
      <w:r w:rsidRPr="00C37E03">
        <w:rPr>
          <w:rStyle w:val="csl-right-inline"/>
          <w:rFonts w:ascii="Calibri" w:hAnsi="Calibri"/>
          <w:color w:val="000000"/>
          <w:sz w:val="22"/>
        </w:rPr>
        <w:t>Genco</w:t>
      </w:r>
      <w:proofErr w:type="spellEnd"/>
      <w:r w:rsidRPr="00C37E03">
        <w:rPr>
          <w:rStyle w:val="csl-right-inline"/>
          <w:rFonts w:ascii="Calibri" w:hAnsi="Calibri"/>
          <w:color w:val="000000"/>
          <w:sz w:val="22"/>
        </w:rPr>
        <w:t xml:space="preserve"> C, Marco DV, </w:t>
      </w:r>
      <w:r>
        <w:rPr>
          <w:rStyle w:val="csl-right-inline"/>
          <w:rFonts w:ascii="Calibri" w:hAnsi="Calibri"/>
          <w:color w:val="000000"/>
          <w:sz w:val="22"/>
        </w:rPr>
        <w:t xml:space="preserve">Barbara M, </w:t>
      </w:r>
      <w:proofErr w:type="spellStart"/>
      <w:r>
        <w:rPr>
          <w:rStyle w:val="csl-right-inline"/>
          <w:rFonts w:ascii="Calibri" w:hAnsi="Calibri"/>
          <w:color w:val="000000"/>
          <w:sz w:val="22"/>
        </w:rPr>
        <w:t>Enea</w:t>
      </w:r>
      <w:proofErr w:type="spellEnd"/>
      <w:r>
        <w:rPr>
          <w:rStyle w:val="csl-right-inline"/>
          <w:rFonts w:ascii="Calibri" w:hAnsi="Calibri"/>
          <w:color w:val="000000"/>
          <w:sz w:val="22"/>
        </w:rPr>
        <w:t xml:space="preserve"> M, </w:t>
      </w:r>
      <w:proofErr w:type="spellStart"/>
      <w:r>
        <w:rPr>
          <w:rStyle w:val="csl-right-inline"/>
          <w:rFonts w:ascii="Calibri" w:hAnsi="Calibri"/>
          <w:color w:val="000000"/>
          <w:sz w:val="22"/>
        </w:rPr>
        <w:t>Parisi</w:t>
      </w:r>
      <w:proofErr w:type="spellEnd"/>
      <w:r>
        <w:rPr>
          <w:rStyle w:val="csl-right-inline"/>
          <w:rFonts w:ascii="Calibri" w:hAnsi="Calibri"/>
          <w:color w:val="000000"/>
          <w:sz w:val="22"/>
        </w:rPr>
        <w:t xml:space="preserve"> P, et al</w:t>
      </w:r>
      <w:r w:rsidRPr="00C37E03">
        <w:rPr>
          <w:rStyle w:val="csl-right-inline"/>
          <w:rFonts w:ascii="Calibri" w:hAnsi="Calibri"/>
          <w:color w:val="000000"/>
          <w:sz w:val="22"/>
        </w:rPr>
        <w:t xml:space="preserve">. Predicting survival in patients with hepatocellular carcinoma treated by transarterial chemoembolisation. </w:t>
      </w:r>
      <w:r w:rsidRPr="00C37E03">
        <w:rPr>
          <w:rStyle w:val="csl-right-inline"/>
          <w:rFonts w:ascii="Calibri" w:hAnsi="Calibri"/>
          <w:iCs/>
          <w:color w:val="000000"/>
          <w:sz w:val="22"/>
        </w:rPr>
        <w:t>Aliment Pharm Therap</w:t>
      </w:r>
      <w:r w:rsidRPr="00C37E03">
        <w:rPr>
          <w:rStyle w:val="csl-right-inline"/>
          <w:rFonts w:ascii="Calibri" w:hAnsi="Calibri"/>
          <w:color w:val="000000"/>
          <w:sz w:val="22"/>
        </w:rPr>
        <w:t xml:space="preserve">. 2011;34(2):196-204.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lastRenderedPageBreak/>
        <w:t xml:space="preserve">10. </w:t>
      </w:r>
      <w:proofErr w:type="spellStart"/>
      <w:r w:rsidRPr="00C37E03">
        <w:rPr>
          <w:rStyle w:val="csl-right-inline"/>
          <w:rFonts w:ascii="Calibri" w:hAnsi="Calibri"/>
          <w:color w:val="000000"/>
          <w:sz w:val="22"/>
        </w:rPr>
        <w:t>Pietrosi</w:t>
      </w:r>
      <w:proofErr w:type="spellEnd"/>
      <w:r w:rsidRPr="00C37E03">
        <w:rPr>
          <w:rStyle w:val="csl-right-inline"/>
          <w:rFonts w:ascii="Calibri" w:hAnsi="Calibri"/>
          <w:color w:val="000000"/>
          <w:sz w:val="22"/>
        </w:rPr>
        <w:t xml:space="preserve"> G, </w:t>
      </w:r>
      <w:proofErr w:type="spellStart"/>
      <w:r w:rsidRPr="00C37E03">
        <w:rPr>
          <w:rStyle w:val="csl-right-inline"/>
          <w:rFonts w:ascii="Calibri" w:hAnsi="Calibri"/>
          <w:color w:val="000000"/>
          <w:sz w:val="22"/>
        </w:rPr>
        <w:t>Miraglia</w:t>
      </w:r>
      <w:proofErr w:type="spellEnd"/>
      <w:r w:rsidRPr="00C37E03">
        <w:rPr>
          <w:rStyle w:val="csl-right-inline"/>
          <w:rFonts w:ascii="Calibri" w:hAnsi="Calibri"/>
          <w:color w:val="000000"/>
          <w:sz w:val="22"/>
        </w:rPr>
        <w:t xml:space="preserve"> R, Luca A,</w:t>
      </w:r>
      <w:r>
        <w:rPr>
          <w:rStyle w:val="csl-right-inline"/>
          <w:rFonts w:ascii="Calibri" w:hAnsi="Calibri"/>
          <w:color w:val="000000"/>
          <w:sz w:val="22"/>
        </w:rPr>
        <w:t xml:space="preserve"> </w:t>
      </w:r>
      <w:proofErr w:type="spellStart"/>
      <w:r>
        <w:rPr>
          <w:rStyle w:val="csl-right-inline"/>
          <w:rFonts w:ascii="Calibri" w:hAnsi="Calibri"/>
          <w:color w:val="000000"/>
          <w:sz w:val="22"/>
        </w:rPr>
        <w:t>Vizzini</w:t>
      </w:r>
      <w:proofErr w:type="spellEnd"/>
      <w:r>
        <w:rPr>
          <w:rStyle w:val="csl-right-inline"/>
          <w:rFonts w:ascii="Calibri" w:hAnsi="Calibri"/>
          <w:color w:val="000000"/>
          <w:sz w:val="22"/>
        </w:rPr>
        <w:t xml:space="preserve"> GB, </w:t>
      </w:r>
      <w:proofErr w:type="spellStart"/>
      <w:r>
        <w:rPr>
          <w:rStyle w:val="csl-right-inline"/>
          <w:rFonts w:ascii="Calibri" w:hAnsi="Calibri"/>
          <w:color w:val="000000"/>
          <w:sz w:val="22"/>
        </w:rPr>
        <w:t>Fili</w:t>
      </w:r>
      <w:proofErr w:type="spellEnd"/>
      <w:r>
        <w:rPr>
          <w:rStyle w:val="csl-right-inline"/>
          <w:rFonts w:ascii="Calibri" w:hAnsi="Calibri"/>
          <w:color w:val="000000"/>
          <w:sz w:val="22"/>
        </w:rPr>
        <w:t xml:space="preserve"> D, Riccardo V, et al</w:t>
      </w:r>
      <w:r w:rsidRPr="00C37E03">
        <w:rPr>
          <w:rStyle w:val="csl-right-inline"/>
          <w:rFonts w:ascii="Calibri" w:hAnsi="Calibri"/>
          <w:color w:val="000000"/>
          <w:sz w:val="22"/>
        </w:rPr>
        <w:t xml:space="preserve">. Arterial Chemoembolization/Embolization and Early Complications after Hepatocellular Carcinoma Treatment: A Safe Standardized Protocol in Selected Patients with Child Class A and B Cirrhosis.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Vasc</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Interv</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Radiol</w:t>
      </w:r>
      <w:proofErr w:type="spellEnd"/>
      <w:r w:rsidRPr="00C37E03">
        <w:rPr>
          <w:rStyle w:val="csl-right-inline"/>
          <w:rFonts w:ascii="Calibri" w:hAnsi="Calibri"/>
          <w:color w:val="000000"/>
          <w:sz w:val="22"/>
        </w:rPr>
        <w:t xml:space="preserve">. 2009;20(7):896-902. </w:t>
      </w:r>
    </w:p>
    <w:p w:rsidR="00786F9B" w:rsidRPr="00C37E03" w:rsidRDefault="00786F9B" w:rsidP="00786F9B">
      <w:pPr>
        <w:spacing w:line="360" w:lineRule="auto"/>
        <w:rPr>
          <w:rStyle w:val="csl-right-inline"/>
          <w:rFonts w:ascii="Calibri" w:hAnsi="Calibri"/>
          <w:color w:val="000000"/>
          <w:sz w:val="22"/>
        </w:rPr>
      </w:pPr>
      <w:r w:rsidRPr="00C37E03">
        <w:rPr>
          <w:rFonts w:ascii="Calibri" w:hAnsi="Calibri"/>
          <w:color w:val="000000"/>
          <w:sz w:val="22"/>
        </w:rPr>
        <w:br/>
      </w:r>
      <w:r w:rsidRPr="00C37E03">
        <w:rPr>
          <w:rStyle w:val="csl-left-margin"/>
          <w:rFonts w:ascii="Calibri" w:hAnsi="Calibri"/>
          <w:color w:val="000000"/>
          <w:sz w:val="22"/>
        </w:rPr>
        <w:t xml:space="preserve">11. </w:t>
      </w:r>
      <w:r w:rsidRPr="00C37E03">
        <w:rPr>
          <w:rStyle w:val="csl-right-inline"/>
          <w:rFonts w:ascii="Calibri" w:hAnsi="Calibri"/>
          <w:color w:val="000000"/>
          <w:sz w:val="22"/>
        </w:rPr>
        <w:t xml:space="preserve">Lo C, </w:t>
      </w:r>
      <w:proofErr w:type="spellStart"/>
      <w:r w:rsidRPr="00C37E03">
        <w:rPr>
          <w:rStyle w:val="csl-right-inline"/>
          <w:rFonts w:ascii="Calibri" w:hAnsi="Calibri"/>
          <w:color w:val="000000"/>
          <w:sz w:val="22"/>
        </w:rPr>
        <w:t>Ngan</w:t>
      </w:r>
      <w:proofErr w:type="spellEnd"/>
      <w:r w:rsidRPr="00C37E03">
        <w:rPr>
          <w:rStyle w:val="csl-right-inline"/>
          <w:rFonts w:ascii="Calibri" w:hAnsi="Calibri"/>
          <w:color w:val="000000"/>
          <w:sz w:val="22"/>
        </w:rPr>
        <w:t xml:space="preserve"> H, Tso W, </w:t>
      </w:r>
      <w:r>
        <w:rPr>
          <w:rStyle w:val="csl-right-inline"/>
          <w:rFonts w:ascii="Calibri" w:hAnsi="Calibri"/>
          <w:color w:val="000000"/>
          <w:sz w:val="22"/>
        </w:rPr>
        <w:t>Liu CL, Lam CM, Poon TRP, et al</w:t>
      </w:r>
      <w:r w:rsidRPr="00C37E03">
        <w:rPr>
          <w:rStyle w:val="csl-right-inline"/>
          <w:rFonts w:ascii="Calibri" w:hAnsi="Calibri"/>
          <w:color w:val="000000"/>
          <w:sz w:val="22"/>
        </w:rPr>
        <w:t xml:space="preserve">. Randomized controlled trial of transarterial lipiodol chemoembolization for unresectable hepatocellular carcinoma. </w:t>
      </w:r>
      <w:r w:rsidRPr="00C37E03">
        <w:rPr>
          <w:rStyle w:val="csl-right-inline"/>
          <w:rFonts w:ascii="Calibri" w:hAnsi="Calibri"/>
          <w:iCs/>
          <w:color w:val="000000"/>
          <w:sz w:val="22"/>
        </w:rPr>
        <w:t>Hepatology</w:t>
      </w:r>
      <w:r w:rsidRPr="00C37E03">
        <w:rPr>
          <w:rStyle w:val="csl-right-inline"/>
          <w:rFonts w:ascii="Calibri" w:hAnsi="Calibri"/>
          <w:color w:val="000000"/>
          <w:sz w:val="22"/>
        </w:rPr>
        <w:t xml:space="preserve">. 2002;35(5):1164-1171.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12. </w:t>
      </w:r>
      <w:r w:rsidRPr="00C37E03">
        <w:rPr>
          <w:rStyle w:val="csl-right-inline"/>
          <w:rFonts w:ascii="Calibri" w:hAnsi="Calibri"/>
          <w:color w:val="000000"/>
          <w:sz w:val="22"/>
        </w:rPr>
        <w:t xml:space="preserve">Llovet JM, Real M, </w:t>
      </w:r>
      <w:proofErr w:type="spellStart"/>
      <w:r w:rsidRPr="00C37E03">
        <w:rPr>
          <w:rStyle w:val="csl-right-inline"/>
          <w:rFonts w:ascii="Calibri" w:hAnsi="Calibri"/>
          <w:color w:val="000000"/>
          <w:sz w:val="22"/>
        </w:rPr>
        <w:t>Montaña</w:t>
      </w:r>
      <w:proofErr w:type="spellEnd"/>
      <w:r w:rsidRPr="00C37E03">
        <w:rPr>
          <w:rStyle w:val="csl-right-inline"/>
          <w:rFonts w:ascii="Calibri" w:hAnsi="Calibri"/>
          <w:color w:val="000000"/>
          <w:sz w:val="22"/>
        </w:rPr>
        <w:t xml:space="preserve"> X, </w:t>
      </w:r>
      <w:proofErr w:type="spellStart"/>
      <w:r>
        <w:rPr>
          <w:rStyle w:val="csl-right-inline"/>
          <w:rFonts w:ascii="Calibri" w:hAnsi="Calibri"/>
          <w:color w:val="000000"/>
          <w:sz w:val="22"/>
        </w:rPr>
        <w:t>Planas</w:t>
      </w:r>
      <w:proofErr w:type="spellEnd"/>
      <w:r>
        <w:rPr>
          <w:rStyle w:val="csl-right-inline"/>
          <w:rFonts w:ascii="Calibri" w:hAnsi="Calibri"/>
          <w:color w:val="000000"/>
          <w:sz w:val="22"/>
        </w:rPr>
        <w:t xml:space="preserve"> R, </w:t>
      </w:r>
      <w:proofErr w:type="spellStart"/>
      <w:r>
        <w:rPr>
          <w:rStyle w:val="csl-right-inline"/>
          <w:rFonts w:ascii="Calibri" w:hAnsi="Calibri"/>
          <w:color w:val="000000"/>
          <w:sz w:val="22"/>
        </w:rPr>
        <w:t>Coll</w:t>
      </w:r>
      <w:proofErr w:type="spellEnd"/>
      <w:r>
        <w:rPr>
          <w:rStyle w:val="csl-right-inline"/>
          <w:rFonts w:ascii="Calibri" w:hAnsi="Calibri"/>
          <w:color w:val="000000"/>
          <w:sz w:val="22"/>
        </w:rPr>
        <w:t xml:space="preserve"> S, Aponte J, et al</w:t>
      </w:r>
      <w:r w:rsidRPr="00C37E03">
        <w:rPr>
          <w:rStyle w:val="csl-right-inline"/>
          <w:rFonts w:ascii="Calibri" w:hAnsi="Calibri"/>
          <w:color w:val="000000"/>
          <w:sz w:val="22"/>
        </w:rPr>
        <w:t xml:space="preserve">. Arterial embolisation or chemoembolisation versus symptomatic treatment in patients with unresectable hepatocellular carcinoma: a randomised controlled trial. </w:t>
      </w:r>
      <w:r w:rsidRPr="00C37E03">
        <w:rPr>
          <w:rStyle w:val="csl-right-inline"/>
          <w:rFonts w:ascii="Calibri" w:hAnsi="Calibri"/>
          <w:iCs/>
          <w:color w:val="000000"/>
          <w:sz w:val="22"/>
        </w:rPr>
        <w:t>Lancet</w:t>
      </w:r>
      <w:r w:rsidRPr="00C37E03">
        <w:rPr>
          <w:rStyle w:val="csl-right-inline"/>
          <w:rFonts w:ascii="Calibri" w:hAnsi="Calibri"/>
          <w:color w:val="000000"/>
          <w:sz w:val="22"/>
        </w:rPr>
        <w:t xml:space="preserve">. 2002;359(9319):1734-1739.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13. </w:t>
      </w:r>
      <w:proofErr w:type="spellStart"/>
      <w:r w:rsidRPr="00C37E03">
        <w:rPr>
          <w:rStyle w:val="csl-right-inline"/>
          <w:rFonts w:ascii="Calibri" w:hAnsi="Calibri"/>
          <w:color w:val="000000"/>
          <w:sz w:val="22"/>
        </w:rPr>
        <w:t>Takayasu</w:t>
      </w:r>
      <w:proofErr w:type="spellEnd"/>
      <w:r w:rsidRPr="00C37E03">
        <w:rPr>
          <w:rStyle w:val="csl-right-inline"/>
          <w:rFonts w:ascii="Calibri" w:hAnsi="Calibri"/>
          <w:color w:val="000000"/>
          <w:sz w:val="22"/>
        </w:rPr>
        <w:t xml:space="preserve"> K, </w:t>
      </w:r>
      <w:proofErr w:type="spellStart"/>
      <w:r w:rsidRPr="00C37E03">
        <w:rPr>
          <w:rStyle w:val="csl-right-inline"/>
          <w:rFonts w:ascii="Calibri" w:hAnsi="Calibri"/>
          <w:color w:val="000000"/>
          <w:sz w:val="22"/>
        </w:rPr>
        <w:t>Arii</w:t>
      </w:r>
      <w:proofErr w:type="spellEnd"/>
      <w:r w:rsidRPr="00C37E03">
        <w:rPr>
          <w:rStyle w:val="csl-right-inline"/>
          <w:rFonts w:ascii="Calibri" w:hAnsi="Calibri"/>
          <w:color w:val="000000"/>
          <w:sz w:val="22"/>
        </w:rPr>
        <w:t xml:space="preserve"> S, Kudo M, </w:t>
      </w:r>
      <w:r>
        <w:rPr>
          <w:rStyle w:val="csl-right-inline"/>
          <w:rFonts w:ascii="Calibri" w:hAnsi="Calibri"/>
          <w:color w:val="000000"/>
          <w:sz w:val="22"/>
        </w:rPr>
        <w:t xml:space="preserve">Ichida T, Matsui O, Izumi N, </w:t>
      </w:r>
      <w:r w:rsidRPr="00C37E03">
        <w:rPr>
          <w:rStyle w:val="csl-right-inline"/>
          <w:rFonts w:ascii="Calibri" w:hAnsi="Calibri"/>
          <w:color w:val="000000"/>
          <w:sz w:val="22"/>
        </w:rPr>
        <w:t xml:space="preserve">et al. Superselective transarterial chemoembolization for hepatocellular carcinoma. Validation of treatment algorithm proposed by Japanese guidelines. </w:t>
      </w:r>
      <w:r w:rsidRPr="00C37E03">
        <w:rPr>
          <w:rStyle w:val="csl-right-inline"/>
          <w:rFonts w:ascii="Calibri" w:hAnsi="Calibri"/>
          <w:iCs/>
          <w:color w:val="000000"/>
          <w:sz w:val="22"/>
        </w:rPr>
        <w:t>J Hepatol</w:t>
      </w:r>
      <w:r w:rsidRPr="00C37E03">
        <w:rPr>
          <w:rStyle w:val="csl-right-inline"/>
          <w:rFonts w:ascii="Calibri" w:hAnsi="Calibri"/>
          <w:color w:val="000000"/>
          <w:sz w:val="22"/>
        </w:rPr>
        <w:t xml:space="preserve">. 2012;56(4):886-892.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14. </w:t>
      </w:r>
      <w:proofErr w:type="spellStart"/>
      <w:r w:rsidRPr="00C37E03">
        <w:rPr>
          <w:rStyle w:val="csl-right-inline"/>
          <w:rFonts w:ascii="Calibri" w:hAnsi="Calibri"/>
          <w:color w:val="000000"/>
          <w:sz w:val="22"/>
        </w:rPr>
        <w:t>Burrel</w:t>
      </w:r>
      <w:proofErr w:type="spellEnd"/>
      <w:r w:rsidRPr="00C37E03">
        <w:rPr>
          <w:rStyle w:val="csl-right-inline"/>
          <w:rFonts w:ascii="Calibri" w:hAnsi="Calibri"/>
          <w:color w:val="000000"/>
          <w:sz w:val="22"/>
        </w:rPr>
        <w:t xml:space="preserve"> M, Reig M, </w:t>
      </w:r>
      <w:proofErr w:type="spellStart"/>
      <w:r w:rsidRPr="00C37E03">
        <w:rPr>
          <w:rStyle w:val="csl-right-inline"/>
          <w:rFonts w:ascii="Calibri" w:hAnsi="Calibri"/>
          <w:color w:val="000000"/>
          <w:sz w:val="22"/>
        </w:rPr>
        <w:t>Forner</w:t>
      </w:r>
      <w:proofErr w:type="spellEnd"/>
      <w:r w:rsidRPr="00C37E03">
        <w:rPr>
          <w:rStyle w:val="csl-right-inline"/>
          <w:rFonts w:ascii="Calibri" w:hAnsi="Calibri"/>
          <w:color w:val="000000"/>
          <w:sz w:val="22"/>
        </w:rPr>
        <w:t xml:space="preserve"> A, </w:t>
      </w:r>
      <w:proofErr w:type="spellStart"/>
      <w:r>
        <w:rPr>
          <w:rStyle w:val="csl-right-inline"/>
          <w:rFonts w:ascii="Calibri" w:hAnsi="Calibri"/>
          <w:color w:val="000000"/>
          <w:sz w:val="22"/>
        </w:rPr>
        <w:t>Barrufet</w:t>
      </w:r>
      <w:proofErr w:type="spellEnd"/>
      <w:r>
        <w:rPr>
          <w:rStyle w:val="csl-right-inline"/>
          <w:rFonts w:ascii="Calibri" w:hAnsi="Calibri"/>
          <w:color w:val="000000"/>
          <w:sz w:val="22"/>
        </w:rPr>
        <w:t xml:space="preserve"> M, de Lope CR, </w:t>
      </w:r>
      <w:proofErr w:type="spellStart"/>
      <w:r>
        <w:rPr>
          <w:rStyle w:val="csl-right-inline"/>
          <w:rFonts w:ascii="Calibri" w:hAnsi="Calibri"/>
          <w:color w:val="000000"/>
          <w:sz w:val="22"/>
        </w:rPr>
        <w:t>Tremosini</w:t>
      </w:r>
      <w:proofErr w:type="spellEnd"/>
      <w:r>
        <w:rPr>
          <w:rStyle w:val="csl-right-inline"/>
          <w:rFonts w:ascii="Calibri" w:hAnsi="Calibri"/>
          <w:color w:val="000000"/>
          <w:sz w:val="22"/>
        </w:rPr>
        <w:t xml:space="preserve"> S, </w:t>
      </w:r>
      <w:r w:rsidRPr="00C37E03">
        <w:rPr>
          <w:rStyle w:val="csl-right-inline"/>
          <w:rFonts w:ascii="Calibri" w:hAnsi="Calibri"/>
          <w:color w:val="000000"/>
          <w:sz w:val="22"/>
        </w:rPr>
        <w:t xml:space="preserve">et al. Survival of patients with hepatocellular carcinoma treated by transarterial chemoembolisation (TACE) using Drug Eluting Beads. Implications for clinical practice and trial design. </w:t>
      </w:r>
      <w:r w:rsidRPr="00C37E03">
        <w:rPr>
          <w:rStyle w:val="csl-right-inline"/>
          <w:rFonts w:ascii="Calibri" w:hAnsi="Calibri"/>
          <w:iCs/>
          <w:color w:val="000000"/>
          <w:sz w:val="22"/>
        </w:rPr>
        <w:t>J Hepatol</w:t>
      </w:r>
      <w:r w:rsidRPr="00C37E03">
        <w:rPr>
          <w:rStyle w:val="csl-right-inline"/>
          <w:rFonts w:ascii="Calibri" w:hAnsi="Calibri"/>
          <w:color w:val="000000"/>
          <w:sz w:val="22"/>
        </w:rPr>
        <w:t xml:space="preserve">. 2012;56(6):1330-1335.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15. </w:t>
      </w:r>
      <w:r w:rsidRPr="00C37E03">
        <w:rPr>
          <w:rStyle w:val="csl-right-inline"/>
          <w:rFonts w:ascii="Calibri" w:hAnsi="Calibri"/>
          <w:color w:val="000000"/>
          <w:sz w:val="22"/>
        </w:rPr>
        <w:t xml:space="preserve">Adhoute X, </w:t>
      </w:r>
      <w:proofErr w:type="spellStart"/>
      <w:r w:rsidRPr="00C37E03">
        <w:rPr>
          <w:rStyle w:val="csl-right-inline"/>
          <w:rFonts w:ascii="Calibri" w:hAnsi="Calibri"/>
          <w:color w:val="000000"/>
          <w:sz w:val="22"/>
        </w:rPr>
        <w:t>Pénaranda</w:t>
      </w:r>
      <w:proofErr w:type="spellEnd"/>
      <w:r w:rsidRPr="00C37E03">
        <w:rPr>
          <w:rStyle w:val="csl-right-inline"/>
          <w:rFonts w:ascii="Calibri" w:hAnsi="Calibri"/>
          <w:color w:val="000000"/>
          <w:sz w:val="22"/>
        </w:rPr>
        <w:t xml:space="preserve"> G, Raoul J,</w:t>
      </w:r>
      <w:r>
        <w:rPr>
          <w:rStyle w:val="csl-right-inline"/>
          <w:rFonts w:ascii="Calibri" w:hAnsi="Calibri"/>
          <w:color w:val="000000"/>
          <w:sz w:val="22"/>
        </w:rPr>
        <w:t xml:space="preserve"> Edeline J, Blanc JF, Pol B,</w:t>
      </w:r>
      <w:r w:rsidRPr="00C37E03">
        <w:rPr>
          <w:rStyle w:val="csl-right-inline"/>
          <w:rFonts w:ascii="Calibri" w:hAnsi="Calibri"/>
          <w:color w:val="000000"/>
          <w:sz w:val="22"/>
        </w:rPr>
        <w:t xml:space="preserve"> et al. Barcelona clinic liver cancer nomogram and others staging/scoring systems in a French hepatocellular carcinoma cohort. </w:t>
      </w:r>
      <w:r w:rsidRPr="00C37E03">
        <w:rPr>
          <w:rStyle w:val="csl-right-inline"/>
          <w:rFonts w:ascii="Calibri" w:hAnsi="Calibri"/>
          <w:iCs/>
          <w:color w:val="000000"/>
          <w:sz w:val="22"/>
        </w:rPr>
        <w:t xml:space="preserve">World J </w:t>
      </w:r>
      <w:proofErr w:type="spellStart"/>
      <w:r w:rsidRPr="00C37E03">
        <w:rPr>
          <w:rStyle w:val="csl-right-inline"/>
          <w:rFonts w:ascii="Calibri" w:hAnsi="Calibri"/>
          <w:iCs/>
          <w:color w:val="000000"/>
          <w:sz w:val="22"/>
        </w:rPr>
        <w:t>Gastroentero</w:t>
      </w:r>
      <w:proofErr w:type="spellEnd"/>
      <w:r w:rsidRPr="00C37E03">
        <w:rPr>
          <w:rStyle w:val="csl-right-inline"/>
          <w:rFonts w:ascii="Calibri" w:hAnsi="Calibri"/>
          <w:color w:val="000000"/>
          <w:sz w:val="22"/>
        </w:rPr>
        <w:t xml:space="preserve">. 2017;23(14):2545-2555.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16. </w:t>
      </w:r>
      <w:proofErr w:type="spellStart"/>
      <w:r w:rsidRPr="00C37E03">
        <w:rPr>
          <w:rStyle w:val="csl-right-inline"/>
          <w:rFonts w:ascii="Calibri" w:hAnsi="Calibri"/>
          <w:color w:val="000000"/>
          <w:sz w:val="22"/>
        </w:rPr>
        <w:t>Guarino</w:t>
      </w:r>
      <w:proofErr w:type="spellEnd"/>
      <w:r w:rsidRPr="00C37E03">
        <w:rPr>
          <w:rStyle w:val="csl-right-inline"/>
          <w:rFonts w:ascii="Calibri" w:hAnsi="Calibri"/>
          <w:color w:val="000000"/>
          <w:sz w:val="22"/>
        </w:rPr>
        <w:t xml:space="preserve"> M, </w:t>
      </w:r>
      <w:proofErr w:type="spellStart"/>
      <w:r w:rsidRPr="00C37E03">
        <w:rPr>
          <w:rStyle w:val="csl-right-inline"/>
          <w:rFonts w:ascii="Calibri" w:hAnsi="Calibri"/>
          <w:color w:val="000000"/>
          <w:sz w:val="22"/>
        </w:rPr>
        <w:t>Tortora</w:t>
      </w:r>
      <w:proofErr w:type="spellEnd"/>
      <w:r w:rsidRPr="00C37E03">
        <w:rPr>
          <w:rStyle w:val="csl-right-inline"/>
          <w:rFonts w:ascii="Calibri" w:hAnsi="Calibri"/>
          <w:color w:val="000000"/>
          <w:sz w:val="22"/>
        </w:rPr>
        <w:t xml:space="preserve"> R, Stefano G, </w:t>
      </w:r>
      <w:r>
        <w:rPr>
          <w:rStyle w:val="csl-right-inline"/>
          <w:rFonts w:ascii="Calibri" w:hAnsi="Calibri"/>
          <w:color w:val="000000"/>
          <w:sz w:val="22"/>
        </w:rPr>
        <w:t xml:space="preserve">Coppola C, </w:t>
      </w:r>
      <w:proofErr w:type="spellStart"/>
      <w:r>
        <w:rPr>
          <w:rStyle w:val="csl-right-inline"/>
          <w:rFonts w:ascii="Calibri" w:hAnsi="Calibri"/>
          <w:color w:val="000000"/>
          <w:sz w:val="22"/>
        </w:rPr>
        <w:t>Morisco</w:t>
      </w:r>
      <w:proofErr w:type="spellEnd"/>
      <w:r>
        <w:rPr>
          <w:rStyle w:val="csl-right-inline"/>
          <w:rFonts w:ascii="Calibri" w:hAnsi="Calibri"/>
          <w:color w:val="000000"/>
          <w:sz w:val="22"/>
        </w:rPr>
        <w:t xml:space="preserve"> F, </w:t>
      </w:r>
      <w:proofErr w:type="spellStart"/>
      <w:r>
        <w:rPr>
          <w:rStyle w:val="csl-right-inline"/>
          <w:rFonts w:ascii="Calibri" w:hAnsi="Calibri"/>
          <w:color w:val="000000"/>
          <w:sz w:val="22"/>
        </w:rPr>
        <w:t>Megna</w:t>
      </w:r>
      <w:proofErr w:type="spellEnd"/>
      <w:r>
        <w:rPr>
          <w:rStyle w:val="csl-right-inline"/>
          <w:rFonts w:ascii="Calibri" w:hAnsi="Calibri"/>
          <w:color w:val="000000"/>
          <w:sz w:val="22"/>
        </w:rPr>
        <w:t xml:space="preserve"> AS, </w:t>
      </w:r>
      <w:r w:rsidRPr="00C37E03">
        <w:rPr>
          <w:rStyle w:val="csl-right-inline"/>
          <w:rFonts w:ascii="Calibri" w:hAnsi="Calibri"/>
          <w:color w:val="000000"/>
          <w:sz w:val="22"/>
        </w:rPr>
        <w:t xml:space="preserve">et al. Adherence to Barcelona Clinic Liver Cancer guidelines in field practice: Results of </w:t>
      </w:r>
      <w:proofErr w:type="spellStart"/>
      <w:r w:rsidRPr="00C37E03">
        <w:rPr>
          <w:rStyle w:val="csl-right-inline"/>
          <w:rFonts w:ascii="Calibri" w:hAnsi="Calibri"/>
          <w:color w:val="000000"/>
          <w:sz w:val="22"/>
        </w:rPr>
        <w:t>Progetto</w:t>
      </w:r>
      <w:proofErr w:type="spellEnd"/>
      <w:r w:rsidRPr="00C37E03">
        <w:rPr>
          <w:rStyle w:val="csl-right-inline"/>
          <w:rFonts w:ascii="Calibri" w:hAnsi="Calibri"/>
          <w:color w:val="000000"/>
          <w:sz w:val="22"/>
        </w:rPr>
        <w:t xml:space="preserve"> </w:t>
      </w:r>
      <w:proofErr w:type="spellStart"/>
      <w:r w:rsidRPr="00C37E03">
        <w:rPr>
          <w:rStyle w:val="csl-right-inline"/>
          <w:rFonts w:ascii="Calibri" w:hAnsi="Calibri"/>
          <w:color w:val="000000"/>
          <w:sz w:val="22"/>
        </w:rPr>
        <w:t>Epatocarcinoma</w:t>
      </w:r>
      <w:proofErr w:type="spellEnd"/>
      <w:r w:rsidRPr="00C37E03">
        <w:rPr>
          <w:rStyle w:val="csl-right-inline"/>
          <w:rFonts w:ascii="Calibri" w:hAnsi="Calibri"/>
          <w:color w:val="000000"/>
          <w:sz w:val="22"/>
        </w:rPr>
        <w:t xml:space="preserve"> Campania.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Gastroen</w:t>
      </w:r>
      <w:proofErr w:type="spellEnd"/>
      <w:r w:rsidRPr="00C37E03">
        <w:rPr>
          <w:rStyle w:val="csl-right-inline"/>
          <w:rFonts w:ascii="Calibri" w:hAnsi="Calibri"/>
          <w:iCs/>
          <w:color w:val="000000"/>
          <w:sz w:val="22"/>
        </w:rPr>
        <w:t xml:space="preserve"> Hepatol</w:t>
      </w:r>
      <w:r w:rsidRPr="00C37E03">
        <w:rPr>
          <w:rStyle w:val="csl-right-inline"/>
          <w:rFonts w:ascii="Calibri" w:hAnsi="Calibri"/>
          <w:color w:val="000000"/>
          <w:sz w:val="22"/>
        </w:rPr>
        <w:t xml:space="preserve">. 2018;33(5):1123-1130.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17. </w:t>
      </w:r>
      <w:r w:rsidRPr="00C37E03">
        <w:rPr>
          <w:rStyle w:val="csl-right-inline"/>
          <w:rFonts w:ascii="Calibri" w:hAnsi="Calibri"/>
          <w:color w:val="000000"/>
          <w:sz w:val="22"/>
        </w:rPr>
        <w:t xml:space="preserve">Wallace MC, Huang Y, Preen DB, </w:t>
      </w:r>
      <w:proofErr w:type="spellStart"/>
      <w:r>
        <w:rPr>
          <w:rStyle w:val="csl-right-inline"/>
          <w:rFonts w:ascii="Calibri" w:hAnsi="Calibri"/>
          <w:color w:val="000000"/>
          <w:sz w:val="22"/>
        </w:rPr>
        <w:t>Garas</w:t>
      </w:r>
      <w:proofErr w:type="spellEnd"/>
      <w:r>
        <w:rPr>
          <w:rStyle w:val="csl-right-inline"/>
          <w:rFonts w:ascii="Calibri" w:hAnsi="Calibri"/>
          <w:color w:val="000000"/>
          <w:sz w:val="22"/>
        </w:rPr>
        <w:t xml:space="preserve"> G, Adams LA, </w:t>
      </w:r>
      <w:proofErr w:type="spellStart"/>
      <w:r>
        <w:rPr>
          <w:rStyle w:val="csl-right-inline"/>
          <w:rFonts w:ascii="Calibri" w:hAnsi="Calibri"/>
          <w:color w:val="000000"/>
          <w:sz w:val="22"/>
        </w:rPr>
        <w:t>MacQuillan</w:t>
      </w:r>
      <w:proofErr w:type="spellEnd"/>
      <w:r>
        <w:rPr>
          <w:rStyle w:val="csl-right-inline"/>
          <w:rFonts w:ascii="Calibri" w:hAnsi="Calibri"/>
          <w:color w:val="000000"/>
          <w:sz w:val="22"/>
        </w:rPr>
        <w:t xml:space="preserve"> G, </w:t>
      </w:r>
      <w:r w:rsidRPr="00C37E03">
        <w:rPr>
          <w:rStyle w:val="csl-right-inline"/>
          <w:rFonts w:ascii="Calibri" w:hAnsi="Calibri"/>
          <w:color w:val="000000"/>
          <w:sz w:val="22"/>
        </w:rPr>
        <w:t xml:space="preserve">et al. HKLC Triages More Hepatocellular Carcinoma Patients to Curative Therapies Compared to BCLC and Is Associated with Better Survival. </w:t>
      </w:r>
      <w:r w:rsidRPr="00C37E03">
        <w:rPr>
          <w:rStyle w:val="csl-right-inline"/>
          <w:rFonts w:ascii="Calibri" w:hAnsi="Calibri"/>
          <w:iCs/>
          <w:color w:val="000000"/>
          <w:sz w:val="22"/>
        </w:rPr>
        <w:t>Digest Dis Sci</w:t>
      </w:r>
      <w:r w:rsidRPr="00C37E03">
        <w:rPr>
          <w:rStyle w:val="csl-right-inline"/>
          <w:rFonts w:ascii="Calibri" w:hAnsi="Calibri"/>
          <w:color w:val="000000"/>
          <w:sz w:val="22"/>
        </w:rPr>
        <w:t xml:space="preserve">. 2017;62(8):2182-2192. </w:t>
      </w:r>
    </w:p>
    <w:p w:rsidR="00786F9B" w:rsidRPr="00C37E03" w:rsidRDefault="00786F9B" w:rsidP="00786F9B">
      <w:pPr>
        <w:spacing w:line="360" w:lineRule="auto"/>
        <w:rPr>
          <w:rStyle w:val="csl-left-margin"/>
          <w:rFonts w:ascii="Calibri" w:hAnsi="Calibri"/>
          <w:color w:val="000000"/>
          <w:sz w:val="22"/>
        </w:rPr>
      </w:pPr>
      <w:r w:rsidRPr="00C37E03">
        <w:rPr>
          <w:rFonts w:ascii="Calibri" w:hAnsi="Calibri"/>
          <w:color w:val="000000"/>
          <w:sz w:val="22"/>
        </w:rPr>
        <w:br/>
      </w:r>
      <w:r w:rsidRPr="00C37E03">
        <w:rPr>
          <w:rStyle w:val="csl-left-margin"/>
          <w:rFonts w:ascii="Calibri" w:hAnsi="Calibri"/>
          <w:color w:val="000000"/>
          <w:sz w:val="22"/>
        </w:rPr>
        <w:t xml:space="preserve">18. </w:t>
      </w:r>
      <w:proofErr w:type="spellStart"/>
      <w:r w:rsidRPr="00C37E03">
        <w:rPr>
          <w:rStyle w:val="csl-right-inline"/>
          <w:rFonts w:ascii="Calibri" w:hAnsi="Calibri"/>
          <w:color w:val="000000"/>
          <w:sz w:val="22"/>
        </w:rPr>
        <w:t>Tovoli</w:t>
      </w:r>
      <w:proofErr w:type="spellEnd"/>
      <w:r w:rsidRPr="00C37E03">
        <w:rPr>
          <w:rStyle w:val="csl-right-inline"/>
          <w:rFonts w:ascii="Calibri" w:hAnsi="Calibri"/>
          <w:color w:val="000000"/>
          <w:sz w:val="22"/>
        </w:rPr>
        <w:t xml:space="preserve"> F, </w:t>
      </w:r>
      <w:proofErr w:type="spellStart"/>
      <w:r w:rsidRPr="00C37E03">
        <w:rPr>
          <w:rStyle w:val="csl-right-inline"/>
          <w:rFonts w:ascii="Calibri" w:hAnsi="Calibri"/>
          <w:color w:val="000000"/>
          <w:sz w:val="22"/>
        </w:rPr>
        <w:t>Negrini</w:t>
      </w:r>
      <w:proofErr w:type="spellEnd"/>
      <w:r w:rsidRPr="00C37E03">
        <w:rPr>
          <w:rStyle w:val="csl-right-inline"/>
          <w:rFonts w:ascii="Calibri" w:hAnsi="Calibri"/>
          <w:color w:val="000000"/>
          <w:sz w:val="22"/>
        </w:rPr>
        <w:t xml:space="preserve"> G, Bolondi L. Comparative analysis of current guidelines for the treatment of hepatocellular carcinoma. </w:t>
      </w:r>
      <w:r w:rsidRPr="00C37E03">
        <w:rPr>
          <w:rStyle w:val="csl-right-inline"/>
          <w:rFonts w:ascii="Calibri" w:hAnsi="Calibri"/>
          <w:iCs/>
          <w:color w:val="000000"/>
          <w:sz w:val="22"/>
        </w:rPr>
        <w:t xml:space="preserve">Hepatic </w:t>
      </w:r>
      <w:proofErr w:type="spellStart"/>
      <w:r w:rsidRPr="00C37E03">
        <w:rPr>
          <w:rStyle w:val="csl-right-inline"/>
          <w:rFonts w:ascii="Calibri" w:hAnsi="Calibri"/>
          <w:iCs/>
          <w:color w:val="000000"/>
          <w:sz w:val="22"/>
        </w:rPr>
        <w:t>Oncol</w:t>
      </w:r>
      <w:proofErr w:type="spellEnd"/>
      <w:r w:rsidRPr="00C37E03">
        <w:rPr>
          <w:rStyle w:val="csl-right-inline"/>
          <w:rFonts w:ascii="Calibri" w:hAnsi="Calibri"/>
          <w:color w:val="000000"/>
          <w:sz w:val="22"/>
        </w:rPr>
        <w:t xml:space="preserve">. 2016;3(2):119-136. </w:t>
      </w:r>
      <w:r w:rsidRPr="00C37E03">
        <w:rPr>
          <w:rFonts w:ascii="Calibri" w:hAnsi="Calibri"/>
          <w:color w:val="000000"/>
          <w:sz w:val="22"/>
        </w:rPr>
        <w:br/>
      </w:r>
      <w:r w:rsidRPr="00C37E03">
        <w:rPr>
          <w:rStyle w:val="csl-left-margin"/>
          <w:rFonts w:ascii="Calibri" w:hAnsi="Calibri"/>
          <w:color w:val="000000"/>
          <w:sz w:val="22"/>
        </w:rPr>
        <w:lastRenderedPageBreak/>
        <w:t xml:space="preserve">19. </w:t>
      </w:r>
      <w:r w:rsidRPr="00C37E03">
        <w:rPr>
          <w:rStyle w:val="csl-right-inline"/>
          <w:rFonts w:ascii="Calibri" w:hAnsi="Calibri"/>
          <w:color w:val="000000"/>
          <w:sz w:val="22"/>
        </w:rPr>
        <w:t xml:space="preserve">Kudo M, Trevisani F, </w:t>
      </w:r>
      <w:proofErr w:type="spellStart"/>
      <w:r w:rsidRPr="00C37E03">
        <w:rPr>
          <w:rStyle w:val="csl-right-inline"/>
          <w:rFonts w:ascii="Calibri" w:hAnsi="Calibri"/>
          <w:color w:val="000000"/>
          <w:sz w:val="22"/>
        </w:rPr>
        <w:t>Abou</w:t>
      </w:r>
      <w:proofErr w:type="spellEnd"/>
      <w:r w:rsidRPr="00C37E03">
        <w:rPr>
          <w:rStyle w:val="csl-right-inline"/>
          <w:rFonts w:ascii="Calibri" w:hAnsi="Calibri"/>
          <w:color w:val="000000"/>
          <w:sz w:val="22"/>
        </w:rPr>
        <w:t xml:space="preserve">-Alfa GK, </w:t>
      </w:r>
      <w:proofErr w:type="spellStart"/>
      <w:r>
        <w:rPr>
          <w:rStyle w:val="csl-right-inline"/>
          <w:rFonts w:ascii="Calibri" w:hAnsi="Calibri"/>
          <w:color w:val="000000"/>
          <w:sz w:val="22"/>
        </w:rPr>
        <w:t>Rimassa</w:t>
      </w:r>
      <w:proofErr w:type="spellEnd"/>
      <w:r>
        <w:rPr>
          <w:rStyle w:val="csl-right-inline"/>
          <w:rFonts w:ascii="Calibri" w:hAnsi="Calibri"/>
          <w:color w:val="000000"/>
          <w:sz w:val="22"/>
        </w:rPr>
        <w:t xml:space="preserve"> L</w:t>
      </w:r>
      <w:r w:rsidRPr="00C37E03">
        <w:rPr>
          <w:rStyle w:val="csl-right-inline"/>
          <w:rFonts w:ascii="Calibri" w:hAnsi="Calibri"/>
          <w:color w:val="000000"/>
          <w:sz w:val="22"/>
        </w:rPr>
        <w:t xml:space="preserve">. Hepatocellular Carcinoma: Therapeutic Guidelines and Medical Treatment. </w:t>
      </w:r>
      <w:r w:rsidRPr="00C37E03">
        <w:rPr>
          <w:rStyle w:val="csl-right-inline"/>
          <w:rFonts w:ascii="Calibri" w:hAnsi="Calibri"/>
          <w:iCs/>
          <w:color w:val="000000"/>
          <w:sz w:val="22"/>
        </w:rPr>
        <w:t>Liver Cancer</w:t>
      </w:r>
      <w:r w:rsidRPr="00C37E03">
        <w:rPr>
          <w:rStyle w:val="csl-right-inline"/>
          <w:rFonts w:ascii="Calibri" w:hAnsi="Calibri"/>
          <w:color w:val="000000"/>
          <w:sz w:val="22"/>
        </w:rPr>
        <w:t xml:space="preserve">. 2017;6(1):16-26.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20. </w:t>
      </w:r>
      <w:r w:rsidRPr="00C37E03">
        <w:rPr>
          <w:rStyle w:val="csl-right-inline"/>
          <w:rFonts w:ascii="Calibri" w:hAnsi="Calibri"/>
          <w:color w:val="000000"/>
          <w:sz w:val="22"/>
        </w:rPr>
        <w:t xml:space="preserve">Kudo M. Heterogeneity and </w:t>
      </w:r>
      <w:proofErr w:type="spellStart"/>
      <w:r w:rsidRPr="00C37E03">
        <w:rPr>
          <w:rStyle w:val="csl-right-inline"/>
          <w:rFonts w:ascii="Calibri" w:hAnsi="Calibri"/>
          <w:color w:val="000000"/>
          <w:sz w:val="22"/>
        </w:rPr>
        <w:t>Subclassification</w:t>
      </w:r>
      <w:proofErr w:type="spellEnd"/>
      <w:r w:rsidRPr="00C37E03">
        <w:rPr>
          <w:rStyle w:val="csl-right-inline"/>
          <w:rFonts w:ascii="Calibri" w:hAnsi="Calibri"/>
          <w:color w:val="000000"/>
          <w:sz w:val="22"/>
        </w:rPr>
        <w:t xml:space="preserve"> of Barcelona Clinic Liver Cancer Stage B. </w:t>
      </w:r>
      <w:r w:rsidRPr="00C37E03">
        <w:rPr>
          <w:rStyle w:val="csl-right-inline"/>
          <w:rFonts w:ascii="Calibri" w:hAnsi="Calibri"/>
          <w:iCs/>
          <w:color w:val="000000"/>
          <w:sz w:val="22"/>
        </w:rPr>
        <w:t>Liver Cancer</w:t>
      </w:r>
      <w:r w:rsidRPr="00C37E03">
        <w:rPr>
          <w:rStyle w:val="csl-right-inline"/>
          <w:rFonts w:ascii="Calibri" w:hAnsi="Calibri"/>
          <w:color w:val="000000"/>
          <w:sz w:val="22"/>
        </w:rPr>
        <w:t xml:space="preserve">. 2016;5(2):91-96.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21. </w:t>
      </w:r>
      <w:r w:rsidRPr="00C37E03">
        <w:rPr>
          <w:rStyle w:val="csl-right-inline"/>
          <w:rFonts w:ascii="Calibri" w:hAnsi="Calibri"/>
          <w:color w:val="000000"/>
          <w:sz w:val="22"/>
        </w:rPr>
        <w:t xml:space="preserve">Bolondi L, Burroughs A, Dufour J-F, </w:t>
      </w:r>
      <w:r>
        <w:rPr>
          <w:rStyle w:val="csl-right-inline"/>
          <w:rFonts w:ascii="Calibri" w:hAnsi="Calibri"/>
          <w:color w:val="000000"/>
          <w:sz w:val="22"/>
        </w:rPr>
        <w:t xml:space="preserve">Mazzaferro V, Piscaglia F, Raoul JL, </w:t>
      </w:r>
      <w:r w:rsidRPr="00C37E03">
        <w:rPr>
          <w:rStyle w:val="csl-right-inline"/>
          <w:rFonts w:ascii="Calibri" w:hAnsi="Calibri"/>
          <w:color w:val="000000"/>
          <w:sz w:val="22"/>
        </w:rPr>
        <w:t xml:space="preserve">et al. Heterogeneity of Patients with Intermediate (BCLC B) Hepatocellular Carcinoma: Proposal for a </w:t>
      </w:r>
      <w:proofErr w:type="spellStart"/>
      <w:r w:rsidRPr="00C37E03">
        <w:rPr>
          <w:rStyle w:val="csl-right-inline"/>
          <w:rFonts w:ascii="Calibri" w:hAnsi="Calibri"/>
          <w:color w:val="000000"/>
          <w:sz w:val="22"/>
        </w:rPr>
        <w:t>Subclassification</w:t>
      </w:r>
      <w:proofErr w:type="spellEnd"/>
      <w:r w:rsidRPr="00C37E03">
        <w:rPr>
          <w:rStyle w:val="csl-right-inline"/>
          <w:rFonts w:ascii="Calibri" w:hAnsi="Calibri"/>
          <w:color w:val="000000"/>
          <w:sz w:val="22"/>
        </w:rPr>
        <w:t xml:space="preserve"> to Facilitate Treatment Decisions. </w:t>
      </w:r>
      <w:proofErr w:type="spellStart"/>
      <w:r w:rsidRPr="00C37E03">
        <w:rPr>
          <w:rStyle w:val="csl-right-inline"/>
          <w:rFonts w:ascii="Calibri" w:hAnsi="Calibri"/>
          <w:iCs/>
          <w:color w:val="000000"/>
          <w:sz w:val="22"/>
        </w:rPr>
        <w:t>Semin</w:t>
      </w:r>
      <w:proofErr w:type="spellEnd"/>
      <w:r w:rsidRPr="00C37E03">
        <w:rPr>
          <w:rStyle w:val="csl-right-inline"/>
          <w:rFonts w:ascii="Calibri" w:hAnsi="Calibri"/>
          <w:iCs/>
          <w:color w:val="000000"/>
          <w:sz w:val="22"/>
        </w:rPr>
        <w:t xml:space="preserve"> Liver Dis</w:t>
      </w:r>
      <w:r w:rsidRPr="00C37E03">
        <w:rPr>
          <w:rStyle w:val="csl-right-inline"/>
          <w:rFonts w:ascii="Calibri" w:hAnsi="Calibri"/>
          <w:color w:val="000000"/>
          <w:sz w:val="22"/>
        </w:rPr>
        <w:t xml:space="preserve">. 2012;32(04):348-359.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22. </w:t>
      </w:r>
      <w:r w:rsidRPr="00C37E03">
        <w:rPr>
          <w:rStyle w:val="csl-right-inline"/>
          <w:rFonts w:ascii="Calibri" w:hAnsi="Calibri"/>
          <w:color w:val="000000"/>
          <w:sz w:val="22"/>
        </w:rPr>
        <w:t xml:space="preserve">Pinato D, Howell J, </w:t>
      </w:r>
      <w:proofErr w:type="spellStart"/>
      <w:r w:rsidRPr="00C37E03">
        <w:rPr>
          <w:rStyle w:val="csl-right-inline"/>
          <w:rFonts w:ascii="Calibri" w:hAnsi="Calibri"/>
          <w:color w:val="000000"/>
          <w:sz w:val="22"/>
        </w:rPr>
        <w:t>Ramaswami</w:t>
      </w:r>
      <w:proofErr w:type="spellEnd"/>
      <w:r w:rsidRPr="00C37E03">
        <w:rPr>
          <w:rStyle w:val="csl-right-inline"/>
          <w:rFonts w:ascii="Calibri" w:hAnsi="Calibri"/>
          <w:color w:val="000000"/>
          <w:sz w:val="22"/>
        </w:rPr>
        <w:t xml:space="preserve"> R, </w:t>
      </w:r>
      <w:r>
        <w:rPr>
          <w:rStyle w:val="csl-right-inline"/>
          <w:rFonts w:ascii="Calibri" w:hAnsi="Calibri"/>
          <w:color w:val="000000"/>
          <w:sz w:val="22"/>
        </w:rPr>
        <w:t xml:space="preserve">Sharma </w:t>
      </w:r>
      <w:proofErr w:type="spellStart"/>
      <w:r>
        <w:rPr>
          <w:rStyle w:val="csl-right-inline"/>
          <w:rFonts w:ascii="Calibri" w:hAnsi="Calibri"/>
          <w:color w:val="000000"/>
          <w:sz w:val="22"/>
        </w:rPr>
        <w:t>R</w:t>
      </w:r>
      <w:r w:rsidRPr="00C37E03">
        <w:rPr>
          <w:rStyle w:val="csl-right-inline"/>
          <w:rFonts w:ascii="Calibri" w:hAnsi="Calibri"/>
          <w:color w:val="000000"/>
          <w:sz w:val="22"/>
        </w:rPr>
        <w:t>l</w:t>
      </w:r>
      <w:proofErr w:type="spellEnd"/>
      <w:r w:rsidRPr="00C37E03">
        <w:rPr>
          <w:rStyle w:val="csl-right-inline"/>
          <w:rFonts w:ascii="Calibri" w:hAnsi="Calibri"/>
          <w:color w:val="000000"/>
          <w:sz w:val="22"/>
        </w:rPr>
        <w:t xml:space="preserve">. Review article: delivering precision oncology in intermediate‐stage liver cancer. </w:t>
      </w:r>
      <w:r w:rsidRPr="00C37E03">
        <w:rPr>
          <w:rStyle w:val="csl-right-inline"/>
          <w:rFonts w:ascii="Calibri" w:hAnsi="Calibri"/>
          <w:iCs/>
          <w:color w:val="000000"/>
          <w:sz w:val="22"/>
        </w:rPr>
        <w:t xml:space="preserve">Alimentary </w:t>
      </w:r>
      <w:proofErr w:type="spellStart"/>
      <w:r w:rsidRPr="00C37E03">
        <w:rPr>
          <w:rStyle w:val="csl-right-inline"/>
          <w:rFonts w:ascii="Calibri" w:hAnsi="Calibri"/>
          <w:iCs/>
          <w:color w:val="000000"/>
          <w:sz w:val="22"/>
        </w:rPr>
        <w:t>Pharmacol</w:t>
      </w:r>
      <w:proofErr w:type="spellEnd"/>
      <w:r w:rsidRPr="00C37E03">
        <w:rPr>
          <w:rStyle w:val="csl-right-inline"/>
          <w:rFonts w:ascii="Calibri" w:hAnsi="Calibri"/>
          <w:iCs/>
          <w:color w:val="000000"/>
          <w:sz w:val="22"/>
        </w:rPr>
        <w:t xml:space="preserve"> Ther</w:t>
      </w:r>
      <w:r w:rsidRPr="00C37E03">
        <w:rPr>
          <w:rStyle w:val="csl-right-inline"/>
          <w:rFonts w:ascii="Calibri" w:hAnsi="Calibri"/>
          <w:color w:val="000000"/>
          <w:sz w:val="22"/>
        </w:rPr>
        <w:t xml:space="preserve">. 2017;45(12):1514-1523.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23. </w:t>
      </w:r>
      <w:proofErr w:type="spellStart"/>
      <w:r w:rsidRPr="00C37E03">
        <w:rPr>
          <w:rStyle w:val="csl-right-inline"/>
          <w:rFonts w:ascii="Calibri" w:hAnsi="Calibri"/>
          <w:color w:val="000000"/>
          <w:sz w:val="22"/>
        </w:rPr>
        <w:t>Sieghart</w:t>
      </w:r>
      <w:proofErr w:type="spellEnd"/>
      <w:r w:rsidRPr="00C37E03">
        <w:rPr>
          <w:rStyle w:val="csl-right-inline"/>
          <w:rFonts w:ascii="Calibri" w:hAnsi="Calibri"/>
          <w:color w:val="000000"/>
          <w:sz w:val="22"/>
        </w:rPr>
        <w:t xml:space="preserve"> W, Hucke F, Peck-</w:t>
      </w:r>
      <w:proofErr w:type="spellStart"/>
      <w:r w:rsidRPr="00C37E03">
        <w:rPr>
          <w:rStyle w:val="csl-right-inline"/>
          <w:rFonts w:ascii="Calibri" w:hAnsi="Calibri"/>
          <w:color w:val="000000"/>
          <w:sz w:val="22"/>
        </w:rPr>
        <w:t>Radosavljevic</w:t>
      </w:r>
      <w:proofErr w:type="spellEnd"/>
      <w:r w:rsidRPr="00C37E03">
        <w:rPr>
          <w:rStyle w:val="csl-right-inline"/>
          <w:rFonts w:ascii="Calibri" w:hAnsi="Calibri"/>
          <w:color w:val="000000"/>
          <w:sz w:val="22"/>
        </w:rPr>
        <w:t xml:space="preserve"> M. Transarterial chemoembolization: Modalities, indication, and patient selection. </w:t>
      </w:r>
      <w:r w:rsidRPr="00C37E03">
        <w:rPr>
          <w:rStyle w:val="csl-right-inline"/>
          <w:rFonts w:ascii="Calibri" w:hAnsi="Calibri"/>
          <w:iCs/>
          <w:color w:val="000000"/>
          <w:sz w:val="22"/>
        </w:rPr>
        <w:t>J Hepatol</w:t>
      </w:r>
      <w:r w:rsidRPr="00C37E03">
        <w:rPr>
          <w:rStyle w:val="csl-right-inline"/>
          <w:rFonts w:ascii="Calibri" w:hAnsi="Calibri"/>
          <w:color w:val="000000"/>
          <w:sz w:val="22"/>
        </w:rPr>
        <w:t xml:space="preserve">. 2015;62(5):1187-1195.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24. </w:t>
      </w:r>
      <w:r w:rsidRPr="00C37E03">
        <w:rPr>
          <w:rStyle w:val="csl-right-inline"/>
          <w:rFonts w:ascii="Calibri" w:hAnsi="Calibri"/>
          <w:color w:val="000000"/>
          <w:sz w:val="22"/>
        </w:rPr>
        <w:t xml:space="preserve">Garwood ER, </w:t>
      </w:r>
      <w:proofErr w:type="spellStart"/>
      <w:r w:rsidRPr="00C37E03">
        <w:rPr>
          <w:rStyle w:val="csl-right-inline"/>
          <w:rFonts w:ascii="Calibri" w:hAnsi="Calibri"/>
          <w:color w:val="000000"/>
          <w:sz w:val="22"/>
        </w:rPr>
        <w:t>Fidelman</w:t>
      </w:r>
      <w:proofErr w:type="spellEnd"/>
      <w:r w:rsidRPr="00C37E03">
        <w:rPr>
          <w:rStyle w:val="csl-right-inline"/>
          <w:rFonts w:ascii="Calibri" w:hAnsi="Calibri"/>
          <w:color w:val="000000"/>
          <w:sz w:val="22"/>
        </w:rPr>
        <w:t xml:space="preserve"> N, Hoch SE, </w:t>
      </w:r>
      <w:r>
        <w:rPr>
          <w:rStyle w:val="csl-right-inline"/>
          <w:rFonts w:ascii="Calibri" w:hAnsi="Calibri"/>
          <w:color w:val="000000"/>
          <w:sz w:val="22"/>
        </w:rPr>
        <w:t xml:space="preserve">Hoch SE, </w:t>
      </w:r>
      <w:proofErr w:type="spellStart"/>
      <w:r>
        <w:rPr>
          <w:rStyle w:val="csl-right-inline"/>
          <w:rFonts w:ascii="Calibri" w:hAnsi="Calibri"/>
          <w:color w:val="000000"/>
          <w:sz w:val="22"/>
        </w:rPr>
        <w:t>Kerlan</w:t>
      </w:r>
      <w:proofErr w:type="spellEnd"/>
      <w:r>
        <w:rPr>
          <w:rStyle w:val="csl-right-inline"/>
          <w:rFonts w:ascii="Calibri" w:hAnsi="Calibri"/>
          <w:color w:val="000000"/>
          <w:sz w:val="22"/>
        </w:rPr>
        <w:t xml:space="preserve"> RK, Yao FY</w:t>
      </w:r>
      <w:r w:rsidRPr="00C37E03">
        <w:rPr>
          <w:rStyle w:val="csl-right-inline"/>
          <w:rFonts w:ascii="Calibri" w:hAnsi="Calibri"/>
          <w:color w:val="000000"/>
          <w:sz w:val="22"/>
        </w:rPr>
        <w:t xml:space="preserve">. Morbidity and mortality following transarterial liver chemoembolization in patients with hepatocellular carcinoma and synthetic hepatic dysfunction. </w:t>
      </w:r>
      <w:r w:rsidRPr="00C37E03">
        <w:rPr>
          <w:rStyle w:val="csl-right-inline"/>
          <w:rFonts w:ascii="Calibri" w:hAnsi="Calibri"/>
          <w:iCs/>
          <w:color w:val="000000"/>
          <w:sz w:val="22"/>
        </w:rPr>
        <w:t>Liver Transplant</w:t>
      </w:r>
      <w:r w:rsidRPr="00C37E03">
        <w:rPr>
          <w:rStyle w:val="csl-right-inline"/>
          <w:rFonts w:ascii="Calibri" w:hAnsi="Calibri"/>
          <w:color w:val="000000"/>
          <w:sz w:val="22"/>
        </w:rPr>
        <w:t xml:space="preserve">. 2013;19(2):164-173.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25. </w:t>
      </w:r>
      <w:proofErr w:type="spellStart"/>
      <w:r w:rsidRPr="00C37E03">
        <w:rPr>
          <w:rStyle w:val="csl-right-inline"/>
          <w:rFonts w:ascii="Calibri" w:hAnsi="Calibri"/>
          <w:color w:val="000000"/>
          <w:sz w:val="22"/>
        </w:rPr>
        <w:t>Kloeckner</w:t>
      </w:r>
      <w:proofErr w:type="spellEnd"/>
      <w:r w:rsidRPr="00C37E03">
        <w:rPr>
          <w:rStyle w:val="csl-right-inline"/>
          <w:rFonts w:ascii="Calibri" w:hAnsi="Calibri"/>
          <w:color w:val="000000"/>
          <w:sz w:val="22"/>
        </w:rPr>
        <w:t xml:space="preserve"> R, </w:t>
      </w:r>
      <w:proofErr w:type="spellStart"/>
      <w:r w:rsidRPr="00C37E03">
        <w:rPr>
          <w:rStyle w:val="csl-right-inline"/>
          <w:rFonts w:ascii="Calibri" w:hAnsi="Calibri"/>
          <w:color w:val="000000"/>
          <w:sz w:val="22"/>
        </w:rPr>
        <w:t>Pitton</w:t>
      </w:r>
      <w:proofErr w:type="spellEnd"/>
      <w:r w:rsidRPr="00C37E03">
        <w:rPr>
          <w:rStyle w:val="csl-right-inline"/>
          <w:rFonts w:ascii="Calibri" w:hAnsi="Calibri"/>
          <w:color w:val="000000"/>
          <w:sz w:val="22"/>
        </w:rPr>
        <w:t xml:space="preserve"> MB, </w:t>
      </w:r>
      <w:proofErr w:type="spellStart"/>
      <w:r w:rsidRPr="00C37E03">
        <w:rPr>
          <w:rStyle w:val="csl-right-inline"/>
          <w:rFonts w:ascii="Calibri" w:hAnsi="Calibri"/>
          <w:color w:val="000000"/>
          <w:sz w:val="22"/>
        </w:rPr>
        <w:t>Dueber</w:t>
      </w:r>
      <w:proofErr w:type="spellEnd"/>
      <w:r w:rsidRPr="00C37E03">
        <w:rPr>
          <w:rStyle w:val="csl-right-inline"/>
          <w:rFonts w:ascii="Calibri" w:hAnsi="Calibri"/>
          <w:color w:val="000000"/>
          <w:sz w:val="22"/>
        </w:rPr>
        <w:t xml:space="preserve"> C, </w:t>
      </w:r>
      <w:proofErr w:type="spellStart"/>
      <w:r>
        <w:rPr>
          <w:rStyle w:val="csl-right-inline"/>
          <w:rFonts w:ascii="Calibri" w:hAnsi="Calibri"/>
          <w:color w:val="000000"/>
          <w:sz w:val="22"/>
        </w:rPr>
        <w:t>Schmidtmann</w:t>
      </w:r>
      <w:proofErr w:type="spellEnd"/>
      <w:r>
        <w:rPr>
          <w:rStyle w:val="csl-right-inline"/>
          <w:rFonts w:ascii="Calibri" w:hAnsi="Calibri"/>
          <w:color w:val="000000"/>
          <w:sz w:val="22"/>
        </w:rPr>
        <w:t xml:space="preserve"> I, Galle PR, Koch S, </w:t>
      </w:r>
      <w:r w:rsidRPr="00C37E03">
        <w:rPr>
          <w:rStyle w:val="csl-right-inline"/>
          <w:rFonts w:ascii="Calibri" w:hAnsi="Calibri"/>
          <w:color w:val="000000"/>
          <w:sz w:val="22"/>
        </w:rPr>
        <w:t xml:space="preserve">et al. Validation of Clinical Scoring Systems ART and ABCR after Transarterial Chemoembolization of Hepatocellular Carcinoma.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Vasc</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Interv</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Radiol</w:t>
      </w:r>
      <w:proofErr w:type="spellEnd"/>
      <w:r w:rsidRPr="00C37E03">
        <w:rPr>
          <w:rStyle w:val="csl-right-inline"/>
          <w:rFonts w:ascii="Calibri" w:hAnsi="Calibri"/>
          <w:color w:val="000000"/>
          <w:sz w:val="22"/>
        </w:rPr>
        <w:t xml:space="preserve">. 2017;28(1):94-102.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26. </w:t>
      </w:r>
      <w:r w:rsidRPr="00C37E03">
        <w:rPr>
          <w:rStyle w:val="csl-right-inline"/>
          <w:rFonts w:ascii="Calibri" w:hAnsi="Calibri"/>
          <w:color w:val="000000"/>
          <w:sz w:val="22"/>
        </w:rPr>
        <w:t xml:space="preserve">Brown DB, </w:t>
      </w:r>
      <w:proofErr w:type="spellStart"/>
      <w:r w:rsidRPr="00C37E03">
        <w:rPr>
          <w:rStyle w:val="csl-right-inline"/>
          <w:rFonts w:ascii="Calibri" w:hAnsi="Calibri"/>
          <w:color w:val="000000"/>
          <w:sz w:val="22"/>
        </w:rPr>
        <w:t>Fundakowski</w:t>
      </w:r>
      <w:proofErr w:type="spellEnd"/>
      <w:r w:rsidRPr="00C37E03">
        <w:rPr>
          <w:rStyle w:val="csl-right-inline"/>
          <w:rFonts w:ascii="Calibri" w:hAnsi="Calibri"/>
          <w:color w:val="000000"/>
          <w:sz w:val="22"/>
        </w:rPr>
        <w:t xml:space="preserve"> CE, </w:t>
      </w:r>
      <w:proofErr w:type="spellStart"/>
      <w:r w:rsidRPr="00C37E03">
        <w:rPr>
          <w:rStyle w:val="csl-right-inline"/>
          <w:rFonts w:ascii="Calibri" w:hAnsi="Calibri"/>
          <w:color w:val="000000"/>
          <w:sz w:val="22"/>
        </w:rPr>
        <w:t>Lisker-Melman</w:t>
      </w:r>
      <w:proofErr w:type="spellEnd"/>
      <w:r w:rsidRPr="00C37E03">
        <w:rPr>
          <w:rStyle w:val="csl-right-inline"/>
          <w:rFonts w:ascii="Calibri" w:hAnsi="Calibri"/>
          <w:color w:val="000000"/>
          <w:sz w:val="22"/>
        </w:rPr>
        <w:t xml:space="preserve"> M, </w:t>
      </w:r>
      <w:proofErr w:type="spellStart"/>
      <w:r>
        <w:rPr>
          <w:rStyle w:val="csl-right-inline"/>
          <w:rFonts w:ascii="Calibri" w:hAnsi="Calibri"/>
          <w:color w:val="000000"/>
          <w:sz w:val="22"/>
        </w:rPr>
        <w:t>Crippin</w:t>
      </w:r>
      <w:proofErr w:type="spellEnd"/>
      <w:r>
        <w:rPr>
          <w:rStyle w:val="csl-right-inline"/>
          <w:rFonts w:ascii="Calibri" w:hAnsi="Calibri"/>
          <w:color w:val="000000"/>
          <w:sz w:val="22"/>
        </w:rPr>
        <w:t xml:space="preserve"> JS, </w:t>
      </w:r>
      <w:proofErr w:type="spellStart"/>
      <w:r>
        <w:rPr>
          <w:rStyle w:val="csl-right-inline"/>
          <w:rFonts w:ascii="Calibri" w:hAnsi="Calibri"/>
          <w:color w:val="000000"/>
          <w:sz w:val="22"/>
        </w:rPr>
        <w:t>Pigram</w:t>
      </w:r>
      <w:proofErr w:type="spellEnd"/>
      <w:r>
        <w:rPr>
          <w:rStyle w:val="csl-right-inline"/>
          <w:rFonts w:ascii="Calibri" w:hAnsi="Calibri"/>
          <w:color w:val="000000"/>
          <w:sz w:val="22"/>
        </w:rPr>
        <w:t xml:space="preserve"> TK, Chapman W, </w:t>
      </w:r>
      <w:r w:rsidRPr="00C37E03">
        <w:rPr>
          <w:rStyle w:val="csl-right-inline"/>
          <w:rFonts w:ascii="Calibri" w:hAnsi="Calibri"/>
          <w:color w:val="000000"/>
          <w:sz w:val="22"/>
        </w:rPr>
        <w:t xml:space="preserve">et al. Comparison of MELD and Child-Pugh Scores to Predict Survival after Chemoembolization for Hepatocellular Carcinoma.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Vasc</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Interv</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Radiol</w:t>
      </w:r>
      <w:proofErr w:type="spellEnd"/>
      <w:r w:rsidRPr="00C37E03">
        <w:rPr>
          <w:rStyle w:val="csl-right-inline"/>
          <w:rFonts w:ascii="Calibri" w:hAnsi="Calibri"/>
          <w:color w:val="000000"/>
          <w:sz w:val="22"/>
        </w:rPr>
        <w:t xml:space="preserve">. 2004;15(11):1209-1218.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27. </w:t>
      </w:r>
      <w:r w:rsidRPr="00C37E03">
        <w:rPr>
          <w:rStyle w:val="csl-right-inline"/>
          <w:rFonts w:ascii="Calibri" w:hAnsi="Calibri"/>
          <w:color w:val="000000"/>
          <w:sz w:val="22"/>
        </w:rPr>
        <w:t xml:space="preserve">Johnson PJ, Berhane S, </w:t>
      </w:r>
      <w:proofErr w:type="spellStart"/>
      <w:r w:rsidRPr="00C37E03">
        <w:rPr>
          <w:rStyle w:val="csl-right-inline"/>
          <w:rFonts w:ascii="Calibri" w:hAnsi="Calibri"/>
          <w:color w:val="000000"/>
          <w:sz w:val="22"/>
        </w:rPr>
        <w:t>Kagebayashi</w:t>
      </w:r>
      <w:proofErr w:type="spellEnd"/>
      <w:r w:rsidRPr="00C37E03">
        <w:rPr>
          <w:rStyle w:val="csl-right-inline"/>
          <w:rFonts w:ascii="Calibri" w:hAnsi="Calibri"/>
          <w:color w:val="000000"/>
          <w:sz w:val="22"/>
        </w:rPr>
        <w:t xml:space="preserve"> C, </w:t>
      </w:r>
      <w:r>
        <w:rPr>
          <w:rStyle w:val="csl-right-inline"/>
          <w:rFonts w:ascii="Calibri" w:hAnsi="Calibri"/>
          <w:color w:val="000000"/>
          <w:sz w:val="22"/>
        </w:rPr>
        <w:t xml:space="preserve">Satomura S, Teng M, Reeves HL, </w:t>
      </w:r>
      <w:r w:rsidRPr="00C37E03">
        <w:rPr>
          <w:rStyle w:val="csl-right-inline"/>
          <w:rFonts w:ascii="Calibri" w:hAnsi="Calibri"/>
          <w:color w:val="000000"/>
          <w:sz w:val="22"/>
        </w:rPr>
        <w:t xml:space="preserve">et al. Assessment of Liver Function in Patients With Hepatocellular Carcinoma: A New Evidence-Based Approach—The ALBI Grade.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Clin</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Oncol</w:t>
      </w:r>
      <w:proofErr w:type="spellEnd"/>
      <w:r w:rsidRPr="00C37E03">
        <w:rPr>
          <w:rStyle w:val="csl-right-inline"/>
          <w:rFonts w:ascii="Calibri" w:hAnsi="Calibri"/>
          <w:color w:val="000000"/>
          <w:sz w:val="22"/>
        </w:rPr>
        <w:t xml:space="preserve">. 2014;33(6):550-558.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28. </w:t>
      </w:r>
      <w:r w:rsidRPr="00C37E03">
        <w:rPr>
          <w:rStyle w:val="csl-right-inline"/>
          <w:rFonts w:ascii="Calibri" w:hAnsi="Calibri"/>
          <w:color w:val="000000"/>
          <w:sz w:val="22"/>
        </w:rPr>
        <w:t xml:space="preserve">Pinato DJ, Sharma R, </w:t>
      </w:r>
      <w:proofErr w:type="spellStart"/>
      <w:r w:rsidRPr="00C37E03">
        <w:rPr>
          <w:rStyle w:val="csl-right-inline"/>
          <w:rFonts w:ascii="Calibri" w:hAnsi="Calibri"/>
          <w:color w:val="000000"/>
          <w:sz w:val="22"/>
        </w:rPr>
        <w:t>Allara</w:t>
      </w:r>
      <w:proofErr w:type="spellEnd"/>
      <w:r w:rsidRPr="00C37E03">
        <w:rPr>
          <w:rStyle w:val="csl-right-inline"/>
          <w:rFonts w:ascii="Calibri" w:hAnsi="Calibri"/>
          <w:color w:val="000000"/>
          <w:sz w:val="22"/>
        </w:rPr>
        <w:t xml:space="preserve"> E, </w:t>
      </w:r>
      <w:r>
        <w:rPr>
          <w:rStyle w:val="csl-right-inline"/>
          <w:rFonts w:ascii="Calibri" w:hAnsi="Calibri"/>
          <w:color w:val="000000"/>
          <w:sz w:val="22"/>
        </w:rPr>
        <w:t xml:space="preserve">Yen C, </w:t>
      </w:r>
      <w:proofErr w:type="spellStart"/>
      <w:r>
        <w:rPr>
          <w:rStyle w:val="csl-right-inline"/>
          <w:rFonts w:ascii="Calibri" w:hAnsi="Calibri"/>
          <w:color w:val="000000"/>
          <w:sz w:val="22"/>
        </w:rPr>
        <w:t>Arizumi</w:t>
      </w:r>
      <w:proofErr w:type="spellEnd"/>
      <w:r>
        <w:rPr>
          <w:rStyle w:val="csl-right-inline"/>
          <w:rFonts w:ascii="Calibri" w:hAnsi="Calibri"/>
          <w:color w:val="000000"/>
          <w:sz w:val="22"/>
        </w:rPr>
        <w:t xml:space="preserve"> T, Kubota K, </w:t>
      </w:r>
      <w:r w:rsidRPr="00C37E03">
        <w:rPr>
          <w:rStyle w:val="csl-right-inline"/>
          <w:rFonts w:ascii="Calibri" w:hAnsi="Calibri"/>
          <w:color w:val="000000"/>
          <w:sz w:val="22"/>
        </w:rPr>
        <w:t xml:space="preserve">et al. The ALBI grade provides objective hepatic reserve estimation across each BCLC stage of hepatocellular carcinoma. </w:t>
      </w:r>
      <w:r w:rsidRPr="00C37E03">
        <w:rPr>
          <w:rStyle w:val="csl-right-inline"/>
          <w:rFonts w:ascii="Calibri" w:hAnsi="Calibri"/>
          <w:iCs/>
          <w:color w:val="000000"/>
          <w:sz w:val="22"/>
        </w:rPr>
        <w:t>J Hepatol</w:t>
      </w:r>
      <w:r w:rsidRPr="00C37E03">
        <w:rPr>
          <w:rStyle w:val="csl-right-inline"/>
          <w:rFonts w:ascii="Calibri" w:hAnsi="Calibri"/>
          <w:color w:val="000000"/>
          <w:sz w:val="22"/>
        </w:rPr>
        <w:t xml:space="preserve">. 2017;66(2):338-346. </w:t>
      </w:r>
      <w:r w:rsidRPr="00C37E03">
        <w:rPr>
          <w:rFonts w:ascii="Calibri" w:hAnsi="Calibri"/>
          <w:color w:val="000000"/>
          <w:sz w:val="22"/>
        </w:rPr>
        <w:br/>
      </w:r>
      <w:r w:rsidRPr="00C37E03">
        <w:rPr>
          <w:rStyle w:val="csl-left-margin"/>
          <w:rFonts w:ascii="Calibri" w:hAnsi="Calibri"/>
          <w:color w:val="000000"/>
          <w:sz w:val="22"/>
        </w:rPr>
        <w:lastRenderedPageBreak/>
        <w:t xml:space="preserve">29. </w:t>
      </w:r>
      <w:proofErr w:type="spellStart"/>
      <w:r w:rsidRPr="00C37E03">
        <w:rPr>
          <w:rStyle w:val="csl-right-inline"/>
          <w:rFonts w:ascii="Calibri" w:hAnsi="Calibri"/>
          <w:color w:val="000000"/>
          <w:sz w:val="22"/>
        </w:rPr>
        <w:t>Jaruvongvanich</w:t>
      </w:r>
      <w:proofErr w:type="spellEnd"/>
      <w:r w:rsidRPr="00C37E03">
        <w:rPr>
          <w:rStyle w:val="csl-right-inline"/>
          <w:rFonts w:ascii="Calibri" w:hAnsi="Calibri"/>
          <w:color w:val="000000"/>
          <w:sz w:val="22"/>
        </w:rPr>
        <w:t xml:space="preserve"> V, </w:t>
      </w:r>
      <w:proofErr w:type="spellStart"/>
      <w:r w:rsidRPr="00C37E03">
        <w:rPr>
          <w:rStyle w:val="csl-right-inline"/>
          <w:rFonts w:ascii="Calibri" w:hAnsi="Calibri"/>
          <w:color w:val="000000"/>
          <w:sz w:val="22"/>
        </w:rPr>
        <w:t>Sempokuya</w:t>
      </w:r>
      <w:proofErr w:type="spellEnd"/>
      <w:r w:rsidRPr="00C37E03">
        <w:rPr>
          <w:rStyle w:val="csl-right-inline"/>
          <w:rFonts w:ascii="Calibri" w:hAnsi="Calibri"/>
          <w:color w:val="000000"/>
          <w:sz w:val="22"/>
        </w:rPr>
        <w:t xml:space="preserve"> T, Wong L. Is there an optimal staging system or liver reserve model that can predict outcome in hepatocellular carcinoma?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Gastrointest</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Oncol</w:t>
      </w:r>
      <w:proofErr w:type="spellEnd"/>
      <w:r w:rsidRPr="00C37E03">
        <w:rPr>
          <w:rStyle w:val="csl-right-inline"/>
          <w:rFonts w:ascii="Calibri" w:hAnsi="Calibri"/>
          <w:color w:val="000000"/>
          <w:sz w:val="22"/>
        </w:rPr>
        <w:t xml:space="preserve">. 2018;9(4):750-761.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30.</w:t>
      </w:r>
      <w:r w:rsidRPr="00C37E03">
        <w:rPr>
          <w:rStyle w:val="csl-left-margin"/>
          <w:rFonts w:ascii="Calibri" w:hAnsi="Calibri"/>
          <w:b/>
          <w:bCs/>
          <w:color w:val="000000"/>
          <w:sz w:val="22"/>
        </w:rPr>
        <w:t xml:space="preserve"> </w:t>
      </w:r>
      <w:proofErr w:type="spellStart"/>
      <w:r w:rsidRPr="00C37E03">
        <w:rPr>
          <w:rStyle w:val="csl-right-inline"/>
          <w:rFonts w:ascii="Calibri" w:hAnsi="Calibri"/>
          <w:color w:val="000000"/>
          <w:sz w:val="22"/>
        </w:rPr>
        <w:t>Campani</w:t>
      </w:r>
      <w:proofErr w:type="spellEnd"/>
      <w:r w:rsidRPr="00C37E03">
        <w:rPr>
          <w:rStyle w:val="csl-right-inline"/>
          <w:rFonts w:ascii="Calibri" w:hAnsi="Calibri"/>
          <w:color w:val="000000"/>
          <w:sz w:val="22"/>
        </w:rPr>
        <w:t xml:space="preserve"> C, Vitale A, </w:t>
      </w:r>
      <w:proofErr w:type="spellStart"/>
      <w:r w:rsidRPr="00C37E03">
        <w:rPr>
          <w:rStyle w:val="csl-right-inline"/>
          <w:rFonts w:ascii="Calibri" w:hAnsi="Calibri"/>
          <w:color w:val="000000"/>
          <w:sz w:val="22"/>
        </w:rPr>
        <w:t>Dragoni</w:t>
      </w:r>
      <w:proofErr w:type="spellEnd"/>
      <w:r w:rsidRPr="00C37E03">
        <w:rPr>
          <w:rStyle w:val="csl-right-inline"/>
          <w:rFonts w:ascii="Calibri" w:hAnsi="Calibri"/>
          <w:color w:val="000000"/>
          <w:sz w:val="22"/>
        </w:rPr>
        <w:t xml:space="preserve"> G, </w:t>
      </w:r>
      <w:r>
        <w:rPr>
          <w:rStyle w:val="csl-right-inline"/>
          <w:rFonts w:ascii="Calibri" w:hAnsi="Calibri"/>
          <w:color w:val="000000"/>
          <w:sz w:val="22"/>
        </w:rPr>
        <w:t xml:space="preserve">Arena U, </w:t>
      </w:r>
      <w:proofErr w:type="spellStart"/>
      <w:r>
        <w:rPr>
          <w:rStyle w:val="csl-right-inline"/>
          <w:rFonts w:ascii="Calibri" w:hAnsi="Calibri"/>
          <w:color w:val="000000"/>
          <w:sz w:val="22"/>
        </w:rPr>
        <w:t>Giannin</w:t>
      </w:r>
      <w:proofErr w:type="spellEnd"/>
      <w:r>
        <w:rPr>
          <w:rStyle w:val="csl-right-inline"/>
          <w:rFonts w:ascii="Calibri" w:hAnsi="Calibri"/>
          <w:color w:val="000000"/>
          <w:sz w:val="22"/>
        </w:rPr>
        <w:t xml:space="preserve"> E.G, Trevisani F, </w:t>
      </w:r>
      <w:r w:rsidRPr="00C37E03">
        <w:rPr>
          <w:rStyle w:val="csl-right-inline"/>
          <w:rFonts w:ascii="Calibri" w:hAnsi="Calibri"/>
          <w:color w:val="000000"/>
          <w:sz w:val="22"/>
        </w:rPr>
        <w:t xml:space="preserve">et al. The ALBI and p-ALBI grades predict survival in patients with hepatocellular carcinoma undergoing transarterial chemoembolization (TACE). </w:t>
      </w:r>
      <w:r w:rsidRPr="00C37E03">
        <w:rPr>
          <w:rStyle w:val="csl-right-inline"/>
          <w:rFonts w:ascii="Calibri" w:hAnsi="Calibri"/>
          <w:iCs/>
          <w:color w:val="000000"/>
          <w:sz w:val="22"/>
        </w:rPr>
        <w:t>Digest Liver Dis</w:t>
      </w:r>
      <w:r w:rsidRPr="00C37E03">
        <w:rPr>
          <w:rStyle w:val="csl-right-inline"/>
          <w:rFonts w:ascii="Calibri" w:hAnsi="Calibri"/>
          <w:color w:val="000000"/>
          <w:sz w:val="22"/>
        </w:rPr>
        <w:t xml:space="preserve">. 2018;50(1):44. </w:t>
      </w:r>
      <w:r w:rsidRPr="00C37E03">
        <w:rPr>
          <w:rFonts w:ascii="Calibri" w:hAnsi="Calibri"/>
          <w:color w:val="000000"/>
          <w:sz w:val="22"/>
        </w:rPr>
        <w:br/>
      </w:r>
    </w:p>
    <w:p w:rsidR="00786F9B" w:rsidRPr="00C37E03" w:rsidRDefault="00786F9B" w:rsidP="00786F9B">
      <w:pPr>
        <w:spacing w:line="360" w:lineRule="auto"/>
        <w:rPr>
          <w:rStyle w:val="csl-right-inline"/>
          <w:rFonts w:ascii="Calibri" w:hAnsi="Calibri"/>
          <w:color w:val="000000"/>
          <w:sz w:val="22"/>
        </w:rPr>
      </w:pPr>
      <w:r w:rsidRPr="00C37E03">
        <w:rPr>
          <w:rStyle w:val="csl-left-margin"/>
          <w:rFonts w:ascii="Calibri" w:hAnsi="Calibri"/>
          <w:color w:val="000000"/>
          <w:sz w:val="22"/>
        </w:rPr>
        <w:t xml:space="preserve">31. </w:t>
      </w:r>
      <w:r w:rsidRPr="00C37E03">
        <w:rPr>
          <w:rStyle w:val="csl-right-inline"/>
          <w:rFonts w:ascii="Calibri" w:hAnsi="Calibri"/>
          <w:color w:val="000000"/>
          <w:sz w:val="22"/>
        </w:rPr>
        <w:t xml:space="preserve">Kim J, Sinn D, Lee J-H, </w:t>
      </w:r>
      <w:r>
        <w:rPr>
          <w:rStyle w:val="csl-right-inline"/>
          <w:rFonts w:ascii="Calibri" w:hAnsi="Calibri"/>
          <w:color w:val="000000"/>
          <w:sz w:val="22"/>
        </w:rPr>
        <w:t xml:space="preserve">Hyun D, Cho SK, Shin SW, </w:t>
      </w:r>
      <w:r w:rsidRPr="00C37E03">
        <w:rPr>
          <w:rStyle w:val="csl-right-inline"/>
          <w:rFonts w:ascii="Calibri" w:hAnsi="Calibri"/>
          <w:color w:val="000000"/>
          <w:sz w:val="22"/>
        </w:rPr>
        <w:t xml:space="preserve">et al. Novel Albumin–Bilirubin Grade-Based Risk Prediction Model for Patients with Hepatocellular Carcinoma Undergoing Chemoembolization. </w:t>
      </w:r>
      <w:r w:rsidRPr="00C37E03">
        <w:rPr>
          <w:rStyle w:val="csl-right-inline"/>
          <w:rFonts w:ascii="Calibri" w:hAnsi="Calibri"/>
          <w:iCs/>
          <w:color w:val="000000"/>
          <w:sz w:val="22"/>
        </w:rPr>
        <w:t>Digest Dis Sci</w:t>
      </w:r>
      <w:r w:rsidRPr="00C37E03">
        <w:rPr>
          <w:rStyle w:val="csl-right-inline"/>
          <w:rFonts w:ascii="Calibri" w:hAnsi="Calibri"/>
          <w:color w:val="000000"/>
          <w:sz w:val="22"/>
        </w:rPr>
        <w:t xml:space="preserve">. 2018;63(4):1062-1071. </w:t>
      </w:r>
    </w:p>
    <w:p w:rsidR="00786F9B" w:rsidRPr="00C37E03" w:rsidRDefault="00786F9B" w:rsidP="00786F9B">
      <w:pPr>
        <w:spacing w:line="360" w:lineRule="auto"/>
        <w:rPr>
          <w:rFonts w:ascii="Calibri" w:hAnsi="Calibri"/>
          <w:color w:val="000000"/>
          <w:sz w:val="22"/>
        </w:rPr>
      </w:pPr>
      <w:r w:rsidRPr="00C37E03">
        <w:rPr>
          <w:rFonts w:ascii="Calibri" w:hAnsi="Calibri"/>
          <w:color w:val="000000"/>
          <w:sz w:val="22"/>
        </w:rPr>
        <w:br/>
      </w:r>
      <w:r w:rsidRPr="00C37E03">
        <w:rPr>
          <w:rStyle w:val="csl-left-margin"/>
          <w:rFonts w:ascii="Calibri" w:hAnsi="Calibri"/>
          <w:color w:val="000000"/>
          <w:sz w:val="22"/>
        </w:rPr>
        <w:t xml:space="preserve">32. </w:t>
      </w:r>
      <w:proofErr w:type="spellStart"/>
      <w:r w:rsidRPr="00C37E03">
        <w:rPr>
          <w:rStyle w:val="csl-right-inline"/>
          <w:rFonts w:ascii="Calibri" w:hAnsi="Calibri"/>
          <w:color w:val="000000"/>
          <w:sz w:val="22"/>
        </w:rPr>
        <w:t>Huo</w:t>
      </w:r>
      <w:proofErr w:type="spellEnd"/>
      <w:r w:rsidRPr="00C37E03">
        <w:rPr>
          <w:rStyle w:val="csl-right-inline"/>
          <w:rFonts w:ascii="Calibri" w:hAnsi="Calibri"/>
          <w:color w:val="000000"/>
          <w:sz w:val="22"/>
        </w:rPr>
        <w:t xml:space="preserve"> T-I, Liu P-H, Hsu C-Y. ALBI Score as a Novel Tool in Staging and Treatment Planning for Hepatocellular Carcinoma: Is It Sufficient. </w:t>
      </w:r>
      <w:r w:rsidRPr="00C37E03">
        <w:rPr>
          <w:rStyle w:val="csl-right-inline"/>
          <w:rFonts w:ascii="Calibri" w:hAnsi="Calibri"/>
          <w:iCs/>
          <w:color w:val="000000"/>
          <w:sz w:val="22"/>
        </w:rPr>
        <w:t>Liver Cancer</w:t>
      </w:r>
      <w:r w:rsidRPr="00C37E03">
        <w:rPr>
          <w:rStyle w:val="csl-right-inline"/>
          <w:rFonts w:ascii="Calibri" w:hAnsi="Calibri"/>
          <w:color w:val="000000"/>
          <w:sz w:val="22"/>
        </w:rPr>
        <w:t xml:space="preserve">. 2017;6(4):375-376.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33. </w:t>
      </w:r>
      <w:r w:rsidRPr="00C37E03">
        <w:rPr>
          <w:rStyle w:val="csl-right-inline"/>
          <w:rFonts w:ascii="Calibri" w:hAnsi="Calibri"/>
          <w:color w:val="000000"/>
          <w:sz w:val="22"/>
        </w:rPr>
        <w:t xml:space="preserve">Hiraoka A, Kumada T, </w:t>
      </w:r>
      <w:proofErr w:type="spellStart"/>
      <w:r w:rsidRPr="00C37E03">
        <w:rPr>
          <w:rStyle w:val="csl-right-inline"/>
          <w:rFonts w:ascii="Calibri" w:hAnsi="Calibri"/>
          <w:color w:val="000000"/>
          <w:sz w:val="22"/>
        </w:rPr>
        <w:t>Michitaka</w:t>
      </w:r>
      <w:proofErr w:type="spellEnd"/>
      <w:r w:rsidRPr="00C37E03">
        <w:rPr>
          <w:rStyle w:val="csl-right-inline"/>
          <w:rFonts w:ascii="Calibri" w:hAnsi="Calibri"/>
          <w:color w:val="000000"/>
          <w:sz w:val="22"/>
        </w:rPr>
        <w:t xml:space="preserve"> K, </w:t>
      </w:r>
      <w:r>
        <w:rPr>
          <w:rStyle w:val="csl-right-inline"/>
          <w:rFonts w:ascii="Calibri" w:hAnsi="Calibri"/>
          <w:color w:val="000000"/>
          <w:sz w:val="22"/>
        </w:rPr>
        <w:t xml:space="preserve">Toyoda H, Tada T, Ueki H, </w:t>
      </w:r>
      <w:r w:rsidRPr="00C37E03">
        <w:rPr>
          <w:rStyle w:val="csl-right-inline"/>
          <w:rFonts w:ascii="Calibri" w:hAnsi="Calibri"/>
          <w:color w:val="000000"/>
          <w:sz w:val="22"/>
        </w:rPr>
        <w:t xml:space="preserve">et al. Usefulness of albumin–bilirubin grade for evaluation of prognosis of 2584 Japanese patients with hepatocellular carcinoma.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Gastroen</w:t>
      </w:r>
      <w:proofErr w:type="spellEnd"/>
      <w:r w:rsidRPr="00C37E03">
        <w:rPr>
          <w:rStyle w:val="csl-right-inline"/>
          <w:rFonts w:ascii="Calibri" w:hAnsi="Calibri"/>
          <w:iCs/>
          <w:color w:val="000000"/>
          <w:sz w:val="22"/>
        </w:rPr>
        <w:t xml:space="preserve"> Hepatol</w:t>
      </w:r>
      <w:r w:rsidRPr="00C37E03">
        <w:rPr>
          <w:rStyle w:val="csl-right-inline"/>
          <w:rFonts w:ascii="Calibri" w:hAnsi="Calibri"/>
          <w:color w:val="000000"/>
          <w:sz w:val="22"/>
        </w:rPr>
        <w:t xml:space="preserve">. 2016;31(5):1031-1036.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34. </w:t>
      </w:r>
      <w:r w:rsidRPr="00C37E03">
        <w:rPr>
          <w:rStyle w:val="csl-right-inline"/>
          <w:rFonts w:ascii="Calibri" w:hAnsi="Calibri"/>
          <w:color w:val="000000"/>
          <w:sz w:val="22"/>
        </w:rPr>
        <w:t xml:space="preserve">Waked I, Berhane S, Toyoda H, </w:t>
      </w:r>
      <w:r>
        <w:rPr>
          <w:rStyle w:val="csl-right-inline"/>
          <w:rFonts w:ascii="Calibri" w:hAnsi="Calibri"/>
          <w:color w:val="000000"/>
          <w:sz w:val="22"/>
        </w:rPr>
        <w:t xml:space="preserve">Chan SL, Stern N, Palmer D, </w:t>
      </w:r>
      <w:r w:rsidRPr="00C37E03">
        <w:rPr>
          <w:rStyle w:val="csl-right-inline"/>
          <w:rFonts w:ascii="Calibri" w:hAnsi="Calibri"/>
          <w:color w:val="000000"/>
          <w:sz w:val="22"/>
        </w:rPr>
        <w:t xml:space="preserve">et al. Transarterial chemo-embolisation of hepatocellular carcinoma: impact of liver function and vascular invasion. </w:t>
      </w:r>
      <w:r w:rsidRPr="00C37E03">
        <w:rPr>
          <w:rStyle w:val="csl-right-inline"/>
          <w:rFonts w:ascii="Calibri" w:hAnsi="Calibri"/>
          <w:iCs/>
          <w:color w:val="000000"/>
          <w:sz w:val="22"/>
        </w:rPr>
        <w:t>Brit J Cancer</w:t>
      </w:r>
      <w:r w:rsidRPr="00C37E03">
        <w:rPr>
          <w:rStyle w:val="csl-right-inline"/>
          <w:rFonts w:ascii="Calibri" w:hAnsi="Calibri"/>
          <w:color w:val="000000"/>
          <w:sz w:val="22"/>
        </w:rPr>
        <w:t xml:space="preserve">. 2017;116(4):448-454.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35. </w:t>
      </w:r>
      <w:proofErr w:type="spellStart"/>
      <w:r w:rsidRPr="00C37E03">
        <w:rPr>
          <w:rStyle w:val="csl-right-inline"/>
          <w:rFonts w:ascii="Calibri" w:hAnsi="Calibri"/>
          <w:color w:val="000000"/>
          <w:sz w:val="22"/>
        </w:rPr>
        <w:t>Hansmann</w:t>
      </w:r>
      <w:proofErr w:type="spellEnd"/>
      <w:r w:rsidRPr="00C37E03">
        <w:rPr>
          <w:rStyle w:val="csl-right-inline"/>
          <w:rFonts w:ascii="Calibri" w:hAnsi="Calibri"/>
          <w:color w:val="000000"/>
          <w:sz w:val="22"/>
        </w:rPr>
        <w:t xml:space="preserve"> J, Evers MJ, Bui JT, </w:t>
      </w:r>
      <w:proofErr w:type="spellStart"/>
      <w:r>
        <w:rPr>
          <w:rStyle w:val="csl-right-inline"/>
          <w:rFonts w:ascii="Calibri" w:hAnsi="Calibri"/>
          <w:color w:val="000000"/>
          <w:sz w:val="22"/>
        </w:rPr>
        <w:t>Lokken</w:t>
      </w:r>
      <w:proofErr w:type="spellEnd"/>
      <w:r>
        <w:rPr>
          <w:rStyle w:val="csl-right-inline"/>
          <w:rFonts w:ascii="Calibri" w:hAnsi="Calibri"/>
          <w:color w:val="000000"/>
          <w:sz w:val="22"/>
        </w:rPr>
        <w:t xml:space="preserve"> RP, </w:t>
      </w:r>
      <w:proofErr w:type="spellStart"/>
      <w:r>
        <w:rPr>
          <w:rStyle w:val="csl-right-inline"/>
          <w:rFonts w:ascii="Calibri" w:hAnsi="Calibri"/>
          <w:color w:val="000000"/>
          <w:sz w:val="22"/>
        </w:rPr>
        <w:t>Lipnik</w:t>
      </w:r>
      <w:proofErr w:type="spellEnd"/>
      <w:r>
        <w:rPr>
          <w:rStyle w:val="csl-right-inline"/>
          <w:rFonts w:ascii="Calibri" w:hAnsi="Calibri"/>
          <w:color w:val="000000"/>
          <w:sz w:val="22"/>
        </w:rPr>
        <w:t xml:space="preserve"> AJ, </w:t>
      </w:r>
      <w:proofErr w:type="spellStart"/>
      <w:r>
        <w:rPr>
          <w:rStyle w:val="csl-right-inline"/>
          <w:rFonts w:ascii="Calibri" w:hAnsi="Calibri"/>
          <w:color w:val="000000"/>
          <w:sz w:val="22"/>
        </w:rPr>
        <w:t>Gaba</w:t>
      </w:r>
      <w:proofErr w:type="spellEnd"/>
      <w:r>
        <w:rPr>
          <w:rStyle w:val="csl-right-inline"/>
          <w:rFonts w:ascii="Calibri" w:hAnsi="Calibri"/>
          <w:color w:val="000000"/>
          <w:sz w:val="22"/>
        </w:rPr>
        <w:t xml:space="preserve"> RC, </w:t>
      </w:r>
      <w:r w:rsidRPr="00C37E03">
        <w:rPr>
          <w:rStyle w:val="csl-right-inline"/>
          <w:rFonts w:ascii="Calibri" w:hAnsi="Calibri"/>
          <w:color w:val="000000"/>
          <w:sz w:val="22"/>
        </w:rPr>
        <w:t xml:space="preserve">et al. Albumin-Bilirubin and Platelet-Albumin-Bilirubin Grades Accurately Predict Overall Survival in High-Risk Patients Undergoing Conventional Transarterial Chemoembolization for Hepatocellular Carcinoma.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Vasc</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Interv</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Radiol</w:t>
      </w:r>
      <w:proofErr w:type="spellEnd"/>
      <w:r w:rsidRPr="00C37E03">
        <w:rPr>
          <w:rStyle w:val="csl-right-inline"/>
          <w:rFonts w:ascii="Calibri" w:hAnsi="Calibri"/>
          <w:color w:val="000000"/>
          <w:sz w:val="22"/>
        </w:rPr>
        <w:t xml:space="preserve">. 2017;28(9):1224-1231.e2.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36. </w:t>
      </w:r>
      <w:r w:rsidRPr="00C37E03">
        <w:rPr>
          <w:rStyle w:val="csl-right-inline"/>
          <w:rFonts w:ascii="Calibri" w:hAnsi="Calibri"/>
          <w:color w:val="000000"/>
          <w:sz w:val="22"/>
        </w:rPr>
        <w:t xml:space="preserve">Hickey R, </w:t>
      </w:r>
      <w:proofErr w:type="spellStart"/>
      <w:r w:rsidRPr="00C37E03">
        <w:rPr>
          <w:rStyle w:val="csl-right-inline"/>
          <w:rFonts w:ascii="Calibri" w:hAnsi="Calibri"/>
          <w:color w:val="000000"/>
          <w:sz w:val="22"/>
        </w:rPr>
        <w:t>Mouli</w:t>
      </w:r>
      <w:proofErr w:type="spellEnd"/>
      <w:r w:rsidRPr="00C37E03">
        <w:rPr>
          <w:rStyle w:val="csl-right-inline"/>
          <w:rFonts w:ascii="Calibri" w:hAnsi="Calibri"/>
          <w:color w:val="000000"/>
          <w:sz w:val="22"/>
        </w:rPr>
        <w:t xml:space="preserve"> S, </w:t>
      </w:r>
      <w:proofErr w:type="spellStart"/>
      <w:r w:rsidRPr="00C37E03">
        <w:rPr>
          <w:rStyle w:val="csl-right-inline"/>
          <w:rFonts w:ascii="Calibri" w:hAnsi="Calibri"/>
          <w:color w:val="000000"/>
          <w:sz w:val="22"/>
        </w:rPr>
        <w:t>Kulik</w:t>
      </w:r>
      <w:proofErr w:type="spellEnd"/>
      <w:r w:rsidRPr="00C37E03">
        <w:rPr>
          <w:rStyle w:val="csl-right-inline"/>
          <w:rFonts w:ascii="Calibri" w:hAnsi="Calibri"/>
          <w:color w:val="000000"/>
          <w:sz w:val="22"/>
        </w:rPr>
        <w:t xml:space="preserve"> L, </w:t>
      </w:r>
      <w:r>
        <w:rPr>
          <w:rStyle w:val="csl-right-inline"/>
          <w:rFonts w:ascii="Calibri" w:hAnsi="Calibri"/>
          <w:color w:val="000000"/>
          <w:sz w:val="22"/>
        </w:rPr>
        <w:t xml:space="preserve">Desai K, Thornburg B, Ganger D, </w:t>
      </w:r>
      <w:r w:rsidRPr="00C37E03">
        <w:rPr>
          <w:rStyle w:val="csl-right-inline"/>
          <w:rFonts w:ascii="Calibri" w:hAnsi="Calibri"/>
          <w:color w:val="000000"/>
          <w:sz w:val="22"/>
        </w:rPr>
        <w:t xml:space="preserve">et al. Independent Analysis of Albumin-Bilirubin Grade in a 765-Patient Cohort Treated with Transarterial Locoregional Therapy for Hepatocellular Carcinoma.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Vasc</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Interv</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Radiol</w:t>
      </w:r>
      <w:proofErr w:type="spellEnd"/>
      <w:r w:rsidRPr="00C37E03">
        <w:rPr>
          <w:rStyle w:val="csl-right-inline"/>
          <w:rFonts w:ascii="Calibri" w:hAnsi="Calibri"/>
          <w:color w:val="000000"/>
          <w:sz w:val="22"/>
        </w:rPr>
        <w:t xml:space="preserve">. 2016;27(6):795-802.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37. </w:t>
      </w:r>
      <w:proofErr w:type="spellStart"/>
      <w:r w:rsidRPr="00C37E03">
        <w:rPr>
          <w:rStyle w:val="csl-right-inline"/>
          <w:rFonts w:ascii="Calibri" w:hAnsi="Calibri"/>
          <w:color w:val="000000"/>
          <w:sz w:val="22"/>
        </w:rPr>
        <w:t>Aravind</w:t>
      </w:r>
      <w:proofErr w:type="spellEnd"/>
      <w:r w:rsidRPr="00C37E03">
        <w:rPr>
          <w:rStyle w:val="csl-right-inline"/>
          <w:rFonts w:ascii="Calibri" w:hAnsi="Calibri"/>
          <w:color w:val="000000"/>
          <w:sz w:val="22"/>
        </w:rPr>
        <w:t xml:space="preserve"> P, </w:t>
      </w:r>
      <w:proofErr w:type="spellStart"/>
      <w:r w:rsidRPr="00C37E03">
        <w:rPr>
          <w:rStyle w:val="csl-right-inline"/>
          <w:rFonts w:ascii="Calibri" w:hAnsi="Calibri"/>
          <w:color w:val="000000"/>
          <w:sz w:val="22"/>
        </w:rPr>
        <w:t>Thillai</w:t>
      </w:r>
      <w:proofErr w:type="spellEnd"/>
      <w:r w:rsidRPr="00C37E03">
        <w:rPr>
          <w:rStyle w:val="csl-right-inline"/>
          <w:rFonts w:ascii="Calibri" w:hAnsi="Calibri"/>
          <w:color w:val="000000"/>
          <w:sz w:val="22"/>
        </w:rPr>
        <w:t xml:space="preserve"> K, </w:t>
      </w:r>
      <w:proofErr w:type="spellStart"/>
      <w:r w:rsidRPr="00C37E03">
        <w:rPr>
          <w:rStyle w:val="csl-right-inline"/>
          <w:rFonts w:ascii="Calibri" w:hAnsi="Calibri"/>
          <w:color w:val="000000"/>
          <w:sz w:val="22"/>
        </w:rPr>
        <w:t>Suddle</w:t>
      </w:r>
      <w:proofErr w:type="spellEnd"/>
      <w:r w:rsidRPr="00C37E03">
        <w:rPr>
          <w:rStyle w:val="csl-right-inline"/>
          <w:rFonts w:ascii="Calibri" w:hAnsi="Calibri"/>
          <w:color w:val="000000"/>
          <w:sz w:val="22"/>
        </w:rPr>
        <w:t xml:space="preserve"> A, </w:t>
      </w:r>
      <w:r>
        <w:rPr>
          <w:rStyle w:val="csl-right-inline"/>
          <w:rFonts w:ascii="Calibri" w:hAnsi="Calibri"/>
          <w:color w:val="000000"/>
          <w:sz w:val="22"/>
        </w:rPr>
        <w:t xml:space="preserve">Heaton N, </w:t>
      </w:r>
      <w:proofErr w:type="spellStart"/>
      <w:r>
        <w:rPr>
          <w:rStyle w:val="csl-right-inline"/>
          <w:rFonts w:ascii="Calibri" w:hAnsi="Calibri"/>
          <w:color w:val="000000"/>
          <w:sz w:val="22"/>
        </w:rPr>
        <w:t>Karani</w:t>
      </w:r>
      <w:proofErr w:type="spellEnd"/>
      <w:r>
        <w:rPr>
          <w:rStyle w:val="csl-right-inline"/>
          <w:rFonts w:ascii="Calibri" w:hAnsi="Calibri"/>
          <w:color w:val="000000"/>
          <w:sz w:val="22"/>
        </w:rPr>
        <w:t xml:space="preserve"> J, Kane P, </w:t>
      </w:r>
      <w:r w:rsidRPr="00C37E03">
        <w:rPr>
          <w:rStyle w:val="csl-right-inline"/>
          <w:rFonts w:ascii="Calibri" w:hAnsi="Calibri"/>
          <w:color w:val="000000"/>
          <w:sz w:val="22"/>
        </w:rPr>
        <w:t xml:space="preserve">et al. Application of ALBI and PALBI score as prognostic variables in hepatocellular carcinoma patients treated with transarterial-chemoembolization.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Clin</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Oncol</w:t>
      </w:r>
      <w:proofErr w:type="spellEnd"/>
      <w:r w:rsidRPr="00C37E03">
        <w:rPr>
          <w:rStyle w:val="csl-right-inline"/>
          <w:rFonts w:ascii="Calibri" w:hAnsi="Calibri"/>
          <w:color w:val="000000"/>
          <w:sz w:val="22"/>
        </w:rPr>
        <w:t xml:space="preserve">. 2017;35(4_suppl):241-241.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lastRenderedPageBreak/>
        <w:t xml:space="preserve">38. </w:t>
      </w:r>
      <w:r w:rsidRPr="00C37E03">
        <w:rPr>
          <w:rStyle w:val="csl-right-inline"/>
          <w:rFonts w:ascii="Calibri" w:hAnsi="Calibri"/>
          <w:color w:val="000000"/>
          <w:sz w:val="22"/>
        </w:rPr>
        <w:t xml:space="preserve">Hiraoka A, Kumada T, Kudo M, </w:t>
      </w:r>
      <w:proofErr w:type="spellStart"/>
      <w:r>
        <w:rPr>
          <w:rStyle w:val="csl-right-inline"/>
          <w:rFonts w:ascii="Calibri" w:hAnsi="Calibri"/>
          <w:color w:val="000000"/>
          <w:sz w:val="22"/>
        </w:rPr>
        <w:t>Hirooka</w:t>
      </w:r>
      <w:proofErr w:type="spellEnd"/>
      <w:r>
        <w:rPr>
          <w:rStyle w:val="csl-right-inline"/>
          <w:rFonts w:ascii="Calibri" w:hAnsi="Calibri"/>
          <w:color w:val="000000"/>
          <w:sz w:val="22"/>
        </w:rPr>
        <w:t xml:space="preserve"> M, Koizumi Y, </w:t>
      </w:r>
      <w:proofErr w:type="spellStart"/>
      <w:r>
        <w:rPr>
          <w:rStyle w:val="csl-right-inline"/>
          <w:rFonts w:ascii="Calibri" w:hAnsi="Calibri"/>
          <w:color w:val="000000"/>
          <w:sz w:val="22"/>
        </w:rPr>
        <w:t>Hiasa</w:t>
      </w:r>
      <w:proofErr w:type="spellEnd"/>
      <w:r>
        <w:rPr>
          <w:rStyle w:val="csl-right-inline"/>
          <w:rFonts w:ascii="Calibri" w:hAnsi="Calibri"/>
          <w:color w:val="000000"/>
          <w:sz w:val="22"/>
        </w:rPr>
        <w:t xml:space="preserve"> Y, </w:t>
      </w:r>
      <w:r w:rsidRPr="00C37E03">
        <w:rPr>
          <w:rStyle w:val="csl-right-inline"/>
          <w:rFonts w:ascii="Calibri" w:hAnsi="Calibri"/>
          <w:color w:val="000000"/>
          <w:sz w:val="22"/>
        </w:rPr>
        <w:t xml:space="preserve">et al. Hepatic Function during Repeated TACE Procedures and Prognosis after Introducing Sorafenib in Patients with Unresectable Hepatocellular Carcinoma: Multicenter Analysis. </w:t>
      </w:r>
      <w:r w:rsidRPr="00C37E03">
        <w:rPr>
          <w:rStyle w:val="csl-right-inline"/>
          <w:rFonts w:ascii="Calibri" w:hAnsi="Calibri"/>
          <w:iCs/>
          <w:color w:val="000000"/>
          <w:sz w:val="22"/>
        </w:rPr>
        <w:t>Digest Dis</w:t>
      </w:r>
      <w:r w:rsidRPr="00C37E03">
        <w:rPr>
          <w:rStyle w:val="csl-right-inline"/>
          <w:rFonts w:ascii="Calibri" w:hAnsi="Calibri"/>
          <w:color w:val="000000"/>
          <w:sz w:val="22"/>
        </w:rPr>
        <w:t xml:space="preserve">. 2017;35(6):602-610. </w:t>
      </w:r>
      <w:r w:rsidRPr="00C37E03">
        <w:rPr>
          <w:rFonts w:ascii="Calibri" w:hAnsi="Calibri"/>
          <w:color w:val="000000"/>
          <w:sz w:val="22"/>
        </w:rPr>
        <w:br/>
      </w:r>
    </w:p>
    <w:p w:rsidR="00786F9B" w:rsidRPr="00C37E03" w:rsidRDefault="00786F9B" w:rsidP="00786F9B">
      <w:pPr>
        <w:spacing w:line="360" w:lineRule="auto"/>
        <w:rPr>
          <w:rStyle w:val="csl-right-inline"/>
          <w:rFonts w:ascii="Calibri" w:hAnsi="Calibri"/>
          <w:color w:val="000000"/>
          <w:sz w:val="22"/>
        </w:rPr>
      </w:pPr>
      <w:r w:rsidRPr="00C37E03">
        <w:rPr>
          <w:rStyle w:val="csl-left-margin"/>
          <w:rFonts w:ascii="Calibri" w:hAnsi="Calibri"/>
          <w:color w:val="000000"/>
          <w:sz w:val="22"/>
        </w:rPr>
        <w:t xml:space="preserve">39. </w:t>
      </w:r>
      <w:r w:rsidRPr="00C37E03">
        <w:rPr>
          <w:rStyle w:val="csl-right-inline"/>
          <w:rFonts w:ascii="Calibri" w:hAnsi="Calibri"/>
          <w:color w:val="000000"/>
          <w:sz w:val="22"/>
        </w:rPr>
        <w:t xml:space="preserve">Carling U, </w:t>
      </w:r>
      <w:proofErr w:type="spellStart"/>
      <w:r w:rsidRPr="00C37E03">
        <w:rPr>
          <w:rStyle w:val="csl-right-inline"/>
          <w:rFonts w:ascii="Calibri" w:hAnsi="Calibri"/>
          <w:color w:val="000000"/>
          <w:sz w:val="22"/>
        </w:rPr>
        <w:t>Røsok</w:t>
      </w:r>
      <w:proofErr w:type="spellEnd"/>
      <w:r w:rsidRPr="00C37E03">
        <w:rPr>
          <w:rStyle w:val="csl-right-inline"/>
          <w:rFonts w:ascii="Calibri" w:hAnsi="Calibri"/>
          <w:color w:val="000000"/>
          <w:sz w:val="22"/>
        </w:rPr>
        <w:t xml:space="preserve"> B, Line PD, </w:t>
      </w:r>
      <w:proofErr w:type="spellStart"/>
      <w:r>
        <w:rPr>
          <w:rStyle w:val="csl-right-inline"/>
          <w:rFonts w:ascii="Calibri" w:hAnsi="Calibri"/>
          <w:color w:val="000000"/>
          <w:sz w:val="22"/>
        </w:rPr>
        <w:t>Dorenberg</w:t>
      </w:r>
      <w:proofErr w:type="spellEnd"/>
      <w:r>
        <w:rPr>
          <w:rStyle w:val="csl-right-inline"/>
          <w:rFonts w:ascii="Calibri" w:hAnsi="Calibri"/>
          <w:color w:val="000000"/>
          <w:sz w:val="22"/>
        </w:rPr>
        <w:t xml:space="preserve"> EJ</w:t>
      </w:r>
      <w:r w:rsidRPr="00C37E03">
        <w:rPr>
          <w:rStyle w:val="csl-right-inline"/>
          <w:rFonts w:ascii="Calibri" w:hAnsi="Calibri"/>
          <w:color w:val="000000"/>
          <w:sz w:val="22"/>
        </w:rPr>
        <w:t xml:space="preserve">. ALBI and P-ALBI grade in Child-Pugh A patients treated with drug eluting embolic chemoembolization for hepatocellular carcinoma. </w:t>
      </w:r>
      <w:proofErr w:type="spellStart"/>
      <w:r w:rsidRPr="00C37E03">
        <w:rPr>
          <w:rStyle w:val="csl-right-inline"/>
          <w:rFonts w:ascii="Calibri" w:hAnsi="Calibri"/>
          <w:iCs/>
          <w:color w:val="000000"/>
          <w:sz w:val="22"/>
        </w:rPr>
        <w:t>Acta</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Radiol</w:t>
      </w:r>
      <w:proofErr w:type="spellEnd"/>
      <w:r w:rsidRPr="00C37E03">
        <w:rPr>
          <w:rStyle w:val="csl-right-inline"/>
          <w:rFonts w:ascii="Calibri" w:hAnsi="Calibri"/>
          <w:color w:val="000000"/>
          <w:sz w:val="22"/>
        </w:rPr>
        <w:t>. 2018;60(6):702-709.</w:t>
      </w:r>
    </w:p>
    <w:p w:rsidR="00786F9B" w:rsidRPr="00C37E03" w:rsidRDefault="00786F9B" w:rsidP="00786F9B">
      <w:pPr>
        <w:spacing w:line="360" w:lineRule="auto"/>
        <w:rPr>
          <w:rFonts w:ascii="Calibri" w:hAnsi="Calibri"/>
          <w:color w:val="000000"/>
          <w:sz w:val="22"/>
        </w:rPr>
      </w:pPr>
      <w:r w:rsidRPr="00C37E03">
        <w:rPr>
          <w:rFonts w:ascii="Calibri" w:hAnsi="Calibri"/>
          <w:color w:val="000000"/>
          <w:sz w:val="22"/>
        </w:rPr>
        <w:br/>
      </w:r>
      <w:r w:rsidRPr="00C37E03">
        <w:rPr>
          <w:rStyle w:val="csl-left-margin"/>
          <w:rFonts w:ascii="Calibri" w:hAnsi="Calibri"/>
          <w:color w:val="000000"/>
          <w:sz w:val="22"/>
        </w:rPr>
        <w:t xml:space="preserve">40. </w:t>
      </w:r>
      <w:r w:rsidRPr="00C37E03">
        <w:rPr>
          <w:rStyle w:val="csl-right-inline"/>
          <w:rFonts w:ascii="Calibri" w:hAnsi="Calibri"/>
          <w:color w:val="000000"/>
          <w:sz w:val="22"/>
        </w:rPr>
        <w:t xml:space="preserve">Liu P, Hsu C, Hsia C, </w:t>
      </w:r>
      <w:r>
        <w:rPr>
          <w:rStyle w:val="csl-right-inline"/>
          <w:rFonts w:ascii="Calibri" w:hAnsi="Calibri"/>
          <w:color w:val="000000"/>
          <w:sz w:val="22"/>
        </w:rPr>
        <w:t xml:space="preserve">Lee YH, </w:t>
      </w:r>
      <w:proofErr w:type="spellStart"/>
      <w:r>
        <w:rPr>
          <w:rStyle w:val="csl-right-inline"/>
          <w:rFonts w:ascii="Calibri" w:hAnsi="Calibri"/>
          <w:color w:val="000000"/>
          <w:sz w:val="22"/>
        </w:rPr>
        <w:t>Chiou</w:t>
      </w:r>
      <w:proofErr w:type="spellEnd"/>
      <w:r>
        <w:rPr>
          <w:rStyle w:val="csl-right-inline"/>
          <w:rFonts w:ascii="Calibri" w:hAnsi="Calibri"/>
          <w:color w:val="000000"/>
          <w:sz w:val="22"/>
        </w:rPr>
        <w:t xml:space="preserve"> YY, Huang YH, </w:t>
      </w:r>
      <w:r w:rsidRPr="00C37E03">
        <w:rPr>
          <w:rStyle w:val="csl-right-inline"/>
          <w:rFonts w:ascii="Calibri" w:hAnsi="Calibri"/>
          <w:color w:val="000000"/>
          <w:sz w:val="22"/>
        </w:rPr>
        <w:t xml:space="preserve">et al. ALBI and PALBI grade predict survival for HCC across treatment modalities and BCLC stages in the MELD Era.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Gastroen</w:t>
      </w:r>
      <w:proofErr w:type="spellEnd"/>
      <w:r w:rsidRPr="00C37E03">
        <w:rPr>
          <w:rStyle w:val="csl-right-inline"/>
          <w:rFonts w:ascii="Calibri" w:hAnsi="Calibri"/>
          <w:iCs/>
          <w:color w:val="000000"/>
          <w:sz w:val="22"/>
        </w:rPr>
        <w:t xml:space="preserve"> Hepatol</w:t>
      </w:r>
      <w:r w:rsidRPr="00C37E03">
        <w:rPr>
          <w:rStyle w:val="csl-right-inline"/>
          <w:rFonts w:ascii="Calibri" w:hAnsi="Calibri"/>
          <w:color w:val="000000"/>
          <w:sz w:val="22"/>
        </w:rPr>
        <w:t xml:space="preserve">. 2017;32(4):879-886. </w:t>
      </w:r>
      <w:r w:rsidRPr="00C37E03">
        <w:rPr>
          <w:rFonts w:ascii="Calibri" w:hAnsi="Calibri"/>
          <w:color w:val="000000"/>
          <w:sz w:val="22"/>
        </w:rPr>
        <w:br/>
      </w:r>
    </w:p>
    <w:p w:rsidR="00786F9B" w:rsidRPr="00C37E03" w:rsidRDefault="00786F9B" w:rsidP="00786F9B">
      <w:pPr>
        <w:spacing w:line="360" w:lineRule="auto"/>
      </w:pPr>
      <w:r w:rsidRPr="00C37E03">
        <w:rPr>
          <w:rFonts w:ascii="Calibri" w:hAnsi="Calibri"/>
          <w:color w:val="000000"/>
          <w:sz w:val="22"/>
        </w:rPr>
        <w:t xml:space="preserve">41. </w:t>
      </w:r>
      <w:hyperlink r:id="rId6" w:tgtFrame="_blank" w:history="1">
        <w:r w:rsidRPr="00C37E03">
          <w:rPr>
            <w:rFonts w:asciiTheme="minorHAnsi" w:hAnsiTheme="minorHAnsi"/>
            <w:sz w:val="22"/>
            <w:szCs w:val="22"/>
          </w:rPr>
          <w:t>Higgins JPT, Thompson SG. Quantifying heterogeneity in a meta-analysis. Statistics in Medicine. 2002;21:1539-1558</w:t>
        </w:r>
      </w:hyperlink>
      <w:r w:rsidRPr="00C37E03">
        <w:rPr>
          <w:rFonts w:asciiTheme="minorHAnsi" w:hAnsiTheme="minorHAnsi"/>
          <w:sz w:val="22"/>
          <w:szCs w:val="22"/>
        </w:rPr>
        <w:t>.</w:t>
      </w:r>
    </w:p>
    <w:p w:rsidR="00786F9B" w:rsidRPr="00C37E03" w:rsidRDefault="00786F9B" w:rsidP="00786F9B">
      <w:pPr>
        <w:spacing w:line="360" w:lineRule="auto"/>
        <w:rPr>
          <w:rFonts w:ascii="Calibri" w:hAnsi="Calibri"/>
          <w:color w:val="000000"/>
          <w:sz w:val="22"/>
        </w:rPr>
      </w:pPr>
    </w:p>
    <w:p w:rsidR="00786F9B" w:rsidRPr="00C37E03" w:rsidRDefault="00786F9B" w:rsidP="00786F9B">
      <w:pPr>
        <w:pStyle w:val="Heading4"/>
        <w:shd w:val="clear" w:color="auto" w:fill="FFFFFF"/>
        <w:spacing w:before="0" w:beforeAutospacing="0" w:after="45" w:afterAutospacing="0" w:line="360" w:lineRule="auto"/>
        <w:rPr>
          <w:rFonts w:asciiTheme="minorHAnsi" w:hAnsiTheme="minorHAnsi" w:cs="Segoe UI"/>
          <w:b w:val="0"/>
          <w:bCs w:val="0"/>
          <w:sz w:val="22"/>
          <w:szCs w:val="22"/>
        </w:rPr>
      </w:pPr>
      <w:r w:rsidRPr="00C37E03">
        <w:rPr>
          <w:rFonts w:asciiTheme="minorHAnsi" w:hAnsiTheme="minorHAnsi"/>
          <w:b w:val="0"/>
          <w:bCs w:val="0"/>
          <w:color w:val="000000"/>
          <w:sz w:val="22"/>
          <w:szCs w:val="22"/>
        </w:rPr>
        <w:t xml:space="preserve">42. </w:t>
      </w:r>
      <w:r w:rsidRPr="00C37E03">
        <w:rPr>
          <w:rFonts w:asciiTheme="minorHAnsi" w:hAnsiTheme="minorHAnsi" w:cs="Segoe UI"/>
          <w:b w:val="0"/>
          <w:bCs w:val="0"/>
          <w:sz w:val="22"/>
          <w:szCs w:val="22"/>
        </w:rPr>
        <w:t xml:space="preserve">Higgins JP, Thompson SG, Deeks JJ, </w:t>
      </w:r>
      <w:r>
        <w:rPr>
          <w:rFonts w:asciiTheme="minorHAnsi" w:hAnsiTheme="minorHAnsi" w:cs="Segoe UI"/>
          <w:b w:val="0"/>
          <w:bCs w:val="0"/>
          <w:sz w:val="22"/>
          <w:szCs w:val="22"/>
        </w:rPr>
        <w:t>Altman DG</w:t>
      </w:r>
      <w:r w:rsidRPr="00C37E03">
        <w:rPr>
          <w:rFonts w:asciiTheme="minorHAnsi" w:hAnsiTheme="minorHAnsi" w:cs="Segoe UI"/>
          <w:b w:val="0"/>
          <w:bCs w:val="0"/>
          <w:sz w:val="22"/>
          <w:szCs w:val="22"/>
        </w:rPr>
        <w:t xml:space="preserve">. Measuring inconsistency in meta-analyses. </w:t>
      </w:r>
      <w:r w:rsidRPr="00C37E03">
        <w:rPr>
          <w:rFonts w:asciiTheme="minorHAnsi" w:hAnsiTheme="minorHAnsi" w:cs="Segoe UI"/>
          <w:b w:val="0"/>
          <w:bCs w:val="0"/>
          <w:iCs/>
          <w:sz w:val="22"/>
          <w:szCs w:val="22"/>
        </w:rPr>
        <w:t>BMJ</w:t>
      </w:r>
      <w:r w:rsidRPr="00C37E03">
        <w:rPr>
          <w:rFonts w:asciiTheme="minorHAnsi" w:hAnsiTheme="minorHAnsi" w:cs="Segoe UI"/>
          <w:b w:val="0"/>
          <w:bCs w:val="0"/>
          <w:sz w:val="22"/>
          <w:szCs w:val="22"/>
        </w:rPr>
        <w:t>. 2003;327(7414):557-560.</w:t>
      </w:r>
    </w:p>
    <w:p w:rsidR="00786F9B" w:rsidRPr="00C37E03" w:rsidRDefault="00786F9B" w:rsidP="00786F9B">
      <w:pPr>
        <w:pStyle w:val="Heading4"/>
        <w:shd w:val="clear" w:color="auto" w:fill="FFFFFF"/>
        <w:spacing w:before="0" w:beforeAutospacing="0" w:after="45" w:afterAutospacing="0" w:line="360" w:lineRule="auto"/>
        <w:rPr>
          <w:rFonts w:asciiTheme="minorHAnsi" w:hAnsiTheme="minorHAnsi" w:cs="Segoe UI"/>
          <w:b w:val="0"/>
          <w:bCs w:val="0"/>
          <w:sz w:val="22"/>
          <w:szCs w:val="22"/>
        </w:rPr>
      </w:pPr>
    </w:p>
    <w:p w:rsidR="00786F9B" w:rsidRPr="00C37E03" w:rsidRDefault="00786F9B" w:rsidP="00786F9B">
      <w:pPr>
        <w:pStyle w:val="Heading4"/>
        <w:shd w:val="clear" w:color="auto" w:fill="FFFFFF"/>
        <w:spacing w:before="0" w:beforeAutospacing="0" w:after="45" w:afterAutospacing="0" w:line="360" w:lineRule="auto"/>
        <w:rPr>
          <w:rFonts w:asciiTheme="minorHAnsi" w:hAnsiTheme="minorHAnsi" w:cs="Segoe UI"/>
          <w:b w:val="0"/>
          <w:bCs w:val="0"/>
          <w:sz w:val="22"/>
          <w:szCs w:val="22"/>
        </w:rPr>
      </w:pPr>
      <w:r w:rsidRPr="00C37E03">
        <w:rPr>
          <w:rFonts w:asciiTheme="minorHAnsi" w:hAnsiTheme="minorHAnsi" w:cs="Segoe UI"/>
          <w:b w:val="0"/>
          <w:bCs w:val="0"/>
          <w:sz w:val="22"/>
          <w:szCs w:val="22"/>
        </w:rPr>
        <w:t xml:space="preserve">43. Egger M, Davey Smith G, Schneider M, </w:t>
      </w:r>
      <w:r>
        <w:rPr>
          <w:rFonts w:asciiTheme="minorHAnsi" w:hAnsiTheme="minorHAnsi" w:cs="Segoe UI"/>
          <w:b w:val="0"/>
          <w:bCs w:val="0"/>
          <w:sz w:val="22"/>
          <w:szCs w:val="22"/>
        </w:rPr>
        <w:t>Minder C</w:t>
      </w:r>
      <w:r w:rsidRPr="00C37E03">
        <w:rPr>
          <w:rFonts w:asciiTheme="minorHAnsi" w:hAnsiTheme="minorHAnsi" w:cs="Segoe UI"/>
          <w:b w:val="0"/>
          <w:bCs w:val="0"/>
          <w:sz w:val="22"/>
          <w:szCs w:val="22"/>
        </w:rPr>
        <w:t>. Bias in meta-analysis detected by a simple, graphical test. BMJ. 1997;315(7109):629-634.</w:t>
      </w:r>
    </w:p>
    <w:p w:rsidR="00786F9B" w:rsidRPr="00C37E03" w:rsidRDefault="00786F9B" w:rsidP="00786F9B">
      <w:pPr>
        <w:pStyle w:val="Heading4"/>
        <w:shd w:val="clear" w:color="auto" w:fill="FFFFFF"/>
        <w:spacing w:before="0" w:beforeAutospacing="0" w:after="45" w:afterAutospacing="0" w:line="360" w:lineRule="auto"/>
        <w:ind w:left="390"/>
        <w:rPr>
          <w:rFonts w:ascii="Segoe UI" w:hAnsi="Segoe UI" w:cs="Segoe UI"/>
          <w:sz w:val="18"/>
          <w:szCs w:val="18"/>
        </w:rPr>
      </w:pPr>
    </w:p>
    <w:p w:rsidR="00786F9B" w:rsidRPr="00C37E03" w:rsidRDefault="00786F9B" w:rsidP="00786F9B">
      <w:pPr>
        <w:spacing w:line="360" w:lineRule="auto"/>
        <w:rPr>
          <w:rStyle w:val="csl-left-margin"/>
          <w:rFonts w:ascii="Calibri" w:hAnsi="Calibri"/>
          <w:color w:val="000000"/>
          <w:sz w:val="22"/>
        </w:rPr>
      </w:pPr>
      <w:r w:rsidRPr="00C37E03">
        <w:rPr>
          <w:rStyle w:val="csl-left-margin"/>
          <w:rFonts w:ascii="Calibri" w:hAnsi="Calibri"/>
          <w:color w:val="000000"/>
          <w:sz w:val="22"/>
        </w:rPr>
        <w:t xml:space="preserve">44. </w:t>
      </w:r>
      <w:proofErr w:type="spellStart"/>
      <w:r w:rsidRPr="00C37E03">
        <w:rPr>
          <w:rStyle w:val="csl-right-inline"/>
          <w:rFonts w:ascii="Calibri" w:hAnsi="Calibri"/>
          <w:color w:val="000000"/>
          <w:sz w:val="22"/>
        </w:rPr>
        <w:t>Forner</w:t>
      </w:r>
      <w:proofErr w:type="spellEnd"/>
      <w:r w:rsidRPr="00C37E03">
        <w:rPr>
          <w:rStyle w:val="csl-right-inline"/>
          <w:rFonts w:ascii="Calibri" w:hAnsi="Calibri"/>
          <w:color w:val="000000"/>
          <w:sz w:val="22"/>
        </w:rPr>
        <w:t xml:space="preserve"> A, Reig M, Bruix J. Hepatocellular carcinoma. </w:t>
      </w:r>
      <w:r w:rsidRPr="00C37E03">
        <w:rPr>
          <w:rStyle w:val="csl-right-inline"/>
          <w:rFonts w:ascii="Calibri" w:hAnsi="Calibri"/>
          <w:iCs/>
          <w:color w:val="000000"/>
          <w:sz w:val="22"/>
        </w:rPr>
        <w:t>Lancet</w:t>
      </w:r>
      <w:r w:rsidRPr="00C37E03">
        <w:rPr>
          <w:rStyle w:val="csl-right-inline"/>
          <w:rFonts w:ascii="Calibri" w:hAnsi="Calibri"/>
          <w:color w:val="000000"/>
          <w:sz w:val="22"/>
        </w:rPr>
        <w:t>. 2018; 391:1301-14.</w:t>
      </w:r>
      <w:r w:rsidRPr="00C37E03">
        <w:rPr>
          <w:rFonts w:ascii="Calibri" w:hAnsi="Calibri"/>
          <w:color w:val="000000"/>
          <w:sz w:val="22"/>
        </w:rPr>
        <w:br/>
      </w:r>
    </w:p>
    <w:p w:rsidR="00786F9B" w:rsidRPr="00C37E03" w:rsidRDefault="00786F9B" w:rsidP="00786F9B">
      <w:pPr>
        <w:spacing w:line="360" w:lineRule="auto"/>
        <w:rPr>
          <w:rStyle w:val="csl-right-inline"/>
          <w:rFonts w:ascii="Calibri" w:hAnsi="Calibri"/>
          <w:color w:val="000000"/>
          <w:sz w:val="22"/>
        </w:rPr>
      </w:pPr>
      <w:r w:rsidRPr="00C37E03">
        <w:rPr>
          <w:rStyle w:val="csl-left-margin"/>
          <w:rFonts w:ascii="Calibri" w:hAnsi="Calibri"/>
          <w:color w:val="000000"/>
          <w:sz w:val="22"/>
        </w:rPr>
        <w:t xml:space="preserve">45. </w:t>
      </w:r>
      <w:proofErr w:type="spellStart"/>
      <w:r w:rsidRPr="00C37E03">
        <w:rPr>
          <w:rStyle w:val="csl-right-inline"/>
          <w:rFonts w:ascii="Calibri" w:hAnsi="Calibri"/>
          <w:color w:val="000000"/>
          <w:sz w:val="22"/>
        </w:rPr>
        <w:t>Granito</w:t>
      </w:r>
      <w:proofErr w:type="spellEnd"/>
      <w:r w:rsidRPr="00C37E03">
        <w:rPr>
          <w:rStyle w:val="csl-right-inline"/>
          <w:rFonts w:ascii="Calibri" w:hAnsi="Calibri"/>
          <w:color w:val="000000"/>
          <w:sz w:val="22"/>
        </w:rPr>
        <w:t xml:space="preserve"> A, Bolondi L. Non-transplant therapies for patients with hepatocellular carcinoma and Child-Pugh-Turcotte class B cirrhosis. </w:t>
      </w:r>
      <w:r w:rsidRPr="00C37E03">
        <w:rPr>
          <w:rStyle w:val="csl-right-inline"/>
          <w:rFonts w:ascii="Calibri" w:hAnsi="Calibri"/>
          <w:iCs/>
          <w:color w:val="000000"/>
          <w:sz w:val="22"/>
        </w:rPr>
        <w:t xml:space="preserve">Lancet </w:t>
      </w:r>
      <w:proofErr w:type="spellStart"/>
      <w:r w:rsidRPr="00C37E03">
        <w:rPr>
          <w:rStyle w:val="csl-right-inline"/>
          <w:rFonts w:ascii="Calibri" w:hAnsi="Calibri"/>
          <w:iCs/>
          <w:color w:val="000000"/>
          <w:sz w:val="22"/>
        </w:rPr>
        <w:t>Oncol</w:t>
      </w:r>
      <w:proofErr w:type="spellEnd"/>
      <w:r w:rsidRPr="00C37E03">
        <w:rPr>
          <w:rStyle w:val="csl-right-inline"/>
          <w:rFonts w:ascii="Calibri" w:hAnsi="Calibri"/>
          <w:color w:val="000000"/>
          <w:sz w:val="22"/>
        </w:rPr>
        <w:t xml:space="preserve">. 2017;18(2):e101-e112.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46. </w:t>
      </w:r>
      <w:r w:rsidRPr="00C37E03">
        <w:rPr>
          <w:rStyle w:val="csl-right-inline"/>
          <w:rFonts w:ascii="Calibri" w:hAnsi="Calibri"/>
          <w:color w:val="000000"/>
          <w:sz w:val="22"/>
        </w:rPr>
        <w:t xml:space="preserve">Chan A, Kumada T, Toyoda H, </w:t>
      </w:r>
      <w:r>
        <w:rPr>
          <w:rStyle w:val="csl-right-inline"/>
          <w:rFonts w:ascii="Calibri" w:hAnsi="Calibri"/>
          <w:color w:val="000000"/>
          <w:sz w:val="22"/>
        </w:rPr>
        <w:t xml:space="preserve">Tada T, Chong C, Mo F, </w:t>
      </w:r>
      <w:r w:rsidRPr="00C37E03">
        <w:rPr>
          <w:rStyle w:val="csl-right-inline"/>
          <w:rFonts w:ascii="Calibri" w:hAnsi="Calibri"/>
          <w:color w:val="000000"/>
          <w:sz w:val="22"/>
        </w:rPr>
        <w:t xml:space="preserve">et al. Integration of albumin–bilirubin (ALBI) score into Barcelona Clinic Liver Cancer (BCLC) system for hepatocellular carcinoma.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Gastroen</w:t>
      </w:r>
      <w:proofErr w:type="spellEnd"/>
      <w:r w:rsidRPr="00C37E03">
        <w:rPr>
          <w:rStyle w:val="csl-right-inline"/>
          <w:rFonts w:ascii="Calibri" w:hAnsi="Calibri"/>
          <w:iCs/>
          <w:color w:val="000000"/>
          <w:sz w:val="22"/>
        </w:rPr>
        <w:t xml:space="preserve"> Hepatol</w:t>
      </w:r>
      <w:r w:rsidRPr="00C37E03">
        <w:rPr>
          <w:rStyle w:val="csl-right-inline"/>
          <w:rFonts w:ascii="Calibri" w:hAnsi="Calibri"/>
          <w:color w:val="000000"/>
          <w:sz w:val="22"/>
        </w:rPr>
        <w:t xml:space="preserve">. 2016;31(7):1300-1306.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47. </w:t>
      </w:r>
      <w:r w:rsidRPr="00C37E03">
        <w:rPr>
          <w:rStyle w:val="csl-right-inline"/>
          <w:rFonts w:ascii="Calibri" w:hAnsi="Calibri"/>
          <w:color w:val="000000"/>
          <w:sz w:val="22"/>
        </w:rPr>
        <w:t xml:space="preserve">Piscaglia F, Bolondi L. The intermediate hepatocellular carcinoma stage: Should treatment be expanded? </w:t>
      </w:r>
      <w:r w:rsidRPr="00C37E03">
        <w:rPr>
          <w:rStyle w:val="csl-right-inline"/>
          <w:rFonts w:ascii="Calibri" w:hAnsi="Calibri"/>
          <w:iCs/>
          <w:color w:val="000000"/>
          <w:sz w:val="22"/>
        </w:rPr>
        <w:t>Digest Liver Dis</w:t>
      </w:r>
      <w:r w:rsidRPr="00C37E03">
        <w:rPr>
          <w:rStyle w:val="csl-right-inline"/>
          <w:rFonts w:ascii="Calibri" w:hAnsi="Calibri"/>
          <w:color w:val="000000"/>
          <w:sz w:val="22"/>
        </w:rPr>
        <w:t xml:space="preserve">. 2010;42:S258-S263.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48. </w:t>
      </w:r>
      <w:r w:rsidRPr="00C37E03">
        <w:rPr>
          <w:rStyle w:val="csl-right-inline"/>
          <w:rFonts w:ascii="Calibri" w:hAnsi="Calibri"/>
          <w:color w:val="000000"/>
          <w:sz w:val="22"/>
        </w:rPr>
        <w:t xml:space="preserve">Toyoda H, Kumada T, Tada T, </w:t>
      </w:r>
      <w:r>
        <w:rPr>
          <w:rStyle w:val="csl-right-inline"/>
          <w:rFonts w:ascii="Calibri" w:hAnsi="Calibri"/>
          <w:color w:val="000000"/>
          <w:sz w:val="22"/>
        </w:rPr>
        <w:t xml:space="preserve">Yama T, Mizuno K, Sone Y, </w:t>
      </w:r>
      <w:r w:rsidRPr="00C37E03">
        <w:rPr>
          <w:rStyle w:val="csl-right-inline"/>
          <w:rFonts w:ascii="Calibri" w:hAnsi="Calibri"/>
          <w:color w:val="000000"/>
          <w:sz w:val="22"/>
        </w:rPr>
        <w:t xml:space="preserve">et al. Differences in the impact of prognostic factors for hepatocellular carcinoma over time. </w:t>
      </w:r>
      <w:r w:rsidRPr="00C37E03">
        <w:rPr>
          <w:rStyle w:val="csl-right-inline"/>
          <w:rFonts w:ascii="Calibri" w:hAnsi="Calibri"/>
          <w:iCs/>
          <w:color w:val="000000"/>
          <w:sz w:val="22"/>
        </w:rPr>
        <w:t>Cancer Sci</w:t>
      </w:r>
      <w:r w:rsidRPr="00C37E03">
        <w:rPr>
          <w:rStyle w:val="csl-right-inline"/>
          <w:rFonts w:ascii="Calibri" w:hAnsi="Calibri"/>
          <w:color w:val="000000"/>
          <w:sz w:val="22"/>
        </w:rPr>
        <w:t xml:space="preserve">. 2017;108(12):2438-2444.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lastRenderedPageBreak/>
        <w:t xml:space="preserve">49. </w:t>
      </w:r>
      <w:r w:rsidRPr="00C37E03">
        <w:rPr>
          <w:rStyle w:val="csl-right-inline"/>
          <w:rFonts w:ascii="Calibri" w:hAnsi="Calibri"/>
          <w:color w:val="000000"/>
          <w:sz w:val="22"/>
        </w:rPr>
        <w:t xml:space="preserve">Lee S, Song M, Kim S, </w:t>
      </w:r>
      <w:r>
        <w:rPr>
          <w:rStyle w:val="csl-right-inline"/>
          <w:rFonts w:ascii="Calibri" w:hAnsi="Calibri"/>
          <w:color w:val="000000"/>
          <w:sz w:val="22"/>
        </w:rPr>
        <w:t>Park M</w:t>
      </w:r>
      <w:r w:rsidRPr="00C37E03">
        <w:rPr>
          <w:rStyle w:val="csl-right-inline"/>
          <w:rFonts w:ascii="Calibri" w:hAnsi="Calibri"/>
          <w:color w:val="000000"/>
          <w:sz w:val="22"/>
        </w:rPr>
        <w:t xml:space="preserve">. Comparing various scoring system for predicting overall survival according to treatment modalities in hepatocellular carcinoma focused on Platelet-albumin-bilirubin (PALBI) and albumin-bilirubin (ALBI) grade: A nationwide cohort study. </w:t>
      </w:r>
      <w:proofErr w:type="spellStart"/>
      <w:r w:rsidRPr="00C37E03">
        <w:rPr>
          <w:rStyle w:val="csl-right-inline"/>
          <w:rFonts w:ascii="Calibri" w:hAnsi="Calibri"/>
          <w:iCs/>
          <w:color w:val="000000"/>
          <w:sz w:val="22"/>
        </w:rPr>
        <w:t>Plos</w:t>
      </w:r>
      <w:proofErr w:type="spellEnd"/>
      <w:r w:rsidRPr="00C37E03">
        <w:rPr>
          <w:rStyle w:val="csl-right-inline"/>
          <w:rFonts w:ascii="Calibri" w:hAnsi="Calibri"/>
          <w:iCs/>
          <w:color w:val="000000"/>
          <w:sz w:val="22"/>
        </w:rPr>
        <w:t xml:space="preserve"> One</w:t>
      </w:r>
      <w:r w:rsidRPr="00C37E03">
        <w:rPr>
          <w:rStyle w:val="csl-right-inline"/>
          <w:rFonts w:ascii="Calibri" w:hAnsi="Calibri"/>
          <w:color w:val="000000"/>
          <w:sz w:val="22"/>
        </w:rPr>
        <w:t xml:space="preserve">. 2019;14(5):e0216173.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50. </w:t>
      </w:r>
      <w:proofErr w:type="spellStart"/>
      <w:r w:rsidRPr="00C37E03">
        <w:rPr>
          <w:rStyle w:val="csl-right-inline"/>
          <w:rFonts w:ascii="Calibri" w:hAnsi="Calibri"/>
          <w:color w:val="000000"/>
          <w:sz w:val="22"/>
        </w:rPr>
        <w:t>Ho</w:t>
      </w:r>
      <w:proofErr w:type="spellEnd"/>
      <w:r w:rsidRPr="00C37E03">
        <w:rPr>
          <w:rStyle w:val="csl-right-inline"/>
          <w:rFonts w:ascii="Calibri" w:hAnsi="Calibri"/>
          <w:color w:val="000000"/>
          <w:sz w:val="22"/>
        </w:rPr>
        <w:t xml:space="preserve"> S-Y, Liu P-H, Hsu C-Y, </w:t>
      </w:r>
      <w:r>
        <w:rPr>
          <w:rStyle w:val="csl-right-inline"/>
          <w:rFonts w:ascii="Calibri" w:hAnsi="Calibri"/>
          <w:color w:val="000000"/>
          <w:sz w:val="22"/>
        </w:rPr>
        <w:t>Hsia CY, Su CW</w:t>
      </w:r>
      <w:r w:rsidRPr="00C37E03">
        <w:rPr>
          <w:rStyle w:val="csl-right-inline"/>
          <w:rFonts w:ascii="Calibri" w:hAnsi="Calibri"/>
          <w:color w:val="000000"/>
          <w:sz w:val="22"/>
        </w:rPr>
        <w:t xml:space="preserve">. Comparison of twelve liver functional reserve models for outcome prediction in patients with hepatocellular carcinoma undergoing surgical resection. </w:t>
      </w:r>
      <w:r w:rsidRPr="00C37E03">
        <w:rPr>
          <w:rStyle w:val="csl-right-inline"/>
          <w:rFonts w:ascii="Calibri" w:hAnsi="Calibri"/>
          <w:iCs/>
          <w:color w:val="000000"/>
          <w:sz w:val="22"/>
        </w:rPr>
        <w:t>Sci Rep-uk</w:t>
      </w:r>
      <w:r w:rsidRPr="00C37E03">
        <w:rPr>
          <w:rStyle w:val="csl-right-inline"/>
          <w:rFonts w:ascii="Calibri" w:hAnsi="Calibri"/>
          <w:color w:val="000000"/>
          <w:sz w:val="22"/>
        </w:rPr>
        <w:t xml:space="preserve">. 2018;8(1):4773. </w:t>
      </w:r>
    </w:p>
    <w:p w:rsidR="00786F9B" w:rsidRPr="00C37E03" w:rsidRDefault="00786F9B" w:rsidP="00786F9B">
      <w:pPr>
        <w:spacing w:line="360" w:lineRule="auto"/>
        <w:rPr>
          <w:rStyle w:val="csl-left-margin"/>
          <w:rFonts w:ascii="Calibri" w:hAnsi="Calibri"/>
          <w:color w:val="000000"/>
          <w:sz w:val="22"/>
        </w:rPr>
      </w:pPr>
      <w:r w:rsidRPr="00C37E03">
        <w:rPr>
          <w:rFonts w:ascii="Calibri" w:hAnsi="Calibri"/>
          <w:color w:val="000000"/>
          <w:sz w:val="22"/>
        </w:rPr>
        <w:br/>
      </w:r>
      <w:r w:rsidRPr="00C37E03">
        <w:rPr>
          <w:rStyle w:val="csl-left-margin"/>
          <w:rFonts w:ascii="Calibri" w:hAnsi="Calibri"/>
          <w:color w:val="000000"/>
          <w:sz w:val="22"/>
        </w:rPr>
        <w:t xml:space="preserve">51. </w:t>
      </w:r>
      <w:proofErr w:type="spellStart"/>
      <w:r w:rsidRPr="00C37E03">
        <w:rPr>
          <w:rStyle w:val="csl-right-inline"/>
          <w:rFonts w:ascii="Calibri" w:hAnsi="Calibri"/>
          <w:color w:val="000000"/>
          <w:sz w:val="22"/>
        </w:rPr>
        <w:t>Prins</w:t>
      </w:r>
      <w:proofErr w:type="spellEnd"/>
      <w:r w:rsidRPr="00C37E03">
        <w:rPr>
          <w:rStyle w:val="csl-right-inline"/>
          <w:rFonts w:ascii="Calibri" w:hAnsi="Calibri"/>
          <w:color w:val="000000"/>
          <w:sz w:val="22"/>
        </w:rPr>
        <w:t xml:space="preserve"> P, Sharma T, Kim KS, </w:t>
      </w:r>
      <w:r>
        <w:rPr>
          <w:rStyle w:val="csl-right-inline"/>
          <w:rFonts w:ascii="Calibri" w:hAnsi="Calibri"/>
          <w:color w:val="000000"/>
          <w:sz w:val="22"/>
        </w:rPr>
        <w:t xml:space="preserve">Bhardwaj PV, Collins N, Lu E, </w:t>
      </w:r>
      <w:r w:rsidRPr="00C37E03">
        <w:rPr>
          <w:rStyle w:val="csl-right-inline"/>
          <w:rFonts w:ascii="Calibri" w:hAnsi="Calibri"/>
          <w:color w:val="000000"/>
          <w:sz w:val="22"/>
        </w:rPr>
        <w:t xml:space="preserve">et al. Change in liver function as measured by change of Child Pugh Score to predict survival in patients with advanced hepatocellular carcinoma (HCC) during the treatment course. </w:t>
      </w:r>
      <w:r w:rsidRPr="00C37E03">
        <w:rPr>
          <w:rStyle w:val="csl-right-inline"/>
          <w:rFonts w:ascii="Calibri" w:hAnsi="Calibri"/>
          <w:iCs/>
          <w:color w:val="000000"/>
          <w:sz w:val="22"/>
        </w:rPr>
        <w:t>Journal of Clinical Oncology</w:t>
      </w:r>
      <w:r w:rsidRPr="00C37E03">
        <w:rPr>
          <w:rStyle w:val="csl-right-inline"/>
          <w:rFonts w:ascii="Calibri" w:hAnsi="Calibri"/>
          <w:color w:val="000000"/>
          <w:sz w:val="22"/>
        </w:rPr>
        <w:t>. 2018;36(</w:t>
      </w:r>
      <w:proofErr w:type="spellStart"/>
      <w:r w:rsidRPr="00C37E03">
        <w:rPr>
          <w:rStyle w:val="csl-right-inline"/>
          <w:rFonts w:ascii="Calibri" w:hAnsi="Calibri"/>
          <w:color w:val="000000"/>
          <w:sz w:val="22"/>
        </w:rPr>
        <w:t>suppl</w:t>
      </w:r>
      <w:proofErr w:type="spellEnd"/>
      <w:r w:rsidRPr="00C37E03">
        <w:rPr>
          <w:rStyle w:val="csl-right-inline"/>
          <w:rFonts w:ascii="Calibri" w:hAnsi="Calibri"/>
          <w:color w:val="000000"/>
          <w:sz w:val="22"/>
        </w:rPr>
        <w:t xml:space="preserve"> 4):S310. </w:t>
      </w:r>
      <w:r w:rsidRPr="00C37E03">
        <w:rPr>
          <w:rFonts w:ascii="Calibri" w:hAnsi="Calibri"/>
          <w:color w:val="000000"/>
          <w:sz w:val="22"/>
        </w:rPr>
        <w:br/>
      </w:r>
    </w:p>
    <w:p w:rsidR="00786F9B" w:rsidRPr="00C37E03" w:rsidRDefault="00786F9B" w:rsidP="00786F9B">
      <w:pPr>
        <w:spacing w:line="360" w:lineRule="auto"/>
        <w:rPr>
          <w:rStyle w:val="csl-right-inline"/>
          <w:rFonts w:ascii="Calibri" w:hAnsi="Calibri"/>
          <w:color w:val="000000"/>
          <w:sz w:val="22"/>
        </w:rPr>
      </w:pPr>
      <w:r w:rsidRPr="00C37E03">
        <w:rPr>
          <w:rStyle w:val="csl-left-margin"/>
          <w:rFonts w:ascii="Calibri" w:hAnsi="Calibri"/>
          <w:color w:val="000000"/>
          <w:sz w:val="22"/>
        </w:rPr>
        <w:t xml:space="preserve">52. </w:t>
      </w:r>
      <w:r w:rsidRPr="00C37E03">
        <w:rPr>
          <w:rStyle w:val="csl-right-inline"/>
          <w:rFonts w:ascii="Calibri" w:hAnsi="Calibri"/>
          <w:color w:val="000000"/>
          <w:sz w:val="22"/>
        </w:rPr>
        <w:t xml:space="preserve">Hass HG, </w:t>
      </w:r>
      <w:proofErr w:type="spellStart"/>
      <w:r w:rsidRPr="00C37E03">
        <w:rPr>
          <w:rStyle w:val="csl-right-inline"/>
          <w:rFonts w:ascii="Calibri" w:hAnsi="Calibri"/>
          <w:color w:val="000000"/>
          <w:sz w:val="22"/>
        </w:rPr>
        <w:t>Markmann</w:t>
      </w:r>
      <w:proofErr w:type="spellEnd"/>
      <w:r w:rsidRPr="00C37E03">
        <w:rPr>
          <w:rStyle w:val="csl-right-inline"/>
          <w:rFonts w:ascii="Calibri" w:hAnsi="Calibri"/>
          <w:color w:val="000000"/>
          <w:sz w:val="22"/>
        </w:rPr>
        <w:t xml:space="preserve"> H, Schaffer M</w:t>
      </w:r>
      <w:r>
        <w:rPr>
          <w:rStyle w:val="csl-right-inline"/>
          <w:rFonts w:ascii="Calibri" w:hAnsi="Calibri"/>
          <w:color w:val="000000"/>
          <w:sz w:val="22"/>
        </w:rPr>
        <w:t xml:space="preserve">, </w:t>
      </w:r>
      <w:proofErr w:type="spellStart"/>
      <w:r>
        <w:rPr>
          <w:rStyle w:val="csl-right-inline"/>
          <w:rFonts w:ascii="Calibri" w:hAnsi="Calibri"/>
          <w:color w:val="000000"/>
          <w:sz w:val="22"/>
        </w:rPr>
        <w:t>Wellhauber</w:t>
      </w:r>
      <w:proofErr w:type="spellEnd"/>
      <w:r>
        <w:rPr>
          <w:rStyle w:val="csl-right-inline"/>
          <w:rFonts w:ascii="Calibri" w:hAnsi="Calibri"/>
          <w:color w:val="000000"/>
          <w:sz w:val="22"/>
        </w:rPr>
        <w:t xml:space="preserve"> U, Smith U, </w:t>
      </w:r>
      <w:proofErr w:type="spellStart"/>
      <w:r>
        <w:rPr>
          <w:rStyle w:val="csl-right-inline"/>
          <w:rFonts w:ascii="Calibri" w:hAnsi="Calibri"/>
          <w:color w:val="000000"/>
          <w:sz w:val="22"/>
        </w:rPr>
        <w:t>Denzlinger</w:t>
      </w:r>
      <w:proofErr w:type="spellEnd"/>
      <w:r>
        <w:rPr>
          <w:rStyle w:val="csl-right-inline"/>
          <w:rFonts w:ascii="Calibri" w:hAnsi="Calibri"/>
          <w:color w:val="000000"/>
          <w:sz w:val="22"/>
        </w:rPr>
        <w:t xml:space="preserve"> C</w:t>
      </w:r>
      <w:r w:rsidRPr="00C37E03">
        <w:rPr>
          <w:rStyle w:val="csl-right-inline"/>
          <w:rFonts w:ascii="Calibri" w:hAnsi="Calibri"/>
          <w:color w:val="000000"/>
          <w:sz w:val="22"/>
        </w:rPr>
        <w:t xml:space="preserve">. Diagnostic and Prognostic Aspects of Hepatocellular Carcinoma – A Retrospective Analysis in 145 Patients. </w:t>
      </w:r>
      <w:r w:rsidRPr="00C37E03">
        <w:rPr>
          <w:rStyle w:val="csl-right-inline"/>
          <w:rFonts w:ascii="Calibri" w:hAnsi="Calibri"/>
          <w:iCs/>
          <w:color w:val="000000"/>
          <w:sz w:val="22"/>
        </w:rPr>
        <w:t>Journal of Gastroenterology and Hepatology Research</w:t>
      </w:r>
      <w:r w:rsidRPr="00C37E03">
        <w:rPr>
          <w:rStyle w:val="csl-right-inline"/>
          <w:rFonts w:ascii="Calibri" w:hAnsi="Calibri"/>
          <w:color w:val="000000"/>
          <w:sz w:val="22"/>
        </w:rPr>
        <w:t>. 2017;6 (3): 2358-2364.</w:t>
      </w:r>
    </w:p>
    <w:p w:rsidR="00786F9B" w:rsidRPr="00C37E03" w:rsidRDefault="00786F9B" w:rsidP="00786F9B">
      <w:pPr>
        <w:spacing w:line="360" w:lineRule="auto"/>
        <w:rPr>
          <w:rStyle w:val="csl-right-inline"/>
          <w:rFonts w:ascii="Calibri" w:hAnsi="Calibri"/>
          <w:color w:val="000000"/>
          <w:sz w:val="22"/>
        </w:rPr>
      </w:pPr>
      <w:r w:rsidRPr="00C37E03">
        <w:rPr>
          <w:rFonts w:ascii="Calibri" w:hAnsi="Calibri"/>
          <w:color w:val="000000"/>
          <w:sz w:val="22"/>
        </w:rPr>
        <w:br/>
      </w:r>
      <w:r w:rsidRPr="00C37E03">
        <w:rPr>
          <w:rStyle w:val="csl-left-margin"/>
          <w:rFonts w:ascii="Calibri" w:hAnsi="Calibri"/>
          <w:color w:val="000000"/>
          <w:sz w:val="22"/>
        </w:rPr>
        <w:t xml:space="preserve">53. </w:t>
      </w:r>
      <w:proofErr w:type="spellStart"/>
      <w:r w:rsidRPr="00C37E03">
        <w:rPr>
          <w:rStyle w:val="csl-right-inline"/>
          <w:rFonts w:ascii="Calibri" w:hAnsi="Calibri"/>
          <w:color w:val="000000"/>
          <w:sz w:val="22"/>
        </w:rPr>
        <w:t>Georgiades</w:t>
      </w:r>
      <w:proofErr w:type="spellEnd"/>
      <w:r w:rsidRPr="00C37E03">
        <w:rPr>
          <w:rStyle w:val="csl-right-inline"/>
          <w:rFonts w:ascii="Calibri" w:hAnsi="Calibri"/>
          <w:color w:val="000000"/>
          <w:sz w:val="22"/>
        </w:rPr>
        <w:t xml:space="preserve"> CS, </w:t>
      </w:r>
      <w:proofErr w:type="spellStart"/>
      <w:r w:rsidRPr="00C37E03">
        <w:rPr>
          <w:rStyle w:val="csl-right-inline"/>
          <w:rFonts w:ascii="Calibri" w:hAnsi="Calibri"/>
          <w:color w:val="000000"/>
          <w:sz w:val="22"/>
        </w:rPr>
        <w:t>Liapi</w:t>
      </w:r>
      <w:proofErr w:type="spellEnd"/>
      <w:r w:rsidRPr="00C37E03">
        <w:rPr>
          <w:rStyle w:val="csl-right-inline"/>
          <w:rFonts w:ascii="Calibri" w:hAnsi="Calibri"/>
          <w:color w:val="000000"/>
          <w:sz w:val="22"/>
        </w:rPr>
        <w:t xml:space="preserve"> E, </w:t>
      </w:r>
      <w:proofErr w:type="spellStart"/>
      <w:r w:rsidRPr="00C37E03">
        <w:rPr>
          <w:rStyle w:val="csl-right-inline"/>
          <w:rFonts w:ascii="Calibri" w:hAnsi="Calibri"/>
          <w:color w:val="000000"/>
          <w:sz w:val="22"/>
        </w:rPr>
        <w:t>Frangakis</w:t>
      </w:r>
      <w:proofErr w:type="spellEnd"/>
      <w:r w:rsidRPr="00C37E03">
        <w:rPr>
          <w:rStyle w:val="csl-right-inline"/>
          <w:rFonts w:ascii="Calibri" w:hAnsi="Calibri"/>
          <w:color w:val="000000"/>
          <w:sz w:val="22"/>
        </w:rPr>
        <w:t xml:space="preserve"> C,</w:t>
      </w:r>
      <w:r>
        <w:rPr>
          <w:rStyle w:val="csl-right-inline"/>
          <w:rFonts w:ascii="Calibri" w:hAnsi="Calibri"/>
          <w:color w:val="000000"/>
          <w:sz w:val="22"/>
        </w:rPr>
        <w:t xml:space="preserve"> Park J, Kim HW, Hong K,</w:t>
      </w:r>
      <w:r w:rsidRPr="00C37E03">
        <w:rPr>
          <w:rStyle w:val="csl-right-inline"/>
          <w:rFonts w:ascii="Calibri" w:hAnsi="Calibri"/>
          <w:color w:val="000000"/>
          <w:sz w:val="22"/>
        </w:rPr>
        <w:t xml:space="preserve"> et al. Prognostic Accuracy of 12 Liver Staging Systems in Patients with Unresectable Hepatocellular Carcinoma Treated with Transarterial Chemoembolization. </w:t>
      </w:r>
      <w:r w:rsidRPr="00C37E03">
        <w:rPr>
          <w:rStyle w:val="csl-right-inline"/>
          <w:rFonts w:ascii="Calibri" w:hAnsi="Calibri"/>
          <w:iCs/>
          <w:color w:val="000000"/>
          <w:sz w:val="22"/>
        </w:rPr>
        <w:t xml:space="preserve">J </w:t>
      </w:r>
      <w:proofErr w:type="spellStart"/>
      <w:r w:rsidRPr="00C37E03">
        <w:rPr>
          <w:rStyle w:val="csl-right-inline"/>
          <w:rFonts w:ascii="Calibri" w:hAnsi="Calibri"/>
          <w:iCs/>
          <w:color w:val="000000"/>
          <w:sz w:val="22"/>
        </w:rPr>
        <w:t>Vasc</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Interv</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Radiol</w:t>
      </w:r>
      <w:proofErr w:type="spellEnd"/>
      <w:r w:rsidRPr="00C37E03">
        <w:rPr>
          <w:rStyle w:val="csl-right-inline"/>
          <w:rFonts w:ascii="Calibri" w:hAnsi="Calibri"/>
          <w:color w:val="000000"/>
          <w:sz w:val="22"/>
        </w:rPr>
        <w:t xml:space="preserve">. 2006;17(10):1619-1624. </w:t>
      </w:r>
    </w:p>
    <w:p w:rsidR="00786F9B" w:rsidRPr="00C37E03" w:rsidRDefault="00786F9B" w:rsidP="00786F9B">
      <w:pPr>
        <w:spacing w:line="360" w:lineRule="auto"/>
        <w:rPr>
          <w:rStyle w:val="csl-right-inline"/>
          <w:rFonts w:ascii="Calibri" w:hAnsi="Calibri"/>
          <w:color w:val="000000"/>
          <w:sz w:val="22"/>
        </w:rPr>
      </w:pPr>
      <w:r w:rsidRPr="00C37E03">
        <w:rPr>
          <w:rFonts w:ascii="Calibri" w:hAnsi="Calibri"/>
          <w:color w:val="000000"/>
          <w:sz w:val="22"/>
        </w:rPr>
        <w:br/>
      </w:r>
      <w:r w:rsidRPr="00C37E03">
        <w:rPr>
          <w:rStyle w:val="csl-left-margin"/>
          <w:rFonts w:ascii="Calibri" w:hAnsi="Calibri"/>
          <w:color w:val="000000"/>
          <w:sz w:val="22"/>
        </w:rPr>
        <w:t xml:space="preserve">54. </w:t>
      </w:r>
      <w:proofErr w:type="spellStart"/>
      <w:r w:rsidRPr="00C37E03">
        <w:rPr>
          <w:rStyle w:val="csl-right-inline"/>
          <w:rFonts w:ascii="Calibri" w:hAnsi="Calibri"/>
          <w:color w:val="000000"/>
          <w:sz w:val="22"/>
        </w:rPr>
        <w:t>Schellhaas</w:t>
      </w:r>
      <w:proofErr w:type="spellEnd"/>
      <w:r w:rsidRPr="00C37E03">
        <w:rPr>
          <w:rStyle w:val="csl-right-inline"/>
          <w:rFonts w:ascii="Calibri" w:hAnsi="Calibri"/>
          <w:color w:val="000000"/>
          <w:sz w:val="22"/>
        </w:rPr>
        <w:t xml:space="preserve"> B, Strobel D, </w:t>
      </w:r>
      <w:proofErr w:type="spellStart"/>
      <w:r w:rsidRPr="00C37E03">
        <w:rPr>
          <w:rStyle w:val="csl-right-inline"/>
          <w:rFonts w:ascii="Calibri" w:hAnsi="Calibri"/>
          <w:color w:val="000000"/>
          <w:sz w:val="22"/>
        </w:rPr>
        <w:t>Stumpf</w:t>
      </w:r>
      <w:proofErr w:type="spellEnd"/>
      <w:r w:rsidRPr="00C37E03">
        <w:rPr>
          <w:rStyle w:val="csl-right-inline"/>
          <w:rFonts w:ascii="Calibri" w:hAnsi="Calibri"/>
          <w:color w:val="000000"/>
          <w:sz w:val="22"/>
        </w:rPr>
        <w:t xml:space="preserve"> M,</w:t>
      </w:r>
      <w:r>
        <w:rPr>
          <w:rStyle w:val="csl-right-inline"/>
          <w:rFonts w:ascii="Calibri" w:hAnsi="Calibri"/>
          <w:color w:val="000000"/>
          <w:sz w:val="22"/>
        </w:rPr>
        <w:t xml:space="preserve"> </w:t>
      </w:r>
      <w:proofErr w:type="spellStart"/>
      <w:r>
        <w:rPr>
          <w:rStyle w:val="csl-right-inline"/>
          <w:rFonts w:ascii="Calibri" w:hAnsi="Calibri"/>
          <w:color w:val="000000"/>
          <w:sz w:val="22"/>
        </w:rPr>
        <w:t>Ganslmayer</w:t>
      </w:r>
      <w:proofErr w:type="spellEnd"/>
      <w:r>
        <w:rPr>
          <w:rStyle w:val="csl-right-inline"/>
          <w:rFonts w:ascii="Calibri" w:hAnsi="Calibri"/>
          <w:color w:val="000000"/>
          <w:sz w:val="22"/>
        </w:rPr>
        <w:t xml:space="preserve"> M, Pfeifer L, </w:t>
      </w:r>
      <w:proofErr w:type="spellStart"/>
      <w:r>
        <w:rPr>
          <w:rStyle w:val="csl-right-inline"/>
          <w:rFonts w:ascii="Calibri" w:hAnsi="Calibri"/>
          <w:color w:val="000000"/>
          <w:sz w:val="22"/>
        </w:rPr>
        <w:t>Goertz</w:t>
      </w:r>
      <w:proofErr w:type="spellEnd"/>
      <w:r>
        <w:rPr>
          <w:rStyle w:val="csl-right-inline"/>
          <w:rFonts w:ascii="Calibri" w:hAnsi="Calibri"/>
          <w:color w:val="000000"/>
          <w:sz w:val="22"/>
        </w:rPr>
        <w:t xml:space="preserve"> RS,</w:t>
      </w:r>
      <w:r w:rsidRPr="00C37E03">
        <w:rPr>
          <w:rStyle w:val="csl-right-inline"/>
          <w:rFonts w:ascii="Calibri" w:hAnsi="Calibri"/>
          <w:color w:val="000000"/>
          <w:sz w:val="22"/>
        </w:rPr>
        <w:t xml:space="preserve"> et al. Improvement of clinical management and outcome in hepatocellular carcinoma nowadays compared with historical cohorts. </w:t>
      </w:r>
      <w:proofErr w:type="spellStart"/>
      <w:r w:rsidRPr="00C37E03">
        <w:rPr>
          <w:rStyle w:val="csl-right-inline"/>
          <w:rFonts w:ascii="Calibri" w:hAnsi="Calibri"/>
          <w:iCs/>
          <w:color w:val="000000"/>
          <w:sz w:val="22"/>
        </w:rPr>
        <w:t>Eur</w:t>
      </w:r>
      <w:proofErr w:type="spellEnd"/>
      <w:r w:rsidRPr="00C37E03">
        <w:rPr>
          <w:rStyle w:val="csl-right-inline"/>
          <w:rFonts w:ascii="Calibri" w:hAnsi="Calibri"/>
          <w:iCs/>
          <w:color w:val="000000"/>
          <w:sz w:val="22"/>
        </w:rPr>
        <w:t xml:space="preserve"> J </w:t>
      </w:r>
      <w:proofErr w:type="spellStart"/>
      <w:r w:rsidRPr="00C37E03">
        <w:rPr>
          <w:rStyle w:val="csl-right-inline"/>
          <w:rFonts w:ascii="Calibri" w:hAnsi="Calibri"/>
          <w:iCs/>
          <w:color w:val="000000"/>
          <w:sz w:val="22"/>
        </w:rPr>
        <w:t>Gastroen</w:t>
      </w:r>
      <w:proofErr w:type="spellEnd"/>
      <w:r w:rsidRPr="00C37E03">
        <w:rPr>
          <w:rStyle w:val="csl-right-inline"/>
          <w:rFonts w:ascii="Calibri" w:hAnsi="Calibri"/>
          <w:iCs/>
          <w:color w:val="000000"/>
          <w:sz w:val="22"/>
        </w:rPr>
        <w:t xml:space="preserve"> </w:t>
      </w:r>
      <w:proofErr w:type="spellStart"/>
      <w:r w:rsidRPr="00C37E03">
        <w:rPr>
          <w:rStyle w:val="csl-right-inline"/>
          <w:rFonts w:ascii="Calibri" w:hAnsi="Calibri"/>
          <w:iCs/>
          <w:color w:val="000000"/>
          <w:sz w:val="22"/>
        </w:rPr>
        <w:t>Hepat</w:t>
      </w:r>
      <w:proofErr w:type="spellEnd"/>
      <w:r w:rsidRPr="00C37E03">
        <w:rPr>
          <w:rStyle w:val="csl-right-inline"/>
          <w:rFonts w:ascii="Calibri" w:hAnsi="Calibri"/>
          <w:color w:val="000000"/>
          <w:sz w:val="22"/>
        </w:rPr>
        <w:t xml:space="preserve">. 2018;30(12):1422-1427. </w:t>
      </w:r>
    </w:p>
    <w:p w:rsidR="00786F9B" w:rsidRPr="00C37E03" w:rsidRDefault="00786F9B" w:rsidP="00786F9B">
      <w:pPr>
        <w:spacing w:line="360" w:lineRule="auto"/>
        <w:rPr>
          <w:rStyle w:val="csl-right-inline"/>
          <w:rFonts w:ascii="Calibri" w:hAnsi="Calibri"/>
          <w:color w:val="000000"/>
          <w:sz w:val="22"/>
        </w:rPr>
      </w:pPr>
      <w:r w:rsidRPr="00C37E03">
        <w:rPr>
          <w:rFonts w:ascii="Calibri" w:hAnsi="Calibri"/>
          <w:color w:val="000000"/>
          <w:sz w:val="22"/>
        </w:rPr>
        <w:br/>
      </w:r>
      <w:r w:rsidRPr="00C37E03">
        <w:rPr>
          <w:rStyle w:val="csl-left-margin"/>
          <w:rFonts w:ascii="Calibri" w:hAnsi="Calibri"/>
          <w:color w:val="000000"/>
          <w:sz w:val="22"/>
        </w:rPr>
        <w:t xml:space="preserve">55. </w:t>
      </w:r>
      <w:r w:rsidRPr="00C37E03">
        <w:rPr>
          <w:rStyle w:val="csl-right-inline"/>
          <w:rFonts w:ascii="Calibri" w:hAnsi="Calibri"/>
          <w:color w:val="000000"/>
          <w:sz w:val="22"/>
        </w:rPr>
        <w:t xml:space="preserve">Giannini E, </w:t>
      </w:r>
      <w:proofErr w:type="spellStart"/>
      <w:r w:rsidRPr="00C37E03">
        <w:rPr>
          <w:rStyle w:val="csl-right-inline"/>
          <w:rFonts w:ascii="Calibri" w:hAnsi="Calibri"/>
          <w:color w:val="000000"/>
          <w:sz w:val="22"/>
        </w:rPr>
        <w:t>Bucci</w:t>
      </w:r>
      <w:proofErr w:type="spellEnd"/>
      <w:r w:rsidRPr="00C37E03">
        <w:rPr>
          <w:rStyle w:val="csl-right-inline"/>
          <w:rFonts w:ascii="Calibri" w:hAnsi="Calibri"/>
          <w:color w:val="000000"/>
          <w:sz w:val="22"/>
        </w:rPr>
        <w:t xml:space="preserve"> L, </w:t>
      </w:r>
      <w:proofErr w:type="spellStart"/>
      <w:r w:rsidRPr="00C37E03">
        <w:rPr>
          <w:rStyle w:val="csl-right-inline"/>
          <w:rFonts w:ascii="Calibri" w:hAnsi="Calibri"/>
          <w:color w:val="000000"/>
          <w:sz w:val="22"/>
        </w:rPr>
        <w:t>Garuti</w:t>
      </w:r>
      <w:proofErr w:type="spellEnd"/>
      <w:r w:rsidRPr="00C37E03">
        <w:rPr>
          <w:rStyle w:val="csl-right-inline"/>
          <w:rFonts w:ascii="Calibri" w:hAnsi="Calibri"/>
          <w:color w:val="000000"/>
          <w:sz w:val="22"/>
        </w:rPr>
        <w:t xml:space="preserve"> F, </w:t>
      </w:r>
      <w:proofErr w:type="spellStart"/>
      <w:r>
        <w:rPr>
          <w:rStyle w:val="csl-right-inline"/>
          <w:rFonts w:ascii="Calibri" w:hAnsi="Calibri"/>
          <w:color w:val="000000"/>
          <w:sz w:val="22"/>
        </w:rPr>
        <w:t>Brunacci</w:t>
      </w:r>
      <w:proofErr w:type="spellEnd"/>
      <w:r>
        <w:rPr>
          <w:rStyle w:val="csl-right-inline"/>
          <w:rFonts w:ascii="Calibri" w:hAnsi="Calibri"/>
          <w:color w:val="000000"/>
          <w:sz w:val="22"/>
        </w:rPr>
        <w:t xml:space="preserve"> M, </w:t>
      </w:r>
      <w:proofErr w:type="spellStart"/>
      <w:r>
        <w:rPr>
          <w:rStyle w:val="csl-right-inline"/>
          <w:rFonts w:ascii="Calibri" w:hAnsi="Calibri"/>
          <w:color w:val="000000"/>
          <w:sz w:val="22"/>
        </w:rPr>
        <w:t>Lenzi</w:t>
      </w:r>
      <w:proofErr w:type="spellEnd"/>
      <w:r>
        <w:rPr>
          <w:rStyle w:val="csl-right-inline"/>
          <w:rFonts w:ascii="Calibri" w:hAnsi="Calibri"/>
          <w:color w:val="000000"/>
          <w:sz w:val="22"/>
        </w:rPr>
        <w:t xml:space="preserve"> B, Valente M, </w:t>
      </w:r>
      <w:r w:rsidRPr="00C37E03">
        <w:rPr>
          <w:rStyle w:val="csl-right-inline"/>
          <w:rFonts w:ascii="Calibri" w:hAnsi="Calibri"/>
          <w:color w:val="000000"/>
          <w:sz w:val="22"/>
        </w:rPr>
        <w:t xml:space="preserve">et al. Patients with advanced hepatocellular carcinoma need a personalized management: A lesson from clinical practice. </w:t>
      </w:r>
      <w:r w:rsidRPr="00C37E03">
        <w:rPr>
          <w:rStyle w:val="csl-right-inline"/>
          <w:rFonts w:ascii="Calibri" w:hAnsi="Calibri"/>
          <w:iCs/>
          <w:color w:val="000000"/>
          <w:sz w:val="22"/>
        </w:rPr>
        <w:t>Hepatology</w:t>
      </w:r>
      <w:r w:rsidRPr="00C37E03">
        <w:rPr>
          <w:rStyle w:val="csl-right-inline"/>
          <w:rFonts w:ascii="Calibri" w:hAnsi="Calibri"/>
          <w:color w:val="000000"/>
          <w:sz w:val="22"/>
        </w:rPr>
        <w:t xml:space="preserve">. 2018;67(5):1784-1796. </w:t>
      </w:r>
    </w:p>
    <w:p w:rsidR="00786F9B" w:rsidRPr="00C37E03" w:rsidRDefault="00786F9B" w:rsidP="00786F9B">
      <w:pPr>
        <w:spacing w:line="360" w:lineRule="auto"/>
        <w:rPr>
          <w:rStyle w:val="csl-right-inline"/>
          <w:rFonts w:ascii="Calibri" w:hAnsi="Calibri"/>
          <w:color w:val="000000"/>
          <w:sz w:val="22"/>
        </w:rPr>
      </w:pPr>
      <w:r w:rsidRPr="00C37E03">
        <w:rPr>
          <w:rFonts w:ascii="Calibri" w:hAnsi="Calibri"/>
          <w:color w:val="000000"/>
          <w:sz w:val="22"/>
        </w:rPr>
        <w:br/>
      </w:r>
      <w:r w:rsidRPr="00C37E03">
        <w:rPr>
          <w:rStyle w:val="csl-left-margin"/>
          <w:rFonts w:ascii="Calibri" w:hAnsi="Calibri"/>
          <w:color w:val="000000"/>
          <w:sz w:val="22"/>
        </w:rPr>
        <w:t xml:space="preserve">56. </w:t>
      </w:r>
      <w:r w:rsidRPr="00C37E03">
        <w:rPr>
          <w:rStyle w:val="csl-right-inline"/>
          <w:rFonts w:ascii="Calibri" w:hAnsi="Calibri"/>
          <w:color w:val="000000"/>
          <w:sz w:val="22"/>
        </w:rPr>
        <w:t xml:space="preserve">Giannini EG, </w:t>
      </w:r>
      <w:proofErr w:type="spellStart"/>
      <w:r w:rsidRPr="00C37E03">
        <w:rPr>
          <w:rStyle w:val="csl-right-inline"/>
          <w:rFonts w:ascii="Calibri" w:hAnsi="Calibri"/>
          <w:color w:val="000000"/>
          <w:sz w:val="22"/>
        </w:rPr>
        <w:t>Savarino</w:t>
      </w:r>
      <w:proofErr w:type="spellEnd"/>
      <w:r w:rsidRPr="00C37E03">
        <w:rPr>
          <w:rStyle w:val="csl-right-inline"/>
          <w:rFonts w:ascii="Calibri" w:hAnsi="Calibri"/>
          <w:color w:val="000000"/>
          <w:sz w:val="22"/>
        </w:rPr>
        <w:t xml:space="preserve"> V, </w:t>
      </w:r>
      <w:proofErr w:type="spellStart"/>
      <w:r w:rsidRPr="00C37E03">
        <w:rPr>
          <w:rStyle w:val="csl-right-inline"/>
          <w:rFonts w:ascii="Calibri" w:hAnsi="Calibri"/>
          <w:color w:val="000000"/>
          <w:sz w:val="22"/>
        </w:rPr>
        <w:t>Risso</w:t>
      </w:r>
      <w:proofErr w:type="spellEnd"/>
      <w:r w:rsidRPr="00C37E03">
        <w:rPr>
          <w:rStyle w:val="csl-right-inline"/>
          <w:rFonts w:ascii="Calibri" w:hAnsi="Calibri"/>
          <w:color w:val="000000"/>
          <w:sz w:val="22"/>
        </w:rPr>
        <w:t xml:space="preserve"> D,</w:t>
      </w:r>
      <w:r>
        <w:rPr>
          <w:rStyle w:val="csl-right-inline"/>
          <w:rFonts w:ascii="Calibri" w:hAnsi="Calibri"/>
          <w:color w:val="000000"/>
          <w:sz w:val="22"/>
        </w:rPr>
        <w:t xml:space="preserve"> Di </w:t>
      </w:r>
      <w:proofErr w:type="spellStart"/>
      <w:r>
        <w:rPr>
          <w:rStyle w:val="csl-right-inline"/>
          <w:rFonts w:ascii="Calibri" w:hAnsi="Calibri"/>
          <w:color w:val="000000"/>
          <w:sz w:val="22"/>
        </w:rPr>
        <w:t>Nolfo</w:t>
      </w:r>
      <w:proofErr w:type="spellEnd"/>
      <w:r>
        <w:rPr>
          <w:rStyle w:val="csl-right-inline"/>
          <w:rFonts w:ascii="Calibri" w:hAnsi="Calibri"/>
          <w:color w:val="000000"/>
          <w:sz w:val="22"/>
        </w:rPr>
        <w:t xml:space="preserve"> MA, Del </w:t>
      </w:r>
      <w:proofErr w:type="spellStart"/>
      <w:r>
        <w:rPr>
          <w:rStyle w:val="csl-right-inline"/>
          <w:rFonts w:ascii="Calibri" w:hAnsi="Calibri"/>
          <w:color w:val="000000"/>
          <w:sz w:val="22"/>
        </w:rPr>
        <w:t>Poggio</w:t>
      </w:r>
      <w:proofErr w:type="spellEnd"/>
      <w:r>
        <w:rPr>
          <w:rStyle w:val="csl-right-inline"/>
          <w:rFonts w:ascii="Calibri" w:hAnsi="Calibri"/>
          <w:color w:val="000000"/>
          <w:sz w:val="22"/>
        </w:rPr>
        <w:t xml:space="preserve"> P, </w:t>
      </w:r>
      <w:proofErr w:type="spellStart"/>
      <w:r>
        <w:rPr>
          <w:rStyle w:val="csl-right-inline"/>
          <w:rFonts w:ascii="Calibri" w:hAnsi="Calibri"/>
          <w:color w:val="000000"/>
          <w:sz w:val="22"/>
        </w:rPr>
        <w:t>Benvegnu</w:t>
      </w:r>
      <w:proofErr w:type="spellEnd"/>
      <w:r>
        <w:rPr>
          <w:rStyle w:val="csl-right-inline"/>
          <w:rFonts w:ascii="Calibri" w:hAnsi="Calibri"/>
          <w:color w:val="000000"/>
          <w:sz w:val="22"/>
        </w:rPr>
        <w:t xml:space="preserve"> L,</w:t>
      </w:r>
      <w:r w:rsidRPr="00C37E03">
        <w:rPr>
          <w:rStyle w:val="csl-right-inline"/>
          <w:rFonts w:ascii="Calibri" w:hAnsi="Calibri"/>
          <w:color w:val="000000"/>
          <w:sz w:val="22"/>
        </w:rPr>
        <w:t xml:space="preserve"> et al. Transarterial chemoembolization in Child–Pugh class B patients with hepatocellular carcinoma: between the devil and the deep blue sea. </w:t>
      </w:r>
      <w:r w:rsidRPr="00C37E03">
        <w:rPr>
          <w:rStyle w:val="csl-right-inline"/>
          <w:rFonts w:ascii="Calibri" w:hAnsi="Calibri"/>
          <w:iCs/>
          <w:color w:val="000000"/>
          <w:sz w:val="22"/>
        </w:rPr>
        <w:t>Liver Int</w:t>
      </w:r>
      <w:r w:rsidRPr="00C37E03">
        <w:rPr>
          <w:rStyle w:val="csl-right-inline"/>
          <w:rFonts w:ascii="Calibri" w:hAnsi="Calibri"/>
          <w:color w:val="000000"/>
          <w:sz w:val="22"/>
        </w:rPr>
        <w:t xml:space="preserve">. 2010;30(6):923-924. </w:t>
      </w:r>
    </w:p>
    <w:p w:rsidR="00786F9B" w:rsidRPr="00C37E03" w:rsidRDefault="00786F9B" w:rsidP="00786F9B">
      <w:pPr>
        <w:spacing w:line="360" w:lineRule="auto"/>
        <w:rPr>
          <w:rFonts w:cstheme="minorHAnsi"/>
          <w:b/>
          <w:bCs/>
          <w:sz w:val="22"/>
          <w:szCs w:val="22"/>
          <w:u w:val="single"/>
        </w:rPr>
      </w:pPr>
      <w:r w:rsidRPr="00C37E03">
        <w:rPr>
          <w:rFonts w:ascii="Calibri" w:hAnsi="Calibri"/>
          <w:color w:val="000000"/>
          <w:sz w:val="22"/>
        </w:rPr>
        <w:br/>
      </w:r>
      <w:r w:rsidRPr="00C37E03">
        <w:rPr>
          <w:rStyle w:val="csl-left-margin"/>
          <w:rFonts w:ascii="Calibri" w:hAnsi="Calibri"/>
          <w:color w:val="000000"/>
          <w:sz w:val="22"/>
        </w:rPr>
        <w:t xml:space="preserve">57. </w:t>
      </w:r>
      <w:r w:rsidRPr="00C37E03">
        <w:rPr>
          <w:rStyle w:val="csl-right-inline"/>
          <w:rFonts w:ascii="Calibri" w:hAnsi="Calibri"/>
          <w:color w:val="000000"/>
          <w:sz w:val="22"/>
        </w:rPr>
        <w:t>Xu Y, Wang Y, Tan Y</w:t>
      </w:r>
      <w:r>
        <w:rPr>
          <w:rStyle w:val="csl-right-inline"/>
          <w:rFonts w:ascii="Calibri" w:hAnsi="Calibri"/>
          <w:color w:val="000000"/>
          <w:sz w:val="22"/>
        </w:rPr>
        <w:t>, Cheng X, Xu XZ</w:t>
      </w:r>
      <w:r w:rsidRPr="00C37E03">
        <w:rPr>
          <w:rStyle w:val="csl-right-inline"/>
          <w:rFonts w:ascii="Calibri" w:hAnsi="Calibri"/>
          <w:color w:val="000000"/>
          <w:sz w:val="22"/>
        </w:rPr>
        <w:t xml:space="preserve">. Prognostic value of </w:t>
      </w:r>
      <w:proofErr w:type="spellStart"/>
      <w:r w:rsidRPr="00C37E03">
        <w:rPr>
          <w:rStyle w:val="csl-right-inline"/>
          <w:rFonts w:ascii="Calibri" w:hAnsi="Calibri"/>
          <w:color w:val="000000"/>
          <w:sz w:val="22"/>
        </w:rPr>
        <w:t>pretreatment</w:t>
      </w:r>
      <w:proofErr w:type="spellEnd"/>
      <w:r w:rsidRPr="00C37E03">
        <w:rPr>
          <w:rStyle w:val="csl-right-inline"/>
          <w:rFonts w:ascii="Calibri" w:hAnsi="Calibri"/>
          <w:color w:val="000000"/>
          <w:sz w:val="22"/>
        </w:rPr>
        <w:t xml:space="preserve"> albumin to bilirubin ratio in patients with hepatocellular cancer. </w:t>
      </w:r>
      <w:r w:rsidRPr="00C37E03">
        <w:rPr>
          <w:rStyle w:val="csl-right-inline"/>
          <w:rFonts w:ascii="Calibri" w:hAnsi="Calibri"/>
          <w:iCs/>
          <w:color w:val="000000"/>
          <w:sz w:val="22"/>
        </w:rPr>
        <w:t>Medicine</w:t>
      </w:r>
      <w:r w:rsidRPr="00C37E03">
        <w:rPr>
          <w:rStyle w:val="csl-right-inline"/>
          <w:rFonts w:ascii="Calibri" w:hAnsi="Calibri"/>
          <w:color w:val="000000"/>
          <w:sz w:val="22"/>
        </w:rPr>
        <w:t xml:space="preserve">. 2019;98(2). </w:t>
      </w:r>
      <w:r w:rsidRPr="00C37E03">
        <w:rPr>
          <w:rFonts w:ascii="Calibri" w:hAnsi="Calibri"/>
          <w:color w:val="000000"/>
          <w:sz w:val="22"/>
        </w:rPr>
        <w:br/>
      </w:r>
      <w:r w:rsidRPr="00C37E03">
        <w:rPr>
          <w:rFonts w:ascii="Calibri" w:hAnsi="Calibri"/>
          <w:color w:val="000000"/>
          <w:sz w:val="22"/>
        </w:rPr>
        <w:lastRenderedPageBreak/>
        <w:br/>
      </w:r>
      <w:r w:rsidRPr="00C37E03">
        <w:rPr>
          <w:rStyle w:val="csl-left-margin"/>
          <w:rFonts w:ascii="Calibri" w:hAnsi="Calibri"/>
          <w:color w:val="000000"/>
          <w:sz w:val="22"/>
        </w:rPr>
        <w:t xml:space="preserve">58. </w:t>
      </w:r>
      <w:proofErr w:type="spellStart"/>
      <w:r w:rsidRPr="00C37E03">
        <w:rPr>
          <w:rStyle w:val="csl-right-inline"/>
          <w:rFonts w:ascii="Calibri" w:hAnsi="Calibri"/>
          <w:color w:val="000000"/>
          <w:sz w:val="22"/>
        </w:rPr>
        <w:t>Ho</w:t>
      </w:r>
      <w:proofErr w:type="spellEnd"/>
      <w:r w:rsidRPr="00C37E03">
        <w:rPr>
          <w:rStyle w:val="csl-right-inline"/>
          <w:rFonts w:ascii="Calibri" w:hAnsi="Calibri"/>
          <w:color w:val="000000"/>
          <w:sz w:val="22"/>
        </w:rPr>
        <w:t xml:space="preserve"> S, Liu, Hsu C, </w:t>
      </w:r>
      <w:r>
        <w:rPr>
          <w:rStyle w:val="csl-right-inline"/>
          <w:rFonts w:ascii="Calibri" w:hAnsi="Calibri"/>
          <w:color w:val="000000"/>
          <w:sz w:val="22"/>
        </w:rPr>
        <w:t xml:space="preserve">Hsia CY, Lee YH, Lee RC, </w:t>
      </w:r>
      <w:r w:rsidRPr="00C37E03">
        <w:rPr>
          <w:rStyle w:val="csl-right-inline"/>
          <w:rFonts w:ascii="Calibri" w:hAnsi="Calibri"/>
          <w:color w:val="000000"/>
          <w:sz w:val="22"/>
        </w:rPr>
        <w:t xml:space="preserve">et al. Prognostic role of </w:t>
      </w:r>
      <w:proofErr w:type="spellStart"/>
      <w:r w:rsidRPr="00C37E03">
        <w:rPr>
          <w:rStyle w:val="csl-right-inline"/>
          <w:rFonts w:ascii="Calibri" w:hAnsi="Calibri"/>
          <w:color w:val="000000"/>
          <w:sz w:val="22"/>
        </w:rPr>
        <w:t>noninvasive</w:t>
      </w:r>
      <w:proofErr w:type="spellEnd"/>
      <w:r w:rsidRPr="00C37E03">
        <w:rPr>
          <w:rStyle w:val="csl-right-inline"/>
          <w:rFonts w:ascii="Calibri" w:hAnsi="Calibri"/>
          <w:color w:val="000000"/>
          <w:sz w:val="22"/>
        </w:rPr>
        <w:t xml:space="preserve"> liver reserve markers in patients with hepatocellular carcinoma undergoing transarterial chemoembolization. </w:t>
      </w:r>
      <w:proofErr w:type="spellStart"/>
      <w:r w:rsidRPr="00C37E03">
        <w:rPr>
          <w:rStyle w:val="csl-right-inline"/>
          <w:rFonts w:ascii="Calibri" w:hAnsi="Calibri"/>
          <w:iCs/>
          <w:color w:val="000000"/>
          <w:sz w:val="22"/>
        </w:rPr>
        <w:t>Plos</w:t>
      </w:r>
      <w:proofErr w:type="spellEnd"/>
      <w:r w:rsidRPr="00C37E03">
        <w:rPr>
          <w:rStyle w:val="csl-right-inline"/>
          <w:rFonts w:ascii="Calibri" w:hAnsi="Calibri"/>
          <w:iCs/>
          <w:color w:val="000000"/>
          <w:sz w:val="22"/>
        </w:rPr>
        <w:t xml:space="preserve"> One</w:t>
      </w:r>
      <w:r w:rsidRPr="00C37E03">
        <w:rPr>
          <w:rStyle w:val="csl-right-inline"/>
          <w:rFonts w:ascii="Calibri" w:hAnsi="Calibri"/>
          <w:color w:val="000000"/>
          <w:sz w:val="22"/>
        </w:rPr>
        <w:t xml:space="preserve">. 2017;12(7). </w:t>
      </w:r>
      <w:r w:rsidRPr="00C37E03">
        <w:rPr>
          <w:rFonts w:ascii="Calibri" w:hAnsi="Calibri"/>
          <w:color w:val="000000"/>
          <w:sz w:val="22"/>
        </w:rPr>
        <w:br/>
      </w:r>
      <w:r w:rsidRPr="00C37E03">
        <w:rPr>
          <w:rFonts w:ascii="Calibri" w:hAnsi="Calibri"/>
          <w:color w:val="000000"/>
          <w:sz w:val="22"/>
        </w:rPr>
        <w:br/>
      </w:r>
      <w:r w:rsidRPr="00C37E03">
        <w:rPr>
          <w:rStyle w:val="csl-left-margin"/>
          <w:rFonts w:ascii="Calibri" w:hAnsi="Calibri"/>
          <w:color w:val="000000"/>
          <w:sz w:val="22"/>
        </w:rPr>
        <w:t xml:space="preserve">59. </w:t>
      </w:r>
      <w:proofErr w:type="spellStart"/>
      <w:r w:rsidRPr="00C37E03">
        <w:rPr>
          <w:rStyle w:val="csl-right-inline"/>
          <w:rFonts w:ascii="Calibri" w:hAnsi="Calibri"/>
          <w:color w:val="000000"/>
          <w:sz w:val="22"/>
        </w:rPr>
        <w:t>Cai</w:t>
      </w:r>
      <w:proofErr w:type="spellEnd"/>
      <w:r w:rsidRPr="00C37E03">
        <w:rPr>
          <w:rStyle w:val="csl-right-inline"/>
          <w:rFonts w:ascii="Calibri" w:hAnsi="Calibri"/>
          <w:color w:val="000000"/>
          <w:sz w:val="22"/>
        </w:rPr>
        <w:t xml:space="preserve"> X-R, Chen Z-H, Liu M-M,</w:t>
      </w:r>
      <w:r>
        <w:rPr>
          <w:rStyle w:val="csl-right-inline"/>
          <w:rFonts w:ascii="Calibri" w:hAnsi="Calibri"/>
          <w:color w:val="000000"/>
          <w:sz w:val="22"/>
        </w:rPr>
        <w:t xml:space="preserve"> Lin JX, Zhang XP,</w:t>
      </w:r>
      <w:r w:rsidRPr="00C37E03">
        <w:rPr>
          <w:rStyle w:val="csl-right-inline"/>
          <w:rFonts w:ascii="Calibri" w:hAnsi="Calibri"/>
          <w:color w:val="000000"/>
          <w:sz w:val="22"/>
        </w:rPr>
        <w:t xml:space="preserve"> et al. Modified CLIP score with the albumin-bilirubin grade retains prognostic value in HBV-related hepatocellular carcinoma patients treated with trans-catheter arterial chemoembolization therapy. </w:t>
      </w:r>
      <w:r w:rsidRPr="00C37E03">
        <w:rPr>
          <w:rStyle w:val="csl-right-inline"/>
          <w:rFonts w:ascii="Calibri" w:hAnsi="Calibri"/>
          <w:iCs/>
          <w:color w:val="000000"/>
          <w:sz w:val="22"/>
        </w:rPr>
        <w:t>J Cancer</w:t>
      </w:r>
      <w:r w:rsidRPr="00C37E03">
        <w:rPr>
          <w:rStyle w:val="csl-right-inline"/>
          <w:rFonts w:ascii="Calibri" w:hAnsi="Calibri"/>
          <w:color w:val="000000"/>
          <w:sz w:val="22"/>
        </w:rPr>
        <w:t xml:space="preserve">. 2018;9(13):2380-2388. </w:t>
      </w:r>
    </w:p>
    <w:p w:rsidR="00786F9B" w:rsidRPr="00C37E03"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Default="00786F9B" w:rsidP="00786F9B">
      <w:pPr>
        <w:spacing w:line="360" w:lineRule="auto"/>
      </w:pPr>
    </w:p>
    <w:p w:rsidR="00786F9B" w:rsidRPr="00292EB6" w:rsidRDefault="00786F9B" w:rsidP="00786F9B">
      <w:pPr>
        <w:spacing w:line="360" w:lineRule="auto"/>
        <w:jc w:val="both"/>
        <w:rPr>
          <w:rFonts w:cstheme="minorHAnsi"/>
          <w:b/>
          <w:bCs/>
          <w:sz w:val="22"/>
          <w:szCs w:val="22"/>
          <w:u w:val="single"/>
        </w:rPr>
      </w:pPr>
      <w:r>
        <w:rPr>
          <w:rFonts w:cstheme="minorHAnsi"/>
          <w:b/>
          <w:bCs/>
          <w:sz w:val="22"/>
          <w:szCs w:val="22"/>
          <w:u w:val="single"/>
        </w:rPr>
        <w:lastRenderedPageBreak/>
        <w:t>Legends for f</w:t>
      </w:r>
      <w:r w:rsidRPr="00292EB6">
        <w:rPr>
          <w:rFonts w:cstheme="minorHAnsi"/>
          <w:b/>
          <w:bCs/>
          <w:sz w:val="22"/>
          <w:szCs w:val="22"/>
          <w:u w:val="single"/>
        </w:rPr>
        <w:t xml:space="preserve">igures and </w:t>
      </w:r>
      <w:r>
        <w:rPr>
          <w:rFonts w:cstheme="minorHAnsi"/>
          <w:b/>
          <w:bCs/>
          <w:sz w:val="22"/>
          <w:szCs w:val="22"/>
          <w:u w:val="single"/>
        </w:rPr>
        <w:t>t</w:t>
      </w:r>
      <w:r w:rsidRPr="00292EB6">
        <w:rPr>
          <w:rFonts w:cstheme="minorHAnsi"/>
          <w:b/>
          <w:bCs/>
          <w:sz w:val="22"/>
          <w:szCs w:val="22"/>
          <w:u w:val="single"/>
        </w:rPr>
        <w:t>ables</w:t>
      </w:r>
    </w:p>
    <w:p w:rsidR="00786F9B" w:rsidRDefault="00786F9B" w:rsidP="00786F9B">
      <w:pPr>
        <w:spacing w:line="360" w:lineRule="auto"/>
        <w:rPr>
          <w:rFonts w:cstheme="minorHAnsi"/>
          <w:b/>
          <w:bCs/>
          <w:sz w:val="22"/>
          <w:szCs w:val="22"/>
        </w:rPr>
      </w:pPr>
    </w:p>
    <w:p w:rsidR="00786F9B" w:rsidRPr="00F153C3" w:rsidRDefault="00786F9B" w:rsidP="00786F9B">
      <w:pPr>
        <w:spacing w:line="360" w:lineRule="auto"/>
        <w:rPr>
          <w:rFonts w:cstheme="minorHAnsi"/>
          <w:sz w:val="22"/>
          <w:szCs w:val="22"/>
        </w:rPr>
      </w:pPr>
      <w:r w:rsidRPr="00646133">
        <w:rPr>
          <w:rFonts w:cstheme="minorHAnsi"/>
          <w:b/>
          <w:bCs/>
          <w:sz w:val="22"/>
          <w:szCs w:val="22"/>
        </w:rPr>
        <w:t>Table 1</w:t>
      </w:r>
      <w:r w:rsidRPr="00F153C3">
        <w:rPr>
          <w:rFonts w:cstheme="minorHAnsi"/>
          <w:sz w:val="22"/>
          <w:szCs w:val="22"/>
        </w:rPr>
        <w:t xml:space="preserve"> – Cohort Characteristics, Multicentre studies</w:t>
      </w:r>
      <w:sdt>
        <w:sdtPr>
          <w:rPr>
            <w:rFonts w:cstheme="minorHAnsi"/>
            <w:sz w:val="22"/>
            <w:szCs w:val="22"/>
          </w:rPr>
          <w:tag w:val="citation"/>
          <w:id w:val="-403754714"/>
          <w:placeholder>
            <w:docPart w:val="70A5362A14185D40B5D888F2E08225DA"/>
          </w:placeholder>
        </w:sdtPr>
        <w:sdtEndPr/>
        <w:sdtContent>
          <w:r>
            <w:rPr>
              <w:vertAlign w:val="superscript"/>
            </w:rPr>
            <w:t>28,34</w:t>
          </w:r>
        </w:sdtContent>
      </w:sdt>
    </w:p>
    <w:p w:rsidR="00786F9B" w:rsidRDefault="00786F9B" w:rsidP="00786F9B">
      <w:pPr>
        <w:spacing w:line="360" w:lineRule="auto"/>
        <w:rPr>
          <w:rFonts w:asciiTheme="minorHAnsi" w:hAnsiTheme="minorHAnsi" w:cstheme="minorHAnsi"/>
          <w:sz w:val="18"/>
          <w:szCs w:val="18"/>
        </w:rPr>
      </w:pPr>
      <w:r>
        <w:rPr>
          <w:rFonts w:asciiTheme="minorHAnsi" w:hAnsiTheme="minorHAnsi" w:cstheme="minorHAnsi"/>
          <w:sz w:val="18"/>
          <w:szCs w:val="18"/>
        </w:rPr>
        <w:t xml:space="preserve">Footnotes: </w:t>
      </w:r>
    </w:p>
    <w:p w:rsidR="00786F9B" w:rsidRDefault="00786F9B" w:rsidP="00786F9B">
      <w:pPr>
        <w:spacing w:line="360" w:lineRule="auto"/>
        <w:rPr>
          <w:rFonts w:asciiTheme="minorHAnsi" w:hAnsiTheme="minorHAnsi" w:cstheme="minorHAnsi"/>
          <w:sz w:val="18"/>
          <w:szCs w:val="18"/>
        </w:rPr>
      </w:pPr>
      <w:r>
        <w:rPr>
          <w:rFonts w:asciiTheme="minorHAnsi" w:hAnsiTheme="minorHAnsi" w:cstheme="minorHAnsi"/>
          <w:sz w:val="18"/>
          <w:szCs w:val="18"/>
        </w:rPr>
        <w:t xml:space="preserve">Abbreviations – N/A (Not available), HCV – hepatitis C virus, HBV – Hepatitis B virus, ETOH – ethanol, AFP – Alfa </w:t>
      </w:r>
      <w:proofErr w:type="spellStart"/>
      <w:r>
        <w:rPr>
          <w:rFonts w:asciiTheme="minorHAnsi" w:hAnsiTheme="minorHAnsi" w:cstheme="minorHAnsi"/>
          <w:sz w:val="18"/>
          <w:szCs w:val="18"/>
        </w:rPr>
        <w:t>feto</w:t>
      </w:r>
      <w:proofErr w:type="spellEnd"/>
      <w:r>
        <w:rPr>
          <w:rFonts w:asciiTheme="minorHAnsi" w:hAnsiTheme="minorHAnsi" w:cstheme="minorHAnsi"/>
          <w:sz w:val="18"/>
          <w:szCs w:val="18"/>
        </w:rPr>
        <w:t xml:space="preserve"> protein, MVI – Macrovascular invasion, IQR – interquartile range.</w:t>
      </w:r>
    </w:p>
    <w:p w:rsidR="00786F9B" w:rsidRPr="0059492C" w:rsidRDefault="00786F9B" w:rsidP="00786F9B">
      <w:pPr>
        <w:spacing w:line="360" w:lineRule="auto"/>
        <w:rPr>
          <w:rFonts w:asciiTheme="minorHAnsi" w:hAnsiTheme="minorHAnsi" w:cstheme="minorHAnsi"/>
          <w:sz w:val="18"/>
          <w:szCs w:val="18"/>
        </w:rPr>
      </w:pPr>
      <w:r w:rsidRPr="0059492C">
        <w:rPr>
          <w:rFonts w:asciiTheme="minorHAnsi" w:hAnsiTheme="minorHAnsi" w:cstheme="minorHAnsi"/>
          <w:sz w:val="18"/>
          <w:szCs w:val="18"/>
        </w:rPr>
        <w:t>*Includes patient cohorts from Japan and South Korea.</w:t>
      </w:r>
    </w:p>
    <w:p w:rsidR="00786F9B" w:rsidRPr="00F153C3" w:rsidRDefault="00786F9B" w:rsidP="00786F9B">
      <w:pPr>
        <w:spacing w:line="360" w:lineRule="auto"/>
        <w:rPr>
          <w:rFonts w:cstheme="minorHAnsi"/>
          <w:sz w:val="22"/>
          <w:szCs w:val="22"/>
        </w:rPr>
      </w:pPr>
    </w:p>
    <w:p w:rsidR="00786F9B" w:rsidRPr="00F153C3" w:rsidRDefault="00786F9B" w:rsidP="00786F9B">
      <w:pPr>
        <w:spacing w:line="360" w:lineRule="auto"/>
        <w:rPr>
          <w:rFonts w:cstheme="minorHAnsi"/>
          <w:sz w:val="22"/>
          <w:szCs w:val="22"/>
        </w:rPr>
      </w:pPr>
      <w:r w:rsidRPr="00646133">
        <w:rPr>
          <w:rFonts w:cstheme="minorHAnsi"/>
          <w:b/>
          <w:bCs/>
          <w:sz w:val="22"/>
          <w:szCs w:val="22"/>
        </w:rPr>
        <w:t>Table 2</w:t>
      </w:r>
      <w:r w:rsidRPr="00F153C3">
        <w:rPr>
          <w:rFonts w:cstheme="minorHAnsi"/>
          <w:sz w:val="22"/>
          <w:szCs w:val="22"/>
        </w:rPr>
        <w:t xml:space="preserve"> – Cohort Characteristics – Single Centre studies</w:t>
      </w:r>
      <w:r>
        <w:rPr>
          <w:rFonts w:cstheme="minorHAnsi"/>
          <w:sz w:val="22"/>
          <w:szCs w:val="22"/>
        </w:rPr>
        <w:t xml:space="preserve"> </w:t>
      </w:r>
      <w:sdt>
        <w:sdtPr>
          <w:rPr>
            <w:rFonts w:ascii="Calibri" w:hAnsi="Calibri" w:cstheme="minorHAnsi"/>
            <w:color w:val="000000"/>
            <w:sz w:val="22"/>
            <w:szCs w:val="22"/>
          </w:rPr>
          <w:tag w:val="citation"/>
          <w:id w:val="-1584990272"/>
          <w:placeholder>
            <w:docPart w:val="70A5362A14185D40B5D888F2E08225DA"/>
          </w:placeholder>
        </w:sdtPr>
        <w:sdtEndPr/>
        <w:sdtContent>
          <w:r w:rsidRPr="00A718BE">
            <w:rPr>
              <w:rFonts w:ascii="Calibri" w:hAnsi="Calibri"/>
              <w:color w:val="000000"/>
              <w:sz w:val="22"/>
              <w:vertAlign w:val="superscript"/>
            </w:rPr>
            <w:t>35–4</w:t>
          </w:r>
          <w:r>
            <w:rPr>
              <w:rFonts w:ascii="Calibri" w:hAnsi="Calibri"/>
              <w:color w:val="000000"/>
              <w:sz w:val="22"/>
              <w:vertAlign w:val="superscript"/>
            </w:rPr>
            <w:t>0</w:t>
          </w:r>
        </w:sdtContent>
      </w:sdt>
    </w:p>
    <w:p w:rsidR="00786F9B" w:rsidRDefault="00786F9B" w:rsidP="00786F9B">
      <w:pPr>
        <w:spacing w:line="360" w:lineRule="auto"/>
        <w:rPr>
          <w:rFonts w:asciiTheme="minorHAnsi" w:hAnsiTheme="minorHAnsi" w:cstheme="minorHAnsi"/>
          <w:sz w:val="18"/>
          <w:szCs w:val="18"/>
        </w:rPr>
      </w:pPr>
      <w:r>
        <w:rPr>
          <w:rFonts w:asciiTheme="minorHAnsi" w:hAnsiTheme="minorHAnsi" w:cstheme="minorHAnsi"/>
          <w:sz w:val="18"/>
          <w:szCs w:val="18"/>
        </w:rPr>
        <w:t xml:space="preserve">Footnotes: </w:t>
      </w:r>
    </w:p>
    <w:p w:rsidR="00786F9B" w:rsidRDefault="00786F9B" w:rsidP="00786F9B">
      <w:pPr>
        <w:spacing w:line="360" w:lineRule="auto"/>
        <w:rPr>
          <w:rFonts w:asciiTheme="minorHAnsi" w:hAnsiTheme="minorHAnsi" w:cstheme="minorHAnsi"/>
          <w:sz w:val="18"/>
          <w:szCs w:val="18"/>
        </w:rPr>
      </w:pPr>
      <w:r>
        <w:rPr>
          <w:rFonts w:asciiTheme="minorHAnsi" w:hAnsiTheme="minorHAnsi" w:cstheme="minorHAnsi"/>
          <w:sz w:val="18"/>
          <w:szCs w:val="18"/>
        </w:rPr>
        <w:t xml:space="preserve">Abbreviations – N/A (Not available), HCV – hepatitis C virus, HBV – Hepatitis B virus, ETOH – ethanol, AFP – Alfa </w:t>
      </w:r>
      <w:proofErr w:type="spellStart"/>
      <w:r>
        <w:rPr>
          <w:rFonts w:asciiTheme="minorHAnsi" w:hAnsiTheme="minorHAnsi" w:cstheme="minorHAnsi"/>
          <w:sz w:val="18"/>
          <w:szCs w:val="18"/>
        </w:rPr>
        <w:t>feto</w:t>
      </w:r>
      <w:proofErr w:type="spellEnd"/>
      <w:r>
        <w:rPr>
          <w:rFonts w:asciiTheme="minorHAnsi" w:hAnsiTheme="minorHAnsi" w:cstheme="minorHAnsi"/>
          <w:sz w:val="18"/>
          <w:szCs w:val="18"/>
        </w:rPr>
        <w:t xml:space="preserve"> protein, MVI – Macrovascular invasion, IQR – interquartile range.</w:t>
      </w:r>
    </w:p>
    <w:p w:rsidR="00786F9B" w:rsidRPr="00DC2757" w:rsidRDefault="00786F9B" w:rsidP="00786F9B">
      <w:pPr>
        <w:spacing w:line="360" w:lineRule="auto"/>
        <w:rPr>
          <w:rFonts w:cstheme="minorHAnsi"/>
          <w:sz w:val="18"/>
          <w:szCs w:val="18"/>
        </w:rPr>
      </w:pPr>
      <w:r w:rsidRPr="00DC2757">
        <w:rPr>
          <w:rFonts w:cstheme="minorHAnsi"/>
          <w:sz w:val="18"/>
          <w:szCs w:val="18"/>
        </w:rPr>
        <w:t>*Aetiology of liver disease</w:t>
      </w:r>
      <w:r>
        <w:rPr>
          <w:rFonts w:cstheme="minorHAnsi"/>
          <w:sz w:val="18"/>
          <w:szCs w:val="18"/>
        </w:rPr>
        <w:t xml:space="preserve"> were grouped in original data as</w:t>
      </w:r>
      <w:r w:rsidRPr="00DC2757">
        <w:rPr>
          <w:rFonts w:cstheme="minorHAnsi"/>
          <w:sz w:val="18"/>
          <w:szCs w:val="18"/>
        </w:rPr>
        <w:t xml:space="preserve">, </w:t>
      </w:r>
      <w:r>
        <w:rPr>
          <w:rFonts w:cstheme="minorHAnsi"/>
          <w:sz w:val="18"/>
          <w:szCs w:val="18"/>
        </w:rPr>
        <w:t>v</w:t>
      </w:r>
      <w:r w:rsidRPr="00DC2757">
        <w:rPr>
          <w:rFonts w:cstheme="minorHAnsi"/>
          <w:sz w:val="18"/>
          <w:szCs w:val="18"/>
        </w:rPr>
        <w:t xml:space="preserve">iral hepatitis / ETOH / or both (n=20 (41%)), NAFLD / other (n=17 (35%)), </w:t>
      </w:r>
      <w:r>
        <w:rPr>
          <w:rFonts w:cstheme="minorHAnsi"/>
          <w:sz w:val="18"/>
          <w:szCs w:val="18"/>
        </w:rPr>
        <w:t xml:space="preserve">and </w:t>
      </w:r>
      <w:r w:rsidRPr="00DC2757">
        <w:rPr>
          <w:rFonts w:cstheme="minorHAnsi"/>
          <w:sz w:val="18"/>
          <w:szCs w:val="18"/>
        </w:rPr>
        <w:t>cryptogenic (n=12 (24%)</w:t>
      </w:r>
      <w:r>
        <w:rPr>
          <w:rFonts w:cstheme="minorHAnsi"/>
          <w:sz w:val="18"/>
          <w:szCs w:val="18"/>
        </w:rPr>
        <w:t>)</w:t>
      </w:r>
      <w:r w:rsidRPr="00DC2757">
        <w:rPr>
          <w:rFonts w:cstheme="minorHAnsi"/>
          <w:sz w:val="18"/>
          <w:szCs w:val="18"/>
        </w:rPr>
        <w:t>.</w:t>
      </w:r>
    </w:p>
    <w:p w:rsidR="00786F9B" w:rsidRDefault="00786F9B" w:rsidP="00786F9B">
      <w:pPr>
        <w:spacing w:line="360" w:lineRule="auto"/>
        <w:rPr>
          <w:rFonts w:cstheme="minorHAnsi"/>
          <w:b/>
          <w:bCs/>
          <w:sz w:val="22"/>
          <w:szCs w:val="22"/>
        </w:rPr>
      </w:pPr>
    </w:p>
    <w:p w:rsidR="00786F9B" w:rsidRDefault="00786F9B" w:rsidP="00786F9B">
      <w:pPr>
        <w:spacing w:line="360" w:lineRule="auto"/>
        <w:rPr>
          <w:rFonts w:cstheme="minorHAnsi"/>
          <w:sz w:val="22"/>
          <w:szCs w:val="22"/>
        </w:rPr>
      </w:pPr>
      <w:r>
        <w:rPr>
          <w:rFonts w:cstheme="minorHAnsi"/>
          <w:b/>
          <w:bCs/>
          <w:sz w:val="22"/>
          <w:szCs w:val="22"/>
        </w:rPr>
        <w:t>T</w:t>
      </w:r>
      <w:r w:rsidRPr="00F153C3">
        <w:rPr>
          <w:rFonts w:cstheme="minorHAnsi"/>
          <w:b/>
          <w:bCs/>
          <w:sz w:val="22"/>
          <w:szCs w:val="22"/>
        </w:rPr>
        <w:t xml:space="preserve">able 3. </w:t>
      </w:r>
      <w:r w:rsidRPr="00F153C3">
        <w:rPr>
          <w:rFonts w:cstheme="minorHAnsi"/>
          <w:sz w:val="22"/>
          <w:szCs w:val="22"/>
        </w:rPr>
        <w:t>Demographic</w:t>
      </w:r>
      <w:r>
        <w:rPr>
          <w:rFonts w:cstheme="minorHAnsi"/>
          <w:sz w:val="22"/>
          <w:szCs w:val="22"/>
        </w:rPr>
        <w:t xml:space="preserve"> and baseline tumour parameters</w:t>
      </w:r>
      <w:r w:rsidRPr="00F153C3">
        <w:rPr>
          <w:rFonts w:cstheme="minorHAnsi"/>
          <w:sz w:val="22"/>
          <w:szCs w:val="22"/>
        </w:rPr>
        <w:t xml:space="preserve"> stratified by ALBI grade</w:t>
      </w:r>
      <w:sdt>
        <w:sdtPr>
          <w:rPr>
            <w:rFonts w:ascii="Calibri" w:hAnsi="Calibri" w:cstheme="minorHAnsi"/>
            <w:color w:val="000000"/>
            <w:sz w:val="22"/>
            <w:szCs w:val="22"/>
          </w:rPr>
          <w:tag w:val="citation"/>
          <w:id w:val="1041789629"/>
          <w:placeholder>
            <w:docPart w:val="70A5362A14185D40B5D888F2E08225DA"/>
          </w:placeholder>
        </w:sdtPr>
        <w:sdtEndPr/>
        <w:sdtContent>
          <w:r w:rsidRPr="00A718BE">
            <w:rPr>
              <w:rFonts w:ascii="Calibri" w:hAnsi="Calibri"/>
              <w:color w:val="000000"/>
              <w:sz w:val="22"/>
              <w:vertAlign w:val="superscript"/>
            </w:rPr>
            <w:t>28,34,38</w:t>
          </w:r>
        </w:sdtContent>
      </w:sdt>
    </w:p>
    <w:p w:rsidR="00786F9B" w:rsidRDefault="00786F9B" w:rsidP="00786F9B">
      <w:pPr>
        <w:spacing w:line="360" w:lineRule="auto"/>
        <w:rPr>
          <w:rFonts w:asciiTheme="minorHAnsi" w:hAnsiTheme="minorHAnsi" w:cstheme="minorHAnsi"/>
          <w:sz w:val="18"/>
          <w:szCs w:val="18"/>
        </w:rPr>
      </w:pPr>
      <w:r>
        <w:rPr>
          <w:rFonts w:asciiTheme="minorHAnsi" w:hAnsiTheme="minorHAnsi" w:cstheme="minorHAnsi"/>
          <w:sz w:val="18"/>
          <w:szCs w:val="18"/>
        </w:rPr>
        <w:t xml:space="preserve">Footnotes: </w:t>
      </w:r>
    </w:p>
    <w:p w:rsidR="00786F9B" w:rsidRDefault="00786F9B" w:rsidP="00786F9B">
      <w:pPr>
        <w:spacing w:line="360" w:lineRule="auto"/>
        <w:rPr>
          <w:rFonts w:asciiTheme="minorHAnsi" w:hAnsiTheme="minorHAnsi" w:cstheme="minorHAnsi"/>
          <w:sz w:val="18"/>
          <w:szCs w:val="18"/>
        </w:rPr>
      </w:pPr>
      <w:r>
        <w:rPr>
          <w:rFonts w:asciiTheme="minorHAnsi" w:hAnsiTheme="minorHAnsi" w:cstheme="minorHAnsi"/>
          <w:sz w:val="18"/>
          <w:szCs w:val="18"/>
        </w:rPr>
        <w:t xml:space="preserve">Abbreviations – OS – overall survival, N/A (Not available), HCV – hepatitis C virus, HBV – Hepatitis B virus, ETOH – ethanol, AFP – Alpha </w:t>
      </w:r>
      <w:proofErr w:type="spellStart"/>
      <w:r>
        <w:rPr>
          <w:rFonts w:asciiTheme="minorHAnsi" w:hAnsiTheme="minorHAnsi" w:cstheme="minorHAnsi"/>
          <w:sz w:val="18"/>
          <w:szCs w:val="18"/>
        </w:rPr>
        <w:t>feto</w:t>
      </w:r>
      <w:proofErr w:type="spellEnd"/>
      <w:r>
        <w:rPr>
          <w:rFonts w:asciiTheme="minorHAnsi" w:hAnsiTheme="minorHAnsi" w:cstheme="minorHAnsi"/>
          <w:sz w:val="18"/>
          <w:szCs w:val="18"/>
        </w:rPr>
        <w:t xml:space="preserve"> protein, MVI – Macrovascular invasion, SD – standard deviation, IQR – interquartile range.</w:t>
      </w:r>
    </w:p>
    <w:p w:rsidR="00786F9B" w:rsidRDefault="00786F9B" w:rsidP="00786F9B">
      <w:pPr>
        <w:spacing w:line="360" w:lineRule="auto"/>
        <w:rPr>
          <w:rFonts w:cstheme="minorHAnsi"/>
          <w:sz w:val="22"/>
          <w:szCs w:val="22"/>
        </w:rPr>
      </w:pPr>
    </w:p>
    <w:p w:rsidR="00786F9B" w:rsidRDefault="00786F9B" w:rsidP="00786F9B">
      <w:pPr>
        <w:tabs>
          <w:tab w:val="left" w:pos="426"/>
        </w:tabs>
        <w:spacing w:line="360" w:lineRule="auto"/>
        <w:rPr>
          <w:rFonts w:cstheme="minorHAnsi"/>
          <w:sz w:val="22"/>
          <w:szCs w:val="22"/>
        </w:rPr>
      </w:pPr>
      <w:r>
        <w:rPr>
          <w:rFonts w:cstheme="minorHAnsi"/>
          <w:b/>
          <w:bCs/>
          <w:sz w:val="22"/>
          <w:szCs w:val="22"/>
        </w:rPr>
        <w:t xml:space="preserve">Fig. 1. </w:t>
      </w:r>
      <w:r w:rsidRPr="00726197">
        <w:rPr>
          <w:rFonts w:cstheme="minorHAnsi"/>
          <w:sz w:val="22"/>
          <w:szCs w:val="22"/>
        </w:rPr>
        <w:t>Study selection flowchart</w:t>
      </w:r>
      <w:r>
        <w:rPr>
          <w:rFonts w:cstheme="minorHAnsi"/>
          <w:sz w:val="22"/>
          <w:szCs w:val="22"/>
        </w:rPr>
        <w:t>.</w:t>
      </w:r>
    </w:p>
    <w:p w:rsidR="00786F9B" w:rsidRDefault="00786F9B" w:rsidP="00786F9B">
      <w:pPr>
        <w:tabs>
          <w:tab w:val="left" w:pos="426"/>
        </w:tabs>
        <w:spacing w:line="360" w:lineRule="auto"/>
        <w:rPr>
          <w:rFonts w:cstheme="minorHAnsi"/>
          <w:b/>
          <w:bCs/>
          <w:sz w:val="22"/>
          <w:szCs w:val="22"/>
        </w:rPr>
      </w:pPr>
    </w:p>
    <w:p w:rsidR="00786F9B" w:rsidRDefault="00786F9B" w:rsidP="00786F9B">
      <w:pPr>
        <w:spacing w:line="360" w:lineRule="auto"/>
        <w:rPr>
          <w:rFonts w:cstheme="minorHAnsi"/>
          <w:sz w:val="22"/>
          <w:szCs w:val="22"/>
        </w:rPr>
      </w:pPr>
      <w:r>
        <w:rPr>
          <w:rFonts w:cstheme="minorHAnsi"/>
          <w:b/>
          <w:bCs/>
          <w:sz w:val="22"/>
          <w:szCs w:val="22"/>
        </w:rPr>
        <w:t xml:space="preserve">Fig. 2. </w:t>
      </w:r>
      <w:r w:rsidRPr="008007A6">
        <w:rPr>
          <w:rFonts w:cstheme="minorHAnsi"/>
          <w:sz w:val="22"/>
          <w:szCs w:val="22"/>
        </w:rPr>
        <w:t>Forest plots evaluating effect of ALBI grade 1 (A), grade 2 (B) and grade 3 (C) on overall survival.</w:t>
      </w:r>
    </w:p>
    <w:p w:rsidR="00786F9B" w:rsidRDefault="00786F9B" w:rsidP="00786F9B">
      <w:pPr>
        <w:spacing w:line="360" w:lineRule="auto"/>
        <w:rPr>
          <w:rFonts w:cstheme="minorHAnsi"/>
          <w:b/>
          <w:bCs/>
          <w:sz w:val="22"/>
          <w:szCs w:val="22"/>
        </w:rPr>
      </w:pPr>
    </w:p>
    <w:p w:rsidR="00786F9B" w:rsidRDefault="00786F9B" w:rsidP="00786F9B">
      <w:pPr>
        <w:spacing w:line="360" w:lineRule="auto"/>
        <w:rPr>
          <w:rFonts w:cstheme="minorHAnsi"/>
          <w:b/>
          <w:bCs/>
          <w:sz w:val="22"/>
          <w:szCs w:val="22"/>
        </w:rPr>
      </w:pPr>
      <w:r>
        <w:rPr>
          <w:rFonts w:cstheme="minorHAnsi"/>
          <w:b/>
          <w:bCs/>
          <w:sz w:val="22"/>
          <w:szCs w:val="22"/>
        </w:rPr>
        <w:t xml:space="preserve">Fig. 3. </w:t>
      </w:r>
      <w:r>
        <w:rPr>
          <w:rFonts w:cstheme="minorHAnsi"/>
          <w:sz w:val="22"/>
          <w:szCs w:val="22"/>
        </w:rPr>
        <w:t>ALBI grade 1,2, and 3 association with overall survival in the study cohort.</w:t>
      </w:r>
    </w:p>
    <w:p w:rsidR="00786F9B" w:rsidRDefault="00786F9B" w:rsidP="00786F9B">
      <w:pPr>
        <w:spacing w:line="360" w:lineRule="auto"/>
        <w:rPr>
          <w:rFonts w:cstheme="minorHAnsi"/>
          <w:b/>
          <w:bCs/>
          <w:sz w:val="22"/>
          <w:szCs w:val="22"/>
        </w:rPr>
      </w:pPr>
    </w:p>
    <w:p w:rsidR="00786F9B" w:rsidRDefault="00786F9B" w:rsidP="00786F9B">
      <w:pPr>
        <w:spacing w:line="360" w:lineRule="auto"/>
        <w:rPr>
          <w:rFonts w:cstheme="minorHAnsi"/>
          <w:b/>
          <w:bCs/>
          <w:sz w:val="22"/>
          <w:szCs w:val="22"/>
        </w:rPr>
      </w:pPr>
    </w:p>
    <w:p w:rsidR="00786F9B" w:rsidRDefault="00786F9B" w:rsidP="00786F9B">
      <w:pPr>
        <w:spacing w:line="360" w:lineRule="auto"/>
      </w:pPr>
    </w:p>
    <w:p w:rsidR="00FB437B" w:rsidRDefault="00FB437B"/>
    <w:sectPr w:rsidR="00FB437B" w:rsidSect="00EC4EBB">
      <w:pgSz w:w="11901" w:h="16817"/>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MT">
    <w:altName w:val="Arial"/>
    <w:panose1 w:val="00000000000000000000"/>
    <w:charset w:val="00"/>
    <w:family w:val="roman"/>
    <w:notTrueType/>
    <w:pitch w:val="default"/>
  </w:font>
  <w:font w:name="micro">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3A6"/>
    <w:multiLevelType w:val="hybridMultilevel"/>
    <w:tmpl w:val="CB74DFDE"/>
    <w:lvl w:ilvl="0" w:tplc="23DE8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84402"/>
    <w:multiLevelType w:val="hybridMultilevel"/>
    <w:tmpl w:val="A51CB4BE"/>
    <w:lvl w:ilvl="0" w:tplc="3FF88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80562"/>
    <w:multiLevelType w:val="hybridMultilevel"/>
    <w:tmpl w:val="A51CB4BE"/>
    <w:lvl w:ilvl="0" w:tplc="3FF88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97C1D"/>
    <w:multiLevelType w:val="hybridMultilevel"/>
    <w:tmpl w:val="41D612D8"/>
    <w:lvl w:ilvl="0" w:tplc="FB0240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00812"/>
    <w:multiLevelType w:val="hybridMultilevel"/>
    <w:tmpl w:val="77E880CE"/>
    <w:lvl w:ilvl="0" w:tplc="EFAC38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07B5A"/>
    <w:multiLevelType w:val="multilevel"/>
    <w:tmpl w:val="19AC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80CD4"/>
    <w:multiLevelType w:val="hybridMultilevel"/>
    <w:tmpl w:val="4BF44924"/>
    <w:lvl w:ilvl="0" w:tplc="7C762F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13314"/>
    <w:multiLevelType w:val="multilevel"/>
    <w:tmpl w:val="8FBA63FC"/>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FD4390"/>
    <w:multiLevelType w:val="hybridMultilevel"/>
    <w:tmpl w:val="8C76FEA2"/>
    <w:lvl w:ilvl="0" w:tplc="1FB6F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8"/>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9B"/>
    <w:rsid w:val="00036C88"/>
    <w:rsid w:val="00071646"/>
    <w:rsid w:val="000771B9"/>
    <w:rsid w:val="00137D38"/>
    <w:rsid w:val="00187AE0"/>
    <w:rsid w:val="001D10BC"/>
    <w:rsid w:val="001E7CCD"/>
    <w:rsid w:val="001F2F55"/>
    <w:rsid w:val="001F7B18"/>
    <w:rsid w:val="00251213"/>
    <w:rsid w:val="00270777"/>
    <w:rsid w:val="00283208"/>
    <w:rsid w:val="00284B8D"/>
    <w:rsid w:val="002C4CAE"/>
    <w:rsid w:val="002D3048"/>
    <w:rsid w:val="0036748F"/>
    <w:rsid w:val="003C1CFB"/>
    <w:rsid w:val="003D3E5F"/>
    <w:rsid w:val="00481D72"/>
    <w:rsid w:val="00486E7B"/>
    <w:rsid w:val="004A3F80"/>
    <w:rsid w:val="004B1358"/>
    <w:rsid w:val="004D3E42"/>
    <w:rsid w:val="00506A90"/>
    <w:rsid w:val="00507251"/>
    <w:rsid w:val="005514B9"/>
    <w:rsid w:val="0059168D"/>
    <w:rsid w:val="005A1A5A"/>
    <w:rsid w:val="00615C6D"/>
    <w:rsid w:val="006216AD"/>
    <w:rsid w:val="00647F27"/>
    <w:rsid w:val="006B052E"/>
    <w:rsid w:val="006E3A9F"/>
    <w:rsid w:val="00727B49"/>
    <w:rsid w:val="007740C8"/>
    <w:rsid w:val="00786F9B"/>
    <w:rsid w:val="007A40F5"/>
    <w:rsid w:val="007A723F"/>
    <w:rsid w:val="007D4560"/>
    <w:rsid w:val="007E2ED8"/>
    <w:rsid w:val="00842399"/>
    <w:rsid w:val="008640CF"/>
    <w:rsid w:val="00905FED"/>
    <w:rsid w:val="0095236C"/>
    <w:rsid w:val="009729B4"/>
    <w:rsid w:val="009A0FDB"/>
    <w:rsid w:val="00A10F48"/>
    <w:rsid w:val="00A24B8D"/>
    <w:rsid w:val="00A55CE3"/>
    <w:rsid w:val="00AC2D21"/>
    <w:rsid w:val="00AE4C01"/>
    <w:rsid w:val="00B7740D"/>
    <w:rsid w:val="00BA2296"/>
    <w:rsid w:val="00C04BFB"/>
    <w:rsid w:val="00C06416"/>
    <w:rsid w:val="00C437D0"/>
    <w:rsid w:val="00C53B2E"/>
    <w:rsid w:val="00C55074"/>
    <w:rsid w:val="00C7495E"/>
    <w:rsid w:val="00C74B90"/>
    <w:rsid w:val="00CC4B25"/>
    <w:rsid w:val="00D13A2B"/>
    <w:rsid w:val="00D93153"/>
    <w:rsid w:val="00DB668F"/>
    <w:rsid w:val="00DF76E2"/>
    <w:rsid w:val="00E16989"/>
    <w:rsid w:val="00E2478B"/>
    <w:rsid w:val="00E33371"/>
    <w:rsid w:val="00EE6E8D"/>
    <w:rsid w:val="00F020D6"/>
    <w:rsid w:val="00F1525E"/>
    <w:rsid w:val="00F173B5"/>
    <w:rsid w:val="00F42AD5"/>
    <w:rsid w:val="00F934DE"/>
    <w:rsid w:val="00FB437B"/>
    <w:rsid w:val="00FC6005"/>
    <w:rsid w:val="00FF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E304709-08DD-5B44-BCFF-33B9FC44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9B"/>
    <w:rPr>
      <w:rFonts w:ascii="Times New Roman" w:eastAsia="Times New Roman" w:hAnsi="Times New Roman" w:cs="Times New Roman"/>
      <w:lang w:val="en-AU"/>
    </w:rPr>
  </w:style>
  <w:style w:type="paragraph" w:styleId="Heading2">
    <w:name w:val="heading 2"/>
    <w:basedOn w:val="Normal"/>
    <w:next w:val="Normal"/>
    <w:link w:val="Heading2Char"/>
    <w:uiPriority w:val="9"/>
    <w:semiHidden/>
    <w:unhideWhenUsed/>
    <w:qFormat/>
    <w:rsid w:val="00786F9B"/>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4">
    <w:name w:val="heading 4"/>
    <w:basedOn w:val="Normal"/>
    <w:link w:val="Heading4Char"/>
    <w:uiPriority w:val="9"/>
    <w:qFormat/>
    <w:rsid w:val="00786F9B"/>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6F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86F9B"/>
    <w:rPr>
      <w:rFonts w:ascii="Times New Roman" w:eastAsia="Times New Roman" w:hAnsi="Times New Roman" w:cs="Times New Roman"/>
      <w:b/>
      <w:bCs/>
      <w:lang w:val="en-AU" w:eastAsia="en-GB"/>
    </w:rPr>
  </w:style>
  <w:style w:type="paragraph" w:customStyle="1" w:styleId="p">
    <w:name w:val="p"/>
    <w:basedOn w:val="Normal"/>
    <w:rsid w:val="00786F9B"/>
    <w:pPr>
      <w:spacing w:before="100" w:beforeAutospacing="1" w:after="100" w:afterAutospacing="1"/>
    </w:pPr>
  </w:style>
  <w:style w:type="character" w:styleId="Emphasis">
    <w:name w:val="Emphasis"/>
    <w:basedOn w:val="DefaultParagraphFont"/>
    <w:uiPriority w:val="20"/>
    <w:qFormat/>
    <w:rsid w:val="00786F9B"/>
    <w:rPr>
      <w:i/>
      <w:iCs/>
    </w:rPr>
  </w:style>
  <w:style w:type="paragraph" w:styleId="ListParagraph">
    <w:name w:val="List Paragraph"/>
    <w:basedOn w:val="Normal"/>
    <w:uiPriority w:val="34"/>
    <w:qFormat/>
    <w:rsid w:val="00786F9B"/>
    <w:pPr>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semiHidden/>
    <w:unhideWhenUsed/>
    <w:rsid w:val="00786F9B"/>
    <w:rPr>
      <w:color w:val="0000FF"/>
      <w:u w:val="single"/>
    </w:rPr>
  </w:style>
  <w:style w:type="paragraph" w:styleId="BalloonText">
    <w:name w:val="Balloon Text"/>
    <w:basedOn w:val="Normal"/>
    <w:link w:val="BalloonTextChar"/>
    <w:uiPriority w:val="99"/>
    <w:semiHidden/>
    <w:unhideWhenUsed/>
    <w:rsid w:val="00786F9B"/>
    <w:rPr>
      <w:sz w:val="18"/>
      <w:szCs w:val="18"/>
    </w:rPr>
  </w:style>
  <w:style w:type="character" w:customStyle="1" w:styleId="BalloonTextChar">
    <w:name w:val="Balloon Text Char"/>
    <w:basedOn w:val="DefaultParagraphFont"/>
    <w:link w:val="BalloonText"/>
    <w:uiPriority w:val="99"/>
    <w:semiHidden/>
    <w:rsid w:val="00786F9B"/>
    <w:rPr>
      <w:rFonts w:ascii="Times New Roman" w:eastAsia="Times New Roman" w:hAnsi="Times New Roman" w:cs="Times New Roman"/>
      <w:sz w:val="18"/>
      <w:szCs w:val="18"/>
      <w:lang w:val="en-AU"/>
    </w:rPr>
  </w:style>
  <w:style w:type="paragraph" w:styleId="NormalWeb">
    <w:name w:val="Normal (Web)"/>
    <w:basedOn w:val="Normal"/>
    <w:uiPriority w:val="99"/>
    <w:unhideWhenUsed/>
    <w:rsid w:val="00786F9B"/>
    <w:pPr>
      <w:spacing w:before="100" w:beforeAutospacing="1" w:after="100" w:afterAutospacing="1"/>
    </w:pPr>
  </w:style>
  <w:style w:type="paragraph" w:customStyle="1" w:styleId="ColorfulList-Accent11">
    <w:name w:val="Colorful List - Accent 11"/>
    <w:basedOn w:val="Normal"/>
    <w:uiPriority w:val="34"/>
    <w:qFormat/>
    <w:rsid w:val="00786F9B"/>
    <w:pPr>
      <w:ind w:left="720"/>
      <w:contextualSpacing/>
    </w:pPr>
    <w:rPr>
      <w:rFonts w:ascii="Cambria" w:eastAsia="MS Mincho" w:hAnsi="Cambria"/>
      <w:lang w:eastAsia="ja-JP"/>
    </w:rPr>
  </w:style>
  <w:style w:type="paragraph" w:customStyle="1" w:styleId="EndNoteBibliography">
    <w:name w:val="EndNote Bibliography"/>
    <w:basedOn w:val="Normal"/>
    <w:link w:val="EndNoteBibliographyChar"/>
    <w:rsid w:val="00786F9B"/>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786F9B"/>
    <w:rPr>
      <w:rFonts w:ascii="Calibri" w:hAnsi="Calibri" w:cs="Calibri"/>
      <w:noProof/>
      <w:sz w:val="22"/>
      <w:szCs w:val="22"/>
      <w:lang w:val="en-US"/>
    </w:rPr>
  </w:style>
  <w:style w:type="paragraph" w:styleId="Revision">
    <w:name w:val="Revision"/>
    <w:hidden/>
    <w:uiPriority w:val="99"/>
    <w:semiHidden/>
    <w:rsid w:val="00786F9B"/>
  </w:style>
  <w:style w:type="character" w:styleId="PlaceholderText">
    <w:name w:val="Placeholder Text"/>
    <w:basedOn w:val="DefaultParagraphFont"/>
    <w:uiPriority w:val="99"/>
    <w:semiHidden/>
    <w:rsid w:val="00786F9B"/>
    <w:rPr>
      <w:color w:val="808080"/>
    </w:rPr>
  </w:style>
  <w:style w:type="character" w:customStyle="1" w:styleId="csl-entry">
    <w:name w:val="csl-entry"/>
    <w:basedOn w:val="DefaultParagraphFont"/>
    <w:rsid w:val="00786F9B"/>
  </w:style>
  <w:style w:type="character" w:styleId="CommentReference">
    <w:name w:val="annotation reference"/>
    <w:basedOn w:val="DefaultParagraphFont"/>
    <w:uiPriority w:val="99"/>
    <w:semiHidden/>
    <w:unhideWhenUsed/>
    <w:rsid w:val="00786F9B"/>
    <w:rPr>
      <w:sz w:val="18"/>
      <w:szCs w:val="18"/>
    </w:rPr>
  </w:style>
  <w:style w:type="paragraph" w:styleId="CommentText">
    <w:name w:val="annotation text"/>
    <w:basedOn w:val="Normal"/>
    <w:link w:val="CommentTextChar"/>
    <w:uiPriority w:val="99"/>
    <w:semiHidden/>
    <w:unhideWhenUsed/>
    <w:rsid w:val="00786F9B"/>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semiHidden/>
    <w:rsid w:val="00786F9B"/>
  </w:style>
  <w:style w:type="paragraph" w:styleId="CommentSubject">
    <w:name w:val="annotation subject"/>
    <w:basedOn w:val="CommentText"/>
    <w:next w:val="CommentText"/>
    <w:link w:val="CommentSubjectChar"/>
    <w:uiPriority w:val="99"/>
    <w:semiHidden/>
    <w:unhideWhenUsed/>
    <w:rsid w:val="00786F9B"/>
    <w:rPr>
      <w:b/>
      <w:bCs/>
      <w:sz w:val="20"/>
      <w:szCs w:val="20"/>
    </w:rPr>
  </w:style>
  <w:style w:type="character" w:customStyle="1" w:styleId="CommentSubjectChar">
    <w:name w:val="Comment Subject Char"/>
    <w:basedOn w:val="CommentTextChar"/>
    <w:link w:val="CommentSubject"/>
    <w:uiPriority w:val="99"/>
    <w:semiHidden/>
    <w:rsid w:val="00786F9B"/>
    <w:rPr>
      <w:b/>
      <w:bCs/>
      <w:sz w:val="20"/>
      <w:szCs w:val="20"/>
    </w:rPr>
  </w:style>
  <w:style w:type="character" w:customStyle="1" w:styleId="csl-left-margin">
    <w:name w:val="csl-left-margin"/>
    <w:basedOn w:val="DefaultParagraphFont"/>
    <w:rsid w:val="00786F9B"/>
  </w:style>
  <w:style w:type="character" w:customStyle="1" w:styleId="csl-right-inline">
    <w:name w:val="csl-right-inline"/>
    <w:basedOn w:val="DefaultParagraphFont"/>
    <w:rsid w:val="00786F9B"/>
  </w:style>
  <w:style w:type="paragraph" w:customStyle="1" w:styleId="ng-star-inserted">
    <w:name w:val="ng-star-inserted"/>
    <w:basedOn w:val="Normal"/>
    <w:rsid w:val="00786F9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002/sim.1186/abstract" TargetMode="External"/><Relationship Id="rId5" Type="http://schemas.openxmlformats.org/officeDocument/2006/relationships/hyperlink" Target="https://app.readcube.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4A715E5D0D2F46B49836C205445331"/>
        <w:category>
          <w:name w:val="General"/>
          <w:gallery w:val="placeholder"/>
        </w:category>
        <w:types>
          <w:type w:val="bbPlcHdr"/>
        </w:types>
        <w:behaviors>
          <w:behavior w:val="content"/>
        </w:behaviors>
        <w:guid w:val="{00DC1ED7-5854-464E-B7D1-424A32E5F1BF}"/>
      </w:docPartPr>
      <w:docPartBody>
        <w:p w:rsidR="00CE6619" w:rsidRDefault="00E3344A" w:rsidP="00E3344A">
          <w:pPr>
            <w:pStyle w:val="E64A715E5D0D2F46B49836C205445331"/>
          </w:pPr>
          <w:r w:rsidRPr="002F2E7F">
            <w:rPr>
              <w:rStyle w:val="PlaceholderText"/>
            </w:rPr>
            <w:t>Click or tap here to enter text.</w:t>
          </w:r>
        </w:p>
      </w:docPartBody>
    </w:docPart>
    <w:docPart>
      <w:docPartPr>
        <w:name w:val="223B523BAA6C7741BB4FD5F990312590"/>
        <w:category>
          <w:name w:val="General"/>
          <w:gallery w:val="placeholder"/>
        </w:category>
        <w:types>
          <w:type w:val="bbPlcHdr"/>
        </w:types>
        <w:behaviors>
          <w:behavior w:val="content"/>
        </w:behaviors>
        <w:guid w:val="{68E37DB9-45C1-BA4C-9EFF-9E816B91E816}"/>
      </w:docPartPr>
      <w:docPartBody>
        <w:p w:rsidR="00CE6619" w:rsidRDefault="00E3344A" w:rsidP="00E3344A">
          <w:pPr>
            <w:pStyle w:val="223B523BAA6C7741BB4FD5F990312590"/>
          </w:pPr>
          <w:r w:rsidRPr="002F2E7F">
            <w:rPr>
              <w:rStyle w:val="PlaceholderText"/>
            </w:rPr>
            <w:t>Click or tap here to enter text.</w:t>
          </w:r>
        </w:p>
      </w:docPartBody>
    </w:docPart>
    <w:docPart>
      <w:docPartPr>
        <w:name w:val="70A5362A14185D40B5D888F2E08225DA"/>
        <w:category>
          <w:name w:val="General"/>
          <w:gallery w:val="placeholder"/>
        </w:category>
        <w:types>
          <w:type w:val="bbPlcHdr"/>
        </w:types>
        <w:behaviors>
          <w:behavior w:val="content"/>
        </w:behaviors>
        <w:guid w:val="{79D3D05A-FDE6-8A49-90BB-FC6D730EFAC9}"/>
      </w:docPartPr>
      <w:docPartBody>
        <w:p w:rsidR="00CE6619" w:rsidRDefault="00E3344A" w:rsidP="00E3344A">
          <w:pPr>
            <w:pStyle w:val="70A5362A14185D40B5D888F2E08225DA"/>
          </w:pPr>
          <w:r w:rsidRPr="002F2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MT">
    <w:altName w:val="Arial"/>
    <w:panose1 w:val="00000000000000000000"/>
    <w:charset w:val="00"/>
    <w:family w:val="roman"/>
    <w:notTrueType/>
    <w:pitch w:val="default"/>
  </w:font>
  <w:font w:name="micro">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4A"/>
    <w:rsid w:val="00283E9E"/>
    <w:rsid w:val="00435742"/>
    <w:rsid w:val="0047411F"/>
    <w:rsid w:val="00490B3E"/>
    <w:rsid w:val="00567B7C"/>
    <w:rsid w:val="00791EC2"/>
    <w:rsid w:val="00CE6619"/>
    <w:rsid w:val="00CF382B"/>
    <w:rsid w:val="00E3344A"/>
    <w:rsid w:val="00EE5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44A"/>
    <w:rPr>
      <w:color w:val="808080"/>
    </w:rPr>
  </w:style>
  <w:style w:type="paragraph" w:customStyle="1" w:styleId="E64A715E5D0D2F46B49836C205445331">
    <w:name w:val="E64A715E5D0D2F46B49836C205445331"/>
    <w:rsid w:val="00E3344A"/>
  </w:style>
  <w:style w:type="paragraph" w:customStyle="1" w:styleId="223B523BAA6C7741BB4FD5F990312590">
    <w:name w:val="223B523BAA6C7741BB4FD5F990312590"/>
    <w:rsid w:val="00E3344A"/>
  </w:style>
  <w:style w:type="paragraph" w:customStyle="1" w:styleId="70A5362A14185D40B5D888F2E08225DA">
    <w:name w:val="70A5362A14185D40B5D888F2E08225DA"/>
    <w:rsid w:val="00E33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6521</Words>
  <Characters>37176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Gauri Mishra</dc:creator>
  <cp:keywords/>
  <dc:description/>
  <cp:lastModifiedBy>Johnson, Philip</cp:lastModifiedBy>
  <cp:revision>2</cp:revision>
  <dcterms:created xsi:type="dcterms:W3CDTF">2022-07-15T12:59:00Z</dcterms:created>
  <dcterms:modified xsi:type="dcterms:W3CDTF">2022-07-15T12:59:00Z</dcterms:modified>
</cp:coreProperties>
</file>