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31938" w14:textId="77777777" w:rsidR="00A66D8C" w:rsidRPr="00B745A7" w:rsidRDefault="00A66D8C" w:rsidP="00A66D8C">
      <w:pPr>
        <w:spacing w:line="480" w:lineRule="auto"/>
        <w:jc w:val="center"/>
        <w:rPr>
          <w:rFonts w:ascii="Times New Roman" w:hAnsi="Times New Roman" w:cs="Times New Roman"/>
          <w:b/>
          <w:sz w:val="28"/>
        </w:rPr>
      </w:pPr>
      <w:r w:rsidRPr="00B745A7">
        <w:rPr>
          <w:rFonts w:ascii="Times New Roman" w:hAnsi="Times New Roman" w:cs="Times New Roman"/>
          <w:b/>
          <w:sz w:val="28"/>
        </w:rPr>
        <w:t>Social and Spatial Inequalities in Healthcare Use among People Living with Dementia in England (2002-2016)</w:t>
      </w:r>
    </w:p>
    <w:p w14:paraId="7EAB4C70" w14:textId="77777777" w:rsidR="00A66D8C" w:rsidRPr="00B745A7" w:rsidRDefault="00A66D8C" w:rsidP="00A66D8C">
      <w:pPr>
        <w:spacing w:line="480" w:lineRule="auto"/>
        <w:rPr>
          <w:rFonts w:ascii="Times New Roman" w:hAnsi="Times New Roman" w:cs="Times New Roman"/>
          <w:b/>
          <w:bCs/>
          <w:sz w:val="24"/>
          <w:szCs w:val="24"/>
          <w:vertAlign w:val="superscript"/>
        </w:rPr>
      </w:pPr>
      <w:r w:rsidRPr="00B745A7">
        <w:rPr>
          <w:rFonts w:ascii="Times New Roman" w:hAnsi="Times New Roman" w:cs="Times New Roman"/>
          <w:b/>
          <w:bCs/>
          <w:sz w:val="24"/>
          <w:szCs w:val="24"/>
        </w:rPr>
        <w:t>James Watson</w:t>
      </w:r>
      <w:proofErr w:type="gramStart"/>
      <w:r w:rsidRPr="00B745A7">
        <w:rPr>
          <w:rFonts w:ascii="Times New Roman" w:hAnsi="Times New Roman" w:cs="Times New Roman"/>
          <w:b/>
          <w:bCs/>
          <w:sz w:val="24"/>
          <w:szCs w:val="24"/>
          <w:vertAlign w:val="superscript"/>
        </w:rPr>
        <w:t>1,*</w:t>
      </w:r>
      <w:proofErr w:type="gramEnd"/>
      <w:r w:rsidRPr="00B745A7">
        <w:rPr>
          <w:rFonts w:ascii="Times New Roman" w:hAnsi="Times New Roman" w:cs="Times New Roman"/>
          <w:b/>
          <w:bCs/>
          <w:sz w:val="24"/>
          <w:szCs w:val="24"/>
        </w:rPr>
        <w:t>, Mark A. Green</w:t>
      </w:r>
      <w:r w:rsidRPr="00B745A7">
        <w:rPr>
          <w:rFonts w:ascii="Times New Roman" w:hAnsi="Times New Roman" w:cs="Times New Roman"/>
          <w:b/>
          <w:bCs/>
          <w:sz w:val="24"/>
          <w:szCs w:val="24"/>
          <w:vertAlign w:val="superscript"/>
        </w:rPr>
        <w:t>2</w:t>
      </w:r>
      <w:r w:rsidRPr="00B745A7">
        <w:rPr>
          <w:rFonts w:ascii="Times New Roman" w:hAnsi="Times New Roman" w:cs="Times New Roman"/>
          <w:b/>
          <w:bCs/>
          <w:sz w:val="24"/>
          <w:szCs w:val="24"/>
        </w:rPr>
        <w:t>, Clarissa Giebel</w:t>
      </w:r>
      <w:r w:rsidRPr="00B745A7">
        <w:rPr>
          <w:rFonts w:ascii="Times New Roman" w:hAnsi="Times New Roman" w:cs="Times New Roman"/>
          <w:b/>
          <w:bCs/>
          <w:sz w:val="24"/>
          <w:szCs w:val="24"/>
          <w:vertAlign w:val="superscript"/>
        </w:rPr>
        <w:t>3,4</w:t>
      </w:r>
      <w:r w:rsidRPr="00B745A7">
        <w:rPr>
          <w:rFonts w:ascii="Times New Roman" w:hAnsi="Times New Roman" w:cs="Times New Roman"/>
          <w:b/>
          <w:bCs/>
          <w:sz w:val="24"/>
          <w:szCs w:val="24"/>
        </w:rPr>
        <w:t>, Frances Darlington-Pollock</w:t>
      </w:r>
      <w:r w:rsidRPr="00B745A7">
        <w:rPr>
          <w:rFonts w:ascii="Times New Roman" w:hAnsi="Times New Roman" w:cs="Times New Roman"/>
          <w:b/>
          <w:bCs/>
          <w:sz w:val="24"/>
          <w:szCs w:val="24"/>
          <w:vertAlign w:val="superscript"/>
        </w:rPr>
        <w:t>5</w:t>
      </w:r>
      <w:r w:rsidRPr="00B745A7">
        <w:rPr>
          <w:rFonts w:ascii="Times New Roman" w:hAnsi="Times New Roman" w:cs="Times New Roman"/>
          <w:b/>
          <w:bCs/>
          <w:sz w:val="24"/>
          <w:szCs w:val="24"/>
        </w:rPr>
        <w:t>, Asangaedem Akpan</w:t>
      </w:r>
      <w:r w:rsidRPr="00B745A7">
        <w:rPr>
          <w:rFonts w:ascii="Times New Roman" w:hAnsi="Times New Roman" w:cs="Times New Roman"/>
          <w:b/>
          <w:bCs/>
          <w:sz w:val="24"/>
          <w:szCs w:val="24"/>
          <w:vertAlign w:val="superscript"/>
        </w:rPr>
        <w:t>6,7,8,9</w:t>
      </w:r>
    </w:p>
    <w:p w14:paraId="0CA04F64" w14:textId="77777777" w:rsidR="00A66D8C" w:rsidRPr="00B745A7" w:rsidRDefault="00A66D8C" w:rsidP="00A66D8C">
      <w:pPr>
        <w:spacing w:line="480" w:lineRule="auto"/>
        <w:rPr>
          <w:rFonts w:ascii="Times New Roman" w:hAnsi="Times New Roman" w:cs="Times New Roman"/>
          <w:sz w:val="24"/>
          <w:szCs w:val="24"/>
        </w:rPr>
      </w:pPr>
      <w:r w:rsidRPr="00B745A7">
        <w:rPr>
          <w:rFonts w:ascii="Times New Roman" w:hAnsi="Times New Roman" w:cs="Times New Roman"/>
          <w:sz w:val="24"/>
          <w:szCs w:val="24"/>
          <w:vertAlign w:val="superscript"/>
        </w:rPr>
        <w:t xml:space="preserve">1 </w:t>
      </w:r>
      <w:r w:rsidRPr="00B745A7">
        <w:rPr>
          <w:rFonts w:ascii="Times New Roman" w:hAnsi="Times New Roman" w:cs="Times New Roman"/>
          <w:sz w:val="24"/>
          <w:szCs w:val="24"/>
        </w:rPr>
        <w:t>PhD Researcher, School of Environmental Sciences, The University of Liverpool, UK</w:t>
      </w:r>
    </w:p>
    <w:p w14:paraId="7D12559D" w14:textId="77777777" w:rsidR="00A66D8C" w:rsidRPr="00B745A7" w:rsidRDefault="00A66D8C" w:rsidP="00A66D8C">
      <w:pPr>
        <w:spacing w:line="480" w:lineRule="auto"/>
        <w:rPr>
          <w:rFonts w:ascii="Times New Roman" w:hAnsi="Times New Roman" w:cs="Times New Roman"/>
          <w:sz w:val="24"/>
          <w:szCs w:val="24"/>
        </w:rPr>
      </w:pPr>
      <w:r w:rsidRPr="00B745A7">
        <w:rPr>
          <w:rFonts w:ascii="Times New Roman" w:hAnsi="Times New Roman" w:cs="Times New Roman"/>
          <w:sz w:val="24"/>
          <w:szCs w:val="24"/>
          <w:vertAlign w:val="superscript"/>
        </w:rPr>
        <w:t>2</w:t>
      </w:r>
      <w:r w:rsidRPr="00B745A7">
        <w:rPr>
          <w:rFonts w:ascii="Times New Roman" w:hAnsi="Times New Roman" w:cs="Times New Roman"/>
          <w:sz w:val="24"/>
          <w:szCs w:val="24"/>
        </w:rPr>
        <w:t xml:space="preserve"> Reader in Health Geography, School of Environmental Sciences, The University of Liverpool, UK</w:t>
      </w:r>
    </w:p>
    <w:p w14:paraId="436B6145" w14:textId="77777777" w:rsidR="00A66D8C" w:rsidRPr="00B745A7" w:rsidRDefault="00A66D8C" w:rsidP="00A66D8C">
      <w:pPr>
        <w:spacing w:line="480" w:lineRule="auto"/>
        <w:rPr>
          <w:rFonts w:ascii="Times New Roman" w:hAnsi="Times New Roman" w:cs="Times New Roman"/>
          <w:sz w:val="24"/>
          <w:szCs w:val="24"/>
        </w:rPr>
      </w:pPr>
      <w:r w:rsidRPr="00B745A7">
        <w:rPr>
          <w:rFonts w:ascii="Times New Roman" w:hAnsi="Times New Roman" w:cs="Times New Roman"/>
          <w:sz w:val="24"/>
          <w:szCs w:val="24"/>
          <w:vertAlign w:val="superscript"/>
        </w:rPr>
        <w:t>3</w:t>
      </w:r>
      <w:r w:rsidRPr="00B745A7">
        <w:rPr>
          <w:rFonts w:ascii="Times New Roman" w:hAnsi="Times New Roman" w:cs="Times New Roman"/>
          <w:sz w:val="24"/>
          <w:szCs w:val="24"/>
        </w:rPr>
        <w:t xml:space="preserve"> Senior Research Fellow, Department of Primary Care and Mental Health, University of Liverpool, UK </w:t>
      </w:r>
    </w:p>
    <w:p w14:paraId="097F6A03" w14:textId="77777777" w:rsidR="00A66D8C" w:rsidRPr="00B745A7" w:rsidRDefault="00A66D8C" w:rsidP="00A66D8C">
      <w:pPr>
        <w:spacing w:line="480" w:lineRule="auto"/>
        <w:rPr>
          <w:rFonts w:ascii="Times New Roman" w:hAnsi="Times New Roman" w:cs="Times New Roman"/>
          <w:sz w:val="24"/>
          <w:szCs w:val="24"/>
        </w:rPr>
      </w:pPr>
      <w:r w:rsidRPr="00B745A7">
        <w:rPr>
          <w:rFonts w:ascii="Times New Roman" w:hAnsi="Times New Roman" w:cs="Times New Roman"/>
          <w:sz w:val="24"/>
          <w:szCs w:val="24"/>
          <w:vertAlign w:val="superscript"/>
        </w:rPr>
        <w:t>4</w:t>
      </w:r>
      <w:r w:rsidRPr="00B745A7">
        <w:rPr>
          <w:rFonts w:ascii="Times New Roman" w:hAnsi="Times New Roman" w:cs="Times New Roman"/>
          <w:sz w:val="24"/>
          <w:szCs w:val="24"/>
        </w:rPr>
        <w:t xml:space="preserve"> NIHR ARC NWC, UK</w:t>
      </w:r>
    </w:p>
    <w:p w14:paraId="7812B5AD" w14:textId="77777777" w:rsidR="00A66D8C" w:rsidRPr="00B745A7" w:rsidRDefault="00A66D8C" w:rsidP="00A66D8C">
      <w:pPr>
        <w:spacing w:line="480" w:lineRule="auto"/>
        <w:rPr>
          <w:rFonts w:ascii="Times New Roman" w:hAnsi="Times New Roman" w:cs="Times New Roman"/>
          <w:sz w:val="24"/>
          <w:szCs w:val="24"/>
        </w:rPr>
      </w:pPr>
      <w:r w:rsidRPr="00B745A7">
        <w:rPr>
          <w:rFonts w:ascii="Times New Roman" w:hAnsi="Times New Roman" w:cs="Times New Roman"/>
          <w:sz w:val="24"/>
          <w:szCs w:val="24"/>
          <w:vertAlign w:val="superscript"/>
        </w:rPr>
        <w:t>5</w:t>
      </w:r>
      <w:r w:rsidRPr="00B745A7">
        <w:rPr>
          <w:rFonts w:ascii="Times New Roman" w:hAnsi="Times New Roman" w:cs="Times New Roman"/>
          <w:sz w:val="24"/>
          <w:szCs w:val="24"/>
        </w:rPr>
        <w:t xml:space="preserve"> Visiting Research Fellow, Department of Sciences, University of York, York, UK</w:t>
      </w:r>
    </w:p>
    <w:p w14:paraId="00D09DB8" w14:textId="77777777" w:rsidR="00A66D8C" w:rsidRPr="00B745A7" w:rsidRDefault="00A66D8C" w:rsidP="00A66D8C">
      <w:pPr>
        <w:spacing w:line="480" w:lineRule="auto"/>
        <w:rPr>
          <w:rFonts w:ascii="Times New Roman" w:hAnsi="Times New Roman" w:cs="Times New Roman"/>
          <w:sz w:val="24"/>
          <w:szCs w:val="24"/>
        </w:rPr>
      </w:pPr>
      <w:r w:rsidRPr="00B745A7">
        <w:rPr>
          <w:rFonts w:ascii="Times New Roman" w:hAnsi="Times New Roman" w:cs="Times New Roman"/>
          <w:sz w:val="24"/>
          <w:szCs w:val="24"/>
          <w:vertAlign w:val="superscript"/>
        </w:rPr>
        <w:t>6</w:t>
      </w:r>
      <w:r w:rsidRPr="00B745A7">
        <w:rPr>
          <w:rFonts w:ascii="Times New Roman" w:hAnsi="Times New Roman" w:cs="Times New Roman"/>
          <w:sz w:val="24"/>
          <w:szCs w:val="24"/>
        </w:rPr>
        <w:t xml:space="preserve"> Department of Medicine for Older People and Stroke Liverpool University Hospitals NHS FT</w:t>
      </w:r>
    </w:p>
    <w:p w14:paraId="5E3F56A9" w14:textId="77777777" w:rsidR="00A66D8C" w:rsidRPr="00B745A7" w:rsidRDefault="00A66D8C" w:rsidP="00A66D8C">
      <w:pPr>
        <w:spacing w:line="480" w:lineRule="auto"/>
        <w:rPr>
          <w:rFonts w:ascii="Times New Roman" w:hAnsi="Times New Roman" w:cs="Times New Roman"/>
          <w:sz w:val="24"/>
          <w:szCs w:val="24"/>
        </w:rPr>
      </w:pPr>
      <w:r w:rsidRPr="00B745A7">
        <w:rPr>
          <w:rFonts w:ascii="Times New Roman" w:hAnsi="Times New Roman" w:cs="Times New Roman"/>
          <w:sz w:val="24"/>
          <w:szCs w:val="24"/>
          <w:vertAlign w:val="superscript"/>
        </w:rPr>
        <w:t xml:space="preserve">7 </w:t>
      </w:r>
      <w:r w:rsidRPr="00B745A7">
        <w:rPr>
          <w:rFonts w:ascii="Times New Roman" w:hAnsi="Times New Roman" w:cs="Times New Roman"/>
          <w:sz w:val="24"/>
          <w:szCs w:val="24"/>
        </w:rPr>
        <w:t>Healthy Ageing Group, University of Cumbria.</w:t>
      </w:r>
    </w:p>
    <w:p w14:paraId="3EEC81CA" w14:textId="77777777" w:rsidR="00A66D8C" w:rsidRPr="00B745A7" w:rsidRDefault="00A66D8C" w:rsidP="00A66D8C">
      <w:pPr>
        <w:spacing w:line="480" w:lineRule="auto"/>
        <w:rPr>
          <w:rFonts w:ascii="Times New Roman" w:hAnsi="Times New Roman" w:cs="Times New Roman"/>
          <w:sz w:val="24"/>
          <w:szCs w:val="24"/>
        </w:rPr>
      </w:pPr>
      <w:r w:rsidRPr="00B745A7">
        <w:rPr>
          <w:rFonts w:ascii="Times New Roman" w:hAnsi="Times New Roman" w:cs="Times New Roman"/>
          <w:sz w:val="24"/>
          <w:szCs w:val="24"/>
          <w:vertAlign w:val="superscript"/>
        </w:rPr>
        <w:t>8</w:t>
      </w:r>
      <w:r w:rsidRPr="00B745A7">
        <w:rPr>
          <w:rFonts w:ascii="Times New Roman" w:hAnsi="Times New Roman" w:cs="Times New Roman"/>
          <w:sz w:val="24"/>
          <w:szCs w:val="24"/>
        </w:rPr>
        <w:t xml:space="preserve"> Institute of Life Course and Medical Sciences, University of Liverpool</w:t>
      </w:r>
    </w:p>
    <w:p w14:paraId="123BF302" w14:textId="77777777" w:rsidR="00A66D8C" w:rsidRPr="00B745A7" w:rsidRDefault="00A66D8C" w:rsidP="00A66D8C">
      <w:pPr>
        <w:spacing w:line="480" w:lineRule="auto"/>
        <w:rPr>
          <w:rFonts w:ascii="Times New Roman" w:hAnsi="Times New Roman" w:cs="Times New Roman"/>
          <w:sz w:val="24"/>
          <w:szCs w:val="24"/>
        </w:rPr>
      </w:pPr>
      <w:r w:rsidRPr="00B745A7">
        <w:rPr>
          <w:rFonts w:ascii="Times New Roman" w:hAnsi="Times New Roman" w:cs="Times New Roman"/>
          <w:sz w:val="24"/>
          <w:szCs w:val="24"/>
          <w:vertAlign w:val="superscript"/>
        </w:rPr>
        <w:t>9</w:t>
      </w:r>
      <w:r w:rsidRPr="00B745A7">
        <w:rPr>
          <w:rFonts w:ascii="Times New Roman" w:hAnsi="Times New Roman" w:cs="Times New Roman"/>
          <w:sz w:val="24"/>
          <w:szCs w:val="24"/>
        </w:rPr>
        <w:t xml:space="preserve"> NIHR CRN NWC, UK</w:t>
      </w:r>
    </w:p>
    <w:p w14:paraId="0CA1EF55" w14:textId="7F43DDC6" w:rsidR="00395B7D" w:rsidRPr="00B745A7" w:rsidRDefault="00A66D8C" w:rsidP="00AD5F19">
      <w:pPr>
        <w:spacing w:line="480" w:lineRule="auto"/>
        <w:rPr>
          <w:rFonts w:ascii="Times New Roman" w:hAnsi="Times New Roman" w:cs="Times New Roman"/>
          <w:b/>
          <w:sz w:val="24"/>
          <w:szCs w:val="24"/>
        </w:rPr>
      </w:pPr>
      <w:r w:rsidRPr="00B745A7">
        <w:rPr>
          <w:rFonts w:ascii="Times New Roman" w:hAnsi="Times New Roman" w:cs="Times New Roman"/>
          <w:sz w:val="24"/>
          <w:szCs w:val="24"/>
        </w:rPr>
        <w:t>*</w:t>
      </w:r>
      <w:r w:rsidRPr="00B745A7">
        <w:rPr>
          <w:rFonts w:ascii="Times New Roman" w:hAnsi="Times New Roman" w:cs="Times New Roman"/>
          <w:i/>
          <w:sz w:val="24"/>
          <w:szCs w:val="24"/>
        </w:rPr>
        <w:t>Correspondence should be addressed to</w:t>
      </w:r>
      <w:r w:rsidRPr="00B745A7">
        <w:rPr>
          <w:rFonts w:ascii="Times New Roman" w:hAnsi="Times New Roman" w:cs="Times New Roman"/>
          <w:sz w:val="24"/>
          <w:szCs w:val="24"/>
        </w:rPr>
        <w:t>: James Watson, School of Environmental Sciences, 1st Floor, Roxby Building, The University of Liverpool, Liverpool, L69 7ZT. Email: james.watson@liverpool.ac.uk</w:t>
      </w:r>
      <w:r w:rsidR="00395B7D" w:rsidRPr="00B745A7">
        <w:rPr>
          <w:rFonts w:ascii="Times New Roman" w:hAnsi="Times New Roman" w:cs="Times New Roman"/>
          <w:b/>
          <w:sz w:val="24"/>
          <w:szCs w:val="24"/>
        </w:rPr>
        <w:br w:type="page"/>
      </w:r>
    </w:p>
    <w:p w14:paraId="26AE144C" w14:textId="77777777" w:rsidR="00770227" w:rsidRPr="00B745A7" w:rsidRDefault="00770227" w:rsidP="00AD5F19">
      <w:pPr>
        <w:spacing w:line="480" w:lineRule="auto"/>
        <w:rPr>
          <w:rFonts w:ascii="Times New Roman" w:hAnsi="Times New Roman" w:cs="Times New Roman"/>
          <w:b/>
          <w:sz w:val="24"/>
          <w:szCs w:val="24"/>
        </w:rPr>
      </w:pPr>
      <w:r w:rsidRPr="00B745A7">
        <w:rPr>
          <w:rFonts w:ascii="Times New Roman" w:hAnsi="Times New Roman" w:cs="Times New Roman"/>
          <w:b/>
          <w:sz w:val="24"/>
          <w:szCs w:val="24"/>
        </w:rPr>
        <w:lastRenderedPageBreak/>
        <w:t>Abstract</w:t>
      </w:r>
    </w:p>
    <w:p w14:paraId="7F4D5F5A" w14:textId="77777777" w:rsidR="00770227" w:rsidRPr="00B745A7" w:rsidRDefault="00770227" w:rsidP="00AD5F19">
      <w:pPr>
        <w:spacing w:line="480" w:lineRule="auto"/>
        <w:rPr>
          <w:rFonts w:ascii="Times New Roman" w:hAnsi="Times New Roman" w:cs="Times New Roman"/>
          <w:b/>
          <w:i/>
          <w:sz w:val="24"/>
          <w:szCs w:val="24"/>
        </w:rPr>
      </w:pPr>
      <w:r w:rsidRPr="00B745A7">
        <w:rPr>
          <w:rFonts w:ascii="Times New Roman" w:hAnsi="Times New Roman" w:cs="Times New Roman"/>
          <w:b/>
          <w:i/>
          <w:sz w:val="24"/>
          <w:szCs w:val="24"/>
        </w:rPr>
        <w:t>Introduction</w:t>
      </w:r>
    </w:p>
    <w:p w14:paraId="5650054B" w14:textId="4343A24F" w:rsidR="00770227" w:rsidRPr="00B745A7" w:rsidRDefault="00770227" w:rsidP="00EF2C6F">
      <w:pPr>
        <w:spacing w:line="480" w:lineRule="auto"/>
        <w:ind w:firstLine="720"/>
        <w:jc w:val="both"/>
        <w:rPr>
          <w:rFonts w:ascii="Times New Roman" w:hAnsi="Times New Roman" w:cs="Times New Roman"/>
          <w:sz w:val="24"/>
          <w:szCs w:val="24"/>
        </w:rPr>
      </w:pPr>
      <w:r w:rsidRPr="00B745A7">
        <w:rPr>
          <w:rFonts w:ascii="Times New Roman" w:hAnsi="Times New Roman" w:cs="Times New Roman"/>
          <w:sz w:val="24"/>
          <w:szCs w:val="24"/>
        </w:rPr>
        <w:t>Healthcare services for people living with dementia (PLWD) are stretched, and government promises of increased funding remain undelivered. With the UK dementia population to surpass 1</w:t>
      </w:r>
      <w:r w:rsidR="00880F56" w:rsidRPr="00B745A7">
        <w:rPr>
          <w:rFonts w:ascii="Times New Roman" w:hAnsi="Times New Roman" w:cs="Times New Roman"/>
          <w:sz w:val="24"/>
          <w:szCs w:val="24"/>
        </w:rPr>
        <w:t xml:space="preserve"> </w:t>
      </w:r>
      <w:r w:rsidRPr="00B745A7">
        <w:rPr>
          <w:rFonts w:ascii="Times New Roman" w:hAnsi="Times New Roman" w:cs="Times New Roman"/>
          <w:sz w:val="24"/>
          <w:szCs w:val="24"/>
        </w:rPr>
        <w:t xml:space="preserve">million by 2024, and dementia care costs </w:t>
      </w:r>
      <w:r w:rsidR="00880F56" w:rsidRPr="00B745A7">
        <w:rPr>
          <w:rFonts w:ascii="Times New Roman" w:hAnsi="Times New Roman" w:cs="Times New Roman"/>
          <w:sz w:val="24"/>
          <w:szCs w:val="24"/>
        </w:rPr>
        <w:t xml:space="preserve">predicted to </w:t>
      </w:r>
      <w:r w:rsidR="00E16230" w:rsidRPr="00B745A7">
        <w:rPr>
          <w:rFonts w:ascii="Times New Roman" w:hAnsi="Times New Roman" w:cs="Times New Roman"/>
          <w:sz w:val="24"/>
          <w:szCs w:val="24"/>
        </w:rPr>
        <w:t>almost treble</w:t>
      </w:r>
      <w:r w:rsidRPr="00B745A7">
        <w:rPr>
          <w:rFonts w:ascii="Times New Roman" w:hAnsi="Times New Roman" w:cs="Times New Roman"/>
          <w:sz w:val="24"/>
          <w:szCs w:val="24"/>
        </w:rPr>
        <w:t xml:space="preserve"> by </w:t>
      </w:r>
      <w:r w:rsidR="00E16230" w:rsidRPr="00B745A7">
        <w:rPr>
          <w:rFonts w:ascii="Times New Roman" w:hAnsi="Times New Roman" w:cs="Times New Roman"/>
          <w:sz w:val="24"/>
          <w:szCs w:val="24"/>
        </w:rPr>
        <w:t>2040</w:t>
      </w:r>
      <w:r w:rsidRPr="00B745A7">
        <w:rPr>
          <w:rFonts w:ascii="Times New Roman" w:hAnsi="Times New Roman" w:cs="Times New Roman"/>
          <w:sz w:val="24"/>
          <w:szCs w:val="24"/>
        </w:rPr>
        <w:t xml:space="preserve">, it is essential we understand </w:t>
      </w:r>
      <w:r w:rsidR="00BE18DB" w:rsidRPr="00B745A7">
        <w:rPr>
          <w:rFonts w:ascii="Times New Roman" w:hAnsi="Times New Roman" w:cs="Times New Roman"/>
          <w:sz w:val="24"/>
          <w:szCs w:val="24"/>
        </w:rPr>
        <w:t xml:space="preserve">differences </w:t>
      </w:r>
      <w:r w:rsidRPr="00B745A7">
        <w:rPr>
          <w:rFonts w:ascii="Times New Roman" w:hAnsi="Times New Roman" w:cs="Times New Roman"/>
          <w:sz w:val="24"/>
          <w:szCs w:val="24"/>
        </w:rPr>
        <w:t>in healthcare use among PLWD.</w:t>
      </w:r>
      <w:r w:rsidR="00E16230" w:rsidRPr="00B745A7">
        <w:rPr>
          <w:rFonts w:ascii="Times New Roman" w:hAnsi="Times New Roman" w:cs="Times New Roman"/>
          <w:sz w:val="24"/>
          <w:szCs w:val="24"/>
        </w:rPr>
        <w:t xml:space="preserve"> </w:t>
      </w:r>
      <w:r w:rsidR="00287074" w:rsidRPr="00B745A7">
        <w:rPr>
          <w:rFonts w:ascii="Times New Roman" w:hAnsi="Times New Roman" w:cs="Times New Roman"/>
          <w:sz w:val="24"/>
          <w:szCs w:val="24"/>
        </w:rPr>
        <w:t xml:space="preserve">This study </w:t>
      </w:r>
      <w:r w:rsidR="00E16230" w:rsidRPr="00B745A7">
        <w:rPr>
          <w:rFonts w:ascii="Times New Roman" w:hAnsi="Times New Roman" w:cs="Times New Roman"/>
          <w:sz w:val="24"/>
          <w:szCs w:val="24"/>
        </w:rPr>
        <w:t>aim</w:t>
      </w:r>
      <w:r w:rsidR="00287074" w:rsidRPr="00B745A7">
        <w:rPr>
          <w:rFonts w:ascii="Times New Roman" w:hAnsi="Times New Roman" w:cs="Times New Roman"/>
          <w:sz w:val="24"/>
          <w:szCs w:val="24"/>
        </w:rPr>
        <w:t>ed</w:t>
      </w:r>
      <w:r w:rsidR="00E16230" w:rsidRPr="00B745A7">
        <w:rPr>
          <w:rFonts w:ascii="Times New Roman" w:hAnsi="Times New Roman" w:cs="Times New Roman"/>
          <w:sz w:val="24"/>
          <w:szCs w:val="24"/>
        </w:rPr>
        <w:t xml:space="preserve"> to explore </w:t>
      </w:r>
      <w:r w:rsidR="0054424F" w:rsidRPr="00B745A7">
        <w:rPr>
          <w:rFonts w:ascii="Times New Roman" w:hAnsi="Times New Roman" w:cs="Times New Roman"/>
          <w:sz w:val="24"/>
          <w:szCs w:val="24"/>
        </w:rPr>
        <w:t xml:space="preserve">social and spatial </w:t>
      </w:r>
      <w:r w:rsidR="00B968B2" w:rsidRPr="00B745A7">
        <w:rPr>
          <w:rFonts w:ascii="Times New Roman" w:hAnsi="Times New Roman" w:cs="Times New Roman"/>
          <w:sz w:val="24"/>
          <w:szCs w:val="24"/>
        </w:rPr>
        <w:t xml:space="preserve">variations </w:t>
      </w:r>
      <w:r w:rsidR="00E16230" w:rsidRPr="00B745A7">
        <w:rPr>
          <w:rFonts w:ascii="Times New Roman" w:hAnsi="Times New Roman" w:cs="Times New Roman"/>
          <w:sz w:val="24"/>
          <w:szCs w:val="24"/>
        </w:rPr>
        <w:t>in healthcare use among people diagnosed with dementia (2002-2016)</w:t>
      </w:r>
      <w:r w:rsidR="0054424F" w:rsidRPr="00B745A7">
        <w:rPr>
          <w:rFonts w:ascii="Times New Roman" w:hAnsi="Times New Roman" w:cs="Times New Roman"/>
          <w:sz w:val="24"/>
          <w:szCs w:val="24"/>
        </w:rPr>
        <w:t>.</w:t>
      </w:r>
      <w:bookmarkStart w:id="0" w:name="_GoBack"/>
      <w:bookmarkEnd w:id="0"/>
    </w:p>
    <w:p w14:paraId="56E7E2FD" w14:textId="77777777" w:rsidR="00770227" w:rsidRPr="00B745A7" w:rsidRDefault="00770227" w:rsidP="00AD5F19">
      <w:pPr>
        <w:spacing w:line="480" w:lineRule="auto"/>
        <w:jc w:val="both"/>
        <w:rPr>
          <w:rFonts w:ascii="Times New Roman" w:hAnsi="Times New Roman" w:cs="Times New Roman"/>
          <w:b/>
          <w:i/>
          <w:sz w:val="24"/>
          <w:szCs w:val="24"/>
        </w:rPr>
      </w:pPr>
      <w:r w:rsidRPr="00B745A7">
        <w:rPr>
          <w:rFonts w:ascii="Times New Roman" w:hAnsi="Times New Roman" w:cs="Times New Roman"/>
          <w:b/>
          <w:i/>
          <w:sz w:val="24"/>
          <w:szCs w:val="24"/>
        </w:rPr>
        <w:t>Methods</w:t>
      </w:r>
    </w:p>
    <w:p w14:paraId="18FBEE76" w14:textId="5E72F047" w:rsidR="00770227" w:rsidRPr="00B745A7" w:rsidRDefault="00770227" w:rsidP="00EF2C6F">
      <w:pPr>
        <w:spacing w:line="480" w:lineRule="auto"/>
        <w:ind w:firstLine="720"/>
        <w:jc w:val="both"/>
        <w:rPr>
          <w:rFonts w:ascii="Times New Roman" w:hAnsi="Times New Roman" w:cs="Times New Roman"/>
          <w:sz w:val="24"/>
          <w:szCs w:val="24"/>
        </w:rPr>
      </w:pPr>
      <w:r w:rsidRPr="00B745A7">
        <w:rPr>
          <w:rFonts w:ascii="Times New Roman" w:hAnsi="Times New Roman" w:cs="Times New Roman"/>
          <w:sz w:val="24"/>
          <w:szCs w:val="24"/>
        </w:rPr>
        <w:t>Data were derived from Electronic Health Records of Clinical Practice Research Datalink GP patients in England (n=142,3</w:t>
      </w:r>
      <w:r w:rsidR="00F3787E" w:rsidRPr="00B745A7">
        <w:rPr>
          <w:rFonts w:ascii="Times New Roman" w:hAnsi="Times New Roman" w:cs="Times New Roman"/>
          <w:sz w:val="24"/>
          <w:szCs w:val="24"/>
        </w:rPr>
        <w:t>02</w:t>
      </w:r>
      <w:r w:rsidRPr="00B745A7">
        <w:rPr>
          <w:rFonts w:ascii="Times New Roman" w:hAnsi="Times New Roman" w:cs="Times New Roman"/>
          <w:sz w:val="24"/>
          <w:szCs w:val="24"/>
        </w:rPr>
        <w:t xml:space="preserve">). </w:t>
      </w:r>
      <w:r w:rsidR="00DD7951" w:rsidRPr="00B745A7">
        <w:rPr>
          <w:rFonts w:ascii="Times New Roman" w:hAnsi="Times New Roman" w:cs="Times New Roman"/>
          <w:sz w:val="24"/>
          <w:szCs w:val="24"/>
        </w:rPr>
        <w:t>To standardise healthcare contacts, r</w:t>
      </w:r>
      <w:r w:rsidRPr="00B745A7">
        <w:rPr>
          <w:rFonts w:ascii="Times New Roman" w:hAnsi="Times New Roman" w:cs="Times New Roman"/>
          <w:sz w:val="24"/>
          <w:szCs w:val="24"/>
        </w:rPr>
        <w:t>ates</w:t>
      </w:r>
      <w:r w:rsidR="00DD7951" w:rsidRPr="00B745A7">
        <w:rPr>
          <w:rFonts w:ascii="Times New Roman" w:hAnsi="Times New Roman" w:cs="Times New Roman"/>
          <w:sz w:val="24"/>
          <w:szCs w:val="24"/>
        </w:rPr>
        <w:t xml:space="preserve"> of healthcare contacts</w:t>
      </w:r>
      <w:r w:rsidR="0085789D" w:rsidRPr="00B745A7">
        <w:rPr>
          <w:rFonts w:ascii="Times New Roman" w:hAnsi="Times New Roman" w:cs="Times New Roman"/>
          <w:sz w:val="24"/>
          <w:szCs w:val="24"/>
        </w:rPr>
        <w:t xml:space="preserve"> per year</w:t>
      </w:r>
      <w:r w:rsidR="00DD7951" w:rsidRPr="00B745A7">
        <w:rPr>
          <w:rFonts w:ascii="Times New Roman" w:hAnsi="Times New Roman" w:cs="Times New Roman"/>
          <w:sz w:val="24"/>
          <w:szCs w:val="24"/>
        </w:rPr>
        <w:t xml:space="preserve"> </w:t>
      </w:r>
      <w:r w:rsidRPr="00B745A7">
        <w:rPr>
          <w:rFonts w:ascii="Times New Roman" w:hAnsi="Times New Roman" w:cs="Times New Roman"/>
          <w:sz w:val="24"/>
          <w:szCs w:val="24"/>
        </w:rPr>
        <w:t xml:space="preserve">were calculated </w:t>
      </w:r>
      <w:r w:rsidR="00DD7951" w:rsidRPr="00B745A7">
        <w:rPr>
          <w:rFonts w:ascii="Times New Roman" w:hAnsi="Times New Roman" w:cs="Times New Roman"/>
          <w:sz w:val="24"/>
          <w:szCs w:val="24"/>
        </w:rPr>
        <w:t>for</w:t>
      </w:r>
      <w:r w:rsidRPr="00B745A7">
        <w:rPr>
          <w:rFonts w:ascii="Times New Roman" w:hAnsi="Times New Roman" w:cs="Times New Roman"/>
          <w:sz w:val="24"/>
          <w:szCs w:val="24"/>
        </w:rPr>
        <w:t xml:space="preserve"> three primary</w:t>
      </w:r>
      <w:r w:rsidR="003120C9" w:rsidRPr="00B745A7">
        <w:rPr>
          <w:rFonts w:ascii="Times New Roman" w:hAnsi="Times New Roman" w:cs="Times New Roman"/>
          <w:sz w:val="24"/>
          <w:szCs w:val="24"/>
        </w:rPr>
        <w:t xml:space="preserve"> (GP observations and medications)</w:t>
      </w:r>
      <w:r w:rsidRPr="00B745A7">
        <w:rPr>
          <w:rFonts w:ascii="Times New Roman" w:hAnsi="Times New Roman" w:cs="Times New Roman"/>
          <w:sz w:val="24"/>
          <w:szCs w:val="24"/>
        </w:rPr>
        <w:t xml:space="preserve"> and </w:t>
      </w:r>
      <w:r w:rsidR="003120C9" w:rsidRPr="00B745A7">
        <w:rPr>
          <w:rFonts w:ascii="Times New Roman" w:hAnsi="Times New Roman" w:cs="Times New Roman"/>
          <w:sz w:val="24"/>
          <w:szCs w:val="24"/>
        </w:rPr>
        <w:t>three</w:t>
      </w:r>
      <w:r w:rsidRPr="00B745A7">
        <w:rPr>
          <w:rFonts w:ascii="Times New Roman" w:hAnsi="Times New Roman" w:cs="Times New Roman"/>
          <w:sz w:val="24"/>
          <w:szCs w:val="24"/>
        </w:rPr>
        <w:t xml:space="preserve"> secondary healthcare types (A</w:t>
      </w:r>
      <w:r w:rsidR="00880F56" w:rsidRPr="00B745A7">
        <w:rPr>
          <w:rFonts w:ascii="Times New Roman" w:hAnsi="Times New Roman" w:cs="Times New Roman"/>
          <w:sz w:val="24"/>
          <w:szCs w:val="24"/>
        </w:rPr>
        <w:t>ccident &amp; Emergency</w:t>
      </w:r>
      <w:r w:rsidR="003120C9" w:rsidRPr="00B745A7">
        <w:rPr>
          <w:rFonts w:ascii="Times New Roman" w:hAnsi="Times New Roman" w:cs="Times New Roman"/>
          <w:sz w:val="24"/>
          <w:szCs w:val="24"/>
        </w:rPr>
        <w:t xml:space="preserve"> attendances and</w:t>
      </w:r>
      <w:r w:rsidR="00773639" w:rsidRPr="00B745A7">
        <w:rPr>
          <w:rFonts w:ascii="Times New Roman" w:hAnsi="Times New Roman" w:cs="Times New Roman"/>
          <w:sz w:val="24"/>
          <w:szCs w:val="24"/>
        </w:rPr>
        <w:t>, emergency and elective</w:t>
      </w:r>
      <w:r w:rsidRPr="00B745A7">
        <w:rPr>
          <w:rFonts w:ascii="Times New Roman" w:hAnsi="Times New Roman" w:cs="Times New Roman"/>
          <w:sz w:val="24"/>
          <w:szCs w:val="24"/>
        </w:rPr>
        <w:t xml:space="preserve"> hospital admissions). </w:t>
      </w:r>
      <w:r w:rsidR="00E16230" w:rsidRPr="00B745A7">
        <w:rPr>
          <w:rFonts w:ascii="Times New Roman" w:hAnsi="Times New Roman" w:cs="Times New Roman"/>
          <w:sz w:val="24"/>
          <w:szCs w:val="24"/>
        </w:rPr>
        <w:t xml:space="preserve">Fully-adjusted generalised </w:t>
      </w:r>
      <w:r w:rsidR="001A2975" w:rsidRPr="00B745A7">
        <w:rPr>
          <w:rFonts w:ascii="Times New Roman" w:hAnsi="Times New Roman" w:cs="Times New Roman"/>
          <w:sz w:val="24"/>
          <w:szCs w:val="24"/>
        </w:rPr>
        <w:t>linear</w:t>
      </w:r>
      <w:r w:rsidRPr="00B745A7">
        <w:rPr>
          <w:rFonts w:ascii="Times New Roman" w:hAnsi="Times New Roman" w:cs="Times New Roman"/>
          <w:sz w:val="24"/>
          <w:szCs w:val="24"/>
        </w:rPr>
        <w:t xml:space="preserve"> regression</w:t>
      </w:r>
      <w:r w:rsidR="00E16230" w:rsidRPr="00B745A7">
        <w:rPr>
          <w:rFonts w:ascii="Times New Roman" w:hAnsi="Times New Roman" w:cs="Times New Roman"/>
          <w:sz w:val="24"/>
          <w:szCs w:val="24"/>
        </w:rPr>
        <w:t xml:space="preserve"> models</w:t>
      </w:r>
      <w:r w:rsidRPr="00B745A7">
        <w:rPr>
          <w:rFonts w:ascii="Times New Roman" w:hAnsi="Times New Roman" w:cs="Times New Roman"/>
          <w:sz w:val="24"/>
          <w:szCs w:val="24"/>
        </w:rPr>
        <w:t xml:space="preserve"> </w:t>
      </w:r>
      <w:r w:rsidR="00880F56" w:rsidRPr="00B745A7">
        <w:rPr>
          <w:rFonts w:ascii="Times New Roman" w:hAnsi="Times New Roman" w:cs="Times New Roman"/>
          <w:sz w:val="24"/>
          <w:szCs w:val="24"/>
        </w:rPr>
        <w:t xml:space="preserve">were used to </w:t>
      </w:r>
      <w:r w:rsidR="00E16230" w:rsidRPr="00B745A7">
        <w:rPr>
          <w:rFonts w:ascii="Times New Roman" w:hAnsi="Times New Roman" w:cs="Times New Roman"/>
          <w:sz w:val="24"/>
          <w:szCs w:val="24"/>
        </w:rPr>
        <w:t xml:space="preserve">identify </w:t>
      </w:r>
      <w:r w:rsidR="003120C9" w:rsidRPr="00B745A7">
        <w:rPr>
          <w:rFonts w:ascii="Times New Roman" w:hAnsi="Times New Roman" w:cs="Times New Roman"/>
          <w:sz w:val="24"/>
          <w:szCs w:val="24"/>
        </w:rPr>
        <w:t>healthcare use variation by social and spatial groups</w:t>
      </w:r>
      <w:r w:rsidR="00E16230" w:rsidRPr="00B745A7">
        <w:rPr>
          <w:rFonts w:ascii="Times New Roman" w:hAnsi="Times New Roman" w:cs="Times New Roman"/>
          <w:sz w:val="24"/>
          <w:szCs w:val="24"/>
        </w:rPr>
        <w:t>.</w:t>
      </w:r>
      <w:r w:rsidRPr="00B745A7">
        <w:rPr>
          <w:rFonts w:ascii="Times New Roman" w:hAnsi="Times New Roman" w:cs="Times New Roman"/>
          <w:sz w:val="24"/>
          <w:szCs w:val="24"/>
        </w:rPr>
        <w:t xml:space="preserve"> </w:t>
      </w:r>
      <w:r w:rsidR="00FB1B8F" w:rsidRPr="00B745A7">
        <w:rPr>
          <w:rFonts w:ascii="Times New Roman" w:hAnsi="Times New Roman" w:cs="Times New Roman"/>
          <w:sz w:val="24"/>
          <w:szCs w:val="24"/>
        </w:rPr>
        <w:t>12</w:t>
      </w:r>
      <w:r w:rsidRPr="00B745A7">
        <w:rPr>
          <w:rFonts w:ascii="Times New Roman" w:hAnsi="Times New Roman" w:cs="Times New Roman"/>
          <w:sz w:val="24"/>
          <w:szCs w:val="24"/>
        </w:rPr>
        <w:t xml:space="preserve"> models were generated</w:t>
      </w:r>
      <w:r w:rsidR="003120C9" w:rsidRPr="00B745A7">
        <w:rPr>
          <w:rFonts w:ascii="Times New Roman" w:hAnsi="Times New Roman" w:cs="Times New Roman"/>
          <w:sz w:val="24"/>
          <w:szCs w:val="24"/>
        </w:rPr>
        <w:t>, one</w:t>
      </w:r>
      <w:r w:rsidRPr="00B745A7">
        <w:rPr>
          <w:rFonts w:ascii="Times New Roman" w:hAnsi="Times New Roman" w:cs="Times New Roman"/>
          <w:sz w:val="24"/>
          <w:szCs w:val="24"/>
        </w:rPr>
        <w:t xml:space="preserve"> for </w:t>
      </w:r>
      <w:r w:rsidR="00E16230" w:rsidRPr="00B745A7">
        <w:rPr>
          <w:rFonts w:ascii="Times New Roman" w:hAnsi="Times New Roman" w:cs="Times New Roman"/>
          <w:sz w:val="24"/>
          <w:szCs w:val="24"/>
        </w:rPr>
        <w:t xml:space="preserve">each healthcare type </w:t>
      </w:r>
      <w:r w:rsidR="003120C9" w:rsidRPr="00B745A7">
        <w:rPr>
          <w:rFonts w:ascii="Times New Roman" w:hAnsi="Times New Roman" w:cs="Times New Roman"/>
          <w:sz w:val="24"/>
          <w:szCs w:val="24"/>
        </w:rPr>
        <w:t>in</w:t>
      </w:r>
      <w:r w:rsidR="00E16230" w:rsidRPr="00B745A7">
        <w:rPr>
          <w:rFonts w:ascii="Times New Roman" w:hAnsi="Times New Roman" w:cs="Times New Roman"/>
          <w:sz w:val="24"/>
          <w:szCs w:val="24"/>
        </w:rPr>
        <w:t xml:space="preserve"> </w:t>
      </w:r>
      <w:r w:rsidRPr="00B745A7">
        <w:rPr>
          <w:rFonts w:ascii="Times New Roman" w:hAnsi="Times New Roman" w:cs="Times New Roman"/>
          <w:sz w:val="24"/>
          <w:szCs w:val="24"/>
        </w:rPr>
        <w:t>early- and late-onset populations separately.</w:t>
      </w:r>
    </w:p>
    <w:p w14:paraId="13F7E396" w14:textId="77777777" w:rsidR="00770227" w:rsidRPr="00B745A7" w:rsidRDefault="00770227" w:rsidP="00AD5F19">
      <w:pPr>
        <w:spacing w:line="480" w:lineRule="auto"/>
        <w:jc w:val="both"/>
        <w:rPr>
          <w:rFonts w:ascii="Times New Roman" w:hAnsi="Times New Roman" w:cs="Times New Roman"/>
          <w:b/>
          <w:i/>
          <w:sz w:val="24"/>
          <w:szCs w:val="24"/>
        </w:rPr>
      </w:pPr>
      <w:r w:rsidRPr="00B745A7">
        <w:rPr>
          <w:rFonts w:ascii="Times New Roman" w:hAnsi="Times New Roman" w:cs="Times New Roman"/>
          <w:b/>
          <w:i/>
          <w:sz w:val="24"/>
          <w:szCs w:val="24"/>
        </w:rPr>
        <w:t>Results</w:t>
      </w:r>
    </w:p>
    <w:p w14:paraId="27E2A63E" w14:textId="7C7E86B7" w:rsidR="00770227" w:rsidRPr="00B745A7" w:rsidRDefault="00770227" w:rsidP="00EF2C6F">
      <w:pPr>
        <w:spacing w:line="480" w:lineRule="auto"/>
        <w:ind w:firstLine="720"/>
        <w:jc w:val="both"/>
        <w:rPr>
          <w:rFonts w:ascii="Times New Roman" w:hAnsi="Times New Roman" w:cs="Times New Roman"/>
          <w:sz w:val="24"/>
          <w:szCs w:val="24"/>
        </w:rPr>
      </w:pPr>
      <w:bookmarkStart w:id="1" w:name="_Hlk106006335"/>
      <w:bookmarkStart w:id="2" w:name="_Hlk106006389"/>
      <w:bookmarkStart w:id="3" w:name="_Hlk106271413"/>
      <w:r w:rsidRPr="00B745A7">
        <w:rPr>
          <w:rFonts w:ascii="Times New Roman" w:hAnsi="Times New Roman" w:cs="Times New Roman"/>
          <w:sz w:val="24"/>
          <w:szCs w:val="24"/>
        </w:rPr>
        <w:t xml:space="preserve">This study highlights numerous </w:t>
      </w:r>
      <w:r w:rsidR="0063203A" w:rsidRPr="00B745A7">
        <w:rPr>
          <w:rFonts w:ascii="Times New Roman" w:hAnsi="Times New Roman" w:cs="Times New Roman"/>
          <w:sz w:val="24"/>
          <w:szCs w:val="24"/>
        </w:rPr>
        <w:t xml:space="preserve">social and spatial </w:t>
      </w:r>
      <w:r w:rsidR="00B968B2" w:rsidRPr="00B745A7">
        <w:rPr>
          <w:rFonts w:ascii="Times New Roman" w:hAnsi="Times New Roman" w:cs="Times New Roman"/>
          <w:sz w:val="24"/>
          <w:szCs w:val="24"/>
        </w:rPr>
        <w:t xml:space="preserve">variations </w:t>
      </w:r>
      <w:r w:rsidRPr="00B745A7">
        <w:rPr>
          <w:rFonts w:ascii="Times New Roman" w:hAnsi="Times New Roman" w:cs="Times New Roman"/>
          <w:sz w:val="24"/>
          <w:szCs w:val="24"/>
        </w:rPr>
        <w:t xml:space="preserve">in healthcare use among PLWD. </w:t>
      </w:r>
      <w:bookmarkStart w:id="4" w:name="_Hlk106271525"/>
      <w:r w:rsidR="00286D17" w:rsidRPr="00B745A7">
        <w:rPr>
          <w:rFonts w:ascii="Times New Roman" w:hAnsi="Times New Roman" w:cs="Times New Roman"/>
          <w:sz w:val="24"/>
          <w:szCs w:val="24"/>
        </w:rPr>
        <w:t xml:space="preserve">Among </w:t>
      </w:r>
      <w:r w:rsidR="007117E6" w:rsidRPr="00B745A7">
        <w:rPr>
          <w:rFonts w:ascii="Times New Roman" w:hAnsi="Times New Roman" w:cs="Times New Roman"/>
          <w:sz w:val="24"/>
          <w:szCs w:val="24"/>
        </w:rPr>
        <w:t>PLWD</w:t>
      </w:r>
      <w:r w:rsidR="00616000" w:rsidRPr="00B745A7">
        <w:rPr>
          <w:rFonts w:ascii="Times New Roman" w:hAnsi="Times New Roman" w:cs="Times New Roman"/>
          <w:sz w:val="24"/>
          <w:szCs w:val="24"/>
        </w:rPr>
        <w:t xml:space="preserve"> several groups tended to have healthcare service use more closely associated with negative outcomes, including </w:t>
      </w:r>
      <w:r w:rsidR="0069560A" w:rsidRPr="00B745A7">
        <w:rPr>
          <w:rFonts w:ascii="Times New Roman" w:hAnsi="Times New Roman" w:cs="Times New Roman"/>
          <w:sz w:val="24"/>
          <w:szCs w:val="24"/>
        </w:rPr>
        <w:t xml:space="preserve">a </w:t>
      </w:r>
      <w:r w:rsidR="000603D9" w:rsidRPr="00B745A7">
        <w:rPr>
          <w:rFonts w:ascii="Times New Roman" w:hAnsi="Times New Roman" w:cs="Times New Roman"/>
          <w:sz w:val="24"/>
          <w:szCs w:val="24"/>
        </w:rPr>
        <w:t xml:space="preserve">greater likelihood of A&amp;E attendances and </w:t>
      </w:r>
      <w:r w:rsidR="007B39F9" w:rsidRPr="00B745A7">
        <w:rPr>
          <w:rFonts w:ascii="Times New Roman" w:hAnsi="Times New Roman" w:cs="Times New Roman"/>
          <w:sz w:val="24"/>
          <w:szCs w:val="24"/>
        </w:rPr>
        <w:t>emergency</w:t>
      </w:r>
      <w:r w:rsidR="006F2DB4" w:rsidRPr="00B745A7">
        <w:rPr>
          <w:rFonts w:ascii="Times New Roman" w:hAnsi="Times New Roman" w:cs="Times New Roman"/>
          <w:sz w:val="24"/>
          <w:szCs w:val="24"/>
        </w:rPr>
        <w:t xml:space="preserve"> and elective</w:t>
      </w:r>
      <w:r w:rsidR="007B39F9" w:rsidRPr="00B745A7">
        <w:rPr>
          <w:rFonts w:ascii="Times New Roman" w:hAnsi="Times New Roman" w:cs="Times New Roman"/>
          <w:sz w:val="24"/>
          <w:szCs w:val="24"/>
        </w:rPr>
        <w:t xml:space="preserve"> </w:t>
      </w:r>
      <w:r w:rsidR="000603D9" w:rsidRPr="00B745A7">
        <w:rPr>
          <w:rFonts w:ascii="Times New Roman" w:hAnsi="Times New Roman" w:cs="Times New Roman"/>
          <w:sz w:val="24"/>
          <w:szCs w:val="24"/>
        </w:rPr>
        <w:t>hospital admissions. These groups include</w:t>
      </w:r>
      <w:r w:rsidR="00616000" w:rsidRPr="00B745A7">
        <w:rPr>
          <w:rFonts w:ascii="Times New Roman" w:hAnsi="Times New Roman" w:cs="Times New Roman"/>
          <w:sz w:val="24"/>
          <w:szCs w:val="24"/>
        </w:rPr>
        <w:t>:</w:t>
      </w:r>
      <w:r w:rsidR="00286D17" w:rsidRPr="00B745A7">
        <w:rPr>
          <w:rFonts w:ascii="Times New Roman" w:hAnsi="Times New Roman" w:cs="Times New Roman"/>
          <w:sz w:val="24"/>
          <w:szCs w:val="24"/>
        </w:rPr>
        <w:t xml:space="preserve"> </w:t>
      </w:r>
      <w:r w:rsidR="007117E6" w:rsidRPr="00B745A7">
        <w:rPr>
          <w:rFonts w:ascii="Times New Roman" w:hAnsi="Times New Roman" w:cs="Times New Roman"/>
          <w:sz w:val="24"/>
          <w:szCs w:val="24"/>
        </w:rPr>
        <w:t xml:space="preserve">men, </w:t>
      </w:r>
      <w:r w:rsidR="00616000" w:rsidRPr="00B745A7">
        <w:rPr>
          <w:rFonts w:ascii="Times New Roman" w:hAnsi="Times New Roman" w:cs="Times New Roman"/>
          <w:sz w:val="24"/>
          <w:szCs w:val="24"/>
        </w:rPr>
        <w:t xml:space="preserve">people </w:t>
      </w:r>
      <w:r w:rsidR="00286D17" w:rsidRPr="00B745A7">
        <w:rPr>
          <w:rFonts w:ascii="Times New Roman" w:hAnsi="Times New Roman" w:cs="Times New Roman"/>
          <w:sz w:val="24"/>
          <w:szCs w:val="24"/>
        </w:rPr>
        <w:t>from White ethnicity groups</w:t>
      </w:r>
      <w:r w:rsidR="00616000" w:rsidRPr="00B745A7">
        <w:rPr>
          <w:rFonts w:ascii="Times New Roman" w:hAnsi="Times New Roman" w:cs="Times New Roman"/>
          <w:sz w:val="24"/>
          <w:szCs w:val="24"/>
        </w:rPr>
        <w:t xml:space="preserve"> and people </w:t>
      </w:r>
      <w:r w:rsidR="007117E6" w:rsidRPr="00B745A7">
        <w:rPr>
          <w:rFonts w:ascii="Times New Roman" w:hAnsi="Times New Roman" w:cs="Times New Roman"/>
          <w:sz w:val="24"/>
          <w:szCs w:val="24"/>
        </w:rPr>
        <w:t xml:space="preserve">from more deprived </w:t>
      </w:r>
      <w:r w:rsidR="00286D17" w:rsidRPr="00B745A7">
        <w:rPr>
          <w:rFonts w:ascii="Times New Roman" w:hAnsi="Times New Roman" w:cs="Times New Roman"/>
          <w:sz w:val="24"/>
          <w:szCs w:val="24"/>
        </w:rPr>
        <w:t xml:space="preserve">and </w:t>
      </w:r>
      <w:r w:rsidR="007117E6" w:rsidRPr="00B745A7">
        <w:rPr>
          <w:rFonts w:ascii="Times New Roman" w:hAnsi="Times New Roman" w:cs="Times New Roman"/>
          <w:sz w:val="24"/>
          <w:szCs w:val="24"/>
        </w:rPr>
        <w:t>rural areas</w:t>
      </w:r>
      <w:r w:rsidR="000603D9" w:rsidRPr="00B745A7">
        <w:rPr>
          <w:rFonts w:ascii="Times New Roman" w:hAnsi="Times New Roman" w:cs="Times New Roman"/>
          <w:sz w:val="24"/>
          <w:szCs w:val="24"/>
        </w:rPr>
        <w:t>.</w:t>
      </w:r>
      <w:bookmarkEnd w:id="1"/>
      <w:bookmarkEnd w:id="2"/>
      <w:bookmarkEnd w:id="4"/>
    </w:p>
    <w:bookmarkEnd w:id="3"/>
    <w:p w14:paraId="3D106D91" w14:textId="77777777" w:rsidR="00770227" w:rsidRPr="00B745A7" w:rsidRDefault="00770227" w:rsidP="00AD5F19">
      <w:pPr>
        <w:spacing w:line="480" w:lineRule="auto"/>
        <w:jc w:val="both"/>
        <w:rPr>
          <w:rFonts w:ascii="Times New Roman" w:hAnsi="Times New Roman" w:cs="Times New Roman"/>
          <w:b/>
          <w:i/>
          <w:sz w:val="24"/>
          <w:szCs w:val="24"/>
        </w:rPr>
      </w:pPr>
      <w:r w:rsidRPr="00B745A7">
        <w:rPr>
          <w:rFonts w:ascii="Times New Roman" w:hAnsi="Times New Roman" w:cs="Times New Roman"/>
          <w:b/>
          <w:i/>
          <w:sz w:val="24"/>
          <w:szCs w:val="24"/>
        </w:rPr>
        <w:t>Conclusions</w:t>
      </w:r>
    </w:p>
    <w:p w14:paraId="56713FCD" w14:textId="1EB5F85A" w:rsidR="007B7C30" w:rsidRPr="00B745A7" w:rsidRDefault="001A2975" w:rsidP="00EF2C6F">
      <w:pPr>
        <w:spacing w:line="480" w:lineRule="auto"/>
        <w:ind w:firstLine="720"/>
        <w:jc w:val="both"/>
        <w:rPr>
          <w:rFonts w:ascii="Times New Roman" w:hAnsi="Times New Roman" w:cs="Times New Roman"/>
          <w:sz w:val="24"/>
          <w:szCs w:val="24"/>
        </w:rPr>
      </w:pPr>
      <w:r w:rsidRPr="00B745A7">
        <w:rPr>
          <w:rFonts w:ascii="Times New Roman" w:hAnsi="Times New Roman" w:cs="Times New Roman"/>
          <w:sz w:val="24"/>
          <w:szCs w:val="24"/>
        </w:rPr>
        <w:lastRenderedPageBreak/>
        <w:t xml:space="preserve">Systemic and social measures are needed to reduce </w:t>
      </w:r>
      <w:r w:rsidR="00B968B2" w:rsidRPr="00B745A7">
        <w:rPr>
          <w:rFonts w:ascii="Times New Roman" w:hAnsi="Times New Roman" w:cs="Times New Roman"/>
          <w:sz w:val="24"/>
          <w:szCs w:val="24"/>
        </w:rPr>
        <w:t xml:space="preserve">variations in </w:t>
      </w:r>
      <w:r w:rsidR="0054424F" w:rsidRPr="00B745A7">
        <w:rPr>
          <w:rFonts w:ascii="Times New Roman" w:hAnsi="Times New Roman" w:cs="Times New Roman"/>
          <w:sz w:val="24"/>
          <w:szCs w:val="24"/>
        </w:rPr>
        <w:t>healthcare use</w:t>
      </w:r>
      <w:r w:rsidR="00287074" w:rsidRPr="00B745A7">
        <w:rPr>
          <w:rFonts w:ascii="Times New Roman" w:hAnsi="Times New Roman" w:cs="Times New Roman"/>
          <w:sz w:val="24"/>
          <w:szCs w:val="24"/>
        </w:rPr>
        <w:t xml:space="preserve"> inequalities</w:t>
      </w:r>
      <w:r w:rsidR="0054424F" w:rsidRPr="00B745A7">
        <w:rPr>
          <w:rFonts w:ascii="Times New Roman" w:hAnsi="Times New Roman" w:cs="Times New Roman"/>
          <w:sz w:val="24"/>
          <w:szCs w:val="24"/>
        </w:rPr>
        <w:t xml:space="preserve"> in PWLD</w:t>
      </w:r>
      <w:r w:rsidRPr="00B745A7">
        <w:rPr>
          <w:rFonts w:ascii="Times New Roman" w:hAnsi="Times New Roman" w:cs="Times New Roman"/>
          <w:sz w:val="24"/>
          <w:szCs w:val="24"/>
        </w:rPr>
        <w:t xml:space="preserve">. These include </w:t>
      </w:r>
      <w:r w:rsidR="006C4318" w:rsidRPr="00B745A7">
        <w:rPr>
          <w:rFonts w:ascii="Times New Roman" w:hAnsi="Times New Roman" w:cs="Times New Roman"/>
          <w:sz w:val="24"/>
          <w:szCs w:val="24"/>
        </w:rPr>
        <w:t>greater healthcare</w:t>
      </w:r>
      <w:r w:rsidR="00287074" w:rsidRPr="00B745A7">
        <w:rPr>
          <w:rFonts w:ascii="Times New Roman" w:hAnsi="Times New Roman" w:cs="Times New Roman"/>
          <w:sz w:val="24"/>
          <w:szCs w:val="24"/>
        </w:rPr>
        <w:t xml:space="preserve"> continuity</w:t>
      </w:r>
      <w:r w:rsidR="006C4318" w:rsidRPr="00B745A7">
        <w:rPr>
          <w:rFonts w:ascii="Times New Roman" w:hAnsi="Times New Roman" w:cs="Times New Roman"/>
          <w:sz w:val="24"/>
          <w:szCs w:val="24"/>
        </w:rPr>
        <w:t xml:space="preserve">, </w:t>
      </w:r>
      <w:r w:rsidR="002A0A0C" w:rsidRPr="00B745A7">
        <w:rPr>
          <w:rFonts w:ascii="Times New Roman" w:hAnsi="Times New Roman" w:cs="Times New Roman"/>
          <w:sz w:val="24"/>
          <w:szCs w:val="24"/>
        </w:rPr>
        <w:t xml:space="preserve">health checks and medicines reviews, </w:t>
      </w:r>
      <w:r w:rsidRPr="00B745A7">
        <w:rPr>
          <w:rFonts w:ascii="Times New Roman" w:hAnsi="Times New Roman" w:cs="Times New Roman"/>
          <w:sz w:val="24"/>
          <w:szCs w:val="24"/>
        </w:rPr>
        <w:t xml:space="preserve">culturally appropriate services, </w:t>
      </w:r>
      <w:r w:rsidR="00287074" w:rsidRPr="00B745A7">
        <w:rPr>
          <w:rFonts w:ascii="Times New Roman" w:hAnsi="Times New Roman" w:cs="Times New Roman"/>
          <w:sz w:val="24"/>
          <w:szCs w:val="24"/>
        </w:rPr>
        <w:t xml:space="preserve">better and </w:t>
      </w:r>
      <w:r w:rsidRPr="00B745A7">
        <w:rPr>
          <w:rFonts w:ascii="Times New Roman" w:hAnsi="Times New Roman" w:cs="Times New Roman"/>
          <w:sz w:val="24"/>
          <w:szCs w:val="24"/>
        </w:rPr>
        <w:t>more accessible treatment, and improved infrastructure.</w:t>
      </w:r>
    </w:p>
    <w:p w14:paraId="19EA5A2A" w14:textId="4DCD5418" w:rsidR="00030F90" w:rsidRPr="00B745A7" w:rsidRDefault="007B7C30" w:rsidP="00AD5F19">
      <w:pPr>
        <w:spacing w:line="480" w:lineRule="auto"/>
        <w:jc w:val="both"/>
        <w:rPr>
          <w:rFonts w:ascii="Times New Roman" w:hAnsi="Times New Roman" w:cs="Times New Roman"/>
          <w:b/>
          <w:sz w:val="24"/>
          <w:szCs w:val="24"/>
        </w:rPr>
      </w:pPr>
      <w:r w:rsidRPr="00B745A7">
        <w:rPr>
          <w:rFonts w:ascii="Times New Roman" w:hAnsi="Times New Roman" w:cs="Times New Roman"/>
          <w:b/>
          <w:sz w:val="24"/>
          <w:szCs w:val="24"/>
        </w:rPr>
        <w:t xml:space="preserve">Keywords: </w:t>
      </w:r>
      <w:r w:rsidRPr="00B745A7">
        <w:rPr>
          <w:rFonts w:ascii="Times New Roman" w:hAnsi="Times New Roman" w:cs="Times New Roman"/>
          <w:sz w:val="24"/>
          <w:szCs w:val="24"/>
        </w:rPr>
        <w:t xml:space="preserve">dementia, </w:t>
      </w:r>
      <w:r w:rsidR="00D23B41" w:rsidRPr="00B745A7">
        <w:rPr>
          <w:rFonts w:ascii="Times New Roman" w:hAnsi="Times New Roman" w:cs="Times New Roman"/>
          <w:sz w:val="24"/>
          <w:szCs w:val="24"/>
        </w:rPr>
        <w:t xml:space="preserve">primary </w:t>
      </w:r>
      <w:r w:rsidRPr="00B745A7">
        <w:rPr>
          <w:rFonts w:ascii="Times New Roman" w:hAnsi="Times New Roman" w:cs="Times New Roman"/>
          <w:sz w:val="24"/>
          <w:szCs w:val="24"/>
        </w:rPr>
        <w:t xml:space="preserve">healthcare, </w:t>
      </w:r>
      <w:r w:rsidR="00D23B41" w:rsidRPr="00B745A7">
        <w:rPr>
          <w:rFonts w:ascii="Times New Roman" w:hAnsi="Times New Roman" w:cs="Times New Roman"/>
          <w:sz w:val="24"/>
          <w:szCs w:val="24"/>
        </w:rPr>
        <w:t>secondary healthcare</w:t>
      </w:r>
      <w:r w:rsidR="004756B4" w:rsidRPr="00B745A7">
        <w:rPr>
          <w:rFonts w:ascii="Times New Roman" w:hAnsi="Times New Roman" w:cs="Times New Roman"/>
          <w:sz w:val="24"/>
          <w:szCs w:val="24"/>
        </w:rPr>
        <w:t xml:space="preserve">, </w:t>
      </w:r>
      <w:r w:rsidRPr="00B745A7">
        <w:rPr>
          <w:rFonts w:ascii="Times New Roman" w:hAnsi="Times New Roman" w:cs="Times New Roman"/>
          <w:sz w:val="24"/>
          <w:szCs w:val="24"/>
        </w:rPr>
        <w:t>inequalities, socio-economic, spatial</w:t>
      </w:r>
      <w:r w:rsidR="004756B4" w:rsidRPr="00B745A7">
        <w:rPr>
          <w:rFonts w:ascii="Times New Roman" w:hAnsi="Times New Roman" w:cs="Times New Roman"/>
          <w:sz w:val="24"/>
          <w:szCs w:val="24"/>
        </w:rPr>
        <w:t>, routine data</w:t>
      </w:r>
      <w:r w:rsidR="001A2975" w:rsidRPr="00B745A7">
        <w:rPr>
          <w:rFonts w:ascii="Times New Roman" w:hAnsi="Times New Roman" w:cs="Times New Roman"/>
          <w:b/>
          <w:color w:val="FF0000"/>
          <w:sz w:val="24"/>
          <w:szCs w:val="24"/>
        </w:rPr>
        <w:br w:type="page"/>
      </w:r>
    </w:p>
    <w:p w14:paraId="35BBA80D" w14:textId="355FFA2C" w:rsidR="00AD00C6" w:rsidRPr="00B745A7" w:rsidRDefault="00AD00C6" w:rsidP="00AD5F19">
      <w:pPr>
        <w:spacing w:line="480" w:lineRule="auto"/>
        <w:rPr>
          <w:rFonts w:ascii="Times New Roman" w:hAnsi="Times New Roman" w:cs="Times New Roman"/>
          <w:b/>
          <w:sz w:val="24"/>
          <w:szCs w:val="24"/>
        </w:rPr>
      </w:pPr>
      <w:r w:rsidRPr="00B745A7">
        <w:rPr>
          <w:rFonts w:ascii="Times New Roman" w:hAnsi="Times New Roman" w:cs="Times New Roman"/>
          <w:b/>
          <w:sz w:val="24"/>
          <w:szCs w:val="24"/>
        </w:rPr>
        <w:lastRenderedPageBreak/>
        <w:t>Introduction</w:t>
      </w:r>
    </w:p>
    <w:p w14:paraId="5C9786E9" w14:textId="22E68E5D" w:rsidR="00DB191E" w:rsidRPr="00B745A7" w:rsidRDefault="00DB191E" w:rsidP="00756CEB">
      <w:pPr>
        <w:spacing w:line="480" w:lineRule="auto"/>
        <w:ind w:firstLine="720"/>
        <w:rPr>
          <w:rFonts w:ascii="Times New Roman" w:hAnsi="Times New Roman" w:cs="Times New Roman"/>
          <w:sz w:val="24"/>
          <w:szCs w:val="24"/>
        </w:rPr>
      </w:pPr>
      <w:bookmarkStart w:id="5" w:name="_Hlk97629140"/>
      <w:r w:rsidRPr="00B745A7">
        <w:rPr>
          <w:rFonts w:ascii="Times New Roman" w:hAnsi="Times New Roman" w:cs="Times New Roman"/>
          <w:sz w:val="24"/>
          <w:szCs w:val="24"/>
        </w:rPr>
        <w:t>Among people living with dementia (PLWD), inequalities exist in the availability and quality of healthcare (</w:t>
      </w:r>
      <w:r w:rsidR="000A15BE" w:rsidRPr="00B745A7">
        <w:rPr>
          <w:rFonts w:ascii="Times New Roman" w:hAnsi="Times New Roman" w:cs="Times New Roman"/>
          <w:sz w:val="24"/>
          <w:szCs w:val="24"/>
        </w:rPr>
        <w:t>Cooper et al., 2017</w:t>
      </w:r>
      <w:r w:rsidRPr="00B745A7">
        <w:rPr>
          <w:rStyle w:val="Hyperlink"/>
          <w:rFonts w:ascii="Times New Roman" w:hAnsi="Times New Roman" w:cs="Times New Roman"/>
          <w:color w:val="auto"/>
          <w:sz w:val="24"/>
          <w:szCs w:val="24"/>
          <w:u w:val="none"/>
        </w:rPr>
        <w:t xml:space="preserve">; </w:t>
      </w:r>
      <w:r w:rsidR="000A15BE" w:rsidRPr="00B745A7">
        <w:rPr>
          <w:rFonts w:ascii="Times New Roman" w:hAnsi="Times New Roman" w:cs="Times New Roman"/>
          <w:sz w:val="24"/>
          <w:szCs w:val="24"/>
        </w:rPr>
        <w:t>Wu et al., 2018</w:t>
      </w:r>
      <w:r w:rsidRPr="00B745A7">
        <w:rPr>
          <w:rFonts w:ascii="Times New Roman" w:hAnsi="Times New Roman" w:cs="Times New Roman"/>
          <w:sz w:val="24"/>
          <w:szCs w:val="24"/>
        </w:rPr>
        <w:t>) and in the likelihood of negative health and social outcomes (</w:t>
      </w:r>
      <w:bookmarkStart w:id="6" w:name="_Hlk101265766"/>
      <w:r w:rsidRPr="00B745A7">
        <w:rPr>
          <w:rFonts w:ascii="Times New Roman" w:hAnsi="Times New Roman" w:cs="Times New Roman"/>
          <w:sz w:val="24"/>
          <w:szCs w:val="24"/>
        </w:rPr>
        <w:t>Korhonen et al., 2020</w:t>
      </w:r>
      <w:bookmarkEnd w:id="6"/>
      <w:r w:rsidR="00B947F7" w:rsidRPr="00B745A7">
        <w:rPr>
          <w:rFonts w:ascii="Times New Roman" w:hAnsi="Times New Roman" w:cs="Times New Roman"/>
          <w:sz w:val="24"/>
          <w:szCs w:val="24"/>
        </w:rPr>
        <w:t>,</w:t>
      </w:r>
      <w:r w:rsidRPr="00B745A7">
        <w:rPr>
          <w:rFonts w:ascii="Times New Roman" w:hAnsi="Times New Roman" w:cs="Times New Roman"/>
          <w:sz w:val="24"/>
          <w:szCs w:val="24"/>
        </w:rPr>
        <w:t xml:space="preserve"> </w:t>
      </w:r>
      <w:bookmarkStart w:id="7" w:name="_Hlk101265770"/>
      <w:r w:rsidRPr="00B745A7">
        <w:rPr>
          <w:rFonts w:ascii="Times New Roman" w:hAnsi="Times New Roman" w:cs="Times New Roman"/>
          <w:sz w:val="24"/>
          <w:szCs w:val="24"/>
        </w:rPr>
        <w:t>van de Vorst et al., 2016</w:t>
      </w:r>
      <w:bookmarkEnd w:id="7"/>
      <w:r w:rsidRPr="00B745A7">
        <w:rPr>
          <w:rFonts w:ascii="Times New Roman" w:hAnsi="Times New Roman" w:cs="Times New Roman"/>
          <w:sz w:val="24"/>
          <w:szCs w:val="24"/>
        </w:rPr>
        <w:t xml:space="preserve">; </w:t>
      </w:r>
      <w:bookmarkStart w:id="8" w:name="_Hlk101265774"/>
      <w:r w:rsidRPr="00B745A7">
        <w:rPr>
          <w:rFonts w:ascii="Times New Roman" w:hAnsi="Times New Roman" w:cs="Times New Roman"/>
          <w:sz w:val="24"/>
          <w:szCs w:val="24"/>
        </w:rPr>
        <w:t>Watson et al., 2020</w:t>
      </w:r>
      <w:bookmarkEnd w:id="8"/>
      <w:r w:rsidRPr="00B745A7">
        <w:rPr>
          <w:rFonts w:ascii="Times New Roman" w:hAnsi="Times New Roman" w:cs="Times New Roman"/>
          <w:sz w:val="24"/>
          <w:szCs w:val="24"/>
        </w:rPr>
        <w:t>). PLWD from disadvantaged areas and socio-economic groups experience greater unmet care needs, and have poorer health outcomes (</w:t>
      </w:r>
      <w:bookmarkStart w:id="9" w:name="_Hlk101265778"/>
      <w:r w:rsidRPr="00B745A7">
        <w:rPr>
          <w:rFonts w:ascii="Times New Roman" w:hAnsi="Times New Roman" w:cs="Times New Roman"/>
          <w:sz w:val="24"/>
          <w:szCs w:val="24"/>
        </w:rPr>
        <w:t>Giebel et al., 2021</w:t>
      </w:r>
      <w:bookmarkEnd w:id="9"/>
      <w:r w:rsidRPr="00B745A7">
        <w:rPr>
          <w:rFonts w:ascii="Times New Roman" w:hAnsi="Times New Roman" w:cs="Times New Roman"/>
          <w:sz w:val="24"/>
          <w:szCs w:val="24"/>
        </w:rPr>
        <w:t>; Wu et al., 2018). Recent government policy has prioritised reducing inequalities in accessing dementia diagnosis, support, treatment and resultant outcomes. However, commitments to increased funding to support services remain unfulfilled (</w:t>
      </w:r>
      <w:bookmarkStart w:id="10" w:name="_Hlk101265784"/>
      <w:r w:rsidRPr="00B745A7">
        <w:rPr>
          <w:rFonts w:ascii="Times New Roman" w:hAnsi="Times New Roman" w:cs="Times New Roman"/>
          <w:sz w:val="24"/>
          <w:szCs w:val="24"/>
        </w:rPr>
        <w:t>Department of Health and Social Care, 2016</w:t>
      </w:r>
      <w:bookmarkEnd w:id="10"/>
      <w:r w:rsidRPr="00B745A7">
        <w:rPr>
          <w:rFonts w:ascii="Times New Roman" w:hAnsi="Times New Roman" w:cs="Times New Roman"/>
          <w:sz w:val="24"/>
          <w:szCs w:val="24"/>
        </w:rPr>
        <w:t xml:space="preserve">; </w:t>
      </w:r>
      <w:bookmarkStart w:id="11" w:name="_Hlk101265789"/>
      <w:r w:rsidRPr="00B745A7">
        <w:rPr>
          <w:rFonts w:ascii="Times New Roman" w:hAnsi="Times New Roman" w:cs="Times New Roman"/>
          <w:sz w:val="24"/>
          <w:szCs w:val="24"/>
        </w:rPr>
        <w:t>Local Government Association, 2021</w:t>
      </w:r>
      <w:bookmarkEnd w:id="11"/>
      <w:r w:rsidRPr="00B745A7">
        <w:rPr>
          <w:rFonts w:ascii="Times New Roman" w:hAnsi="Times New Roman" w:cs="Times New Roman"/>
          <w:sz w:val="24"/>
          <w:szCs w:val="24"/>
        </w:rPr>
        <w:t>). Both health and social care are vital for PLWD and their carers to live well in the community or in a care home after a diagnosis, and continued lack of funding of both, and neglect of the social care system (</w:t>
      </w:r>
      <w:r w:rsidR="000A15BE" w:rsidRPr="00B745A7">
        <w:rPr>
          <w:rFonts w:ascii="Times New Roman" w:hAnsi="Times New Roman" w:cs="Times New Roman"/>
          <w:sz w:val="24"/>
          <w:szCs w:val="24"/>
        </w:rPr>
        <w:t>King’s Fund, 2018</w:t>
      </w:r>
      <w:r w:rsidRPr="00B745A7">
        <w:rPr>
          <w:rFonts w:ascii="Times New Roman" w:hAnsi="Times New Roman" w:cs="Times New Roman"/>
          <w:sz w:val="24"/>
          <w:szCs w:val="24"/>
        </w:rPr>
        <w:t>), has resulted in an increased use of avoidable healthcare services (</w:t>
      </w:r>
      <w:r w:rsidR="000A15BE" w:rsidRPr="00B745A7">
        <w:rPr>
          <w:rFonts w:ascii="Times New Roman" w:hAnsi="Times New Roman" w:cs="Times New Roman"/>
          <w:sz w:val="24"/>
          <w:szCs w:val="24"/>
        </w:rPr>
        <w:t>Alzheimer’s Society, 2018</w:t>
      </w:r>
      <w:r w:rsidRPr="00B745A7">
        <w:rPr>
          <w:rFonts w:ascii="Times New Roman" w:hAnsi="Times New Roman" w:cs="Times New Roman"/>
          <w:sz w:val="24"/>
          <w:szCs w:val="24"/>
        </w:rPr>
        <w:t xml:space="preserve">; </w:t>
      </w:r>
      <w:r w:rsidR="000A15BE" w:rsidRPr="00B745A7">
        <w:rPr>
          <w:rFonts w:ascii="Times New Roman" w:hAnsi="Times New Roman" w:cs="Times New Roman"/>
          <w:sz w:val="24"/>
          <w:szCs w:val="24"/>
        </w:rPr>
        <w:t>NICE, 2018</w:t>
      </w:r>
      <w:r w:rsidRPr="00B745A7">
        <w:rPr>
          <w:rFonts w:ascii="Times New Roman" w:hAnsi="Times New Roman" w:cs="Times New Roman"/>
          <w:sz w:val="24"/>
          <w:szCs w:val="24"/>
        </w:rPr>
        <w:t>).</w:t>
      </w:r>
    </w:p>
    <w:p w14:paraId="3C1F85BE" w14:textId="77777777" w:rsidR="00DB191E" w:rsidRPr="00B745A7" w:rsidRDefault="00DB191E" w:rsidP="00756CEB">
      <w:pPr>
        <w:spacing w:line="480" w:lineRule="auto"/>
        <w:ind w:firstLine="720"/>
        <w:rPr>
          <w:rFonts w:ascii="Times New Roman" w:hAnsi="Times New Roman" w:cs="Times New Roman"/>
          <w:sz w:val="24"/>
          <w:szCs w:val="24"/>
        </w:rPr>
      </w:pPr>
      <w:r w:rsidRPr="00B745A7">
        <w:rPr>
          <w:rFonts w:ascii="Times New Roman" w:hAnsi="Times New Roman" w:cs="Times New Roman"/>
          <w:sz w:val="24"/>
          <w:szCs w:val="24"/>
        </w:rPr>
        <w:t>The majority of PLWD are aged 65 years and over, and are more likely to have comorbidities than the general population (</w:t>
      </w:r>
      <w:bookmarkStart w:id="12" w:name="_Hlk101265809"/>
      <w:r w:rsidRPr="00B745A7">
        <w:rPr>
          <w:rFonts w:ascii="Times New Roman" w:hAnsi="Times New Roman" w:cs="Times New Roman"/>
          <w:sz w:val="24"/>
          <w:szCs w:val="24"/>
        </w:rPr>
        <w:t>Griffith et al., 2016</w:t>
      </w:r>
      <w:bookmarkEnd w:id="12"/>
      <w:r w:rsidRPr="00B745A7">
        <w:rPr>
          <w:rFonts w:ascii="Times New Roman" w:hAnsi="Times New Roman" w:cs="Times New Roman"/>
          <w:sz w:val="24"/>
          <w:szCs w:val="24"/>
        </w:rPr>
        <w:t>). The number of PLWD in the UK is expected to increase from an estimated 920,000 currently to over 1 million by 2024 (</w:t>
      </w:r>
      <w:bookmarkStart w:id="13" w:name="_Hlk101265813"/>
      <w:r w:rsidRPr="00B745A7">
        <w:rPr>
          <w:rFonts w:ascii="Times New Roman" w:hAnsi="Times New Roman" w:cs="Times New Roman"/>
          <w:sz w:val="24"/>
          <w:szCs w:val="24"/>
        </w:rPr>
        <w:t>Wittenberg et al., 2019</w:t>
      </w:r>
      <w:bookmarkEnd w:id="13"/>
      <w:r w:rsidRPr="00B745A7">
        <w:rPr>
          <w:rFonts w:ascii="Times New Roman" w:hAnsi="Times New Roman" w:cs="Times New Roman"/>
          <w:sz w:val="24"/>
          <w:szCs w:val="24"/>
        </w:rPr>
        <w:t>). The greatest increase will be among those with severe dementia symptomatology, with acute everyday support needs (</w:t>
      </w:r>
      <w:bookmarkStart w:id="14" w:name="_Hlk101265828"/>
      <w:r w:rsidRPr="00B745A7">
        <w:rPr>
          <w:rFonts w:ascii="Times New Roman" w:hAnsi="Times New Roman" w:cs="Times New Roman"/>
          <w:sz w:val="24"/>
          <w:szCs w:val="24"/>
        </w:rPr>
        <w:t>Bennett et al., 2018</w:t>
      </w:r>
      <w:bookmarkEnd w:id="14"/>
      <w:r w:rsidRPr="00B745A7">
        <w:rPr>
          <w:rFonts w:ascii="Times New Roman" w:hAnsi="Times New Roman" w:cs="Times New Roman"/>
          <w:sz w:val="24"/>
          <w:szCs w:val="24"/>
        </w:rPr>
        <w:t>). With increased and more acute need among PLWD, the cost of providing health and social care to PLWD is set to almost than treble by 2040 (Wittenberg et al., 2019). Increasing numbers of PLWD and more acute need, alongside sustained funding shortfalls will likely exacerbate inequalities in the accessibility and quality of healthcare, health outcomes and the frequency and cost of avoidable healthcare use.</w:t>
      </w:r>
    </w:p>
    <w:p w14:paraId="205A8F7C" w14:textId="10B9B512" w:rsidR="00DB191E" w:rsidRPr="00B745A7" w:rsidRDefault="00DB191E" w:rsidP="00756CEB">
      <w:pPr>
        <w:spacing w:line="480" w:lineRule="auto"/>
        <w:ind w:firstLine="720"/>
        <w:rPr>
          <w:rFonts w:ascii="Times New Roman" w:hAnsi="Times New Roman" w:cs="Times New Roman"/>
          <w:sz w:val="24"/>
          <w:szCs w:val="24"/>
        </w:rPr>
      </w:pPr>
      <w:r w:rsidRPr="00B745A7">
        <w:rPr>
          <w:rFonts w:ascii="Times New Roman" w:hAnsi="Times New Roman" w:cs="Times New Roman"/>
          <w:sz w:val="24"/>
          <w:szCs w:val="24"/>
        </w:rPr>
        <w:lastRenderedPageBreak/>
        <w:t>Avoidable, unplanned healthcare use, including A&amp;E attendances, hospital admissions and readmissions, is greater among PLWD than the general population (</w:t>
      </w:r>
      <w:r w:rsidR="000A15BE" w:rsidRPr="00B745A7">
        <w:rPr>
          <w:rFonts w:ascii="Times New Roman" w:hAnsi="Times New Roman" w:cs="Times New Roman"/>
          <w:sz w:val="24"/>
          <w:szCs w:val="24"/>
        </w:rPr>
        <w:t>Voss et al., 2017</w:t>
      </w:r>
      <w:r w:rsidRPr="00B745A7">
        <w:rPr>
          <w:rFonts w:ascii="Times New Roman" w:hAnsi="Times New Roman" w:cs="Times New Roman"/>
          <w:sz w:val="24"/>
          <w:szCs w:val="24"/>
        </w:rPr>
        <w:t xml:space="preserve">). </w:t>
      </w:r>
      <w:bookmarkStart w:id="15" w:name="_Hlk106292139"/>
      <w:bookmarkStart w:id="16" w:name="_Hlk106090029"/>
      <w:r w:rsidR="003A03C8" w:rsidRPr="00B745A7">
        <w:rPr>
          <w:rFonts w:ascii="Times New Roman" w:hAnsi="Times New Roman" w:cs="Times New Roman"/>
          <w:sz w:val="24"/>
          <w:szCs w:val="24"/>
        </w:rPr>
        <w:t xml:space="preserve">Among PLWD, </w:t>
      </w:r>
      <w:r w:rsidR="008A5652" w:rsidRPr="00B745A7">
        <w:rPr>
          <w:rFonts w:ascii="Times New Roman" w:hAnsi="Times New Roman" w:cs="Times New Roman"/>
          <w:sz w:val="24"/>
          <w:szCs w:val="24"/>
        </w:rPr>
        <w:t>there are differences in the likelihood of using potentially avoidable healthcare, by</w:t>
      </w:r>
      <w:r w:rsidR="003A03C8" w:rsidRPr="00B745A7">
        <w:rPr>
          <w:rFonts w:ascii="Times New Roman" w:hAnsi="Times New Roman" w:cs="Times New Roman"/>
          <w:sz w:val="24"/>
          <w:szCs w:val="24"/>
        </w:rPr>
        <w:t xml:space="preserve"> socio-economic and demographic groups, including </w:t>
      </w:r>
      <w:r w:rsidR="008A5652" w:rsidRPr="00B745A7">
        <w:rPr>
          <w:rFonts w:ascii="Times New Roman" w:hAnsi="Times New Roman" w:cs="Times New Roman"/>
          <w:sz w:val="24"/>
          <w:szCs w:val="24"/>
        </w:rPr>
        <w:t>by gender</w:t>
      </w:r>
      <w:r w:rsidR="003A03C8" w:rsidRPr="00B745A7">
        <w:rPr>
          <w:rFonts w:ascii="Times New Roman" w:hAnsi="Times New Roman" w:cs="Times New Roman"/>
          <w:sz w:val="24"/>
          <w:szCs w:val="24"/>
        </w:rPr>
        <w:t xml:space="preserve">, </w:t>
      </w:r>
      <w:r w:rsidR="008A5652" w:rsidRPr="00B745A7">
        <w:rPr>
          <w:rFonts w:ascii="Times New Roman" w:hAnsi="Times New Roman" w:cs="Times New Roman"/>
          <w:sz w:val="24"/>
          <w:szCs w:val="24"/>
        </w:rPr>
        <w:t>age</w:t>
      </w:r>
      <w:r w:rsidR="003A03C8" w:rsidRPr="00B745A7">
        <w:rPr>
          <w:rFonts w:ascii="Times New Roman" w:hAnsi="Times New Roman" w:cs="Times New Roman"/>
          <w:sz w:val="24"/>
          <w:szCs w:val="24"/>
        </w:rPr>
        <w:t xml:space="preserve">, </w:t>
      </w:r>
      <w:r w:rsidR="008A5652" w:rsidRPr="00B745A7">
        <w:rPr>
          <w:rFonts w:ascii="Times New Roman" w:hAnsi="Times New Roman" w:cs="Times New Roman"/>
          <w:sz w:val="24"/>
          <w:szCs w:val="24"/>
        </w:rPr>
        <w:t>levels of</w:t>
      </w:r>
      <w:r w:rsidR="003A03C8" w:rsidRPr="00B745A7">
        <w:rPr>
          <w:rFonts w:ascii="Times New Roman" w:hAnsi="Times New Roman" w:cs="Times New Roman"/>
          <w:sz w:val="24"/>
          <w:szCs w:val="24"/>
        </w:rPr>
        <w:t xml:space="preserve"> depriv</w:t>
      </w:r>
      <w:r w:rsidR="008A5652" w:rsidRPr="00B745A7">
        <w:rPr>
          <w:rFonts w:ascii="Times New Roman" w:hAnsi="Times New Roman" w:cs="Times New Roman"/>
          <w:sz w:val="24"/>
          <w:szCs w:val="24"/>
        </w:rPr>
        <w:t>ation</w:t>
      </w:r>
      <w:r w:rsidR="003A03C8" w:rsidRPr="00B745A7">
        <w:rPr>
          <w:rFonts w:ascii="Times New Roman" w:hAnsi="Times New Roman" w:cs="Times New Roman"/>
          <w:sz w:val="24"/>
          <w:szCs w:val="24"/>
        </w:rPr>
        <w:t xml:space="preserve"> and </w:t>
      </w:r>
      <w:r w:rsidR="008A5652" w:rsidRPr="00B745A7">
        <w:rPr>
          <w:rFonts w:ascii="Times New Roman" w:hAnsi="Times New Roman" w:cs="Times New Roman"/>
          <w:sz w:val="24"/>
          <w:szCs w:val="24"/>
        </w:rPr>
        <w:t>rurality</w:t>
      </w:r>
      <w:r w:rsidR="003A03C8" w:rsidRPr="00B745A7">
        <w:rPr>
          <w:rFonts w:ascii="Times New Roman" w:hAnsi="Times New Roman" w:cs="Times New Roman"/>
          <w:sz w:val="24"/>
          <w:szCs w:val="24"/>
        </w:rPr>
        <w:t xml:space="preserve"> (</w:t>
      </w:r>
      <w:r w:rsidR="008A5652" w:rsidRPr="00B745A7">
        <w:rPr>
          <w:rFonts w:ascii="Times New Roman" w:hAnsi="Times New Roman" w:cs="Times New Roman"/>
          <w:sz w:val="24"/>
          <w:szCs w:val="24"/>
        </w:rPr>
        <w:t xml:space="preserve">Thorpe et al., 2010; </w:t>
      </w:r>
      <w:proofErr w:type="spellStart"/>
      <w:r w:rsidR="00E34317" w:rsidRPr="00B745A7">
        <w:rPr>
          <w:rFonts w:ascii="Times New Roman" w:hAnsi="Times New Roman" w:cs="Times New Roman"/>
          <w:sz w:val="24"/>
          <w:szCs w:val="24"/>
        </w:rPr>
        <w:t>Husaini</w:t>
      </w:r>
      <w:proofErr w:type="spellEnd"/>
      <w:r w:rsidR="00E34317" w:rsidRPr="00B745A7">
        <w:rPr>
          <w:rFonts w:ascii="Times New Roman" w:hAnsi="Times New Roman" w:cs="Times New Roman"/>
          <w:sz w:val="24"/>
          <w:szCs w:val="24"/>
        </w:rPr>
        <w:t xml:space="preserve"> et al., 2015; </w:t>
      </w:r>
      <w:r w:rsidR="00DE33D6" w:rsidRPr="00B745A7">
        <w:rPr>
          <w:rFonts w:ascii="Times New Roman" w:hAnsi="Times New Roman" w:cs="Times New Roman"/>
          <w:sz w:val="24"/>
          <w:szCs w:val="24"/>
        </w:rPr>
        <w:t xml:space="preserve">Shepherd et al., 2019; </w:t>
      </w:r>
      <w:r w:rsidR="0063497C" w:rsidRPr="00B745A7">
        <w:rPr>
          <w:rFonts w:ascii="Times New Roman" w:hAnsi="Times New Roman" w:cs="Times New Roman"/>
          <w:sz w:val="24"/>
          <w:szCs w:val="24"/>
        </w:rPr>
        <w:t>Watson et al., 2020</w:t>
      </w:r>
      <w:r w:rsidR="003A03C8" w:rsidRPr="00B745A7">
        <w:rPr>
          <w:rFonts w:ascii="Times New Roman" w:hAnsi="Times New Roman" w:cs="Times New Roman"/>
          <w:sz w:val="24"/>
          <w:szCs w:val="24"/>
        </w:rPr>
        <w:t xml:space="preserve">). </w:t>
      </w:r>
      <w:r w:rsidR="00B968B2" w:rsidRPr="00B745A7">
        <w:rPr>
          <w:rFonts w:ascii="Times New Roman" w:hAnsi="Times New Roman" w:cs="Times New Roman"/>
          <w:sz w:val="24"/>
          <w:szCs w:val="24"/>
        </w:rPr>
        <w:t>T</w:t>
      </w:r>
      <w:r w:rsidR="00BA33FE" w:rsidRPr="00B745A7">
        <w:rPr>
          <w:rFonts w:ascii="Times New Roman" w:hAnsi="Times New Roman" w:cs="Times New Roman"/>
          <w:sz w:val="24"/>
          <w:szCs w:val="24"/>
        </w:rPr>
        <w:t>here are also social and spatial differences in the use of primary healthcare</w:t>
      </w:r>
      <w:r w:rsidR="00B968B2" w:rsidRPr="00B745A7">
        <w:rPr>
          <w:rFonts w:ascii="Times New Roman" w:hAnsi="Times New Roman" w:cs="Times New Roman"/>
          <w:sz w:val="24"/>
          <w:szCs w:val="24"/>
        </w:rPr>
        <w:t xml:space="preserve"> among PLWD</w:t>
      </w:r>
      <w:r w:rsidR="00BA33FE" w:rsidRPr="00B745A7">
        <w:rPr>
          <w:rFonts w:ascii="Times New Roman" w:hAnsi="Times New Roman" w:cs="Times New Roman"/>
          <w:sz w:val="24"/>
          <w:szCs w:val="24"/>
        </w:rPr>
        <w:t>, including the quality and frequency of dementia medications and, adequate care and treatment reviews (Cooper et al., 2017; Giebel et al., 2021</w:t>
      </w:r>
      <w:r w:rsidR="00404C01" w:rsidRPr="00B745A7">
        <w:rPr>
          <w:rFonts w:ascii="Times New Roman" w:hAnsi="Times New Roman" w:cs="Times New Roman"/>
          <w:sz w:val="24"/>
          <w:szCs w:val="24"/>
        </w:rPr>
        <w:t>; Lu et al., 2021</w:t>
      </w:r>
      <w:r w:rsidR="00BA33FE" w:rsidRPr="00B745A7">
        <w:rPr>
          <w:rFonts w:ascii="Times New Roman" w:hAnsi="Times New Roman" w:cs="Times New Roman"/>
          <w:sz w:val="24"/>
          <w:szCs w:val="24"/>
        </w:rPr>
        <w:t>)</w:t>
      </w:r>
      <w:bookmarkEnd w:id="15"/>
      <w:r w:rsidR="00BA33FE" w:rsidRPr="00B745A7">
        <w:rPr>
          <w:rFonts w:ascii="Times New Roman" w:hAnsi="Times New Roman" w:cs="Times New Roman"/>
          <w:sz w:val="24"/>
          <w:szCs w:val="24"/>
        </w:rPr>
        <w:t>.</w:t>
      </w:r>
      <w:bookmarkEnd w:id="16"/>
      <w:r w:rsidR="00BA33FE" w:rsidRPr="00B745A7">
        <w:rPr>
          <w:rFonts w:ascii="Times New Roman" w:hAnsi="Times New Roman" w:cs="Times New Roman"/>
          <w:sz w:val="24"/>
          <w:szCs w:val="24"/>
        </w:rPr>
        <w:t xml:space="preserve"> </w:t>
      </w:r>
      <w:r w:rsidRPr="00B745A7">
        <w:rPr>
          <w:rFonts w:ascii="Times New Roman" w:hAnsi="Times New Roman" w:cs="Times New Roman"/>
          <w:sz w:val="24"/>
          <w:szCs w:val="24"/>
        </w:rPr>
        <w:t xml:space="preserve">Avoidable healthcare use </w:t>
      </w:r>
      <w:r w:rsidR="00B27E90" w:rsidRPr="00B745A7">
        <w:rPr>
          <w:rFonts w:ascii="Times New Roman" w:hAnsi="Times New Roman" w:cs="Times New Roman"/>
          <w:sz w:val="24"/>
          <w:szCs w:val="24"/>
        </w:rPr>
        <w:t xml:space="preserve">is </w:t>
      </w:r>
      <w:r w:rsidRPr="00B745A7">
        <w:rPr>
          <w:rFonts w:ascii="Times New Roman" w:hAnsi="Times New Roman" w:cs="Times New Roman"/>
          <w:sz w:val="24"/>
          <w:szCs w:val="24"/>
        </w:rPr>
        <w:t>associated with more severe dementia, faster deterioration, poorer quality of life, increased mortality risk and greater cost to the healthcare system (</w:t>
      </w:r>
      <w:bookmarkStart w:id="17" w:name="_Hlk101265844"/>
      <w:r w:rsidRPr="00B745A7">
        <w:rPr>
          <w:rFonts w:ascii="Times New Roman" w:hAnsi="Times New Roman" w:cs="Times New Roman"/>
          <w:sz w:val="24"/>
          <w:szCs w:val="24"/>
        </w:rPr>
        <w:t xml:space="preserve">Briggs et al., </w:t>
      </w:r>
      <w:bookmarkEnd w:id="17"/>
      <w:r w:rsidR="00AE3DD7" w:rsidRPr="00B745A7">
        <w:rPr>
          <w:rFonts w:ascii="Times New Roman" w:hAnsi="Times New Roman" w:cs="Times New Roman"/>
          <w:sz w:val="24"/>
          <w:szCs w:val="24"/>
        </w:rPr>
        <w:t>2017</w:t>
      </w:r>
      <w:r w:rsidRPr="00B745A7">
        <w:rPr>
          <w:rFonts w:ascii="Times New Roman" w:hAnsi="Times New Roman" w:cs="Times New Roman"/>
          <w:sz w:val="24"/>
          <w:szCs w:val="24"/>
        </w:rPr>
        <w:t xml:space="preserve">; </w:t>
      </w:r>
      <w:proofErr w:type="spellStart"/>
      <w:r w:rsidR="000A15BE" w:rsidRPr="00B745A7">
        <w:rPr>
          <w:rFonts w:ascii="Times New Roman" w:hAnsi="Times New Roman" w:cs="Times New Roman"/>
          <w:sz w:val="24"/>
          <w:szCs w:val="24"/>
        </w:rPr>
        <w:t>Reynish</w:t>
      </w:r>
      <w:proofErr w:type="spellEnd"/>
      <w:r w:rsidR="000A15BE" w:rsidRPr="00B745A7">
        <w:rPr>
          <w:rFonts w:ascii="Times New Roman" w:hAnsi="Times New Roman" w:cs="Times New Roman"/>
          <w:sz w:val="24"/>
          <w:szCs w:val="24"/>
        </w:rPr>
        <w:t xml:space="preserve"> et al., 2017</w:t>
      </w:r>
      <w:r w:rsidRPr="00B745A7">
        <w:rPr>
          <w:rFonts w:ascii="Times New Roman" w:hAnsi="Times New Roman" w:cs="Times New Roman"/>
          <w:sz w:val="24"/>
          <w:szCs w:val="24"/>
        </w:rPr>
        <w:t xml:space="preserve">; </w:t>
      </w:r>
      <w:r w:rsidR="000A15BE" w:rsidRPr="00B745A7">
        <w:rPr>
          <w:rFonts w:ascii="Times New Roman" w:hAnsi="Times New Roman" w:cs="Times New Roman"/>
          <w:sz w:val="24"/>
          <w:szCs w:val="24"/>
        </w:rPr>
        <w:t>Sager et al., 1996</w:t>
      </w:r>
      <w:r w:rsidRPr="00B745A7">
        <w:rPr>
          <w:rFonts w:ascii="Times New Roman" w:hAnsi="Times New Roman" w:cs="Times New Roman"/>
          <w:sz w:val="24"/>
          <w:szCs w:val="24"/>
        </w:rPr>
        <w:t xml:space="preserve">; </w:t>
      </w:r>
      <w:proofErr w:type="spellStart"/>
      <w:r w:rsidR="000A15BE" w:rsidRPr="00B745A7">
        <w:rPr>
          <w:rFonts w:ascii="Times New Roman" w:hAnsi="Times New Roman" w:cs="Times New Roman"/>
          <w:sz w:val="24"/>
          <w:szCs w:val="24"/>
        </w:rPr>
        <w:t>Tropea</w:t>
      </w:r>
      <w:proofErr w:type="spellEnd"/>
      <w:r w:rsidR="000A15BE" w:rsidRPr="00B745A7">
        <w:rPr>
          <w:rFonts w:ascii="Times New Roman" w:hAnsi="Times New Roman" w:cs="Times New Roman"/>
          <w:sz w:val="24"/>
          <w:szCs w:val="24"/>
        </w:rPr>
        <w:t xml:space="preserve"> et al., 2017</w:t>
      </w:r>
      <w:r w:rsidRPr="00B745A7">
        <w:rPr>
          <w:rFonts w:ascii="Times New Roman" w:hAnsi="Times New Roman" w:cs="Times New Roman"/>
          <w:sz w:val="24"/>
          <w:szCs w:val="24"/>
        </w:rPr>
        <w:t xml:space="preserve">; </w:t>
      </w:r>
      <w:bookmarkStart w:id="18" w:name="_Hlk101265867"/>
      <w:r w:rsidRPr="00B745A7">
        <w:rPr>
          <w:rFonts w:ascii="Times New Roman" w:hAnsi="Times New Roman" w:cs="Times New Roman"/>
          <w:sz w:val="24"/>
          <w:szCs w:val="24"/>
        </w:rPr>
        <w:t>van de Vorst et al., 2015</w:t>
      </w:r>
      <w:bookmarkEnd w:id="18"/>
      <w:r w:rsidRPr="00B745A7">
        <w:rPr>
          <w:rFonts w:ascii="Times New Roman" w:hAnsi="Times New Roman" w:cs="Times New Roman"/>
          <w:sz w:val="24"/>
          <w:szCs w:val="24"/>
        </w:rPr>
        <w:t>).</w:t>
      </w:r>
      <w:r w:rsidR="003A03C8" w:rsidRPr="00B745A7">
        <w:rPr>
          <w:rFonts w:ascii="Times New Roman" w:hAnsi="Times New Roman" w:cs="Times New Roman"/>
          <w:sz w:val="24"/>
          <w:szCs w:val="24"/>
        </w:rPr>
        <w:t xml:space="preserve"> </w:t>
      </w:r>
      <w:r w:rsidRPr="00B745A7">
        <w:rPr>
          <w:rFonts w:ascii="Times New Roman" w:hAnsi="Times New Roman" w:cs="Times New Roman"/>
          <w:sz w:val="24"/>
          <w:szCs w:val="24"/>
        </w:rPr>
        <w:t xml:space="preserve">Although early diagnosis and </w:t>
      </w:r>
      <w:r w:rsidR="00FD52B6" w:rsidRPr="00B745A7">
        <w:rPr>
          <w:rFonts w:ascii="Times New Roman" w:hAnsi="Times New Roman" w:cs="Times New Roman"/>
          <w:sz w:val="24"/>
          <w:szCs w:val="24"/>
        </w:rPr>
        <w:t xml:space="preserve">effective </w:t>
      </w:r>
      <w:r w:rsidRPr="00B745A7">
        <w:rPr>
          <w:rFonts w:ascii="Times New Roman" w:hAnsi="Times New Roman" w:cs="Times New Roman"/>
          <w:sz w:val="24"/>
          <w:szCs w:val="24"/>
        </w:rPr>
        <w:t>treatment can reduce avoidable healthcare use and associated negative outcomes (</w:t>
      </w:r>
      <w:r w:rsidR="000A15BE" w:rsidRPr="00B745A7">
        <w:rPr>
          <w:rFonts w:ascii="Times New Roman" w:hAnsi="Times New Roman" w:cs="Times New Roman"/>
          <w:sz w:val="24"/>
          <w:szCs w:val="24"/>
        </w:rPr>
        <w:t>Alzheimer’s Society, 2021</w:t>
      </w:r>
      <w:r w:rsidRPr="00B745A7">
        <w:rPr>
          <w:rFonts w:ascii="Times New Roman" w:hAnsi="Times New Roman" w:cs="Times New Roman"/>
          <w:sz w:val="24"/>
          <w:szCs w:val="24"/>
        </w:rPr>
        <w:t xml:space="preserve">; </w:t>
      </w:r>
      <w:r w:rsidR="000A15BE" w:rsidRPr="00B745A7">
        <w:rPr>
          <w:rFonts w:ascii="Times New Roman" w:hAnsi="Times New Roman" w:cs="Times New Roman"/>
          <w:sz w:val="24"/>
          <w:szCs w:val="24"/>
        </w:rPr>
        <w:t>Watson et al., 2021</w:t>
      </w:r>
      <w:r w:rsidRPr="00B745A7">
        <w:rPr>
          <w:rFonts w:ascii="Times New Roman" w:hAnsi="Times New Roman" w:cs="Times New Roman"/>
          <w:sz w:val="24"/>
          <w:szCs w:val="24"/>
        </w:rPr>
        <w:t xml:space="preserve">), a lack of funding for formal services and greater and more acute need among PLWD will likely exacerbate avoidable healthcare use, leading to more proliferate negative health outcomes for PLWD </w:t>
      </w:r>
      <w:r w:rsidR="00B27E90" w:rsidRPr="00B745A7">
        <w:rPr>
          <w:rFonts w:ascii="Times New Roman" w:hAnsi="Times New Roman" w:cs="Times New Roman"/>
          <w:sz w:val="24"/>
          <w:szCs w:val="24"/>
        </w:rPr>
        <w:t>with elevated costs to</w:t>
      </w:r>
      <w:r w:rsidRPr="00B745A7">
        <w:rPr>
          <w:rFonts w:ascii="Times New Roman" w:hAnsi="Times New Roman" w:cs="Times New Roman"/>
          <w:sz w:val="24"/>
          <w:szCs w:val="24"/>
        </w:rPr>
        <w:t xml:space="preserve"> healthcare services. </w:t>
      </w:r>
      <w:r w:rsidR="007030DB" w:rsidRPr="00B745A7">
        <w:rPr>
          <w:rFonts w:ascii="Times New Roman" w:hAnsi="Times New Roman" w:cs="Times New Roman"/>
          <w:sz w:val="24"/>
          <w:szCs w:val="24"/>
        </w:rPr>
        <w:t xml:space="preserve">Some socio-economic groups and geographic areas are more likely to experience a lack of sufficient care, including those from more remote or historically underserved communities (Rahman et al., 2020; Thorpe et al., 2020; Watson et al., 2020). </w:t>
      </w:r>
      <w:r w:rsidRPr="00B745A7">
        <w:rPr>
          <w:rFonts w:ascii="Times New Roman" w:hAnsi="Times New Roman" w:cs="Times New Roman"/>
          <w:sz w:val="24"/>
          <w:szCs w:val="24"/>
        </w:rPr>
        <w:t>Funding issues</w:t>
      </w:r>
      <w:r w:rsidR="00B27E90" w:rsidRPr="00B745A7">
        <w:rPr>
          <w:rFonts w:ascii="Times New Roman" w:hAnsi="Times New Roman" w:cs="Times New Roman"/>
          <w:sz w:val="24"/>
          <w:szCs w:val="24"/>
        </w:rPr>
        <w:t>, increased numbers of</w:t>
      </w:r>
      <w:r w:rsidRPr="00B745A7">
        <w:rPr>
          <w:rFonts w:ascii="Times New Roman" w:hAnsi="Times New Roman" w:cs="Times New Roman"/>
          <w:sz w:val="24"/>
          <w:szCs w:val="24"/>
        </w:rPr>
        <w:t xml:space="preserve"> PLWD</w:t>
      </w:r>
      <w:r w:rsidR="00B27E90" w:rsidRPr="00B745A7">
        <w:rPr>
          <w:rFonts w:ascii="Times New Roman" w:hAnsi="Times New Roman" w:cs="Times New Roman"/>
          <w:sz w:val="24"/>
          <w:szCs w:val="24"/>
        </w:rPr>
        <w:t xml:space="preserve"> and more acute need</w:t>
      </w:r>
      <w:r w:rsidRPr="00B745A7">
        <w:rPr>
          <w:rFonts w:ascii="Times New Roman" w:hAnsi="Times New Roman" w:cs="Times New Roman"/>
          <w:sz w:val="24"/>
          <w:szCs w:val="24"/>
        </w:rPr>
        <w:t xml:space="preserve"> is likely to widen</w:t>
      </w:r>
      <w:r w:rsidR="007030DB" w:rsidRPr="00B745A7">
        <w:rPr>
          <w:rFonts w:ascii="Times New Roman" w:hAnsi="Times New Roman" w:cs="Times New Roman"/>
          <w:sz w:val="24"/>
          <w:szCs w:val="24"/>
        </w:rPr>
        <w:t xml:space="preserve"> existing</w:t>
      </w:r>
      <w:r w:rsidRPr="00B745A7">
        <w:rPr>
          <w:rFonts w:ascii="Times New Roman" w:hAnsi="Times New Roman" w:cs="Times New Roman"/>
          <w:sz w:val="24"/>
          <w:szCs w:val="24"/>
        </w:rPr>
        <w:t xml:space="preserve"> inequalities, meaning those already experiencing poorer care, treatment and health outcomes will be affected more greatly.</w:t>
      </w:r>
    </w:p>
    <w:p w14:paraId="4D3F4A22" w14:textId="769F0A95" w:rsidR="00DB191E" w:rsidRPr="00B745A7" w:rsidRDefault="00DB191E" w:rsidP="00756CEB">
      <w:pPr>
        <w:spacing w:line="480" w:lineRule="auto"/>
        <w:ind w:firstLine="720"/>
        <w:jc w:val="both"/>
        <w:rPr>
          <w:rFonts w:ascii="Times New Roman" w:hAnsi="Times New Roman" w:cs="Times New Roman"/>
          <w:sz w:val="24"/>
          <w:szCs w:val="24"/>
        </w:rPr>
      </w:pPr>
      <w:r w:rsidRPr="00B745A7">
        <w:rPr>
          <w:rFonts w:ascii="Times New Roman" w:hAnsi="Times New Roman" w:cs="Times New Roman"/>
          <w:sz w:val="24"/>
          <w:szCs w:val="24"/>
        </w:rPr>
        <w:t>It is therefore essential we understand the spatial and social contexts that influence the healthcare experiences of PLWD, to identify and address their resulting inequalities (</w:t>
      </w:r>
      <w:r w:rsidR="000A15BE" w:rsidRPr="00B745A7">
        <w:rPr>
          <w:rFonts w:ascii="Times New Roman" w:hAnsi="Times New Roman" w:cs="Times New Roman"/>
          <w:sz w:val="24"/>
          <w:szCs w:val="24"/>
        </w:rPr>
        <w:t xml:space="preserve">Pearce, Mitchell and </w:t>
      </w:r>
      <w:proofErr w:type="spellStart"/>
      <w:r w:rsidR="000A15BE" w:rsidRPr="00B745A7">
        <w:rPr>
          <w:rFonts w:ascii="Times New Roman" w:hAnsi="Times New Roman" w:cs="Times New Roman"/>
          <w:sz w:val="24"/>
          <w:szCs w:val="24"/>
        </w:rPr>
        <w:t>Shortt</w:t>
      </w:r>
      <w:proofErr w:type="spellEnd"/>
      <w:r w:rsidR="000A15BE" w:rsidRPr="00B745A7">
        <w:rPr>
          <w:rFonts w:ascii="Times New Roman" w:hAnsi="Times New Roman" w:cs="Times New Roman"/>
          <w:sz w:val="24"/>
          <w:szCs w:val="24"/>
        </w:rPr>
        <w:t>, 2015</w:t>
      </w:r>
      <w:r w:rsidRPr="00B745A7">
        <w:rPr>
          <w:rFonts w:ascii="Times New Roman" w:hAnsi="Times New Roman" w:cs="Times New Roman"/>
          <w:sz w:val="24"/>
          <w:szCs w:val="24"/>
        </w:rPr>
        <w:t xml:space="preserve">). </w:t>
      </w:r>
      <w:bookmarkStart w:id="19" w:name="_Hlk106279803"/>
      <w:r w:rsidR="007851AC" w:rsidRPr="00B745A7">
        <w:rPr>
          <w:rFonts w:ascii="Times New Roman" w:hAnsi="Times New Roman" w:cs="Times New Roman"/>
          <w:sz w:val="24"/>
          <w:szCs w:val="24"/>
        </w:rPr>
        <w:t xml:space="preserve">We define inequality here to mean observable differences between societal groups. We are describing the extent of these differences, and therefore we do not take </w:t>
      </w:r>
      <w:r w:rsidR="007851AC" w:rsidRPr="00B745A7">
        <w:rPr>
          <w:rFonts w:ascii="Times New Roman" w:hAnsi="Times New Roman" w:cs="Times New Roman"/>
          <w:sz w:val="24"/>
          <w:szCs w:val="24"/>
        </w:rPr>
        <w:lastRenderedPageBreak/>
        <w:t>an equity approach, however, inequalities often reflect unjust and unfair processes that lead to certain social groups to have better health than others. While some argue that inequalities reflect differences in need, these differences in need are often socially rooted as well. In our paper we select social and spatial factors that have been identified by the UK Government as unjust and use them as social markers for measuring inequalities.</w:t>
      </w:r>
      <w:bookmarkEnd w:id="19"/>
      <w:r w:rsidR="007851AC" w:rsidRPr="00B745A7">
        <w:rPr>
          <w:rFonts w:ascii="Times New Roman" w:hAnsi="Times New Roman" w:cs="Times New Roman"/>
          <w:sz w:val="24"/>
          <w:szCs w:val="24"/>
        </w:rPr>
        <w:t xml:space="preserve"> Providing</w:t>
      </w:r>
      <w:r w:rsidRPr="00B745A7">
        <w:rPr>
          <w:rFonts w:ascii="Times New Roman" w:hAnsi="Times New Roman" w:cs="Times New Roman"/>
          <w:sz w:val="24"/>
          <w:szCs w:val="24"/>
        </w:rPr>
        <w:t xml:space="preserve"> a picture of differential need and quality and, avoidable service use based on spatial factors, can help with policy decisions to reduce pressure and financial burden on services and potentially address improved well-being for people with dementia (</w:t>
      </w:r>
      <w:proofErr w:type="spellStart"/>
      <w:r w:rsidR="000A15BE" w:rsidRPr="00B745A7">
        <w:rPr>
          <w:rFonts w:ascii="Times New Roman" w:hAnsi="Times New Roman" w:cs="Times New Roman"/>
          <w:sz w:val="24"/>
          <w:szCs w:val="24"/>
        </w:rPr>
        <w:t>Dummer</w:t>
      </w:r>
      <w:proofErr w:type="spellEnd"/>
      <w:r w:rsidR="000A15BE" w:rsidRPr="00B745A7">
        <w:rPr>
          <w:rFonts w:ascii="Times New Roman" w:hAnsi="Times New Roman" w:cs="Times New Roman"/>
          <w:sz w:val="24"/>
          <w:szCs w:val="24"/>
        </w:rPr>
        <w:t>, 2008</w:t>
      </w:r>
      <w:r w:rsidRPr="00B745A7">
        <w:rPr>
          <w:rFonts w:ascii="Times New Roman" w:hAnsi="Times New Roman" w:cs="Times New Roman"/>
          <w:sz w:val="24"/>
          <w:szCs w:val="24"/>
        </w:rPr>
        <w:t xml:space="preserve">; </w:t>
      </w:r>
      <w:r w:rsidR="000A15BE" w:rsidRPr="00B745A7">
        <w:rPr>
          <w:rFonts w:ascii="Times New Roman" w:hAnsi="Times New Roman" w:cs="Times New Roman"/>
          <w:sz w:val="24"/>
          <w:szCs w:val="24"/>
        </w:rPr>
        <w:t>Rice and Smith, 2001</w:t>
      </w:r>
      <w:r w:rsidRPr="00B745A7">
        <w:rPr>
          <w:rFonts w:ascii="Times New Roman" w:hAnsi="Times New Roman" w:cs="Times New Roman"/>
          <w:sz w:val="24"/>
          <w:szCs w:val="24"/>
        </w:rPr>
        <w:t xml:space="preserve">). </w:t>
      </w:r>
    </w:p>
    <w:p w14:paraId="100BDC23" w14:textId="62B153A2" w:rsidR="00DB191E" w:rsidRPr="00B745A7" w:rsidRDefault="00DB191E" w:rsidP="00756CEB">
      <w:pPr>
        <w:spacing w:line="480" w:lineRule="auto"/>
        <w:ind w:firstLine="720"/>
        <w:jc w:val="both"/>
        <w:rPr>
          <w:rFonts w:ascii="Times New Roman" w:hAnsi="Times New Roman" w:cs="Times New Roman"/>
          <w:sz w:val="24"/>
          <w:szCs w:val="24"/>
        </w:rPr>
      </w:pPr>
      <w:r w:rsidRPr="00B745A7">
        <w:rPr>
          <w:rFonts w:ascii="Times New Roman" w:hAnsi="Times New Roman" w:cs="Times New Roman"/>
          <w:sz w:val="24"/>
          <w:szCs w:val="24"/>
        </w:rPr>
        <w:t>To reduce current and future inequalities among PLWD, we need to support better service delivery and healthcare decision-making. Electronic Healthcare Records (EHRs) can be used to identify healthcare use among large cohorts of patients with a specified health condition, such as dementia (</w:t>
      </w:r>
      <w:bookmarkStart w:id="20" w:name="_Hlk101265904"/>
      <w:r w:rsidRPr="00B745A7">
        <w:rPr>
          <w:rFonts w:ascii="Times New Roman" w:hAnsi="Times New Roman" w:cs="Times New Roman"/>
          <w:sz w:val="24"/>
          <w:szCs w:val="24"/>
        </w:rPr>
        <w:t>Casey et al., 2016</w:t>
      </w:r>
      <w:bookmarkEnd w:id="20"/>
      <w:r w:rsidRPr="00B745A7">
        <w:rPr>
          <w:rFonts w:ascii="Times New Roman" w:hAnsi="Times New Roman" w:cs="Times New Roman"/>
          <w:sz w:val="24"/>
          <w:szCs w:val="24"/>
        </w:rPr>
        <w:t xml:space="preserve">). EHRs have been employed previously to evidence inequalities in health outcomes (Watson et al., 2020; </w:t>
      </w:r>
      <w:r w:rsidR="000A15BE" w:rsidRPr="00B745A7">
        <w:rPr>
          <w:rFonts w:ascii="Times New Roman" w:hAnsi="Times New Roman" w:cs="Times New Roman"/>
          <w:sz w:val="24"/>
          <w:szCs w:val="24"/>
        </w:rPr>
        <w:t>Watson et al., 2021</w:t>
      </w:r>
      <w:r w:rsidRPr="00B745A7">
        <w:rPr>
          <w:rFonts w:ascii="Times New Roman" w:hAnsi="Times New Roman" w:cs="Times New Roman"/>
          <w:sz w:val="24"/>
          <w:szCs w:val="24"/>
        </w:rPr>
        <w:t xml:space="preserve">). </w:t>
      </w:r>
      <w:bookmarkStart w:id="21" w:name="_Hlk106273189"/>
      <w:r w:rsidR="003716EE" w:rsidRPr="00B745A7">
        <w:rPr>
          <w:rFonts w:ascii="Times New Roman" w:hAnsi="Times New Roman" w:cs="Times New Roman"/>
          <w:sz w:val="24"/>
          <w:szCs w:val="24"/>
        </w:rPr>
        <w:t>Understanding which services PLWD are in contact with, by social and spatial variables, can demonstrate differences associated with healthcare utilisation.</w:t>
      </w:r>
      <w:bookmarkEnd w:id="21"/>
      <w:r w:rsidRPr="00B745A7">
        <w:rPr>
          <w:rFonts w:ascii="Times New Roman" w:hAnsi="Times New Roman" w:cs="Times New Roman"/>
          <w:sz w:val="24"/>
          <w:szCs w:val="24"/>
        </w:rPr>
        <w:t xml:space="preserve"> There is a dearth of research evidencing contact with a multitude of healthcare services, or incorporating multiple explanatory factors of </w:t>
      </w:r>
      <w:r w:rsidR="00B968B2" w:rsidRPr="00B745A7">
        <w:rPr>
          <w:rFonts w:ascii="Times New Roman" w:hAnsi="Times New Roman" w:cs="Times New Roman"/>
          <w:sz w:val="24"/>
          <w:szCs w:val="24"/>
        </w:rPr>
        <w:t xml:space="preserve">differences </w:t>
      </w:r>
      <w:r w:rsidRPr="00B745A7">
        <w:rPr>
          <w:rFonts w:ascii="Times New Roman" w:hAnsi="Times New Roman" w:cs="Times New Roman"/>
          <w:sz w:val="24"/>
          <w:szCs w:val="24"/>
        </w:rPr>
        <w:t xml:space="preserve">in healthcare use (Watson et al., 2020). </w:t>
      </w:r>
      <w:r w:rsidR="00B27E90" w:rsidRPr="00B745A7">
        <w:rPr>
          <w:rFonts w:ascii="Times New Roman" w:hAnsi="Times New Roman" w:cs="Times New Roman"/>
          <w:sz w:val="24"/>
          <w:szCs w:val="24"/>
        </w:rPr>
        <w:t xml:space="preserve">Also, we </w:t>
      </w:r>
      <w:r w:rsidRPr="00B745A7">
        <w:rPr>
          <w:rFonts w:ascii="Times New Roman" w:hAnsi="Times New Roman" w:cs="Times New Roman"/>
          <w:sz w:val="24"/>
          <w:szCs w:val="24"/>
        </w:rPr>
        <w:t xml:space="preserve">are </w:t>
      </w:r>
      <w:r w:rsidR="00B27E90" w:rsidRPr="00B745A7">
        <w:rPr>
          <w:rFonts w:ascii="Times New Roman" w:hAnsi="Times New Roman" w:cs="Times New Roman"/>
          <w:sz w:val="24"/>
          <w:szCs w:val="24"/>
        </w:rPr>
        <w:t>n</w:t>
      </w:r>
      <w:r w:rsidRPr="00B745A7">
        <w:rPr>
          <w:rFonts w:ascii="Times New Roman" w:hAnsi="Times New Roman" w:cs="Times New Roman"/>
          <w:sz w:val="24"/>
          <w:szCs w:val="24"/>
        </w:rPr>
        <w:t xml:space="preserve">ot aware of previous research exploring spatial </w:t>
      </w:r>
      <w:r w:rsidR="00B968B2" w:rsidRPr="00B745A7">
        <w:rPr>
          <w:rFonts w:ascii="Times New Roman" w:hAnsi="Times New Roman" w:cs="Times New Roman"/>
          <w:sz w:val="24"/>
          <w:szCs w:val="24"/>
        </w:rPr>
        <w:t xml:space="preserve">variations </w:t>
      </w:r>
      <w:r w:rsidRPr="00B745A7">
        <w:rPr>
          <w:rFonts w:ascii="Times New Roman" w:hAnsi="Times New Roman" w:cs="Times New Roman"/>
          <w:sz w:val="24"/>
          <w:szCs w:val="24"/>
        </w:rPr>
        <w:t>in healthcare use among PLWD.</w:t>
      </w:r>
    </w:p>
    <w:p w14:paraId="3208DFC4" w14:textId="1B0BD441" w:rsidR="00DB191E" w:rsidRPr="00B745A7" w:rsidRDefault="00DB191E" w:rsidP="00756CEB">
      <w:pPr>
        <w:spacing w:line="480" w:lineRule="auto"/>
        <w:ind w:firstLine="720"/>
        <w:rPr>
          <w:rFonts w:ascii="Times New Roman" w:hAnsi="Times New Roman" w:cs="Times New Roman"/>
          <w:sz w:val="24"/>
          <w:szCs w:val="24"/>
        </w:rPr>
      </w:pPr>
      <w:r w:rsidRPr="00B745A7">
        <w:rPr>
          <w:rFonts w:ascii="Times New Roman" w:hAnsi="Times New Roman" w:cs="Times New Roman"/>
          <w:sz w:val="24"/>
          <w:szCs w:val="24"/>
        </w:rPr>
        <w:t xml:space="preserve">The aim of this study was to examine the extent to which social and spatial factors are associated with </w:t>
      </w:r>
      <w:r w:rsidR="00B968B2" w:rsidRPr="00B745A7">
        <w:rPr>
          <w:rFonts w:ascii="Times New Roman" w:hAnsi="Times New Roman" w:cs="Times New Roman"/>
          <w:sz w:val="24"/>
          <w:szCs w:val="24"/>
        </w:rPr>
        <w:t xml:space="preserve">variations </w:t>
      </w:r>
      <w:r w:rsidRPr="00B745A7">
        <w:rPr>
          <w:rFonts w:ascii="Times New Roman" w:hAnsi="Times New Roman" w:cs="Times New Roman"/>
          <w:sz w:val="24"/>
          <w:szCs w:val="24"/>
        </w:rPr>
        <w:t>in the use of different types of primary and secondary healthcare among PLWD, using large-scale, longitudinal Electronic Health Records (EHR).</w:t>
      </w:r>
    </w:p>
    <w:bookmarkEnd w:id="5"/>
    <w:p w14:paraId="63FFF3F4" w14:textId="7AE34276" w:rsidR="007166CE" w:rsidRPr="00B745A7" w:rsidRDefault="007B7C30" w:rsidP="00AD5F19">
      <w:pPr>
        <w:spacing w:line="480" w:lineRule="auto"/>
        <w:jc w:val="both"/>
        <w:rPr>
          <w:rFonts w:ascii="Times New Roman" w:hAnsi="Times New Roman" w:cs="Times New Roman"/>
          <w:sz w:val="24"/>
          <w:szCs w:val="24"/>
        </w:rPr>
      </w:pPr>
      <w:r w:rsidRPr="00B745A7">
        <w:rPr>
          <w:rFonts w:ascii="Times New Roman" w:hAnsi="Times New Roman" w:cs="Times New Roman"/>
          <w:b/>
          <w:sz w:val="24"/>
          <w:szCs w:val="24"/>
        </w:rPr>
        <w:t xml:space="preserve">Materials and </w:t>
      </w:r>
      <w:r w:rsidR="007166CE" w:rsidRPr="00B745A7">
        <w:rPr>
          <w:rFonts w:ascii="Times New Roman" w:hAnsi="Times New Roman" w:cs="Times New Roman"/>
          <w:b/>
          <w:sz w:val="24"/>
          <w:szCs w:val="24"/>
        </w:rPr>
        <w:t>Methods</w:t>
      </w:r>
    </w:p>
    <w:p w14:paraId="6D3EB3F3" w14:textId="4011540D" w:rsidR="007166CE" w:rsidRPr="00B745A7" w:rsidRDefault="007166CE" w:rsidP="00AD5F19">
      <w:pPr>
        <w:spacing w:line="480" w:lineRule="auto"/>
        <w:jc w:val="both"/>
        <w:rPr>
          <w:rFonts w:ascii="Times New Roman" w:hAnsi="Times New Roman" w:cs="Times New Roman"/>
          <w:b/>
          <w:i/>
          <w:sz w:val="24"/>
          <w:szCs w:val="24"/>
        </w:rPr>
      </w:pPr>
      <w:r w:rsidRPr="00B745A7">
        <w:rPr>
          <w:rFonts w:ascii="Times New Roman" w:hAnsi="Times New Roman" w:cs="Times New Roman"/>
          <w:b/>
          <w:i/>
          <w:sz w:val="24"/>
          <w:szCs w:val="24"/>
        </w:rPr>
        <w:t>Data Access and Ethical Approval</w:t>
      </w:r>
    </w:p>
    <w:p w14:paraId="64133054" w14:textId="320C961E" w:rsidR="00E13893" w:rsidRPr="00B745A7" w:rsidRDefault="00F75F32" w:rsidP="00756CEB">
      <w:pPr>
        <w:spacing w:line="480" w:lineRule="auto"/>
        <w:ind w:firstLine="720"/>
        <w:jc w:val="both"/>
        <w:rPr>
          <w:rFonts w:ascii="Times New Roman" w:hAnsi="Times New Roman" w:cs="Times New Roman"/>
          <w:sz w:val="24"/>
          <w:szCs w:val="24"/>
        </w:rPr>
      </w:pPr>
      <w:r w:rsidRPr="00B745A7">
        <w:rPr>
          <w:rFonts w:ascii="Times New Roman" w:hAnsi="Times New Roman" w:cs="Times New Roman"/>
          <w:sz w:val="24"/>
          <w:szCs w:val="24"/>
        </w:rPr>
        <w:lastRenderedPageBreak/>
        <w:t xml:space="preserve">Clinical Practice Research Datalink (CPRD) collect </w:t>
      </w:r>
      <w:r w:rsidR="00902532" w:rsidRPr="00B745A7">
        <w:rPr>
          <w:rFonts w:ascii="Times New Roman" w:hAnsi="Times New Roman" w:cs="Times New Roman"/>
          <w:sz w:val="24"/>
          <w:szCs w:val="24"/>
        </w:rPr>
        <w:t>pseudo-</w:t>
      </w:r>
      <w:r w:rsidRPr="00B745A7">
        <w:rPr>
          <w:rFonts w:ascii="Times New Roman" w:hAnsi="Times New Roman" w:cs="Times New Roman"/>
          <w:sz w:val="24"/>
          <w:szCs w:val="24"/>
        </w:rPr>
        <w:t>anonymised, E</w:t>
      </w:r>
      <w:r w:rsidR="002946ED" w:rsidRPr="00B745A7">
        <w:rPr>
          <w:rFonts w:ascii="Times New Roman" w:hAnsi="Times New Roman" w:cs="Times New Roman"/>
          <w:sz w:val="24"/>
          <w:szCs w:val="24"/>
        </w:rPr>
        <w:t xml:space="preserve">lectronic </w:t>
      </w:r>
      <w:r w:rsidRPr="00B745A7">
        <w:rPr>
          <w:rFonts w:ascii="Times New Roman" w:hAnsi="Times New Roman" w:cs="Times New Roman"/>
          <w:sz w:val="24"/>
          <w:szCs w:val="24"/>
        </w:rPr>
        <w:t>H</w:t>
      </w:r>
      <w:r w:rsidR="002946ED" w:rsidRPr="00B745A7">
        <w:rPr>
          <w:rFonts w:ascii="Times New Roman" w:hAnsi="Times New Roman" w:cs="Times New Roman"/>
          <w:sz w:val="24"/>
          <w:szCs w:val="24"/>
        </w:rPr>
        <w:t xml:space="preserve">ealth </w:t>
      </w:r>
      <w:r w:rsidRPr="00B745A7">
        <w:rPr>
          <w:rFonts w:ascii="Times New Roman" w:hAnsi="Times New Roman" w:cs="Times New Roman"/>
          <w:sz w:val="24"/>
          <w:szCs w:val="24"/>
        </w:rPr>
        <w:t>R</w:t>
      </w:r>
      <w:r w:rsidR="002946ED" w:rsidRPr="00B745A7">
        <w:rPr>
          <w:rFonts w:ascii="Times New Roman" w:hAnsi="Times New Roman" w:cs="Times New Roman"/>
          <w:sz w:val="24"/>
          <w:szCs w:val="24"/>
        </w:rPr>
        <w:t>ecords (EHR)</w:t>
      </w:r>
      <w:r w:rsidRPr="00B745A7">
        <w:rPr>
          <w:rFonts w:ascii="Times New Roman" w:hAnsi="Times New Roman" w:cs="Times New Roman"/>
          <w:sz w:val="24"/>
          <w:szCs w:val="24"/>
        </w:rPr>
        <w:t xml:space="preserve"> from G</w:t>
      </w:r>
      <w:r w:rsidR="002946ED" w:rsidRPr="00B745A7">
        <w:rPr>
          <w:rFonts w:ascii="Times New Roman" w:hAnsi="Times New Roman" w:cs="Times New Roman"/>
          <w:sz w:val="24"/>
          <w:szCs w:val="24"/>
        </w:rPr>
        <w:t xml:space="preserve">eneral </w:t>
      </w:r>
      <w:r w:rsidRPr="00B745A7">
        <w:rPr>
          <w:rFonts w:ascii="Times New Roman" w:hAnsi="Times New Roman" w:cs="Times New Roman"/>
          <w:sz w:val="24"/>
          <w:szCs w:val="24"/>
        </w:rPr>
        <w:t>P</w:t>
      </w:r>
      <w:r w:rsidR="002946ED" w:rsidRPr="00B745A7">
        <w:rPr>
          <w:rFonts w:ascii="Times New Roman" w:hAnsi="Times New Roman" w:cs="Times New Roman"/>
          <w:sz w:val="24"/>
          <w:szCs w:val="24"/>
        </w:rPr>
        <w:t>ractices</w:t>
      </w:r>
      <w:r w:rsidRPr="00B745A7">
        <w:rPr>
          <w:rFonts w:ascii="Times New Roman" w:hAnsi="Times New Roman" w:cs="Times New Roman"/>
          <w:sz w:val="24"/>
          <w:szCs w:val="24"/>
        </w:rPr>
        <w:t xml:space="preserve"> </w:t>
      </w:r>
      <w:r w:rsidR="002946ED" w:rsidRPr="00B745A7">
        <w:rPr>
          <w:rFonts w:ascii="Times New Roman" w:hAnsi="Times New Roman" w:cs="Times New Roman"/>
          <w:sz w:val="24"/>
          <w:szCs w:val="24"/>
        </w:rPr>
        <w:t>(GP)</w:t>
      </w:r>
      <w:r w:rsidRPr="00B745A7">
        <w:rPr>
          <w:rFonts w:ascii="Times New Roman" w:hAnsi="Times New Roman" w:cs="Times New Roman"/>
          <w:sz w:val="24"/>
          <w:szCs w:val="24"/>
        </w:rPr>
        <w:t xml:space="preserve"> across the United Kingdom (UK). CPRD data </w:t>
      </w:r>
      <w:r w:rsidR="00703490" w:rsidRPr="00B745A7">
        <w:rPr>
          <w:rFonts w:ascii="Times New Roman" w:hAnsi="Times New Roman" w:cs="Times New Roman"/>
          <w:sz w:val="24"/>
          <w:szCs w:val="24"/>
        </w:rPr>
        <w:t>incorporates</w:t>
      </w:r>
      <w:r w:rsidRPr="00B745A7">
        <w:rPr>
          <w:rFonts w:ascii="Times New Roman" w:hAnsi="Times New Roman" w:cs="Times New Roman"/>
          <w:sz w:val="24"/>
          <w:szCs w:val="24"/>
        </w:rPr>
        <w:t xml:space="preserve"> ~16million patients registered with </w:t>
      </w:r>
      <w:r w:rsidR="001107D2" w:rsidRPr="00B745A7">
        <w:rPr>
          <w:rFonts w:ascii="Times New Roman" w:hAnsi="Times New Roman" w:cs="Times New Roman"/>
          <w:sz w:val="24"/>
          <w:szCs w:val="24"/>
        </w:rPr>
        <w:t xml:space="preserve">UK </w:t>
      </w:r>
      <w:r w:rsidRPr="00B745A7">
        <w:rPr>
          <w:rFonts w:ascii="Times New Roman" w:hAnsi="Times New Roman" w:cs="Times New Roman"/>
          <w:sz w:val="24"/>
          <w:szCs w:val="24"/>
        </w:rPr>
        <w:t>GPs</w:t>
      </w:r>
      <w:r w:rsidR="00902532" w:rsidRPr="00B745A7">
        <w:rPr>
          <w:rFonts w:ascii="Times New Roman" w:hAnsi="Times New Roman" w:cs="Times New Roman"/>
          <w:sz w:val="24"/>
          <w:szCs w:val="24"/>
        </w:rPr>
        <w:t xml:space="preserve"> representing</w:t>
      </w:r>
      <w:r w:rsidR="00CC5A35" w:rsidRPr="00B745A7">
        <w:rPr>
          <w:rFonts w:ascii="Times New Roman" w:hAnsi="Times New Roman" w:cs="Times New Roman"/>
          <w:sz w:val="24"/>
          <w:szCs w:val="24"/>
        </w:rPr>
        <w:t xml:space="preserve"> 25% of the UK</w:t>
      </w:r>
      <w:r w:rsidR="004E7165" w:rsidRPr="00B745A7">
        <w:rPr>
          <w:rFonts w:ascii="Times New Roman" w:hAnsi="Times New Roman" w:cs="Times New Roman"/>
          <w:sz w:val="24"/>
          <w:szCs w:val="24"/>
        </w:rPr>
        <w:t xml:space="preserve"> patient</w:t>
      </w:r>
      <w:r w:rsidR="00CC5A35" w:rsidRPr="00B745A7">
        <w:rPr>
          <w:rFonts w:ascii="Times New Roman" w:hAnsi="Times New Roman" w:cs="Times New Roman"/>
          <w:sz w:val="24"/>
          <w:szCs w:val="24"/>
        </w:rPr>
        <w:t xml:space="preserve"> population. </w:t>
      </w:r>
      <w:r w:rsidR="00E13893" w:rsidRPr="00B745A7">
        <w:rPr>
          <w:rFonts w:ascii="Times New Roman" w:hAnsi="Times New Roman" w:cs="Times New Roman"/>
          <w:sz w:val="24"/>
          <w:szCs w:val="24"/>
        </w:rPr>
        <w:t xml:space="preserve">CPRD </w:t>
      </w:r>
      <w:proofErr w:type="spellStart"/>
      <w:r w:rsidR="00E13893" w:rsidRPr="00B745A7">
        <w:rPr>
          <w:rFonts w:ascii="Times New Roman" w:hAnsi="Times New Roman" w:cs="Times New Roman"/>
          <w:sz w:val="24"/>
          <w:szCs w:val="24"/>
        </w:rPr>
        <w:t>Aurum</w:t>
      </w:r>
      <w:proofErr w:type="spellEnd"/>
      <w:r w:rsidR="00E13893" w:rsidRPr="00B745A7">
        <w:rPr>
          <w:rFonts w:ascii="Times New Roman" w:hAnsi="Times New Roman" w:cs="Times New Roman"/>
          <w:sz w:val="24"/>
          <w:szCs w:val="24"/>
        </w:rPr>
        <w:t xml:space="preserve"> contains routinely-collected</w:t>
      </w:r>
      <w:r w:rsidR="00160E2F" w:rsidRPr="00B745A7">
        <w:rPr>
          <w:rFonts w:ascii="Times New Roman" w:hAnsi="Times New Roman" w:cs="Times New Roman"/>
          <w:sz w:val="24"/>
          <w:szCs w:val="24"/>
        </w:rPr>
        <w:t>,</w:t>
      </w:r>
      <w:r w:rsidR="00F376D7" w:rsidRPr="00B745A7">
        <w:rPr>
          <w:rFonts w:ascii="Times New Roman" w:hAnsi="Times New Roman" w:cs="Times New Roman"/>
          <w:sz w:val="24"/>
          <w:szCs w:val="24"/>
        </w:rPr>
        <w:t xml:space="preserve"> anonymised </w:t>
      </w:r>
      <w:r w:rsidR="00F1286E" w:rsidRPr="00B745A7">
        <w:rPr>
          <w:rFonts w:ascii="Times New Roman" w:hAnsi="Times New Roman" w:cs="Times New Roman"/>
          <w:sz w:val="24"/>
          <w:szCs w:val="24"/>
        </w:rPr>
        <w:t>EHR from registered G</w:t>
      </w:r>
      <w:r w:rsidR="00C57D32" w:rsidRPr="00B745A7">
        <w:rPr>
          <w:rFonts w:ascii="Times New Roman" w:hAnsi="Times New Roman" w:cs="Times New Roman"/>
          <w:sz w:val="24"/>
          <w:szCs w:val="24"/>
        </w:rPr>
        <w:t>P</w:t>
      </w:r>
      <w:r w:rsidR="00F1286E" w:rsidRPr="00B745A7">
        <w:rPr>
          <w:rFonts w:ascii="Times New Roman" w:hAnsi="Times New Roman" w:cs="Times New Roman"/>
          <w:sz w:val="24"/>
          <w:szCs w:val="24"/>
        </w:rPr>
        <w:t xml:space="preserve">s, covering primary care data, </w:t>
      </w:r>
      <w:r w:rsidR="00F970EE" w:rsidRPr="00B745A7">
        <w:rPr>
          <w:rFonts w:ascii="Times New Roman" w:hAnsi="Times New Roman" w:cs="Times New Roman"/>
          <w:sz w:val="24"/>
          <w:szCs w:val="24"/>
        </w:rPr>
        <w:t>including</w:t>
      </w:r>
      <w:r w:rsidR="00F1286E" w:rsidRPr="00B745A7">
        <w:rPr>
          <w:rFonts w:ascii="Times New Roman" w:hAnsi="Times New Roman" w:cs="Times New Roman"/>
          <w:sz w:val="24"/>
          <w:szCs w:val="24"/>
        </w:rPr>
        <w:t xml:space="preserve"> </w:t>
      </w:r>
      <w:r w:rsidR="00160E2F" w:rsidRPr="00B745A7">
        <w:rPr>
          <w:rFonts w:ascii="Times New Roman" w:hAnsi="Times New Roman" w:cs="Times New Roman"/>
          <w:sz w:val="24"/>
          <w:szCs w:val="24"/>
        </w:rPr>
        <w:t>GP contacts and medications</w:t>
      </w:r>
      <w:r w:rsidR="00F1286E" w:rsidRPr="00B745A7">
        <w:rPr>
          <w:rFonts w:ascii="Times New Roman" w:hAnsi="Times New Roman" w:cs="Times New Roman"/>
          <w:sz w:val="24"/>
          <w:szCs w:val="24"/>
        </w:rPr>
        <w:t>. CPRD</w:t>
      </w:r>
      <w:r w:rsidR="00160E2F" w:rsidRPr="00B745A7">
        <w:rPr>
          <w:rFonts w:ascii="Times New Roman" w:hAnsi="Times New Roman" w:cs="Times New Roman"/>
          <w:sz w:val="24"/>
          <w:szCs w:val="24"/>
        </w:rPr>
        <w:t xml:space="preserve"> can also</w:t>
      </w:r>
      <w:r w:rsidR="00F1286E" w:rsidRPr="00B745A7">
        <w:rPr>
          <w:rFonts w:ascii="Times New Roman" w:hAnsi="Times New Roman" w:cs="Times New Roman"/>
          <w:sz w:val="24"/>
          <w:szCs w:val="24"/>
        </w:rPr>
        <w:t xml:space="preserve"> provide data linkage between primary and secondary healthcare records, soci</w:t>
      </w:r>
      <w:r w:rsidR="002E5628" w:rsidRPr="00B745A7">
        <w:rPr>
          <w:rFonts w:ascii="Times New Roman" w:hAnsi="Times New Roman" w:cs="Times New Roman"/>
          <w:sz w:val="24"/>
          <w:szCs w:val="24"/>
        </w:rPr>
        <w:t>al</w:t>
      </w:r>
      <w:r w:rsidR="00F1286E" w:rsidRPr="00B745A7">
        <w:rPr>
          <w:rFonts w:ascii="Times New Roman" w:hAnsi="Times New Roman" w:cs="Times New Roman"/>
          <w:sz w:val="24"/>
          <w:szCs w:val="24"/>
        </w:rPr>
        <w:t xml:space="preserve"> and </w:t>
      </w:r>
      <w:r w:rsidR="002E5628" w:rsidRPr="00B745A7">
        <w:rPr>
          <w:rFonts w:ascii="Times New Roman" w:hAnsi="Times New Roman" w:cs="Times New Roman"/>
          <w:sz w:val="24"/>
          <w:szCs w:val="24"/>
        </w:rPr>
        <w:t xml:space="preserve">spatial </w:t>
      </w:r>
      <w:r w:rsidR="00F1286E" w:rsidRPr="00B745A7">
        <w:rPr>
          <w:rFonts w:ascii="Times New Roman" w:hAnsi="Times New Roman" w:cs="Times New Roman"/>
          <w:sz w:val="24"/>
          <w:szCs w:val="24"/>
        </w:rPr>
        <w:t>variables (</w:t>
      </w:r>
      <w:r w:rsidR="000A15BE" w:rsidRPr="00B745A7">
        <w:rPr>
          <w:rFonts w:ascii="Times New Roman" w:hAnsi="Times New Roman" w:cs="Times New Roman"/>
          <w:sz w:val="24"/>
          <w:szCs w:val="24"/>
        </w:rPr>
        <w:t>CPRD, 2021</w:t>
      </w:r>
      <w:r w:rsidR="00F1286E" w:rsidRPr="00B745A7">
        <w:rPr>
          <w:rFonts w:ascii="Times New Roman" w:hAnsi="Times New Roman" w:cs="Times New Roman"/>
          <w:sz w:val="24"/>
          <w:szCs w:val="24"/>
        </w:rPr>
        <w:t>).</w:t>
      </w:r>
      <w:r w:rsidR="00CC5A35" w:rsidRPr="00B745A7">
        <w:rPr>
          <w:rFonts w:ascii="Times New Roman" w:hAnsi="Times New Roman" w:cs="Times New Roman"/>
          <w:sz w:val="24"/>
          <w:szCs w:val="24"/>
        </w:rPr>
        <w:t xml:space="preserve"> </w:t>
      </w:r>
      <w:r w:rsidR="00160E2F" w:rsidRPr="00B745A7">
        <w:rPr>
          <w:rFonts w:ascii="Times New Roman" w:hAnsi="Times New Roman" w:cs="Times New Roman"/>
          <w:sz w:val="24"/>
          <w:szCs w:val="24"/>
        </w:rPr>
        <w:t>D</w:t>
      </w:r>
      <w:r w:rsidR="00CC5A35" w:rsidRPr="00B745A7">
        <w:rPr>
          <w:rFonts w:ascii="Times New Roman" w:hAnsi="Times New Roman" w:cs="Times New Roman"/>
          <w:sz w:val="24"/>
          <w:szCs w:val="24"/>
        </w:rPr>
        <w:t xml:space="preserve">ata access was granted by CPRD and use of CPRD </w:t>
      </w:r>
      <w:proofErr w:type="spellStart"/>
      <w:r w:rsidR="00CC5A35" w:rsidRPr="00B745A7">
        <w:rPr>
          <w:rFonts w:ascii="Times New Roman" w:hAnsi="Times New Roman" w:cs="Times New Roman"/>
          <w:sz w:val="24"/>
          <w:szCs w:val="24"/>
        </w:rPr>
        <w:t>Aurum</w:t>
      </w:r>
      <w:proofErr w:type="spellEnd"/>
      <w:r w:rsidR="00CC5A35" w:rsidRPr="00B745A7">
        <w:rPr>
          <w:rFonts w:ascii="Times New Roman" w:hAnsi="Times New Roman" w:cs="Times New Roman"/>
          <w:sz w:val="24"/>
          <w:szCs w:val="24"/>
        </w:rPr>
        <w:t xml:space="preserve"> approved by the University of Liverpool Research Ethics board (Reference: 7922).</w:t>
      </w:r>
    </w:p>
    <w:p w14:paraId="0D31588C" w14:textId="77777777" w:rsidR="00692F08" w:rsidRPr="00B745A7" w:rsidRDefault="00692F08" w:rsidP="00AD5F19">
      <w:pPr>
        <w:spacing w:after="120" w:line="480" w:lineRule="auto"/>
        <w:jc w:val="both"/>
        <w:rPr>
          <w:rFonts w:ascii="Times New Roman" w:hAnsi="Times New Roman" w:cs="Times New Roman"/>
          <w:b/>
          <w:i/>
          <w:sz w:val="24"/>
          <w:szCs w:val="24"/>
        </w:rPr>
      </w:pPr>
      <w:r w:rsidRPr="00B745A7">
        <w:rPr>
          <w:rFonts w:ascii="Times New Roman" w:hAnsi="Times New Roman" w:cs="Times New Roman"/>
          <w:b/>
          <w:i/>
          <w:sz w:val="24"/>
          <w:szCs w:val="24"/>
        </w:rPr>
        <w:t>Sample Population</w:t>
      </w:r>
    </w:p>
    <w:p w14:paraId="391EBC5D" w14:textId="5103228A" w:rsidR="00692F08" w:rsidRPr="00B745A7" w:rsidRDefault="00692F08" w:rsidP="00756CEB">
      <w:pPr>
        <w:spacing w:line="480" w:lineRule="auto"/>
        <w:ind w:firstLine="720"/>
        <w:jc w:val="both"/>
        <w:rPr>
          <w:rFonts w:ascii="Times New Roman" w:hAnsi="Times New Roman" w:cs="Times New Roman"/>
          <w:sz w:val="24"/>
          <w:szCs w:val="24"/>
        </w:rPr>
      </w:pPr>
      <w:r w:rsidRPr="00B745A7">
        <w:rPr>
          <w:rFonts w:ascii="Times New Roman" w:hAnsi="Times New Roman" w:cs="Times New Roman"/>
          <w:sz w:val="24"/>
          <w:szCs w:val="24"/>
        </w:rPr>
        <w:t>Patients registered with CPRD GPs, who were diagnosed with dementia between 2002-2016, with at least two years of follow-up healthcare data from date of diagnosis (</w:t>
      </w:r>
      <w:r w:rsidRPr="00B745A7">
        <w:rPr>
          <w:rFonts w:ascii="Times New Roman" w:hAnsi="Times New Roman" w:cs="Times New Roman"/>
          <w:b/>
          <w:sz w:val="24"/>
          <w:szCs w:val="24"/>
        </w:rPr>
        <w:t>Figure 1</w:t>
      </w:r>
      <w:r w:rsidRPr="00B745A7">
        <w:rPr>
          <w:rFonts w:ascii="Times New Roman" w:hAnsi="Times New Roman" w:cs="Times New Roman"/>
          <w:sz w:val="24"/>
          <w:szCs w:val="24"/>
        </w:rPr>
        <w:t xml:space="preserve">). Our </w:t>
      </w:r>
      <w:r w:rsidR="001A1F2B" w:rsidRPr="00B745A7">
        <w:rPr>
          <w:rFonts w:ascii="Times New Roman" w:hAnsi="Times New Roman" w:cs="Times New Roman"/>
          <w:sz w:val="24"/>
          <w:szCs w:val="24"/>
        </w:rPr>
        <w:t xml:space="preserve">initial </w:t>
      </w:r>
      <w:r w:rsidRPr="00B745A7">
        <w:rPr>
          <w:rFonts w:ascii="Times New Roman" w:hAnsi="Times New Roman" w:cs="Times New Roman"/>
          <w:sz w:val="24"/>
          <w:szCs w:val="24"/>
        </w:rPr>
        <w:t>analytical sample size was 142,302 people.</w:t>
      </w:r>
    </w:p>
    <w:p w14:paraId="73F6547A" w14:textId="378AB38D" w:rsidR="00CE344A" w:rsidRPr="00B745A7" w:rsidRDefault="00CE344A" w:rsidP="00AD5F19">
      <w:pPr>
        <w:spacing w:line="480" w:lineRule="auto"/>
        <w:jc w:val="both"/>
        <w:rPr>
          <w:rFonts w:ascii="Times New Roman" w:hAnsi="Times New Roman" w:cs="Times New Roman"/>
          <w:b/>
          <w:i/>
          <w:sz w:val="24"/>
          <w:szCs w:val="24"/>
        </w:rPr>
      </w:pPr>
      <w:r w:rsidRPr="00B745A7">
        <w:rPr>
          <w:rFonts w:ascii="Times New Roman" w:hAnsi="Times New Roman" w:cs="Times New Roman"/>
          <w:b/>
          <w:i/>
          <w:sz w:val="24"/>
          <w:szCs w:val="24"/>
        </w:rPr>
        <w:t>Outcome variable</w:t>
      </w:r>
      <w:r w:rsidR="004E1854" w:rsidRPr="00B745A7">
        <w:rPr>
          <w:rFonts w:ascii="Times New Roman" w:hAnsi="Times New Roman" w:cs="Times New Roman"/>
          <w:b/>
          <w:i/>
          <w:sz w:val="24"/>
          <w:szCs w:val="24"/>
        </w:rPr>
        <w:t>s</w:t>
      </w:r>
    </w:p>
    <w:p w14:paraId="7DD6D9B7" w14:textId="304FF288" w:rsidR="00C0648B" w:rsidRPr="00B745A7" w:rsidRDefault="00C0648B" w:rsidP="00756CEB">
      <w:pPr>
        <w:spacing w:line="480" w:lineRule="auto"/>
        <w:ind w:firstLine="720"/>
        <w:jc w:val="both"/>
        <w:rPr>
          <w:rFonts w:ascii="Times New Roman" w:hAnsi="Times New Roman" w:cs="Times New Roman"/>
          <w:sz w:val="24"/>
          <w:szCs w:val="24"/>
        </w:rPr>
      </w:pPr>
      <w:r w:rsidRPr="00B745A7">
        <w:rPr>
          <w:rFonts w:ascii="Times New Roman" w:hAnsi="Times New Roman" w:cs="Times New Roman"/>
          <w:sz w:val="24"/>
          <w:szCs w:val="24"/>
        </w:rPr>
        <w:t>No date of dementia diagnosis is available in CPRD GP data. Dementia-specific GP observations are those which include one of the following terms as the reason the patient presented to their GP: “dementia”, “Alzheimer”, “</w:t>
      </w:r>
      <w:proofErr w:type="spellStart"/>
      <w:r w:rsidRPr="00B745A7">
        <w:rPr>
          <w:rFonts w:ascii="Times New Roman" w:hAnsi="Times New Roman" w:cs="Times New Roman"/>
          <w:sz w:val="24"/>
          <w:szCs w:val="24"/>
        </w:rPr>
        <w:t>cogniti</w:t>
      </w:r>
      <w:proofErr w:type="spellEnd"/>
      <w:r w:rsidRPr="00B745A7">
        <w:rPr>
          <w:rFonts w:ascii="Times New Roman" w:hAnsi="Times New Roman" w:cs="Times New Roman"/>
          <w:sz w:val="24"/>
          <w:szCs w:val="24"/>
        </w:rPr>
        <w:t xml:space="preserve">”, or “memory”. </w:t>
      </w:r>
      <w:r w:rsidR="00867CC9" w:rsidRPr="00B745A7">
        <w:rPr>
          <w:rFonts w:ascii="Times New Roman" w:hAnsi="Times New Roman" w:cs="Times New Roman"/>
          <w:sz w:val="24"/>
          <w:szCs w:val="24"/>
        </w:rPr>
        <w:t xml:space="preserve">We </w:t>
      </w:r>
      <w:r w:rsidRPr="00B745A7">
        <w:rPr>
          <w:rFonts w:ascii="Times New Roman" w:hAnsi="Times New Roman" w:cs="Times New Roman"/>
          <w:sz w:val="24"/>
          <w:szCs w:val="24"/>
        </w:rPr>
        <w:t xml:space="preserve">calculated date of diagnosis as the date </w:t>
      </w:r>
      <w:r w:rsidR="00867CC9" w:rsidRPr="00B745A7">
        <w:rPr>
          <w:rFonts w:ascii="Times New Roman" w:hAnsi="Times New Roman" w:cs="Times New Roman"/>
          <w:sz w:val="24"/>
          <w:szCs w:val="24"/>
        </w:rPr>
        <w:t xml:space="preserve">for </w:t>
      </w:r>
      <w:r w:rsidRPr="00B745A7">
        <w:rPr>
          <w:rFonts w:ascii="Times New Roman" w:hAnsi="Times New Roman" w:cs="Times New Roman"/>
          <w:sz w:val="24"/>
          <w:szCs w:val="24"/>
        </w:rPr>
        <w:t>a patient</w:t>
      </w:r>
      <w:r w:rsidR="00867CC9" w:rsidRPr="00B745A7">
        <w:rPr>
          <w:rFonts w:ascii="Times New Roman" w:hAnsi="Times New Roman" w:cs="Times New Roman"/>
          <w:sz w:val="24"/>
          <w:szCs w:val="24"/>
        </w:rPr>
        <w:t>’</w:t>
      </w:r>
      <w:r w:rsidRPr="00B745A7">
        <w:rPr>
          <w:rFonts w:ascii="Times New Roman" w:hAnsi="Times New Roman" w:cs="Times New Roman"/>
          <w:sz w:val="24"/>
          <w:szCs w:val="24"/>
        </w:rPr>
        <w:t>s first dementia-specific GP observation record occurred. Healthcare contacts included in analyses are only those which occurred after</w:t>
      </w:r>
      <w:r w:rsidR="00867CC9" w:rsidRPr="00B745A7">
        <w:rPr>
          <w:rFonts w:ascii="Times New Roman" w:hAnsi="Times New Roman" w:cs="Times New Roman"/>
          <w:sz w:val="24"/>
          <w:szCs w:val="24"/>
        </w:rPr>
        <w:t xml:space="preserve"> this</w:t>
      </w:r>
      <w:r w:rsidRPr="00B745A7">
        <w:rPr>
          <w:rFonts w:ascii="Times New Roman" w:hAnsi="Times New Roman" w:cs="Times New Roman"/>
          <w:sz w:val="24"/>
          <w:szCs w:val="24"/>
        </w:rPr>
        <w:t xml:space="preserve"> diagnosis date. </w:t>
      </w:r>
    </w:p>
    <w:p w14:paraId="39527FEF" w14:textId="03F6D4FD" w:rsidR="0077707E" w:rsidRPr="00B745A7" w:rsidRDefault="004E1854" w:rsidP="00756CEB">
      <w:pPr>
        <w:spacing w:line="480" w:lineRule="auto"/>
        <w:ind w:firstLine="720"/>
        <w:jc w:val="both"/>
        <w:rPr>
          <w:rFonts w:ascii="Times New Roman" w:hAnsi="Times New Roman" w:cs="Times New Roman"/>
          <w:sz w:val="24"/>
          <w:szCs w:val="24"/>
        </w:rPr>
      </w:pPr>
      <w:r w:rsidRPr="00B745A7">
        <w:rPr>
          <w:rFonts w:ascii="Times New Roman" w:hAnsi="Times New Roman" w:cs="Times New Roman"/>
          <w:sz w:val="24"/>
          <w:szCs w:val="24"/>
        </w:rPr>
        <w:t xml:space="preserve">This study </w:t>
      </w:r>
      <w:r w:rsidR="00803717" w:rsidRPr="00B745A7">
        <w:rPr>
          <w:rFonts w:ascii="Times New Roman" w:hAnsi="Times New Roman" w:cs="Times New Roman"/>
          <w:sz w:val="24"/>
          <w:szCs w:val="24"/>
        </w:rPr>
        <w:t>includes</w:t>
      </w:r>
      <w:r w:rsidR="00A92F73" w:rsidRPr="00B745A7">
        <w:rPr>
          <w:rFonts w:ascii="Times New Roman" w:hAnsi="Times New Roman" w:cs="Times New Roman"/>
          <w:sz w:val="24"/>
          <w:szCs w:val="24"/>
        </w:rPr>
        <w:t xml:space="preserve"> </w:t>
      </w:r>
      <w:r w:rsidR="00DD7951" w:rsidRPr="00B745A7">
        <w:rPr>
          <w:rFonts w:ascii="Times New Roman" w:hAnsi="Times New Roman" w:cs="Times New Roman"/>
          <w:sz w:val="24"/>
          <w:szCs w:val="24"/>
        </w:rPr>
        <w:t>six</w:t>
      </w:r>
      <w:r w:rsidR="00766819" w:rsidRPr="00B745A7">
        <w:rPr>
          <w:rFonts w:ascii="Times New Roman" w:hAnsi="Times New Roman" w:cs="Times New Roman"/>
          <w:sz w:val="24"/>
          <w:szCs w:val="24"/>
        </w:rPr>
        <w:t xml:space="preserve"> outcome variables</w:t>
      </w:r>
      <w:r w:rsidR="00C35103" w:rsidRPr="00B745A7">
        <w:rPr>
          <w:rFonts w:ascii="Times New Roman" w:hAnsi="Times New Roman" w:cs="Times New Roman"/>
          <w:sz w:val="24"/>
          <w:szCs w:val="24"/>
        </w:rPr>
        <w:t xml:space="preserve"> distinguishing between different </w:t>
      </w:r>
      <w:r w:rsidRPr="00B745A7">
        <w:rPr>
          <w:rFonts w:ascii="Times New Roman" w:hAnsi="Times New Roman" w:cs="Times New Roman"/>
          <w:sz w:val="24"/>
          <w:szCs w:val="24"/>
        </w:rPr>
        <w:t xml:space="preserve">healthcare </w:t>
      </w:r>
      <w:r w:rsidR="009E7C7B" w:rsidRPr="00B745A7">
        <w:rPr>
          <w:rFonts w:ascii="Times New Roman" w:hAnsi="Times New Roman" w:cs="Times New Roman"/>
          <w:sz w:val="24"/>
          <w:szCs w:val="24"/>
        </w:rPr>
        <w:t>types</w:t>
      </w:r>
      <w:r w:rsidR="002B1B01" w:rsidRPr="00B745A7">
        <w:rPr>
          <w:rFonts w:ascii="Times New Roman" w:hAnsi="Times New Roman" w:cs="Times New Roman"/>
          <w:sz w:val="24"/>
          <w:szCs w:val="24"/>
        </w:rPr>
        <w:t xml:space="preserve">. </w:t>
      </w:r>
      <w:r w:rsidR="00C35103" w:rsidRPr="00B745A7">
        <w:rPr>
          <w:rFonts w:ascii="Times New Roman" w:hAnsi="Times New Roman" w:cs="Times New Roman"/>
          <w:sz w:val="24"/>
          <w:szCs w:val="24"/>
        </w:rPr>
        <w:t>This includes three within primary healthcare (</w:t>
      </w:r>
      <w:r w:rsidR="00803717" w:rsidRPr="00B745A7">
        <w:rPr>
          <w:rFonts w:ascii="Times New Roman" w:hAnsi="Times New Roman" w:cs="Times New Roman"/>
          <w:sz w:val="24"/>
          <w:szCs w:val="24"/>
        </w:rPr>
        <w:t>GP observations, dementia and non-dementia medications</w:t>
      </w:r>
      <w:r w:rsidR="00C35103" w:rsidRPr="00B745A7">
        <w:rPr>
          <w:rFonts w:ascii="Times New Roman" w:hAnsi="Times New Roman" w:cs="Times New Roman"/>
          <w:sz w:val="24"/>
          <w:szCs w:val="24"/>
        </w:rPr>
        <w:t>) and three within secondary healthcare (Accident and Emergency (A&amp;E) attendances, emergency hospital admission spells and elective hospital admission spells)</w:t>
      </w:r>
      <w:r w:rsidRPr="00B745A7">
        <w:rPr>
          <w:rFonts w:ascii="Times New Roman" w:hAnsi="Times New Roman" w:cs="Times New Roman"/>
          <w:sz w:val="24"/>
          <w:szCs w:val="24"/>
        </w:rPr>
        <w:t>.</w:t>
      </w:r>
      <w:r w:rsidR="0077707E" w:rsidRPr="00B745A7">
        <w:rPr>
          <w:rFonts w:ascii="Times New Roman" w:hAnsi="Times New Roman" w:cs="Times New Roman"/>
          <w:sz w:val="24"/>
          <w:szCs w:val="24"/>
        </w:rPr>
        <w:t xml:space="preserve"> </w:t>
      </w:r>
      <w:r w:rsidR="00C35103" w:rsidRPr="00B745A7">
        <w:rPr>
          <w:rFonts w:ascii="Times New Roman" w:hAnsi="Times New Roman" w:cs="Times New Roman"/>
          <w:sz w:val="24"/>
          <w:szCs w:val="24"/>
        </w:rPr>
        <w:t xml:space="preserve">In this study, a healthcare contact refers to an individual record of communication or treatment </w:t>
      </w:r>
      <w:r w:rsidR="00C35103" w:rsidRPr="00B745A7">
        <w:rPr>
          <w:rFonts w:ascii="Times New Roman" w:hAnsi="Times New Roman" w:cs="Times New Roman"/>
          <w:sz w:val="24"/>
          <w:szCs w:val="24"/>
        </w:rPr>
        <w:lastRenderedPageBreak/>
        <w:t xml:space="preserve">between a PLWD and a healthcare service. </w:t>
      </w:r>
      <w:bookmarkStart w:id="22" w:name="_Hlk106014212"/>
      <w:r w:rsidR="0077707E" w:rsidRPr="00B745A7">
        <w:rPr>
          <w:rFonts w:ascii="Times New Roman" w:hAnsi="Times New Roman" w:cs="Times New Roman"/>
          <w:sz w:val="24"/>
          <w:szCs w:val="24"/>
        </w:rPr>
        <w:t xml:space="preserve">Healthcare contacts were standardised for each member of the sample population. Rates for each of the </w:t>
      </w:r>
      <w:r w:rsidR="0085789D" w:rsidRPr="00B745A7">
        <w:rPr>
          <w:rFonts w:ascii="Times New Roman" w:hAnsi="Times New Roman" w:cs="Times New Roman"/>
          <w:sz w:val="24"/>
          <w:szCs w:val="24"/>
        </w:rPr>
        <w:t xml:space="preserve">six </w:t>
      </w:r>
      <w:r w:rsidR="0077707E" w:rsidRPr="00B745A7">
        <w:rPr>
          <w:rFonts w:ascii="Times New Roman" w:hAnsi="Times New Roman" w:cs="Times New Roman"/>
          <w:sz w:val="24"/>
          <w:szCs w:val="24"/>
        </w:rPr>
        <w:t>healthcare types were calculated, per year, based on years present in the data (from diagnosis to final record/date of death).</w:t>
      </w:r>
      <w:bookmarkEnd w:id="22"/>
    </w:p>
    <w:p w14:paraId="33CA55C0" w14:textId="345432FE" w:rsidR="00795BE0" w:rsidRPr="00B745A7" w:rsidRDefault="001274AD" w:rsidP="00756CEB">
      <w:pPr>
        <w:spacing w:line="480" w:lineRule="auto"/>
        <w:ind w:firstLine="720"/>
        <w:jc w:val="both"/>
        <w:rPr>
          <w:rFonts w:ascii="Times New Roman" w:hAnsi="Times New Roman" w:cs="Times New Roman"/>
          <w:sz w:val="24"/>
          <w:szCs w:val="24"/>
        </w:rPr>
      </w:pPr>
      <w:r w:rsidRPr="00B745A7">
        <w:rPr>
          <w:rFonts w:ascii="Times New Roman" w:hAnsi="Times New Roman" w:cs="Times New Roman"/>
          <w:i/>
          <w:sz w:val="24"/>
          <w:szCs w:val="24"/>
        </w:rPr>
        <w:t xml:space="preserve">GP observations </w:t>
      </w:r>
      <w:r w:rsidRPr="00B745A7">
        <w:rPr>
          <w:rFonts w:ascii="Times New Roman" w:hAnsi="Times New Roman" w:cs="Times New Roman"/>
          <w:sz w:val="24"/>
          <w:szCs w:val="24"/>
        </w:rPr>
        <w:t>are self-contained, with one record for each observation at a GP visit.</w:t>
      </w:r>
      <w:r w:rsidRPr="00B745A7">
        <w:rPr>
          <w:rFonts w:ascii="Times New Roman" w:hAnsi="Times New Roman" w:cs="Times New Roman"/>
          <w:i/>
          <w:sz w:val="24"/>
          <w:szCs w:val="24"/>
        </w:rPr>
        <w:t xml:space="preserve"> </w:t>
      </w:r>
      <w:r w:rsidR="00795BE0" w:rsidRPr="00B745A7">
        <w:rPr>
          <w:rFonts w:ascii="Times New Roman" w:hAnsi="Times New Roman" w:cs="Times New Roman"/>
          <w:i/>
          <w:sz w:val="24"/>
          <w:szCs w:val="24"/>
        </w:rPr>
        <w:t>Dementia-specific medications</w:t>
      </w:r>
      <w:r w:rsidR="00795BE0" w:rsidRPr="00B745A7">
        <w:rPr>
          <w:rFonts w:ascii="Times New Roman" w:hAnsi="Times New Roman" w:cs="Times New Roman"/>
          <w:sz w:val="24"/>
          <w:szCs w:val="24"/>
        </w:rPr>
        <w:t xml:space="preserve"> include prescriptions for four drugs advised for use by the NHS for PLWD: Donepezil, Galantamine, Rivastigmine and Memantine. </w:t>
      </w:r>
      <w:r w:rsidR="00795BE0" w:rsidRPr="00B745A7">
        <w:rPr>
          <w:rFonts w:ascii="Times New Roman" w:hAnsi="Times New Roman" w:cs="Times New Roman"/>
          <w:i/>
          <w:sz w:val="24"/>
          <w:szCs w:val="24"/>
        </w:rPr>
        <w:t>Non-dementia medications</w:t>
      </w:r>
      <w:r w:rsidR="00795BE0" w:rsidRPr="00B745A7">
        <w:rPr>
          <w:rFonts w:ascii="Times New Roman" w:hAnsi="Times New Roman" w:cs="Times New Roman"/>
          <w:sz w:val="24"/>
          <w:szCs w:val="24"/>
        </w:rPr>
        <w:t xml:space="preserve"> refer to all remaining drugs prescribed.</w:t>
      </w:r>
    </w:p>
    <w:p w14:paraId="3B569501" w14:textId="03470E97" w:rsidR="001274AD" w:rsidRPr="00B745A7" w:rsidRDefault="00C036FF" w:rsidP="00756CEB">
      <w:pPr>
        <w:spacing w:line="480" w:lineRule="auto"/>
        <w:ind w:firstLine="720"/>
        <w:jc w:val="both"/>
        <w:rPr>
          <w:rFonts w:ascii="Times New Roman" w:hAnsi="Times New Roman" w:cs="Times New Roman"/>
          <w:sz w:val="24"/>
          <w:szCs w:val="24"/>
        </w:rPr>
      </w:pPr>
      <w:r w:rsidRPr="00B745A7">
        <w:rPr>
          <w:rFonts w:ascii="Times New Roman" w:hAnsi="Times New Roman" w:cs="Times New Roman"/>
          <w:i/>
          <w:sz w:val="24"/>
          <w:szCs w:val="24"/>
        </w:rPr>
        <w:t>A&amp;E attendance</w:t>
      </w:r>
      <w:r w:rsidRPr="00B745A7">
        <w:rPr>
          <w:rFonts w:ascii="Times New Roman" w:hAnsi="Times New Roman" w:cs="Times New Roman"/>
          <w:sz w:val="24"/>
          <w:szCs w:val="24"/>
        </w:rPr>
        <w:t xml:space="preserve"> records are self-contained, </w:t>
      </w:r>
      <w:r w:rsidR="00DD7951" w:rsidRPr="00B745A7">
        <w:rPr>
          <w:rFonts w:ascii="Times New Roman" w:hAnsi="Times New Roman" w:cs="Times New Roman"/>
          <w:sz w:val="24"/>
          <w:szCs w:val="24"/>
        </w:rPr>
        <w:t>denoting individual records of a person presenting at an Accident &amp; Emergency department</w:t>
      </w:r>
      <w:r w:rsidRPr="00B745A7">
        <w:rPr>
          <w:rFonts w:ascii="Times New Roman" w:hAnsi="Times New Roman" w:cs="Times New Roman"/>
          <w:sz w:val="24"/>
          <w:szCs w:val="24"/>
        </w:rPr>
        <w:t xml:space="preserve">. </w:t>
      </w:r>
      <w:bookmarkStart w:id="23" w:name="_Hlk106273948"/>
      <w:r w:rsidR="009E7C7B" w:rsidRPr="00B745A7">
        <w:rPr>
          <w:rFonts w:ascii="Times New Roman" w:hAnsi="Times New Roman" w:cs="Times New Roman"/>
          <w:i/>
          <w:sz w:val="24"/>
          <w:szCs w:val="24"/>
        </w:rPr>
        <w:t xml:space="preserve">Emergency </w:t>
      </w:r>
      <w:r w:rsidR="003E2AF8" w:rsidRPr="00B745A7">
        <w:rPr>
          <w:rFonts w:ascii="Times New Roman" w:hAnsi="Times New Roman" w:cs="Times New Roman"/>
          <w:i/>
          <w:sz w:val="24"/>
          <w:szCs w:val="24"/>
        </w:rPr>
        <w:t xml:space="preserve">hospital </w:t>
      </w:r>
      <w:r w:rsidR="009E7C7B" w:rsidRPr="00B745A7">
        <w:rPr>
          <w:rFonts w:ascii="Times New Roman" w:hAnsi="Times New Roman" w:cs="Times New Roman"/>
          <w:i/>
          <w:sz w:val="24"/>
          <w:szCs w:val="24"/>
        </w:rPr>
        <w:t>admission spell</w:t>
      </w:r>
      <w:r w:rsidR="00542137" w:rsidRPr="00B745A7">
        <w:rPr>
          <w:rFonts w:ascii="Times New Roman" w:hAnsi="Times New Roman" w:cs="Times New Roman"/>
          <w:i/>
          <w:sz w:val="24"/>
          <w:szCs w:val="24"/>
        </w:rPr>
        <w:t>s</w:t>
      </w:r>
      <w:r w:rsidR="009E7C7B" w:rsidRPr="00B745A7">
        <w:rPr>
          <w:rFonts w:ascii="Times New Roman" w:hAnsi="Times New Roman" w:cs="Times New Roman"/>
          <w:sz w:val="24"/>
          <w:szCs w:val="24"/>
        </w:rPr>
        <w:t xml:space="preserve"> are </w:t>
      </w:r>
      <w:r w:rsidR="003E2AF8" w:rsidRPr="00B745A7">
        <w:rPr>
          <w:rFonts w:ascii="Times New Roman" w:hAnsi="Times New Roman" w:cs="Times New Roman"/>
          <w:sz w:val="24"/>
          <w:szCs w:val="24"/>
        </w:rPr>
        <w:t xml:space="preserve">records </w:t>
      </w:r>
      <w:r w:rsidR="00F02FF2" w:rsidRPr="00B745A7">
        <w:rPr>
          <w:rFonts w:ascii="Times New Roman" w:hAnsi="Times New Roman" w:cs="Times New Roman"/>
          <w:sz w:val="24"/>
          <w:szCs w:val="24"/>
        </w:rPr>
        <w:t>of urgent care need and</w:t>
      </w:r>
      <w:r w:rsidR="009E7C7B" w:rsidRPr="00B745A7">
        <w:rPr>
          <w:rFonts w:ascii="Times New Roman" w:hAnsi="Times New Roman" w:cs="Times New Roman"/>
          <w:sz w:val="24"/>
          <w:szCs w:val="24"/>
        </w:rPr>
        <w:t xml:space="preserve"> </w:t>
      </w:r>
      <w:r w:rsidR="00AC7931" w:rsidRPr="00B745A7">
        <w:rPr>
          <w:rFonts w:ascii="Times New Roman" w:hAnsi="Times New Roman" w:cs="Times New Roman"/>
          <w:i/>
          <w:sz w:val="24"/>
          <w:szCs w:val="24"/>
        </w:rPr>
        <w:t>elective</w:t>
      </w:r>
      <w:r w:rsidR="009E7C7B" w:rsidRPr="00B745A7">
        <w:rPr>
          <w:rFonts w:ascii="Times New Roman" w:hAnsi="Times New Roman" w:cs="Times New Roman"/>
          <w:i/>
          <w:sz w:val="24"/>
          <w:szCs w:val="24"/>
        </w:rPr>
        <w:t xml:space="preserve"> </w:t>
      </w:r>
      <w:r w:rsidR="003E2AF8" w:rsidRPr="00B745A7">
        <w:rPr>
          <w:rFonts w:ascii="Times New Roman" w:hAnsi="Times New Roman" w:cs="Times New Roman"/>
          <w:i/>
          <w:sz w:val="24"/>
          <w:szCs w:val="24"/>
        </w:rPr>
        <w:t xml:space="preserve">hospital </w:t>
      </w:r>
      <w:r w:rsidR="009E7C7B" w:rsidRPr="00B745A7">
        <w:rPr>
          <w:rFonts w:ascii="Times New Roman" w:hAnsi="Times New Roman" w:cs="Times New Roman"/>
          <w:i/>
          <w:sz w:val="24"/>
          <w:szCs w:val="24"/>
        </w:rPr>
        <w:t>admission spells</w:t>
      </w:r>
      <w:r w:rsidR="009E7C7B" w:rsidRPr="00B745A7">
        <w:rPr>
          <w:rFonts w:ascii="Times New Roman" w:hAnsi="Times New Roman" w:cs="Times New Roman"/>
          <w:sz w:val="24"/>
          <w:szCs w:val="24"/>
        </w:rPr>
        <w:t xml:space="preserve"> are</w:t>
      </w:r>
      <w:r w:rsidR="003716EE" w:rsidRPr="00B745A7">
        <w:rPr>
          <w:rFonts w:ascii="Times New Roman" w:hAnsi="Times New Roman" w:cs="Times New Roman"/>
          <w:sz w:val="24"/>
          <w:szCs w:val="24"/>
        </w:rPr>
        <w:t xml:space="preserve"> </w:t>
      </w:r>
      <w:r w:rsidR="00F02FF2" w:rsidRPr="00B745A7">
        <w:rPr>
          <w:rFonts w:ascii="Times New Roman" w:hAnsi="Times New Roman" w:cs="Times New Roman"/>
          <w:sz w:val="24"/>
          <w:szCs w:val="24"/>
        </w:rPr>
        <w:t>records of planned care</w:t>
      </w:r>
      <w:r w:rsidR="009E7C7B" w:rsidRPr="00B745A7">
        <w:rPr>
          <w:rFonts w:ascii="Times New Roman" w:hAnsi="Times New Roman" w:cs="Times New Roman"/>
          <w:sz w:val="24"/>
          <w:szCs w:val="24"/>
        </w:rPr>
        <w:t>.</w:t>
      </w:r>
      <w:bookmarkEnd w:id="23"/>
      <w:r w:rsidR="00A618A8" w:rsidRPr="00B745A7">
        <w:rPr>
          <w:rFonts w:ascii="Times New Roman" w:hAnsi="Times New Roman" w:cs="Times New Roman"/>
          <w:sz w:val="24"/>
          <w:szCs w:val="24"/>
        </w:rPr>
        <w:t xml:space="preserve"> A&amp;E attendances are generally unplanned presentations at A&amp;E or urgent care, and hospital admissions involve a clinical decision to admit the patient as they are deemed to require further care, treatment and observation.</w:t>
      </w:r>
    </w:p>
    <w:p w14:paraId="47CDDE55" w14:textId="3F81FEF0" w:rsidR="007166CE" w:rsidRPr="00B745A7" w:rsidRDefault="007166CE" w:rsidP="00AD5F19">
      <w:pPr>
        <w:spacing w:line="480" w:lineRule="auto"/>
        <w:jc w:val="both"/>
        <w:rPr>
          <w:rFonts w:ascii="Times New Roman" w:hAnsi="Times New Roman" w:cs="Times New Roman"/>
          <w:b/>
          <w:i/>
          <w:sz w:val="24"/>
          <w:szCs w:val="24"/>
        </w:rPr>
      </w:pPr>
      <w:r w:rsidRPr="00B745A7">
        <w:rPr>
          <w:rFonts w:ascii="Times New Roman" w:hAnsi="Times New Roman" w:cs="Times New Roman"/>
          <w:b/>
          <w:i/>
          <w:sz w:val="24"/>
          <w:szCs w:val="24"/>
        </w:rPr>
        <w:t>Explanatory variables</w:t>
      </w:r>
    </w:p>
    <w:p w14:paraId="768258D0" w14:textId="525F9714" w:rsidR="00333B4D" w:rsidRPr="00B745A7" w:rsidRDefault="00C04258" w:rsidP="00756CEB">
      <w:pPr>
        <w:spacing w:line="480" w:lineRule="auto"/>
        <w:ind w:firstLine="720"/>
        <w:jc w:val="both"/>
        <w:rPr>
          <w:rFonts w:ascii="Times New Roman" w:hAnsi="Times New Roman" w:cs="Times New Roman"/>
          <w:sz w:val="24"/>
          <w:szCs w:val="24"/>
        </w:rPr>
      </w:pPr>
      <w:r w:rsidRPr="00B745A7">
        <w:rPr>
          <w:rFonts w:ascii="Times New Roman" w:hAnsi="Times New Roman" w:cs="Times New Roman"/>
          <w:sz w:val="24"/>
          <w:szCs w:val="24"/>
        </w:rPr>
        <w:t xml:space="preserve">This </w:t>
      </w:r>
      <w:r w:rsidR="007257CC" w:rsidRPr="00B745A7">
        <w:rPr>
          <w:rFonts w:ascii="Times New Roman" w:hAnsi="Times New Roman" w:cs="Times New Roman"/>
          <w:sz w:val="24"/>
          <w:szCs w:val="24"/>
        </w:rPr>
        <w:t>study</w:t>
      </w:r>
      <w:r w:rsidR="00361068" w:rsidRPr="00B745A7">
        <w:rPr>
          <w:rFonts w:ascii="Times New Roman" w:hAnsi="Times New Roman" w:cs="Times New Roman"/>
          <w:sz w:val="24"/>
          <w:szCs w:val="24"/>
        </w:rPr>
        <w:t xml:space="preserve"> </w:t>
      </w:r>
      <w:r w:rsidRPr="00B745A7">
        <w:rPr>
          <w:rFonts w:ascii="Times New Roman" w:hAnsi="Times New Roman" w:cs="Times New Roman"/>
          <w:sz w:val="24"/>
          <w:szCs w:val="24"/>
        </w:rPr>
        <w:t>encompasses</w:t>
      </w:r>
      <w:r w:rsidR="00361068" w:rsidRPr="00B745A7">
        <w:rPr>
          <w:rFonts w:ascii="Times New Roman" w:hAnsi="Times New Roman" w:cs="Times New Roman"/>
          <w:sz w:val="24"/>
          <w:szCs w:val="24"/>
        </w:rPr>
        <w:t xml:space="preserve"> multiple</w:t>
      </w:r>
      <w:r w:rsidR="0028779F" w:rsidRPr="00B745A7">
        <w:rPr>
          <w:rFonts w:ascii="Times New Roman" w:hAnsi="Times New Roman" w:cs="Times New Roman"/>
          <w:sz w:val="24"/>
          <w:szCs w:val="24"/>
        </w:rPr>
        <w:t xml:space="preserve"> variables as potential</w:t>
      </w:r>
      <w:r w:rsidR="00361068" w:rsidRPr="00B745A7">
        <w:rPr>
          <w:rFonts w:ascii="Times New Roman" w:hAnsi="Times New Roman" w:cs="Times New Roman"/>
          <w:sz w:val="24"/>
          <w:szCs w:val="24"/>
        </w:rPr>
        <w:t xml:space="preserve"> explanatory factors </w:t>
      </w:r>
      <w:r w:rsidR="0028779F" w:rsidRPr="00B745A7">
        <w:rPr>
          <w:rFonts w:ascii="Times New Roman" w:hAnsi="Times New Roman" w:cs="Times New Roman"/>
          <w:sz w:val="24"/>
          <w:szCs w:val="24"/>
        </w:rPr>
        <w:t>of</w:t>
      </w:r>
      <w:r w:rsidR="00361068" w:rsidRPr="00B745A7">
        <w:rPr>
          <w:rFonts w:ascii="Times New Roman" w:hAnsi="Times New Roman" w:cs="Times New Roman"/>
          <w:sz w:val="24"/>
          <w:szCs w:val="24"/>
        </w:rPr>
        <w:t xml:space="preserve"> </w:t>
      </w:r>
      <w:r w:rsidR="00B968B2" w:rsidRPr="00B745A7">
        <w:rPr>
          <w:rFonts w:ascii="Times New Roman" w:hAnsi="Times New Roman" w:cs="Times New Roman"/>
          <w:sz w:val="24"/>
          <w:szCs w:val="24"/>
        </w:rPr>
        <w:t xml:space="preserve">variation in </w:t>
      </w:r>
      <w:r w:rsidR="00361068" w:rsidRPr="00B745A7">
        <w:rPr>
          <w:rFonts w:ascii="Times New Roman" w:hAnsi="Times New Roman" w:cs="Times New Roman"/>
          <w:sz w:val="24"/>
          <w:szCs w:val="24"/>
        </w:rPr>
        <w:t>healthcare use</w:t>
      </w:r>
      <w:r w:rsidR="00B968B2" w:rsidRPr="00B745A7">
        <w:rPr>
          <w:rFonts w:ascii="Times New Roman" w:hAnsi="Times New Roman" w:cs="Times New Roman"/>
          <w:sz w:val="24"/>
          <w:szCs w:val="24"/>
        </w:rPr>
        <w:t xml:space="preserve"> </w:t>
      </w:r>
      <w:r w:rsidR="00361068" w:rsidRPr="00B745A7">
        <w:rPr>
          <w:rFonts w:ascii="Times New Roman" w:hAnsi="Times New Roman" w:cs="Times New Roman"/>
          <w:sz w:val="24"/>
          <w:szCs w:val="24"/>
        </w:rPr>
        <w:t>among PLWD. Available from CPRD</w:t>
      </w:r>
      <w:r w:rsidRPr="00B745A7">
        <w:rPr>
          <w:rFonts w:ascii="Times New Roman" w:hAnsi="Times New Roman" w:cs="Times New Roman"/>
          <w:sz w:val="24"/>
          <w:szCs w:val="24"/>
        </w:rPr>
        <w:t xml:space="preserve"> GP data</w:t>
      </w:r>
      <w:r w:rsidR="007257CC" w:rsidRPr="00B745A7">
        <w:rPr>
          <w:rFonts w:ascii="Times New Roman" w:hAnsi="Times New Roman" w:cs="Times New Roman"/>
          <w:sz w:val="24"/>
          <w:szCs w:val="24"/>
        </w:rPr>
        <w:t>, we included</w:t>
      </w:r>
      <w:r w:rsidR="00361068" w:rsidRPr="00B745A7">
        <w:rPr>
          <w:rFonts w:ascii="Times New Roman" w:hAnsi="Times New Roman" w:cs="Times New Roman"/>
          <w:sz w:val="24"/>
          <w:szCs w:val="24"/>
        </w:rPr>
        <w:t xml:space="preserve"> patients’ age at diagnosis, sex and GP region, and </w:t>
      </w:r>
      <w:r w:rsidRPr="00B745A7">
        <w:rPr>
          <w:rFonts w:ascii="Times New Roman" w:hAnsi="Times New Roman" w:cs="Times New Roman"/>
          <w:sz w:val="24"/>
          <w:szCs w:val="24"/>
        </w:rPr>
        <w:t xml:space="preserve">from patient secondary healthcare records, </w:t>
      </w:r>
      <w:r w:rsidR="00361068" w:rsidRPr="00B745A7">
        <w:rPr>
          <w:rFonts w:ascii="Times New Roman" w:hAnsi="Times New Roman" w:cs="Times New Roman"/>
          <w:sz w:val="24"/>
          <w:szCs w:val="24"/>
        </w:rPr>
        <w:t>ethnicity.</w:t>
      </w:r>
      <w:r w:rsidR="00B668F6" w:rsidRPr="00B745A7">
        <w:rPr>
          <w:rFonts w:ascii="Times New Roman" w:hAnsi="Times New Roman" w:cs="Times New Roman"/>
          <w:sz w:val="24"/>
          <w:szCs w:val="24"/>
        </w:rPr>
        <w:t xml:space="preserve"> </w:t>
      </w:r>
      <w:r w:rsidR="00E137B9" w:rsidRPr="00B745A7">
        <w:rPr>
          <w:rFonts w:ascii="Times New Roman" w:hAnsi="Times New Roman" w:cs="Times New Roman"/>
          <w:sz w:val="24"/>
          <w:szCs w:val="24"/>
        </w:rPr>
        <w:t xml:space="preserve">From age at diagnosis, we </w:t>
      </w:r>
      <w:r w:rsidR="007257CC" w:rsidRPr="00B745A7">
        <w:rPr>
          <w:rFonts w:ascii="Times New Roman" w:hAnsi="Times New Roman" w:cs="Times New Roman"/>
          <w:sz w:val="24"/>
          <w:szCs w:val="24"/>
        </w:rPr>
        <w:t>defined whether</w:t>
      </w:r>
      <w:r w:rsidR="00E137B9" w:rsidRPr="00B745A7">
        <w:rPr>
          <w:rFonts w:ascii="Times New Roman" w:hAnsi="Times New Roman" w:cs="Times New Roman"/>
          <w:sz w:val="24"/>
          <w:szCs w:val="24"/>
        </w:rPr>
        <w:t xml:space="preserve"> patients had early-onset (aged under 65 years) or late-onset dementia (aged 65 years+). People with early-onset </w:t>
      </w:r>
      <w:r w:rsidR="007257CC" w:rsidRPr="00B745A7">
        <w:rPr>
          <w:rFonts w:ascii="Times New Roman" w:hAnsi="Times New Roman" w:cs="Times New Roman"/>
          <w:sz w:val="24"/>
          <w:szCs w:val="24"/>
        </w:rPr>
        <w:t xml:space="preserve">dementia </w:t>
      </w:r>
      <w:r w:rsidR="00E137B9" w:rsidRPr="00B745A7">
        <w:rPr>
          <w:rFonts w:ascii="Times New Roman" w:hAnsi="Times New Roman" w:cs="Times New Roman"/>
          <w:sz w:val="24"/>
          <w:szCs w:val="24"/>
        </w:rPr>
        <w:t>are more likely to have rarer forms of dementia than in late-onset</w:t>
      </w:r>
      <w:r w:rsidR="007257CC" w:rsidRPr="00B745A7">
        <w:rPr>
          <w:rFonts w:ascii="Times New Roman" w:hAnsi="Times New Roman" w:cs="Times New Roman"/>
          <w:sz w:val="24"/>
          <w:szCs w:val="24"/>
        </w:rPr>
        <w:t xml:space="preserve"> (</w:t>
      </w:r>
      <w:r w:rsidR="000A15BE" w:rsidRPr="00B745A7">
        <w:rPr>
          <w:rFonts w:ascii="Times New Roman" w:hAnsi="Times New Roman" w:cs="Times New Roman"/>
          <w:sz w:val="24"/>
          <w:szCs w:val="24"/>
        </w:rPr>
        <w:t>DementiaUK, 2022</w:t>
      </w:r>
      <w:r w:rsidR="002F4C98" w:rsidRPr="00B745A7">
        <w:rPr>
          <w:rFonts w:ascii="Times New Roman" w:hAnsi="Times New Roman" w:cs="Times New Roman"/>
          <w:sz w:val="24"/>
          <w:szCs w:val="24"/>
        </w:rPr>
        <w:t xml:space="preserve">; </w:t>
      </w:r>
      <w:r w:rsidR="000A15BE" w:rsidRPr="00B745A7">
        <w:rPr>
          <w:rFonts w:ascii="Times New Roman" w:hAnsi="Times New Roman" w:cs="Times New Roman"/>
          <w:sz w:val="24"/>
          <w:szCs w:val="24"/>
        </w:rPr>
        <w:t>Gupta, Fiertag and Warner, 2018</w:t>
      </w:r>
      <w:r w:rsidR="002F4C98" w:rsidRPr="00B745A7">
        <w:rPr>
          <w:rFonts w:ascii="Times New Roman" w:hAnsi="Times New Roman" w:cs="Times New Roman"/>
          <w:sz w:val="24"/>
          <w:szCs w:val="24"/>
        </w:rPr>
        <w:t>)</w:t>
      </w:r>
      <w:r w:rsidR="00C7613F" w:rsidRPr="00B745A7">
        <w:rPr>
          <w:rFonts w:ascii="Times New Roman" w:hAnsi="Times New Roman" w:cs="Times New Roman"/>
          <w:sz w:val="24"/>
          <w:szCs w:val="24"/>
        </w:rPr>
        <w:t>, which</w:t>
      </w:r>
      <w:r w:rsidR="002F4C98" w:rsidRPr="00B745A7">
        <w:rPr>
          <w:rFonts w:ascii="Times New Roman" w:hAnsi="Times New Roman" w:cs="Times New Roman"/>
          <w:sz w:val="24"/>
          <w:szCs w:val="24"/>
        </w:rPr>
        <w:t xml:space="preserve"> can present </w:t>
      </w:r>
      <w:r w:rsidR="00C7613F" w:rsidRPr="00B745A7">
        <w:rPr>
          <w:rFonts w:ascii="Times New Roman" w:hAnsi="Times New Roman" w:cs="Times New Roman"/>
          <w:sz w:val="24"/>
          <w:szCs w:val="24"/>
        </w:rPr>
        <w:t>additional</w:t>
      </w:r>
      <w:r w:rsidR="002F4C98" w:rsidRPr="00B745A7">
        <w:rPr>
          <w:rFonts w:ascii="Times New Roman" w:hAnsi="Times New Roman" w:cs="Times New Roman"/>
          <w:sz w:val="24"/>
          <w:szCs w:val="24"/>
        </w:rPr>
        <w:t xml:space="preserve"> symptomatology</w:t>
      </w:r>
      <w:r w:rsidR="007257CC" w:rsidRPr="00B745A7">
        <w:rPr>
          <w:rFonts w:ascii="Times New Roman" w:hAnsi="Times New Roman" w:cs="Times New Roman"/>
          <w:sz w:val="24"/>
          <w:szCs w:val="24"/>
        </w:rPr>
        <w:t xml:space="preserve"> (</w:t>
      </w:r>
      <w:r w:rsidR="000A15BE" w:rsidRPr="00B745A7">
        <w:rPr>
          <w:rFonts w:ascii="Times New Roman" w:hAnsi="Times New Roman" w:cs="Times New Roman"/>
          <w:sz w:val="24"/>
          <w:szCs w:val="24"/>
        </w:rPr>
        <w:t>Giebel et al., 2020</w:t>
      </w:r>
      <w:r w:rsidR="007257CC" w:rsidRPr="00B745A7">
        <w:rPr>
          <w:rFonts w:ascii="Times New Roman" w:hAnsi="Times New Roman" w:cs="Times New Roman"/>
          <w:sz w:val="24"/>
          <w:szCs w:val="24"/>
        </w:rPr>
        <w:t>)</w:t>
      </w:r>
      <w:r w:rsidR="00E137B9" w:rsidRPr="00B745A7">
        <w:rPr>
          <w:rFonts w:ascii="Times New Roman" w:hAnsi="Times New Roman" w:cs="Times New Roman"/>
          <w:sz w:val="24"/>
          <w:szCs w:val="24"/>
        </w:rPr>
        <w:t xml:space="preserve">. </w:t>
      </w:r>
      <w:r w:rsidR="00C7613F" w:rsidRPr="00B745A7">
        <w:rPr>
          <w:rFonts w:ascii="Times New Roman" w:hAnsi="Times New Roman" w:cs="Times New Roman"/>
          <w:sz w:val="24"/>
          <w:szCs w:val="24"/>
        </w:rPr>
        <w:t>Together with the need for greater support with day-to-day activities, such as washing or preparing food, rare dementias can present varied symptoms which can have a greater impact on health and cognition (</w:t>
      </w:r>
      <w:r w:rsidR="000A15BE" w:rsidRPr="00B745A7">
        <w:rPr>
          <w:rFonts w:ascii="Times New Roman" w:hAnsi="Times New Roman" w:cs="Times New Roman"/>
          <w:sz w:val="24"/>
          <w:szCs w:val="24"/>
        </w:rPr>
        <w:t>Gerritsen et al., 2019</w:t>
      </w:r>
      <w:r w:rsidR="00C7613F" w:rsidRPr="00B745A7">
        <w:rPr>
          <w:rFonts w:ascii="Times New Roman" w:hAnsi="Times New Roman" w:cs="Times New Roman"/>
          <w:sz w:val="24"/>
          <w:szCs w:val="24"/>
        </w:rPr>
        <w:t xml:space="preserve">; </w:t>
      </w:r>
      <w:proofErr w:type="spellStart"/>
      <w:r w:rsidR="000A15BE" w:rsidRPr="00B745A7">
        <w:rPr>
          <w:rFonts w:ascii="Times New Roman" w:hAnsi="Times New Roman" w:cs="Times New Roman"/>
          <w:sz w:val="24"/>
          <w:szCs w:val="24"/>
        </w:rPr>
        <w:t>Koedam</w:t>
      </w:r>
      <w:proofErr w:type="spellEnd"/>
      <w:r w:rsidR="000A15BE" w:rsidRPr="00B745A7">
        <w:rPr>
          <w:rFonts w:ascii="Times New Roman" w:hAnsi="Times New Roman" w:cs="Times New Roman"/>
          <w:sz w:val="24"/>
          <w:szCs w:val="24"/>
        </w:rPr>
        <w:t xml:space="preserve"> et al., 2010</w:t>
      </w:r>
      <w:r w:rsidR="00C7613F" w:rsidRPr="00B745A7">
        <w:rPr>
          <w:rFonts w:ascii="Times New Roman" w:hAnsi="Times New Roman" w:cs="Times New Roman"/>
          <w:sz w:val="24"/>
          <w:szCs w:val="24"/>
        </w:rPr>
        <w:t xml:space="preserve">; </w:t>
      </w:r>
      <w:r w:rsidR="000A15BE" w:rsidRPr="00B745A7">
        <w:rPr>
          <w:rFonts w:ascii="Times New Roman" w:hAnsi="Times New Roman" w:cs="Times New Roman"/>
          <w:sz w:val="24"/>
          <w:szCs w:val="24"/>
        </w:rPr>
        <w:t>Smits et al., 2014</w:t>
      </w:r>
      <w:r w:rsidR="00C7613F" w:rsidRPr="00B745A7">
        <w:rPr>
          <w:rFonts w:ascii="Times New Roman" w:hAnsi="Times New Roman" w:cs="Times New Roman"/>
          <w:sz w:val="24"/>
          <w:szCs w:val="24"/>
        </w:rPr>
        <w:t xml:space="preserve">). </w:t>
      </w:r>
      <w:r w:rsidR="00E137B9" w:rsidRPr="00B745A7">
        <w:rPr>
          <w:rFonts w:ascii="Times New Roman" w:hAnsi="Times New Roman" w:cs="Times New Roman"/>
          <w:sz w:val="24"/>
          <w:szCs w:val="24"/>
        </w:rPr>
        <w:t xml:space="preserve">The </w:t>
      </w:r>
      <w:r w:rsidR="001A57AC" w:rsidRPr="00B745A7">
        <w:rPr>
          <w:rFonts w:ascii="Times New Roman" w:hAnsi="Times New Roman" w:cs="Times New Roman"/>
          <w:sz w:val="24"/>
          <w:szCs w:val="24"/>
        </w:rPr>
        <w:t xml:space="preserve">differential </w:t>
      </w:r>
      <w:r w:rsidR="001A57AC" w:rsidRPr="00B745A7">
        <w:rPr>
          <w:rFonts w:ascii="Times New Roman" w:hAnsi="Times New Roman" w:cs="Times New Roman"/>
          <w:sz w:val="24"/>
          <w:szCs w:val="24"/>
        </w:rPr>
        <w:lastRenderedPageBreak/>
        <w:t>impact on cogniti</w:t>
      </w:r>
      <w:r w:rsidR="003D3569" w:rsidRPr="00B745A7">
        <w:rPr>
          <w:rFonts w:ascii="Times New Roman" w:hAnsi="Times New Roman" w:cs="Times New Roman"/>
          <w:sz w:val="24"/>
          <w:szCs w:val="24"/>
        </w:rPr>
        <w:t>on</w:t>
      </w:r>
      <w:r w:rsidR="001A57AC" w:rsidRPr="00B745A7">
        <w:rPr>
          <w:rFonts w:ascii="Times New Roman" w:hAnsi="Times New Roman" w:cs="Times New Roman"/>
          <w:sz w:val="24"/>
          <w:szCs w:val="24"/>
        </w:rPr>
        <w:t xml:space="preserve"> and </w:t>
      </w:r>
      <w:r w:rsidR="00E137B9" w:rsidRPr="00B745A7">
        <w:rPr>
          <w:rFonts w:ascii="Times New Roman" w:hAnsi="Times New Roman" w:cs="Times New Roman"/>
          <w:sz w:val="24"/>
          <w:szCs w:val="24"/>
        </w:rPr>
        <w:t xml:space="preserve">physical </w:t>
      </w:r>
      <w:r w:rsidR="001A57AC" w:rsidRPr="00B745A7">
        <w:rPr>
          <w:rFonts w:ascii="Times New Roman" w:hAnsi="Times New Roman" w:cs="Times New Roman"/>
          <w:sz w:val="24"/>
          <w:szCs w:val="24"/>
        </w:rPr>
        <w:t>capabilities</w:t>
      </w:r>
      <w:r w:rsidR="00E137B9" w:rsidRPr="00B745A7">
        <w:rPr>
          <w:rFonts w:ascii="Times New Roman" w:hAnsi="Times New Roman" w:cs="Times New Roman"/>
          <w:sz w:val="24"/>
          <w:szCs w:val="24"/>
        </w:rPr>
        <w:t xml:space="preserve">, along with family, social and employment </w:t>
      </w:r>
      <w:r w:rsidR="001A57AC" w:rsidRPr="00B745A7">
        <w:rPr>
          <w:rFonts w:ascii="Times New Roman" w:hAnsi="Times New Roman" w:cs="Times New Roman"/>
          <w:sz w:val="24"/>
          <w:szCs w:val="24"/>
        </w:rPr>
        <w:t xml:space="preserve">dynamics </w:t>
      </w:r>
      <w:r w:rsidR="00E137B9" w:rsidRPr="00B745A7">
        <w:rPr>
          <w:rFonts w:ascii="Times New Roman" w:hAnsi="Times New Roman" w:cs="Times New Roman"/>
          <w:sz w:val="24"/>
          <w:szCs w:val="24"/>
        </w:rPr>
        <w:t xml:space="preserve">mean people with early- and late-onset dementia </w:t>
      </w:r>
      <w:r w:rsidR="003D3569" w:rsidRPr="00B745A7">
        <w:rPr>
          <w:rFonts w:ascii="Times New Roman" w:hAnsi="Times New Roman" w:cs="Times New Roman"/>
          <w:sz w:val="24"/>
          <w:szCs w:val="24"/>
        </w:rPr>
        <w:t xml:space="preserve">will </w:t>
      </w:r>
      <w:r w:rsidR="00E137B9" w:rsidRPr="00B745A7">
        <w:rPr>
          <w:rFonts w:ascii="Times New Roman" w:hAnsi="Times New Roman" w:cs="Times New Roman"/>
          <w:sz w:val="24"/>
          <w:szCs w:val="24"/>
        </w:rPr>
        <w:t>likely have differing needs (</w:t>
      </w:r>
      <w:r w:rsidR="000A15BE" w:rsidRPr="00B745A7">
        <w:rPr>
          <w:rFonts w:ascii="Times New Roman" w:hAnsi="Times New Roman" w:cs="Times New Roman"/>
          <w:sz w:val="24"/>
          <w:szCs w:val="24"/>
        </w:rPr>
        <w:t>Alzheimer’s Society, 2020</w:t>
      </w:r>
      <w:r w:rsidR="00E137B9" w:rsidRPr="00B745A7">
        <w:rPr>
          <w:rFonts w:ascii="Times New Roman" w:hAnsi="Times New Roman" w:cs="Times New Roman"/>
          <w:sz w:val="24"/>
          <w:szCs w:val="24"/>
        </w:rPr>
        <w:t xml:space="preserve">). </w:t>
      </w:r>
      <w:r w:rsidR="00B668F6" w:rsidRPr="00B745A7">
        <w:rPr>
          <w:rFonts w:ascii="Times New Roman" w:hAnsi="Times New Roman" w:cs="Times New Roman"/>
          <w:sz w:val="24"/>
          <w:szCs w:val="24"/>
        </w:rPr>
        <w:t xml:space="preserve">2015 Indices of Multiple Deprivation (IMD) quintile and GP urban/rural classification </w:t>
      </w:r>
      <w:r w:rsidR="003D3569" w:rsidRPr="00B745A7">
        <w:rPr>
          <w:rFonts w:ascii="Times New Roman" w:hAnsi="Times New Roman" w:cs="Times New Roman"/>
          <w:sz w:val="24"/>
          <w:szCs w:val="24"/>
        </w:rPr>
        <w:t xml:space="preserve">was </w:t>
      </w:r>
      <w:r w:rsidR="00B668F6" w:rsidRPr="00B745A7">
        <w:rPr>
          <w:rFonts w:ascii="Times New Roman" w:hAnsi="Times New Roman" w:cs="Times New Roman"/>
          <w:sz w:val="24"/>
          <w:szCs w:val="24"/>
        </w:rPr>
        <w:t xml:space="preserve">available via data linkage </w:t>
      </w:r>
      <w:r w:rsidR="00FF137D" w:rsidRPr="00B745A7">
        <w:rPr>
          <w:rFonts w:ascii="Times New Roman" w:hAnsi="Times New Roman" w:cs="Times New Roman"/>
          <w:sz w:val="24"/>
          <w:szCs w:val="24"/>
        </w:rPr>
        <w:t>using</w:t>
      </w:r>
      <w:r w:rsidR="00B668F6" w:rsidRPr="00B745A7">
        <w:rPr>
          <w:rFonts w:ascii="Times New Roman" w:hAnsi="Times New Roman" w:cs="Times New Roman"/>
          <w:sz w:val="24"/>
          <w:szCs w:val="24"/>
        </w:rPr>
        <w:t xml:space="preserve"> patients</w:t>
      </w:r>
      <w:r w:rsidR="00FF137D" w:rsidRPr="00B745A7">
        <w:rPr>
          <w:rFonts w:ascii="Times New Roman" w:hAnsi="Times New Roman" w:cs="Times New Roman"/>
          <w:sz w:val="24"/>
          <w:szCs w:val="24"/>
        </w:rPr>
        <w:t>’</w:t>
      </w:r>
      <w:r w:rsidR="00B668F6" w:rsidRPr="00B745A7">
        <w:rPr>
          <w:rFonts w:ascii="Times New Roman" w:hAnsi="Times New Roman" w:cs="Times New Roman"/>
          <w:sz w:val="24"/>
          <w:szCs w:val="24"/>
        </w:rPr>
        <w:t xml:space="preserve"> </w:t>
      </w:r>
      <w:r w:rsidR="00FF137D" w:rsidRPr="00B745A7">
        <w:rPr>
          <w:rFonts w:ascii="Times New Roman" w:hAnsi="Times New Roman" w:cs="Times New Roman"/>
          <w:sz w:val="24"/>
          <w:szCs w:val="24"/>
        </w:rPr>
        <w:t>GP ID</w:t>
      </w:r>
      <w:r w:rsidR="00B668F6" w:rsidRPr="00B745A7">
        <w:rPr>
          <w:rFonts w:ascii="Times New Roman" w:hAnsi="Times New Roman" w:cs="Times New Roman"/>
          <w:sz w:val="24"/>
          <w:szCs w:val="24"/>
        </w:rPr>
        <w:t>.</w:t>
      </w:r>
      <w:r w:rsidR="00F362C5" w:rsidRPr="00B745A7">
        <w:rPr>
          <w:rFonts w:ascii="Times New Roman" w:hAnsi="Times New Roman" w:cs="Times New Roman"/>
          <w:sz w:val="24"/>
          <w:szCs w:val="24"/>
        </w:rPr>
        <w:t xml:space="preserve"> </w:t>
      </w:r>
      <w:r w:rsidR="008805C8" w:rsidRPr="00B745A7">
        <w:rPr>
          <w:rFonts w:ascii="Times New Roman" w:hAnsi="Times New Roman" w:cs="Times New Roman"/>
          <w:sz w:val="24"/>
          <w:szCs w:val="24"/>
        </w:rPr>
        <w:t xml:space="preserve">This study includes these explanatory factors for healthcare use among PLWD, as research </w:t>
      </w:r>
      <w:r w:rsidR="003D3569" w:rsidRPr="00B745A7">
        <w:rPr>
          <w:rFonts w:ascii="Times New Roman" w:hAnsi="Times New Roman" w:cs="Times New Roman"/>
          <w:sz w:val="24"/>
          <w:szCs w:val="24"/>
        </w:rPr>
        <w:t xml:space="preserve">illustrates </w:t>
      </w:r>
      <w:r w:rsidR="008805C8" w:rsidRPr="00B745A7">
        <w:rPr>
          <w:rFonts w:ascii="Times New Roman" w:hAnsi="Times New Roman" w:cs="Times New Roman"/>
          <w:sz w:val="24"/>
          <w:szCs w:val="24"/>
        </w:rPr>
        <w:t xml:space="preserve">differential </w:t>
      </w:r>
      <w:r w:rsidR="003568D6" w:rsidRPr="00B745A7">
        <w:rPr>
          <w:rFonts w:ascii="Times New Roman" w:hAnsi="Times New Roman" w:cs="Times New Roman"/>
          <w:sz w:val="24"/>
          <w:szCs w:val="24"/>
        </w:rPr>
        <w:t xml:space="preserve">provision and quality of healthcare, and </w:t>
      </w:r>
      <w:r w:rsidR="008805C8" w:rsidRPr="00B745A7">
        <w:rPr>
          <w:rFonts w:ascii="Times New Roman" w:hAnsi="Times New Roman" w:cs="Times New Roman"/>
          <w:sz w:val="24"/>
          <w:szCs w:val="24"/>
        </w:rPr>
        <w:t>health outcomes for PLWD by age</w:t>
      </w:r>
      <w:r w:rsidR="000D5F9F" w:rsidRPr="00B745A7">
        <w:rPr>
          <w:rFonts w:ascii="Times New Roman" w:hAnsi="Times New Roman" w:cs="Times New Roman"/>
          <w:sz w:val="24"/>
          <w:szCs w:val="24"/>
        </w:rPr>
        <w:t xml:space="preserve"> (continuous)</w:t>
      </w:r>
      <w:r w:rsidR="008805C8" w:rsidRPr="00B745A7">
        <w:rPr>
          <w:rFonts w:ascii="Times New Roman" w:hAnsi="Times New Roman" w:cs="Times New Roman"/>
          <w:sz w:val="24"/>
          <w:szCs w:val="24"/>
        </w:rPr>
        <w:t>, sex, ethnicity and deprivation, and by spatial factors including level of urbanity/rurality (</w:t>
      </w:r>
      <w:r w:rsidR="000A15BE" w:rsidRPr="00B745A7">
        <w:rPr>
          <w:rFonts w:ascii="Times New Roman" w:hAnsi="Times New Roman" w:cs="Times New Roman"/>
          <w:sz w:val="24"/>
          <w:szCs w:val="24"/>
        </w:rPr>
        <w:t>Rahman et al., 2020</w:t>
      </w:r>
      <w:r w:rsidR="006976EE" w:rsidRPr="00B745A7">
        <w:rPr>
          <w:rStyle w:val="Hyperlink"/>
          <w:rFonts w:ascii="Times New Roman" w:hAnsi="Times New Roman" w:cs="Times New Roman"/>
          <w:color w:val="auto"/>
          <w:sz w:val="24"/>
          <w:szCs w:val="24"/>
          <w:u w:val="none"/>
        </w:rPr>
        <w:t xml:space="preserve">; </w:t>
      </w:r>
      <w:r w:rsidR="008805C8" w:rsidRPr="00B745A7">
        <w:rPr>
          <w:rFonts w:ascii="Times New Roman" w:hAnsi="Times New Roman" w:cs="Times New Roman"/>
          <w:sz w:val="24"/>
          <w:szCs w:val="24"/>
        </w:rPr>
        <w:t xml:space="preserve">Watson et al., 2020, Watson et al., 2021; </w:t>
      </w:r>
      <w:r w:rsidR="000A15BE" w:rsidRPr="00B745A7">
        <w:rPr>
          <w:rFonts w:ascii="Times New Roman" w:hAnsi="Times New Roman" w:cs="Times New Roman"/>
          <w:sz w:val="24"/>
          <w:szCs w:val="24"/>
        </w:rPr>
        <w:t>Wu et al., 2020</w:t>
      </w:r>
      <w:r w:rsidR="008805C8" w:rsidRPr="00B745A7">
        <w:rPr>
          <w:rFonts w:ascii="Times New Roman" w:hAnsi="Times New Roman" w:cs="Times New Roman"/>
          <w:sz w:val="24"/>
          <w:szCs w:val="24"/>
        </w:rPr>
        <w:t>).</w:t>
      </w:r>
    </w:p>
    <w:p w14:paraId="5AE93FFC" w14:textId="29885F21" w:rsidR="001A1F2B" w:rsidRPr="00B745A7" w:rsidRDefault="001A1F2B" w:rsidP="00AD5F19">
      <w:pPr>
        <w:spacing w:line="480" w:lineRule="auto"/>
        <w:jc w:val="both"/>
        <w:rPr>
          <w:rFonts w:ascii="Times New Roman" w:hAnsi="Times New Roman" w:cs="Times New Roman"/>
          <w:b/>
          <w:i/>
          <w:sz w:val="24"/>
          <w:szCs w:val="24"/>
        </w:rPr>
      </w:pPr>
      <w:bookmarkStart w:id="24" w:name="_Hlk106009754"/>
      <w:r w:rsidRPr="00B745A7">
        <w:rPr>
          <w:rFonts w:ascii="Times New Roman" w:hAnsi="Times New Roman" w:cs="Times New Roman"/>
          <w:b/>
          <w:i/>
          <w:sz w:val="24"/>
          <w:szCs w:val="24"/>
        </w:rPr>
        <w:t>Missing Data</w:t>
      </w:r>
    </w:p>
    <w:p w14:paraId="6FB649E1" w14:textId="59ED8712" w:rsidR="001A1F2B" w:rsidRPr="00B745A7" w:rsidRDefault="001A1F2B" w:rsidP="00AD5F19">
      <w:pPr>
        <w:spacing w:line="480" w:lineRule="auto"/>
        <w:jc w:val="both"/>
        <w:rPr>
          <w:rFonts w:ascii="Times New Roman" w:hAnsi="Times New Roman" w:cs="Times New Roman"/>
          <w:sz w:val="24"/>
          <w:szCs w:val="24"/>
        </w:rPr>
      </w:pPr>
      <w:r w:rsidRPr="00B745A7">
        <w:rPr>
          <w:rFonts w:ascii="Times New Roman" w:hAnsi="Times New Roman" w:cs="Times New Roman"/>
          <w:b/>
          <w:i/>
          <w:sz w:val="24"/>
          <w:szCs w:val="24"/>
        </w:rPr>
        <w:tab/>
      </w:r>
      <w:r w:rsidRPr="00B745A7">
        <w:rPr>
          <w:rFonts w:ascii="Times New Roman" w:hAnsi="Times New Roman" w:cs="Times New Roman"/>
          <w:sz w:val="24"/>
          <w:szCs w:val="24"/>
        </w:rPr>
        <w:t>Our analytical sample size was 142,340 people. However, ethnicity data for 7,421 (5.2%) and IMD 2015 quintile data for 276 (0.2%) was missing data. As such these individuals were not included in regression analyses, with data assumed missing completely at random (</w:t>
      </w:r>
      <w:r w:rsidRPr="00B745A7">
        <w:rPr>
          <w:rFonts w:ascii="Times New Roman" w:hAnsi="Times New Roman" w:cs="Times New Roman"/>
          <w:b/>
          <w:sz w:val="24"/>
          <w:szCs w:val="24"/>
        </w:rPr>
        <w:t>Figure 1</w:t>
      </w:r>
      <w:r w:rsidRPr="00B745A7">
        <w:rPr>
          <w:rFonts w:ascii="Times New Roman" w:hAnsi="Times New Roman" w:cs="Times New Roman"/>
          <w:sz w:val="24"/>
          <w:szCs w:val="24"/>
        </w:rPr>
        <w:t>).</w:t>
      </w:r>
    </w:p>
    <w:bookmarkEnd w:id="24"/>
    <w:p w14:paraId="642BE694" w14:textId="201EDBF6" w:rsidR="007166CE" w:rsidRPr="00B745A7" w:rsidRDefault="007166CE" w:rsidP="00AD5F19">
      <w:pPr>
        <w:spacing w:line="480" w:lineRule="auto"/>
        <w:jc w:val="both"/>
        <w:rPr>
          <w:rFonts w:ascii="Times New Roman" w:hAnsi="Times New Roman" w:cs="Times New Roman"/>
          <w:i/>
          <w:sz w:val="24"/>
          <w:szCs w:val="24"/>
        </w:rPr>
      </w:pPr>
      <w:r w:rsidRPr="00B745A7">
        <w:rPr>
          <w:rFonts w:ascii="Times New Roman" w:hAnsi="Times New Roman" w:cs="Times New Roman"/>
          <w:b/>
          <w:i/>
          <w:sz w:val="24"/>
          <w:szCs w:val="24"/>
        </w:rPr>
        <w:t>Statistical analysis</w:t>
      </w:r>
    </w:p>
    <w:p w14:paraId="249EAB70" w14:textId="5B91ACD9" w:rsidR="004716A9" w:rsidRPr="00B745A7" w:rsidRDefault="00B27E90" w:rsidP="00756CEB">
      <w:pPr>
        <w:spacing w:line="480" w:lineRule="auto"/>
        <w:ind w:firstLine="720"/>
        <w:jc w:val="both"/>
        <w:rPr>
          <w:rFonts w:ascii="Times New Roman" w:hAnsi="Times New Roman" w:cs="Times New Roman"/>
          <w:sz w:val="24"/>
          <w:szCs w:val="24"/>
        </w:rPr>
      </w:pPr>
      <w:r w:rsidRPr="00B745A7">
        <w:rPr>
          <w:rFonts w:ascii="Times New Roman" w:hAnsi="Times New Roman" w:cs="Times New Roman"/>
          <w:sz w:val="24"/>
          <w:szCs w:val="24"/>
        </w:rPr>
        <w:t>T</w:t>
      </w:r>
      <w:r w:rsidR="00420D2F" w:rsidRPr="00B745A7">
        <w:rPr>
          <w:rFonts w:ascii="Times New Roman" w:hAnsi="Times New Roman" w:cs="Times New Roman"/>
          <w:sz w:val="24"/>
          <w:szCs w:val="24"/>
        </w:rPr>
        <w:t xml:space="preserve">he sample population was </w:t>
      </w:r>
      <w:r w:rsidR="002B1B01" w:rsidRPr="00B745A7">
        <w:rPr>
          <w:rFonts w:ascii="Times New Roman" w:hAnsi="Times New Roman" w:cs="Times New Roman"/>
          <w:sz w:val="24"/>
          <w:szCs w:val="24"/>
        </w:rPr>
        <w:t xml:space="preserve">stratified </w:t>
      </w:r>
      <w:r w:rsidR="00420D2F" w:rsidRPr="00B745A7">
        <w:rPr>
          <w:rFonts w:ascii="Times New Roman" w:hAnsi="Times New Roman" w:cs="Times New Roman"/>
          <w:sz w:val="24"/>
          <w:szCs w:val="24"/>
        </w:rPr>
        <w:t>into two groups based on age of onset of dementia diagnosis.</w:t>
      </w:r>
      <w:r w:rsidR="00420D2F" w:rsidRPr="00B745A7" w:rsidDel="00420D2F">
        <w:rPr>
          <w:rFonts w:ascii="Times New Roman" w:hAnsi="Times New Roman" w:cs="Times New Roman"/>
          <w:sz w:val="24"/>
          <w:szCs w:val="24"/>
        </w:rPr>
        <w:t xml:space="preserve"> </w:t>
      </w:r>
      <w:r w:rsidR="008F731D" w:rsidRPr="00B745A7">
        <w:rPr>
          <w:rFonts w:ascii="Times New Roman" w:hAnsi="Times New Roman" w:cs="Times New Roman"/>
          <w:sz w:val="24"/>
          <w:szCs w:val="24"/>
        </w:rPr>
        <w:t xml:space="preserve">Descriptive statistics </w:t>
      </w:r>
      <w:r w:rsidR="00394F64" w:rsidRPr="00B745A7">
        <w:rPr>
          <w:rFonts w:ascii="Times New Roman" w:hAnsi="Times New Roman" w:cs="Times New Roman"/>
          <w:sz w:val="24"/>
          <w:szCs w:val="24"/>
        </w:rPr>
        <w:t>of the s</w:t>
      </w:r>
      <w:r w:rsidR="000A6094" w:rsidRPr="00B745A7">
        <w:rPr>
          <w:rFonts w:ascii="Times New Roman" w:hAnsi="Times New Roman" w:cs="Times New Roman"/>
          <w:sz w:val="24"/>
          <w:szCs w:val="24"/>
        </w:rPr>
        <w:t>ample</w:t>
      </w:r>
      <w:r w:rsidR="00394F64" w:rsidRPr="00B745A7">
        <w:rPr>
          <w:rFonts w:ascii="Times New Roman" w:hAnsi="Times New Roman" w:cs="Times New Roman"/>
          <w:sz w:val="24"/>
          <w:szCs w:val="24"/>
        </w:rPr>
        <w:t xml:space="preserve"> populations’ social and </w:t>
      </w:r>
      <w:r w:rsidR="002E5628" w:rsidRPr="00B745A7">
        <w:rPr>
          <w:rFonts w:ascii="Times New Roman" w:hAnsi="Times New Roman" w:cs="Times New Roman"/>
          <w:sz w:val="24"/>
          <w:szCs w:val="24"/>
        </w:rPr>
        <w:t xml:space="preserve">spatial </w:t>
      </w:r>
      <w:r w:rsidR="00394F64" w:rsidRPr="00B745A7">
        <w:rPr>
          <w:rFonts w:ascii="Times New Roman" w:hAnsi="Times New Roman" w:cs="Times New Roman"/>
          <w:sz w:val="24"/>
          <w:szCs w:val="24"/>
        </w:rPr>
        <w:t>factors were calculated</w:t>
      </w:r>
      <w:r w:rsidR="004716A9" w:rsidRPr="00B745A7">
        <w:rPr>
          <w:rFonts w:ascii="Times New Roman" w:hAnsi="Times New Roman" w:cs="Times New Roman"/>
          <w:sz w:val="24"/>
          <w:szCs w:val="24"/>
        </w:rPr>
        <w:t>. F</w:t>
      </w:r>
      <w:r w:rsidR="00DA6F8F" w:rsidRPr="00B745A7">
        <w:rPr>
          <w:rFonts w:ascii="Times New Roman" w:hAnsi="Times New Roman" w:cs="Times New Roman"/>
          <w:sz w:val="24"/>
          <w:szCs w:val="24"/>
        </w:rPr>
        <w:t>requency counts</w:t>
      </w:r>
      <w:r w:rsidR="00394F64" w:rsidRPr="00B745A7">
        <w:rPr>
          <w:rFonts w:ascii="Times New Roman" w:hAnsi="Times New Roman" w:cs="Times New Roman"/>
          <w:sz w:val="24"/>
          <w:szCs w:val="24"/>
        </w:rPr>
        <w:t xml:space="preserve"> and rates</w:t>
      </w:r>
      <w:r w:rsidR="004716A9" w:rsidRPr="00B745A7">
        <w:rPr>
          <w:rFonts w:ascii="Times New Roman" w:hAnsi="Times New Roman" w:cs="Times New Roman"/>
          <w:sz w:val="24"/>
          <w:szCs w:val="24"/>
        </w:rPr>
        <w:t xml:space="preserve"> per year</w:t>
      </w:r>
      <w:r w:rsidR="00394F64" w:rsidRPr="00B745A7">
        <w:rPr>
          <w:rFonts w:ascii="Times New Roman" w:hAnsi="Times New Roman" w:cs="Times New Roman"/>
          <w:sz w:val="24"/>
          <w:szCs w:val="24"/>
        </w:rPr>
        <w:t xml:space="preserve"> of the </w:t>
      </w:r>
      <w:r w:rsidR="0085789D" w:rsidRPr="00B745A7">
        <w:rPr>
          <w:rFonts w:ascii="Times New Roman" w:hAnsi="Times New Roman" w:cs="Times New Roman"/>
          <w:sz w:val="24"/>
          <w:szCs w:val="24"/>
        </w:rPr>
        <w:t xml:space="preserve">six </w:t>
      </w:r>
      <w:r w:rsidR="008F731D" w:rsidRPr="00B745A7">
        <w:rPr>
          <w:rFonts w:ascii="Times New Roman" w:hAnsi="Times New Roman" w:cs="Times New Roman"/>
          <w:sz w:val="24"/>
          <w:szCs w:val="24"/>
        </w:rPr>
        <w:t>healthcare</w:t>
      </w:r>
      <w:r w:rsidR="00086381" w:rsidRPr="00B745A7">
        <w:rPr>
          <w:rFonts w:ascii="Times New Roman" w:hAnsi="Times New Roman" w:cs="Times New Roman"/>
          <w:sz w:val="24"/>
          <w:szCs w:val="24"/>
        </w:rPr>
        <w:t xml:space="preserve"> </w:t>
      </w:r>
      <w:r w:rsidR="00394F64" w:rsidRPr="00B745A7">
        <w:rPr>
          <w:rFonts w:ascii="Times New Roman" w:hAnsi="Times New Roman" w:cs="Times New Roman"/>
          <w:sz w:val="24"/>
          <w:szCs w:val="24"/>
        </w:rPr>
        <w:t>types</w:t>
      </w:r>
      <w:r w:rsidR="004716A9" w:rsidRPr="00B745A7">
        <w:rPr>
          <w:rFonts w:ascii="Times New Roman" w:hAnsi="Times New Roman" w:cs="Times New Roman"/>
          <w:sz w:val="24"/>
          <w:szCs w:val="24"/>
        </w:rPr>
        <w:t xml:space="preserve"> were calculated</w:t>
      </w:r>
      <w:r w:rsidR="008F731D" w:rsidRPr="00B745A7">
        <w:rPr>
          <w:rFonts w:ascii="Times New Roman" w:hAnsi="Times New Roman" w:cs="Times New Roman"/>
          <w:sz w:val="24"/>
          <w:szCs w:val="24"/>
        </w:rPr>
        <w:t xml:space="preserve">. </w:t>
      </w:r>
      <w:r w:rsidR="00526E79" w:rsidRPr="00B745A7">
        <w:rPr>
          <w:rFonts w:ascii="Times New Roman" w:hAnsi="Times New Roman" w:cs="Times New Roman"/>
          <w:sz w:val="24"/>
          <w:szCs w:val="24"/>
        </w:rPr>
        <w:t>Explanatory factors were included in fully-adjusted, generalised linear regression models, highlighting v</w:t>
      </w:r>
      <w:r w:rsidR="004716A9" w:rsidRPr="00B745A7">
        <w:rPr>
          <w:rFonts w:ascii="Times New Roman" w:hAnsi="Times New Roman" w:cs="Times New Roman"/>
          <w:sz w:val="24"/>
          <w:szCs w:val="24"/>
        </w:rPr>
        <w:t xml:space="preserve">ariation in healthcare </w:t>
      </w:r>
      <w:r w:rsidR="00526E79" w:rsidRPr="00B745A7">
        <w:rPr>
          <w:rFonts w:ascii="Times New Roman" w:hAnsi="Times New Roman" w:cs="Times New Roman"/>
          <w:sz w:val="24"/>
          <w:szCs w:val="24"/>
        </w:rPr>
        <w:t>use</w:t>
      </w:r>
      <w:r w:rsidR="00C109F6" w:rsidRPr="00B745A7">
        <w:rPr>
          <w:rFonts w:ascii="Times New Roman" w:hAnsi="Times New Roman" w:cs="Times New Roman"/>
          <w:sz w:val="24"/>
          <w:szCs w:val="24"/>
        </w:rPr>
        <w:t xml:space="preserve">. </w:t>
      </w:r>
      <w:r w:rsidR="00383773" w:rsidRPr="00B745A7">
        <w:rPr>
          <w:rFonts w:ascii="Times New Roman" w:hAnsi="Times New Roman" w:cs="Times New Roman"/>
          <w:sz w:val="24"/>
          <w:szCs w:val="24"/>
        </w:rPr>
        <w:t xml:space="preserve">A mixture of </w:t>
      </w:r>
      <w:r w:rsidR="009A59D2" w:rsidRPr="00B745A7">
        <w:rPr>
          <w:rFonts w:ascii="Times New Roman" w:hAnsi="Times New Roman" w:cs="Times New Roman"/>
          <w:sz w:val="24"/>
          <w:szCs w:val="24"/>
        </w:rPr>
        <w:t>B</w:t>
      </w:r>
      <w:r w:rsidR="00383773" w:rsidRPr="00B745A7">
        <w:rPr>
          <w:rFonts w:ascii="Times New Roman" w:hAnsi="Times New Roman" w:cs="Times New Roman"/>
          <w:sz w:val="24"/>
          <w:szCs w:val="24"/>
        </w:rPr>
        <w:t xml:space="preserve">inomial and </w:t>
      </w:r>
      <w:r w:rsidR="009A59D2" w:rsidRPr="00B745A7">
        <w:rPr>
          <w:rFonts w:ascii="Times New Roman" w:hAnsi="Times New Roman" w:cs="Times New Roman"/>
          <w:sz w:val="24"/>
          <w:szCs w:val="24"/>
        </w:rPr>
        <w:t>P</w:t>
      </w:r>
      <w:r w:rsidR="00383773" w:rsidRPr="00B745A7">
        <w:rPr>
          <w:rFonts w:ascii="Times New Roman" w:hAnsi="Times New Roman" w:cs="Times New Roman"/>
          <w:sz w:val="24"/>
          <w:szCs w:val="24"/>
        </w:rPr>
        <w:t>oisson</w:t>
      </w:r>
      <w:r w:rsidR="00B66958" w:rsidRPr="00B745A7">
        <w:rPr>
          <w:rFonts w:ascii="Times New Roman" w:hAnsi="Times New Roman" w:cs="Times New Roman"/>
          <w:sz w:val="24"/>
          <w:szCs w:val="24"/>
        </w:rPr>
        <w:t xml:space="preserve"> </w:t>
      </w:r>
      <w:r w:rsidR="009A59D2" w:rsidRPr="00B745A7">
        <w:rPr>
          <w:rFonts w:ascii="Times New Roman" w:hAnsi="Times New Roman" w:cs="Times New Roman"/>
          <w:sz w:val="24"/>
          <w:szCs w:val="24"/>
        </w:rPr>
        <w:t xml:space="preserve">generalised </w:t>
      </w:r>
      <w:r w:rsidR="00B66958" w:rsidRPr="00B745A7">
        <w:rPr>
          <w:rFonts w:ascii="Times New Roman" w:hAnsi="Times New Roman" w:cs="Times New Roman"/>
          <w:sz w:val="24"/>
          <w:szCs w:val="24"/>
        </w:rPr>
        <w:t>l</w:t>
      </w:r>
      <w:r w:rsidR="004716A9" w:rsidRPr="00B745A7">
        <w:rPr>
          <w:rFonts w:ascii="Times New Roman" w:hAnsi="Times New Roman" w:cs="Times New Roman"/>
          <w:sz w:val="24"/>
          <w:szCs w:val="24"/>
        </w:rPr>
        <w:t>inear</w:t>
      </w:r>
      <w:r w:rsidR="00B66958" w:rsidRPr="00B745A7">
        <w:rPr>
          <w:rFonts w:ascii="Times New Roman" w:hAnsi="Times New Roman" w:cs="Times New Roman"/>
          <w:sz w:val="24"/>
          <w:szCs w:val="24"/>
        </w:rPr>
        <w:t xml:space="preserve"> regression models were used</w:t>
      </w:r>
      <w:r w:rsidR="004716A9" w:rsidRPr="00B745A7">
        <w:rPr>
          <w:rFonts w:ascii="Times New Roman" w:hAnsi="Times New Roman" w:cs="Times New Roman"/>
          <w:sz w:val="24"/>
          <w:szCs w:val="24"/>
        </w:rPr>
        <w:t>. T</w:t>
      </w:r>
      <w:r w:rsidR="009A59D2" w:rsidRPr="00B745A7">
        <w:rPr>
          <w:rFonts w:ascii="Times New Roman" w:hAnsi="Times New Roman" w:cs="Times New Roman"/>
          <w:sz w:val="24"/>
          <w:szCs w:val="24"/>
        </w:rPr>
        <w:t xml:space="preserve">hose </w:t>
      </w:r>
      <w:r w:rsidR="00526E79" w:rsidRPr="00B745A7">
        <w:rPr>
          <w:rFonts w:ascii="Times New Roman" w:hAnsi="Times New Roman" w:cs="Times New Roman"/>
          <w:sz w:val="24"/>
          <w:szCs w:val="24"/>
        </w:rPr>
        <w:t>healthcare types with</w:t>
      </w:r>
      <w:r w:rsidR="009A59D2" w:rsidRPr="00B745A7">
        <w:rPr>
          <w:rFonts w:ascii="Times New Roman" w:hAnsi="Times New Roman" w:cs="Times New Roman"/>
          <w:sz w:val="24"/>
          <w:szCs w:val="24"/>
        </w:rPr>
        <w:t xml:space="preserve"> sufficient numbers of contacts were analysed using Poisson</w:t>
      </w:r>
      <w:r w:rsidR="00526E79" w:rsidRPr="00B745A7">
        <w:rPr>
          <w:rFonts w:ascii="Times New Roman" w:hAnsi="Times New Roman" w:cs="Times New Roman"/>
          <w:sz w:val="24"/>
          <w:szCs w:val="24"/>
        </w:rPr>
        <w:t xml:space="preserve"> regression</w:t>
      </w:r>
      <w:r w:rsidR="009A59D2" w:rsidRPr="00B745A7">
        <w:rPr>
          <w:rFonts w:ascii="Times New Roman" w:hAnsi="Times New Roman" w:cs="Times New Roman"/>
          <w:sz w:val="24"/>
          <w:szCs w:val="24"/>
        </w:rPr>
        <w:t>, based on rates per patient year</w:t>
      </w:r>
      <w:r w:rsidR="00526E79" w:rsidRPr="00B745A7">
        <w:rPr>
          <w:rFonts w:ascii="Times New Roman" w:hAnsi="Times New Roman" w:cs="Times New Roman"/>
          <w:sz w:val="24"/>
          <w:szCs w:val="24"/>
        </w:rPr>
        <w:t>. Those with insufficient numbers were based on binomial regression, based on whether the person did or did not use the type of healthcare</w:t>
      </w:r>
      <w:r w:rsidR="00420D2F" w:rsidRPr="00B745A7">
        <w:rPr>
          <w:rFonts w:ascii="Times New Roman" w:hAnsi="Times New Roman" w:cs="Times New Roman"/>
          <w:sz w:val="24"/>
          <w:szCs w:val="24"/>
        </w:rPr>
        <w:t xml:space="preserve">. Within regression models, explanatory factors were included as </w:t>
      </w:r>
      <w:r w:rsidR="00420D2F" w:rsidRPr="00B745A7">
        <w:rPr>
          <w:rFonts w:ascii="Times New Roman" w:hAnsi="Times New Roman" w:cs="Times New Roman"/>
          <w:sz w:val="24"/>
          <w:szCs w:val="24"/>
        </w:rPr>
        <w:lastRenderedPageBreak/>
        <w:t>dependent variables, with the rates/occurrence of healthcare contacts the independent variable(s).</w:t>
      </w:r>
    </w:p>
    <w:p w14:paraId="3B11AD24" w14:textId="5AA9FBB5" w:rsidR="00BF6E9F" w:rsidRPr="00B745A7" w:rsidRDefault="00BF6E9F" w:rsidP="00756CEB">
      <w:pPr>
        <w:spacing w:line="480" w:lineRule="auto"/>
        <w:ind w:firstLine="720"/>
        <w:jc w:val="both"/>
        <w:rPr>
          <w:rFonts w:ascii="Times New Roman" w:hAnsi="Times New Roman" w:cs="Times New Roman"/>
          <w:sz w:val="24"/>
          <w:szCs w:val="24"/>
        </w:rPr>
      </w:pPr>
      <w:bookmarkStart w:id="25" w:name="_Hlk106275359"/>
      <w:r w:rsidRPr="00B745A7">
        <w:rPr>
          <w:rFonts w:ascii="Times New Roman" w:hAnsi="Times New Roman" w:cs="Times New Roman"/>
          <w:sz w:val="24"/>
          <w:szCs w:val="24"/>
        </w:rPr>
        <w:t>Early-onset: Binomial regression models were used for dementia medications, A&amp;E attendances and, elective and emergency hospital admissions. Poisson regression models were used for GP observations and non-dementia medications.</w:t>
      </w:r>
    </w:p>
    <w:p w14:paraId="46CAA57A" w14:textId="5FD84ABC" w:rsidR="00BF6E9F" w:rsidRPr="00B745A7" w:rsidRDefault="00BF6E9F" w:rsidP="00756CEB">
      <w:pPr>
        <w:spacing w:line="480" w:lineRule="auto"/>
        <w:ind w:firstLine="720"/>
        <w:jc w:val="both"/>
        <w:rPr>
          <w:rFonts w:ascii="Times New Roman" w:hAnsi="Times New Roman" w:cs="Times New Roman"/>
          <w:sz w:val="24"/>
          <w:szCs w:val="24"/>
        </w:rPr>
      </w:pPr>
      <w:bookmarkStart w:id="26" w:name="_Hlk106275337"/>
      <w:bookmarkEnd w:id="25"/>
      <w:r w:rsidRPr="00B745A7">
        <w:rPr>
          <w:rFonts w:ascii="Times New Roman" w:hAnsi="Times New Roman" w:cs="Times New Roman"/>
          <w:sz w:val="24"/>
          <w:szCs w:val="24"/>
        </w:rPr>
        <w:t>Late-onset: Binomial regression models were used for A&amp;E attendances and, elective and emergency hospital admissions. Poisson regression models were used for GP observations, dementia and, non-dementia medications.</w:t>
      </w:r>
    </w:p>
    <w:p w14:paraId="0339983B" w14:textId="7CE547E5" w:rsidR="007166CE" w:rsidRPr="00B745A7" w:rsidRDefault="00B92452" w:rsidP="00AB4696">
      <w:pPr>
        <w:spacing w:line="480" w:lineRule="auto"/>
        <w:ind w:firstLine="720"/>
        <w:jc w:val="both"/>
        <w:rPr>
          <w:rFonts w:ascii="Times New Roman" w:hAnsi="Times New Roman" w:cs="Times New Roman"/>
          <w:sz w:val="24"/>
          <w:szCs w:val="24"/>
        </w:rPr>
      </w:pPr>
      <w:r w:rsidRPr="00B745A7">
        <w:rPr>
          <w:rFonts w:ascii="Times New Roman" w:hAnsi="Times New Roman" w:cs="Times New Roman"/>
          <w:sz w:val="24"/>
          <w:szCs w:val="24"/>
        </w:rPr>
        <w:t xml:space="preserve">Early- and later-onset populations were analysed separately, </w:t>
      </w:r>
      <w:r w:rsidR="00526E79" w:rsidRPr="00B745A7">
        <w:rPr>
          <w:rFonts w:ascii="Times New Roman" w:hAnsi="Times New Roman" w:cs="Times New Roman"/>
          <w:sz w:val="24"/>
          <w:szCs w:val="24"/>
        </w:rPr>
        <w:t>with</w:t>
      </w:r>
      <w:r w:rsidRPr="00B745A7">
        <w:rPr>
          <w:rFonts w:ascii="Times New Roman" w:hAnsi="Times New Roman" w:cs="Times New Roman"/>
          <w:sz w:val="24"/>
          <w:szCs w:val="24"/>
        </w:rPr>
        <w:t xml:space="preserve"> a total of </w:t>
      </w:r>
      <w:r w:rsidR="00BF6E9F" w:rsidRPr="00B745A7">
        <w:rPr>
          <w:rFonts w:ascii="Times New Roman" w:hAnsi="Times New Roman" w:cs="Times New Roman"/>
          <w:sz w:val="24"/>
          <w:szCs w:val="24"/>
        </w:rPr>
        <w:t>12</w:t>
      </w:r>
      <w:r w:rsidR="008F731D" w:rsidRPr="00B745A7">
        <w:rPr>
          <w:rFonts w:ascii="Times New Roman" w:hAnsi="Times New Roman" w:cs="Times New Roman"/>
          <w:sz w:val="24"/>
          <w:szCs w:val="24"/>
        </w:rPr>
        <w:t xml:space="preserve"> fully-adjusted models </w:t>
      </w:r>
      <w:r w:rsidRPr="00B745A7">
        <w:rPr>
          <w:rFonts w:ascii="Times New Roman" w:hAnsi="Times New Roman" w:cs="Times New Roman"/>
          <w:sz w:val="24"/>
          <w:szCs w:val="24"/>
        </w:rPr>
        <w:t>run</w:t>
      </w:r>
      <w:r w:rsidR="008F731D" w:rsidRPr="00B745A7">
        <w:rPr>
          <w:rFonts w:ascii="Times New Roman" w:hAnsi="Times New Roman" w:cs="Times New Roman"/>
          <w:sz w:val="24"/>
          <w:szCs w:val="24"/>
        </w:rPr>
        <w:t xml:space="preserve"> </w:t>
      </w:r>
      <w:r w:rsidR="00394F64" w:rsidRPr="00B745A7">
        <w:rPr>
          <w:rFonts w:ascii="Times New Roman" w:hAnsi="Times New Roman" w:cs="Times New Roman"/>
          <w:sz w:val="24"/>
          <w:szCs w:val="24"/>
        </w:rPr>
        <w:t xml:space="preserve">to indicate differential use of </w:t>
      </w:r>
      <w:r w:rsidRPr="00B745A7">
        <w:rPr>
          <w:rFonts w:ascii="Times New Roman" w:hAnsi="Times New Roman" w:cs="Times New Roman"/>
          <w:sz w:val="24"/>
          <w:szCs w:val="24"/>
        </w:rPr>
        <w:t xml:space="preserve">each </w:t>
      </w:r>
      <w:r w:rsidR="00394F64" w:rsidRPr="00B745A7">
        <w:rPr>
          <w:rFonts w:ascii="Times New Roman" w:hAnsi="Times New Roman" w:cs="Times New Roman"/>
          <w:sz w:val="24"/>
          <w:szCs w:val="24"/>
        </w:rPr>
        <w:t xml:space="preserve">healthcare </w:t>
      </w:r>
      <w:r w:rsidRPr="00B745A7">
        <w:rPr>
          <w:rFonts w:ascii="Times New Roman" w:hAnsi="Times New Roman" w:cs="Times New Roman"/>
          <w:sz w:val="24"/>
          <w:szCs w:val="24"/>
        </w:rPr>
        <w:t>type</w:t>
      </w:r>
      <w:r w:rsidR="00394F64" w:rsidRPr="00B745A7">
        <w:rPr>
          <w:rFonts w:ascii="Times New Roman" w:hAnsi="Times New Roman" w:cs="Times New Roman"/>
          <w:sz w:val="24"/>
          <w:szCs w:val="24"/>
        </w:rPr>
        <w:t xml:space="preserve"> by explanatory variables</w:t>
      </w:r>
      <w:r w:rsidR="00B30976" w:rsidRPr="00B745A7">
        <w:rPr>
          <w:rFonts w:ascii="Times New Roman" w:hAnsi="Times New Roman" w:cs="Times New Roman"/>
          <w:sz w:val="24"/>
          <w:szCs w:val="24"/>
        </w:rPr>
        <w:t>.</w:t>
      </w:r>
      <w:r w:rsidR="002B1B01" w:rsidRPr="00B745A7">
        <w:rPr>
          <w:rFonts w:ascii="Times New Roman" w:hAnsi="Times New Roman" w:cs="Times New Roman"/>
          <w:sz w:val="24"/>
          <w:szCs w:val="24"/>
        </w:rPr>
        <w:t xml:space="preserve"> Analyses were conducted in R</w:t>
      </w:r>
      <w:bookmarkEnd w:id="26"/>
      <w:r w:rsidR="002B1B01" w:rsidRPr="00B745A7">
        <w:rPr>
          <w:rFonts w:ascii="Times New Roman" w:hAnsi="Times New Roman" w:cs="Times New Roman"/>
          <w:sz w:val="24"/>
          <w:szCs w:val="24"/>
        </w:rPr>
        <w:t>.</w:t>
      </w:r>
      <w:r w:rsidR="009160AB" w:rsidRPr="00B745A7">
        <w:rPr>
          <w:rFonts w:ascii="Times New Roman" w:hAnsi="Times New Roman" w:cs="Times New Roman"/>
          <w:sz w:val="24"/>
          <w:szCs w:val="24"/>
        </w:rPr>
        <w:t xml:space="preserve"> </w:t>
      </w:r>
      <w:bookmarkStart w:id="27" w:name="_Hlk106275164"/>
      <w:bookmarkStart w:id="28" w:name="_Hlk106287760"/>
      <w:r w:rsidR="00AB4696" w:rsidRPr="00B745A7">
        <w:rPr>
          <w:rFonts w:ascii="Times New Roman" w:hAnsi="Times New Roman" w:cs="Times New Roman"/>
          <w:sz w:val="24"/>
          <w:szCs w:val="24"/>
        </w:rPr>
        <w:t>Poisson</w:t>
      </w:r>
      <w:r w:rsidR="009160AB" w:rsidRPr="00B745A7">
        <w:rPr>
          <w:rFonts w:ascii="Times New Roman" w:hAnsi="Times New Roman" w:cs="Times New Roman"/>
          <w:sz w:val="24"/>
          <w:szCs w:val="24"/>
        </w:rPr>
        <w:t xml:space="preserve"> regression models return Incidence Rate Ratios (IIR), and </w:t>
      </w:r>
      <w:r w:rsidR="00AB4696" w:rsidRPr="00B745A7">
        <w:rPr>
          <w:rFonts w:ascii="Times New Roman" w:hAnsi="Times New Roman" w:cs="Times New Roman"/>
          <w:sz w:val="24"/>
          <w:szCs w:val="24"/>
        </w:rPr>
        <w:t xml:space="preserve">Binomial </w:t>
      </w:r>
      <w:r w:rsidR="009160AB" w:rsidRPr="00B745A7">
        <w:rPr>
          <w:rFonts w:ascii="Times New Roman" w:hAnsi="Times New Roman" w:cs="Times New Roman"/>
          <w:sz w:val="24"/>
          <w:szCs w:val="24"/>
        </w:rPr>
        <w:t>regression models return Odds Ratios (OR), both with 95% confidence intervals</w:t>
      </w:r>
      <w:r w:rsidR="00AB4696" w:rsidRPr="00B745A7">
        <w:rPr>
          <w:rFonts w:ascii="Times New Roman" w:hAnsi="Times New Roman" w:cs="Times New Roman"/>
          <w:sz w:val="24"/>
          <w:szCs w:val="24"/>
        </w:rPr>
        <w:t>. OR gives us the relative difference to the reference group in the odds of an outcome, whereas IRR provides a ratio of the difference in the rate of the outcome compared to the reference group.</w:t>
      </w:r>
      <w:bookmarkEnd w:id="27"/>
      <w:bookmarkEnd w:id="28"/>
    </w:p>
    <w:p w14:paraId="2040ACCA" w14:textId="1D93AD8E" w:rsidR="002A7573" w:rsidRPr="00B745A7" w:rsidRDefault="006E4004" w:rsidP="00756CEB">
      <w:pPr>
        <w:spacing w:line="480" w:lineRule="auto"/>
        <w:ind w:firstLine="720"/>
        <w:jc w:val="both"/>
        <w:rPr>
          <w:rFonts w:ascii="Times New Roman" w:hAnsi="Times New Roman" w:cs="Times New Roman"/>
          <w:sz w:val="24"/>
          <w:szCs w:val="24"/>
        </w:rPr>
      </w:pPr>
      <w:bookmarkStart w:id="29" w:name="_Hlk106274393"/>
      <w:bookmarkStart w:id="30" w:name="_Hlk106013167"/>
      <w:r w:rsidRPr="00B745A7">
        <w:rPr>
          <w:rFonts w:ascii="Times New Roman" w:hAnsi="Times New Roman" w:cs="Times New Roman"/>
          <w:sz w:val="24"/>
          <w:szCs w:val="24"/>
        </w:rPr>
        <w:t>For categorical variables included as explanatory factors of an outcome in r</w:t>
      </w:r>
      <w:r w:rsidR="002A7573" w:rsidRPr="00B745A7">
        <w:rPr>
          <w:rFonts w:ascii="Times New Roman" w:hAnsi="Times New Roman" w:cs="Times New Roman"/>
          <w:sz w:val="24"/>
          <w:szCs w:val="24"/>
        </w:rPr>
        <w:t>egression analyses</w:t>
      </w:r>
      <w:r w:rsidRPr="00B745A7">
        <w:rPr>
          <w:rFonts w:ascii="Times New Roman" w:hAnsi="Times New Roman" w:cs="Times New Roman"/>
          <w:sz w:val="24"/>
          <w:szCs w:val="24"/>
        </w:rPr>
        <w:t>, we are required to specify a level as our reference group, against which each of the other levels are compared. As a continuous variable in both early- and late-onset models, age at diagnosis did not require this. However, in our analyses, our reference groups for gender (women), ethnicity (White), urban-rural GP classification (Urban) are based on the level with the largest population size. For IMD 2015 deprivation quintile</w:t>
      </w:r>
      <w:r w:rsidR="008A1866" w:rsidRPr="00B745A7">
        <w:rPr>
          <w:rFonts w:ascii="Times New Roman" w:hAnsi="Times New Roman" w:cs="Times New Roman"/>
          <w:sz w:val="24"/>
          <w:szCs w:val="24"/>
        </w:rPr>
        <w:t xml:space="preserve"> (Ministry of Housing, Communities &amp; Local Government)</w:t>
      </w:r>
      <w:r w:rsidRPr="00B745A7">
        <w:rPr>
          <w:rFonts w:ascii="Times New Roman" w:hAnsi="Times New Roman" w:cs="Times New Roman"/>
          <w:sz w:val="24"/>
          <w:szCs w:val="24"/>
        </w:rPr>
        <w:t xml:space="preserve">, we used the least deprived quintile (Quintile 5) as our reference group, to demonstrate the impact of increasing levels of deprivation on outcomes. For GP region, the North East was chosen as our reference group. In our descriptive analysis </w:t>
      </w:r>
      <w:r w:rsidRPr="00B745A7">
        <w:rPr>
          <w:rFonts w:ascii="Times New Roman" w:hAnsi="Times New Roman" w:cs="Times New Roman"/>
          <w:sz w:val="24"/>
          <w:szCs w:val="24"/>
        </w:rPr>
        <w:lastRenderedPageBreak/>
        <w:t>the North East was shown to have higher rates per year of most healthcare types than other regions</w:t>
      </w:r>
      <w:r w:rsidR="003958E7" w:rsidRPr="00B745A7">
        <w:rPr>
          <w:rFonts w:ascii="Times New Roman" w:hAnsi="Times New Roman" w:cs="Times New Roman"/>
          <w:sz w:val="24"/>
          <w:szCs w:val="24"/>
        </w:rPr>
        <w:t>, and so gave the most pragmatic choice for reference group</w:t>
      </w:r>
      <w:r w:rsidRPr="00B745A7">
        <w:rPr>
          <w:rFonts w:ascii="Times New Roman" w:hAnsi="Times New Roman" w:cs="Times New Roman"/>
          <w:sz w:val="24"/>
          <w:szCs w:val="24"/>
        </w:rPr>
        <w:t>.</w:t>
      </w:r>
      <w:bookmarkEnd w:id="29"/>
    </w:p>
    <w:bookmarkEnd w:id="30"/>
    <w:p w14:paraId="5B31452F" w14:textId="7D44C376" w:rsidR="00883108" w:rsidRPr="00B745A7" w:rsidRDefault="00AD00C6" w:rsidP="00AD5F19">
      <w:pPr>
        <w:spacing w:line="480" w:lineRule="auto"/>
        <w:jc w:val="both"/>
        <w:rPr>
          <w:rFonts w:ascii="Times New Roman" w:hAnsi="Times New Roman" w:cs="Times New Roman"/>
          <w:b/>
          <w:sz w:val="24"/>
          <w:szCs w:val="24"/>
        </w:rPr>
      </w:pPr>
      <w:r w:rsidRPr="00B745A7">
        <w:rPr>
          <w:rFonts w:ascii="Times New Roman" w:hAnsi="Times New Roman" w:cs="Times New Roman"/>
          <w:b/>
          <w:sz w:val="24"/>
          <w:szCs w:val="24"/>
        </w:rPr>
        <w:t>Results</w:t>
      </w:r>
    </w:p>
    <w:p w14:paraId="31641EE4" w14:textId="5F9AA903" w:rsidR="005E4EC9" w:rsidRPr="00B745A7" w:rsidRDefault="005E4EC9" w:rsidP="00AD5F19">
      <w:pPr>
        <w:spacing w:line="480" w:lineRule="auto"/>
        <w:jc w:val="both"/>
        <w:rPr>
          <w:rFonts w:ascii="Times New Roman" w:hAnsi="Times New Roman" w:cs="Times New Roman"/>
          <w:b/>
          <w:i/>
          <w:sz w:val="24"/>
          <w:szCs w:val="24"/>
        </w:rPr>
      </w:pPr>
      <w:r w:rsidRPr="00B745A7">
        <w:rPr>
          <w:rFonts w:ascii="Times New Roman" w:hAnsi="Times New Roman" w:cs="Times New Roman"/>
          <w:b/>
          <w:i/>
          <w:sz w:val="24"/>
          <w:szCs w:val="24"/>
        </w:rPr>
        <w:t>Sample population</w:t>
      </w:r>
    </w:p>
    <w:p w14:paraId="47E9123E" w14:textId="53A0A91C" w:rsidR="006639D5" w:rsidRPr="00B745A7" w:rsidRDefault="007257CC" w:rsidP="00756CEB">
      <w:pPr>
        <w:spacing w:line="480" w:lineRule="auto"/>
        <w:ind w:firstLine="720"/>
        <w:jc w:val="both"/>
        <w:rPr>
          <w:rFonts w:ascii="Times New Roman" w:hAnsi="Times New Roman" w:cs="Times New Roman"/>
          <w:sz w:val="24"/>
          <w:szCs w:val="24"/>
        </w:rPr>
      </w:pPr>
      <w:r w:rsidRPr="00B745A7">
        <w:rPr>
          <w:rFonts w:ascii="Times New Roman" w:hAnsi="Times New Roman" w:cs="Times New Roman"/>
          <w:sz w:val="24"/>
          <w:szCs w:val="24"/>
        </w:rPr>
        <w:t>O</w:t>
      </w:r>
      <w:r w:rsidR="003B5EE9" w:rsidRPr="00B745A7">
        <w:rPr>
          <w:rFonts w:ascii="Times New Roman" w:hAnsi="Times New Roman" w:cs="Times New Roman"/>
          <w:sz w:val="24"/>
          <w:szCs w:val="24"/>
        </w:rPr>
        <w:t xml:space="preserve">f the 142,302 </w:t>
      </w:r>
      <w:r w:rsidRPr="00B745A7">
        <w:rPr>
          <w:rFonts w:ascii="Times New Roman" w:hAnsi="Times New Roman" w:cs="Times New Roman"/>
          <w:sz w:val="24"/>
          <w:szCs w:val="24"/>
        </w:rPr>
        <w:t>population PLWD (</w:t>
      </w:r>
      <w:r w:rsidRPr="00B745A7">
        <w:rPr>
          <w:rFonts w:ascii="Times New Roman" w:hAnsi="Times New Roman" w:cs="Times New Roman"/>
          <w:b/>
          <w:sz w:val="24"/>
          <w:szCs w:val="24"/>
        </w:rPr>
        <w:t>Table 1</w:t>
      </w:r>
      <w:r w:rsidRPr="00B745A7">
        <w:rPr>
          <w:rFonts w:ascii="Times New Roman" w:hAnsi="Times New Roman" w:cs="Times New Roman"/>
          <w:sz w:val="24"/>
          <w:szCs w:val="24"/>
        </w:rPr>
        <w:t>)</w:t>
      </w:r>
      <w:r w:rsidR="003B5EE9" w:rsidRPr="00B745A7">
        <w:rPr>
          <w:rFonts w:ascii="Times New Roman" w:hAnsi="Times New Roman" w:cs="Times New Roman"/>
          <w:sz w:val="24"/>
          <w:szCs w:val="24"/>
        </w:rPr>
        <w:t>,</w:t>
      </w:r>
      <w:r w:rsidR="006639D5" w:rsidRPr="00B745A7">
        <w:rPr>
          <w:rFonts w:ascii="Times New Roman" w:hAnsi="Times New Roman" w:cs="Times New Roman"/>
          <w:sz w:val="24"/>
          <w:szCs w:val="24"/>
        </w:rPr>
        <w:t xml:space="preserve"> </w:t>
      </w:r>
      <w:r w:rsidR="00CE2483" w:rsidRPr="00B745A7">
        <w:rPr>
          <w:rFonts w:ascii="Times New Roman" w:hAnsi="Times New Roman" w:cs="Times New Roman"/>
          <w:sz w:val="24"/>
          <w:szCs w:val="24"/>
        </w:rPr>
        <w:t xml:space="preserve">approximately </w:t>
      </w:r>
      <w:r w:rsidR="006639D5" w:rsidRPr="00B745A7">
        <w:rPr>
          <w:rFonts w:ascii="Times New Roman" w:hAnsi="Times New Roman" w:cs="Times New Roman"/>
          <w:sz w:val="24"/>
          <w:szCs w:val="24"/>
        </w:rPr>
        <w:t xml:space="preserve">two-thirds were female, less than 4% were of Asian, Black or Mixed/Other ethnicity groups, and a greater proportion resided in </w:t>
      </w:r>
      <w:r w:rsidR="00F91467" w:rsidRPr="00B745A7">
        <w:rPr>
          <w:rFonts w:ascii="Times New Roman" w:hAnsi="Times New Roman" w:cs="Times New Roman"/>
          <w:sz w:val="24"/>
          <w:szCs w:val="24"/>
        </w:rPr>
        <w:t>less</w:t>
      </w:r>
      <w:r w:rsidR="006639D5" w:rsidRPr="00B745A7">
        <w:rPr>
          <w:rFonts w:ascii="Times New Roman" w:hAnsi="Times New Roman" w:cs="Times New Roman"/>
          <w:sz w:val="24"/>
          <w:szCs w:val="24"/>
        </w:rPr>
        <w:t xml:space="preserve"> deprived </w:t>
      </w:r>
      <w:r w:rsidR="005A561E" w:rsidRPr="00B745A7">
        <w:rPr>
          <w:rFonts w:ascii="Times New Roman" w:hAnsi="Times New Roman" w:cs="Times New Roman"/>
          <w:sz w:val="24"/>
          <w:szCs w:val="24"/>
        </w:rPr>
        <w:t>areas</w:t>
      </w:r>
      <w:r w:rsidR="006639D5" w:rsidRPr="00B745A7">
        <w:rPr>
          <w:rFonts w:ascii="Times New Roman" w:hAnsi="Times New Roman" w:cs="Times New Roman"/>
          <w:sz w:val="24"/>
          <w:szCs w:val="24"/>
        </w:rPr>
        <w:t xml:space="preserve">. Less than 4% of the </w:t>
      </w:r>
      <w:r w:rsidR="00CE2483" w:rsidRPr="00B745A7">
        <w:rPr>
          <w:rFonts w:ascii="Times New Roman" w:hAnsi="Times New Roman" w:cs="Times New Roman"/>
          <w:sz w:val="24"/>
          <w:szCs w:val="24"/>
        </w:rPr>
        <w:t xml:space="preserve">sample </w:t>
      </w:r>
      <w:r w:rsidR="006639D5" w:rsidRPr="00B745A7">
        <w:rPr>
          <w:rFonts w:ascii="Times New Roman" w:hAnsi="Times New Roman" w:cs="Times New Roman"/>
          <w:sz w:val="24"/>
          <w:szCs w:val="24"/>
        </w:rPr>
        <w:t>population had early-onset dementia</w:t>
      </w:r>
      <w:r w:rsidR="00F91467" w:rsidRPr="00B745A7">
        <w:rPr>
          <w:rFonts w:ascii="Times New Roman" w:hAnsi="Times New Roman" w:cs="Times New Roman"/>
          <w:sz w:val="24"/>
          <w:szCs w:val="24"/>
        </w:rPr>
        <w:t>, with t</w:t>
      </w:r>
      <w:r w:rsidR="006639D5" w:rsidRPr="00B745A7">
        <w:rPr>
          <w:rFonts w:ascii="Times New Roman" w:hAnsi="Times New Roman" w:cs="Times New Roman"/>
          <w:sz w:val="24"/>
          <w:szCs w:val="24"/>
        </w:rPr>
        <w:t xml:space="preserve">he majority </w:t>
      </w:r>
      <w:r w:rsidR="00692F08" w:rsidRPr="00B745A7">
        <w:rPr>
          <w:rFonts w:ascii="Times New Roman" w:hAnsi="Times New Roman" w:cs="Times New Roman"/>
          <w:sz w:val="24"/>
          <w:szCs w:val="24"/>
        </w:rPr>
        <w:t>(</w:t>
      </w:r>
      <w:r w:rsidR="00CE2483" w:rsidRPr="00B745A7">
        <w:rPr>
          <w:rFonts w:ascii="Times New Roman" w:hAnsi="Times New Roman" w:cs="Times New Roman"/>
          <w:sz w:val="24"/>
          <w:szCs w:val="24"/>
        </w:rPr>
        <w:t>78.9</w:t>
      </w:r>
      <w:r w:rsidR="00692F08" w:rsidRPr="00B745A7">
        <w:rPr>
          <w:rFonts w:ascii="Times New Roman" w:hAnsi="Times New Roman" w:cs="Times New Roman"/>
          <w:sz w:val="24"/>
          <w:szCs w:val="24"/>
        </w:rPr>
        <w:t xml:space="preserve">%) </w:t>
      </w:r>
      <w:r w:rsidR="006639D5" w:rsidRPr="00B745A7">
        <w:rPr>
          <w:rFonts w:ascii="Times New Roman" w:hAnsi="Times New Roman" w:cs="Times New Roman"/>
          <w:sz w:val="24"/>
          <w:szCs w:val="24"/>
        </w:rPr>
        <w:t>aged between 75</w:t>
      </w:r>
      <w:r w:rsidR="00F91467" w:rsidRPr="00B745A7">
        <w:rPr>
          <w:rFonts w:ascii="Times New Roman" w:hAnsi="Times New Roman" w:cs="Times New Roman"/>
          <w:sz w:val="24"/>
          <w:szCs w:val="24"/>
        </w:rPr>
        <w:t>-</w:t>
      </w:r>
      <w:r w:rsidR="006639D5" w:rsidRPr="00B745A7">
        <w:rPr>
          <w:rFonts w:ascii="Times New Roman" w:hAnsi="Times New Roman" w:cs="Times New Roman"/>
          <w:sz w:val="24"/>
          <w:szCs w:val="24"/>
        </w:rPr>
        <w:t xml:space="preserve">94 years. </w:t>
      </w:r>
      <w:r w:rsidR="00692F08" w:rsidRPr="00B745A7">
        <w:rPr>
          <w:rFonts w:ascii="Times New Roman" w:hAnsi="Times New Roman" w:cs="Times New Roman"/>
          <w:sz w:val="24"/>
          <w:szCs w:val="24"/>
        </w:rPr>
        <w:t>Approximately</w:t>
      </w:r>
      <w:r w:rsidR="00CE2483" w:rsidRPr="00B745A7">
        <w:rPr>
          <w:rFonts w:ascii="Times New Roman" w:hAnsi="Times New Roman" w:cs="Times New Roman"/>
          <w:sz w:val="24"/>
          <w:szCs w:val="24"/>
        </w:rPr>
        <w:t xml:space="preserve"> </w:t>
      </w:r>
      <w:r w:rsidR="006639D5" w:rsidRPr="00B745A7">
        <w:rPr>
          <w:rFonts w:ascii="Times New Roman" w:hAnsi="Times New Roman" w:cs="Times New Roman"/>
          <w:sz w:val="24"/>
          <w:szCs w:val="24"/>
        </w:rPr>
        <w:t>1 in 7 were registered with GPs in urban areas</w:t>
      </w:r>
      <w:r w:rsidR="00597A2E" w:rsidRPr="00B745A7">
        <w:rPr>
          <w:rFonts w:ascii="Times New Roman" w:hAnsi="Times New Roman" w:cs="Times New Roman"/>
          <w:sz w:val="24"/>
          <w:szCs w:val="24"/>
        </w:rPr>
        <w:t xml:space="preserve"> and</w:t>
      </w:r>
      <w:r w:rsidR="006639D5" w:rsidRPr="00B745A7">
        <w:rPr>
          <w:rFonts w:ascii="Times New Roman" w:hAnsi="Times New Roman" w:cs="Times New Roman"/>
          <w:sz w:val="24"/>
          <w:szCs w:val="24"/>
        </w:rPr>
        <w:t xml:space="preserve"> greater numbers were registered with GPs in the North West, West Midlands, South West and South-Central regions. </w:t>
      </w:r>
      <w:r w:rsidR="00692F08" w:rsidRPr="00B745A7">
        <w:rPr>
          <w:rFonts w:ascii="Times New Roman" w:hAnsi="Times New Roman" w:cs="Times New Roman"/>
          <w:sz w:val="24"/>
          <w:szCs w:val="24"/>
        </w:rPr>
        <w:t>Thirty-three</w:t>
      </w:r>
      <w:r w:rsidR="006B2F5A" w:rsidRPr="00B745A7">
        <w:rPr>
          <w:rFonts w:ascii="Times New Roman" w:hAnsi="Times New Roman" w:cs="Times New Roman"/>
          <w:sz w:val="24"/>
          <w:szCs w:val="24"/>
        </w:rPr>
        <w:t xml:space="preserve"> people</w:t>
      </w:r>
      <w:r w:rsidR="00692F08" w:rsidRPr="00B745A7">
        <w:rPr>
          <w:rFonts w:ascii="Times New Roman" w:hAnsi="Times New Roman" w:cs="Times New Roman"/>
          <w:sz w:val="24"/>
          <w:szCs w:val="24"/>
        </w:rPr>
        <w:t xml:space="preserve"> with dementia</w:t>
      </w:r>
      <w:r w:rsidR="006B2F5A" w:rsidRPr="00B745A7">
        <w:rPr>
          <w:rFonts w:ascii="Times New Roman" w:hAnsi="Times New Roman" w:cs="Times New Roman"/>
          <w:sz w:val="24"/>
          <w:szCs w:val="24"/>
        </w:rPr>
        <w:t xml:space="preserve"> had neither IMD quintile</w:t>
      </w:r>
      <w:r w:rsidR="00B53C8D" w:rsidRPr="00B745A7">
        <w:rPr>
          <w:rFonts w:ascii="Times New Roman" w:hAnsi="Times New Roman" w:cs="Times New Roman"/>
          <w:sz w:val="24"/>
          <w:szCs w:val="24"/>
        </w:rPr>
        <w:t>,</w:t>
      </w:r>
      <w:r w:rsidR="006B2F5A" w:rsidRPr="00B745A7">
        <w:rPr>
          <w:rFonts w:ascii="Times New Roman" w:hAnsi="Times New Roman" w:cs="Times New Roman"/>
          <w:sz w:val="24"/>
          <w:szCs w:val="24"/>
        </w:rPr>
        <w:t xml:space="preserve"> or ethnicity (&lt;0.01%) available, 7,388 (5.2%) had no</w:t>
      </w:r>
      <w:r w:rsidR="00F91467" w:rsidRPr="00B745A7">
        <w:rPr>
          <w:rFonts w:ascii="Times New Roman" w:hAnsi="Times New Roman" w:cs="Times New Roman"/>
          <w:sz w:val="24"/>
          <w:szCs w:val="24"/>
        </w:rPr>
        <w:t xml:space="preserve"> stated</w:t>
      </w:r>
      <w:r w:rsidR="006B2F5A" w:rsidRPr="00B745A7">
        <w:rPr>
          <w:rFonts w:ascii="Times New Roman" w:hAnsi="Times New Roman" w:cs="Times New Roman"/>
          <w:sz w:val="24"/>
          <w:szCs w:val="24"/>
        </w:rPr>
        <w:t xml:space="preserve"> ethnicity, and a further 243</w:t>
      </w:r>
      <w:r w:rsidR="00B53C8D" w:rsidRPr="00B745A7">
        <w:rPr>
          <w:rFonts w:ascii="Times New Roman" w:hAnsi="Times New Roman" w:cs="Times New Roman"/>
          <w:sz w:val="24"/>
          <w:szCs w:val="24"/>
        </w:rPr>
        <w:t xml:space="preserve"> (&lt;0.2%)</w:t>
      </w:r>
      <w:r w:rsidR="00597A2E" w:rsidRPr="00B745A7">
        <w:rPr>
          <w:rFonts w:ascii="Times New Roman" w:hAnsi="Times New Roman" w:cs="Times New Roman"/>
          <w:sz w:val="24"/>
          <w:szCs w:val="24"/>
        </w:rPr>
        <w:t>,</w:t>
      </w:r>
      <w:r w:rsidR="00B53C8D" w:rsidRPr="00B745A7">
        <w:rPr>
          <w:rFonts w:ascii="Times New Roman" w:hAnsi="Times New Roman" w:cs="Times New Roman"/>
          <w:sz w:val="24"/>
          <w:szCs w:val="24"/>
        </w:rPr>
        <w:t xml:space="preserve"> </w:t>
      </w:r>
      <w:r w:rsidR="006B2F5A" w:rsidRPr="00B745A7">
        <w:rPr>
          <w:rFonts w:ascii="Times New Roman" w:hAnsi="Times New Roman" w:cs="Times New Roman"/>
          <w:sz w:val="24"/>
          <w:szCs w:val="24"/>
        </w:rPr>
        <w:t xml:space="preserve">no IMD quintile </w:t>
      </w:r>
      <w:r w:rsidR="00B53C8D" w:rsidRPr="00B745A7">
        <w:rPr>
          <w:rFonts w:ascii="Times New Roman" w:hAnsi="Times New Roman" w:cs="Times New Roman"/>
          <w:sz w:val="24"/>
          <w:szCs w:val="24"/>
        </w:rPr>
        <w:t>stated.</w:t>
      </w:r>
      <w:r w:rsidR="006B2F5A" w:rsidRPr="00B745A7">
        <w:rPr>
          <w:rFonts w:ascii="Times New Roman" w:hAnsi="Times New Roman" w:cs="Times New Roman"/>
          <w:sz w:val="24"/>
          <w:szCs w:val="24"/>
        </w:rPr>
        <w:t xml:space="preserve"> </w:t>
      </w:r>
      <w:r w:rsidR="00F91467" w:rsidRPr="00B745A7">
        <w:rPr>
          <w:rFonts w:ascii="Times New Roman" w:hAnsi="Times New Roman" w:cs="Times New Roman"/>
          <w:sz w:val="24"/>
          <w:szCs w:val="24"/>
        </w:rPr>
        <w:t xml:space="preserve">Data </w:t>
      </w:r>
      <w:r w:rsidR="00692F08" w:rsidRPr="00B745A7">
        <w:rPr>
          <w:rFonts w:ascii="Times New Roman" w:hAnsi="Times New Roman" w:cs="Times New Roman"/>
          <w:sz w:val="24"/>
          <w:szCs w:val="24"/>
        </w:rPr>
        <w:t>are</w:t>
      </w:r>
      <w:r w:rsidR="00F91467" w:rsidRPr="00B745A7">
        <w:rPr>
          <w:rFonts w:ascii="Times New Roman" w:hAnsi="Times New Roman" w:cs="Times New Roman"/>
          <w:sz w:val="24"/>
          <w:szCs w:val="24"/>
        </w:rPr>
        <w:t xml:space="preserve"> assumed m</w:t>
      </w:r>
      <w:r w:rsidR="006639D5" w:rsidRPr="00B745A7">
        <w:rPr>
          <w:rFonts w:ascii="Times New Roman" w:hAnsi="Times New Roman" w:cs="Times New Roman"/>
          <w:sz w:val="24"/>
          <w:szCs w:val="24"/>
        </w:rPr>
        <w:t>issing</w:t>
      </w:r>
      <w:r w:rsidR="00F91467" w:rsidRPr="00B745A7">
        <w:rPr>
          <w:rFonts w:ascii="Times New Roman" w:hAnsi="Times New Roman" w:cs="Times New Roman"/>
          <w:sz w:val="24"/>
          <w:szCs w:val="24"/>
        </w:rPr>
        <w:t xml:space="preserve"> at random, and</w:t>
      </w:r>
      <w:r w:rsidR="006639D5" w:rsidRPr="00B745A7">
        <w:rPr>
          <w:rFonts w:ascii="Times New Roman" w:hAnsi="Times New Roman" w:cs="Times New Roman"/>
          <w:sz w:val="24"/>
          <w:szCs w:val="24"/>
        </w:rPr>
        <w:t xml:space="preserve"> not included in regression models.</w:t>
      </w:r>
    </w:p>
    <w:p w14:paraId="122B398A" w14:textId="3E84B83E" w:rsidR="00133FE7" w:rsidRPr="00B745A7" w:rsidRDefault="00C35103" w:rsidP="00756CEB">
      <w:pPr>
        <w:spacing w:line="480" w:lineRule="auto"/>
        <w:ind w:firstLine="720"/>
        <w:jc w:val="both"/>
        <w:rPr>
          <w:rFonts w:ascii="Times New Roman" w:hAnsi="Times New Roman" w:cs="Times New Roman"/>
          <w:sz w:val="24"/>
          <w:szCs w:val="24"/>
        </w:rPr>
      </w:pPr>
      <w:r w:rsidRPr="00B745A7">
        <w:rPr>
          <w:rFonts w:ascii="Times New Roman" w:hAnsi="Times New Roman" w:cs="Times New Roman"/>
          <w:sz w:val="24"/>
          <w:szCs w:val="24"/>
        </w:rPr>
        <w:t>Inclusion in the study required a date of diagnosis derived from the first recorded dementia-specific GP observation record, and therefore all of the sample population had recorded GP observations. However, n</w:t>
      </w:r>
      <w:r w:rsidR="00133FE7" w:rsidRPr="00B745A7">
        <w:rPr>
          <w:rFonts w:ascii="Times New Roman" w:hAnsi="Times New Roman" w:cs="Times New Roman"/>
          <w:sz w:val="24"/>
          <w:szCs w:val="24"/>
        </w:rPr>
        <w:t xml:space="preserve">ot all experienced each of the healthcare types. </w:t>
      </w:r>
      <w:r w:rsidRPr="00B745A7">
        <w:rPr>
          <w:rFonts w:ascii="Times New Roman" w:hAnsi="Times New Roman" w:cs="Times New Roman"/>
          <w:sz w:val="24"/>
          <w:szCs w:val="24"/>
        </w:rPr>
        <w:t xml:space="preserve">Though nearly </w:t>
      </w:r>
      <w:r w:rsidR="009D1986" w:rsidRPr="00B745A7">
        <w:rPr>
          <w:rFonts w:ascii="Times New Roman" w:hAnsi="Times New Roman" w:cs="Times New Roman"/>
          <w:sz w:val="24"/>
          <w:szCs w:val="24"/>
        </w:rPr>
        <w:t>all had non-dementia medication</w:t>
      </w:r>
      <w:r w:rsidR="003C1C86" w:rsidRPr="00B745A7">
        <w:rPr>
          <w:rFonts w:ascii="Times New Roman" w:hAnsi="Times New Roman" w:cs="Times New Roman"/>
          <w:sz w:val="24"/>
          <w:szCs w:val="24"/>
        </w:rPr>
        <w:t>s (99.4%)</w:t>
      </w:r>
      <w:r w:rsidRPr="00B745A7">
        <w:rPr>
          <w:rFonts w:ascii="Times New Roman" w:hAnsi="Times New Roman" w:cs="Times New Roman"/>
          <w:sz w:val="24"/>
          <w:szCs w:val="24"/>
        </w:rPr>
        <w:t>, just over half</w:t>
      </w:r>
      <w:r w:rsidR="009D1986" w:rsidRPr="00B745A7">
        <w:rPr>
          <w:rFonts w:ascii="Times New Roman" w:hAnsi="Times New Roman" w:cs="Times New Roman"/>
          <w:sz w:val="24"/>
          <w:szCs w:val="24"/>
        </w:rPr>
        <w:t xml:space="preserve"> had dementia medication</w:t>
      </w:r>
      <w:r w:rsidR="003C1C86" w:rsidRPr="00B745A7">
        <w:rPr>
          <w:rFonts w:ascii="Times New Roman" w:hAnsi="Times New Roman" w:cs="Times New Roman"/>
          <w:sz w:val="24"/>
          <w:szCs w:val="24"/>
        </w:rPr>
        <w:t>s</w:t>
      </w:r>
      <w:r w:rsidR="009D1986" w:rsidRPr="00B745A7">
        <w:rPr>
          <w:rFonts w:ascii="Times New Roman" w:hAnsi="Times New Roman" w:cs="Times New Roman"/>
          <w:sz w:val="24"/>
          <w:szCs w:val="24"/>
        </w:rPr>
        <w:t xml:space="preserve"> prescri</w:t>
      </w:r>
      <w:r w:rsidR="003C1C86" w:rsidRPr="00B745A7">
        <w:rPr>
          <w:rFonts w:ascii="Times New Roman" w:hAnsi="Times New Roman" w:cs="Times New Roman"/>
          <w:sz w:val="24"/>
          <w:szCs w:val="24"/>
        </w:rPr>
        <w:t>bed (53.5%)</w:t>
      </w:r>
      <w:r w:rsidR="009D1986" w:rsidRPr="00B745A7">
        <w:rPr>
          <w:rFonts w:ascii="Times New Roman" w:hAnsi="Times New Roman" w:cs="Times New Roman"/>
          <w:sz w:val="24"/>
          <w:szCs w:val="24"/>
        </w:rPr>
        <w:t xml:space="preserve">. </w:t>
      </w:r>
      <w:r w:rsidR="003C1C86" w:rsidRPr="00B745A7">
        <w:rPr>
          <w:rFonts w:ascii="Times New Roman" w:hAnsi="Times New Roman" w:cs="Times New Roman"/>
          <w:sz w:val="24"/>
          <w:szCs w:val="24"/>
        </w:rPr>
        <w:t>Over four in five</w:t>
      </w:r>
      <w:r w:rsidRPr="00B745A7">
        <w:rPr>
          <w:rFonts w:ascii="Times New Roman" w:hAnsi="Times New Roman" w:cs="Times New Roman"/>
          <w:sz w:val="24"/>
          <w:szCs w:val="24"/>
        </w:rPr>
        <w:t xml:space="preserve"> of the sample population</w:t>
      </w:r>
      <w:r w:rsidR="003C1C86" w:rsidRPr="00B745A7">
        <w:rPr>
          <w:rFonts w:ascii="Times New Roman" w:hAnsi="Times New Roman" w:cs="Times New Roman"/>
          <w:sz w:val="24"/>
          <w:szCs w:val="24"/>
        </w:rPr>
        <w:t xml:space="preserve"> had A&amp;E attendances (82.3%) and emergency hospital admissions (81.1%), but approximately only two in five had elective hospital admissions (40.3%)</w:t>
      </w:r>
      <w:r w:rsidR="00312B57" w:rsidRPr="00B745A7">
        <w:rPr>
          <w:rFonts w:ascii="Times New Roman" w:hAnsi="Times New Roman" w:cs="Times New Roman"/>
          <w:sz w:val="24"/>
          <w:szCs w:val="24"/>
        </w:rPr>
        <w:t>.</w:t>
      </w:r>
    </w:p>
    <w:p w14:paraId="051D21F7" w14:textId="4124670E" w:rsidR="0005414E" w:rsidRPr="00B745A7" w:rsidRDefault="0005414E" w:rsidP="00AD5F19">
      <w:pPr>
        <w:spacing w:line="480" w:lineRule="auto"/>
        <w:jc w:val="both"/>
        <w:rPr>
          <w:rFonts w:ascii="Times New Roman" w:hAnsi="Times New Roman" w:cs="Times New Roman"/>
          <w:b/>
          <w:i/>
          <w:sz w:val="24"/>
          <w:szCs w:val="24"/>
        </w:rPr>
      </w:pPr>
      <w:bookmarkStart w:id="31" w:name="_Hlk88230600"/>
      <w:bookmarkStart w:id="32" w:name="_Hlk93498203"/>
      <w:r w:rsidRPr="00B745A7">
        <w:rPr>
          <w:rFonts w:ascii="Times New Roman" w:hAnsi="Times New Roman" w:cs="Times New Roman"/>
          <w:b/>
          <w:i/>
          <w:sz w:val="24"/>
          <w:szCs w:val="24"/>
        </w:rPr>
        <w:t>Multivariable logistic regression: primary and secondary healthcare use</w:t>
      </w:r>
    </w:p>
    <w:p w14:paraId="05279CEA" w14:textId="07711D4E" w:rsidR="00C00C82" w:rsidRPr="00B745A7" w:rsidRDefault="00F02CC8" w:rsidP="00756CEB">
      <w:pPr>
        <w:spacing w:line="480" w:lineRule="auto"/>
        <w:ind w:firstLine="720"/>
        <w:jc w:val="both"/>
        <w:rPr>
          <w:rFonts w:ascii="Times New Roman" w:hAnsi="Times New Roman" w:cs="Times New Roman"/>
          <w:sz w:val="24"/>
          <w:szCs w:val="24"/>
        </w:rPr>
      </w:pPr>
      <w:r w:rsidRPr="00B745A7">
        <w:rPr>
          <w:rFonts w:ascii="Times New Roman" w:hAnsi="Times New Roman" w:cs="Times New Roman"/>
          <w:sz w:val="24"/>
          <w:szCs w:val="24"/>
        </w:rPr>
        <w:t>Significant d</w:t>
      </w:r>
      <w:r w:rsidR="007C5363" w:rsidRPr="00B745A7">
        <w:rPr>
          <w:rFonts w:ascii="Times New Roman" w:hAnsi="Times New Roman" w:cs="Times New Roman"/>
          <w:sz w:val="24"/>
          <w:szCs w:val="24"/>
        </w:rPr>
        <w:t>ifferences in rates of h</w:t>
      </w:r>
      <w:r w:rsidR="00C00C82" w:rsidRPr="00B745A7">
        <w:rPr>
          <w:rFonts w:ascii="Times New Roman" w:hAnsi="Times New Roman" w:cs="Times New Roman"/>
          <w:sz w:val="24"/>
          <w:szCs w:val="24"/>
        </w:rPr>
        <w:t>ealthcare use were noted by all explanatory factors</w:t>
      </w:r>
      <w:r w:rsidR="007C5363" w:rsidRPr="00B745A7">
        <w:rPr>
          <w:rFonts w:ascii="Times New Roman" w:hAnsi="Times New Roman" w:cs="Times New Roman"/>
          <w:sz w:val="24"/>
          <w:szCs w:val="24"/>
        </w:rPr>
        <w:t xml:space="preserve"> (Figures 3-6)</w:t>
      </w:r>
      <w:r w:rsidR="00C00C82" w:rsidRPr="00B745A7">
        <w:rPr>
          <w:rFonts w:ascii="Times New Roman" w:hAnsi="Times New Roman" w:cs="Times New Roman"/>
          <w:sz w:val="24"/>
          <w:szCs w:val="24"/>
        </w:rPr>
        <w:t xml:space="preserve">. </w:t>
      </w:r>
      <w:r w:rsidR="00B968B2" w:rsidRPr="00B745A7">
        <w:rPr>
          <w:rFonts w:ascii="Times New Roman" w:hAnsi="Times New Roman" w:cs="Times New Roman"/>
          <w:sz w:val="24"/>
          <w:szCs w:val="24"/>
        </w:rPr>
        <w:t xml:space="preserve">Variations </w:t>
      </w:r>
      <w:r w:rsidRPr="00B745A7">
        <w:rPr>
          <w:rFonts w:ascii="Times New Roman" w:hAnsi="Times New Roman" w:cs="Times New Roman"/>
          <w:sz w:val="24"/>
          <w:szCs w:val="24"/>
        </w:rPr>
        <w:t>were noted among those with early-</w:t>
      </w:r>
      <w:r w:rsidR="00FD493D" w:rsidRPr="00B745A7">
        <w:rPr>
          <w:rFonts w:ascii="Times New Roman" w:hAnsi="Times New Roman" w:cs="Times New Roman"/>
          <w:sz w:val="24"/>
          <w:szCs w:val="24"/>
        </w:rPr>
        <w:t xml:space="preserve"> (Appendices 1 &amp;2)</w:t>
      </w:r>
      <w:r w:rsidRPr="00B745A7">
        <w:rPr>
          <w:rFonts w:ascii="Times New Roman" w:hAnsi="Times New Roman" w:cs="Times New Roman"/>
          <w:sz w:val="24"/>
          <w:szCs w:val="24"/>
        </w:rPr>
        <w:t xml:space="preserve"> and late-onset dementia</w:t>
      </w:r>
      <w:r w:rsidR="00FD493D" w:rsidRPr="00B745A7">
        <w:rPr>
          <w:rFonts w:ascii="Times New Roman" w:hAnsi="Times New Roman" w:cs="Times New Roman"/>
          <w:sz w:val="24"/>
          <w:szCs w:val="24"/>
        </w:rPr>
        <w:t xml:space="preserve"> (Figures 2 &amp; 3)</w:t>
      </w:r>
      <w:r w:rsidR="00E53A08" w:rsidRPr="00B745A7">
        <w:rPr>
          <w:rFonts w:ascii="Times New Roman" w:hAnsi="Times New Roman" w:cs="Times New Roman"/>
          <w:sz w:val="24"/>
          <w:szCs w:val="24"/>
        </w:rPr>
        <w:t>, but more so</w:t>
      </w:r>
      <w:r w:rsidR="00C00C82" w:rsidRPr="00B745A7">
        <w:rPr>
          <w:rFonts w:ascii="Times New Roman" w:hAnsi="Times New Roman" w:cs="Times New Roman"/>
          <w:sz w:val="24"/>
          <w:szCs w:val="24"/>
        </w:rPr>
        <w:t xml:space="preserve"> among </w:t>
      </w:r>
      <w:r w:rsidR="007257CC" w:rsidRPr="00B745A7">
        <w:rPr>
          <w:rFonts w:ascii="Times New Roman" w:hAnsi="Times New Roman" w:cs="Times New Roman"/>
          <w:sz w:val="24"/>
          <w:szCs w:val="24"/>
        </w:rPr>
        <w:t>people</w:t>
      </w:r>
      <w:r w:rsidR="00C00C82" w:rsidRPr="00B745A7">
        <w:rPr>
          <w:rFonts w:ascii="Times New Roman" w:hAnsi="Times New Roman" w:cs="Times New Roman"/>
          <w:sz w:val="24"/>
          <w:szCs w:val="24"/>
        </w:rPr>
        <w:t xml:space="preserve"> living with later-onset dementia.</w:t>
      </w:r>
    </w:p>
    <w:p w14:paraId="5BBB7667" w14:textId="77777777" w:rsidR="00C00C82" w:rsidRPr="00B745A7" w:rsidRDefault="00C00C82" w:rsidP="00AD5F19">
      <w:pPr>
        <w:spacing w:line="480" w:lineRule="auto"/>
        <w:jc w:val="both"/>
        <w:rPr>
          <w:rFonts w:ascii="Times New Roman" w:hAnsi="Times New Roman" w:cs="Times New Roman"/>
          <w:i/>
          <w:sz w:val="24"/>
          <w:szCs w:val="24"/>
        </w:rPr>
      </w:pPr>
      <w:r w:rsidRPr="00B745A7">
        <w:rPr>
          <w:rFonts w:ascii="Times New Roman" w:hAnsi="Times New Roman" w:cs="Times New Roman"/>
          <w:i/>
          <w:sz w:val="24"/>
          <w:szCs w:val="24"/>
        </w:rPr>
        <w:lastRenderedPageBreak/>
        <w:t>Sex</w:t>
      </w:r>
    </w:p>
    <w:p w14:paraId="41BA2C81" w14:textId="66F86232" w:rsidR="00C00C82" w:rsidRPr="00B745A7" w:rsidRDefault="00F364A7" w:rsidP="00756CEB">
      <w:pPr>
        <w:spacing w:line="480" w:lineRule="auto"/>
        <w:ind w:firstLine="720"/>
        <w:jc w:val="both"/>
        <w:rPr>
          <w:rFonts w:ascii="Times New Roman" w:hAnsi="Times New Roman" w:cs="Times New Roman"/>
          <w:sz w:val="24"/>
          <w:szCs w:val="24"/>
        </w:rPr>
      </w:pPr>
      <w:r w:rsidRPr="00B745A7">
        <w:rPr>
          <w:rFonts w:ascii="Times New Roman" w:hAnsi="Times New Roman" w:cs="Times New Roman"/>
          <w:sz w:val="24"/>
          <w:szCs w:val="24"/>
        </w:rPr>
        <w:t>Compared to women as our reference group, m</w:t>
      </w:r>
      <w:r w:rsidR="00C00C82" w:rsidRPr="00B745A7">
        <w:rPr>
          <w:rFonts w:ascii="Times New Roman" w:hAnsi="Times New Roman" w:cs="Times New Roman"/>
          <w:sz w:val="24"/>
          <w:szCs w:val="24"/>
        </w:rPr>
        <w:t xml:space="preserve">en </w:t>
      </w:r>
      <w:r w:rsidR="007257CC" w:rsidRPr="00B745A7">
        <w:rPr>
          <w:rFonts w:ascii="Times New Roman" w:hAnsi="Times New Roman" w:cs="Times New Roman"/>
          <w:sz w:val="24"/>
          <w:szCs w:val="24"/>
        </w:rPr>
        <w:t xml:space="preserve">had </w:t>
      </w:r>
      <w:r w:rsidR="00E53A08" w:rsidRPr="00B745A7">
        <w:rPr>
          <w:rFonts w:ascii="Times New Roman" w:hAnsi="Times New Roman" w:cs="Times New Roman"/>
          <w:sz w:val="24"/>
          <w:szCs w:val="24"/>
        </w:rPr>
        <w:t xml:space="preserve">significantly </w:t>
      </w:r>
      <w:r w:rsidR="00C00C82" w:rsidRPr="00B745A7">
        <w:rPr>
          <w:rFonts w:ascii="Times New Roman" w:hAnsi="Times New Roman" w:cs="Times New Roman"/>
          <w:sz w:val="24"/>
          <w:szCs w:val="24"/>
        </w:rPr>
        <w:t>more GP observations</w:t>
      </w:r>
      <w:r w:rsidR="00A405AC" w:rsidRPr="00B745A7">
        <w:rPr>
          <w:rFonts w:ascii="Times New Roman" w:hAnsi="Times New Roman" w:cs="Times New Roman"/>
          <w:sz w:val="24"/>
          <w:szCs w:val="24"/>
        </w:rPr>
        <w:t xml:space="preserve"> (</w:t>
      </w:r>
      <w:r w:rsidR="00570957" w:rsidRPr="00B745A7">
        <w:rPr>
          <w:rFonts w:ascii="Times New Roman" w:hAnsi="Times New Roman" w:cs="Times New Roman"/>
          <w:sz w:val="24"/>
          <w:szCs w:val="24"/>
        </w:rPr>
        <w:t xml:space="preserve">Early-onset: </w:t>
      </w:r>
      <w:r w:rsidR="007135D4" w:rsidRPr="00B745A7">
        <w:rPr>
          <w:rFonts w:ascii="Times New Roman" w:hAnsi="Times New Roman" w:cs="Times New Roman"/>
          <w:sz w:val="24"/>
          <w:szCs w:val="24"/>
        </w:rPr>
        <w:t>IRR</w:t>
      </w:r>
      <w:r w:rsidR="00570957" w:rsidRPr="00B745A7">
        <w:rPr>
          <w:rFonts w:ascii="Times New Roman" w:hAnsi="Times New Roman" w:cs="Times New Roman"/>
          <w:sz w:val="24"/>
          <w:szCs w:val="24"/>
        </w:rPr>
        <w:t xml:space="preserve">: 1.077; 1.070-1.084; Late-onset: </w:t>
      </w:r>
      <w:r w:rsidR="007135D4" w:rsidRPr="00B745A7">
        <w:rPr>
          <w:rFonts w:ascii="Times New Roman" w:hAnsi="Times New Roman" w:cs="Times New Roman"/>
          <w:sz w:val="24"/>
          <w:szCs w:val="24"/>
        </w:rPr>
        <w:t>IRR</w:t>
      </w:r>
      <w:r w:rsidR="00570957" w:rsidRPr="00B745A7">
        <w:rPr>
          <w:rFonts w:ascii="Times New Roman" w:hAnsi="Times New Roman" w:cs="Times New Roman"/>
          <w:sz w:val="24"/>
          <w:szCs w:val="24"/>
        </w:rPr>
        <w:t>: 1.136; 1.135-1.138</w:t>
      </w:r>
      <w:r w:rsidR="00536907" w:rsidRPr="00B745A7">
        <w:rPr>
          <w:rFonts w:ascii="Times New Roman" w:hAnsi="Times New Roman" w:cs="Times New Roman"/>
          <w:sz w:val="24"/>
          <w:szCs w:val="24"/>
        </w:rPr>
        <w:t xml:space="preserve">) and </w:t>
      </w:r>
      <w:r w:rsidR="00C00C82" w:rsidRPr="00B745A7">
        <w:rPr>
          <w:rFonts w:ascii="Times New Roman" w:hAnsi="Times New Roman" w:cs="Times New Roman"/>
          <w:sz w:val="24"/>
          <w:szCs w:val="24"/>
        </w:rPr>
        <w:t>non-dementia medications</w:t>
      </w:r>
      <w:r w:rsidR="00570957" w:rsidRPr="00B745A7">
        <w:rPr>
          <w:rFonts w:ascii="Times New Roman" w:hAnsi="Times New Roman" w:cs="Times New Roman"/>
          <w:sz w:val="24"/>
          <w:szCs w:val="24"/>
        </w:rPr>
        <w:t xml:space="preserve"> (Early-onset: </w:t>
      </w:r>
      <w:r w:rsidR="007135D4" w:rsidRPr="00B745A7">
        <w:rPr>
          <w:rFonts w:ascii="Times New Roman" w:hAnsi="Times New Roman" w:cs="Times New Roman"/>
          <w:sz w:val="24"/>
          <w:szCs w:val="24"/>
        </w:rPr>
        <w:t>IRR</w:t>
      </w:r>
      <w:r w:rsidR="00570957" w:rsidRPr="00B745A7">
        <w:rPr>
          <w:rFonts w:ascii="Times New Roman" w:hAnsi="Times New Roman" w:cs="Times New Roman"/>
          <w:sz w:val="24"/>
          <w:szCs w:val="24"/>
        </w:rPr>
        <w:t xml:space="preserve">: 1.026; 1.019-1.034; Late-onset: </w:t>
      </w:r>
      <w:r w:rsidR="007135D4" w:rsidRPr="00B745A7">
        <w:rPr>
          <w:rFonts w:ascii="Times New Roman" w:hAnsi="Times New Roman" w:cs="Times New Roman"/>
          <w:sz w:val="24"/>
          <w:szCs w:val="24"/>
        </w:rPr>
        <w:t xml:space="preserve">IRR: </w:t>
      </w:r>
      <w:r w:rsidR="00570957" w:rsidRPr="00B745A7">
        <w:rPr>
          <w:rFonts w:ascii="Times New Roman" w:hAnsi="Times New Roman" w:cs="Times New Roman"/>
          <w:sz w:val="24"/>
          <w:szCs w:val="24"/>
        </w:rPr>
        <w:t>1.295; 1.204-1.392)</w:t>
      </w:r>
      <w:r w:rsidR="00536907" w:rsidRPr="00B745A7">
        <w:rPr>
          <w:rFonts w:ascii="Times New Roman" w:hAnsi="Times New Roman" w:cs="Times New Roman"/>
          <w:sz w:val="24"/>
          <w:szCs w:val="24"/>
        </w:rPr>
        <w:t>.</w:t>
      </w:r>
      <w:r w:rsidR="006E341D" w:rsidRPr="00B745A7">
        <w:rPr>
          <w:rFonts w:ascii="Times New Roman" w:hAnsi="Times New Roman" w:cs="Times New Roman"/>
          <w:sz w:val="24"/>
          <w:szCs w:val="24"/>
        </w:rPr>
        <w:t xml:space="preserve"> </w:t>
      </w:r>
      <w:r w:rsidR="00357129" w:rsidRPr="00B745A7">
        <w:rPr>
          <w:rFonts w:ascii="Times New Roman" w:hAnsi="Times New Roman" w:cs="Times New Roman"/>
          <w:sz w:val="24"/>
          <w:szCs w:val="24"/>
        </w:rPr>
        <w:t>Men</w:t>
      </w:r>
      <w:r w:rsidR="00CA0056" w:rsidRPr="00B745A7">
        <w:rPr>
          <w:rFonts w:ascii="Times New Roman" w:hAnsi="Times New Roman" w:cs="Times New Roman"/>
          <w:sz w:val="24"/>
          <w:szCs w:val="24"/>
        </w:rPr>
        <w:t xml:space="preserve"> with late-onset dementia</w:t>
      </w:r>
      <w:r w:rsidR="00357129" w:rsidRPr="00B745A7">
        <w:rPr>
          <w:rFonts w:ascii="Times New Roman" w:hAnsi="Times New Roman" w:cs="Times New Roman"/>
          <w:sz w:val="24"/>
          <w:szCs w:val="24"/>
        </w:rPr>
        <w:t xml:space="preserve"> </w:t>
      </w:r>
      <w:r w:rsidR="00AB4696" w:rsidRPr="00B745A7">
        <w:rPr>
          <w:rFonts w:ascii="Times New Roman" w:hAnsi="Times New Roman" w:cs="Times New Roman"/>
          <w:sz w:val="24"/>
          <w:szCs w:val="24"/>
        </w:rPr>
        <w:t>had 11% higher odds of</w:t>
      </w:r>
      <w:r w:rsidR="00357129" w:rsidRPr="00B745A7">
        <w:rPr>
          <w:rFonts w:ascii="Times New Roman" w:hAnsi="Times New Roman" w:cs="Times New Roman"/>
          <w:sz w:val="24"/>
          <w:szCs w:val="24"/>
        </w:rPr>
        <w:t xml:space="preserve"> </w:t>
      </w:r>
      <w:r w:rsidR="00CA0056" w:rsidRPr="00B745A7">
        <w:rPr>
          <w:rFonts w:ascii="Times New Roman" w:hAnsi="Times New Roman" w:cs="Times New Roman"/>
          <w:sz w:val="24"/>
          <w:szCs w:val="24"/>
        </w:rPr>
        <w:t>attend</w:t>
      </w:r>
      <w:r w:rsidR="00AB4696" w:rsidRPr="00B745A7">
        <w:rPr>
          <w:rFonts w:ascii="Times New Roman" w:hAnsi="Times New Roman" w:cs="Times New Roman"/>
          <w:sz w:val="24"/>
          <w:szCs w:val="24"/>
        </w:rPr>
        <w:t>ing</w:t>
      </w:r>
      <w:r w:rsidR="00CA0056" w:rsidRPr="00B745A7">
        <w:rPr>
          <w:rFonts w:ascii="Times New Roman" w:hAnsi="Times New Roman" w:cs="Times New Roman"/>
          <w:sz w:val="24"/>
          <w:szCs w:val="24"/>
        </w:rPr>
        <w:t xml:space="preserve"> A&amp;E</w:t>
      </w:r>
      <w:r w:rsidR="00AB4696" w:rsidRPr="00B745A7">
        <w:rPr>
          <w:rFonts w:ascii="Times New Roman" w:hAnsi="Times New Roman" w:cs="Times New Roman"/>
          <w:sz w:val="24"/>
          <w:szCs w:val="24"/>
        </w:rPr>
        <w:t xml:space="preserve"> than women</w:t>
      </w:r>
      <w:r w:rsidR="00CA0056" w:rsidRPr="00B745A7">
        <w:rPr>
          <w:rFonts w:ascii="Times New Roman" w:hAnsi="Times New Roman" w:cs="Times New Roman"/>
          <w:sz w:val="24"/>
          <w:szCs w:val="24"/>
        </w:rPr>
        <w:t xml:space="preserve"> (OR: 1.107; 1.073-1.142)</w:t>
      </w:r>
      <w:r w:rsidR="00AB4696" w:rsidRPr="00B745A7">
        <w:rPr>
          <w:rFonts w:ascii="Times New Roman" w:hAnsi="Times New Roman" w:cs="Times New Roman"/>
          <w:sz w:val="24"/>
          <w:szCs w:val="24"/>
        </w:rPr>
        <w:t>. Men were also more likely</w:t>
      </w:r>
      <w:r w:rsidR="00CA0056" w:rsidRPr="00B745A7">
        <w:rPr>
          <w:rFonts w:ascii="Times New Roman" w:hAnsi="Times New Roman" w:cs="Times New Roman"/>
          <w:sz w:val="24"/>
          <w:szCs w:val="24"/>
        </w:rPr>
        <w:t xml:space="preserve"> </w:t>
      </w:r>
      <w:r w:rsidR="00357129" w:rsidRPr="00B745A7">
        <w:rPr>
          <w:rFonts w:ascii="Times New Roman" w:hAnsi="Times New Roman" w:cs="Times New Roman"/>
          <w:sz w:val="24"/>
          <w:szCs w:val="24"/>
        </w:rPr>
        <w:t>be admitted to hospital</w:t>
      </w:r>
      <w:r w:rsidRPr="00B745A7">
        <w:rPr>
          <w:rFonts w:ascii="Times New Roman" w:hAnsi="Times New Roman" w:cs="Times New Roman"/>
          <w:sz w:val="24"/>
          <w:szCs w:val="24"/>
        </w:rPr>
        <w:t xml:space="preserve"> than women</w:t>
      </w:r>
      <w:r w:rsidR="00CA0056" w:rsidRPr="00B745A7">
        <w:rPr>
          <w:rFonts w:ascii="Times New Roman" w:hAnsi="Times New Roman" w:cs="Times New Roman"/>
          <w:sz w:val="24"/>
          <w:szCs w:val="24"/>
        </w:rPr>
        <w:t>, whether as an elective (OR:</w:t>
      </w:r>
      <w:r w:rsidR="007135D4" w:rsidRPr="00B745A7">
        <w:rPr>
          <w:rFonts w:ascii="Times New Roman" w:hAnsi="Times New Roman" w:cs="Times New Roman"/>
          <w:sz w:val="24"/>
          <w:szCs w:val="24"/>
        </w:rPr>
        <w:t xml:space="preserve"> </w:t>
      </w:r>
      <w:r w:rsidRPr="00B745A7">
        <w:rPr>
          <w:rFonts w:ascii="Times New Roman" w:hAnsi="Times New Roman" w:cs="Times New Roman"/>
          <w:sz w:val="24"/>
          <w:szCs w:val="24"/>
        </w:rPr>
        <w:t>1.452; 1.418-1.487</w:t>
      </w:r>
      <w:r w:rsidR="00CA0056" w:rsidRPr="00B745A7">
        <w:rPr>
          <w:rFonts w:ascii="Times New Roman" w:hAnsi="Times New Roman" w:cs="Times New Roman"/>
          <w:sz w:val="24"/>
          <w:szCs w:val="24"/>
        </w:rPr>
        <w:t xml:space="preserve">) or emergency (OR: </w:t>
      </w:r>
      <w:r w:rsidRPr="00B745A7">
        <w:rPr>
          <w:rFonts w:ascii="Times New Roman" w:hAnsi="Times New Roman" w:cs="Times New Roman"/>
          <w:sz w:val="24"/>
          <w:szCs w:val="24"/>
        </w:rPr>
        <w:t>1.090; 1.056-1.125</w:t>
      </w:r>
      <w:r w:rsidR="00CA0056" w:rsidRPr="00B745A7">
        <w:rPr>
          <w:rFonts w:ascii="Times New Roman" w:hAnsi="Times New Roman" w:cs="Times New Roman"/>
          <w:sz w:val="24"/>
          <w:szCs w:val="24"/>
        </w:rPr>
        <w:t>).</w:t>
      </w:r>
    </w:p>
    <w:p w14:paraId="1E4A1799" w14:textId="77777777" w:rsidR="00C00C82" w:rsidRPr="00B745A7" w:rsidRDefault="00C00C82" w:rsidP="00AD5F19">
      <w:pPr>
        <w:spacing w:line="480" w:lineRule="auto"/>
        <w:jc w:val="both"/>
        <w:rPr>
          <w:rFonts w:ascii="Times New Roman" w:hAnsi="Times New Roman" w:cs="Times New Roman"/>
          <w:i/>
          <w:sz w:val="24"/>
          <w:szCs w:val="24"/>
        </w:rPr>
      </w:pPr>
      <w:r w:rsidRPr="00B745A7">
        <w:rPr>
          <w:rFonts w:ascii="Times New Roman" w:hAnsi="Times New Roman" w:cs="Times New Roman"/>
          <w:i/>
          <w:sz w:val="24"/>
          <w:szCs w:val="24"/>
        </w:rPr>
        <w:t>Age</w:t>
      </w:r>
    </w:p>
    <w:p w14:paraId="1B780E0B" w14:textId="6F2CC10B" w:rsidR="00C00C82" w:rsidRPr="00B745A7" w:rsidRDefault="006E341D" w:rsidP="00756CEB">
      <w:pPr>
        <w:spacing w:line="480" w:lineRule="auto"/>
        <w:ind w:firstLine="720"/>
        <w:jc w:val="both"/>
        <w:rPr>
          <w:rFonts w:ascii="Times New Roman" w:hAnsi="Times New Roman" w:cs="Times New Roman"/>
          <w:b/>
          <w:sz w:val="24"/>
          <w:szCs w:val="24"/>
        </w:rPr>
      </w:pPr>
      <w:r w:rsidRPr="00B745A7">
        <w:rPr>
          <w:rFonts w:ascii="Times New Roman" w:hAnsi="Times New Roman" w:cs="Times New Roman"/>
          <w:sz w:val="24"/>
          <w:szCs w:val="24"/>
        </w:rPr>
        <w:t>I</w:t>
      </w:r>
      <w:r w:rsidR="00C00C82" w:rsidRPr="00B745A7">
        <w:rPr>
          <w:rFonts w:ascii="Times New Roman" w:hAnsi="Times New Roman" w:cs="Times New Roman"/>
          <w:sz w:val="24"/>
          <w:szCs w:val="24"/>
        </w:rPr>
        <w:t xml:space="preserve">ncreasing age </w:t>
      </w:r>
      <w:r w:rsidRPr="00B745A7">
        <w:rPr>
          <w:rFonts w:ascii="Times New Roman" w:hAnsi="Times New Roman" w:cs="Times New Roman"/>
          <w:sz w:val="24"/>
          <w:szCs w:val="24"/>
        </w:rPr>
        <w:t xml:space="preserve">was </w:t>
      </w:r>
      <w:r w:rsidR="00E53A08" w:rsidRPr="00B745A7">
        <w:rPr>
          <w:rFonts w:ascii="Times New Roman" w:hAnsi="Times New Roman" w:cs="Times New Roman"/>
          <w:sz w:val="24"/>
          <w:szCs w:val="24"/>
        </w:rPr>
        <w:t xml:space="preserve">significantly </w:t>
      </w:r>
      <w:r w:rsidRPr="00B745A7">
        <w:rPr>
          <w:rFonts w:ascii="Times New Roman" w:hAnsi="Times New Roman" w:cs="Times New Roman"/>
          <w:sz w:val="24"/>
          <w:szCs w:val="24"/>
        </w:rPr>
        <w:t>associated with</w:t>
      </w:r>
      <w:r w:rsidR="00C00C82" w:rsidRPr="00B745A7">
        <w:rPr>
          <w:rFonts w:ascii="Times New Roman" w:hAnsi="Times New Roman" w:cs="Times New Roman"/>
          <w:sz w:val="24"/>
          <w:szCs w:val="24"/>
        </w:rPr>
        <w:t xml:space="preserve"> greater GP observations</w:t>
      </w:r>
      <w:r w:rsidR="003A28CD" w:rsidRPr="00B745A7">
        <w:rPr>
          <w:rFonts w:ascii="Times New Roman" w:hAnsi="Times New Roman" w:cs="Times New Roman"/>
          <w:sz w:val="24"/>
          <w:szCs w:val="24"/>
        </w:rPr>
        <w:t xml:space="preserve"> (Early-onset: </w:t>
      </w:r>
      <w:r w:rsidR="007135D4" w:rsidRPr="00B745A7">
        <w:rPr>
          <w:rFonts w:ascii="Times New Roman" w:hAnsi="Times New Roman" w:cs="Times New Roman"/>
          <w:sz w:val="24"/>
          <w:szCs w:val="24"/>
        </w:rPr>
        <w:t>IRR</w:t>
      </w:r>
      <w:r w:rsidR="003A28CD" w:rsidRPr="00B745A7">
        <w:rPr>
          <w:rFonts w:ascii="Times New Roman" w:hAnsi="Times New Roman" w:cs="Times New Roman"/>
          <w:sz w:val="24"/>
          <w:szCs w:val="24"/>
        </w:rPr>
        <w:t xml:space="preserve">: 1.002; </w:t>
      </w:r>
      <w:r w:rsidR="00EC7133" w:rsidRPr="00B745A7">
        <w:rPr>
          <w:rFonts w:ascii="Times New Roman" w:hAnsi="Times New Roman" w:cs="Times New Roman"/>
          <w:sz w:val="24"/>
          <w:szCs w:val="24"/>
        </w:rPr>
        <w:t>1.001-1.002</w:t>
      </w:r>
      <w:r w:rsidR="003A28CD" w:rsidRPr="00B745A7">
        <w:rPr>
          <w:rFonts w:ascii="Times New Roman" w:hAnsi="Times New Roman" w:cs="Times New Roman"/>
          <w:sz w:val="24"/>
          <w:szCs w:val="24"/>
        </w:rPr>
        <w:t xml:space="preserve">; Late-onset: </w:t>
      </w:r>
      <w:r w:rsidR="00E309CD" w:rsidRPr="00B745A7">
        <w:rPr>
          <w:rFonts w:ascii="Times New Roman" w:hAnsi="Times New Roman" w:cs="Times New Roman"/>
          <w:sz w:val="24"/>
          <w:szCs w:val="24"/>
        </w:rPr>
        <w:t>IRR</w:t>
      </w:r>
      <w:r w:rsidR="003A28CD" w:rsidRPr="00B745A7">
        <w:rPr>
          <w:rFonts w:ascii="Times New Roman" w:hAnsi="Times New Roman" w:cs="Times New Roman"/>
          <w:sz w:val="24"/>
          <w:szCs w:val="24"/>
        </w:rPr>
        <w:t>: 1.</w:t>
      </w:r>
      <w:r w:rsidR="00EC7133" w:rsidRPr="00B745A7">
        <w:rPr>
          <w:rFonts w:ascii="Times New Roman" w:hAnsi="Times New Roman" w:cs="Times New Roman"/>
          <w:sz w:val="24"/>
          <w:szCs w:val="24"/>
        </w:rPr>
        <w:t>003</w:t>
      </w:r>
      <w:r w:rsidR="003A28CD" w:rsidRPr="00B745A7">
        <w:rPr>
          <w:rFonts w:ascii="Times New Roman" w:hAnsi="Times New Roman" w:cs="Times New Roman"/>
          <w:sz w:val="24"/>
          <w:szCs w:val="24"/>
        </w:rPr>
        <w:t>; 1.</w:t>
      </w:r>
      <w:r w:rsidR="00EC7133" w:rsidRPr="00B745A7">
        <w:rPr>
          <w:rFonts w:ascii="Times New Roman" w:hAnsi="Times New Roman" w:cs="Times New Roman"/>
          <w:sz w:val="24"/>
          <w:szCs w:val="24"/>
        </w:rPr>
        <w:t>003</w:t>
      </w:r>
      <w:r w:rsidR="003A28CD" w:rsidRPr="00B745A7">
        <w:rPr>
          <w:rFonts w:ascii="Times New Roman" w:hAnsi="Times New Roman" w:cs="Times New Roman"/>
          <w:sz w:val="24"/>
          <w:szCs w:val="24"/>
        </w:rPr>
        <w:t>-1.</w:t>
      </w:r>
      <w:r w:rsidR="00EC7133" w:rsidRPr="00B745A7">
        <w:rPr>
          <w:rFonts w:ascii="Times New Roman" w:hAnsi="Times New Roman" w:cs="Times New Roman"/>
          <w:sz w:val="24"/>
          <w:szCs w:val="24"/>
        </w:rPr>
        <w:t>003</w:t>
      </w:r>
      <w:r w:rsidR="003A28CD" w:rsidRPr="00B745A7">
        <w:rPr>
          <w:rFonts w:ascii="Times New Roman" w:hAnsi="Times New Roman" w:cs="Times New Roman"/>
          <w:sz w:val="24"/>
          <w:szCs w:val="24"/>
        </w:rPr>
        <w:t>)</w:t>
      </w:r>
      <w:r w:rsidR="00C00C82" w:rsidRPr="00B745A7">
        <w:rPr>
          <w:rFonts w:ascii="Times New Roman" w:hAnsi="Times New Roman" w:cs="Times New Roman"/>
          <w:sz w:val="24"/>
          <w:szCs w:val="24"/>
        </w:rPr>
        <w:t xml:space="preserve"> and non-dementia medications</w:t>
      </w:r>
      <w:r w:rsidR="003A28CD" w:rsidRPr="00B745A7">
        <w:rPr>
          <w:rFonts w:ascii="Times New Roman" w:hAnsi="Times New Roman" w:cs="Times New Roman"/>
          <w:sz w:val="24"/>
          <w:szCs w:val="24"/>
        </w:rPr>
        <w:t xml:space="preserve"> (Early-onset: </w:t>
      </w:r>
      <w:r w:rsidR="00E309CD" w:rsidRPr="00B745A7">
        <w:rPr>
          <w:rFonts w:ascii="Times New Roman" w:hAnsi="Times New Roman" w:cs="Times New Roman"/>
          <w:sz w:val="24"/>
          <w:szCs w:val="24"/>
        </w:rPr>
        <w:t>IRR</w:t>
      </w:r>
      <w:r w:rsidR="003A28CD" w:rsidRPr="00B745A7">
        <w:rPr>
          <w:rFonts w:ascii="Times New Roman" w:hAnsi="Times New Roman" w:cs="Times New Roman"/>
          <w:sz w:val="24"/>
          <w:szCs w:val="24"/>
        </w:rPr>
        <w:t xml:space="preserve">: </w:t>
      </w:r>
      <w:r w:rsidR="00EC7133" w:rsidRPr="00B745A7">
        <w:rPr>
          <w:rFonts w:ascii="Times New Roman" w:hAnsi="Times New Roman" w:cs="Times New Roman"/>
          <w:sz w:val="24"/>
          <w:szCs w:val="24"/>
        </w:rPr>
        <w:t>1.012</w:t>
      </w:r>
      <w:r w:rsidR="003A28CD" w:rsidRPr="00B745A7">
        <w:rPr>
          <w:rFonts w:ascii="Times New Roman" w:hAnsi="Times New Roman" w:cs="Times New Roman"/>
          <w:sz w:val="24"/>
          <w:szCs w:val="24"/>
        </w:rPr>
        <w:t>; 1.0</w:t>
      </w:r>
      <w:r w:rsidR="00EC7133" w:rsidRPr="00B745A7">
        <w:rPr>
          <w:rFonts w:ascii="Times New Roman" w:hAnsi="Times New Roman" w:cs="Times New Roman"/>
          <w:sz w:val="24"/>
          <w:szCs w:val="24"/>
        </w:rPr>
        <w:t>11</w:t>
      </w:r>
      <w:r w:rsidR="003A28CD" w:rsidRPr="00B745A7">
        <w:rPr>
          <w:rFonts w:ascii="Times New Roman" w:hAnsi="Times New Roman" w:cs="Times New Roman"/>
          <w:sz w:val="24"/>
          <w:szCs w:val="24"/>
        </w:rPr>
        <w:t>-1.0</w:t>
      </w:r>
      <w:r w:rsidR="00EC7133" w:rsidRPr="00B745A7">
        <w:rPr>
          <w:rFonts w:ascii="Times New Roman" w:hAnsi="Times New Roman" w:cs="Times New Roman"/>
          <w:sz w:val="24"/>
          <w:szCs w:val="24"/>
        </w:rPr>
        <w:t>13</w:t>
      </w:r>
      <w:r w:rsidR="003A28CD" w:rsidRPr="00B745A7">
        <w:rPr>
          <w:rFonts w:ascii="Times New Roman" w:hAnsi="Times New Roman" w:cs="Times New Roman"/>
          <w:sz w:val="24"/>
          <w:szCs w:val="24"/>
        </w:rPr>
        <w:t xml:space="preserve">; Late-onset: </w:t>
      </w:r>
      <w:r w:rsidR="00E309CD" w:rsidRPr="00B745A7">
        <w:rPr>
          <w:rFonts w:ascii="Times New Roman" w:hAnsi="Times New Roman" w:cs="Times New Roman"/>
          <w:sz w:val="24"/>
          <w:szCs w:val="24"/>
        </w:rPr>
        <w:t>IRR</w:t>
      </w:r>
      <w:r w:rsidR="003A28CD" w:rsidRPr="00B745A7">
        <w:rPr>
          <w:rFonts w:ascii="Times New Roman" w:hAnsi="Times New Roman" w:cs="Times New Roman"/>
          <w:sz w:val="24"/>
          <w:szCs w:val="24"/>
        </w:rPr>
        <w:t>: 1.</w:t>
      </w:r>
      <w:r w:rsidR="00EC7133" w:rsidRPr="00B745A7">
        <w:rPr>
          <w:rFonts w:ascii="Times New Roman" w:hAnsi="Times New Roman" w:cs="Times New Roman"/>
          <w:sz w:val="24"/>
          <w:szCs w:val="24"/>
        </w:rPr>
        <w:t>095</w:t>
      </w:r>
      <w:r w:rsidR="003A28CD" w:rsidRPr="00B745A7">
        <w:rPr>
          <w:rFonts w:ascii="Times New Roman" w:hAnsi="Times New Roman" w:cs="Times New Roman"/>
          <w:sz w:val="24"/>
          <w:szCs w:val="24"/>
        </w:rPr>
        <w:t>; 1.</w:t>
      </w:r>
      <w:r w:rsidR="00EC7133" w:rsidRPr="00B745A7">
        <w:rPr>
          <w:rFonts w:ascii="Times New Roman" w:hAnsi="Times New Roman" w:cs="Times New Roman"/>
          <w:sz w:val="24"/>
          <w:szCs w:val="24"/>
        </w:rPr>
        <w:t>089</w:t>
      </w:r>
      <w:r w:rsidR="003A28CD" w:rsidRPr="00B745A7">
        <w:rPr>
          <w:rFonts w:ascii="Times New Roman" w:hAnsi="Times New Roman" w:cs="Times New Roman"/>
          <w:sz w:val="24"/>
          <w:szCs w:val="24"/>
        </w:rPr>
        <w:t>-1.1</w:t>
      </w:r>
      <w:r w:rsidR="00EC7133" w:rsidRPr="00B745A7">
        <w:rPr>
          <w:rFonts w:ascii="Times New Roman" w:hAnsi="Times New Roman" w:cs="Times New Roman"/>
          <w:sz w:val="24"/>
          <w:szCs w:val="24"/>
        </w:rPr>
        <w:t>01</w:t>
      </w:r>
      <w:r w:rsidR="003A28CD" w:rsidRPr="00B745A7">
        <w:rPr>
          <w:rFonts w:ascii="Times New Roman" w:hAnsi="Times New Roman" w:cs="Times New Roman"/>
          <w:sz w:val="24"/>
          <w:szCs w:val="24"/>
        </w:rPr>
        <w:t>)</w:t>
      </w:r>
      <w:r w:rsidR="00C00C82" w:rsidRPr="00B745A7">
        <w:rPr>
          <w:rFonts w:ascii="Times New Roman" w:hAnsi="Times New Roman" w:cs="Times New Roman"/>
          <w:sz w:val="24"/>
          <w:szCs w:val="24"/>
        </w:rPr>
        <w:t xml:space="preserve">. </w:t>
      </w:r>
      <w:r w:rsidRPr="00B745A7">
        <w:rPr>
          <w:rFonts w:ascii="Times New Roman" w:hAnsi="Times New Roman" w:cs="Times New Roman"/>
          <w:sz w:val="24"/>
          <w:szCs w:val="24"/>
        </w:rPr>
        <w:t>The youngest (</w:t>
      </w:r>
      <w:r w:rsidR="00EC7133" w:rsidRPr="00B745A7">
        <w:rPr>
          <w:rFonts w:ascii="Times New Roman" w:hAnsi="Times New Roman" w:cs="Times New Roman"/>
          <w:sz w:val="24"/>
          <w:szCs w:val="24"/>
        </w:rPr>
        <w:t>E</w:t>
      </w:r>
      <w:r w:rsidRPr="00B745A7">
        <w:rPr>
          <w:rFonts w:ascii="Times New Roman" w:hAnsi="Times New Roman" w:cs="Times New Roman"/>
          <w:sz w:val="24"/>
          <w:szCs w:val="24"/>
        </w:rPr>
        <w:t>arly-onset</w:t>
      </w:r>
      <w:r w:rsidR="00EC7133" w:rsidRPr="00B745A7">
        <w:rPr>
          <w:rFonts w:ascii="Times New Roman" w:hAnsi="Times New Roman" w:cs="Times New Roman"/>
          <w:sz w:val="24"/>
          <w:szCs w:val="24"/>
        </w:rPr>
        <w:t xml:space="preserve">: </w:t>
      </w:r>
      <w:r w:rsidR="00E309CD" w:rsidRPr="00B745A7">
        <w:rPr>
          <w:rFonts w:ascii="Times New Roman" w:hAnsi="Times New Roman" w:cs="Times New Roman"/>
          <w:sz w:val="24"/>
          <w:szCs w:val="24"/>
        </w:rPr>
        <w:t>IRR</w:t>
      </w:r>
      <w:r w:rsidR="00EC7133" w:rsidRPr="00B745A7">
        <w:rPr>
          <w:rFonts w:ascii="Times New Roman" w:hAnsi="Times New Roman" w:cs="Times New Roman"/>
          <w:sz w:val="24"/>
          <w:szCs w:val="24"/>
        </w:rPr>
        <w:t>: 0.967; 0.956-0.978</w:t>
      </w:r>
      <w:r w:rsidRPr="00B745A7">
        <w:rPr>
          <w:rFonts w:ascii="Times New Roman" w:hAnsi="Times New Roman" w:cs="Times New Roman"/>
          <w:sz w:val="24"/>
          <w:szCs w:val="24"/>
        </w:rPr>
        <w:t>) and oldest (</w:t>
      </w:r>
      <w:r w:rsidR="00EC7133" w:rsidRPr="00B745A7">
        <w:rPr>
          <w:rFonts w:ascii="Times New Roman" w:hAnsi="Times New Roman" w:cs="Times New Roman"/>
          <w:sz w:val="24"/>
          <w:szCs w:val="24"/>
        </w:rPr>
        <w:t>L</w:t>
      </w:r>
      <w:r w:rsidRPr="00B745A7">
        <w:rPr>
          <w:rFonts w:ascii="Times New Roman" w:hAnsi="Times New Roman" w:cs="Times New Roman"/>
          <w:sz w:val="24"/>
          <w:szCs w:val="24"/>
        </w:rPr>
        <w:t>ate-onset</w:t>
      </w:r>
      <w:r w:rsidR="00EC7133" w:rsidRPr="00B745A7">
        <w:rPr>
          <w:rFonts w:ascii="Times New Roman" w:hAnsi="Times New Roman" w:cs="Times New Roman"/>
          <w:sz w:val="24"/>
          <w:szCs w:val="24"/>
        </w:rPr>
        <w:t xml:space="preserve">: </w:t>
      </w:r>
      <w:r w:rsidR="00E309CD" w:rsidRPr="00B745A7">
        <w:rPr>
          <w:rFonts w:ascii="Times New Roman" w:hAnsi="Times New Roman" w:cs="Times New Roman"/>
          <w:sz w:val="24"/>
          <w:szCs w:val="24"/>
        </w:rPr>
        <w:t xml:space="preserve">IRR: </w:t>
      </w:r>
      <w:r w:rsidR="00EC7133" w:rsidRPr="00B745A7">
        <w:rPr>
          <w:rFonts w:ascii="Times New Roman" w:hAnsi="Times New Roman" w:cs="Times New Roman"/>
          <w:sz w:val="24"/>
          <w:szCs w:val="24"/>
        </w:rPr>
        <w:t>1.035; 1.034-1.036</w:t>
      </w:r>
      <w:r w:rsidRPr="00B745A7">
        <w:rPr>
          <w:rFonts w:ascii="Times New Roman" w:hAnsi="Times New Roman" w:cs="Times New Roman"/>
          <w:sz w:val="24"/>
          <w:szCs w:val="24"/>
        </w:rPr>
        <w:t>) had</w:t>
      </w:r>
      <w:r w:rsidR="003B0BE3" w:rsidRPr="00B745A7">
        <w:rPr>
          <w:rFonts w:ascii="Times New Roman" w:hAnsi="Times New Roman" w:cs="Times New Roman"/>
          <w:sz w:val="24"/>
          <w:szCs w:val="24"/>
        </w:rPr>
        <w:t xml:space="preserve"> </w:t>
      </w:r>
      <w:r w:rsidRPr="00B745A7">
        <w:rPr>
          <w:rFonts w:ascii="Times New Roman" w:hAnsi="Times New Roman" w:cs="Times New Roman"/>
          <w:sz w:val="24"/>
          <w:szCs w:val="24"/>
        </w:rPr>
        <w:t>the most</w:t>
      </w:r>
      <w:r w:rsidR="00C00C82" w:rsidRPr="00B745A7">
        <w:rPr>
          <w:rFonts w:ascii="Times New Roman" w:hAnsi="Times New Roman" w:cs="Times New Roman"/>
          <w:sz w:val="24"/>
          <w:szCs w:val="24"/>
        </w:rPr>
        <w:t xml:space="preserve"> dementia medications. Among those with late-onset, </w:t>
      </w:r>
      <w:r w:rsidR="00AB4696" w:rsidRPr="00B745A7">
        <w:rPr>
          <w:rFonts w:ascii="Times New Roman" w:hAnsi="Times New Roman" w:cs="Times New Roman"/>
          <w:sz w:val="24"/>
          <w:szCs w:val="24"/>
        </w:rPr>
        <w:t>each year increase in age</w:t>
      </w:r>
      <w:r w:rsidR="00C00C82" w:rsidRPr="00B745A7">
        <w:rPr>
          <w:rFonts w:ascii="Times New Roman" w:hAnsi="Times New Roman" w:cs="Times New Roman"/>
          <w:sz w:val="24"/>
          <w:szCs w:val="24"/>
        </w:rPr>
        <w:t xml:space="preserve"> resulted in </w:t>
      </w:r>
      <w:r w:rsidR="00AB4696" w:rsidRPr="00B745A7">
        <w:rPr>
          <w:rFonts w:ascii="Times New Roman" w:hAnsi="Times New Roman" w:cs="Times New Roman"/>
          <w:sz w:val="24"/>
          <w:szCs w:val="24"/>
        </w:rPr>
        <w:t xml:space="preserve">a 2% </w:t>
      </w:r>
      <w:r w:rsidR="00C00C82" w:rsidRPr="00B745A7">
        <w:rPr>
          <w:rFonts w:ascii="Times New Roman" w:hAnsi="Times New Roman" w:cs="Times New Roman"/>
          <w:sz w:val="24"/>
          <w:szCs w:val="24"/>
        </w:rPr>
        <w:t xml:space="preserve">greater likelihood of </w:t>
      </w:r>
      <w:r w:rsidRPr="00B745A7">
        <w:rPr>
          <w:rFonts w:ascii="Times New Roman" w:hAnsi="Times New Roman" w:cs="Times New Roman"/>
          <w:sz w:val="24"/>
          <w:szCs w:val="24"/>
        </w:rPr>
        <w:t xml:space="preserve">using </w:t>
      </w:r>
      <w:r w:rsidR="00C00C82" w:rsidRPr="00B745A7">
        <w:rPr>
          <w:rFonts w:ascii="Times New Roman" w:hAnsi="Times New Roman" w:cs="Times New Roman"/>
          <w:sz w:val="24"/>
          <w:szCs w:val="24"/>
        </w:rPr>
        <w:t>A&amp;E</w:t>
      </w:r>
      <w:r w:rsidR="00502B39" w:rsidRPr="00B745A7">
        <w:rPr>
          <w:rFonts w:ascii="Times New Roman" w:hAnsi="Times New Roman" w:cs="Times New Roman"/>
          <w:sz w:val="24"/>
          <w:szCs w:val="24"/>
        </w:rPr>
        <w:t xml:space="preserve"> (OR: 1.020; 1.018-1.022)</w:t>
      </w:r>
      <w:r w:rsidRPr="00B745A7">
        <w:rPr>
          <w:rFonts w:ascii="Times New Roman" w:hAnsi="Times New Roman" w:cs="Times New Roman"/>
          <w:sz w:val="24"/>
          <w:szCs w:val="24"/>
        </w:rPr>
        <w:t xml:space="preserve"> and</w:t>
      </w:r>
      <w:r w:rsidR="00CA0056" w:rsidRPr="00B745A7">
        <w:rPr>
          <w:rFonts w:ascii="Times New Roman" w:hAnsi="Times New Roman" w:cs="Times New Roman"/>
          <w:sz w:val="24"/>
          <w:szCs w:val="24"/>
        </w:rPr>
        <w:t xml:space="preserve"> emergency hospital admission spells (OR: 1.009; 1.007-1.011), but being less likely to have elective hospital admission spells (OR: 0.947; 0.945-0.949)</w:t>
      </w:r>
      <w:r w:rsidR="00C00C82" w:rsidRPr="00B745A7">
        <w:rPr>
          <w:rFonts w:ascii="Times New Roman" w:hAnsi="Times New Roman" w:cs="Times New Roman"/>
          <w:color w:val="FF0000"/>
          <w:sz w:val="24"/>
          <w:szCs w:val="24"/>
        </w:rPr>
        <w:t>.</w:t>
      </w:r>
    </w:p>
    <w:p w14:paraId="67BF7E15" w14:textId="77777777" w:rsidR="00C00C82" w:rsidRPr="00B745A7" w:rsidRDefault="00C00C82" w:rsidP="00AD5F19">
      <w:pPr>
        <w:spacing w:line="480" w:lineRule="auto"/>
        <w:jc w:val="both"/>
        <w:rPr>
          <w:rFonts w:ascii="Times New Roman" w:hAnsi="Times New Roman" w:cs="Times New Roman"/>
          <w:i/>
          <w:sz w:val="24"/>
          <w:szCs w:val="24"/>
        </w:rPr>
      </w:pPr>
      <w:r w:rsidRPr="00B745A7">
        <w:rPr>
          <w:rFonts w:ascii="Times New Roman" w:hAnsi="Times New Roman" w:cs="Times New Roman"/>
          <w:i/>
          <w:sz w:val="24"/>
          <w:szCs w:val="24"/>
        </w:rPr>
        <w:t>Ethnicity</w:t>
      </w:r>
    </w:p>
    <w:p w14:paraId="19A50372" w14:textId="32299BD4" w:rsidR="00CA0056" w:rsidRPr="00B745A7" w:rsidRDefault="00F364A7" w:rsidP="00756CEB">
      <w:pPr>
        <w:spacing w:line="480" w:lineRule="auto"/>
        <w:ind w:firstLine="720"/>
        <w:jc w:val="both"/>
        <w:rPr>
          <w:rFonts w:ascii="Times New Roman" w:hAnsi="Times New Roman" w:cs="Times New Roman"/>
          <w:sz w:val="24"/>
          <w:szCs w:val="24"/>
        </w:rPr>
      </w:pPr>
      <w:r w:rsidRPr="00B745A7">
        <w:rPr>
          <w:rFonts w:ascii="Times New Roman" w:hAnsi="Times New Roman" w:cs="Times New Roman"/>
          <w:sz w:val="24"/>
          <w:szCs w:val="24"/>
        </w:rPr>
        <w:t xml:space="preserve">Compared to those of White ethnic background, </w:t>
      </w:r>
      <w:r w:rsidR="00CA0056" w:rsidRPr="00B745A7">
        <w:rPr>
          <w:rFonts w:ascii="Times New Roman" w:hAnsi="Times New Roman" w:cs="Times New Roman"/>
          <w:sz w:val="24"/>
          <w:szCs w:val="24"/>
        </w:rPr>
        <w:t xml:space="preserve">PLWD from Asian (Early-onset: </w:t>
      </w:r>
      <w:r w:rsidR="00E309CD" w:rsidRPr="00B745A7">
        <w:rPr>
          <w:rFonts w:ascii="Times New Roman" w:hAnsi="Times New Roman" w:cs="Times New Roman"/>
          <w:sz w:val="24"/>
          <w:szCs w:val="24"/>
        </w:rPr>
        <w:t>IRR</w:t>
      </w:r>
      <w:r w:rsidR="00CA0056" w:rsidRPr="00B745A7">
        <w:rPr>
          <w:rFonts w:ascii="Times New Roman" w:hAnsi="Times New Roman" w:cs="Times New Roman"/>
          <w:sz w:val="24"/>
          <w:szCs w:val="24"/>
        </w:rPr>
        <w:t xml:space="preserve">: 1.790; 1.762-1.817; Late-onset: </w:t>
      </w:r>
      <w:r w:rsidR="00E309CD" w:rsidRPr="00B745A7">
        <w:rPr>
          <w:rFonts w:ascii="Times New Roman" w:hAnsi="Times New Roman" w:cs="Times New Roman"/>
          <w:sz w:val="24"/>
          <w:szCs w:val="24"/>
        </w:rPr>
        <w:t>IRR</w:t>
      </w:r>
      <w:r w:rsidR="00CA0056" w:rsidRPr="00B745A7">
        <w:rPr>
          <w:rFonts w:ascii="Times New Roman" w:hAnsi="Times New Roman" w:cs="Times New Roman"/>
          <w:sz w:val="24"/>
          <w:szCs w:val="24"/>
        </w:rPr>
        <w:t xml:space="preserve">: 1.377; 1.371-1.383) and Black (Early-onset: </w:t>
      </w:r>
      <w:r w:rsidR="00E309CD" w:rsidRPr="00B745A7">
        <w:rPr>
          <w:rFonts w:ascii="Times New Roman" w:hAnsi="Times New Roman" w:cs="Times New Roman"/>
          <w:sz w:val="24"/>
          <w:szCs w:val="24"/>
        </w:rPr>
        <w:t>IRR</w:t>
      </w:r>
      <w:r w:rsidR="00CA0056" w:rsidRPr="00B745A7">
        <w:rPr>
          <w:rFonts w:ascii="Times New Roman" w:hAnsi="Times New Roman" w:cs="Times New Roman"/>
          <w:sz w:val="24"/>
          <w:szCs w:val="24"/>
        </w:rPr>
        <w:t xml:space="preserve">: 1.213; 1.191-1.237; Late-onset: </w:t>
      </w:r>
      <w:r w:rsidR="00E309CD" w:rsidRPr="00B745A7">
        <w:rPr>
          <w:rFonts w:ascii="Times New Roman" w:hAnsi="Times New Roman" w:cs="Times New Roman"/>
          <w:sz w:val="24"/>
          <w:szCs w:val="24"/>
        </w:rPr>
        <w:t>IRR</w:t>
      </w:r>
      <w:r w:rsidR="00CA0056" w:rsidRPr="00B745A7">
        <w:rPr>
          <w:rFonts w:ascii="Times New Roman" w:hAnsi="Times New Roman" w:cs="Times New Roman"/>
          <w:sz w:val="24"/>
          <w:szCs w:val="24"/>
        </w:rPr>
        <w:t>: 1.218; 1.213-1.223) ethnic groups had greater GP observations. Those with late-onset from Black ethnic groups also had significantly greater prescriptions for dementia medication (</w:t>
      </w:r>
      <w:r w:rsidR="00E309CD" w:rsidRPr="00B745A7">
        <w:rPr>
          <w:rFonts w:ascii="Times New Roman" w:hAnsi="Times New Roman" w:cs="Times New Roman"/>
          <w:sz w:val="24"/>
          <w:szCs w:val="24"/>
        </w:rPr>
        <w:t>IRR</w:t>
      </w:r>
      <w:r w:rsidR="00CA0056" w:rsidRPr="00B745A7">
        <w:rPr>
          <w:rFonts w:ascii="Times New Roman" w:hAnsi="Times New Roman" w:cs="Times New Roman"/>
          <w:sz w:val="24"/>
          <w:szCs w:val="24"/>
        </w:rPr>
        <w:t>: 1.167; 1.095-1.243)</w:t>
      </w:r>
      <w:r w:rsidRPr="00B745A7">
        <w:rPr>
          <w:rFonts w:ascii="Times New Roman" w:hAnsi="Times New Roman" w:cs="Times New Roman"/>
          <w:sz w:val="24"/>
          <w:szCs w:val="24"/>
        </w:rPr>
        <w:t xml:space="preserve"> than those from a White ethnic background</w:t>
      </w:r>
      <w:r w:rsidR="002434FA" w:rsidRPr="00B745A7">
        <w:rPr>
          <w:rFonts w:ascii="Times New Roman" w:hAnsi="Times New Roman" w:cs="Times New Roman"/>
          <w:sz w:val="24"/>
          <w:szCs w:val="24"/>
        </w:rPr>
        <w:t xml:space="preserve">, but both people from Black (OR: 0.687; 0.611-0.775) and Asian ethnic groups (OR: 0.608; </w:t>
      </w:r>
      <w:r w:rsidR="002434FA" w:rsidRPr="00B745A7">
        <w:rPr>
          <w:rFonts w:ascii="Times New Roman" w:hAnsi="Times New Roman" w:cs="Times New Roman"/>
          <w:sz w:val="24"/>
          <w:szCs w:val="24"/>
        </w:rPr>
        <w:lastRenderedPageBreak/>
        <w:t xml:space="preserve">0.542-0.683), had a significantly lower likelihood of emergency hospital admission spells. In early-onset dementia, </w:t>
      </w:r>
      <w:r w:rsidRPr="00B745A7">
        <w:rPr>
          <w:rFonts w:ascii="Times New Roman" w:hAnsi="Times New Roman" w:cs="Times New Roman"/>
          <w:sz w:val="24"/>
          <w:szCs w:val="24"/>
        </w:rPr>
        <w:t>c</w:t>
      </w:r>
      <w:r w:rsidR="002434FA" w:rsidRPr="00B745A7">
        <w:rPr>
          <w:rFonts w:ascii="Times New Roman" w:hAnsi="Times New Roman" w:cs="Times New Roman"/>
          <w:sz w:val="24"/>
          <w:szCs w:val="24"/>
        </w:rPr>
        <w:t>ompared to those from White ethnic groups, people from Asian (</w:t>
      </w:r>
      <w:r w:rsidR="00E309CD" w:rsidRPr="00B745A7">
        <w:rPr>
          <w:rFonts w:ascii="Times New Roman" w:hAnsi="Times New Roman" w:cs="Times New Roman"/>
          <w:sz w:val="24"/>
          <w:szCs w:val="24"/>
        </w:rPr>
        <w:t>IRR</w:t>
      </w:r>
      <w:r w:rsidR="002434FA" w:rsidRPr="00B745A7">
        <w:rPr>
          <w:rFonts w:ascii="Times New Roman" w:hAnsi="Times New Roman" w:cs="Times New Roman"/>
          <w:sz w:val="24"/>
          <w:szCs w:val="24"/>
        </w:rPr>
        <w:t>: 1.607; 1.578-1.637) and Black (</w:t>
      </w:r>
      <w:r w:rsidR="00E309CD" w:rsidRPr="00B745A7">
        <w:rPr>
          <w:rFonts w:ascii="Times New Roman" w:hAnsi="Times New Roman" w:cs="Times New Roman"/>
          <w:sz w:val="24"/>
          <w:szCs w:val="24"/>
        </w:rPr>
        <w:t>IRR</w:t>
      </w:r>
      <w:r w:rsidR="002434FA" w:rsidRPr="00B745A7">
        <w:rPr>
          <w:rFonts w:ascii="Times New Roman" w:hAnsi="Times New Roman" w:cs="Times New Roman"/>
          <w:sz w:val="24"/>
          <w:szCs w:val="24"/>
        </w:rPr>
        <w:t xml:space="preserve">: 1.117; 1.092-1.142) ethnic groups had significantly higher rates of </w:t>
      </w:r>
      <w:r w:rsidRPr="00B745A7">
        <w:rPr>
          <w:rFonts w:ascii="Times New Roman" w:hAnsi="Times New Roman" w:cs="Times New Roman"/>
          <w:sz w:val="24"/>
          <w:szCs w:val="24"/>
        </w:rPr>
        <w:t xml:space="preserve">non-dementia </w:t>
      </w:r>
      <w:r w:rsidR="002434FA" w:rsidRPr="00B745A7">
        <w:rPr>
          <w:rFonts w:ascii="Times New Roman" w:hAnsi="Times New Roman" w:cs="Times New Roman"/>
          <w:sz w:val="24"/>
          <w:szCs w:val="24"/>
        </w:rPr>
        <w:t>medication</w:t>
      </w:r>
      <w:r w:rsidRPr="00B745A7">
        <w:rPr>
          <w:rFonts w:ascii="Times New Roman" w:hAnsi="Times New Roman" w:cs="Times New Roman"/>
          <w:sz w:val="24"/>
          <w:szCs w:val="24"/>
        </w:rPr>
        <w:t>s</w:t>
      </w:r>
      <w:r w:rsidR="002434FA" w:rsidRPr="00B745A7">
        <w:rPr>
          <w:rFonts w:ascii="Times New Roman" w:hAnsi="Times New Roman" w:cs="Times New Roman"/>
          <w:sz w:val="24"/>
          <w:szCs w:val="24"/>
        </w:rPr>
        <w:t>, whereas PLWD from Mixed/Other ethnic groups has significantly fewer (</w:t>
      </w:r>
      <w:r w:rsidR="00E309CD" w:rsidRPr="00B745A7">
        <w:rPr>
          <w:rFonts w:ascii="Times New Roman" w:hAnsi="Times New Roman" w:cs="Times New Roman"/>
          <w:sz w:val="24"/>
          <w:szCs w:val="24"/>
        </w:rPr>
        <w:t>IRR</w:t>
      </w:r>
      <w:r w:rsidR="002434FA" w:rsidRPr="00B745A7">
        <w:rPr>
          <w:rFonts w:ascii="Times New Roman" w:hAnsi="Times New Roman" w:cs="Times New Roman"/>
          <w:sz w:val="24"/>
          <w:szCs w:val="24"/>
        </w:rPr>
        <w:t>: 0.875; 0.842-0.908).</w:t>
      </w:r>
    </w:p>
    <w:p w14:paraId="2859108F" w14:textId="77777777" w:rsidR="00C00C82" w:rsidRPr="00B745A7" w:rsidRDefault="00C00C82" w:rsidP="00AD5F19">
      <w:pPr>
        <w:spacing w:line="480" w:lineRule="auto"/>
        <w:jc w:val="both"/>
        <w:rPr>
          <w:rFonts w:ascii="Times New Roman" w:hAnsi="Times New Roman" w:cs="Times New Roman"/>
          <w:i/>
          <w:sz w:val="24"/>
          <w:szCs w:val="24"/>
        </w:rPr>
      </w:pPr>
      <w:r w:rsidRPr="00B745A7">
        <w:rPr>
          <w:rFonts w:ascii="Times New Roman" w:hAnsi="Times New Roman" w:cs="Times New Roman"/>
          <w:i/>
          <w:sz w:val="24"/>
          <w:szCs w:val="24"/>
        </w:rPr>
        <w:t>Deprivation</w:t>
      </w:r>
    </w:p>
    <w:p w14:paraId="7088C04F" w14:textId="6BC878DC" w:rsidR="00C0695F" w:rsidRPr="00B745A7" w:rsidRDefault="00C37D2E" w:rsidP="00756CEB">
      <w:pPr>
        <w:spacing w:line="480" w:lineRule="auto"/>
        <w:ind w:firstLine="720"/>
        <w:jc w:val="both"/>
        <w:rPr>
          <w:rFonts w:ascii="Times New Roman" w:hAnsi="Times New Roman" w:cs="Times New Roman"/>
          <w:color w:val="FF0000"/>
          <w:sz w:val="24"/>
          <w:szCs w:val="24"/>
        </w:rPr>
      </w:pPr>
      <w:r w:rsidRPr="00B745A7">
        <w:rPr>
          <w:rFonts w:ascii="Times New Roman" w:hAnsi="Times New Roman" w:cs="Times New Roman"/>
          <w:sz w:val="24"/>
          <w:szCs w:val="24"/>
        </w:rPr>
        <w:t xml:space="preserve">Compared to PLWD from the least deprived quintile (Quintile 5), those </w:t>
      </w:r>
      <w:r w:rsidR="00F364A7" w:rsidRPr="00B745A7">
        <w:rPr>
          <w:rFonts w:ascii="Times New Roman" w:hAnsi="Times New Roman" w:cs="Times New Roman"/>
          <w:sz w:val="24"/>
          <w:szCs w:val="24"/>
        </w:rPr>
        <w:t xml:space="preserve">in </w:t>
      </w:r>
      <w:r w:rsidR="00C51BDF" w:rsidRPr="00B745A7">
        <w:rPr>
          <w:rFonts w:ascii="Times New Roman" w:hAnsi="Times New Roman" w:cs="Times New Roman"/>
          <w:sz w:val="24"/>
          <w:szCs w:val="24"/>
        </w:rPr>
        <w:t xml:space="preserve">the most deprived </w:t>
      </w:r>
      <w:r w:rsidR="00F364A7" w:rsidRPr="00B745A7">
        <w:rPr>
          <w:rFonts w:ascii="Times New Roman" w:hAnsi="Times New Roman" w:cs="Times New Roman"/>
          <w:sz w:val="24"/>
          <w:szCs w:val="24"/>
        </w:rPr>
        <w:t xml:space="preserve">quintile (Quintile 1) </w:t>
      </w:r>
      <w:r w:rsidR="00C51BDF" w:rsidRPr="00B745A7">
        <w:rPr>
          <w:rFonts w:ascii="Times New Roman" w:hAnsi="Times New Roman" w:cs="Times New Roman"/>
          <w:sz w:val="24"/>
          <w:szCs w:val="24"/>
        </w:rPr>
        <w:t xml:space="preserve">had significantly higher rates of GP observations (Early-onset: </w:t>
      </w:r>
      <w:r w:rsidR="00E309CD" w:rsidRPr="00B745A7">
        <w:rPr>
          <w:rFonts w:ascii="Times New Roman" w:hAnsi="Times New Roman" w:cs="Times New Roman"/>
          <w:sz w:val="24"/>
          <w:szCs w:val="24"/>
        </w:rPr>
        <w:t>IRR</w:t>
      </w:r>
      <w:r w:rsidR="00C51BDF" w:rsidRPr="00B745A7">
        <w:rPr>
          <w:rFonts w:ascii="Times New Roman" w:hAnsi="Times New Roman" w:cs="Times New Roman"/>
          <w:sz w:val="24"/>
          <w:szCs w:val="24"/>
        </w:rPr>
        <w:t xml:space="preserve">: 1.208; 1.195-1.221; Late-onset: </w:t>
      </w:r>
      <w:r w:rsidR="00E309CD" w:rsidRPr="00B745A7">
        <w:rPr>
          <w:rFonts w:ascii="Times New Roman" w:hAnsi="Times New Roman" w:cs="Times New Roman"/>
          <w:sz w:val="24"/>
          <w:szCs w:val="24"/>
        </w:rPr>
        <w:t>IRR</w:t>
      </w:r>
      <w:r w:rsidR="00C51BDF" w:rsidRPr="00B745A7">
        <w:rPr>
          <w:rFonts w:ascii="Times New Roman" w:hAnsi="Times New Roman" w:cs="Times New Roman"/>
          <w:sz w:val="24"/>
          <w:szCs w:val="24"/>
        </w:rPr>
        <w:t xml:space="preserve">: 1.059; 1.057-1.061) and, in early-onset, had </w:t>
      </w:r>
      <w:r w:rsidR="00967ADA" w:rsidRPr="00B745A7">
        <w:rPr>
          <w:rFonts w:ascii="Times New Roman" w:hAnsi="Times New Roman" w:cs="Times New Roman"/>
          <w:sz w:val="24"/>
          <w:szCs w:val="24"/>
        </w:rPr>
        <w:t xml:space="preserve">65% higher </w:t>
      </w:r>
      <w:r w:rsidR="00C51BDF" w:rsidRPr="00B745A7">
        <w:rPr>
          <w:rFonts w:ascii="Times New Roman" w:hAnsi="Times New Roman" w:cs="Times New Roman"/>
          <w:sz w:val="24"/>
          <w:szCs w:val="24"/>
        </w:rPr>
        <w:t xml:space="preserve">rates of non-dementia medications </w:t>
      </w:r>
      <w:r w:rsidR="00C51BDF" w:rsidRPr="00B745A7">
        <w:rPr>
          <w:rFonts w:ascii="Times New Roman" w:hAnsi="Times New Roman" w:cs="Times New Roman"/>
          <w:b/>
          <w:sz w:val="24"/>
          <w:szCs w:val="24"/>
        </w:rPr>
        <w:t>(</w:t>
      </w:r>
      <w:r w:rsidR="00E309CD" w:rsidRPr="00B745A7">
        <w:rPr>
          <w:rFonts w:ascii="Times New Roman" w:hAnsi="Times New Roman" w:cs="Times New Roman"/>
          <w:sz w:val="24"/>
          <w:szCs w:val="24"/>
        </w:rPr>
        <w:t>IRR</w:t>
      </w:r>
      <w:r w:rsidR="00C51BDF" w:rsidRPr="00B745A7">
        <w:rPr>
          <w:rFonts w:ascii="Times New Roman" w:hAnsi="Times New Roman" w:cs="Times New Roman"/>
          <w:sz w:val="24"/>
          <w:szCs w:val="24"/>
        </w:rPr>
        <w:t>: 1.648; 1.626-1.670) and, in late-onset higher rates of dementia medication prescriptions (</w:t>
      </w:r>
      <w:r w:rsidR="00E309CD" w:rsidRPr="00B745A7">
        <w:rPr>
          <w:rFonts w:ascii="Times New Roman" w:hAnsi="Times New Roman" w:cs="Times New Roman"/>
          <w:sz w:val="24"/>
          <w:szCs w:val="24"/>
        </w:rPr>
        <w:t>IRR</w:t>
      </w:r>
      <w:r w:rsidR="00C51BDF" w:rsidRPr="00B745A7">
        <w:rPr>
          <w:rFonts w:ascii="Times New Roman" w:hAnsi="Times New Roman" w:cs="Times New Roman"/>
          <w:sz w:val="24"/>
          <w:szCs w:val="24"/>
        </w:rPr>
        <w:t xml:space="preserve">: 1.217; 1.184-1.251). In late-onset, compared to the least deprived </w:t>
      </w:r>
      <w:r w:rsidRPr="00B745A7">
        <w:rPr>
          <w:rFonts w:ascii="Times New Roman" w:hAnsi="Times New Roman" w:cs="Times New Roman"/>
          <w:sz w:val="24"/>
          <w:szCs w:val="24"/>
        </w:rPr>
        <w:t>quintile (Quintile 5)</w:t>
      </w:r>
      <w:r w:rsidR="00C51BDF" w:rsidRPr="00B745A7">
        <w:rPr>
          <w:rFonts w:ascii="Times New Roman" w:hAnsi="Times New Roman" w:cs="Times New Roman"/>
          <w:sz w:val="24"/>
          <w:szCs w:val="24"/>
        </w:rPr>
        <w:t xml:space="preserve">, those in </w:t>
      </w:r>
      <w:r w:rsidRPr="00B745A7">
        <w:rPr>
          <w:rFonts w:ascii="Times New Roman" w:hAnsi="Times New Roman" w:cs="Times New Roman"/>
          <w:sz w:val="24"/>
          <w:szCs w:val="24"/>
        </w:rPr>
        <w:t>the most deprived quintile (Quintile 1)</w:t>
      </w:r>
      <w:r w:rsidR="00C51BDF" w:rsidRPr="00B745A7">
        <w:rPr>
          <w:rFonts w:ascii="Times New Roman" w:hAnsi="Times New Roman" w:cs="Times New Roman"/>
          <w:sz w:val="24"/>
          <w:szCs w:val="24"/>
        </w:rPr>
        <w:t xml:space="preserve"> were significantly more likely to be admitted to hospital as an emergency (OR: 1.557; 1.474-1.644), but less likely to attend A&amp;E (OR: 0.880; 0.835-0.926) or have elective hospital admissions (OR: 0.890; 0.856-0.926).</w:t>
      </w:r>
    </w:p>
    <w:p w14:paraId="699C0C6F" w14:textId="77777777" w:rsidR="00C00C82" w:rsidRPr="00B745A7" w:rsidRDefault="00C00C82" w:rsidP="00AD5F19">
      <w:pPr>
        <w:spacing w:line="480" w:lineRule="auto"/>
        <w:jc w:val="both"/>
        <w:rPr>
          <w:rFonts w:ascii="Times New Roman" w:hAnsi="Times New Roman" w:cs="Times New Roman"/>
          <w:i/>
          <w:sz w:val="24"/>
          <w:szCs w:val="24"/>
        </w:rPr>
      </w:pPr>
      <w:r w:rsidRPr="00B745A7">
        <w:rPr>
          <w:rFonts w:ascii="Times New Roman" w:hAnsi="Times New Roman" w:cs="Times New Roman"/>
          <w:i/>
          <w:sz w:val="24"/>
          <w:szCs w:val="24"/>
        </w:rPr>
        <w:t>Urban-Rural GP Classification</w:t>
      </w:r>
    </w:p>
    <w:p w14:paraId="56CF471D" w14:textId="5E589FB0" w:rsidR="00013EF8" w:rsidRPr="00B745A7" w:rsidRDefault="00013EF8" w:rsidP="00756CEB">
      <w:pPr>
        <w:spacing w:line="480" w:lineRule="auto"/>
        <w:ind w:firstLine="720"/>
        <w:jc w:val="both"/>
        <w:rPr>
          <w:rFonts w:ascii="Times New Roman" w:hAnsi="Times New Roman" w:cs="Times New Roman"/>
          <w:color w:val="FF0000"/>
          <w:sz w:val="24"/>
          <w:szCs w:val="24"/>
        </w:rPr>
      </w:pPr>
      <w:r w:rsidRPr="00B745A7">
        <w:rPr>
          <w:rFonts w:ascii="Times New Roman" w:hAnsi="Times New Roman" w:cs="Times New Roman"/>
          <w:sz w:val="24"/>
          <w:szCs w:val="24"/>
        </w:rPr>
        <w:t>Among those with early-onset dementia, people with rural GP practices had significantly fewer GP observations (</w:t>
      </w:r>
      <w:r w:rsidR="00FA2830" w:rsidRPr="00B745A7">
        <w:rPr>
          <w:rFonts w:ascii="Times New Roman" w:hAnsi="Times New Roman" w:cs="Times New Roman"/>
          <w:sz w:val="24"/>
          <w:szCs w:val="24"/>
        </w:rPr>
        <w:t>IRR</w:t>
      </w:r>
      <w:r w:rsidRPr="00B745A7">
        <w:rPr>
          <w:rFonts w:ascii="Times New Roman" w:hAnsi="Times New Roman" w:cs="Times New Roman"/>
          <w:sz w:val="24"/>
          <w:szCs w:val="24"/>
        </w:rPr>
        <w:t>: 0.909; 0.900-0.919) than urban. In later-onset dementia, A&amp;E attendances were more likely among PLWD with rural GPs (OR: 1.204; 1.156-1.253), but emergency hospital admission spells were less likely (OR: 0.820; 0.787-0.855).</w:t>
      </w:r>
    </w:p>
    <w:p w14:paraId="6EC858EB" w14:textId="77777777" w:rsidR="00C00C82" w:rsidRPr="00B745A7" w:rsidRDefault="00C00C82" w:rsidP="00AD5F19">
      <w:pPr>
        <w:spacing w:line="480" w:lineRule="auto"/>
        <w:jc w:val="both"/>
        <w:rPr>
          <w:rFonts w:ascii="Times New Roman" w:hAnsi="Times New Roman" w:cs="Times New Roman"/>
          <w:i/>
          <w:sz w:val="24"/>
          <w:szCs w:val="24"/>
        </w:rPr>
      </w:pPr>
      <w:r w:rsidRPr="00B745A7">
        <w:rPr>
          <w:rFonts w:ascii="Times New Roman" w:hAnsi="Times New Roman" w:cs="Times New Roman"/>
          <w:i/>
          <w:sz w:val="24"/>
          <w:szCs w:val="24"/>
        </w:rPr>
        <w:t>GP Region</w:t>
      </w:r>
    </w:p>
    <w:bookmarkEnd w:id="31"/>
    <w:p w14:paraId="04A775EC" w14:textId="6BCFAEEF" w:rsidR="00916DC7" w:rsidRPr="00B745A7" w:rsidRDefault="00B234BB" w:rsidP="00756CEB">
      <w:pPr>
        <w:spacing w:line="480" w:lineRule="auto"/>
        <w:ind w:firstLine="720"/>
        <w:rPr>
          <w:rFonts w:ascii="Times New Roman" w:hAnsi="Times New Roman" w:cs="Times New Roman"/>
        </w:rPr>
        <w:sectPr w:rsidR="00916DC7" w:rsidRPr="00B745A7" w:rsidSect="001D4837">
          <w:footerReference w:type="default" r:id="rId8"/>
          <w:pgSz w:w="11906" w:h="16838"/>
          <w:pgMar w:top="1440" w:right="1440" w:bottom="1440" w:left="1440" w:header="708" w:footer="708" w:gutter="0"/>
          <w:cols w:space="708"/>
          <w:docGrid w:linePitch="360"/>
        </w:sectPr>
      </w:pPr>
      <w:r w:rsidRPr="00B745A7">
        <w:rPr>
          <w:rFonts w:ascii="Times New Roman" w:hAnsi="Times New Roman" w:cs="Times New Roman"/>
          <w:sz w:val="24"/>
          <w:szCs w:val="24"/>
        </w:rPr>
        <w:t xml:space="preserve">Compared to the North East GP region, PLWD registered with GPs in </w:t>
      </w:r>
      <w:r w:rsidR="007257CC" w:rsidRPr="00B745A7">
        <w:rPr>
          <w:rFonts w:ascii="Times New Roman" w:hAnsi="Times New Roman" w:cs="Times New Roman"/>
          <w:sz w:val="24"/>
          <w:szCs w:val="24"/>
        </w:rPr>
        <w:t xml:space="preserve">other </w:t>
      </w:r>
      <w:r w:rsidRPr="00B745A7">
        <w:rPr>
          <w:rFonts w:ascii="Times New Roman" w:hAnsi="Times New Roman" w:cs="Times New Roman"/>
          <w:sz w:val="24"/>
          <w:szCs w:val="24"/>
        </w:rPr>
        <w:t xml:space="preserve">regions had significantly fewer GP contacts but </w:t>
      </w:r>
      <w:r w:rsidR="007257CC" w:rsidRPr="00B745A7">
        <w:rPr>
          <w:rFonts w:ascii="Times New Roman" w:hAnsi="Times New Roman" w:cs="Times New Roman"/>
          <w:sz w:val="24"/>
          <w:szCs w:val="24"/>
        </w:rPr>
        <w:t xml:space="preserve">more </w:t>
      </w:r>
      <w:r w:rsidRPr="00B745A7">
        <w:rPr>
          <w:rFonts w:ascii="Times New Roman" w:hAnsi="Times New Roman" w:cs="Times New Roman"/>
          <w:sz w:val="24"/>
          <w:szCs w:val="24"/>
        </w:rPr>
        <w:t xml:space="preserve">non-dementia medications. </w:t>
      </w:r>
      <w:bookmarkStart w:id="33" w:name="_Hlk106276897"/>
      <w:r w:rsidRPr="00B745A7">
        <w:rPr>
          <w:rFonts w:ascii="Times New Roman" w:hAnsi="Times New Roman" w:cs="Times New Roman"/>
          <w:sz w:val="24"/>
          <w:szCs w:val="24"/>
        </w:rPr>
        <w:t xml:space="preserve">In late-onset, </w:t>
      </w:r>
      <w:r w:rsidR="00C37D2E" w:rsidRPr="00B745A7">
        <w:rPr>
          <w:rFonts w:ascii="Times New Roman" w:hAnsi="Times New Roman" w:cs="Times New Roman"/>
          <w:sz w:val="24"/>
          <w:szCs w:val="24"/>
        </w:rPr>
        <w:t xml:space="preserve">all </w:t>
      </w:r>
      <w:r w:rsidRPr="00B745A7">
        <w:rPr>
          <w:rFonts w:ascii="Times New Roman" w:hAnsi="Times New Roman" w:cs="Times New Roman"/>
          <w:sz w:val="24"/>
          <w:szCs w:val="24"/>
        </w:rPr>
        <w:t>GP regions had significantly greater rates of prescriptions for dementia</w:t>
      </w:r>
      <w:r w:rsidR="00C37D2E" w:rsidRPr="00B745A7">
        <w:rPr>
          <w:rFonts w:ascii="Times New Roman" w:hAnsi="Times New Roman" w:cs="Times New Roman"/>
          <w:sz w:val="24"/>
          <w:szCs w:val="24"/>
        </w:rPr>
        <w:t xml:space="preserve"> medications</w:t>
      </w:r>
      <w:r w:rsidRPr="00B745A7">
        <w:rPr>
          <w:rFonts w:ascii="Times New Roman" w:hAnsi="Times New Roman" w:cs="Times New Roman"/>
          <w:sz w:val="24"/>
          <w:szCs w:val="24"/>
        </w:rPr>
        <w:t xml:space="preserve"> than the </w:t>
      </w:r>
      <w:r w:rsidRPr="00B745A7">
        <w:rPr>
          <w:rFonts w:ascii="Times New Roman" w:hAnsi="Times New Roman" w:cs="Times New Roman"/>
          <w:sz w:val="24"/>
          <w:szCs w:val="24"/>
        </w:rPr>
        <w:lastRenderedPageBreak/>
        <w:t>North East</w:t>
      </w:r>
      <w:r w:rsidR="00C37D2E" w:rsidRPr="00B745A7">
        <w:rPr>
          <w:rFonts w:ascii="Times New Roman" w:hAnsi="Times New Roman" w:cs="Times New Roman"/>
          <w:sz w:val="24"/>
          <w:szCs w:val="24"/>
        </w:rPr>
        <w:t>. Among those with late-onset, PLWD in all GP regions apart from London</w:t>
      </w:r>
      <w:r w:rsidRPr="00B745A7">
        <w:rPr>
          <w:rFonts w:ascii="Times New Roman" w:hAnsi="Times New Roman" w:cs="Times New Roman"/>
          <w:sz w:val="24"/>
          <w:szCs w:val="24"/>
        </w:rPr>
        <w:t xml:space="preserve"> were more likely to attend A&amp;E, but</w:t>
      </w:r>
      <w:r w:rsidR="00C37D2E" w:rsidRPr="00B745A7">
        <w:rPr>
          <w:rFonts w:ascii="Times New Roman" w:hAnsi="Times New Roman" w:cs="Times New Roman"/>
          <w:sz w:val="24"/>
          <w:szCs w:val="24"/>
        </w:rPr>
        <w:t xml:space="preserve"> six of the nine regions were significantly</w:t>
      </w:r>
      <w:r w:rsidRPr="00B745A7">
        <w:rPr>
          <w:rFonts w:ascii="Times New Roman" w:hAnsi="Times New Roman" w:cs="Times New Roman"/>
          <w:sz w:val="24"/>
          <w:szCs w:val="24"/>
        </w:rPr>
        <w:t xml:space="preserve"> less likely to have emergency hospital admissions</w:t>
      </w:r>
      <w:r w:rsidR="00C37D2E" w:rsidRPr="00B745A7">
        <w:rPr>
          <w:rFonts w:ascii="Times New Roman" w:hAnsi="Times New Roman" w:cs="Times New Roman"/>
          <w:sz w:val="24"/>
          <w:szCs w:val="24"/>
        </w:rPr>
        <w:t xml:space="preserve"> than the North East</w:t>
      </w:r>
      <w:r w:rsidRPr="00B745A7">
        <w:rPr>
          <w:rFonts w:ascii="Times New Roman" w:hAnsi="Times New Roman" w:cs="Times New Roman"/>
          <w:sz w:val="24"/>
          <w:szCs w:val="24"/>
        </w:rPr>
        <w:t>.</w:t>
      </w:r>
      <w:bookmarkEnd w:id="33"/>
    </w:p>
    <w:bookmarkEnd w:id="32"/>
    <w:p w14:paraId="1CECC4EA" w14:textId="547E5649" w:rsidR="00821562" w:rsidRPr="00B745A7" w:rsidRDefault="00FD493D" w:rsidP="00AD5F19">
      <w:pPr>
        <w:spacing w:line="480" w:lineRule="auto"/>
        <w:jc w:val="both"/>
        <w:rPr>
          <w:rFonts w:ascii="Arial" w:hAnsi="Arial" w:cs="Arial"/>
          <w:b/>
          <w:i/>
          <w:sz w:val="20"/>
          <w:szCs w:val="20"/>
        </w:rPr>
      </w:pPr>
      <w:r w:rsidRPr="00B745A7">
        <w:rPr>
          <w:rFonts w:ascii="Arial" w:hAnsi="Arial" w:cs="Arial"/>
          <w:b/>
          <w:i/>
          <w:noProof/>
          <w:sz w:val="20"/>
          <w:szCs w:val="20"/>
        </w:rPr>
        <w:lastRenderedPageBreak/>
        <w:drawing>
          <wp:inline distT="0" distB="0" distL="0" distR="0" wp14:anchorId="0DC11E3E" wp14:editId="6E3ECD8D">
            <wp:extent cx="8863330" cy="41471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4.JPG"/>
                    <pic:cNvPicPr/>
                  </pic:nvPicPr>
                  <pic:blipFill>
                    <a:blip r:embed="rId9">
                      <a:extLst>
                        <a:ext uri="{28A0092B-C50C-407E-A947-70E740481C1C}">
                          <a14:useLocalDpi xmlns:a14="http://schemas.microsoft.com/office/drawing/2010/main" val="0"/>
                        </a:ext>
                      </a:extLst>
                    </a:blip>
                    <a:stretch>
                      <a:fillRect/>
                    </a:stretch>
                  </pic:blipFill>
                  <pic:spPr>
                    <a:xfrm>
                      <a:off x="0" y="0"/>
                      <a:ext cx="8863330" cy="4147185"/>
                    </a:xfrm>
                    <a:prstGeom prst="rect">
                      <a:avLst/>
                    </a:prstGeom>
                  </pic:spPr>
                </pic:pic>
              </a:graphicData>
            </a:graphic>
          </wp:inline>
        </w:drawing>
      </w:r>
    </w:p>
    <w:p w14:paraId="27378DD4" w14:textId="2DFDB15B" w:rsidR="00273BA3" w:rsidRPr="00B745A7" w:rsidRDefault="00821562" w:rsidP="00AD5F19">
      <w:pPr>
        <w:spacing w:line="480" w:lineRule="auto"/>
        <w:jc w:val="both"/>
        <w:rPr>
          <w:rFonts w:ascii="Times New Roman" w:hAnsi="Times New Roman" w:cs="Times New Roman"/>
          <w:sz w:val="24"/>
          <w:szCs w:val="24"/>
        </w:rPr>
      </w:pPr>
      <w:r w:rsidRPr="00B745A7">
        <w:rPr>
          <w:rFonts w:ascii="Times New Roman" w:hAnsi="Times New Roman" w:cs="Times New Roman"/>
          <w:sz w:val="24"/>
          <w:szCs w:val="24"/>
        </w:rPr>
        <w:t xml:space="preserve">Figure 2: Regression coefficients for healthcare use among </w:t>
      </w:r>
      <w:r w:rsidR="00FD493D" w:rsidRPr="00B745A7">
        <w:rPr>
          <w:rFonts w:ascii="Times New Roman" w:hAnsi="Times New Roman" w:cs="Times New Roman"/>
          <w:sz w:val="24"/>
          <w:szCs w:val="24"/>
        </w:rPr>
        <w:t>late</w:t>
      </w:r>
      <w:r w:rsidRPr="00B745A7">
        <w:rPr>
          <w:rFonts w:ascii="Times New Roman" w:hAnsi="Times New Roman" w:cs="Times New Roman"/>
          <w:sz w:val="24"/>
          <w:szCs w:val="24"/>
        </w:rPr>
        <w:t xml:space="preserve">-onset dementia sample population, by demographic and socio-economic factors </w:t>
      </w:r>
      <w:r w:rsidR="00273BA3" w:rsidRPr="00B745A7">
        <w:rPr>
          <w:rFonts w:ascii="Times New Roman" w:hAnsi="Times New Roman" w:cs="Times New Roman"/>
          <w:sz w:val="24"/>
          <w:szCs w:val="24"/>
        </w:rPr>
        <w:br w:type="page"/>
      </w:r>
    </w:p>
    <w:p w14:paraId="39FC43D1" w14:textId="14413E51" w:rsidR="00821562" w:rsidRPr="00B745A7" w:rsidRDefault="00FD493D" w:rsidP="00AD5F19">
      <w:pPr>
        <w:spacing w:line="480" w:lineRule="auto"/>
        <w:jc w:val="both"/>
        <w:rPr>
          <w:rFonts w:ascii="Times New Roman" w:hAnsi="Times New Roman" w:cs="Times New Roman"/>
          <w:b/>
          <w:i/>
          <w:sz w:val="24"/>
          <w:szCs w:val="24"/>
        </w:rPr>
      </w:pPr>
      <w:r w:rsidRPr="00B745A7">
        <w:rPr>
          <w:rFonts w:ascii="Times New Roman" w:hAnsi="Times New Roman" w:cs="Times New Roman"/>
          <w:b/>
          <w:i/>
          <w:noProof/>
          <w:sz w:val="24"/>
          <w:szCs w:val="24"/>
        </w:rPr>
        <w:lastRenderedPageBreak/>
        <w:drawing>
          <wp:inline distT="0" distB="0" distL="0" distR="0" wp14:anchorId="260076E7" wp14:editId="00650555">
            <wp:extent cx="8863330" cy="41090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5.JPG"/>
                    <pic:cNvPicPr/>
                  </pic:nvPicPr>
                  <pic:blipFill>
                    <a:blip r:embed="rId10">
                      <a:extLst>
                        <a:ext uri="{28A0092B-C50C-407E-A947-70E740481C1C}">
                          <a14:useLocalDpi xmlns:a14="http://schemas.microsoft.com/office/drawing/2010/main" val="0"/>
                        </a:ext>
                      </a:extLst>
                    </a:blip>
                    <a:stretch>
                      <a:fillRect/>
                    </a:stretch>
                  </pic:blipFill>
                  <pic:spPr>
                    <a:xfrm>
                      <a:off x="0" y="0"/>
                      <a:ext cx="8863330" cy="4109085"/>
                    </a:xfrm>
                    <a:prstGeom prst="rect">
                      <a:avLst/>
                    </a:prstGeom>
                  </pic:spPr>
                </pic:pic>
              </a:graphicData>
            </a:graphic>
          </wp:inline>
        </w:drawing>
      </w:r>
    </w:p>
    <w:p w14:paraId="67746808" w14:textId="5CED07E5" w:rsidR="00821562" w:rsidRPr="00B745A7" w:rsidRDefault="00821562" w:rsidP="00AD5F19">
      <w:pPr>
        <w:spacing w:line="480" w:lineRule="auto"/>
        <w:jc w:val="both"/>
        <w:rPr>
          <w:rFonts w:ascii="Times New Roman" w:hAnsi="Times New Roman" w:cs="Times New Roman"/>
          <w:b/>
          <w:i/>
          <w:sz w:val="24"/>
          <w:szCs w:val="24"/>
        </w:rPr>
      </w:pPr>
      <w:r w:rsidRPr="00B745A7">
        <w:rPr>
          <w:rFonts w:ascii="Times New Roman" w:hAnsi="Times New Roman" w:cs="Times New Roman"/>
          <w:sz w:val="24"/>
          <w:szCs w:val="24"/>
        </w:rPr>
        <w:t xml:space="preserve">Figure 3: Regression coefficients for healthcare use among </w:t>
      </w:r>
      <w:r w:rsidR="00FD493D" w:rsidRPr="00B745A7">
        <w:rPr>
          <w:rFonts w:ascii="Times New Roman" w:hAnsi="Times New Roman" w:cs="Times New Roman"/>
          <w:sz w:val="24"/>
          <w:szCs w:val="24"/>
        </w:rPr>
        <w:t>later</w:t>
      </w:r>
      <w:r w:rsidRPr="00B745A7">
        <w:rPr>
          <w:rFonts w:ascii="Times New Roman" w:hAnsi="Times New Roman" w:cs="Times New Roman"/>
          <w:sz w:val="24"/>
          <w:szCs w:val="24"/>
        </w:rPr>
        <w:t xml:space="preserve">-onset dementia sample population, by </w:t>
      </w:r>
      <w:r w:rsidR="002E5628" w:rsidRPr="00B745A7">
        <w:rPr>
          <w:rFonts w:ascii="Times New Roman" w:hAnsi="Times New Roman" w:cs="Times New Roman"/>
          <w:sz w:val="24"/>
          <w:szCs w:val="24"/>
        </w:rPr>
        <w:t xml:space="preserve">spatial </w:t>
      </w:r>
      <w:r w:rsidRPr="00B745A7">
        <w:rPr>
          <w:rFonts w:ascii="Times New Roman" w:hAnsi="Times New Roman" w:cs="Times New Roman"/>
          <w:sz w:val="24"/>
          <w:szCs w:val="24"/>
        </w:rPr>
        <w:t>factors</w:t>
      </w:r>
    </w:p>
    <w:p w14:paraId="0277C38A" w14:textId="7199F361" w:rsidR="00AA665A" w:rsidRPr="00B745A7" w:rsidRDefault="00AA665A" w:rsidP="00AD5F19">
      <w:pPr>
        <w:spacing w:line="480" w:lineRule="auto"/>
        <w:jc w:val="both"/>
        <w:rPr>
          <w:rFonts w:ascii="Times New Roman" w:hAnsi="Times New Roman" w:cs="Times New Roman"/>
          <w:b/>
          <w:bCs/>
          <w:sz w:val="24"/>
          <w:szCs w:val="24"/>
        </w:rPr>
      </w:pPr>
      <w:bookmarkStart w:id="34" w:name="_Hlk97718052"/>
      <w:r w:rsidRPr="00B745A7">
        <w:rPr>
          <w:rFonts w:ascii="Times New Roman" w:hAnsi="Times New Roman" w:cs="Times New Roman"/>
          <w:b/>
          <w:bCs/>
          <w:sz w:val="24"/>
          <w:szCs w:val="24"/>
        </w:rPr>
        <w:t>Discussion</w:t>
      </w:r>
    </w:p>
    <w:p w14:paraId="5C7967B0" w14:textId="371E01D8" w:rsidR="00D264A6" w:rsidRPr="00B745A7" w:rsidRDefault="00D264A6" w:rsidP="00756CEB">
      <w:pPr>
        <w:spacing w:line="480" w:lineRule="auto"/>
        <w:ind w:firstLine="720"/>
        <w:jc w:val="both"/>
        <w:rPr>
          <w:rFonts w:ascii="Times New Roman" w:hAnsi="Times New Roman" w:cs="Times New Roman"/>
          <w:sz w:val="24"/>
          <w:szCs w:val="24"/>
        </w:rPr>
      </w:pPr>
      <w:bookmarkStart w:id="35" w:name="_Hlk97645670"/>
      <w:r w:rsidRPr="00B745A7">
        <w:rPr>
          <w:rFonts w:ascii="Times New Roman" w:hAnsi="Times New Roman" w:cs="Times New Roman"/>
          <w:sz w:val="24"/>
          <w:szCs w:val="24"/>
        </w:rPr>
        <w:t xml:space="preserve">Our study is one of the first to use large-scale EHR to </w:t>
      </w:r>
      <w:r w:rsidR="00B1702B" w:rsidRPr="00B745A7">
        <w:rPr>
          <w:rFonts w:ascii="Times New Roman" w:hAnsi="Times New Roman" w:cs="Times New Roman"/>
          <w:sz w:val="24"/>
          <w:szCs w:val="24"/>
        </w:rPr>
        <w:t xml:space="preserve">document </w:t>
      </w:r>
      <w:r w:rsidRPr="00B745A7">
        <w:rPr>
          <w:rFonts w:ascii="Times New Roman" w:hAnsi="Times New Roman" w:cs="Times New Roman"/>
          <w:sz w:val="24"/>
          <w:szCs w:val="24"/>
        </w:rPr>
        <w:t xml:space="preserve">social and spatial </w:t>
      </w:r>
      <w:r w:rsidR="00B968B2" w:rsidRPr="00B745A7">
        <w:rPr>
          <w:rFonts w:ascii="Times New Roman" w:hAnsi="Times New Roman" w:cs="Times New Roman"/>
          <w:sz w:val="24"/>
          <w:szCs w:val="24"/>
        </w:rPr>
        <w:t xml:space="preserve">variation </w:t>
      </w:r>
      <w:r w:rsidRPr="00B745A7">
        <w:rPr>
          <w:rFonts w:ascii="Times New Roman" w:hAnsi="Times New Roman" w:cs="Times New Roman"/>
          <w:sz w:val="24"/>
          <w:szCs w:val="24"/>
        </w:rPr>
        <w:t xml:space="preserve">in </w:t>
      </w:r>
      <w:r w:rsidR="00B1702B" w:rsidRPr="00B745A7">
        <w:rPr>
          <w:rFonts w:ascii="Times New Roman" w:hAnsi="Times New Roman" w:cs="Times New Roman"/>
          <w:sz w:val="24"/>
          <w:szCs w:val="24"/>
        </w:rPr>
        <w:t xml:space="preserve">who is accessing and receiving diverse types of </w:t>
      </w:r>
      <w:r w:rsidRPr="00B745A7">
        <w:rPr>
          <w:rFonts w:ascii="Times New Roman" w:hAnsi="Times New Roman" w:cs="Times New Roman"/>
          <w:sz w:val="24"/>
          <w:szCs w:val="24"/>
        </w:rPr>
        <w:t xml:space="preserve">healthcare among PLWD. Men and older PLWD were more likely to use primary and emergency secondary healthcare. PLWD from Asian and Black ethnic groups had greater GP contact and in later-onset </w:t>
      </w:r>
      <w:r w:rsidR="00B1702B" w:rsidRPr="00B745A7">
        <w:rPr>
          <w:rFonts w:ascii="Times New Roman" w:hAnsi="Times New Roman" w:cs="Times New Roman"/>
          <w:sz w:val="24"/>
          <w:szCs w:val="24"/>
        </w:rPr>
        <w:t xml:space="preserve">Dementia </w:t>
      </w:r>
      <w:r w:rsidRPr="00B745A7">
        <w:rPr>
          <w:rFonts w:ascii="Times New Roman" w:hAnsi="Times New Roman" w:cs="Times New Roman"/>
          <w:sz w:val="24"/>
          <w:szCs w:val="24"/>
        </w:rPr>
        <w:t xml:space="preserve">were less likely to have emergency hospital admissions. Increasing </w:t>
      </w:r>
      <w:r w:rsidR="00B1702B" w:rsidRPr="00B745A7">
        <w:rPr>
          <w:rFonts w:ascii="Times New Roman" w:hAnsi="Times New Roman" w:cs="Times New Roman"/>
          <w:sz w:val="24"/>
          <w:szCs w:val="24"/>
        </w:rPr>
        <w:t xml:space="preserve">socioeconomic </w:t>
      </w:r>
      <w:r w:rsidRPr="00B745A7">
        <w:rPr>
          <w:rFonts w:ascii="Times New Roman" w:hAnsi="Times New Roman" w:cs="Times New Roman"/>
          <w:sz w:val="24"/>
          <w:szCs w:val="24"/>
        </w:rPr>
        <w:t xml:space="preserve">deprivation is also associated with greater GP contact, </w:t>
      </w:r>
      <w:r w:rsidR="00B1702B" w:rsidRPr="00B745A7">
        <w:rPr>
          <w:rFonts w:ascii="Times New Roman" w:hAnsi="Times New Roman" w:cs="Times New Roman"/>
          <w:sz w:val="24"/>
          <w:szCs w:val="24"/>
        </w:rPr>
        <w:t>emergency</w:t>
      </w:r>
      <w:r w:rsidRPr="00B745A7">
        <w:rPr>
          <w:rFonts w:ascii="Times New Roman" w:hAnsi="Times New Roman" w:cs="Times New Roman"/>
          <w:sz w:val="24"/>
          <w:szCs w:val="24"/>
        </w:rPr>
        <w:t xml:space="preserve"> hospital admissions and medications. PLWD with rural GPs had less GP contact </w:t>
      </w:r>
      <w:r w:rsidR="00B1702B" w:rsidRPr="00B745A7">
        <w:rPr>
          <w:rFonts w:ascii="Times New Roman" w:hAnsi="Times New Roman" w:cs="Times New Roman"/>
          <w:sz w:val="24"/>
          <w:szCs w:val="24"/>
        </w:rPr>
        <w:t xml:space="preserve">than individuals in urban areas </w:t>
      </w:r>
      <w:r w:rsidRPr="00B745A7">
        <w:rPr>
          <w:rFonts w:ascii="Times New Roman" w:hAnsi="Times New Roman" w:cs="Times New Roman"/>
          <w:sz w:val="24"/>
          <w:szCs w:val="24"/>
        </w:rPr>
        <w:t>and though</w:t>
      </w:r>
      <w:r w:rsidR="00B1702B" w:rsidRPr="00B745A7">
        <w:rPr>
          <w:rFonts w:ascii="Times New Roman" w:hAnsi="Times New Roman" w:cs="Times New Roman"/>
          <w:sz w:val="24"/>
          <w:szCs w:val="24"/>
        </w:rPr>
        <w:t xml:space="preserve"> they</w:t>
      </w:r>
      <w:r w:rsidRPr="00B745A7">
        <w:rPr>
          <w:rFonts w:ascii="Times New Roman" w:hAnsi="Times New Roman" w:cs="Times New Roman"/>
          <w:sz w:val="24"/>
          <w:szCs w:val="24"/>
        </w:rPr>
        <w:t xml:space="preserve"> </w:t>
      </w:r>
      <w:r w:rsidR="00B1702B" w:rsidRPr="00B745A7">
        <w:rPr>
          <w:rFonts w:ascii="Times New Roman" w:hAnsi="Times New Roman" w:cs="Times New Roman"/>
          <w:sz w:val="24"/>
          <w:szCs w:val="24"/>
        </w:rPr>
        <w:t xml:space="preserve">were </w:t>
      </w:r>
      <w:r w:rsidRPr="00B745A7">
        <w:rPr>
          <w:rFonts w:ascii="Times New Roman" w:hAnsi="Times New Roman" w:cs="Times New Roman"/>
          <w:sz w:val="24"/>
          <w:szCs w:val="24"/>
        </w:rPr>
        <w:t xml:space="preserve">more likely to attend A&amp;E, were </w:t>
      </w:r>
      <w:r w:rsidR="00B1702B" w:rsidRPr="00B745A7">
        <w:rPr>
          <w:rFonts w:ascii="Times New Roman" w:hAnsi="Times New Roman" w:cs="Times New Roman"/>
          <w:sz w:val="24"/>
          <w:szCs w:val="24"/>
        </w:rPr>
        <w:t xml:space="preserve">also less </w:t>
      </w:r>
      <w:r w:rsidRPr="00B745A7">
        <w:rPr>
          <w:rFonts w:ascii="Times New Roman" w:hAnsi="Times New Roman" w:cs="Times New Roman"/>
          <w:sz w:val="24"/>
          <w:szCs w:val="24"/>
        </w:rPr>
        <w:t>likely to have emergency hospital admissions. The North East region had fewest GP contacts, varied medications and likelihood of emergency healthcare use.</w:t>
      </w:r>
    </w:p>
    <w:p w14:paraId="616DEA41" w14:textId="401F639F" w:rsidR="00D264A6" w:rsidRPr="00B745A7" w:rsidRDefault="00D264A6" w:rsidP="00AD5F19">
      <w:pPr>
        <w:spacing w:line="480" w:lineRule="auto"/>
        <w:ind w:firstLine="720"/>
        <w:jc w:val="both"/>
        <w:rPr>
          <w:rFonts w:ascii="Times New Roman" w:hAnsi="Times New Roman" w:cs="Times New Roman"/>
          <w:sz w:val="24"/>
          <w:szCs w:val="24"/>
        </w:rPr>
      </w:pPr>
      <w:bookmarkStart w:id="36" w:name="_Hlk97645678"/>
      <w:bookmarkEnd w:id="35"/>
      <w:r w:rsidRPr="00B745A7">
        <w:rPr>
          <w:rFonts w:ascii="Times New Roman" w:hAnsi="Times New Roman" w:cs="Times New Roman"/>
          <w:sz w:val="24"/>
          <w:szCs w:val="24"/>
        </w:rPr>
        <w:t xml:space="preserve">We found men </w:t>
      </w:r>
      <w:r w:rsidR="00DA6CE7" w:rsidRPr="00B745A7">
        <w:rPr>
          <w:rFonts w:ascii="Times New Roman" w:hAnsi="Times New Roman" w:cs="Times New Roman"/>
          <w:sz w:val="24"/>
          <w:szCs w:val="24"/>
        </w:rPr>
        <w:t xml:space="preserve">had </w:t>
      </w:r>
      <w:r w:rsidRPr="00B745A7">
        <w:rPr>
          <w:rFonts w:ascii="Times New Roman" w:hAnsi="Times New Roman" w:cs="Times New Roman"/>
          <w:sz w:val="24"/>
          <w:szCs w:val="24"/>
        </w:rPr>
        <w:t xml:space="preserve">more GP contact, non-dementia medications and </w:t>
      </w:r>
      <w:r w:rsidR="00616000" w:rsidRPr="00B745A7">
        <w:rPr>
          <w:rFonts w:ascii="Times New Roman" w:hAnsi="Times New Roman" w:cs="Times New Roman"/>
          <w:sz w:val="24"/>
          <w:szCs w:val="24"/>
        </w:rPr>
        <w:t xml:space="preserve">both emergency and elective </w:t>
      </w:r>
      <w:r w:rsidRPr="00B745A7">
        <w:rPr>
          <w:rFonts w:ascii="Times New Roman" w:hAnsi="Times New Roman" w:cs="Times New Roman"/>
          <w:sz w:val="24"/>
          <w:szCs w:val="24"/>
        </w:rPr>
        <w:t>hospital admissions. Higher rates of non-dementia medications among men is a finding consistent with higher levels of severe comorbidities and severe dementia symptoms among men (</w:t>
      </w:r>
      <w:proofErr w:type="spellStart"/>
      <w:r w:rsidR="000A15BE" w:rsidRPr="00B745A7">
        <w:rPr>
          <w:rFonts w:ascii="Times New Roman" w:hAnsi="Times New Roman" w:cs="Times New Roman"/>
          <w:sz w:val="24"/>
          <w:szCs w:val="24"/>
        </w:rPr>
        <w:t>Gambassi</w:t>
      </w:r>
      <w:proofErr w:type="spellEnd"/>
      <w:r w:rsidR="000A15BE" w:rsidRPr="00B745A7">
        <w:rPr>
          <w:rFonts w:ascii="Times New Roman" w:hAnsi="Times New Roman" w:cs="Times New Roman"/>
          <w:sz w:val="24"/>
          <w:szCs w:val="24"/>
        </w:rPr>
        <w:t xml:space="preserve"> et al., 1999</w:t>
      </w:r>
      <w:r w:rsidRPr="00B745A7">
        <w:rPr>
          <w:rFonts w:ascii="Times New Roman" w:hAnsi="Times New Roman" w:cs="Times New Roman"/>
          <w:sz w:val="24"/>
          <w:szCs w:val="24"/>
        </w:rPr>
        <w:t xml:space="preserve">; </w:t>
      </w:r>
      <w:proofErr w:type="spellStart"/>
      <w:r w:rsidR="000A15BE" w:rsidRPr="00B745A7">
        <w:rPr>
          <w:rFonts w:ascii="Times New Roman" w:hAnsi="Times New Roman" w:cs="Times New Roman"/>
          <w:sz w:val="24"/>
          <w:szCs w:val="24"/>
        </w:rPr>
        <w:t>Lyketsos</w:t>
      </w:r>
      <w:proofErr w:type="spellEnd"/>
      <w:r w:rsidR="000A15BE" w:rsidRPr="00B745A7">
        <w:rPr>
          <w:rFonts w:ascii="Times New Roman" w:hAnsi="Times New Roman" w:cs="Times New Roman"/>
          <w:sz w:val="24"/>
          <w:szCs w:val="24"/>
        </w:rPr>
        <w:t xml:space="preserve"> et al., 1999</w:t>
      </w:r>
      <w:r w:rsidRPr="00B745A7">
        <w:rPr>
          <w:rFonts w:ascii="Times New Roman" w:hAnsi="Times New Roman" w:cs="Times New Roman"/>
          <w:sz w:val="24"/>
          <w:szCs w:val="24"/>
        </w:rPr>
        <w:t xml:space="preserve">; </w:t>
      </w:r>
      <w:proofErr w:type="spellStart"/>
      <w:r w:rsidR="000A15BE" w:rsidRPr="00B745A7">
        <w:rPr>
          <w:rFonts w:ascii="Times New Roman" w:hAnsi="Times New Roman" w:cs="Times New Roman"/>
          <w:sz w:val="24"/>
          <w:szCs w:val="24"/>
        </w:rPr>
        <w:t>Lovheim</w:t>
      </w:r>
      <w:proofErr w:type="spellEnd"/>
      <w:r w:rsidR="000A15BE" w:rsidRPr="00B745A7">
        <w:rPr>
          <w:rFonts w:ascii="Times New Roman" w:hAnsi="Times New Roman" w:cs="Times New Roman"/>
          <w:sz w:val="24"/>
          <w:szCs w:val="24"/>
        </w:rPr>
        <w:t xml:space="preserve"> et al., 2009</w:t>
      </w:r>
      <w:r w:rsidRPr="00B745A7">
        <w:rPr>
          <w:rStyle w:val="Hyperlink"/>
          <w:rFonts w:ascii="Times New Roman" w:hAnsi="Times New Roman" w:cs="Times New Roman"/>
          <w:color w:val="auto"/>
          <w:sz w:val="24"/>
          <w:szCs w:val="24"/>
        </w:rPr>
        <w:t xml:space="preserve">; </w:t>
      </w:r>
      <w:proofErr w:type="spellStart"/>
      <w:r w:rsidR="000A15BE" w:rsidRPr="00B745A7">
        <w:rPr>
          <w:rFonts w:ascii="Times New Roman" w:hAnsi="Times New Roman" w:cs="Times New Roman"/>
          <w:sz w:val="24"/>
          <w:szCs w:val="24"/>
        </w:rPr>
        <w:t>Nelis</w:t>
      </w:r>
      <w:proofErr w:type="spellEnd"/>
      <w:r w:rsidR="000A15BE" w:rsidRPr="00B745A7">
        <w:rPr>
          <w:rFonts w:ascii="Times New Roman" w:hAnsi="Times New Roman" w:cs="Times New Roman"/>
          <w:sz w:val="24"/>
          <w:szCs w:val="24"/>
        </w:rPr>
        <w:t xml:space="preserve"> et al., 2019</w:t>
      </w:r>
      <w:r w:rsidRPr="00B745A7">
        <w:rPr>
          <w:rFonts w:ascii="Times New Roman" w:hAnsi="Times New Roman" w:cs="Times New Roman"/>
          <w:sz w:val="24"/>
          <w:szCs w:val="24"/>
        </w:rPr>
        <w:t>). Men have greater healthcare need</w:t>
      </w:r>
      <w:r w:rsidR="00C9413B" w:rsidRPr="00B745A7">
        <w:rPr>
          <w:rFonts w:ascii="Times New Roman" w:hAnsi="Times New Roman" w:cs="Times New Roman"/>
          <w:sz w:val="24"/>
          <w:szCs w:val="24"/>
        </w:rPr>
        <w:t>s</w:t>
      </w:r>
      <w:r w:rsidRPr="00B745A7">
        <w:rPr>
          <w:rFonts w:ascii="Times New Roman" w:hAnsi="Times New Roman" w:cs="Times New Roman"/>
          <w:sz w:val="24"/>
          <w:szCs w:val="24"/>
        </w:rPr>
        <w:t xml:space="preserve"> due to</w:t>
      </w:r>
      <w:r w:rsidR="0069560A" w:rsidRPr="00B745A7">
        <w:rPr>
          <w:rFonts w:ascii="Times New Roman" w:hAnsi="Times New Roman" w:cs="Times New Roman"/>
          <w:sz w:val="24"/>
          <w:szCs w:val="24"/>
        </w:rPr>
        <w:t xml:space="preserve"> greater</w:t>
      </w:r>
      <w:r w:rsidRPr="00B745A7">
        <w:rPr>
          <w:rFonts w:ascii="Times New Roman" w:hAnsi="Times New Roman" w:cs="Times New Roman"/>
          <w:sz w:val="24"/>
          <w:szCs w:val="24"/>
        </w:rPr>
        <w:t xml:space="preserve"> ill-health (</w:t>
      </w:r>
      <w:proofErr w:type="spellStart"/>
      <w:r w:rsidR="000A15BE" w:rsidRPr="00B745A7">
        <w:rPr>
          <w:rFonts w:ascii="Times New Roman" w:hAnsi="Times New Roman" w:cs="Times New Roman"/>
          <w:sz w:val="24"/>
          <w:szCs w:val="24"/>
        </w:rPr>
        <w:t>Bertogg</w:t>
      </w:r>
      <w:proofErr w:type="spellEnd"/>
      <w:r w:rsidR="000A15BE" w:rsidRPr="00B745A7">
        <w:rPr>
          <w:rFonts w:ascii="Times New Roman" w:hAnsi="Times New Roman" w:cs="Times New Roman"/>
          <w:sz w:val="24"/>
          <w:szCs w:val="24"/>
        </w:rPr>
        <w:t xml:space="preserve"> and Strauss, 2018</w:t>
      </w:r>
      <w:r w:rsidRPr="00B745A7">
        <w:rPr>
          <w:rFonts w:ascii="Times New Roman" w:hAnsi="Times New Roman" w:cs="Times New Roman"/>
          <w:sz w:val="24"/>
          <w:szCs w:val="24"/>
        </w:rPr>
        <w:t xml:space="preserve">; </w:t>
      </w:r>
      <w:r w:rsidR="000A15BE" w:rsidRPr="00B745A7">
        <w:rPr>
          <w:rFonts w:ascii="Times New Roman" w:hAnsi="Times New Roman" w:cs="Times New Roman"/>
          <w:sz w:val="24"/>
          <w:szCs w:val="24"/>
        </w:rPr>
        <w:t>Sharma et al., 2016</w:t>
      </w:r>
      <w:r w:rsidRPr="00B745A7">
        <w:rPr>
          <w:rFonts w:ascii="Times New Roman" w:hAnsi="Times New Roman" w:cs="Times New Roman"/>
          <w:sz w:val="24"/>
          <w:szCs w:val="24"/>
        </w:rPr>
        <w:t>). Men with dementia also have shorter (</w:t>
      </w:r>
      <w:r w:rsidR="000A15BE" w:rsidRPr="00B745A7">
        <w:rPr>
          <w:rFonts w:ascii="Times New Roman" w:hAnsi="Times New Roman" w:cs="Times New Roman"/>
          <w:sz w:val="24"/>
          <w:szCs w:val="24"/>
        </w:rPr>
        <w:t>Ono et al., 2010</w:t>
      </w:r>
      <w:r w:rsidRPr="00B745A7">
        <w:rPr>
          <w:rFonts w:ascii="Times New Roman" w:hAnsi="Times New Roman" w:cs="Times New Roman"/>
          <w:sz w:val="24"/>
          <w:szCs w:val="24"/>
        </w:rPr>
        <w:t>), but more frequent</w:t>
      </w:r>
      <w:r w:rsidR="00D944E3" w:rsidRPr="00B745A7">
        <w:rPr>
          <w:rFonts w:ascii="Times New Roman" w:hAnsi="Times New Roman" w:cs="Times New Roman"/>
          <w:sz w:val="24"/>
          <w:szCs w:val="24"/>
        </w:rPr>
        <w:t>,</w:t>
      </w:r>
      <w:r w:rsidRPr="00B745A7">
        <w:rPr>
          <w:rFonts w:ascii="Times New Roman" w:hAnsi="Times New Roman" w:cs="Times New Roman"/>
          <w:sz w:val="24"/>
          <w:szCs w:val="24"/>
        </w:rPr>
        <w:t xml:space="preserve"> hospital admissions than women and upon hospital discharge are more likely return </w:t>
      </w:r>
      <w:r w:rsidR="00D82FE2" w:rsidRPr="00B745A7">
        <w:rPr>
          <w:rFonts w:ascii="Times New Roman" w:hAnsi="Times New Roman" w:cs="Times New Roman"/>
          <w:sz w:val="24"/>
          <w:szCs w:val="24"/>
        </w:rPr>
        <w:t>to be readmitted to hospital</w:t>
      </w:r>
      <w:r w:rsidRPr="00B745A7">
        <w:rPr>
          <w:rFonts w:ascii="Times New Roman" w:hAnsi="Times New Roman" w:cs="Times New Roman"/>
          <w:sz w:val="24"/>
          <w:szCs w:val="24"/>
        </w:rPr>
        <w:t xml:space="preserve"> (</w:t>
      </w:r>
      <w:r w:rsidR="000A15BE" w:rsidRPr="00B745A7">
        <w:rPr>
          <w:rFonts w:ascii="Times New Roman" w:hAnsi="Times New Roman" w:cs="Times New Roman"/>
          <w:sz w:val="24"/>
          <w:szCs w:val="24"/>
        </w:rPr>
        <w:t>Bartlett et al., 2016</w:t>
      </w:r>
      <w:r w:rsidRPr="00B745A7">
        <w:rPr>
          <w:rFonts w:ascii="Times New Roman" w:hAnsi="Times New Roman" w:cs="Times New Roman"/>
          <w:sz w:val="24"/>
          <w:szCs w:val="24"/>
        </w:rPr>
        <w:t>; Watson et al., 2020).</w:t>
      </w:r>
    </w:p>
    <w:bookmarkEnd w:id="36"/>
    <w:p w14:paraId="0B4120FC" w14:textId="59A4B83A" w:rsidR="00D264A6" w:rsidRPr="00B745A7" w:rsidRDefault="00D264A6" w:rsidP="00AD5F19">
      <w:pPr>
        <w:spacing w:line="480" w:lineRule="auto"/>
        <w:ind w:firstLine="720"/>
        <w:jc w:val="both"/>
        <w:rPr>
          <w:rFonts w:ascii="Times New Roman" w:hAnsi="Times New Roman" w:cs="Times New Roman"/>
          <w:sz w:val="24"/>
          <w:szCs w:val="24"/>
        </w:rPr>
      </w:pPr>
      <w:r w:rsidRPr="00B745A7">
        <w:rPr>
          <w:rFonts w:ascii="Times New Roman" w:hAnsi="Times New Roman" w:cs="Times New Roman"/>
          <w:sz w:val="24"/>
          <w:szCs w:val="24"/>
        </w:rPr>
        <w:t xml:space="preserve">This study </w:t>
      </w:r>
      <w:r w:rsidR="00C9413B" w:rsidRPr="00B745A7">
        <w:rPr>
          <w:rFonts w:ascii="Times New Roman" w:hAnsi="Times New Roman" w:cs="Times New Roman"/>
          <w:sz w:val="24"/>
          <w:szCs w:val="24"/>
        </w:rPr>
        <w:t xml:space="preserve">reported </w:t>
      </w:r>
      <w:r w:rsidR="00B81CF2" w:rsidRPr="00B745A7">
        <w:rPr>
          <w:rFonts w:ascii="Times New Roman" w:hAnsi="Times New Roman" w:cs="Times New Roman"/>
          <w:sz w:val="24"/>
          <w:szCs w:val="24"/>
        </w:rPr>
        <w:t xml:space="preserve">greater use of primary healthcare, and </w:t>
      </w:r>
      <w:r w:rsidRPr="00B745A7">
        <w:rPr>
          <w:rFonts w:ascii="Times New Roman" w:hAnsi="Times New Roman" w:cs="Times New Roman"/>
          <w:sz w:val="24"/>
          <w:szCs w:val="24"/>
        </w:rPr>
        <w:t>lower risk of emergency hospital admissions</w:t>
      </w:r>
      <w:r w:rsidR="00C9413B" w:rsidRPr="00B745A7">
        <w:rPr>
          <w:rFonts w:ascii="Times New Roman" w:hAnsi="Times New Roman" w:cs="Times New Roman"/>
          <w:sz w:val="24"/>
          <w:szCs w:val="24"/>
        </w:rPr>
        <w:t>,</w:t>
      </w:r>
      <w:r w:rsidRPr="00B745A7">
        <w:rPr>
          <w:rFonts w:ascii="Times New Roman" w:hAnsi="Times New Roman" w:cs="Times New Roman"/>
          <w:sz w:val="24"/>
          <w:szCs w:val="24"/>
        </w:rPr>
        <w:t xml:space="preserve"> for people with late-onset dementia from ethnic minority backgrounds. </w:t>
      </w:r>
      <w:r w:rsidR="00093328" w:rsidRPr="00B745A7">
        <w:rPr>
          <w:rFonts w:ascii="Times New Roman" w:hAnsi="Times New Roman" w:cs="Times New Roman"/>
          <w:sz w:val="24"/>
          <w:szCs w:val="24"/>
        </w:rPr>
        <w:t xml:space="preserve">The </w:t>
      </w:r>
      <w:r w:rsidR="00B81CF2" w:rsidRPr="00B745A7">
        <w:rPr>
          <w:rFonts w:ascii="Times New Roman" w:hAnsi="Times New Roman" w:cs="Times New Roman"/>
          <w:sz w:val="24"/>
          <w:szCs w:val="24"/>
        </w:rPr>
        <w:t xml:space="preserve">factors impacting healthcare use among PLWD from ethnic minority backgrounds is nuanced. </w:t>
      </w:r>
      <w:r w:rsidR="00145F27" w:rsidRPr="00B745A7">
        <w:rPr>
          <w:rFonts w:ascii="Times New Roman" w:hAnsi="Times New Roman" w:cs="Times New Roman"/>
          <w:sz w:val="24"/>
          <w:szCs w:val="24"/>
        </w:rPr>
        <w:t xml:space="preserve">Increased GP contact among </w:t>
      </w:r>
      <w:r w:rsidR="00C9413B" w:rsidRPr="00B745A7">
        <w:rPr>
          <w:rFonts w:ascii="Times New Roman" w:hAnsi="Times New Roman" w:cs="Times New Roman"/>
          <w:sz w:val="24"/>
          <w:szCs w:val="24"/>
        </w:rPr>
        <w:t xml:space="preserve">these groups </w:t>
      </w:r>
      <w:r w:rsidR="00145F27" w:rsidRPr="00B745A7">
        <w:rPr>
          <w:rFonts w:ascii="Times New Roman" w:hAnsi="Times New Roman" w:cs="Times New Roman"/>
          <w:sz w:val="24"/>
          <w:szCs w:val="24"/>
        </w:rPr>
        <w:t xml:space="preserve">may </w:t>
      </w:r>
      <w:r w:rsidR="009C706E" w:rsidRPr="00B745A7">
        <w:rPr>
          <w:rFonts w:ascii="Times New Roman" w:hAnsi="Times New Roman" w:cs="Times New Roman"/>
          <w:sz w:val="24"/>
          <w:szCs w:val="24"/>
        </w:rPr>
        <w:t>reflect greater need for treatment due to more chronic health conditions (</w:t>
      </w:r>
      <w:r w:rsidR="000A15BE" w:rsidRPr="00B745A7">
        <w:rPr>
          <w:rFonts w:ascii="Times New Roman" w:hAnsi="Times New Roman" w:cs="Times New Roman"/>
          <w:sz w:val="24"/>
          <w:szCs w:val="24"/>
        </w:rPr>
        <w:t>Price et al., 2013</w:t>
      </w:r>
      <w:r w:rsidR="009C706E" w:rsidRPr="00B745A7">
        <w:rPr>
          <w:rFonts w:ascii="Times New Roman" w:hAnsi="Times New Roman" w:cs="Times New Roman"/>
          <w:sz w:val="24"/>
          <w:szCs w:val="24"/>
        </w:rPr>
        <w:t xml:space="preserve">; </w:t>
      </w:r>
      <w:r w:rsidR="000A15BE" w:rsidRPr="00B745A7">
        <w:rPr>
          <w:rFonts w:ascii="Times New Roman" w:hAnsi="Times New Roman" w:cs="Times New Roman"/>
          <w:sz w:val="24"/>
          <w:szCs w:val="24"/>
        </w:rPr>
        <w:t>Quiñones et al., 2019</w:t>
      </w:r>
      <w:r w:rsidR="009C706E" w:rsidRPr="00B745A7">
        <w:rPr>
          <w:rFonts w:ascii="Times New Roman" w:hAnsi="Times New Roman" w:cs="Times New Roman"/>
          <w:sz w:val="24"/>
          <w:szCs w:val="24"/>
        </w:rPr>
        <w:t xml:space="preserve">), as well as primary </w:t>
      </w:r>
      <w:r w:rsidR="009C706E" w:rsidRPr="00B745A7">
        <w:rPr>
          <w:rFonts w:ascii="Times New Roman" w:hAnsi="Times New Roman" w:cs="Times New Roman"/>
          <w:sz w:val="24"/>
          <w:szCs w:val="24"/>
        </w:rPr>
        <w:lastRenderedPageBreak/>
        <w:t>healthcare be</w:t>
      </w:r>
      <w:r w:rsidR="00DA6CE7" w:rsidRPr="00B745A7">
        <w:rPr>
          <w:rFonts w:ascii="Times New Roman" w:hAnsi="Times New Roman" w:cs="Times New Roman"/>
          <w:sz w:val="24"/>
          <w:szCs w:val="24"/>
        </w:rPr>
        <w:t>ing</w:t>
      </w:r>
      <w:r w:rsidR="009C706E" w:rsidRPr="00B745A7">
        <w:rPr>
          <w:rFonts w:ascii="Times New Roman" w:hAnsi="Times New Roman" w:cs="Times New Roman"/>
          <w:sz w:val="24"/>
          <w:szCs w:val="24"/>
        </w:rPr>
        <w:t xml:space="preserve"> </w:t>
      </w:r>
      <w:r w:rsidR="00145F27" w:rsidRPr="00B745A7">
        <w:rPr>
          <w:rFonts w:ascii="Times New Roman" w:hAnsi="Times New Roman" w:cs="Times New Roman"/>
          <w:sz w:val="24"/>
          <w:szCs w:val="24"/>
        </w:rPr>
        <w:t>more equitable</w:t>
      </w:r>
      <w:r w:rsidR="009C706E" w:rsidRPr="00B745A7">
        <w:rPr>
          <w:rFonts w:ascii="Times New Roman" w:hAnsi="Times New Roman" w:cs="Times New Roman"/>
          <w:sz w:val="24"/>
          <w:szCs w:val="24"/>
        </w:rPr>
        <w:t xml:space="preserve"> for ethnic minorities than other forms of healthcare</w:t>
      </w:r>
      <w:r w:rsidR="00145F27" w:rsidRPr="00B745A7">
        <w:rPr>
          <w:rFonts w:ascii="Times New Roman" w:hAnsi="Times New Roman" w:cs="Times New Roman"/>
          <w:sz w:val="24"/>
          <w:szCs w:val="24"/>
        </w:rPr>
        <w:t xml:space="preserve"> (</w:t>
      </w:r>
      <w:r w:rsidR="000A15BE" w:rsidRPr="00B745A7">
        <w:rPr>
          <w:rFonts w:ascii="Times New Roman" w:hAnsi="Times New Roman" w:cs="Times New Roman"/>
          <w:sz w:val="24"/>
          <w:szCs w:val="24"/>
        </w:rPr>
        <w:t>King’s Fund, 2021</w:t>
      </w:r>
      <w:r w:rsidR="00145F27" w:rsidRPr="00B745A7">
        <w:rPr>
          <w:rFonts w:ascii="Times New Roman" w:hAnsi="Times New Roman" w:cs="Times New Roman"/>
          <w:sz w:val="24"/>
          <w:szCs w:val="24"/>
        </w:rPr>
        <w:t xml:space="preserve">). However, our findings emphasise less need for acute healthcare among PLWD from ethnic minority backgrounds. </w:t>
      </w:r>
      <w:r w:rsidR="00B81CF2" w:rsidRPr="00B745A7">
        <w:rPr>
          <w:rFonts w:ascii="Times New Roman" w:hAnsi="Times New Roman" w:cs="Times New Roman"/>
          <w:sz w:val="24"/>
          <w:szCs w:val="24"/>
        </w:rPr>
        <w:t>There is</w:t>
      </w:r>
      <w:r w:rsidRPr="00B745A7">
        <w:rPr>
          <w:rFonts w:ascii="Times New Roman" w:hAnsi="Times New Roman" w:cs="Times New Roman"/>
          <w:sz w:val="24"/>
          <w:szCs w:val="24"/>
        </w:rPr>
        <w:t xml:space="preserve"> lower mortality risk</w:t>
      </w:r>
      <w:r w:rsidR="00B81CF2" w:rsidRPr="00B745A7">
        <w:rPr>
          <w:rFonts w:ascii="Times New Roman" w:hAnsi="Times New Roman" w:cs="Times New Roman"/>
          <w:sz w:val="24"/>
          <w:szCs w:val="24"/>
        </w:rPr>
        <w:t xml:space="preserve"> among PLWD from ethnic minority backgrounds</w:t>
      </w:r>
      <w:r w:rsidRPr="00B745A7">
        <w:rPr>
          <w:rFonts w:ascii="Times New Roman" w:hAnsi="Times New Roman" w:cs="Times New Roman"/>
          <w:sz w:val="24"/>
          <w:szCs w:val="24"/>
        </w:rPr>
        <w:t xml:space="preserve"> (Watson et al., 2021), </w:t>
      </w:r>
      <w:r w:rsidR="00B81CF2" w:rsidRPr="00B745A7">
        <w:rPr>
          <w:rFonts w:ascii="Times New Roman" w:hAnsi="Times New Roman" w:cs="Times New Roman"/>
          <w:sz w:val="24"/>
          <w:szCs w:val="24"/>
        </w:rPr>
        <w:t xml:space="preserve">a </w:t>
      </w:r>
      <w:r w:rsidRPr="00B745A7">
        <w:rPr>
          <w:rFonts w:ascii="Times New Roman" w:hAnsi="Times New Roman" w:cs="Times New Roman"/>
          <w:sz w:val="24"/>
          <w:szCs w:val="24"/>
        </w:rPr>
        <w:t>finding</w:t>
      </w:r>
      <w:r w:rsidR="00B81CF2" w:rsidRPr="00B745A7">
        <w:rPr>
          <w:rFonts w:ascii="Times New Roman" w:hAnsi="Times New Roman" w:cs="Times New Roman"/>
          <w:sz w:val="24"/>
          <w:szCs w:val="24"/>
        </w:rPr>
        <w:t xml:space="preserve"> which</w:t>
      </w:r>
      <w:r w:rsidRPr="00B745A7">
        <w:rPr>
          <w:rFonts w:ascii="Times New Roman" w:hAnsi="Times New Roman" w:cs="Times New Roman"/>
          <w:sz w:val="24"/>
          <w:szCs w:val="24"/>
        </w:rPr>
        <w:t xml:space="preserve"> may be consistent with younger demographics</w:t>
      </w:r>
      <w:r w:rsidR="006606BC" w:rsidRPr="00B745A7">
        <w:rPr>
          <w:rFonts w:ascii="Times New Roman" w:hAnsi="Times New Roman" w:cs="Times New Roman"/>
          <w:sz w:val="24"/>
          <w:szCs w:val="24"/>
        </w:rPr>
        <w:t xml:space="preserve"> (insufficiently controlled for in our analysis)</w:t>
      </w:r>
      <w:r w:rsidR="00005365" w:rsidRPr="00B745A7">
        <w:rPr>
          <w:rFonts w:ascii="Times New Roman" w:hAnsi="Times New Roman" w:cs="Times New Roman"/>
          <w:sz w:val="24"/>
          <w:szCs w:val="24"/>
        </w:rPr>
        <w:t xml:space="preserve"> and reduced severity of dementia (</w:t>
      </w:r>
      <w:r w:rsidR="000A15BE" w:rsidRPr="00B745A7">
        <w:rPr>
          <w:rFonts w:ascii="Times New Roman" w:hAnsi="Times New Roman" w:cs="Times New Roman"/>
          <w:sz w:val="24"/>
          <w:szCs w:val="24"/>
        </w:rPr>
        <w:t>Parveen and Oyebode, 2018</w:t>
      </w:r>
      <w:r w:rsidR="00005365" w:rsidRPr="00B745A7">
        <w:rPr>
          <w:rFonts w:ascii="Times New Roman" w:hAnsi="Times New Roman" w:cs="Times New Roman"/>
          <w:sz w:val="24"/>
          <w:szCs w:val="24"/>
        </w:rPr>
        <w:t>). Existing research highlights the barriers in accessing quality healthcare for PLWD from ethnic minority backgrounds (</w:t>
      </w:r>
      <w:r w:rsidR="000A15BE" w:rsidRPr="00B745A7">
        <w:rPr>
          <w:rFonts w:ascii="Times New Roman" w:hAnsi="Times New Roman" w:cs="Times New Roman"/>
          <w:sz w:val="24"/>
          <w:szCs w:val="24"/>
        </w:rPr>
        <w:t>Cooper et al., 2010</w:t>
      </w:r>
      <w:r w:rsidR="00005365" w:rsidRPr="00B745A7">
        <w:rPr>
          <w:rFonts w:ascii="Times New Roman" w:hAnsi="Times New Roman" w:cs="Times New Roman"/>
          <w:sz w:val="24"/>
          <w:szCs w:val="24"/>
        </w:rPr>
        <w:t xml:space="preserve">; </w:t>
      </w:r>
      <w:r w:rsidR="000A15BE" w:rsidRPr="00B745A7">
        <w:rPr>
          <w:rFonts w:ascii="Times New Roman" w:hAnsi="Times New Roman" w:cs="Times New Roman"/>
          <w:sz w:val="24"/>
          <w:szCs w:val="24"/>
        </w:rPr>
        <w:t>Lin et al., 2020</w:t>
      </w:r>
      <w:r w:rsidR="00005365" w:rsidRPr="00B745A7">
        <w:rPr>
          <w:rFonts w:ascii="Times New Roman" w:hAnsi="Times New Roman" w:cs="Times New Roman"/>
          <w:sz w:val="24"/>
          <w:szCs w:val="24"/>
        </w:rPr>
        <w:t xml:space="preserve">; </w:t>
      </w:r>
      <w:r w:rsidR="000A15BE" w:rsidRPr="00B745A7">
        <w:rPr>
          <w:rFonts w:ascii="Times New Roman" w:hAnsi="Times New Roman" w:cs="Times New Roman"/>
          <w:sz w:val="24"/>
          <w:szCs w:val="24"/>
        </w:rPr>
        <w:t>Mukadam et al., 2011</w:t>
      </w:r>
      <w:r w:rsidR="00005365" w:rsidRPr="00B745A7">
        <w:rPr>
          <w:rStyle w:val="Hyperlink"/>
          <w:rFonts w:ascii="Times New Roman" w:hAnsi="Times New Roman" w:cs="Times New Roman"/>
          <w:color w:val="auto"/>
          <w:sz w:val="24"/>
          <w:szCs w:val="24"/>
          <w:u w:val="none"/>
        </w:rPr>
        <w:t xml:space="preserve">; </w:t>
      </w:r>
      <w:r w:rsidR="000A15BE" w:rsidRPr="00B745A7">
        <w:rPr>
          <w:rFonts w:ascii="Times New Roman" w:hAnsi="Times New Roman" w:cs="Times New Roman"/>
          <w:sz w:val="24"/>
          <w:szCs w:val="24"/>
        </w:rPr>
        <w:t>Pham et al., 2018</w:t>
      </w:r>
      <w:r w:rsidR="00005365" w:rsidRPr="00B745A7">
        <w:rPr>
          <w:rFonts w:ascii="Times New Roman" w:hAnsi="Times New Roman" w:cs="Times New Roman"/>
          <w:sz w:val="24"/>
          <w:szCs w:val="24"/>
        </w:rPr>
        <w:t>), but with reduced severity</w:t>
      </w:r>
      <w:r w:rsidR="00396DB0" w:rsidRPr="00B745A7">
        <w:rPr>
          <w:rFonts w:ascii="Times New Roman" w:hAnsi="Times New Roman" w:cs="Times New Roman"/>
          <w:sz w:val="24"/>
          <w:szCs w:val="24"/>
        </w:rPr>
        <w:t>,</w:t>
      </w:r>
      <w:r w:rsidRPr="00B745A7">
        <w:rPr>
          <w:rFonts w:ascii="Times New Roman" w:hAnsi="Times New Roman" w:cs="Times New Roman"/>
          <w:sz w:val="24"/>
          <w:szCs w:val="24"/>
        </w:rPr>
        <w:t xml:space="preserve"> </w:t>
      </w:r>
      <w:r w:rsidR="00005365" w:rsidRPr="00B745A7">
        <w:rPr>
          <w:rFonts w:ascii="Times New Roman" w:hAnsi="Times New Roman" w:cs="Times New Roman"/>
          <w:sz w:val="24"/>
          <w:szCs w:val="24"/>
        </w:rPr>
        <w:t>there is also less frequent contact with healthcare services (</w:t>
      </w:r>
      <w:r w:rsidR="00217258" w:rsidRPr="00B745A7">
        <w:rPr>
          <w:rFonts w:ascii="Times New Roman" w:hAnsi="Times New Roman" w:cs="Times New Roman"/>
          <w:sz w:val="24"/>
          <w:szCs w:val="24"/>
        </w:rPr>
        <w:t>Duran-</w:t>
      </w:r>
      <w:proofErr w:type="spellStart"/>
      <w:r w:rsidR="00217258" w:rsidRPr="00B745A7">
        <w:rPr>
          <w:rFonts w:ascii="Times New Roman" w:hAnsi="Times New Roman" w:cs="Times New Roman"/>
          <w:sz w:val="24"/>
          <w:szCs w:val="24"/>
        </w:rPr>
        <w:t>Kirac</w:t>
      </w:r>
      <w:proofErr w:type="spellEnd"/>
      <w:r w:rsidR="00217258" w:rsidRPr="00B745A7">
        <w:rPr>
          <w:rFonts w:ascii="Times New Roman" w:hAnsi="Times New Roman" w:cs="Times New Roman"/>
          <w:sz w:val="24"/>
          <w:szCs w:val="24"/>
        </w:rPr>
        <w:t xml:space="preserve"> et al., 2022</w:t>
      </w:r>
      <w:r w:rsidR="00005365" w:rsidRPr="00B745A7">
        <w:rPr>
          <w:rFonts w:ascii="Times New Roman" w:hAnsi="Times New Roman" w:cs="Times New Roman"/>
          <w:sz w:val="24"/>
          <w:szCs w:val="24"/>
        </w:rPr>
        <w:t>)</w:t>
      </w:r>
      <w:r w:rsidRPr="00B745A7">
        <w:rPr>
          <w:rFonts w:ascii="Times New Roman" w:hAnsi="Times New Roman" w:cs="Times New Roman"/>
          <w:sz w:val="24"/>
          <w:szCs w:val="24"/>
        </w:rPr>
        <w:t xml:space="preserve">. </w:t>
      </w:r>
    </w:p>
    <w:p w14:paraId="28C899F2" w14:textId="1E80121B" w:rsidR="00711C47" w:rsidRPr="00B745A7" w:rsidRDefault="00B243D5" w:rsidP="00AD5F19">
      <w:pPr>
        <w:spacing w:line="480" w:lineRule="auto"/>
        <w:ind w:firstLine="720"/>
        <w:jc w:val="both"/>
        <w:rPr>
          <w:rFonts w:ascii="Times New Roman" w:hAnsi="Times New Roman" w:cs="Times New Roman"/>
          <w:sz w:val="24"/>
          <w:szCs w:val="24"/>
        </w:rPr>
      </w:pPr>
      <w:r w:rsidRPr="00B745A7">
        <w:rPr>
          <w:rFonts w:ascii="Times New Roman" w:hAnsi="Times New Roman" w:cs="Times New Roman"/>
          <w:sz w:val="24"/>
          <w:szCs w:val="24"/>
        </w:rPr>
        <w:t>We found that people with late-onset dementia from the most deprived areas ha</w:t>
      </w:r>
      <w:r w:rsidR="00272B27" w:rsidRPr="00B745A7">
        <w:rPr>
          <w:rFonts w:ascii="Times New Roman" w:hAnsi="Times New Roman" w:cs="Times New Roman"/>
          <w:sz w:val="24"/>
          <w:szCs w:val="24"/>
        </w:rPr>
        <w:t>d</w:t>
      </w:r>
      <w:r w:rsidRPr="00B745A7">
        <w:rPr>
          <w:rFonts w:ascii="Times New Roman" w:hAnsi="Times New Roman" w:cs="Times New Roman"/>
          <w:sz w:val="24"/>
          <w:szCs w:val="24"/>
        </w:rPr>
        <w:t xml:space="preserve"> higher GP observations, dementia medications and increased likelihood of using emergency healthcare. Although literature tends to </w:t>
      </w:r>
      <w:r w:rsidR="00C9413B" w:rsidRPr="00B745A7">
        <w:rPr>
          <w:rFonts w:ascii="Times New Roman" w:hAnsi="Times New Roman" w:cs="Times New Roman"/>
          <w:sz w:val="24"/>
          <w:szCs w:val="24"/>
        </w:rPr>
        <w:t xml:space="preserve">show that </w:t>
      </w:r>
      <w:r w:rsidRPr="00B745A7">
        <w:rPr>
          <w:rFonts w:ascii="Times New Roman" w:hAnsi="Times New Roman" w:cs="Times New Roman"/>
          <w:sz w:val="24"/>
          <w:szCs w:val="24"/>
        </w:rPr>
        <w:t>PLWD from areas of greater deprivation receive fewer medications for dementia (</w:t>
      </w:r>
      <w:r w:rsidR="000A15BE" w:rsidRPr="00B745A7">
        <w:rPr>
          <w:rFonts w:ascii="Times New Roman" w:hAnsi="Times New Roman" w:cs="Times New Roman"/>
          <w:sz w:val="24"/>
          <w:szCs w:val="24"/>
        </w:rPr>
        <w:t>Cooper et al., 2016</w:t>
      </w:r>
      <w:r w:rsidRPr="00B745A7">
        <w:rPr>
          <w:rFonts w:ascii="Times New Roman" w:hAnsi="Times New Roman" w:cs="Times New Roman"/>
          <w:sz w:val="24"/>
          <w:szCs w:val="24"/>
        </w:rPr>
        <w:t xml:space="preserve">; </w:t>
      </w:r>
      <w:r w:rsidR="000A15BE" w:rsidRPr="00B745A7">
        <w:rPr>
          <w:rFonts w:ascii="Times New Roman" w:hAnsi="Times New Roman" w:cs="Times New Roman"/>
          <w:sz w:val="24"/>
          <w:szCs w:val="24"/>
        </w:rPr>
        <w:t>Vohra et al., 2021</w:t>
      </w:r>
      <w:r w:rsidRPr="00B745A7">
        <w:rPr>
          <w:rFonts w:ascii="Times New Roman" w:hAnsi="Times New Roman" w:cs="Times New Roman"/>
          <w:sz w:val="24"/>
          <w:szCs w:val="24"/>
        </w:rPr>
        <w:t>), our findings emphasise the difficulties in access to quality healthcare in more deprived areas. Access to dementia diagnosis and subsequent treatment is more difficult in more deprived areas (</w:t>
      </w:r>
      <w:r w:rsidR="000A15BE" w:rsidRPr="00B745A7">
        <w:rPr>
          <w:rFonts w:ascii="Times New Roman" w:hAnsi="Times New Roman" w:cs="Times New Roman"/>
          <w:sz w:val="24"/>
          <w:szCs w:val="24"/>
        </w:rPr>
        <w:t>Hoang et al., 2021</w:t>
      </w:r>
      <w:r w:rsidRPr="00B745A7">
        <w:rPr>
          <w:rFonts w:ascii="Times New Roman" w:hAnsi="Times New Roman" w:cs="Times New Roman"/>
          <w:sz w:val="24"/>
          <w:szCs w:val="24"/>
        </w:rPr>
        <w:t>). PLWD from deprived areas are more likely to experience poor</w:t>
      </w:r>
      <w:r w:rsidR="00B27E90" w:rsidRPr="00B745A7">
        <w:rPr>
          <w:rFonts w:ascii="Times New Roman" w:hAnsi="Times New Roman" w:cs="Times New Roman"/>
          <w:sz w:val="24"/>
          <w:szCs w:val="24"/>
        </w:rPr>
        <w:t>er</w:t>
      </w:r>
      <w:r w:rsidRPr="00B745A7">
        <w:rPr>
          <w:rFonts w:ascii="Times New Roman" w:hAnsi="Times New Roman" w:cs="Times New Roman"/>
          <w:sz w:val="24"/>
          <w:szCs w:val="24"/>
        </w:rPr>
        <w:t xml:space="preserve"> quality primary healthcare (</w:t>
      </w:r>
      <w:r w:rsidR="000A15BE" w:rsidRPr="00B745A7">
        <w:rPr>
          <w:rFonts w:ascii="Times New Roman" w:hAnsi="Times New Roman" w:cs="Times New Roman"/>
          <w:sz w:val="24"/>
          <w:szCs w:val="24"/>
        </w:rPr>
        <w:t>Watson et al., 2020</w:t>
      </w:r>
      <w:r w:rsidRPr="00B745A7">
        <w:rPr>
          <w:rStyle w:val="Hyperlink"/>
          <w:rFonts w:ascii="Times New Roman" w:hAnsi="Times New Roman" w:cs="Times New Roman"/>
          <w:color w:val="auto"/>
          <w:sz w:val="24"/>
          <w:szCs w:val="24"/>
          <w:u w:val="none"/>
        </w:rPr>
        <w:t xml:space="preserve">; </w:t>
      </w:r>
      <w:r w:rsidR="000A15BE" w:rsidRPr="00B745A7">
        <w:rPr>
          <w:rFonts w:ascii="Times New Roman" w:hAnsi="Times New Roman" w:cs="Times New Roman"/>
          <w:sz w:val="24"/>
          <w:szCs w:val="24"/>
        </w:rPr>
        <w:t>Wu et al., 2018</w:t>
      </w:r>
      <w:r w:rsidRPr="00B745A7">
        <w:rPr>
          <w:rFonts w:ascii="Times New Roman" w:hAnsi="Times New Roman" w:cs="Times New Roman"/>
          <w:sz w:val="24"/>
          <w:szCs w:val="24"/>
        </w:rPr>
        <w:t>) and receive a late or unspecified dementia diagnosis which can make effective medicative treatment</w:t>
      </w:r>
      <w:r w:rsidR="00272B27" w:rsidRPr="00B745A7">
        <w:rPr>
          <w:rFonts w:ascii="Times New Roman" w:hAnsi="Times New Roman" w:cs="Times New Roman"/>
          <w:sz w:val="24"/>
          <w:szCs w:val="24"/>
        </w:rPr>
        <w:t>, where feasible,</w:t>
      </w:r>
      <w:r w:rsidRPr="00B745A7">
        <w:rPr>
          <w:rFonts w:ascii="Times New Roman" w:hAnsi="Times New Roman" w:cs="Times New Roman"/>
          <w:sz w:val="24"/>
          <w:szCs w:val="24"/>
        </w:rPr>
        <w:t xml:space="preserve"> more difficult (</w:t>
      </w:r>
      <w:r w:rsidR="000A15BE" w:rsidRPr="00B745A7">
        <w:rPr>
          <w:rFonts w:ascii="Times New Roman" w:hAnsi="Times New Roman" w:cs="Times New Roman"/>
          <w:sz w:val="24"/>
          <w:szCs w:val="24"/>
        </w:rPr>
        <w:t>Connolly et al., 2011</w:t>
      </w:r>
      <w:r w:rsidRPr="00B745A7">
        <w:rPr>
          <w:rStyle w:val="Hyperlink"/>
          <w:rFonts w:ascii="Times New Roman" w:hAnsi="Times New Roman" w:cs="Times New Roman"/>
          <w:color w:val="auto"/>
          <w:sz w:val="24"/>
          <w:szCs w:val="24"/>
          <w:u w:val="none"/>
        </w:rPr>
        <w:t xml:space="preserve">; </w:t>
      </w:r>
      <w:proofErr w:type="spellStart"/>
      <w:r w:rsidR="000A15BE" w:rsidRPr="00B745A7">
        <w:rPr>
          <w:rFonts w:ascii="Times New Roman" w:hAnsi="Times New Roman" w:cs="Times New Roman"/>
          <w:sz w:val="24"/>
          <w:szCs w:val="24"/>
        </w:rPr>
        <w:t>Jitlal</w:t>
      </w:r>
      <w:proofErr w:type="spellEnd"/>
      <w:r w:rsidR="000A15BE" w:rsidRPr="00B745A7">
        <w:rPr>
          <w:rFonts w:ascii="Times New Roman" w:hAnsi="Times New Roman" w:cs="Times New Roman"/>
          <w:sz w:val="24"/>
          <w:szCs w:val="24"/>
        </w:rPr>
        <w:t xml:space="preserve"> et al., 2021</w:t>
      </w:r>
      <w:r w:rsidRPr="00B745A7">
        <w:rPr>
          <w:rStyle w:val="Hyperlink"/>
          <w:rFonts w:ascii="Times New Roman" w:hAnsi="Times New Roman" w:cs="Times New Roman"/>
          <w:color w:val="auto"/>
          <w:sz w:val="24"/>
          <w:szCs w:val="24"/>
          <w:u w:val="none"/>
        </w:rPr>
        <w:t xml:space="preserve">; </w:t>
      </w:r>
      <w:r w:rsidR="000A15BE" w:rsidRPr="00B745A7">
        <w:rPr>
          <w:rFonts w:ascii="Times New Roman" w:hAnsi="Times New Roman" w:cs="Times New Roman"/>
          <w:sz w:val="24"/>
          <w:szCs w:val="24"/>
        </w:rPr>
        <w:t>Petersen et al., 2021</w:t>
      </w:r>
      <w:r w:rsidRPr="00B745A7">
        <w:rPr>
          <w:rFonts w:ascii="Times New Roman" w:hAnsi="Times New Roman" w:cs="Times New Roman"/>
          <w:sz w:val="24"/>
          <w:szCs w:val="24"/>
        </w:rPr>
        <w:t>). In this study, although PLWD from the most deprived areas ha</w:t>
      </w:r>
      <w:r w:rsidR="00272B27" w:rsidRPr="00B745A7">
        <w:rPr>
          <w:rFonts w:ascii="Times New Roman" w:hAnsi="Times New Roman" w:cs="Times New Roman"/>
          <w:sz w:val="24"/>
          <w:szCs w:val="24"/>
        </w:rPr>
        <w:t>d</w:t>
      </w:r>
      <w:r w:rsidRPr="00B745A7">
        <w:rPr>
          <w:rFonts w:ascii="Times New Roman" w:hAnsi="Times New Roman" w:cs="Times New Roman"/>
          <w:sz w:val="24"/>
          <w:szCs w:val="24"/>
        </w:rPr>
        <w:t xml:space="preserve"> increased contact with a range of different types of healthcare, this may be indicative of greater and more acute need for treatment of </w:t>
      </w:r>
      <w:r w:rsidR="00DA6CE7" w:rsidRPr="00B745A7">
        <w:rPr>
          <w:rFonts w:ascii="Times New Roman" w:hAnsi="Times New Roman" w:cs="Times New Roman"/>
          <w:sz w:val="24"/>
          <w:szCs w:val="24"/>
        </w:rPr>
        <w:t>both</w:t>
      </w:r>
      <w:r w:rsidR="00272B27" w:rsidRPr="00B745A7">
        <w:rPr>
          <w:rFonts w:ascii="Times New Roman" w:hAnsi="Times New Roman" w:cs="Times New Roman"/>
          <w:sz w:val="24"/>
          <w:szCs w:val="24"/>
        </w:rPr>
        <w:t xml:space="preserve"> </w:t>
      </w:r>
      <w:r w:rsidRPr="00B745A7">
        <w:rPr>
          <w:rFonts w:ascii="Times New Roman" w:hAnsi="Times New Roman" w:cs="Times New Roman"/>
          <w:sz w:val="24"/>
          <w:szCs w:val="24"/>
        </w:rPr>
        <w:t>dementia</w:t>
      </w:r>
      <w:r w:rsidR="00DA6CE7" w:rsidRPr="00B745A7">
        <w:rPr>
          <w:rFonts w:ascii="Times New Roman" w:hAnsi="Times New Roman" w:cs="Times New Roman"/>
          <w:sz w:val="24"/>
          <w:szCs w:val="24"/>
        </w:rPr>
        <w:t>,</w:t>
      </w:r>
      <w:r w:rsidRPr="00B745A7">
        <w:rPr>
          <w:rFonts w:ascii="Times New Roman" w:hAnsi="Times New Roman" w:cs="Times New Roman"/>
          <w:sz w:val="24"/>
          <w:szCs w:val="24"/>
        </w:rPr>
        <w:t xml:space="preserve"> and </w:t>
      </w:r>
      <w:r w:rsidR="00272B27" w:rsidRPr="00B745A7">
        <w:rPr>
          <w:rFonts w:ascii="Times New Roman" w:hAnsi="Times New Roman" w:cs="Times New Roman"/>
          <w:sz w:val="24"/>
          <w:szCs w:val="24"/>
        </w:rPr>
        <w:t xml:space="preserve">other </w:t>
      </w:r>
      <w:r w:rsidRPr="00B745A7">
        <w:rPr>
          <w:rFonts w:ascii="Times New Roman" w:hAnsi="Times New Roman" w:cs="Times New Roman"/>
          <w:sz w:val="24"/>
          <w:szCs w:val="24"/>
        </w:rPr>
        <w:t>comorbidities (</w:t>
      </w:r>
      <w:r w:rsidR="000A15BE" w:rsidRPr="00B745A7">
        <w:rPr>
          <w:rFonts w:ascii="Times New Roman" w:hAnsi="Times New Roman" w:cs="Times New Roman"/>
          <w:sz w:val="24"/>
          <w:szCs w:val="24"/>
        </w:rPr>
        <w:t>Browne et al., 2017</w:t>
      </w:r>
      <w:r w:rsidRPr="00B745A7">
        <w:rPr>
          <w:rFonts w:ascii="Times New Roman" w:hAnsi="Times New Roman" w:cs="Times New Roman"/>
          <w:sz w:val="24"/>
          <w:szCs w:val="24"/>
        </w:rPr>
        <w:t xml:space="preserve">; </w:t>
      </w:r>
      <w:proofErr w:type="spellStart"/>
      <w:r w:rsidR="000A15BE" w:rsidRPr="00B745A7">
        <w:rPr>
          <w:rFonts w:ascii="Times New Roman" w:hAnsi="Times New Roman" w:cs="Times New Roman"/>
          <w:sz w:val="24"/>
          <w:szCs w:val="24"/>
        </w:rPr>
        <w:t>Jitlal</w:t>
      </w:r>
      <w:proofErr w:type="spellEnd"/>
      <w:r w:rsidR="000A15BE" w:rsidRPr="00B745A7">
        <w:rPr>
          <w:rFonts w:ascii="Times New Roman" w:hAnsi="Times New Roman" w:cs="Times New Roman"/>
          <w:sz w:val="24"/>
          <w:szCs w:val="24"/>
        </w:rPr>
        <w:t xml:space="preserve"> et al., 2021</w:t>
      </w:r>
      <w:r w:rsidRPr="00B745A7">
        <w:rPr>
          <w:rStyle w:val="Hyperlink"/>
          <w:rFonts w:ascii="Times New Roman" w:hAnsi="Times New Roman" w:cs="Times New Roman"/>
          <w:color w:val="auto"/>
          <w:sz w:val="24"/>
          <w:szCs w:val="24"/>
          <w:u w:val="none"/>
        </w:rPr>
        <w:t xml:space="preserve">; </w:t>
      </w:r>
      <w:r w:rsidR="000A15BE" w:rsidRPr="00B745A7">
        <w:rPr>
          <w:rFonts w:ascii="Times New Roman" w:hAnsi="Times New Roman" w:cs="Times New Roman"/>
          <w:sz w:val="24"/>
          <w:szCs w:val="24"/>
        </w:rPr>
        <w:t>Watson et al., 2020</w:t>
      </w:r>
      <w:r w:rsidRPr="00B745A7">
        <w:rPr>
          <w:rFonts w:ascii="Times New Roman" w:hAnsi="Times New Roman" w:cs="Times New Roman"/>
          <w:sz w:val="24"/>
          <w:szCs w:val="24"/>
        </w:rPr>
        <w:t>).</w:t>
      </w:r>
    </w:p>
    <w:p w14:paraId="443F5951" w14:textId="306A837A" w:rsidR="00D264A6" w:rsidRPr="00B745A7" w:rsidRDefault="00272B27" w:rsidP="00AD5F19">
      <w:pPr>
        <w:spacing w:line="480" w:lineRule="auto"/>
        <w:ind w:firstLine="720"/>
        <w:jc w:val="both"/>
        <w:rPr>
          <w:rFonts w:ascii="Times New Roman" w:hAnsi="Times New Roman" w:cs="Times New Roman"/>
          <w:sz w:val="24"/>
          <w:szCs w:val="24"/>
        </w:rPr>
      </w:pPr>
      <w:r w:rsidRPr="00B745A7">
        <w:rPr>
          <w:rFonts w:ascii="Times New Roman" w:hAnsi="Times New Roman" w:cs="Times New Roman"/>
          <w:sz w:val="24"/>
          <w:szCs w:val="24"/>
        </w:rPr>
        <w:t>Additionally, w</w:t>
      </w:r>
      <w:r w:rsidR="002C2EA9" w:rsidRPr="00B745A7">
        <w:rPr>
          <w:rFonts w:ascii="Times New Roman" w:hAnsi="Times New Roman" w:cs="Times New Roman"/>
          <w:sz w:val="24"/>
          <w:szCs w:val="24"/>
        </w:rPr>
        <w:t>e f</w:t>
      </w:r>
      <w:r w:rsidR="00DA6CE7" w:rsidRPr="00B745A7">
        <w:rPr>
          <w:rFonts w:ascii="Times New Roman" w:hAnsi="Times New Roman" w:cs="Times New Roman"/>
          <w:sz w:val="24"/>
          <w:szCs w:val="24"/>
        </w:rPr>
        <w:t>oun</w:t>
      </w:r>
      <w:r w:rsidR="002C2EA9" w:rsidRPr="00B745A7">
        <w:rPr>
          <w:rFonts w:ascii="Times New Roman" w:hAnsi="Times New Roman" w:cs="Times New Roman"/>
          <w:sz w:val="24"/>
          <w:szCs w:val="24"/>
        </w:rPr>
        <w:t xml:space="preserve">d significant differences in experiences between urban and rural areas, suggesting the importance of spatial factors in determining healthcare experiences. </w:t>
      </w:r>
      <w:r w:rsidRPr="00B745A7">
        <w:rPr>
          <w:rFonts w:ascii="Times New Roman" w:hAnsi="Times New Roman" w:cs="Times New Roman"/>
          <w:sz w:val="24"/>
          <w:szCs w:val="24"/>
        </w:rPr>
        <w:t>I</w:t>
      </w:r>
      <w:r w:rsidR="005E1515" w:rsidRPr="00B745A7">
        <w:rPr>
          <w:rFonts w:ascii="Times New Roman" w:hAnsi="Times New Roman" w:cs="Times New Roman"/>
          <w:sz w:val="24"/>
          <w:szCs w:val="24"/>
        </w:rPr>
        <w:t xml:space="preserve">n early-onset, </w:t>
      </w:r>
      <w:r w:rsidRPr="00B745A7">
        <w:rPr>
          <w:rFonts w:ascii="Times New Roman" w:hAnsi="Times New Roman" w:cs="Times New Roman"/>
          <w:sz w:val="24"/>
          <w:szCs w:val="24"/>
        </w:rPr>
        <w:t xml:space="preserve">people with dementia registered with </w:t>
      </w:r>
      <w:r w:rsidR="005E1515" w:rsidRPr="00B745A7">
        <w:rPr>
          <w:rFonts w:ascii="Times New Roman" w:hAnsi="Times New Roman" w:cs="Times New Roman"/>
          <w:sz w:val="24"/>
          <w:szCs w:val="24"/>
        </w:rPr>
        <w:t>rural GPs h</w:t>
      </w:r>
      <w:r w:rsidRPr="00B745A7">
        <w:rPr>
          <w:rFonts w:ascii="Times New Roman" w:hAnsi="Times New Roman" w:cs="Times New Roman"/>
          <w:sz w:val="24"/>
          <w:szCs w:val="24"/>
        </w:rPr>
        <w:t>ad</w:t>
      </w:r>
      <w:r w:rsidR="005E1515" w:rsidRPr="00B745A7">
        <w:rPr>
          <w:rFonts w:ascii="Times New Roman" w:hAnsi="Times New Roman" w:cs="Times New Roman"/>
          <w:sz w:val="24"/>
          <w:szCs w:val="24"/>
        </w:rPr>
        <w:t xml:space="preserve"> less contact with their GP, and </w:t>
      </w:r>
      <w:r w:rsidR="005E1515" w:rsidRPr="00B745A7">
        <w:rPr>
          <w:rFonts w:ascii="Times New Roman" w:hAnsi="Times New Roman" w:cs="Times New Roman"/>
          <w:sz w:val="24"/>
          <w:szCs w:val="24"/>
        </w:rPr>
        <w:lastRenderedPageBreak/>
        <w:t xml:space="preserve">those with late-onset </w:t>
      </w:r>
      <w:r w:rsidRPr="00B745A7">
        <w:rPr>
          <w:rFonts w:ascii="Times New Roman" w:hAnsi="Times New Roman" w:cs="Times New Roman"/>
          <w:sz w:val="24"/>
          <w:szCs w:val="24"/>
        </w:rPr>
        <w:t xml:space="preserve">had </w:t>
      </w:r>
      <w:r w:rsidR="005E1515" w:rsidRPr="00B745A7">
        <w:rPr>
          <w:rFonts w:ascii="Times New Roman" w:hAnsi="Times New Roman" w:cs="Times New Roman"/>
          <w:sz w:val="24"/>
          <w:szCs w:val="24"/>
        </w:rPr>
        <w:t xml:space="preserve">greater likelihood of attending A&amp;E. </w:t>
      </w:r>
      <w:r w:rsidR="0029119E" w:rsidRPr="00B745A7">
        <w:rPr>
          <w:rFonts w:ascii="Times New Roman" w:hAnsi="Times New Roman" w:cs="Times New Roman"/>
          <w:sz w:val="24"/>
          <w:szCs w:val="24"/>
        </w:rPr>
        <w:t>Health and social care services are more sparse in rural areas (</w:t>
      </w:r>
      <w:r w:rsidR="000A15BE" w:rsidRPr="00B745A7">
        <w:rPr>
          <w:rFonts w:ascii="Times New Roman" w:hAnsi="Times New Roman" w:cs="Times New Roman"/>
          <w:sz w:val="24"/>
          <w:szCs w:val="24"/>
        </w:rPr>
        <w:t>Baird and Wright, 2006</w:t>
      </w:r>
      <w:r w:rsidR="0029119E" w:rsidRPr="00B745A7">
        <w:rPr>
          <w:rFonts w:ascii="Times New Roman" w:hAnsi="Times New Roman" w:cs="Times New Roman"/>
          <w:sz w:val="24"/>
          <w:szCs w:val="24"/>
        </w:rPr>
        <w:t xml:space="preserve">, </w:t>
      </w:r>
      <w:r w:rsidR="000A15BE" w:rsidRPr="00B745A7">
        <w:rPr>
          <w:rFonts w:ascii="Times New Roman" w:hAnsi="Times New Roman" w:cs="Times New Roman"/>
          <w:sz w:val="24"/>
          <w:szCs w:val="24"/>
        </w:rPr>
        <w:t>Bauer et al., 2019</w:t>
      </w:r>
      <w:r w:rsidR="0029119E" w:rsidRPr="00B745A7">
        <w:rPr>
          <w:rFonts w:ascii="Times New Roman" w:hAnsi="Times New Roman" w:cs="Times New Roman"/>
          <w:sz w:val="24"/>
          <w:szCs w:val="24"/>
        </w:rPr>
        <w:t xml:space="preserve">; </w:t>
      </w:r>
      <w:r w:rsidR="000A15BE" w:rsidRPr="00B745A7">
        <w:rPr>
          <w:rFonts w:ascii="Times New Roman" w:hAnsi="Times New Roman" w:cs="Times New Roman"/>
          <w:sz w:val="24"/>
          <w:szCs w:val="24"/>
        </w:rPr>
        <w:t>Giebel, 2020</w:t>
      </w:r>
      <w:r w:rsidR="0029119E" w:rsidRPr="00B745A7">
        <w:rPr>
          <w:rStyle w:val="Hyperlink"/>
          <w:rFonts w:ascii="Times New Roman" w:hAnsi="Times New Roman" w:cs="Times New Roman"/>
          <w:sz w:val="24"/>
          <w:szCs w:val="24"/>
        </w:rPr>
        <w:t xml:space="preserve">, </w:t>
      </w:r>
      <w:r w:rsidR="000A15BE" w:rsidRPr="00B745A7">
        <w:rPr>
          <w:rFonts w:ascii="Times New Roman" w:hAnsi="Times New Roman" w:cs="Times New Roman"/>
          <w:sz w:val="24"/>
          <w:szCs w:val="24"/>
        </w:rPr>
        <w:t>National Centre for Rural health and Care, 2022</w:t>
      </w:r>
      <w:r w:rsidR="0029119E" w:rsidRPr="00B745A7">
        <w:rPr>
          <w:rFonts w:ascii="Times New Roman" w:hAnsi="Times New Roman" w:cs="Times New Roman"/>
          <w:sz w:val="24"/>
          <w:szCs w:val="24"/>
        </w:rPr>
        <w:t>) and PLWD from rural areas are more likely to live with relatives than those in urban areas</w:t>
      </w:r>
      <w:r w:rsidR="007D6587" w:rsidRPr="00B745A7">
        <w:rPr>
          <w:rFonts w:ascii="Times New Roman" w:hAnsi="Times New Roman" w:cs="Times New Roman"/>
          <w:sz w:val="24"/>
          <w:szCs w:val="24"/>
        </w:rPr>
        <w:t xml:space="preserve"> (</w:t>
      </w:r>
      <w:r w:rsidR="000A15BE" w:rsidRPr="00B745A7">
        <w:rPr>
          <w:rFonts w:ascii="Times New Roman" w:hAnsi="Times New Roman" w:cs="Times New Roman"/>
          <w:sz w:val="24"/>
          <w:szCs w:val="24"/>
        </w:rPr>
        <w:t>Rahman et al., 2020</w:t>
      </w:r>
      <w:r w:rsidR="007D6587" w:rsidRPr="00B745A7">
        <w:rPr>
          <w:rStyle w:val="Hyperlink"/>
          <w:rFonts w:ascii="Times New Roman" w:hAnsi="Times New Roman" w:cs="Times New Roman"/>
          <w:color w:val="auto"/>
          <w:sz w:val="24"/>
          <w:szCs w:val="24"/>
          <w:u w:val="none"/>
        </w:rPr>
        <w:t>)</w:t>
      </w:r>
      <w:r w:rsidR="00523646" w:rsidRPr="00B745A7">
        <w:rPr>
          <w:rFonts w:ascii="Times New Roman" w:hAnsi="Times New Roman" w:cs="Times New Roman"/>
          <w:sz w:val="24"/>
          <w:szCs w:val="24"/>
        </w:rPr>
        <w:t xml:space="preserve">. Sparsity of local services may also mean </w:t>
      </w:r>
      <w:r w:rsidR="00D264A6" w:rsidRPr="00B745A7">
        <w:rPr>
          <w:rFonts w:ascii="Times New Roman" w:hAnsi="Times New Roman" w:cs="Times New Roman"/>
          <w:sz w:val="24"/>
          <w:szCs w:val="24"/>
        </w:rPr>
        <w:t>PLWD registered with rural GPs</w:t>
      </w:r>
      <w:r w:rsidR="00523646" w:rsidRPr="00B745A7">
        <w:rPr>
          <w:rFonts w:ascii="Times New Roman" w:hAnsi="Times New Roman" w:cs="Times New Roman"/>
          <w:sz w:val="24"/>
          <w:szCs w:val="24"/>
        </w:rPr>
        <w:t xml:space="preserve"> have a greater reliance on</w:t>
      </w:r>
      <w:r w:rsidR="00D264A6" w:rsidRPr="00B745A7">
        <w:rPr>
          <w:rFonts w:ascii="Times New Roman" w:hAnsi="Times New Roman" w:cs="Times New Roman"/>
          <w:sz w:val="24"/>
          <w:szCs w:val="24"/>
        </w:rPr>
        <w:t xml:space="preserve"> </w:t>
      </w:r>
      <w:r w:rsidR="00523646" w:rsidRPr="00B745A7">
        <w:rPr>
          <w:rFonts w:ascii="Times New Roman" w:hAnsi="Times New Roman" w:cs="Times New Roman"/>
          <w:sz w:val="24"/>
          <w:szCs w:val="24"/>
        </w:rPr>
        <w:t>their</w:t>
      </w:r>
      <w:r w:rsidR="00D264A6" w:rsidRPr="00B745A7">
        <w:rPr>
          <w:rFonts w:ascii="Times New Roman" w:hAnsi="Times New Roman" w:cs="Times New Roman"/>
          <w:sz w:val="24"/>
          <w:szCs w:val="24"/>
        </w:rPr>
        <w:t xml:space="preserve"> GP to act as gatekeeper to diagnosis and treatment</w:t>
      </w:r>
      <w:r w:rsidR="00D06CFA" w:rsidRPr="00B745A7">
        <w:rPr>
          <w:rFonts w:ascii="Times New Roman" w:hAnsi="Times New Roman" w:cs="Times New Roman"/>
          <w:sz w:val="24"/>
          <w:szCs w:val="24"/>
        </w:rPr>
        <w:t xml:space="preserve"> (</w:t>
      </w:r>
      <w:proofErr w:type="spellStart"/>
      <w:r w:rsidR="000A15BE" w:rsidRPr="00B745A7">
        <w:rPr>
          <w:rFonts w:ascii="Times New Roman" w:hAnsi="Times New Roman" w:cs="Times New Roman"/>
          <w:sz w:val="24"/>
          <w:szCs w:val="24"/>
        </w:rPr>
        <w:t>Szymczynska</w:t>
      </w:r>
      <w:proofErr w:type="spellEnd"/>
      <w:r w:rsidR="000A15BE" w:rsidRPr="00B745A7">
        <w:rPr>
          <w:rFonts w:ascii="Times New Roman" w:hAnsi="Times New Roman" w:cs="Times New Roman"/>
          <w:sz w:val="24"/>
          <w:szCs w:val="24"/>
        </w:rPr>
        <w:t xml:space="preserve"> et al., 2011</w:t>
      </w:r>
      <w:r w:rsidR="00D06CFA" w:rsidRPr="00B745A7">
        <w:rPr>
          <w:rFonts w:ascii="Times New Roman" w:hAnsi="Times New Roman" w:cs="Times New Roman"/>
          <w:sz w:val="24"/>
          <w:szCs w:val="24"/>
        </w:rPr>
        <w:t>)</w:t>
      </w:r>
      <w:r w:rsidR="00523646" w:rsidRPr="00B745A7">
        <w:rPr>
          <w:rFonts w:ascii="Times New Roman" w:hAnsi="Times New Roman" w:cs="Times New Roman"/>
          <w:sz w:val="24"/>
          <w:szCs w:val="24"/>
        </w:rPr>
        <w:t xml:space="preserve">. </w:t>
      </w:r>
      <w:r w:rsidR="00B567C2" w:rsidRPr="00B745A7">
        <w:rPr>
          <w:rFonts w:ascii="Times New Roman" w:hAnsi="Times New Roman" w:cs="Times New Roman"/>
          <w:sz w:val="24"/>
          <w:szCs w:val="24"/>
        </w:rPr>
        <w:t>This emphasised reliance on GPs, along with few available services may result in a lack of care management and effective treatment (</w:t>
      </w:r>
      <w:proofErr w:type="spellStart"/>
      <w:r w:rsidR="000A15BE" w:rsidRPr="00B745A7">
        <w:rPr>
          <w:rFonts w:ascii="Times New Roman" w:hAnsi="Times New Roman" w:cs="Times New Roman"/>
          <w:sz w:val="24"/>
          <w:szCs w:val="24"/>
        </w:rPr>
        <w:t>Bayly</w:t>
      </w:r>
      <w:proofErr w:type="spellEnd"/>
      <w:r w:rsidR="000A15BE" w:rsidRPr="00B745A7">
        <w:rPr>
          <w:rFonts w:ascii="Times New Roman" w:hAnsi="Times New Roman" w:cs="Times New Roman"/>
          <w:sz w:val="24"/>
          <w:szCs w:val="24"/>
        </w:rPr>
        <w:t xml:space="preserve"> et al., 2020</w:t>
      </w:r>
      <w:r w:rsidR="00B567C2" w:rsidRPr="00B745A7">
        <w:rPr>
          <w:rFonts w:ascii="Times New Roman" w:hAnsi="Times New Roman" w:cs="Times New Roman"/>
          <w:sz w:val="24"/>
          <w:szCs w:val="24"/>
        </w:rPr>
        <w:t xml:space="preserve">; </w:t>
      </w:r>
      <w:r w:rsidR="000A15BE" w:rsidRPr="00B745A7">
        <w:rPr>
          <w:rFonts w:ascii="Times New Roman" w:hAnsi="Times New Roman" w:cs="Times New Roman"/>
          <w:sz w:val="24"/>
          <w:szCs w:val="24"/>
        </w:rPr>
        <w:t>Dal Bello-Haas et al., 2014</w:t>
      </w:r>
      <w:r w:rsidR="00B567C2" w:rsidRPr="00B745A7">
        <w:rPr>
          <w:rFonts w:ascii="Times New Roman" w:hAnsi="Times New Roman" w:cs="Times New Roman"/>
          <w:sz w:val="24"/>
          <w:szCs w:val="24"/>
        </w:rPr>
        <w:t>), which can lead to a greater need for more acute, emergency healthcare, including A&amp;E attendances.</w:t>
      </w:r>
    </w:p>
    <w:p w14:paraId="0C9D41FB" w14:textId="4B33F1F4" w:rsidR="00B72BC2" w:rsidRPr="00B745A7" w:rsidRDefault="007166CE" w:rsidP="00AD5F19">
      <w:pPr>
        <w:spacing w:line="480" w:lineRule="auto"/>
        <w:jc w:val="both"/>
        <w:rPr>
          <w:rFonts w:ascii="Times New Roman" w:hAnsi="Times New Roman" w:cs="Times New Roman"/>
          <w:b/>
          <w:sz w:val="24"/>
          <w:szCs w:val="24"/>
        </w:rPr>
      </w:pPr>
      <w:r w:rsidRPr="00B745A7">
        <w:rPr>
          <w:rFonts w:ascii="Times New Roman" w:hAnsi="Times New Roman" w:cs="Times New Roman"/>
          <w:b/>
          <w:sz w:val="24"/>
          <w:szCs w:val="24"/>
        </w:rPr>
        <w:t>Limitations</w:t>
      </w:r>
    </w:p>
    <w:p w14:paraId="4BA598B0" w14:textId="284D1376" w:rsidR="00636DF7" w:rsidRPr="00B745A7" w:rsidRDefault="00064162" w:rsidP="00756CEB">
      <w:pPr>
        <w:spacing w:line="480" w:lineRule="auto"/>
        <w:ind w:firstLine="720"/>
        <w:jc w:val="both"/>
        <w:rPr>
          <w:rFonts w:ascii="Times New Roman" w:hAnsi="Times New Roman" w:cs="Times New Roman"/>
          <w:sz w:val="24"/>
          <w:szCs w:val="24"/>
        </w:rPr>
      </w:pPr>
      <w:r w:rsidRPr="00B745A7">
        <w:rPr>
          <w:rFonts w:ascii="Times New Roman" w:hAnsi="Times New Roman" w:cs="Times New Roman"/>
          <w:sz w:val="24"/>
          <w:szCs w:val="24"/>
        </w:rPr>
        <w:t xml:space="preserve">We </w:t>
      </w:r>
      <w:r w:rsidR="00AD3E6D" w:rsidRPr="00B745A7">
        <w:rPr>
          <w:rFonts w:ascii="Times New Roman" w:hAnsi="Times New Roman" w:cs="Times New Roman"/>
          <w:sz w:val="24"/>
          <w:szCs w:val="24"/>
        </w:rPr>
        <w:t xml:space="preserve">have </w:t>
      </w:r>
      <w:r w:rsidRPr="00B745A7">
        <w:rPr>
          <w:rFonts w:ascii="Times New Roman" w:hAnsi="Times New Roman" w:cs="Times New Roman"/>
          <w:sz w:val="24"/>
          <w:szCs w:val="24"/>
        </w:rPr>
        <w:t>included</w:t>
      </w:r>
      <w:r w:rsidR="00AD3E6D" w:rsidRPr="00B745A7">
        <w:rPr>
          <w:rFonts w:ascii="Times New Roman" w:hAnsi="Times New Roman" w:cs="Times New Roman"/>
          <w:sz w:val="24"/>
          <w:szCs w:val="24"/>
        </w:rPr>
        <w:t xml:space="preserve"> </w:t>
      </w:r>
      <w:r w:rsidRPr="00B745A7">
        <w:rPr>
          <w:rFonts w:ascii="Times New Roman" w:hAnsi="Times New Roman" w:cs="Times New Roman"/>
          <w:sz w:val="24"/>
          <w:szCs w:val="24"/>
        </w:rPr>
        <w:t>over 120 million records of</w:t>
      </w:r>
      <w:r w:rsidR="00AD3E6D" w:rsidRPr="00B745A7">
        <w:rPr>
          <w:rFonts w:ascii="Times New Roman" w:hAnsi="Times New Roman" w:cs="Times New Roman"/>
          <w:sz w:val="24"/>
          <w:szCs w:val="24"/>
        </w:rPr>
        <w:t xml:space="preserve"> primary and secondary healthcare contacts for 142,302 people diagnosed with dementia</w:t>
      </w:r>
      <w:r w:rsidRPr="00B745A7">
        <w:rPr>
          <w:rFonts w:ascii="Times New Roman" w:hAnsi="Times New Roman" w:cs="Times New Roman"/>
          <w:sz w:val="24"/>
          <w:szCs w:val="24"/>
        </w:rPr>
        <w:t xml:space="preserve"> in England. We have identified social and spatial differences </w:t>
      </w:r>
      <w:r w:rsidR="00AD3E6D" w:rsidRPr="00B745A7">
        <w:rPr>
          <w:rFonts w:ascii="Times New Roman" w:hAnsi="Times New Roman" w:cs="Times New Roman"/>
          <w:sz w:val="24"/>
          <w:szCs w:val="24"/>
        </w:rPr>
        <w:t xml:space="preserve">in the frequency and likelihood of </w:t>
      </w:r>
      <w:r w:rsidRPr="00B745A7">
        <w:rPr>
          <w:rFonts w:ascii="Times New Roman" w:hAnsi="Times New Roman" w:cs="Times New Roman"/>
          <w:sz w:val="24"/>
          <w:szCs w:val="24"/>
        </w:rPr>
        <w:t xml:space="preserve">contact with six different types of healthcare, highlighting </w:t>
      </w:r>
      <w:r w:rsidR="00B968B2" w:rsidRPr="00B745A7">
        <w:rPr>
          <w:rFonts w:ascii="Times New Roman" w:hAnsi="Times New Roman" w:cs="Times New Roman"/>
          <w:sz w:val="24"/>
          <w:szCs w:val="24"/>
        </w:rPr>
        <w:t>variation</w:t>
      </w:r>
      <w:r w:rsidR="00696E2E" w:rsidRPr="00B745A7">
        <w:rPr>
          <w:rFonts w:ascii="Times New Roman" w:hAnsi="Times New Roman" w:cs="Times New Roman"/>
          <w:sz w:val="24"/>
          <w:szCs w:val="24"/>
        </w:rPr>
        <w:t>s</w:t>
      </w:r>
      <w:r w:rsidR="00B968B2" w:rsidRPr="00B745A7">
        <w:rPr>
          <w:rFonts w:ascii="Times New Roman" w:hAnsi="Times New Roman" w:cs="Times New Roman"/>
          <w:sz w:val="24"/>
          <w:szCs w:val="24"/>
        </w:rPr>
        <w:t xml:space="preserve"> </w:t>
      </w:r>
      <w:r w:rsidRPr="00B745A7">
        <w:rPr>
          <w:rFonts w:ascii="Times New Roman" w:hAnsi="Times New Roman" w:cs="Times New Roman"/>
          <w:sz w:val="24"/>
          <w:szCs w:val="24"/>
        </w:rPr>
        <w:t xml:space="preserve">in potentially </w:t>
      </w:r>
      <w:r w:rsidR="00AD3E6D" w:rsidRPr="00B745A7">
        <w:rPr>
          <w:rFonts w:ascii="Times New Roman" w:hAnsi="Times New Roman" w:cs="Times New Roman"/>
          <w:sz w:val="24"/>
          <w:szCs w:val="24"/>
        </w:rPr>
        <w:t xml:space="preserve">avoidable </w:t>
      </w:r>
      <w:r w:rsidRPr="00B745A7">
        <w:rPr>
          <w:rFonts w:ascii="Times New Roman" w:hAnsi="Times New Roman" w:cs="Times New Roman"/>
          <w:sz w:val="24"/>
          <w:szCs w:val="24"/>
        </w:rPr>
        <w:t>s</w:t>
      </w:r>
      <w:r w:rsidR="00AD3E6D" w:rsidRPr="00B745A7">
        <w:rPr>
          <w:rFonts w:ascii="Times New Roman" w:hAnsi="Times New Roman" w:cs="Times New Roman"/>
          <w:sz w:val="24"/>
          <w:szCs w:val="24"/>
        </w:rPr>
        <w:t xml:space="preserve">ervice use, and </w:t>
      </w:r>
      <w:r w:rsidRPr="00B745A7">
        <w:rPr>
          <w:rFonts w:ascii="Times New Roman" w:hAnsi="Times New Roman" w:cs="Times New Roman"/>
          <w:sz w:val="24"/>
          <w:szCs w:val="24"/>
        </w:rPr>
        <w:t xml:space="preserve">healthcare </w:t>
      </w:r>
      <w:r w:rsidR="00AD3E6D" w:rsidRPr="00B745A7">
        <w:rPr>
          <w:rFonts w:ascii="Times New Roman" w:hAnsi="Times New Roman" w:cs="Times New Roman"/>
          <w:sz w:val="24"/>
          <w:szCs w:val="24"/>
        </w:rPr>
        <w:t xml:space="preserve">use more closely associated with negative health outcomes. </w:t>
      </w:r>
      <w:r w:rsidR="008E4F6A" w:rsidRPr="00B745A7">
        <w:rPr>
          <w:rFonts w:ascii="Times New Roman" w:hAnsi="Times New Roman" w:cs="Times New Roman"/>
          <w:sz w:val="24"/>
          <w:szCs w:val="24"/>
        </w:rPr>
        <w:t xml:space="preserve">There are potential issues with bias and representativeness of </w:t>
      </w:r>
      <w:r w:rsidR="002D772D" w:rsidRPr="00B745A7">
        <w:rPr>
          <w:rFonts w:ascii="Times New Roman" w:hAnsi="Times New Roman" w:cs="Times New Roman"/>
          <w:sz w:val="24"/>
          <w:szCs w:val="24"/>
        </w:rPr>
        <w:t xml:space="preserve">the </w:t>
      </w:r>
      <w:r w:rsidR="008E4F6A" w:rsidRPr="00B745A7">
        <w:rPr>
          <w:rFonts w:ascii="Times New Roman" w:hAnsi="Times New Roman" w:cs="Times New Roman"/>
          <w:sz w:val="24"/>
          <w:szCs w:val="24"/>
        </w:rPr>
        <w:t>population being studied.</w:t>
      </w:r>
      <w:r w:rsidR="002D772D" w:rsidRPr="00B745A7">
        <w:rPr>
          <w:rFonts w:ascii="Times New Roman" w:hAnsi="Times New Roman" w:cs="Times New Roman"/>
          <w:sz w:val="24"/>
          <w:szCs w:val="24"/>
        </w:rPr>
        <w:t xml:space="preserve"> </w:t>
      </w:r>
      <w:r w:rsidR="007E4578" w:rsidRPr="00B745A7">
        <w:rPr>
          <w:rFonts w:ascii="Times New Roman" w:hAnsi="Times New Roman" w:cs="Times New Roman"/>
          <w:sz w:val="24"/>
          <w:szCs w:val="24"/>
        </w:rPr>
        <w:t xml:space="preserve">Given the nature of dementia and process of diagnosis, it is difficult to pinpoint the exact date of diagnosis in health records. </w:t>
      </w:r>
      <w:r w:rsidR="00286F78" w:rsidRPr="00B745A7">
        <w:rPr>
          <w:rFonts w:ascii="Times New Roman" w:hAnsi="Times New Roman" w:cs="Times New Roman"/>
          <w:sz w:val="24"/>
          <w:szCs w:val="24"/>
        </w:rPr>
        <w:t>While</w:t>
      </w:r>
      <w:r w:rsidR="007E4578" w:rsidRPr="00B745A7">
        <w:rPr>
          <w:rFonts w:ascii="Times New Roman" w:hAnsi="Times New Roman" w:cs="Times New Roman"/>
          <w:sz w:val="24"/>
          <w:szCs w:val="24"/>
        </w:rPr>
        <w:t xml:space="preserve"> there are methods to test for symptoms of dementia, they are not prevalent</w:t>
      </w:r>
      <w:r w:rsidR="00286F78" w:rsidRPr="00B745A7">
        <w:rPr>
          <w:rFonts w:ascii="Times New Roman" w:hAnsi="Times New Roman" w:cs="Times New Roman"/>
          <w:sz w:val="24"/>
          <w:szCs w:val="24"/>
        </w:rPr>
        <w:t xml:space="preserve"> in </w:t>
      </w:r>
      <w:r w:rsidR="00020E1B" w:rsidRPr="00B745A7">
        <w:rPr>
          <w:rFonts w:ascii="Times New Roman" w:hAnsi="Times New Roman" w:cs="Times New Roman"/>
          <w:sz w:val="24"/>
          <w:szCs w:val="24"/>
        </w:rPr>
        <w:t>primary healthcare</w:t>
      </w:r>
      <w:r w:rsidR="007E4578" w:rsidRPr="00B745A7">
        <w:rPr>
          <w:rFonts w:ascii="Times New Roman" w:hAnsi="Times New Roman" w:cs="Times New Roman"/>
          <w:sz w:val="24"/>
          <w:szCs w:val="24"/>
        </w:rPr>
        <w:t>, consistent</w:t>
      </w:r>
      <w:r w:rsidR="00286F78" w:rsidRPr="00B745A7">
        <w:rPr>
          <w:rFonts w:ascii="Times New Roman" w:hAnsi="Times New Roman" w:cs="Times New Roman"/>
          <w:sz w:val="24"/>
          <w:szCs w:val="24"/>
        </w:rPr>
        <w:t>ly applied</w:t>
      </w:r>
      <w:r w:rsidR="007E4578" w:rsidRPr="00B745A7">
        <w:rPr>
          <w:rFonts w:ascii="Times New Roman" w:hAnsi="Times New Roman" w:cs="Times New Roman"/>
          <w:sz w:val="24"/>
          <w:szCs w:val="24"/>
        </w:rPr>
        <w:t xml:space="preserve">, or </w:t>
      </w:r>
      <w:r w:rsidR="00286F78" w:rsidRPr="00B745A7">
        <w:rPr>
          <w:rFonts w:ascii="Times New Roman" w:hAnsi="Times New Roman" w:cs="Times New Roman"/>
          <w:sz w:val="24"/>
          <w:szCs w:val="24"/>
        </w:rPr>
        <w:t xml:space="preserve">always </w:t>
      </w:r>
      <w:r w:rsidR="007E4578" w:rsidRPr="00B745A7">
        <w:rPr>
          <w:rFonts w:ascii="Times New Roman" w:hAnsi="Times New Roman" w:cs="Times New Roman"/>
          <w:sz w:val="24"/>
          <w:szCs w:val="24"/>
        </w:rPr>
        <w:t>appropriate, and there remains a reliance on clinical judgement during healthcare contacts (</w:t>
      </w:r>
      <w:proofErr w:type="spellStart"/>
      <w:r w:rsidR="000A15BE" w:rsidRPr="00B745A7">
        <w:rPr>
          <w:rStyle w:val="Hyperlink"/>
          <w:rFonts w:ascii="Times New Roman" w:hAnsi="Times New Roman" w:cs="Times New Roman"/>
          <w:color w:val="auto"/>
          <w:sz w:val="24"/>
          <w:szCs w:val="24"/>
          <w:u w:val="none"/>
        </w:rPr>
        <w:t>Chithiramohan</w:t>
      </w:r>
      <w:proofErr w:type="spellEnd"/>
      <w:r w:rsidR="000A15BE" w:rsidRPr="00B745A7">
        <w:rPr>
          <w:rStyle w:val="Hyperlink"/>
          <w:rFonts w:ascii="Times New Roman" w:hAnsi="Times New Roman" w:cs="Times New Roman"/>
          <w:color w:val="auto"/>
          <w:sz w:val="24"/>
          <w:szCs w:val="24"/>
          <w:u w:val="none"/>
        </w:rPr>
        <w:t xml:space="preserve"> et al., 2019</w:t>
      </w:r>
      <w:r w:rsidR="007E4578" w:rsidRPr="00B745A7">
        <w:rPr>
          <w:rStyle w:val="Hyperlink"/>
          <w:rFonts w:ascii="Times New Roman" w:hAnsi="Times New Roman" w:cs="Times New Roman"/>
          <w:color w:val="auto"/>
          <w:sz w:val="24"/>
          <w:szCs w:val="24"/>
          <w:u w:val="none"/>
        </w:rPr>
        <w:t xml:space="preserve">; </w:t>
      </w:r>
      <w:proofErr w:type="spellStart"/>
      <w:r w:rsidR="000A15BE" w:rsidRPr="00B745A7">
        <w:rPr>
          <w:rFonts w:ascii="Times New Roman" w:hAnsi="Times New Roman" w:cs="Times New Roman"/>
          <w:sz w:val="24"/>
          <w:szCs w:val="24"/>
        </w:rPr>
        <w:t>Creavin</w:t>
      </w:r>
      <w:proofErr w:type="spellEnd"/>
      <w:r w:rsidR="000A15BE" w:rsidRPr="00B745A7">
        <w:rPr>
          <w:rFonts w:ascii="Times New Roman" w:hAnsi="Times New Roman" w:cs="Times New Roman"/>
          <w:sz w:val="24"/>
          <w:szCs w:val="24"/>
        </w:rPr>
        <w:t xml:space="preserve"> et al., 2017</w:t>
      </w:r>
      <w:r w:rsidR="007E4578" w:rsidRPr="00B745A7">
        <w:rPr>
          <w:rFonts w:ascii="Times New Roman" w:hAnsi="Times New Roman" w:cs="Times New Roman"/>
          <w:sz w:val="24"/>
          <w:szCs w:val="24"/>
        </w:rPr>
        <w:t xml:space="preserve">; </w:t>
      </w:r>
      <w:r w:rsidR="000A15BE" w:rsidRPr="00B745A7">
        <w:rPr>
          <w:rFonts w:ascii="Times New Roman" w:hAnsi="Times New Roman" w:cs="Times New Roman"/>
          <w:sz w:val="24"/>
          <w:szCs w:val="24"/>
        </w:rPr>
        <w:t>Lin et al., 2015</w:t>
      </w:r>
      <w:r w:rsidR="007E4578" w:rsidRPr="00B745A7">
        <w:rPr>
          <w:rFonts w:ascii="Times New Roman" w:hAnsi="Times New Roman" w:cs="Times New Roman"/>
          <w:sz w:val="24"/>
          <w:szCs w:val="24"/>
        </w:rPr>
        <w:t>). Lack of GP time, confidence in diagnosing, or lack of knowledge of dementia in primary care may result in issues around the diagnosis (</w:t>
      </w:r>
      <w:bookmarkStart w:id="37" w:name="_Hlk101266252"/>
      <w:r w:rsidR="007E4578" w:rsidRPr="00B745A7">
        <w:rPr>
          <w:rFonts w:ascii="Times New Roman" w:hAnsi="Times New Roman" w:cs="Times New Roman"/>
          <w:sz w:val="24"/>
          <w:szCs w:val="24"/>
        </w:rPr>
        <w:t>Phillips et al., 2012</w:t>
      </w:r>
      <w:bookmarkEnd w:id="37"/>
      <w:r w:rsidR="007E4578" w:rsidRPr="00B745A7">
        <w:rPr>
          <w:rFonts w:ascii="Times New Roman" w:hAnsi="Times New Roman" w:cs="Times New Roman"/>
          <w:sz w:val="24"/>
          <w:szCs w:val="24"/>
        </w:rPr>
        <w:t xml:space="preserve">). </w:t>
      </w:r>
      <w:r w:rsidR="008C3C8B" w:rsidRPr="00B745A7">
        <w:rPr>
          <w:rFonts w:ascii="Times New Roman" w:hAnsi="Times New Roman" w:cs="Times New Roman"/>
          <w:sz w:val="24"/>
          <w:szCs w:val="24"/>
        </w:rPr>
        <w:t xml:space="preserve">This </w:t>
      </w:r>
      <w:r w:rsidR="00272B27" w:rsidRPr="00B745A7">
        <w:rPr>
          <w:rFonts w:ascii="Times New Roman" w:hAnsi="Times New Roman" w:cs="Times New Roman"/>
          <w:sz w:val="24"/>
          <w:szCs w:val="24"/>
        </w:rPr>
        <w:t>means</w:t>
      </w:r>
      <w:r w:rsidR="008C3C8B" w:rsidRPr="00B745A7">
        <w:rPr>
          <w:rFonts w:ascii="Times New Roman" w:hAnsi="Times New Roman" w:cs="Times New Roman"/>
          <w:sz w:val="24"/>
          <w:szCs w:val="24"/>
        </w:rPr>
        <w:t xml:space="preserve"> fewer PLWD will have an official diagnosis, which impacts some socio-economic groups more than others, our findings </w:t>
      </w:r>
      <w:r w:rsidR="00B27E90" w:rsidRPr="00B745A7">
        <w:rPr>
          <w:rFonts w:ascii="Times New Roman" w:hAnsi="Times New Roman" w:cs="Times New Roman"/>
          <w:sz w:val="24"/>
          <w:szCs w:val="24"/>
        </w:rPr>
        <w:t xml:space="preserve">may </w:t>
      </w:r>
      <w:r w:rsidR="008C3C8B" w:rsidRPr="00B745A7">
        <w:rPr>
          <w:rFonts w:ascii="Times New Roman" w:hAnsi="Times New Roman" w:cs="Times New Roman"/>
          <w:sz w:val="24"/>
          <w:szCs w:val="24"/>
        </w:rPr>
        <w:t xml:space="preserve">not </w:t>
      </w:r>
      <w:r w:rsidR="00B27E90" w:rsidRPr="00B745A7">
        <w:rPr>
          <w:rFonts w:ascii="Times New Roman" w:hAnsi="Times New Roman" w:cs="Times New Roman"/>
          <w:sz w:val="24"/>
          <w:szCs w:val="24"/>
        </w:rPr>
        <w:t xml:space="preserve">therefore </w:t>
      </w:r>
      <w:r w:rsidR="008C3C8B" w:rsidRPr="00B745A7">
        <w:rPr>
          <w:rFonts w:ascii="Times New Roman" w:hAnsi="Times New Roman" w:cs="Times New Roman"/>
          <w:sz w:val="24"/>
          <w:szCs w:val="24"/>
        </w:rPr>
        <w:t xml:space="preserve">be reflective of the entire population of PLWD. </w:t>
      </w:r>
      <w:r w:rsidR="00286F78" w:rsidRPr="00B745A7">
        <w:rPr>
          <w:rFonts w:ascii="Times New Roman" w:hAnsi="Times New Roman" w:cs="Times New Roman"/>
          <w:sz w:val="24"/>
          <w:szCs w:val="24"/>
        </w:rPr>
        <w:t xml:space="preserve">While we have access to </w:t>
      </w:r>
      <w:r w:rsidR="007E4578" w:rsidRPr="00B745A7">
        <w:rPr>
          <w:rFonts w:ascii="Times New Roman" w:hAnsi="Times New Roman" w:cs="Times New Roman"/>
          <w:sz w:val="24"/>
          <w:szCs w:val="24"/>
        </w:rPr>
        <w:t>s</w:t>
      </w:r>
      <w:r w:rsidR="002D772D" w:rsidRPr="00B745A7">
        <w:rPr>
          <w:rFonts w:ascii="Times New Roman" w:hAnsi="Times New Roman" w:cs="Times New Roman"/>
          <w:sz w:val="24"/>
          <w:szCs w:val="24"/>
        </w:rPr>
        <w:t>ocio-economic and demographic variables</w:t>
      </w:r>
      <w:r w:rsidR="00286F78" w:rsidRPr="00B745A7">
        <w:rPr>
          <w:rFonts w:ascii="Times New Roman" w:hAnsi="Times New Roman" w:cs="Times New Roman"/>
          <w:sz w:val="24"/>
          <w:szCs w:val="24"/>
        </w:rPr>
        <w:t xml:space="preserve"> to allow adjustment for their influences </w:t>
      </w:r>
      <w:r w:rsidR="00286F78" w:rsidRPr="00B745A7">
        <w:rPr>
          <w:rFonts w:ascii="Times New Roman" w:hAnsi="Times New Roman" w:cs="Times New Roman"/>
          <w:sz w:val="24"/>
          <w:szCs w:val="24"/>
        </w:rPr>
        <w:lastRenderedPageBreak/>
        <w:t>in analyses,</w:t>
      </w:r>
      <w:r w:rsidR="002D772D" w:rsidRPr="00B745A7">
        <w:rPr>
          <w:rFonts w:ascii="Times New Roman" w:hAnsi="Times New Roman" w:cs="Times New Roman"/>
          <w:sz w:val="24"/>
          <w:szCs w:val="24"/>
        </w:rPr>
        <w:t xml:space="preserve"> some population groups </w:t>
      </w:r>
      <w:r w:rsidR="007E4578" w:rsidRPr="00B745A7">
        <w:rPr>
          <w:rFonts w:ascii="Times New Roman" w:hAnsi="Times New Roman" w:cs="Times New Roman"/>
          <w:sz w:val="24"/>
          <w:szCs w:val="24"/>
        </w:rPr>
        <w:t>are</w:t>
      </w:r>
      <w:r w:rsidR="002D772D" w:rsidRPr="00B745A7">
        <w:rPr>
          <w:rFonts w:ascii="Times New Roman" w:hAnsi="Times New Roman" w:cs="Times New Roman"/>
          <w:sz w:val="24"/>
          <w:szCs w:val="24"/>
        </w:rPr>
        <w:t xml:space="preserve"> under-represented through lack of dementia diagnoses</w:t>
      </w:r>
      <w:r w:rsidR="00272B27" w:rsidRPr="00B745A7">
        <w:rPr>
          <w:rFonts w:ascii="Times New Roman" w:hAnsi="Times New Roman" w:cs="Times New Roman"/>
          <w:sz w:val="24"/>
          <w:szCs w:val="24"/>
        </w:rPr>
        <w:t xml:space="preserve">, including </w:t>
      </w:r>
      <w:r w:rsidR="00DA6CE7" w:rsidRPr="00B745A7">
        <w:rPr>
          <w:rFonts w:ascii="Times New Roman" w:hAnsi="Times New Roman" w:cs="Times New Roman"/>
          <w:sz w:val="24"/>
          <w:szCs w:val="24"/>
        </w:rPr>
        <w:t xml:space="preserve">people from an ethnic minority background and those living in more deprived areas </w:t>
      </w:r>
      <w:r w:rsidR="002D772D" w:rsidRPr="00B745A7">
        <w:rPr>
          <w:rFonts w:ascii="Times New Roman" w:hAnsi="Times New Roman" w:cs="Times New Roman"/>
          <w:sz w:val="24"/>
          <w:szCs w:val="24"/>
        </w:rPr>
        <w:t xml:space="preserve">(Connolly et al., 2011; Pham et al., 2018). </w:t>
      </w:r>
      <w:r w:rsidR="00286F78" w:rsidRPr="00B745A7">
        <w:rPr>
          <w:rFonts w:ascii="Times New Roman" w:hAnsi="Times New Roman" w:cs="Times New Roman"/>
          <w:sz w:val="24"/>
          <w:szCs w:val="24"/>
        </w:rPr>
        <w:t xml:space="preserve">This may result in selection bias being introduced in our data, including biasing the </w:t>
      </w:r>
      <w:r w:rsidR="008E4F6A" w:rsidRPr="00B745A7">
        <w:rPr>
          <w:rFonts w:ascii="Times New Roman" w:hAnsi="Times New Roman" w:cs="Times New Roman"/>
          <w:sz w:val="24"/>
          <w:szCs w:val="24"/>
        </w:rPr>
        <w:t>association</w:t>
      </w:r>
      <w:r w:rsidR="00A569D7" w:rsidRPr="00B745A7">
        <w:rPr>
          <w:rFonts w:ascii="Times New Roman" w:hAnsi="Times New Roman" w:cs="Times New Roman"/>
          <w:sz w:val="24"/>
          <w:szCs w:val="24"/>
        </w:rPr>
        <w:t>s</w:t>
      </w:r>
      <w:r w:rsidR="008E4F6A" w:rsidRPr="00B745A7">
        <w:rPr>
          <w:rFonts w:ascii="Times New Roman" w:hAnsi="Times New Roman" w:cs="Times New Roman"/>
          <w:sz w:val="24"/>
          <w:szCs w:val="24"/>
        </w:rPr>
        <w:t xml:space="preserve"> between </w:t>
      </w:r>
      <w:r w:rsidR="00286F78" w:rsidRPr="00B745A7">
        <w:rPr>
          <w:rFonts w:ascii="Times New Roman" w:hAnsi="Times New Roman" w:cs="Times New Roman"/>
          <w:sz w:val="24"/>
          <w:szCs w:val="24"/>
        </w:rPr>
        <w:t xml:space="preserve">our exposures and </w:t>
      </w:r>
      <w:r w:rsidR="00A569D7" w:rsidRPr="00B745A7">
        <w:rPr>
          <w:rFonts w:ascii="Times New Roman" w:hAnsi="Times New Roman" w:cs="Times New Roman"/>
          <w:sz w:val="24"/>
          <w:szCs w:val="24"/>
        </w:rPr>
        <w:t>outcomes</w:t>
      </w:r>
      <w:r w:rsidR="00CB459F" w:rsidRPr="00B745A7">
        <w:rPr>
          <w:rFonts w:ascii="Times New Roman" w:hAnsi="Times New Roman" w:cs="Times New Roman"/>
          <w:sz w:val="24"/>
          <w:szCs w:val="24"/>
        </w:rPr>
        <w:t xml:space="preserve"> (</w:t>
      </w:r>
      <w:bookmarkStart w:id="38" w:name="_Hlk101266309"/>
      <w:proofErr w:type="spellStart"/>
      <w:r w:rsidR="00CB459F" w:rsidRPr="00B745A7">
        <w:rPr>
          <w:rFonts w:ascii="Times New Roman" w:hAnsi="Times New Roman" w:cs="Times New Roman"/>
          <w:sz w:val="24"/>
          <w:szCs w:val="24"/>
        </w:rPr>
        <w:t>Hindorff</w:t>
      </w:r>
      <w:proofErr w:type="spellEnd"/>
      <w:r w:rsidR="00CB459F" w:rsidRPr="00B745A7">
        <w:rPr>
          <w:rFonts w:ascii="Times New Roman" w:hAnsi="Times New Roman" w:cs="Times New Roman"/>
          <w:sz w:val="24"/>
          <w:szCs w:val="24"/>
        </w:rPr>
        <w:t>, Bonham and Ohno-Machado, 2018</w:t>
      </w:r>
      <w:bookmarkEnd w:id="38"/>
      <w:r w:rsidR="00CB459F" w:rsidRPr="00B745A7">
        <w:rPr>
          <w:rFonts w:ascii="Times New Roman" w:hAnsi="Times New Roman" w:cs="Times New Roman"/>
          <w:sz w:val="24"/>
          <w:szCs w:val="24"/>
        </w:rPr>
        <w:t xml:space="preserve">; </w:t>
      </w:r>
      <w:bookmarkStart w:id="39" w:name="_Hlk101266314"/>
      <w:r w:rsidR="00CB459F" w:rsidRPr="00B745A7">
        <w:rPr>
          <w:rFonts w:ascii="Times New Roman" w:hAnsi="Times New Roman" w:cs="Times New Roman"/>
          <w:sz w:val="24"/>
          <w:szCs w:val="24"/>
        </w:rPr>
        <w:t>Williams and Cooper, 2019</w:t>
      </w:r>
      <w:bookmarkEnd w:id="39"/>
      <w:r w:rsidR="00CB459F" w:rsidRPr="00B745A7">
        <w:rPr>
          <w:rFonts w:ascii="Times New Roman" w:hAnsi="Times New Roman" w:cs="Times New Roman"/>
          <w:sz w:val="24"/>
          <w:szCs w:val="24"/>
        </w:rPr>
        <w:t>)</w:t>
      </w:r>
      <w:r w:rsidR="00824D37" w:rsidRPr="00B745A7">
        <w:rPr>
          <w:rFonts w:ascii="Times New Roman" w:hAnsi="Times New Roman" w:cs="Times New Roman"/>
          <w:sz w:val="24"/>
          <w:szCs w:val="24"/>
        </w:rPr>
        <w:t xml:space="preserve">. </w:t>
      </w:r>
      <w:r w:rsidR="007E4578" w:rsidRPr="00B745A7">
        <w:rPr>
          <w:rFonts w:ascii="Times New Roman" w:hAnsi="Times New Roman" w:cs="Times New Roman"/>
          <w:sz w:val="24"/>
          <w:szCs w:val="24"/>
        </w:rPr>
        <w:t>T</w:t>
      </w:r>
      <w:r w:rsidR="002708CD" w:rsidRPr="00B745A7">
        <w:rPr>
          <w:rFonts w:ascii="Times New Roman" w:hAnsi="Times New Roman" w:cs="Times New Roman"/>
          <w:sz w:val="24"/>
          <w:szCs w:val="24"/>
        </w:rPr>
        <w:t>here is a need to improve data collection</w:t>
      </w:r>
      <w:r w:rsidR="007E4578" w:rsidRPr="00B745A7">
        <w:rPr>
          <w:rFonts w:ascii="Times New Roman" w:hAnsi="Times New Roman" w:cs="Times New Roman"/>
          <w:sz w:val="24"/>
          <w:szCs w:val="24"/>
        </w:rPr>
        <w:t>, with r</w:t>
      </w:r>
      <w:r w:rsidR="00A569D7" w:rsidRPr="00B745A7">
        <w:rPr>
          <w:rFonts w:ascii="Times New Roman" w:hAnsi="Times New Roman" w:cs="Times New Roman"/>
          <w:sz w:val="24"/>
          <w:szCs w:val="24"/>
        </w:rPr>
        <w:t>outine data</w:t>
      </w:r>
      <w:r w:rsidR="007166CE" w:rsidRPr="00B745A7">
        <w:rPr>
          <w:rFonts w:ascii="Times New Roman" w:hAnsi="Times New Roman" w:cs="Times New Roman"/>
          <w:sz w:val="24"/>
          <w:szCs w:val="24"/>
        </w:rPr>
        <w:t xml:space="preserve"> </w:t>
      </w:r>
      <w:r w:rsidR="007E4578" w:rsidRPr="00B745A7">
        <w:rPr>
          <w:rFonts w:ascii="Times New Roman" w:hAnsi="Times New Roman" w:cs="Times New Roman"/>
          <w:sz w:val="24"/>
          <w:szCs w:val="24"/>
        </w:rPr>
        <w:t>including</w:t>
      </w:r>
      <w:r w:rsidR="000B2E01" w:rsidRPr="00B745A7">
        <w:rPr>
          <w:rFonts w:ascii="Times New Roman" w:hAnsi="Times New Roman" w:cs="Times New Roman"/>
          <w:sz w:val="24"/>
          <w:szCs w:val="24"/>
        </w:rPr>
        <w:t xml:space="preserve"> </w:t>
      </w:r>
      <w:r w:rsidR="00300F51" w:rsidRPr="00B745A7">
        <w:rPr>
          <w:rFonts w:ascii="Times New Roman" w:hAnsi="Times New Roman" w:cs="Times New Roman"/>
          <w:sz w:val="24"/>
          <w:szCs w:val="24"/>
        </w:rPr>
        <w:t>more</w:t>
      </w:r>
      <w:r w:rsidR="000B2E01" w:rsidRPr="00B745A7">
        <w:rPr>
          <w:rFonts w:ascii="Times New Roman" w:hAnsi="Times New Roman" w:cs="Times New Roman"/>
          <w:sz w:val="24"/>
          <w:szCs w:val="24"/>
        </w:rPr>
        <w:t xml:space="preserve"> characteristics</w:t>
      </w:r>
      <w:r w:rsidR="00300F51" w:rsidRPr="00B745A7">
        <w:rPr>
          <w:rFonts w:ascii="Times New Roman" w:hAnsi="Times New Roman" w:cs="Times New Roman"/>
          <w:sz w:val="24"/>
          <w:szCs w:val="24"/>
        </w:rPr>
        <w:t xml:space="preserve"> </w:t>
      </w:r>
      <w:r w:rsidR="007E4578" w:rsidRPr="00B745A7">
        <w:rPr>
          <w:rFonts w:ascii="Times New Roman" w:hAnsi="Times New Roman" w:cs="Times New Roman"/>
          <w:sz w:val="24"/>
          <w:szCs w:val="24"/>
        </w:rPr>
        <w:t>for</w:t>
      </w:r>
      <w:r w:rsidR="00300F51" w:rsidRPr="00B745A7">
        <w:rPr>
          <w:rFonts w:ascii="Times New Roman" w:hAnsi="Times New Roman" w:cs="Times New Roman"/>
          <w:sz w:val="24"/>
          <w:szCs w:val="24"/>
        </w:rPr>
        <w:t xml:space="preserve"> PLWD</w:t>
      </w:r>
      <w:r w:rsidR="00824D37" w:rsidRPr="00B745A7">
        <w:rPr>
          <w:rFonts w:ascii="Times New Roman" w:hAnsi="Times New Roman" w:cs="Times New Roman"/>
          <w:sz w:val="24"/>
          <w:szCs w:val="24"/>
        </w:rPr>
        <w:t>,</w:t>
      </w:r>
      <w:r w:rsidR="000B2E01" w:rsidRPr="00B745A7">
        <w:rPr>
          <w:rFonts w:ascii="Times New Roman" w:hAnsi="Times New Roman" w:cs="Times New Roman"/>
          <w:sz w:val="24"/>
          <w:szCs w:val="24"/>
        </w:rPr>
        <w:t xml:space="preserve"> </w:t>
      </w:r>
      <w:r w:rsidR="00300F51" w:rsidRPr="00B745A7">
        <w:rPr>
          <w:rFonts w:ascii="Times New Roman" w:hAnsi="Times New Roman" w:cs="Times New Roman"/>
          <w:sz w:val="24"/>
          <w:szCs w:val="24"/>
        </w:rPr>
        <w:t>enabling</w:t>
      </w:r>
      <w:r w:rsidR="000B2E01" w:rsidRPr="00B745A7">
        <w:rPr>
          <w:rFonts w:ascii="Times New Roman" w:hAnsi="Times New Roman" w:cs="Times New Roman"/>
          <w:sz w:val="24"/>
          <w:szCs w:val="24"/>
        </w:rPr>
        <w:t xml:space="preserve"> research </w:t>
      </w:r>
      <w:r w:rsidR="00300F51" w:rsidRPr="00B745A7">
        <w:rPr>
          <w:rFonts w:ascii="Times New Roman" w:hAnsi="Times New Roman" w:cs="Times New Roman"/>
          <w:sz w:val="24"/>
          <w:szCs w:val="24"/>
        </w:rPr>
        <w:t xml:space="preserve">to be </w:t>
      </w:r>
      <w:r w:rsidR="007166CE" w:rsidRPr="00B745A7">
        <w:rPr>
          <w:rFonts w:ascii="Times New Roman" w:hAnsi="Times New Roman" w:cs="Times New Roman"/>
          <w:sz w:val="24"/>
          <w:szCs w:val="24"/>
        </w:rPr>
        <w:t>inclusionary and represent</w:t>
      </w:r>
      <w:r w:rsidR="00300F51" w:rsidRPr="00B745A7">
        <w:rPr>
          <w:rFonts w:ascii="Times New Roman" w:hAnsi="Times New Roman" w:cs="Times New Roman"/>
          <w:sz w:val="24"/>
          <w:szCs w:val="24"/>
        </w:rPr>
        <w:t xml:space="preserve"> the </w:t>
      </w:r>
      <w:r w:rsidR="00824D37" w:rsidRPr="00B745A7">
        <w:rPr>
          <w:rFonts w:ascii="Times New Roman" w:hAnsi="Times New Roman" w:cs="Times New Roman"/>
          <w:sz w:val="24"/>
          <w:szCs w:val="24"/>
        </w:rPr>
        <w:t>population being studied</w:t>
      </w:r>
      <w:r w:rsidR="008D3461" w:rsidRPr="00B745A7">
        <w:rPr>
          <w:rFonts w:ascii="Times New Roman" w:hAnsi="Times New Roman" w:cs="Times New Roman"/>
          <w:sz w:val="24"/>
          <w:szCs w:val="24"/>
        </w:rPr>
        <w:t>.</w:t>
      </w:r>
      <w:r w:rsidR="00286F78" w:rsidRPr="00B745A7">
        <w:rPr>
          <w:rFonts w:ascii="Times New Roman" w:hAnsi="Times New Roman" w:cs="Times New Roman"/>
          <w:sz w:val="24"/>
          <w:szCs w:val="24"/>
        </w:rPr>
        <w:t xml:space="preserve"> </w:t>
      </w:r>
      <w:bookmarkStart w:id="40" w:name="_Hlk106278099"/>
      <w:r w:rsidR="00275755" w:rsidRPr="00B745A7">
        <w:rPr>
          <w:rFonts w:ascii="Times New Roman" w:hAnsi="Times New Roman" w:cs="Times New Roman"/>
          <w:sz w:val="24"/>
          <w:szCs w:val="24"/>
        </w:rPr>
        <w:t>Finally,</w:t>
      </w:r>
      <w:r w:rsidR="00286F78" w:rsidRPr="00B745A7">
        <w:rPr>
          <w:rFonts w:ascii="Times New Roman" w:hAnsi="Times New Roman" w:cs="Times New Roman"/>
          <w:sz w:val="24"/>
          <w:szCs w:val="24"/>
        </w:rPr>
        <w:t xml:space="preserve"> our </w:t>
      </w:r>
      <w:r w:rsidR="00696E2E" w:rsidRPr="00B745A7">
        <w:rPr>
          <w:rFonts w:ascii="Times New Roman" w:hAnsi="Times New Roman" w:cs="Times New Roman"/>
          <w:sz w:val="24"/>
          <w:szCs w:val="24"/>
        </w:rPr>
        <w:t xml:space="preserve">analyses are </w:t>
      </w:r>
      <w:r w:rsidRPr="00B745A7">
        <w:rPr>
          <w:rFonts w:ascii="Times New Roman" w:hAnsi="Times New Roman" w:cs="Times New Roman"/>
          <w:sz w:val="24"/>
          <w:szCs w:val="24"/>
        </w:rPr>
        <w:t xml:space="preserve">descriptive </w:t>
      </w:r>
      <w:r w:rsidR="00696E2E" w:rsidRPr="00B745A7">
        <w:rPr>
          <w:rFonts w:ascii="Times New Roman" w:hAnsi="Times New Roman" w:cs="Times New Roman"/>
          <w:sz w:val="24"/>
          <w:szCs w:val="24"/>
        </w:rPr>
        <w:t xml:space="preserve">(i.e., identifying differences by social and spatial factors) rather than interrogating </w:t>
      </w:r>
      <w:r w:rsidR="00946136" w:rsidRPr="00B745A7">
        <w:rPr>
          <w:rFonts w:ascii="Times New Roman" w:hAnsi="Times New Roman" w:cs="Times New Roman"/>
          <w:sz w:val="24"/>
          <w:szCs w:val="24"/>
        </w:rPr>
        <w:t>explanations</w:t>
      </w:r>
      <w:r w:rsidR="00286F78" w:rsidRPr="00B745A7">
        <w:rPr>
          <w:rFonts w:ascii="Times New Roman" w:hAnsi="Times New Roman" w:cs="Times New Roman"/>
          <w:sz w:val="24"/>
          <w:szCs w:val="24"/>
        </w:rPr>
        <w:t xml:space="preserve"> f</w:t>
      </w:r>
      <w:r w:rsidR="00946136" w:rsidRPr="00B745A7">
        <w:rPr>
          <w:rFonts w:ascii="Times New Roman" w:hAnsi="Times New Roman" w:cs="Times New Roman"/>
          <w:sz w:val="24"/>
          <w:szCs w:val="24"/>
        </w:rPr>
        <w:t>o</w:t>
      </w:r>
      <w:r w:rsidR="00286F78" w:rsidRPr="00B745A7">
        <w:rPr>
          <w:rFonts w:ascii="Times New Roman" w:hAnsi="Times New Roman" w:cs="Times New Roman"/>
          <w:sz w:val="24"/>
          <w:szCs w:val="24"/>
        </w:rPr>
        <w:t>r why the</w:t>
      </w:r>
      <w:r w:rsidR="00696E2E" w:rsidRPr="00B745A7">
        <w:rPr>
          <w:rFonts w:ascii="Times New Roman" w:hAnsi="Times New Roman" w:cs="Times New Roman"/>
          <w:sz w:val="24"/>
          <w:szCs w:val="24"/>
        </w:rPr>
        <w:t>se</w:t>
      </w:r>
      <w:r w:rsidR="00286F78" w:rsidRPr="00B745A7">
        <w:rPr>
          <w:rFonts w:ascii="Times New Roman" w:hAnsi="Times New Roman" w:cs="Times New Roman"/>
          <w:sz w:val="24"/>
          <w:szCs w:val="24"/>
        </w:rPr>
        <w:t xml:space="preserve"> social and spatial </w:t>
      </w:r>
      <w:r w:rsidR="00B968B2" w:rsidRPr="00B745A7">
        <w:rPr>
          <w:rFonts w:ascii="Times New Roman" w:hAnsi="Times New Roman" w:cs="Times New Roman"/>
          <w:sz w:val="24"/>
          <w:szCs w:val="24"/>
        </w:rPr>
        <w:t xml:space="preserve">variations </w:t>
      </w:r>
      <w:r w:rsidR="00946136" w:rsidRPr="00B745A7">
        <w:rPr>
          <w:rFonts w:ascii="Times New Roman" w:hAnsi="Times New Roman" w:cs="Times New Roman"/>
          <w:sz w:val="24"/>
          <w:szCs w:val="24"/>
        </w:rPr>
        <w:t>exist</w:t>
      </w:r>
      <w:r w:rsidR="00286F78" w:rsidRPr="00B745A7">
        <w:rPr>
          <w:rFonts w:ascii="Times New Roman" w:hAnsi="Times New Roman" w:cs="Times New Roman"/>
          <w:sz w:val="24"/>
          <w:szCs w:val="24"/>
        </w:rPr>
        <w:t xml:space="preserve">. </w:t>
      </w:r>
      <w:r w:rsidR="00696E2E" w:rsidRPr="00B745A7">
        <w:rPr>
          <w:rFonts w:ascii="Times New Roman" w:hAnsi="Times New Roman" w:cs="Times New Roman"/>
          <w:sz w:val="24"/>
          <w:szCs w:val="24"/>
        </w:rPr>
        <w:t xml:space="preserve">This is partly a limitation of our data source since we are constrained in what data is provided on electronic health records (both about treatments/outcomes and individual’s contexts). </w:t>
      </w:r>
      <w:r w:rsidR="00286F78" w:rsidRPr="00B745A7">
        <w:rPr>
          <w:rFonts w:ascii="Times New Roman" w:hAnsi="Times New Roman" w:cs="Times New Roman"/>
          <w:sz w:val="24"/>
          <w:szCs w:val="24"/>
        </w:rPr>
        <w:t xml:space="preserve">Future research should identify </w:t>
      </w:r>
      <w:r w:rsidR="00946136" w:rsidRPr="00B745A7">
        <w:rPr>
          <w:rFonts w:ascii="Times New Roman" w:hAnsi="Times New Roman" w:cs="Times New Roman"/>
          <w:sz w:val="24"/>
          <w:szCs w:val="24"/>
        </w:rPr>
        <w:t>explanatory</w:t>
      </w:r>
      <w:r w:rsidR="00286F78" w:rsidRPr="00B745A7">
        <w:rPr>
          <w:rFonts w:ascii="Times New Roman" w:hAnsi="Times New Roman" w:cs="Times New Roman"/>
          <w:sz w:val="24"/>
          <w:szCs w:val="24"/>
        </w:rPr>
        <w:t xml:space="preserve"> reasons and pathways for these </w:t>
      </w:r>
      <w:r w:rsidR="00946136" w:rsidRPr="00B745A7">
        <w:rPr>
          <w:rFonts w:ascii="Times New Roman" w:hAnsi="Times New Roman" w:cs="Times New Roman"/>
          <w:sz w:val="24"/>
          <w:szCs w:val="24"/>
        </w:rPr>
        <w:t xml:space="preserve">associations, </w:t>
      </w:r>
      <w:r w:rsidR="00696E2E" w:rsidRPr="00B745A7">
        <w:rPr>
          <w:rFonts w:ascii="Times New Roman" w:hAnsi="Times New Roman" w:cs="Times New Roman"/>
          <w:sz w:val="24"/>
          <w:szCs w:val="24"/>
        </w:rPr>
        <w:t xml:space="preserve">including </w:t>
      </w:r>
      <w:r w:rsidR="00D64B80" w:rsidRPr="00B745A7">
        <w:rPr>
          <w:rFonts w:ascii="Times New Roman" w:hAnsi="Times New Roman" w:cs="Times New Roman"/>
          <w:sz w:val="24"/>
          <w:szCs w:val="24"/>
        </w:rPr>
        <w:t>the complexity linking our</w:t>
      </w:r>
      <w:r w:rsidR="00696E2E" w:rsidRPr="00B745A7">
        <w:rPr>
          <w:rFonts w:ascii="Times New Roman" w:hAnsi="Times New Roman" w:cs="Times New Roman"/>
          <w:sz w:val="24"/>
          <w:szCs w:val="24"/>
        </w:rPr>
        <w:t xml:space="preserve"> outcomes</w:t>
      </w:r>
      <w:r w:rsidR="00D64B80" w:rsidRPr="00B745A7">
        <w:rPr>
          <w:rFonts w:ascii="Times New Roman" w:hAnsi="Times New Roman" w:cs="Times New Roman"/>
          <w:sz w:val="24"/>
          <w:szCs w:val="24"/>
        </w:rPr>
        <w:t xml:space="preserve"> to measures of inequalities</w:t>
      </w:r>
      <w:r w:rsidR="00696E2E" w:rsidRPr="00B745A7">
        <w:rPr>
          <w:rFonts w:ascii="Times New Roman" w:hAnsi="Times New Roman" w:cs="Times New Roman"/>
          <w:sz w:val="24"/>
          <w:szCs w:val="24"/>
        </w:rPr>
        <w:t xml:space="preserve"> (e.g., </w:t>
      </w:r>
      <w:r w:rsidR="00D64B80" w:rsidRPr="00B745A7">
        <w:rPr>
          <w:rFonts w:ascii="Times New Roman" w:hAnsi="Times New Roman" w:cs="Times New Roman"/>
          <w:sz w:val="24"/>
          <w:szCs w:val="24"/>
        </w:rPr>
        <w:t xml:space="preserve">provision of informal care, lack of GPs in some areas limiting care received, or disentangling whether </w:t>
      </w:r>
      <w:r w:rsidR="00696E2E" w:rsidRPr="00B745A7">
        <w:rPr>
          <w:rFonts w:ascii="Times New Roman" w:hAnsi="Times New Roman" w:cs="Times New Roman"/>
          <w:sz w:val="24"/>
          <w:szCs w:val="24"/>
        </w:rPr>
        <w:t>medications</w:t>
      </w:r>
      <w:r w:rsidR="00D64B80" w:rsidRPr="00B745A7">
        <w:rPr>
          <w:rFonts w:ascii="Times New Roman" w:hAnsi="Times New Roman" w:cs="Times New Roman"/>
          <w:sz w:val="24"/>
          <w:szCs w:val="24"/>
        </w:rPr>
        <w:t xml:space="preserve"> are</w:t>
      </w:r>
      <w:r w:rsidR="00696E2E" w:rsidRPr="00B745A7">
        <w:rPr>
          <w:rFonts w:ascii="Times New Roman" w:hAnsi="Times New Roman" w:cs="Times New Roman"/>
          <w:sz w:val="24"/>
          <w:szCs w:val="24"/>
        </w:rPr>
        <w:t xml:space="preserve"> given </w:t>
      </w:r>
      <w:r w:rsidR="00D64B80" w:rsidRPr="00B745A7">
        <w:rPr>
          <w:rFonts w:ascii="Times New Roman" w:hAnsi="Times New Roman" w:cs="Times New Roman"/>
          <w:sz w:val="24"/>
          <w:szCs w:val="24"/>
        </w:rPr>
        <w:t>based on need or demand)</w:t>
      </w:r>
      <w:r w:rsidR="00946136" w:rsidRPr="00B745A7">
        <w:rPr>
          <w:rFonts w:ascii="Times New Roman" w:hAnsi="Times New Roman" w:cs="Times New Roman"/>
          <w:sz w:val="24"/>
          <w:szCs w:val="24"/>
        </w:rPr>
        <w:t>.</w:t>
      </w:r>
      <w:bookmarkEnd w:id="40"/>
      <w:r w:rsidR="00946136" w:rsidRPr="00B745A7">
        <w:rPr>
          <w:rFonts w:ascii="Times New Roman" w:hAnsi="Times New Roman" w:cs="Times New Roman"/>
          <w:sz w:val="24"/>
          <w:szCs w:val="24"/>
        </w:rPr>
        <w:t xml:space="preserve"> Where possible, these analyses should be extended longitudinally to explore sequences of healthcare trajectories that can consider how healthcare experiences operate holistically rather than independently (as in our analyses).</w:t>
      </w:r>
    </w:p>
    <w:bookmarkEnd w:id="34"/>
    <w:p w14:paraId="6EB2E79E" w14:textId="266D5EAE" w:rsidR="007166CE" w:rsidRPr="00B745A7" w:rsidRDefault="007166CE" w:rsidP="00AD5F19">
      <w:pPr>
        <w:spacing w:line="480" w:lineRule="auto"/>
        <w:jc w:val="both"/>
        <w:rPr>
          <w:rFonts w:ascii="Times New Roman" w:hAnsi="Times New Roman" w:cs="Times New Roman"/>
          <w:b/>
          <w:sz w:val="24"/>
          <w:szCs w:val="24"/>
        </w:rPr>
      </w:pPr>
      <w:r w:rsidRPr="00B745A7">
        <w:rPr>
          <w:rFonts w:ascii="Times New Roman" w:hAnsi="Times New Roman" w:cs="Times New Roman"/>
          <w:b/>
          <w:sz w:val="24"/>
          <w:szCs w:val="24"/>
        </w:rPr>
        <w:t>Conclusions</w:t>
      </w:r>
    </w:p>
    <w:p w14:paraId="40D401FB" w14:textId="10C6962B" w:rsidR="00D44112" w:rsidRPr="00B745A7" w:rsidRDefault="00DA57D3" w:rsidP="00756CEB">
      <w:pPr>
        <w:spacing w:line="480" w:lineRule="auto"/>
        <w:ind w:firstLine="720"/>
        <w:jc w:val="both"/>
        <w:rPr>
          <w:rFonts w:ascii="Times New Roman" w:hAnsi="Times New Roman" w:cs="Times New Roman"/>
          <w:sz w:val="24"/>
          <w:szCs w:val="24"/>
        </w:rPr>
      </w:pPr>
      <w:r w:rsidRPr="00B745A7">
        <w:rPr>
          <w:rFonts w:ascii="Times New Roman" w:hAnsi="Times New Roman" w:cs="Times New Roman"/>
          <w:sz w:val="24"/>
          <w:szCs w:val="24"/>
        </w:rPr>
        <w:t xml:space="preserve">Our findings suggest </w:t>
      </w:r>
      <w:r w:rsidR="00946136" w:rsidRPr="00B745A7">
        <w:rPr>
          <w:rFonts w:ascii="Times New Roman" w:hAnsi="Times New Roman" w:cs="Times New Roman"/>
          <w:sz w:val="24"/>
          <w:szCs w:val="24"/>
        </w:rPr>
        <w:t xml:space="preserve">there are wide social and spatial </w:t>
      </w:r>
      <w:r w:rsidR="00B968B2" w:rsidRPr="00B745A7">
        <w:rPr>
          <w:rFonts w:ascii="Times New Roman" w:hAnsi="Times New Roman" w:cs="Times New Roman"/>
          <w:sz w:val="24"/>
          <w:szCs w:val="24"/>
        </w:rPr>
        <w:t xml:space="preserve">differences </w:t>
      </w:r>
      <w:r w:rsidR="00946136" w:rsidRPr="00B745A7">
        <w:rPr>
          <w:rFonts w:ascii="Times New Roman" w:hAnsi="Times New Roman" w:cs="Times New Roman"/>
          <w:sz w:val="24"/>
          <w:szCs w:val="24"/>
        </w:rPr>
        <w:t xml:space="preserve">in the </w:t>
      </w:r>
      <w:r w:rsidRPr="00B745A7">
        <w:rPr>
          <w:rFonts w:ascii="Times New Roman" w:hAnsi="Times New Roman" w:cs="Times New Roman"/>
          <w:sz w:val="24"/>
          <w:szCs w:val="24"/>
        </w:rPr>
        <w:t>use of various healthcare services among PLWD</w:t>
      </w:r>
      <w:r w:rsidR="00B52CEE" w:rsidRPr="00B745A7">
        <w:rPr>
          <w:rFonts w:ascii="Times New Roman" w:hAnsi="Times New Roman" w:cs="Times New Roman"/>
          <w:sz w:val="24"/>
          <w:szCs w:val="24"/>
        </w:rPr>
        <w:t xml:space="preserve">. </w:t>
      </w:r>
      <w:r w:rsidR="00946136" w:rsidRPr="00B745A7">
        <w:rPr>
          <w:rFonts w:ascii="Times New Roman" w:hAnsi="Times New Roman" w:cs="Times New Roman"/>
          <w:sz w:val="24"/>
          <w:szCs w:val="24"/>
        </w:rPr>
        <w:t>E</w:t>
      </w:r>
      <w:r w:rsidR="00B52CEE" w:rsidRPr="00B745A7">
        <w:rPr>
          <w:rFonts w:ascii="Times New Roman" w:hAnsi="Times New Roman" w:cs="Times New Roman"/>
          <w:sz w:val="24"/>
          <w:szCs w:val="24"/>
        </w:rPr>
        <w:t xml:space="preserve">arly identification of </w:t>
      </w:r>
      <w:r w:rsidR="00640F81" w:rsidRPr="00B745A7">
        <w:rPr>
          <w:rFonts w:ascii="Times New Roman" w:hAnsi="Times New Roman" w:cs="Times New Roman"/>
          <w:sz w:val="24"/>
          <w:szCs w:val="24"/>
        </w:rPr>
        <w:t>dementia,</w:t>
      </w:r>
      <w:r w:rsidR="00B52CEE" w:rsidRPr="00B745A7">
        <w:rPr>
          <w:rFonts w:ascii="Times New Roman" w:hAnsi="Times New Roman" w:cs="Times New Roman"/>
          <w:sz w:val="24"/>
          <w:szCs w:val="24"/>
        </w:rPr>
        <w:t xml:space="preserve"> </w:t>
      </w:r>
      <w:r w:rsidR="00946136" w:rsidRPr="00B745A7">
        <w:rPr>
          <w:rFonts w:ascii="Times New Roman" w:hAnsi="Times New Roman" w:cs="Times New Roman"/>
          <w:sz w:val="24"/>
          <w:szCs w:val="24"/>
        </w:rPr>
        <w:t xml:space="preserve">as well as </w:t>
      </w:r>
      <w:r w:rsidR="00B52CEE" w:rsidRPr="00B745A7">
        <w:rPr>
          <w:rFonts w:ascii="Times New Roman" w:hAnsi="Times New Roman" w:cs="Times New Roman"/>
          <w:sz w:val="24"/>
          <w:szCs w:val="24"/>
        </w:rPr>
        <w:t>better care management and effective treatment</w:t>
      </w:r>
      <w:r w:rsidR="00946136" w:rsidRPr="00B745A7">
        <w:rPr>
          <w:rFonts w:ascii="Times New Roman" w:hAnsi="Times New Roman" w:cs="Times New Roman"/>
          <w:sz w:val="24"/>
          <w:szCs w:val="24"/>
        </w:rPr>
        <w:t>,</w:t>
      </w:r>
      <w:r w:rsidR="00640F81" w:rsidRPr="00B745A7">
        <w:rPr>
          <w:rFonts w:ascii="Times New Roman" w:hAnsi="Times New Roman" w:cs="Times New Roman"/>
          <w:sz w:val="24"/>
          <w:szCs w:val="24"/>
        </w:rPr>
        <w:t xml:space="preserve"> can</w:t>
      </w:r>
      <w:r w:rsidR="00B52CEE" w:rsidRPr="00B745A7">
        <w:rPr>
          <w:rFonts w:ascii="Times New Roman" w:hAnsi="Times New Roman" w:cs="Times New Roman"/>
          <w:sz w:val="24"/>
          <w:szCs w:val="24"/>
        </w:rPr>
        <w:t xml:space="preserve"> </w:t>
      </w:r>
      <w:r w:rsidR="00297CA3" w:rsidRPr="00B745A7">
        <w:rPr>
          <w:rFonts w:ascii="Times New Roman" w:hAnsi="Times New Roman" w:cs="Times New Roman"/>
          <w:sz w:val="24"/>
          <w:szCs w:val="24"/>
        </w:rPr>
        <w:t xml:space="preserve">help avoid </w:t>
      </w:r>
      <w:r w:rsidR="00272B27" w:rsidRPr="00B745A7">
        <w:rPr>
          <w:rFonts w:ascii="Times New Roman" w:hAnsi="Times New Roman" w:cs="Times New Roman"/>
          <w:sz w:val="24"/>
          <w:szCs w:val="24"/>
        </w:rPr>
        <w:t xml:space="preserve">unnecessary </w:t>
      </w:r>
      <w:r w:rsidR="00297CA3" w:rsidRPr="00B745A7">
        <w:rPr>
          <w:rFonts w:ascii="Times New Roman" w:hAnsi="Times New Roman" w:cs="Times New Roman"/>
          <w:sz w:val="24"/>
          <w:szCs w:val="24"/>
        </w:rPr>
        <w:t xml:space="preserve">healthcare use associated with negative outcomes among </w:t>
      </w:r>
      <w:r w:rsidR="00B52CEE" w:rsidRPr="00B745A7">
        <w:rPr>
          <w:rFonts w:ascii="Times New Roman" w:hAnsi="Times New Roman" w:cs="Times New Roman"/>
          <w:sz w:val="24"/>
          <w:szCs w:val="24"/>
        </w:rPr>
        <w:t>PLWD</w:t>
      </w:r>
      <w:r w:rsidR="00297CA3" w:rsidRPr="00B745A7">
        <w:rPr>
          <w:rFonts w:ascii="Times New Roman" w:hAnsi="Times New Roman" w:cs="Times New Roman"/>
          <w:sz w:val="24"/>
          <w:szCs w:val="24"/>
        </w:rPr>
        <w:t>, benefitting not only PLWD, but reducing the costs and pressure on the healthcare system</w:t>
      </w:r>
      <w:r w:rsidR="00946136" w:rsidRPr="00B745A7">
        <w:rPr>
          <w:rFonts w:ascii="Times New Roman" w:hAnsi="Times New Roman" w:cs="Times New Roman"/>
          <w:sz w:val="24"/>
          <w:szCs w:val="24"/>
        </w:rPr>
        <w:t xml:space="preserve"> (</w:t>
      </w:r>
      <w:r w:rsidR="000A15BE" w:rsidRPr="00B745A7">
        <w:rPr>
          <w:rFonts w:ascii="Times New Roman" w:hAnsi="Times New Roman" w:cs="Times New Roman"/>
          <w:sz w:val="24"/>
          <w:szCs w:val="24"/>
        </w:rPr>
        <w:t>Banerjee and Wittenberg, 2009</w:t>
      </w:r>
      <w:r w:rsidR="00B567C2" w:rsidRPr="00B745A7">
        <w:rPr>
          <w:rFonts w:ascii="Times New Roman" w:hAnsi="Times New Roman" w:cs="Times New Roman"/>
          <w:sz w:val="24"/>
          <w:szCs w:val="24"/>
        </w:rPr>
        <w:t xml:space="preserve">; </w:t>
      </w:r>
      <w:r w:rsidR="000A15BE" w:rsidRPr="00B745A7">
        <w:rPr>
          <w:rFonts w:ascii="Times New Roman" w:hAnsi="Times New Roman" w:cs="Times New Roman"/>
          <w:sz w:val="24"/>
          <w:szCs w:val="24"/>
        </w:rPr>
        <w:t>Delgado et al., 2022</w:t>
      </w:r>
      <w:r w:rsidR="00297CA3" w:rsidRPr="00B745A7">
        <w:rPr>
          <w:rFonts w:ascii="Times New Roman" w:hAnsi="Times New Roman" w:cs="Times New Roman"/>
          <w:sz w:val="24"/>
          <w:szCs w:val="24"/>
        </w:rPr>
        <w:t xml:space="preserve">; </w:t>
      </w:r>
      <w:r w:rsidR="000A15BE" w:rsidRPr="00B745A7">
        <w:rPr>
          <w:rFonts w:ascii="Times New Roman" w:hAnsi="Times New Roman" w:cs="Times New Roman"/>
          <w:sz w:val="24"/>
          <w:szCs w:val="24"/>
        </w:rPr>
        <w:t>Rasmussen and Langerman, 2019</w:t>
      </w:r>
      <w:r w:rsidR="00946136" w:rsidRPr="00B745A7">
        <w:rPr>
          <w:rFonts w:ascii="Times New Roman" w:hAnsi="Times New Roman" w:cs="Times New Roman"/>
          <w:sz w:val="24"/>
          <w:szCs w:val="24"/>
        </w:rPr>
        <w:t>)</w:t>
      </w:r>
      <w:r w:rsidR="00B52CEE" w:rsidRPr="00B745A7">
        <w:rPr>
          <w:rFonts w:ascii="Times New Roman" w:hAnsi="Times New Roman" w:cs="Times New Roman"/>
          <w:sz w:val="24"/>
          <w:szCs w:val="24"/>
        </w:rPr>
        <w:t xml:space="preserve">. </w:t>
      </w:r>
      <w:r w:rsidR="00946136" w:rsidRPr="00B745A7">
        <w:rPr>
          <w:rFonts w:ascii="Times New Roman" w:hAnsi="Times New Roman" w:cs="Times New Roman"/>
          <w:sz w:val="24"/>
          <w:szCs w:val="24"/>
        </w:rPr>
        <w:t xml:space="preserve">Our </w:t>
      </w:r>
      <w:r w:rsidRPr="00B745A7">
        <w:rPr>
          <w:rFonts w:ascii="Times New Roman" w:hAnsi="Times New Roman" w:cs="Times New Roman"/>
          <w:sz w:val="24"/>
          <w:szCs w:val="24"/>
        </w:rPr>
        <w:t xml:space="preserve">findings </w:t>
      </w:r>
      <w:r w:rsidR="00946136" w:rsidRPr="00B745A7">
        <w:rPr>
          <w:rFonts w:ascii="Times New Roman" w:hAnsi="Times New Roman" w:cs="Times New Roman"/>
          <w:sz w:val="24"/>
          <w:szCs w:val="24"/>
        </w:rPr>
        <w:t xml:space="preserve">show the ongoing pressing need for </w:t>
      </w:r>
      <w:r w:rsidRPr="00B745A7">
        <w:rPr>
          <w:rFonts w:ascii="Times New Roman" w:hAnsi="Times New Roman" w:cs="Times New Roman"/>
          <w:sz w:val="24"/>
          <w:szCs w:val="24"/>
        </w:rPr>
        <w:t xml:space="preserve">clinical </w:t>
      </w:r>
      <w:r w:rsidR="00946136" w:rsidRPr="00B745A7">
        <w:rPr>
          <w:rFonts w:ascii="Times New Roman" w:hAnsi="Times New Roman" w:cs="Times New Roman"/>
          <w:sz w:val="24"/>
          <w:szCs w:val="24"/>
        </w:rPr>
        <w:t xml:space="preserve">and public health </w:t>
      </w:r>
      <w:r w:rsidRPr="00B745A7">
        <w:rPr>
          <w:rFonts w:ascii="Times New Roman" w:hAnsi="Times New Roman" w:cs="Times New Roman"/>
          <w:sz w:val="24"/>
          <w:szCs w:val="24"/>
        </w:rPr>
        <w:t xml:space="preserve">policy </w:t>
      </w:r>
      <w:r w:rsidR="00946136" w:rsidRPr="00B745A7">
        <w:rPr>
          <w:rFonts w:ascii="Times New Roman" w:hAnsi="Times New Roman" w:cs="Times New Roman"/>
          <w:sz w:val="24"/>
          <w:szCs w:val="24"/>
        </w:rPr>
        <w:t xml:space="preserve">aimed at promoting more equitable healthcare experiences among </w:t>
      </w:r>
      <w:r w:rsidR="00946136" w:rsidRPr="00B745A7">
        <w:rPr>
          <w:rFonts w:ascii="Times New Roman" w:hAnsi="Times New Roman" w:cs="Times New Roman"/>
          <w:sz w:val="24"/>
          <w:szCs w:val="24"/>
        </w:rPr>
        <w:lastRenderedPageBreak/>
        <w:t>PLWD</w:t>
      </w:r>
      <w:r w:rsidR="001350E8" w:rsidRPr="00B745A7">
        <w:rPr>
          <w:rFonts w:ascii="Times New Roman" w:hAnsi="Times New Roman" w:cs="Times New Roman"/>
          <w:sz w:val="24"/>
          <w:szCs w:val="24"/>
        </w:rPr>
        <w:t xml:space="preserve">. </w:t>
      </w:r>
      <w:r w:rsidRPr="00B745A7">
        <w:rPr>
          <w:rFonts w:ascii="Times New Roman" w:hAnsi="Times New Roman" w:cs="Times New Roman"/>
          <w:sz w:val="24"/>
          <w:szCs w:val="24"/>
        </w:rPr>
        <w:t xml:space="preserve">This requires implementation of </w:t>
      </w:r>
      <w:r w:rsidR="00D44112" w:rsidRPr="00B745A7">
        <w:rPr>
          <w:rFonts w:ascii="Times New Roman" w:hAnsi="Times New Roman" w:cs="Times New Roman"/>
          <w:sz w:val="24"/>
          <w:szCs w:val="24"/>
        </w:rPr>
        <w:t xml:space="preserve">systemic, </w:t>
      </w:r>
      <w:r w:rsidR="00672029" w:rsidRPr="00B745A7">
        <w:rPr>
          <w:rFonts w:ascii="Times New Roman" w:hAnsi="Times New Roman" w:cs="Times New Roman"/>
          <w:sz w:val="24"/>
          <w:szCs w:val="24"/>
        </w:rPr>
        <w:t xml:space="preserve">cultural and social </w:t>
      </w:r>
      <w:r w:rsidRPr="00B745A7">
        <w:rPr>
          <w:rFonts w:ascii="Times New Roman" w:hAnsi="Times New Roman" w:cs="Times New Roman"/>
          <w:sz w:val="24"/>
          <w:szCs w:val="24"/>
        </w:rPr>
        <w:t>measures</w:t>
      </w:r>
      <w:r w:rsidR="00297CA3" w:rsidRPr="00B745A7">
        <w:rPr>
          <w:rFonts w:ascii="Times New Roman" w:hAnsi="Times New Roman" w:cs="Times New Roman"/>
          <w:sz w:val="24"/>
          <w:szCs w:val="24"/>
        </w:rPr>
        <w:t xml:space="preserve"> to improve the situation for more marginalised groups</w:t>
      </w:r>
      <w:r w:rsidR="00B567C2" w:rsidRPr="00B745A7">
        <w:rPr>
          <w:rFonts w:ascii="Times New Roman" w:hAnsi="Times New Roman" w:cs="Times New Roman"/>
          <w:sz w:val="24"/>
          <w:szCs w:val="24"/>
        </w:rPr>
        <w:t xml:space="preserve"> (</w:t>
      </w:r>
      <w:r w:rsidR="000A15BE" w:rsidRPr="00B745A7">
        <w:rPr>
          <w:rFonts w:ascii="Times New Roman" w:hAnsi="Times New Roman" w:cs="Times New Roman"/>
          <w:sz w:val="24"/>
          <w:szCs w:val="24"/>
        </w:rPr>
        <w:t>Giebel, 2020</w:t>
      </w:r>
      <w:r w:rsidR="00453A90" w:rsidRPr="00B745A7">
        <w:rPr>
          <w:rFonts w:ascii="Times New Roman" w:hAnsi="Times New Roman" w:cs="Times New Roman"/>
          <w:sz w:val="24"/>
          <w:szCs w:val="24"/>
        </w:rPr>
        <w:t xml:space="preserve">; </w:t>
      </w:r>
      <w:r w:rsidR="00B567C2" w:rsidRPr="00B745A7">
        <w:rPr>
          <w:rFonts w:ascii="Times New Roman" w:hAnsi="Times New Roman" w:cs="Times New Roman"/>
          <w:sz w:val="24"/>
          <w:szCs w:val="24"/>
        </w:rPr>
        <w:t>Watson et al., 2020</w:t>
      </w:r>
      <w:r w:rsidR="00297CA3" w:rsidRPr="00B745A7">
        <w:rPr>
          <w:rFonts w:ascii="Times New Roman" w:hAnsi="Times New Roman" w:cs="Times New Roman"/>
          <w:sz w:val="24"/>
          <w:szCs w:val="24"/>
        </w:rPr>
        <w:t>)</w:t>
      </w:r>
      <w:r w:rsidR="00022113" w:rsidRPr="00B745A7">
        <w:rPr>
          <w:rFonts w:ascii="Times New Roman" w:hAnsi="Times New Roman" w:cs="Times New Roman"/>
          <w:sz w:val="24"/>
          <w:szCs w:val="24"/>
        </w:rPr>
        <w:t xml:space="preserve">. </w:t>
      </w:r>
      <w:r w:rsidR="00B52CEE" w:rsidRPr="00B745A7">
        <w:rPr>
          <w:rFonts w:ascii="Times New Roman" w:hAnsi="Times New Roman" w:cs="Times New Roman"/>
          <w:sz w:val="24"/>
          <w:szCs w:val="24"/>
        </w:rPr>
        <w:t>Greater emphasis</w:t>
      </w:r>
      <w:r w:rsidR="00F02CC8" w:rsidRPr="00B745A7">
        <w:rPr>
          <w:rFonts w:ascii="Times New Roman" w:hAnsi="Times New Roman" w:cs="Times New Roman"/>
          <w:sz w:val="24"/>
          <w:szCs w:val="24"/>
        </w:rPr>
        <w:t xml:space="preserve"> is required to</w:t>
      </w:r>
      <w:r w:rsidR="00B52CEE" w:rsidRPr="00B745A7">
        <w:rPr>
          <w:rFonts w:ascii="Times New Roman" w:hAnsi="Times New Roman" w:cs="Times New Roman"/>
          <w:sz w:val="24"/>
          <w:szCs w:val="24"/>
        </w:rPr>
        <w:t xml:space="preserve"> </w:t>
      </w:r>
      <w:r w:rsidR="00F02CC8" w:rsidRPr="00B745A7">
        <w:rPr>
          <w:rFonts w:ascii="Times New Roman" w:hAnsi="Times New Roman" w:cs="Times New Roman"/>
          <w:sz w:val="24"/>
          <w:szCs w:val="24"/>
        </w:rPr>
        <w:t xml:space="preserve">make </w:t>
      </w:r>
      <w:r w:rsidR="00B52CEE" w:rsidRPr="00B745A7">
        <w:rPr>
          <w:rFonts w:ascii="Times New Roman" w:hAnsi="Times New Roman" w:cs="Times New Roman"/>
          <w:sz w:val="24"/>
          <w:szCs w:val="24"/>
        </w:rPr>
        <w:t xml:space="preserve">quality care easily accessible </w:t>
      </w:r>
      <w:r w:rsidR="00F02CC8" w:rsidRPr="00B745A7">
        <w:rPr>
          <w:rFonts w:ascii="Times New Roman" w:hAnsi="Times New Roman" w:cs="Times New Roman"/>
          <w:sz w:val="24"/>
          <w:szCs w:val="24"/>
        </w:rPr>
        <w:t xml:space="preserve">to </w:t>
      </w:r>
      <w:r w:rsidR="00640F81" w:rsidRPr="00B745A7">
        <w:rPr>
          <w:rFonts w:ascii="Times New Roman" w:hAnsi="Times New Roman" w:cs="Times New Roman"/>
          <w:sz w:val="24"/>
          <w:szCs w:val="24"/>
        </w:rPr>
        <w:t xml:space="preserve">people from </w:t>
      </w:r>
      <w:r w:rsidR="00F02CC8" w:rsidRPr="00B745A7">
        <w:rPr>
          <w:rFonts w:ascii="Times New Roman" w:hAnsi="Times New Roman" w:cs="Times New Roman"/>
          <w:sz w:val="24"/>
          <w:szCs w:val="24"/>
        </w:rPr>
        <w:t>more remote and deprived areas</w:t>
      </w:r>
      <w:r w:rsidR="00B52CEE" w:rsidRPr="00B745A7">
        <w:rPr>
          <w:rFonts w:ascii="Times New Roman" w:hAnsi="Times New Roman" w:cs="Times New Roman"/>
          <w:sz w:val="24"/>
          <w:szCs w:val="24"/>
        </w:rPr>
        <w:t>, and more appropriate to the communities they serve</w:t>
      </w:r>
      <w:r w:rsidR="00453A90" w:rsidRPr="00B745A7">
        <w:rPr>
          <w:rFonts w:ascii="Times New Roman" w:hAnsi="Times New Roman" w:cs="Times New Roman"/>
          <w:sz w:val="24"/>
          <w:szCs w:val="24"/>
        </w:rPr>
        <w:t xml:space="preserve"> (</w:t>
      </w:r>
      <w:r w:rsidR="000A15BE" w:rsidRPr="00B745A7">
        <w:rPr>
          <w:rFonts w:ascii="Times New Roman" w:hAnsi="Times New Roman" w:cs="Times New Roman"/>
          <w:sz w:val="24"/>
          <w:szCs w:val="24"/>
        </w:rPr>
        <w:t>Duran-</w:t>
      </w:r>
      <w:proofErr w:type="spellStart"/>
      <w:r w:rsidR="000A15BE" w:rsidRPr="00B745A7">
        <w:rPr>
          <w:rFonts w:ascii="Times New Roman" w:hAnsi="Times New Roman" w:cs="Times New Roman"/>
          <w:sz w:val="24"/>
          <w:szCs w:val="24"/>
        </w:rPr>
        <w:t>Kirac</w:t>
      </w:r>
      <w:proofErr w:type="spellEnd"/>
      <w:r w:rsidR="000A15BE" w:rsidRPr="00B745A7">
        <w:rPr>
          <w:rFonts w:ascii="Times New Roman" w:hAnsi="Times New Roman" w:cs="Times New Roman"/>
          <w:sz w:val="24"/>
          <w:szCs w:val="24"/>
        </w:rPr>
        <w:t xml:space="preserve"> et al., 2021</w:t>
      </w:r>
      <w:r w:rsidR="00453A90" w:rsidRPr="00B745A7">
        <w:rPr>
          <w:rFonts w:ascii="Times New Roman" w:hAnsi="Times New Roman" w:cs="Times New Roman"/>
          <w:sz w:val="24"/>
          <w:szCs w:val="24"/>
        </w:rPr>
        <w:t xml:space="preserve">; </w:t>
      </w:r>
      <w:r w:rsidR="000A15BE" w:rsidRPr="00B745A7">
        <w:rPr>
          <w:rFonts w:ascii="Times New Roman" w:hAnsi="Times New Roman" w:cs="Times New Roman"/>
          <w:sz w:val="24"/>
          <w:szCs w:val="24"/>
        </w:rPr>
        <w:t>Giebel, 2020</w:t>
      </w:r>
      <w:r w:rsidR="00453A90" w:rsidRPr="00B745A7">
        <w:rPr>
          <w:rFonts w:ascii="Times New Roman" w:hAnsi="Times New Roman" w:cs="Times New Roman"/>
          <w:sz w:val="24"/>
          <w:szCs w:val="24"/>
        </w:rPr>
        <w:t xml:space="preserve">; </w:t>
      </w:r>
      <w:proofErr w:type="spellStart"/>
      <w:r w:rsidR="000A15BE" w:rsidRPr="00B745A7">
        <w:rPr>
          <w:rFonts w:ascii="Times New Roman" w:hAnsi="Times New Roman" w:cs="Times New Roman"/>
          <w:sz w:val="24"/>
          <w:szCs w:val="24"/>
        </w:rPr>
        <w:t>Nebel</w:t>
      </w:r>
      <w:proofErr w:type="spellEnd"/>
      <w:r w:rsidR="000A15BE" w:rsidRPr="00B745A7">
        <w:rPr>
          <w:rFonts w:ascii="Times New Roman" w:hAnsi="Times New Roman" w:cs="Times New Roman"/>
          <w:sz w:val="24"/>
          <w:szCs w:val="24"/>
        </w:rPr>
        <w:t xml:space="preserve"> et al., 2018</w:t>
      </w:r>
      <w:r w:rsidR="00453A90" w:rsidRPr="00B745A7">
        <w:rPr>
          <w:rFonts w:ascii="Times New Roman" w:hAnsi="Times New Roman" w:cs="Times New Roman"/>
          <w:sz w:val="24"/>
          <w:szCs w:val="24"/>
        </w:rPr>
        <w:t>)</w:t>
      </w:r>
      <w:r w:rsidR="00B52CEE" w:rsidRPr="00B745A7">
        <w:rPr>
          <w:rFonts w:ascii="Times New Roman" w:hAnsi="Times New Roman" w:cs="Times New Roman"/>
          <w:sz w:val="24"/>
          <w:szCs w:val="24"/>
        </w:rPr>
        <w:t xml:space="preserve">. </w:t>
      </w:r>
      <w:r w:rsidR="00B6540B" w:rsidRPr="00B745A7">
        <w:rPr>
          <w:rFonts w:ascii="Times New Roman" w:hAnsi="Times New Roman" w:cs="Times New Roman"/>
          <w:sz w:val="24"/>
          <w:szCs w:val="24"/>
        </w:rPr>
        <w:t>PLWD would benefit from m</w:t>
      </w:r>
      <w:r w:rsidRPr="00B745A7">
        <w:rPr>
          <w:rFonts w:ascii="Times New Roman" w:hAnsi="Times New Roman" w:cs="Times New Roman"/>
          <w:sz w:val="24"/>
          <w:szCs w:val="24"/>
        </w:rPr>
        <w:t>ore</w:t>
      </w:r>
      <w:r w:rsidR="00D44112" w:rsidRPr="00B745A7">
        <w:rPr>
          <w:rFonts w:ascii="Times New Roman" w:hAnsi="Times New Roman" w:cs="Times New Roman"/>
          <w:sz w:val="24"/>
          <w:szCs w:val="24"/>
        </w:rPr>
        <w:t xml:space="preserve"> ubiquitous, effective management and treatment of dementia and comorbidities, in primary </w:t>
      </w:r>
      <w:r w:rsidR="003C1C86" w:rsidRPr="00B745A7">
        <w:rPr>
          <w:rFonts w:ascii="Times New Roman" w:hAnsi="Times New Roman" w:cs="Times New Roman"/>
          <w:sz w:val="24"/>
          <w:szCs w:val="24"/>
        </w:rPr>
        <w:t>and specialist health</w:t>
      </w:r>
      <w:r w:rsidR="00D44112" w:rsidRPr="00B745A7">
        <w:rPr>
          <w:rFonts w:ascii="Times New Roman" w:hAnsi="Times New Roman" w:cs="Times New Roman"/>
          <w:sz w:val="24"/>
          <w:szCs w:val="24"/>
        </w:rPr>
        <w:t>care</w:t>
      </w:r>
      <w:r w:rsidR="00D558CD" w:rsidRPr="00B745A7">
        <w:rPr>
          <w:rFonts w:ascii="Times New Roman" w:hAnsi="Times New Roman" w:cs="Times New Roman"/>
          <w:sz w:val="24"/>
          <w:szCs w:val="24"/>
        </w:rPr>
        <w:t xml:space="preserve"> (</w:t>
      </w:r>
      <w:r w:rsidR="000A15BE" w:rsidRPr="00B745A7">
        <w:rPr>
          <w:rFonts w:ascii="Times New Roman" w:hAnsi="Times New Roman" w:cs="Times New Roman"/>
          <w:sz w:val="24"/>
          <w:szCs w:val="24"/>
        </w:rPr>
        <w:t>Black et al., 2015</w:t>
      </w:r>
      <w:r w:rsidR="00D558CD" w:rsidRPr="00B745A7">
        <w:rPr>
          <w:rFonts w:ascii="Times New Roman" w:hAnsi="Times New Roman" w:cs="Times New Roman"/>
          <w:sz w:val="24"/>
          <w:szCs w:val="24"/>
        </w:rPr>
        <w:t>)</w:t>
      </w:r>
      <w:r w:rsidR="00D44112" w:rsidRPr="00B745A7">
        <w:rPr>
          <w:rFonts w:ascii="Times New Roman" w:hAnsi="Times New Roman" w:cs="Times New Roman"/>
          <w:sz w:val="24"/>
          <w:szCs w:val="24"/>
        </w:rPr>
        <w:t xml:space="preserve">. </w:t>
      </w:r>
      <w:r w:rsidR="00B6540B" w:rsidRPr="00B745A7">
        <w:rPr>
          <w:rFonts w:ascii="Times New Roman" w:hAnsi="Times New Roman" w:cs="Times New Roman"/>
          <w:sz w:val="24"/>
          <w:szCs w:val="24"/>
        </w:rPr>
        <w:t xml:space="preserve">Better continuity of primary care, and stronger links between primary and </w:t>
      </w:r>
      <w:r w:rsidR="00265AF6" w:rsidRPr="00B745A7">
        <w:rPr>
          <w:rFonts w:ascii="Times New Roman" w:hAnsi="Times New Roman" w:cs="Times New Roman"/>
          <w:sz w:val="24"/>
          <w:szCs w:val="24"/>
        </w:rPr>
        <w:t xml:space="preserve">social </w:t>
      </w:r>
      <w:r w:rsidR="00B6540B" w:rsidRPr="00B745A7">
        <w:rPr>
          <w:rFonts w:ascii="Times New Roman" w:hAnsi="Times New Roman" w:cs="Times New Roman"/>
          <w:sz w:val="24"/>
          <w:szCs w:val="24"/>
        </w:rPr>
        <w:t>care</w:t>
      </w:r>
      <w:r w:rsidR="00272B27" w:rsidRPr="00B745A7">
        <w:rPr>
          <w:rFonts w:ascii="Times New Roman" w:hAnsi="Times New Roman" w:cs="Times New Roman"/>
          <w:sz w:val="24"/>
          <w:szCs w:val="24"/>
        </w:rPr>
        <w:t>,</w:t>
      </w:r>
      <w:r w:rsidR="00B6540B" w:rsidRPr="00B745A7">
        <w:rPr>
          <w:rFonts w:ascii="Times New Roman" w:hAnsi="Times New Roman" w:cs="Times New Roman"/>
          <w:sz w:val="24"/>
          <w:szCs w:val="24"/>
        </w:rPr>
        <w:t xml:space="preserve"> would allow smoother transitions and stability in changing care needs</w:t>
      </w:r>
      <w:r w:rsidR="00453A90" w:rsidRPr="00B745A7">
        <w:rPr>
          <w:rFonts w:ascii="Times New Roman" w:hAnsi="Times New Roman" w:cs="Times New Roman"/>
          <w:sz w:val="24"/>
          <w:szCs w:val="24"/>
        </w:rPr>
        <w:t xml:space="preserve"> (</w:t>
      </w:r>
      <w:r w:rsidR="000A15BE" w:rsidRPr="00B745A7">
        <w:rPr>
          <w:rFonts w:ascii="Times New Roman" w:hAnsi="Times New Roman" w:cs="Times New Roman"/>
          <w:sz w:val="24"/>
          <w:szCs w:val="24"/>
        </w:rPr>
        <w:t>Delgado et al., 2022</w:t>
      </w:r>
      <w:r w:rsidR="00453A90" w:rsidRPr="00B745A7">
        <w:rPr>
          <w:rFonts w:ascii="Times New Roman" w:hAnsi="Times New Roman" w:cs="Times New Roman"/>
          <w:sz w:val="24"/>
          <w:szCs w:val="24"/>
        </w:rPr>
        <w:t>)</w:t>
      </w:r>
      <w:r w:rsidR="001350E8" w:rsidRPr="00B745A7">
        <w:rPr>
          <w:rFonts w:ascii="Times New Roman" w:hAnsi="Times New Roman" w:cs="Times New Roman"/>
          <w:sz w:val="24"/>
          <w:szCs w:val="24"/>
        </w:rPr>
        <w:t xml:space="preserve">. </w:t>
      </w:r>
    </w:p>
    <w:p w14:paraId="00355D5C" w14:textId="77777777" w:rsidR="00A66D8C" w:rsidRPr="00B745A7" w:rsidRDefault="00A66D8C" w:rsidP="00A66D8C">
      <w:pPr>
        <w:spacing w:line="480" w:lineRule="auto"/>
        <w:jc w:val="both"/>
        <w:rPr>
          <w:rFonts w:ascii="Times New Roman" w:hAnsi="Times New Roman" w:cs="Times New Roman"/>
          <w:b/>
          <w:sz w:val="24"/>
          <w:szCs w:val="24"/>
        </w:rPr>
      </w:pPr>
      <w:r w:rsidRPr="00B745A7">
        <w:rPr>
          <w:rFonts w:ascii="Times New Roman" w:hAnsi="Times New Roman" w:cs="Times New Roman"/>
          <w:b/>
          <w:sz w:val="24"/>
          <w:szCs w:val="24"/>
        </w:rPr>
        <w:t>Funding</w:t>
      </w:r>
    </w:p>
    <w:p w14:paraId="1A4B4E11" w14:textId="77777777" w:rsidR="00A66D8C" w:rsidRPr="00B745A7" w:rsidRDefault="00A66D8C" w:rsidP="00A66D8C">
      <w:pPr>
        <w:spacing w:line="480" w:lineRule="auto"/>
        <w:ind w:firstLine="720"/>
        <w:jc w:val="both"/>
        <w:rPr>
          <w:rFonts w:ascii="Times New Roman" w:hAnsi="Times New Roman" w:cs="Times New Roman"/>
          <w:iCs/>
          <w:sz w:val="24"/>
          <w:szCs w:val="24"/>
          <w:shd w:val="clear" w:color="auto" w:fill="FFFFFF"/>
        </w:rPr>
      </w:pPr>
      <w:r w:rsidRPr="00B745A7">
        <w:rPr>
          <w:rFonts w:ascii="Times New Roman" w:hAnsi="Times New Roman" w:cs="Times New Roman"/>
          <w:sz w:val="24"/>
          <w:szCs w:val="24"/>
        </w:rPr>
        <w:t xml:space="preserve">James Watson is funded via the Engineering and Physical Sciences Research Council (EPSRC), which is part of the United Kingdom Research Institute (UKRI). Clarissa Giebel is </w:t>
      </w:r>
      <w:r w:rsidRPr="00B745A7">
        <w:rPr>
          <w:rFonts w:ascii="Times New Roman" w:hAnsi="Times New Roman" w:cs="Times New Roman"/>
          <w:iCs/>
          <w:sz w:val="24"/>
          <w:szCs w:val="24"/>
          <w:shd w:val="clear" w:color="auto" w:fill="FFFFFF"/>
        </w:rPr>
        <w:t>funded by the National Institute for Health Research (NIHR) Applied Research Collaboration North West Coast (ARC NWC). The views expressed in this publication are those of the author(s) and not necessarily those of the NIHR or the Department of Health and Social Care.</w:t>
      </w:r>
    </w:p>
    <w:p w14:paraId="2EEBD53B" w14:textId="0478F12F" w:rsidR="003240F1" w:rsidRPr="00B745A7" w:rsidRDefault="003240F1" w:rsidP="00AD5F19">
      <w:pPr>
        <w:spacing w:line="480" w:lineRule="auto"/>
        <w:jc w:val="both"/>
        <w:rPr>
          <w:rFonts w:ascii="Times New Roman" w:hAnsi="Times New Roman" w:cs="Times New Roman"/>
          <w:b/>
          <w:sz w:val="24"/>
          <w:szCs w:val="24"/>
        </w:rPr>
      </w:pPr>
      <w:r w:rsidRPr="00B745A7">
        <w:rPr>
          <w:rFonts w:ascii="Times New Roman" w:hAnsi="Times New Roman" w:cs="Times New Roman"/>
          <w:b/>
          <w:sz w:val="24"/>
          <w:szCs w:val="24"/>
        </w:rPr>
        <w:t>Declaration of Interest</w:t>
      </w:r>
    </w:p>
    <w:p w14:paraId="5762D17E" w14:textId="35DC3AB1" w:rsidR="00CB459F" w:rsidRPr="00B745A7" w:rsidRDefault="001573CE" w:rsidP="00756CEB">
      <w:pPr>
        <w:spacing w:line="480" w:lineRule="auto"/>
        <w:ind w:firstLine="720"/>
        <w:rPr>
          <w:rFonts w:ascii="Times New Roman" w:hAnsi="Times New Roman" w:cs="Times New Roman"/>
          <w:sz w:val="24"/>
          <w:szCs w:val="24"/>
        </w:rPr>
      </w:pPr>
      <w:r w:rsidRPr="00B745A7">
        <w:rPr>
          <w:rFonts w:ascii="Times New Roman" w:hAnsi="Times New Roman" w:cs="Times New Roman"/>
          <w:sz w:val="24"/>
          <w:szCs w:val="24"/>
        </w:rPr>
        <w:t>The authors declare no conflict of interest.</w:t>
      </w:r>
      <w:r w:rsidR="00CB459F" w:rsidRPr="00B745A7">
        <w:rPr>
          <w:rFonts w:ascii="Times New Roman" w:hAnsi="Times New Roman" w:cs="Times New Roman"/>
          <w:sz w:val="24"/>
          <w:szCs w:val="24"/>
        </w:rPr>
        <w:br w:type="page"/>
      </w:r>
    </w:p>
    <w:p w14:paraId="18CF788F" w14:textId="43A977B9" w:rsidR="00B13ED5" w:rsidRPr="00B745A7" w:rsidRDefault="00B13ED5" w:rsidP="00AD5F19">
      <w:pPr>
        <w:spacing w:line="480" w:lineRule="auto"/>
        <w:jc w:val="both"/>
        <w:rPr>
          <w:rFonts w:ascii="Times New Roman" w:hAnsi="Times New Roman" w:cs="Times New Roman"/>
          <w:b/>
          <w:sz w:val="24"/>
          <w:szCs w:val="24"/>
        </w:rPr>
      </w:pPr>
      <w:r w:rsidRPr="00B745A7">
        <w:rPr>
          <w:rFonts w:ascii="Times New Roman" w:hAnsi="Times New Roman" w:cs="Times New Roman"/>
          <w:b/>
          <w:sz w:val="24"/>
          <w:szCs w:val="24"/>
        </w:rPr>
        <w:lastRenderedPageBreak/>
        <w:t>Reference</w:t>
      </w:r>
      <w:r w:rsidR="006E756B" w:rsidRPr="00B745A7">
        <w:rPr>
          <w:rFonts w:ascii="Times New Roman" w:hAnsi="Times New Roman" w:cs="Times New Roman"/>
          <w:b/>
          <w:sz w:val="24"/>
          <w:szCs w:val="24"/>
        </w:rPr>
        <w:t>s</w:t>
      </w:r>
    </w:p>
    <w:p w14:paraId="6EAB1101"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ALZHEIMER'S SOCIETY, 2018. Dementia – the true cost: Fixing the care crisis [Online] Available from: https://www.alzheimers.org.uk/about-us/policy-and-influencing/dementia-true-cost-fixing-care-crisis Accessed 19/04/2022</w:t>
      </w:r>
    </w:p>
    <w:p w14:paraId="33B84435"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ALZHEIMER'S SOCIETY, 2020. What is young-onset dementia? [Online] Available from: https://www.alzheimers.org.uk/about-dementia/types-dementia/young-onset-dementia Accessed 19/04/2022</w:t>
      </w:r>
    </w:p>
    <w:p w14:paraId="3F1D6E02"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Alzheimer's Society, 2021. Emergency admissions from dementia care failures soaring, and worse to come warns charity [Online] Available from: https://www.alzheimers.org.uk/news/2021-05-17/emergency-admissions-dementia-care-failures-soaring-and-worse-come-warns-charity Accessed 19/04/2022</w:t>
      </w:r>
    </w:p>
    <w:p w14:paraId="67122AE0"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BAIRD, A. G., and WRIGHT, N., 2006. Poor access to care: rural health deprivation? </w:t>
      </w:r>
      <w:r w:rsidRPr="00B745A7">
        <w:rPr>
          <w:rFonts w:ascii="Times New Roman" w:hAnsi="Times New Roman" w:cs="Times New Roman"/>
          <w:i/>
          <w:sz w:val="24"/>
          <w:szCs w:val="24"/>
        </w:rPr>
        <w:t xml:space="preserve">The British journal of general </w:t>
      </w:r>
      <w:proofErr w:type="gramStart"/>
      <w:r w:rsidRPr="00B745A7">
        <w:rPr>
          <w:rFonts w:ascii="Times New Roman" w:hAnsi="Times New Roman" w:cs="Times New Roman"/>
          <w:i/>
          <w:sz w:val="24"/>
          <w:szCs w:val="24"/>
        </w:rPr>
        <w:t>practice :</w:t>
      </w:r>
      <w:proofErr w:type="gramEnd"/>
      <w:r w:rsidRPr="00B745A7">
        <w:rPr>
          <w:rFonts w:ascii="Times New Roman" w:hAnsi="Times New Roman" w:cs="Times New Roman"/>
          <w:i/>
          <w:sz w:val="24"/>
          <w:szCs w:val="24"/>
        </w:rPr>
        <w:t xml:space="preserve"> the journal of the Royal College of General Practitioners</w:t>
      </w:r>
      <w:r w:rsidRPr="00B745A7">
        <w:rPr>
          <w:rFonts w:ascii="Times New Roman" w:hAnsi="Times New Roman" w:cs="Times New Roman"/>
          <w:sz w:val="24"/>
          <w:szCs w:val="24"/>
        </w:rPr>
        <w:t xml:space="preserve">, </w:t>
      </w:r>
      <w:r w:rsidRPr="00B745A7">
        <w:rPr>
          <w:rFonts w:ascii="Times New Roman" w:hAnsi="Times New Roman" w:cs="Times New Roman"/>
          <w:i/>
          <w:sz w:val="24"/>
          <w:szCs w:val="24"/>
        </w:rPr>
        <w:t>56</w:t>
      </w:r>
      <w:r w:rsidRPr="00B745A7">
        <w:rPr>
          <w:rFonts w:ascii="Times New Roman" w:hAnsi="Times New Roman" w:cs="Times New Roman"/>
          <w:sz w:val="24"/>
          <w:szCs w:val="24"/>
        </w:rPr>
        <w:t xml:space="preserve">(529), 567–568. </w:t>
      </w:r>
    </w:p>
    <w:p w14:paraId="3F03BFA6"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BANERJEE, S. and WITTENBERG, R., 2009. The use of antipsychotic medication for people with dementia: Time for action. A report for the Minister of State for Care Services by Professor </w:t>
      </w:r>
      <w:proofErr w:type="spellStart"/>
      <w:r w:rsidRPr="00B745A7">
        <w:rPr>
          <w:rFonts w:ascii="Times New Roman" w:hAnsi="Times New Roman" w:cs="Times New Roman"/>
          <w:sz w:val="24"/>
          <w:szCs w:val="24"/>
        </w:rPr>
        <w:t>Sube</w:t>
      </w:r>
      <w:proofErr w:type="spellEnd"/>
      <w:r w:rsidRPr="00B745A7">
        <w:rPr>
          <w:rFonts w:ascii="Times New Roman" w:hAnsi="Times New Roman" w:cs="Times New Roman"/>
          <w:sz w:val="24"/>
          <w:szCs w:val="24"/>
        </w:rPr>
        <w:t xml:space="preserve"> Banerjee. [Online] Available from: http://psychrights.org/research/digest/nlps/BanerjeeReportOnGeriatricNeurolepticUse.pdf Accessed: 08/09/2021</w:t>
      </w:r>
    </w:p>
    <w:p w14:paraId="0DDC08D7"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BARTLETT, R., GJERNES, T., LOTHERINGTON, A, -T. and OBSTEFELDER, A., 2018. Gender, citizenship and dementia care: a scoping review of studies to inform policy and future research. </w:t>
      </w:r>
      <w:r w:rsidRPr="00B745A7">
        <w:rPr>
          <w:rFonts w:ascii="Times New Roman" w:hAnsi="Times New Roman" w:cs="Times New Roman"/>
          <w:i/>
          <w:sz w:val="24"/>
          <w:szCs w:val="24"/>
        </w:rPr>
        <w:t>Health Soc Care Community, 26</w:t>
      </w:r>
      <w:r w:rsidRPr="00B745A7">
        <w:rPr>
          <w:rFonts w:ascii="Times New Roman" w:hAnsi="Times New Roman" w:cs="Times New Roman"/>
          <w:sz w:val="24"/>
          <w:szCs w:val="24"/>
        </w:rPr>
        <w:t>: 14-26</w:t>
      </w:r>
    </w:p>
    <w:p w14:paraId="4D4BE929"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lastRenderedPageBreak/>
        <w:t xml:space="preserve">BAUER, M., FETHERSTONHAUGH, D., BLACKBERRY, I., FARMER, J. and WILDING, C., 2019.  Identifying support needs to improve rural dementia services for people with dementia and their carers: A consultation study in Victoria, Australia. </w:t>
      </w:r>
      <w:r w:rsidRPr="00B745A7">
        <w:rPr>
          <w:rFonts w:ascii="Times New Roman" w:hAnsi="Times New Roman" w:cs="Times New Roman"/>
          <w:i/>
          <w:sz w:val="24"/>
          <w:szCs w:val="24"/>
        </w:rPr>
        <w:t>Aust. J. Rural Health, 27</w:t>
      </w:r>
      <w:r w:rsidRPr="00B745A7">
        <w:rPr>
          <w:rFonts w:ascii="Times New Roman" w:hAnsi="Times New Roman" w:cs="Times New Roman"/>
          <w:sz w:val="24"/>
          <w:szCs w:val="24"/>
        </w:rPr>
        <w:t>: 22-27. https://doi.org/10.1111/ajr.12444</w:t>
      </w:r>
    </w:p>
    <w:p w14:paraId="743CA78D"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BAYLY, M., MORGAN, D., FROELICH CHOW, A., KOSTENIUK, J. and ELLIOT, V., 2020. Dementia-Related Education and Support Service Availability, Accessibility, and Use in Rural Areas: Barriers and Solutions. </w:t>
      </w:r>
      <w:r w:rsidRPr="00B745A7">
        <w:rPr>
          <w:rFonts w:ascii="Times New Roman" w:hAnsi="Times New Roman" w:cs="Times New Roman"/>
          <w:i/>
          <w:sz w:val="24"/>
          <w:szCs w:val="24"/>
        </w:rPr>
        <w:t>Can J Aging, 39</w:t>
      </w:r>
      <w:r w:rsidRPr="00B745A7">
        <w:rPr>
          <w:rFonts w:ascii="Times New Roman" w:hAnsi="Times New Roman" w:cs="Times New Roman"/>
          <w:sz w:val="24"/>
          <w:szCs w:val="24"/>
        </w:rPr>
        <w:t xml:space="preserve">(4):545-585. doi: 10.1017/S0714980819000564. </w:t>
      </w:r>
      <w:proofErr w:type="spellStart"/>
      <w:r w:rsidRPr="00B745A7">
        <w:rPr>
          <w:rFonts w:ascii="Times New Roman" w:hAnsi="Times New Roman" w:cs="Times New Roman"/>
          <w:sz w:val="24"/>
          <w:szCs w:val="24"/>
        </w:rPr>
        <w:t>Epub</w:t>
      </w:r>
      <w:proofErr w:type="spellEnd"/>
      <w:r w:rsidRPr="00B745A7">
        <w:rPr>
          <w:rFonts w:ascii="Times New Roman" w:hAnsi="Times New Roman" w:cs="Times New Roman"/>
          <w:sz w:val="24"/>
          <w:szCs w:val="24"/>
        </w:rPr>
        <w:t xml:space="preserve"> 2020 Jan 24. PMID: 31975685.</w:t>
      </w:r>
    </w:p>
    <w:p w14:paraId="55F4CE5F"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BENNETT, H.Q., BRAYNE, C., NORTON, S., BUNN, F., GOODMAN, C., ROBINSON, L., MATTHEWS, F.E. and RAIT, G., 2018. The impact of dementia on service use by individuals with a comorbid health condition: A comparison of two cross-sectional analyses conducted approximately 10 years apart. </w:t>
      </w:r>
      <w:r w:rsidRPr="00B745A7">
        <w:rPr>
          <w:rFonts w:ascii="Times New Roman" w:hAnsi="Times New Roman" w:cs="Times New Roman"/>
          <w:i/>
          <w:sz w:val="24"/>
          <w:szCs w:val="24"/>
        </w:rPr>
        <w:t>BMC Medicine, 16</w:t>
      </w:r>
      <w:r w:rsidRPr="00B745A7">
        <w:rPr>
          <w:rFonts w:ascii="Times New Roman" w:hAnsi="Times New Roman" w:cs="Times New Roman"/>
          <w:sz w:val="24"/>
          <w:szCs w:val="24"/>
        </w:rPr>
        <w:t xml:space="preserve">(1), 114. </w:t>
      </w:r>
    </w:p>
    <w:p w14:paraId="2B9DFFFC"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BERTOGG, A. and STRAUSS, S., 2020. Spousal care-giving arrangements in Europe. The role of gender, socio-economic status and the welfare state. </w:t>
      </w:r>
      <w:r w:rsidRPr="00B745A7">
        <w:rPr>
          <w:rFonts w:ascii="Times New Roman" w:hAnsi="Times New Roman" w:cs="Times New Roman"/>
          <w:i/>
          <w:sz w:val="24"/>
          <w:szCs w:val="24"/>
        </w:rPr>
        <w:t>Ageing and Society, 40</w:t>
      </w:r>
      <w:r w:rsidRPr="00B745A7">
        <w:rPr>
          <w:rFonts w:ascii="Times New Roman" w:hAnsi="Times New Roman" w:cs="Times New Roman"/>
          <w:sz w:val="24"/>
          <w:szCs w:val="24"/>
        </w:rPr>
        <w:t>(4), 735-758. doi:10.1017/S0144686X18001320</w:t>
      </w:r>
    </w:p>
    <w:p w14:paraId="6772287B"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BLACK, N., DIXON, J., TAN, S. and KNAPP, M., 2015. Black, N., Dixon, J., Tan, S., &amp; Knapp, M., 2015. Improving healthcare for people with dementia in England: good progress but more to do. </w:t>
      </w:r>
      <w:r w:rsidRPr="00B745A7">
        <w:rPr>
          <w:rFonts w:ascii="Times New Roman" w:hAnsi="Times New Roman" w:cs="Times New Roman"/>
          <w:i/>
          <w:sz w:val="24"/>
          <w:szCs w:val="24"/>
        </w:rPr>
        <w:t>Journal of the Royal Society of Medicine, 108</w:t>
      </w:r>
      <w:r w:rsidRPr="00B745A7">
        <w:rPr>
          <w:rFonts w:ascii="Times New Roman" w:hAnsi="Times New Roman" w:cs="Times New Roman"/>
          <w:sz w:val="24"/>
          <w:szCs w:val="24"/>
        </w:rPr>
        <w:t>(12), 478–481. https://doi.org/10.1177/0141076815600960</w:t>
      </w:r>
    </w:p>
    <w:p w14:paraId="2187F0E5"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BRIGGS, R., DYER, A., NABEEL, S., COLLINS, R., DOHERTY, J., COUGHLAN, T., O’NEILL, D. and KENNELLY, S.P., 2017. Dementia in the acute hospital: the prevalence and clinical outcomes of acutely unwell patients with dementia. </w:t>
      </w:r>
      <w:r w:rsidRPr="00B745A7">
        <w:rPr>
          <w:rFonts w:ascii="Times New Roman" w:hAnsi="Times New Roman" w:cs="Times New Roman"/>
          <w:i/>
          <w:sz w:val="24"/>
          <w:szCs w:val="24"/>
        </w:rPr>
        <w:t>Great Britain: Oxford University Press</w:t>
      </w:r>
      <w:r w:rsidRPr="00B745A7">
        <w:rPr>
          <w:rFonts w:ascii="Times New Roman" w:hAnsi="Times New Roman" w:cs="Times New Roman"/>
          <w:sz w:val="24"/>
          <w:szCs w:val="24"/>
        </w:rPr>
        <w:t xml:space="preserve">. </w:t>
      </w:r>
    </w:p>
    <w:p w14:paraId="3736E4DA" w14:textId="479980A2"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lastRenderedPageBreak/>
        <w:t>BROWNE, J., EDWARDS, D. A. and RHODES, K. M., 2017. Association of comorbidity and health service usage among patients with dementia in the UK: a population-based study</w:t>
      </w:r>
      <w:r w:rsidR="00823333" w:rsidRPr="00B745A7">
        <w:rPr>
          <w:rFonts w:ascii="Times New Roman" w:hAnsi="Times New Roman" w:cs="Times New Roman"/>
          <w:sz w:val="24"/>
          <w:szCs w:val="24"/>
        </w:rPr>
        <w:t xml:space="preserve">. </w:t>
      </w:r>
      <w:r w:rsidRPr="00B745A7">
        <w:rPr>
          <w:rFonts w:ascii="Times New Roman" w:hAnsi="Times New Roman" w:cs="Times New Roman"/>
          <w:i/>
          <w:sz w:val="24"/>
          <w:szCs w:val="24"/>
        </w:rPr>
        <w:t>BMJ Open 2017;</w:t>
      </w:r>
      <w:proofErr w:type="gramStart"/>
      <w:r w:rsidRPr="00B745A7">
        <w:rPr>
          <w:rFonts w:ascii="Times New Roman" w:hAnsi="Times New Roman" w:cs="Times New Roman"/>
          <w:i/>
          <w:sz w:val="24"/>
          <w:szCs w:val="24"/>
        </w:rPr>
        <w:t>7</w:t>
      </w:r>
      <w:r w:rsidRPr="00B745A7">
        <w:rPr>
          <w:rFonts w:ascii="Times New Roman" w:hAnsi="Times New Roman" w:cs="Times New Roman"/>
          <w:sz w:val="24"/>
          <w:szCs w:val="24"/>
        </w:rPr>
        <w:t>:e</w:t>
      </w:r>
      <w:proofErr w:type="gramEnd"/>
      <w:r w:rsidRPr="00B745A7">
        <w:rPr>
          <w:rFonts w:ascii="Times New Roman" w:hAnsi="Times New Roman" w:cs="Times New Roman"/>
          <w:sz w:val="24"/>
          <w:szCs w:val="24"/>
        </w:rPr>
        <w:t>012546. doi: 10.1136/bmjopen-2016-012546</w:t>
      </w:r>
    </w:p>
    <w:p w14:paraId="4FF655E3"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CASEY, J.A., SCHWARTZ, B.S., STEWART, W.F. and ADLER, N.E., 2016. Using Electronic Health Records for Population Health Research: A Review of Methods and Applications. </w:t>
      </w:r>
      <w:r w:rsidRPr="00B745A7">
        <w:rPr>
          <w:rFonts w:ascii="Times New Roman" w:hAnsi="Times New Roman" w:cs="Times New Roman"/>
          <w:i/>
          <w:sz w:val="24"/>
          <w:szCs w:val="24"/>
        </w:rPr>
        <w:t>Annual Review of Public Health, 37</w:t>
      </w:r>
      <w:r w:rsidRPr="00B745A7">
        <w:rPr>
          <w:rFonts w:ascii="Times New Roman" w:hAnsi="Times New Roman" w:cs="Times New Roman"/>
          <w:sz w:val="24"/>
          <w:szCs w:val="24"/>
        </w:rPr>
        <w:t xml:space="preserve">, pp. 61-81. </w:t>
      </w:r>
    </w:p>
    <w:p w14:paraId="0125BA89"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CHITHIRAMOHAN, A., ILIFFE, S., and KHATTAK, I., 2018. Identifying barriers to diagnosing dementia following incentivisation and policy pressures: General practitioners’ perspectives. </w:t>
      </w:r>
      <w:r w:rsidRPr="00B745A7">
        <w:rPr>
          <w:rFonts w:ascii="Times New Roman" w:hAnsi="Times New Roman" w:cs="Times New Roman"/>
          <w:i/>
          <w:sz w:val="24"/>
          <w:szCs w:val="24"/>
        </w:rPr>
        <w:t>Dementia, 18</w:t>
      </w:r>
      <w:r w:rsidRPr="00B745A7">
        <w:rPr>
          <w:rFonts w:ascii="Times New Roman" w:hAnsi="Times New Roman" w:cs="Times New Roman"/>
          <w:sz w:val="24"/>
          <w:szCs w:val="24"/>
        </w:rPr>
        <w:t>(2), 514–529. https://doi.org/10.1177/1471301216682625</w:t>
      </w:r>
    </w:p>
    <w:p w14:paraId="1F71D843"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CONNOLLY, A., GAEHL, E., MARTIN, H., MORRIS, J., PURNDARE, N., 2011. Underdiagnosis of dementia in primary care: variations in the observed prevalence and comparisons to the expected prevalence. </w:t>
      </w:r>
      <w:r w:rsidRPr="00B745A7">
        <w:rPr>
          <w:rFonts w:ascii="Times New Roman" w:hAnsi="Times New Roman" w:cs="Times New Roman"/>
          <w:i/>
          <w:sz w:val="24"/>
          <w:szCs w:val="24"/>
        </w:rPr>
        <w:t xml:space="preserve">Aging </w:t>
      </w:r>
      <w:proofErr w:type="spellStart"/>
      <w:r w:rsidRPr="00B745A7">
        <w:rPr>
          <w:rFonts w:ascii="Times New Roman" w:hAnsi="Times New Roman" w:cs="Times New Roman"/>
          <w:i/>
          <w:sz w:val="24"/>
          <w:szCs w:val="24"/>
        </w:rPr>
        <w:t>Ment</w:t>
      </w:r>
      <w:proofErr w:type="spellEnd"/>
      <w:r w:rsidRPr="00B745A7">
        <w:rPr>
          <w:rFonts w:ascii="Times New Roman" w:hAnsi="Times New Roman" w:cs="Times New Roman"/>
          <w:i/>
          <w:sz w:val="24"/>
          <w:szCs w:val="24"/>
        </w:rPr>
        <w:t xml:space="preserve"> Health, 15</w:t>
      </w:r>
      <w:r w:rsidRPr="00B745A7">
        <w:rPr>
          <w:rFonts w:ascii="Times New Roman" w:hAnsi="Times New Roman" w:cs="Times New Roman"/>
          <w:sz w:val="24"/>
          <w:szCs w:val="24"/>
        </w:rPr>
        <w:t>(8); 978-84.</w:t>
      </w:r>
    </w:p>
    <w:p w14:paraId="6D82488C" w14:textId="27354C28"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COOPER, C., TANDY, A. R., BALAMURALI, T. B., and LIVINGSTON, G. A., 2010. A systematic review and meta-analysis of ethnic differences in use of dementia treatment, care, and research. </w:t>
      </w:r>
      <w:r w:rsidRPr="00B745A7">
        <w:rPr>
          <w:rFonts w:ascii="Times New Roman" w:hAnsi="Times New Roman" w:cs="Times New Roman"/>
          <w:i/>
          <w:sz w:val="24"/>
          <w:szCs w:val="24"/>
        </w:rPr>
        <w:t xml:space="preserve">Am J </w:t>
      </w:r>
      <w:proofErr w:type="spellStart"/>
      <w:r w:rsidRPr="00B745A7">
        <w:rPr>
          <w:rFonts w:ascii="Times New Roman" w:hAnsi="Times New Roman" w:cs="Times New Roman"/>
          <w:i/>
          <w:sz w:val="24"/>
          <w:szCs w:val="24"/>
        </w:rPr>
        <w:t>Geriatr</w:t>
      </w:r>
      <w:proofErr w:type="spellEnd"/>
      <w:r w:rsidRPr="00B745A7">
        <w:rPr>
          <w:rFonts w:ascii="Times New Roman" w:hAnsi="Times New Roman" w:cs="Times New Roman"/>
          <w:i/>
          <w:sz w:val="24"/>
          <w:szCs w:val="24"/>
        </w:rPr>
        <w:t xml:space="preserve"> Psychiatr</w:t>
      </w:r>
      <w:r w:rsidR="00C80D49" w:rsidRPr="00B745A7">
        <w:rPr>
          <w:rFonts w:ascii="Times New Roman" w:hAnsi="Times New Roman" w:cs="Times New Roman"/>
          <w:i/>
          <w:sz w:val="24"/>
          <w:szCs w:val="24"/>
        </w:rPr>
        <w:t xml:space="preserve">y, </w:t>
      </w:r>
      <w:r w:rsidRPr="00B745A7">
        <w:rPr>
          <w:rFonts w:ascii="Times New Roman" w:hAnsi="Times New Roman" w:cs="Times New Roman"/>
          <w:i/>
          <w:sz w:val="24"/>
          <w:szCs w:val="24"/>
        </w:rPr>
        <w:t>18</w:t>
      </w:r>
      <w:r w:rsidRPr="00B745A7">
        <w:rPr>
          <w:rFonts w:ascii="Times New Roman" w:hAnsi="Times New Roman" w:cs="Times New Roman"/>
          <w:sz w:val="24"/>
          <w:szCs w:val="24"/>
        </w:rPr>
        <w:t>(3):193-203. doi: 10.1097/JGP.0b013e3181bf9caf. PMID: 20224516.</w:t>
      </w:r>
    </w:p>
    <w:p w14:paraId="3A260FC5"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COOPER, C., LODWICK, R., WALTERS, K., RAINE, R., MANTHORPE, J., ILIFFE, S. and PETERSEN, I., 2016. Observational cohort study: deprivation and access to anti-dementia drugs in the UK. </w:t>
      </w:r>
      <w:r w:rsidRPr="00B745A7">
        <w:rPr>
          <w:rFonts w:ascii="Times New Roman" w:hAnsi="Times New Roman" w:cs="Times New Roman"/>
          <w:i/>
          <w:sz w:val="24"/>
          <w:szCs w:val="24"/>
        </w:rPr>
        <w:t>Great Britain: Oxford University Press</w:t>
      </w:r>
      <w:r w:rsidRPr="00B745A7">
        <w:rPr>
          <w:rFonts w:ascii="Times New Roman" w:hAnsi="Times New Roman" w:cs="Times New Roman"/>
          <w:sz w:val="24"/>
          <w:szCs w:val="24"/>
        </w:rPr>
        <w:t xml:space="preserve">. </w:t>
      </w:r>
    </w:p>
    <w:p w14:paraId="6137BFD2"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COOPER, C., LODWICK, R., WALTERS, K., RAINE, R., MANTHORPE, J., ILIFFE, S. and PETERSEN, I., 2017. Inequalities in receipt of mental and physical healthcare in people with dementia in the UK. </w:t>
      </w:r>
      <w:r w:rsidRPr="00B745A7">
        <w:rPr>
          <w:rFonts w:ascii="Times New Roman" w:hAnsi="Times New Roman" w:cs="Times New Roman"/>
          <w:i/>
          <w:sz w:val="24"/>
          <w:szCs w:val="24"/>
        </w:rPr>
        <w:t>Great Britain: Oxford University Press</w:t>
      </w:r>
      <w:r w:rsidRPr="00B745A7">
        <w:rPr>
          <w:rFonts w:ascii="Times New Roman" w:hAnsi="Times New Roman" w:cs="Times New Roman"/>
          <w:sz w:val="24"/>
          <w:szCs w:val="24"/>
        </w:rPr>
        <w:t xml:space="preserve">. </w:t>
      </w:r>
    </w:p>
    <w:p w14:paraId="32C6D187"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lastRenderedPageBreak/>
        <w:t xml:space="preserve">CPRD. (2021) CPRD </w:t>
      </w:r>
      <w:proofErr w:type="spellStart"/>
      <w:r w:rsidRPr="00B745A7">
        <w:rPr>
          <w:rFonts w:ascii="Times New Roman" w:hAnsi="Times New Roman" w:cs="Times New Roman"/>
          <w:sz w:val="24"/>
          <w:szCs w:val="24"/>
        </w:rPr>
        <w:t>Aurum</w:t>
      </w:r>
      <w:proofErr w:type="spellEnd"/>
      <w:r w:rsidRPr="00B745A7">
        <w:rPr>
          <w:rFonts w:ascii="Times New Roman" w:hAnsi="Times New Roman" w:cs="Times New Roman"/>
          <w:sz w:val="24"/>
          <w:szCs w:val="24"/>
        </w:rPr>
        <w:t xml:space="preserve"> Data Specification: Version 2.5: Date: 21 January 2021. [Online] Available from: https://cprd.com/sites/default/files/CPRD%20Aurum%20Data%20Specification%20v2.5.pdf Accessed: 08/09/2021 </w:t>
      </w:r>
    </w:p>
    <w:p w14:paraId="1060F3A6"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CREAVIN, S. T., NOEL-STORR, A. H., RICHARD, R., CREAVIN, A. L., CULLUM, S., BEN-SHLOMO, Y., and PURDY, S., 2017. Clinical judgement by primary care physicians for the diagnosis of all‐cause dementia or cognitive impairment in symptomatic people. </w:t>
      </w:r>
      <w:r w:rsidRPr="00B745A7">
        <w:rPr>
          <w:rFonts w:ascii="Times New Roman" w:hAnsi="Times New Roman" w:cs="Times New Roman"/>
          <w:i/>
          <w:sz w:val="24"/>
          <w:szCs w:val="24"/>
        </w:rPr>
        <w:t>The Cochrane Database of Systematic Reviews, 2017</w:t>
      </w:r>
      <w:r w:rsidRPr="00B745A7">
        <w:rPr>
          <w:rFonts w:ascii="Times New Roman" w:hAnsi="Times New Roman" w:cs="Times New Roman"/>
          <w:sz w:val="24"/>
          <w:szCs w:val="24"/>
        </w:rPr>
        <w:t>(2), CD012558. https://doi.org/10.1002/14651858.CD012558</w:t>
      </w:r>
    </w:p>
    <w:p w14:paraId="726FE558" w14:textId="3D99D2C3"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DAL BELLO-HAS, V. P., CAMMER, A., MORGAN, D., STEWART, N., and KOSTENIUK, J., 2014. Rural and remote dementia care challenges and needs: perspectives of formal and informal care providers residing in Saskatchewan, Canada. </w:t>
      </w:r>
      <w:r w:rsidRPr="00B745A7">
        <w:rPr>
          <w:rFonts w:ascii="Times New Roman" w:hAnsi="Times New Roman" w:cs="Times New Roman"/>
          <w:i/>
          <w:sz w:val="24"/>
          <w:szCs w:val="24"/>
        </w:rPr>
        <w:t>Rural Remote Health</w:t>
      </w:r>
      <w:r w:rsidR="00C80D49" w:rsidRPr="00B745A7">
        <w:rPr>
          <w:rFonts w:ascii="Times New Roman" w:hAnsi="Times New Roman" w:cs="Times New Roman"/>
          <w:i/>
          <w:sz w:val="24"/>
          <w:szCs w:val="24"/>
        </w:rPr>
        <w:t xml:space="preserve">, </w:t>
      </w:r>
      <w:r w:rsidRPr="00B745A7">
        <w:rPr>
          <w:rFonts w:ascii="Times New Roman" w:hAnsi="Times New Roman" w:cs="Times New Roman"/>
          <w:i/>
          <w:sz w:val="24"/>
          <w:szCs w:val="24"/>
        </w:rPr>
        <w:t>14</w:t>
      </w:r>
      <w:r w:rsidRPr="00B745A7">
        <w:rPr>
          <w:rFonts w:ascii="Times New Roman" w:hAnsi="Times New Roman" w:cs="Times New Roman"/>
          <w:sz w:val="24"/>
          <w:szCs w:val="24"/>
        </w:rPr>
        <w:t xml:space="preserve">(3):2747. </w:t>
      </w:r>
      <w:proofErr w:type="spellStart"/>
      <w:r w:rsidRPr="00B745A7">
        <w:rPr>
          <w:rFonts w:ascii="Times New Roman" w:hAnsi="Times New Roman" w:cs="Times New Roman"/>
          <w:i/>
          <w:sz w:val="24"/>
          <w:szCs w:val="24"/>
        </w:rPr>
        <w:t>Epub</w:t>
      </w:r>
      <w:proofErr w:type="spellEnd"/>
      <w:r w:rsidRPr="00B745A7">
        <w:rPr>
          <w:rFonts w:ascii="Times New Roman" w:hAnsi="Times New Roman" w:cs="Times New Roman"/>
          <w:i/>
          <w:sz w:val="24"/>
          <w:szCs w:val="24"/>
        </w:rPr>
        <w:t xml:space="preserve"> 2014 Aug 1</w:t>
      </w:r>
      <w:r w:rsidRPr="00B745A7">
        <w:rPr>
          <w:rFonts w:ascii="Times New Roman" w:hAnsi="Times New Roman" w:cs="Times New Roman"/>
          <w:sz w:val="24"/>
          <w:szCs w:val="24"/>
        </w:rPr>
        <w:t xml:space="preserve">. </w:t>
      </w:r>
      <w:r w:rsidR="00C80D49" w:rsidRPr="00B745A7">
        <w:rPr>
          <w:rFonts w:ascii="Times New Roman" w:hAnsi="Times New Roman" w:cs="Times New Roman"/>
          <w:sz w:val="24"/>
          <w:szCs w:val="24"/>
        </w:rPr>
        <w:t>https://doi.org/10.22605/RRH2747</w:t>
      </w:r>
    </w:p>
    <w:p w14:paraId="49BE4A18" w14:textId="29290BB3"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DELGADO, J., EVANS, P. H., GRAY, D. P., SIDEWAY-LEE, K., ALLAN, L., CLARE, L., BALLARD, C., MASOLI, J., VALDERAS, J. M., and MELZER, D. Continuity of GP care for patients with dementia: impact on prescribing and the health of patients. </w:t>
      </w:r>
      <w:r w:rsidRPr="00B745A7">
        <w:rPr>
          <w:rFonts w:ascii="Times New Roman" w:hAnsi="Times New Roman" w:cs="Times New Roman"/>
          <w:i/>
          <w:sz w:val="24"/>
          <w:szCs w:val="24"/>
        </w:rPr>
        <w:t xml:space="preserve">Br J Gen </w:t>
      </w:r>
      <w:proofErr w:type="spellStart"/>
      <w:r w:rsidRPr="00B745A7">
        <w:rPr>
          <w:rFonts w:ascii="Times New Roman" w:hAnsi="Times New Roman" w:cs="Times New Roman"/>
          <w:i/>
          <w:sz w:val="24"/>
          <w:szCs w:val="24"/>
        </w:rPr>
        <w:t>Pract</w:t>
      </w:r>
      <w:proofErr w:type="spellEnd"/>
      <w:r w:rsidR="00C80D49" w:rsidRPr="00B745A7">
        <w:rPr>
          <w:rFonts w:ascii="Times New Roman" w:hAnsi="Times New Roman" w:cs="Times New Roman"/>
          <w:i/>
          <w:sz w:val="24"/>
          <w:szCs w:val="24"/>
        </w:rPr>
        <w:t xml:space="preserve">, </w:t>
      </w:r>
      <w:r w:rsidRPr="00B745A7">
        <w:rPr>
          <w:rFonts w:ascii="Times New Roman" w:hAnsi="Times New Roman" w:cs="Times New Roman"/>
          <w:i/>
          <w:sz w:val="24"/>
          <w:szCs w:val="24"/>
        </w:rPr>
        <w:t>72</w:t>
      </w:r>
      <w:r w:rsidRPr="00B745A7">
        <w:rPr>
          <w:rFonts w:ascii="Times New Roman" w:hAnsi="Times New Roman" w:cs="Times New Roman"/>
          <w:sz w:val="24"/>
          <w:szCs w:val="24"/>
        </w:rPr>
        <w:t>(715</w:t>
      </w:r>
      <w:proofErr w:type="gramStart"/>
      <w:r w:rsidRPr="00B745A7">
        <w:rPr>
          <w:rFonts w:ascii="Times New Roman" w:hAnsi="Times New Roman" w:cs="Times New Roman"/>
          <w:sz w:val="24"/>
          <w:szCs w:val="24"/>
        </w:rPr>
        <w:t>):e</w:t>
      </w:r>
      <w:proofErr w:type="gramEnd"/>
      <w:r w:rsidRPr="00B745A7">
        <w:rPr>
          <w:rFonts w:ascii="Times New Roman" w:hAnsi="Times New Roman" w:cs="Times New Roman"/>
          <w:sz w:val="24"/>
          <w:szCs w:val="24"/>
        </w:rPr>
        <w:t>91-e98. doi: 10.3399/BJGP.2021.0413. PMID: 35074796</w:t>
      </w:r>
    </w:p>
    <w:p w14:paraId="242D4E91"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DementiaUK, 2022. What is young onset dementia [Online]. Available from: https://www.dementiauk.org/about-dementia/young-onset-dementia/what-is-young-onset-dementia/ Accessed 19/04/2022</w:t>
      </w:r>
    </w:p>
    <w:p w14:paraId="792BCDF7"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DEPARTMENT OF HEALTH AND SOCIAL CARE. Prime Minister’s challenge on Dementia 2020: Implementation Plan. 2016. [Online] Available from: https://www.gov.uk/government/publications/challenge-on-dementia-2020-implementation-plan Accessed: 08/09/2021</w:t>
      </w:r>
    </w:p>
    <w:p w14:paraId="20896CE6"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lastRenderedPageBreak/>
        <w:t xml:space="preserve">DUMMER, T. J., 2008. </w:t>
      </w:r>
      <w:proofErr w:type="spellStart"/>
      <w:r w:rsidRPr="00B745A7">
        <w:rPr>
          <w:rFonts w:ascii="Times New Roman" w:hAnsi="Times New Roman" w:cs="Times New Roman"/>
          <w:sz w:val="24"/>
          <w:szCs w:val="24"/>
        </w:rPr>
        <w:t>Dummer</w:t>
      </w:r>
      <w:proofErr w:type="spellEnd"/>
      <w:r w:rsidRPr="00B745A7">
        <w:rPr>
          <w:rFonts w:ascii="Times New Roman" w:hAnsi="Times New Roman" w:cs="Times New Roman"/>
          <w:sz w:val="24"/>
          <w:szCs w:val="24"/>
        </w:rPr>
        <w:t xml:space="preserve"> T. J. (2008). Health geography: supporting public health policy and planning. </w:t>
      </w:r>
      <w:proofErr w:type="gramStart"/>
      <w:r w:rsidRPr="00B745A7">
        <w:rPr>
          <w:rFonts w:ascii="Times New Roman" w:hAnsi="Times New Roman" w:cs="Times New Roman"/>
          <w:sz w:val="24"/>
          <w:szCs w:val="24"/>
        </w:rPr>
        <w:t>CMAJ :</w:t>
      </w:r>
      <w:proofErr w:type="gramEnd"/>
      <w:r w:rsidRPr="00B745A7">
        <w:rPr>
          <w:rFonts w:ascii="Times New Roman" w:hAnsi="Times New Roman" w:cs="Times New Roman"/>
          <w:sz w:val="24"/>
          <w:szCs w:val="24"/>
        </w:rPr>
        <w:t xml:space="preserve"> </w:t>
      </w:r>
      <w:r w:rsidRPr="00B745A7">
        <w:rPr>
          <w:rFonts w:ascii="Times New Roman" w:hAnsi="Times New Roman" w:cs="Times New Roman"/>
          <w:i/>
          <w:sz w:val="24"/>
          <w:szCs w:val="24"/>
        </w:rPr>
        <w:t xml:space="preserve">Canadian Medical Association journal = journal de </w:t>
      </w:r>
      <w:proofErr w:type="spellStart"/>
      <w:r w:rsidRPr="00B745A7">
        <w:rPr>
          <w:rFonts w:ascii="Times New Roman" w:hAnsi="Times New Roman" w:cs="Times New Roman"/>
          <w:i/>
          <w:sz w:val="24"/>
          <w:szCs w:val="24"/>
        </w:rPr>
        <w:t>l'Association</w:t>
      </w:r>
      <w:proofErr w:type="spellEnd"/>
      <w:r w:rsidRPr="00B745A7">
        <w:rPr>
          <w:rFonts w:ascii="Times New Roman" w:hAnsi="Times New Roman" w:cs="Times New Roman"/>
          <w:i/>
          <w:sz w:val="24"/>
          <w:szCs w:val="24"/>
        </w:rPr>
        <w:t xml:space="preserve"> </w:t>
      </w:r>
      <w:proofErr w:type="spellStart"/>
      <w:r w:rsidRPr="00B745A7">
        <w:rPr>
          <w:rFonts w:ascii="Times New Roman" w:hAnsi="Times New Roman" w:cs="Times New Roman"/>
          <w:i/>
          <w:sz w:val="24"/>
          <w:szCs w:val="24"/>
        </w:rPr>
        <w:t>medicale</w:t>
      </w:r>
      <w:proofErr w:type="spellEnd"/>
      <w:r w:rsidRPr="00B745A7">
        <w:rPr>
          <w:rFonts w:ascii="Times New Roman" w:hAnsi="Times New Roman" w:cs="Times New Roman"/>
          <w:i/>
          <w:sz w:val="24"/>
          <w:szCs w:val="24"/>
        </w:rPr>
        <w:t xml:space="preserve"> </w:t>
      </w:r>
      <w:proofErr w:type="spellStart"/>
      <w:r w:rsidRPr="00B745A7">
        <w:rPr>
          <w:rFonts w:ascii="Times New Roman" w:hAnsi="Times New Roman" w:cs="Times New Roman"/>
          <w:i/>
          <w:sz w:val="24"/>
          <w:szCs w:val="24"/>
        </w:rPr>
        <w:t>canadienne</w:t>
      </w:r>
      <w:proofErr w:type="spellEnd"/>
      <w:r w:rsidRPr="00B745A7">
        <w:rPr>
          <w:rFonts w:ascii="Times New Roman" w:hAnsi="Times New Roman" w:cs="Times New Roman"/>
          <w:i/>
          <w:sz w:val="24"/>
          <w:szCs w:val="24"/>
        </w:rPr>
        <w:t>, 178</w:t>
      </w:r>
      <w:r w:rsidRPr="00B745A7">
        <w:rPr>
          <w:rFonts w:ascii="Times New Roman" w:hAnsi="Times New Roman" w:cs="Times New Roman"/>
          <w:sz w:val="24"/>
          <w:szCs w:val="24"/>
        </w:rPr>
        <w:t>(9), 1177–1180. https://doi.org/10.1503/cmaj.071783</w:t>
      </w:r>
    </w:p>
    <w:p w14:paraId="53238A3F" w14:textId="76156CC3"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DURAN-KIRAC, G., UYSAL-BOZKIR, O., UITTENBROEK, R., VAN HOUT, H., and BROESE VAN GROENOU, M. I., 2022. Accessibility of health care experienced by persons with dementia from ethnic minority groups and formal and informal caregivers: A scoping review of European literature. </w:t>
      </w:r>
      <w:r w:rsidRPr="00B745A7">
        <w:rPr>
          <w:rFonts w:ascii="Times New Roman" w:hAnsi="Times New Roman" w:cs="Times New Roman"/>
          <w:i/>
          <w:sz w:val="24"/>
          <w:szCs w:val="24"/>
        </w:rPr>
        <w:t>Dementia</w:t>
      </w:r>
      <w:r w:rsidR="00C80D49" w:rsidRPr="00B745A7">
        <w:rPr>
          <w:rFonts w:ascii="Times New Roman" w:hAnsi="Times New Roman" w:cs="Times New Roman"/>
          <w:i/>
          <w:sz w:val="24"/>
          <w:szCs w:val="24"/>
        </w:rPr>
        <w:t xml:space="preserve">, </w:t>
      </w:r>
      <w:r w:rsidRPr="00B745A7">
        <w:rPr>
          <w:rFonts w:ascii="Times New Roman" w:hAnsi="Times New Roman" w:cs="Times New Roman"/>
          <w:i/>
          <w:sz w:val="24"/>
          <w:szCs w:val="24"/>
        </w:rPr>
        <w:t>21</w:t>
      </w:r>
      <w:r w:rsidRPr="00B745A7">
        <w:rPr>
          <w:rFonts w:ascii="Times New Roman" w:hAnsi="Times New Roman" w:cs="Times New Roman"/>
          <w:sz w:val="24"/>
          <w:szCs w:val="24"/>
        </w:rPr>
        <w:t>(2):677-700. doi:10.1177/14713012211055307</w:t>
      </w:r>
    </w:p>
    <w:p w14:paraId="157B72CC" w14:textId="60F576DF"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GAMBASSI, G., LAPANE, K. L., LANDI, F., SGADARI, A., MOR, V., and BERNABEI, R., 1999. </w:t>
      </w:r>
      <w:r w:rsidR="00C80D49" w:rsidRPr="00B745A7">
        <w:rPr>
          <w:rFonts w:ascii="Times New Roman" w:hAnsi="Times New Roman" w:cs="Times New Roman"/>
          <w:sz w:val="24"/>
          <w:szCs w:val="24"/>
        </w:rPr>
        <w:t xml:space="preserve">Gender differences in the relation between comorbidity and mortality of patients with Alzheimer’s disease, </w:t>
      </w:r>
      <w:r w:rsidRPr="00B745A7">
        <w:rPr>
          <w:rFonts w:ascii="Times New Roman" w:hAnsi="Times New Roman" w:cs="Times New Roman"/>
          <w:i/>
          <w:sz w:val="24"/>
          <w:szCs w:val="24"/>
        </w:rPr>
        <w:t>Neurology, 53</w:t>
      </w:r>
      <w:r w:rsidRPr="00B745A7">
        <w:rPr>
          <w:rFonts w:ascii="Times New Roman" w:hAnsi="Times New Roman" w:cs="Times New Roman"/>
          <w:sz w:val="24"/>
          <w:szCs w:val="24"/>
        </w:rPr>
        <w:t xml:space="preserve"> (3) 508; </w:t>
      </w:r>
      <w:r w:rsidR="00C80D49" w:rsidRPr="00B745A7">
        <w:rPr>
          <w:rFonts w:ascii="Times New Roman" w:hAnsi="Times New Roman" w:cs="Times New Roman"/>
          <w:sz w:val="24"/>
          <w:szCs w:val="24"/>
        </w:rPr>
        <w:t>https://doi.org/10.1212/WNL.53.3.508</w:t>
      </w:r>
    </w:p>
    <w:p w14:paraId="3BEFC2C4"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GERRITSEN, A. A. J., BAKKER, C., VERHEY, F. R. J, PIJNENBURG, Y. </w:t>
      </w:r>
      <w:proofErr w:type="gramStart"/>
      <w:r w:rsidRPr="00B745A7">
        <w:rPr>
          <w:rFonts w:ascii="Times New Roman" w:hAnsi="Times New Roman" w:cs="Times New Roman"/>
          <w:sz w:val="24"/>
          <w:szCs w:val="24"/>
        </w:rPr>
        <w:t>A .L</w:t>
      </w:r>
      <w:proofErr w:type="gramEnd"/>
      <w:r w:rsidRPr="00B745A7">
        <w:rPr>
          <w:rFonts w:ascii="Times New Roman" w:hAnsi="Times New Roman" w:cs="Times New Roman"/>
          <w:sz w:val="24"/>
          <w:szCs w:val="24"/>
        </w:rPr>
        <w:t xml:space="preserve">, MILLENAAR, J. K., DE VUGT, M. E., and KOOPMANS, R, T, C, M., 2019. Survival and life-expectancy in a young-onset dementia cohort with six years of follow-up: the </w:t>
      </w:r>
      <w:proofErr w:type="spellStart"/>
      <w:r w:rsidRPr="00B745A7">
        <w:rPr>
          <w:rFonts w:ascii="Times New Roman" w:hAnsi="Times New Roman" w:cs="Times New Roman"/>
          <w:sz w:val="24"/>
          <w:szCs w:val="24"/>
        </w:rPr>
        <w:t>NeedYD</w:t>
      </w:r>
      <w:proofErr w:type="spellEnd"/>
      <w:r w:rsidRPr="00B745A7">
        <w:rPr>
          <w:rFonts w:ascii="Times New Roman" w:hAnsi="Times New Roman" w:cs="Times New Roman"/>
          <w:sz w:val="24"/>
          <w:szCs w:val="24"/>
        </w:rPr>
        <w:t xml:space="preserve">-study. </w:t>
      </w:r>
      <w:r w:rsidRPr="00B745A7">
        <w:rPr>
          <w:rFonts w:ascii="Times New Roman" w:hAnsi="Times New Roman" w:cs="Times New Roman"/>
          <w:i/>
          <w:sz w:val="24"/>
          <w:szCs w:val="24"/>
        </w:rPr>
        <w:t xml:space="preserve">Int </w:t>
      </w:r>
      <w:proofErr w:type="spellStart"/>
      <w:r w:rsidRPr="00B745A7">
        <w:rPr>
          <w:rFonts w:ascii="Times New Roman" w:hAnsi="Times New Roman" w:cs="Times New Roman"/>
          <w:i/>
          <w:sz w:val="24"/>
          <w:szCs w:val="24"/>
        </w:rPr>
        <w:t>Psychogeriatr</w:t>
      </w:r>
      <w:proofErr w:type="spellEnd"/>
      <w:r w:rsidRPr="00B745A7">
        <w:rPr>
          <w:rFonts w:ascii="Times New Roman" w:hAnsi="Times New Roman" w:cs="Times New Roman"/>
          <w:i/>
          <w:sz w:val="24"/>
          <w:szCs w:val="24"/>
        </w:rPr>
        <w:t>, 31</w:t>
      </w:r>
      <w:r w:rsidRPr="00B745A7">
        <w:rPr>
          <w:rFonts w:ascii="Times New Roman" w:hAnsi="Times New Roman" w:cs="Times New Roman"/>
          <w:sz w:val="24"/>
          <w:szCs w:val="24"/>
        </w:rPr>
        <w:t xml:space="preserve">(12):1781-1789. doi: </w:t>
      </w:r>
    </w:p>
    <w:p w14:paraId="780FBE0E" w14:textId="1FE50D9C"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G</w:t>
      </w:r>
      <w:r w:rsidR="00E03C74" w:rsidRPr="00B745A7">
        <w:rPr>
          <w:rFonts w:ascii="Times New Roman" w:hAnsi="Times New Roman" w:cs="Times New Roman"/>
          <w:sz w:val="24"/>
          <w:szCs w:val="24"/>
        </w:rPr>
        <w:t>IEBEL</w:t>
      </w:r>
      <w:r w:rsidRPr="00B745A7">
        <w:rPr>
          <w:rFonts w:ascii="Times New Roman" w:hAnsi="Times New Roman" w:cs="Times New Roman"/>
          <w:sz w:val="24"/>
          <w:szCs w:val="24"/>
        </w:rPr>
        <w:t>, C. “Current dementia care: what are the difficulties and how can we advance care globally?”</w:t>
      </w:r>
      <w:r w:rsidR="00093B60" w:rsidRPr="00B745A7">
        <w:rPr>
          <w:rFonts w:ascii="Times New Roman" w:hAnsi="Times New Roman" w:cs="Times New Roman"/>
          <w:sz w:val="24"/>
          <w:szCs w:val="24"/>
        </w:rPr>
        <w:t>, 2020</w:t>
      </w:r>
      <w:r w:rsidRPr="00B745A7">
        <w:rPr>
          <w:rFonts w:ascii="Times New Roman" w:hAnsi="Times New Roman" w:cs="Times New Roman"/>
          <w:sz w:val="24"/>
          <w:szCs w:val="24"/>
        </w:rPr>
        <w:t xml:space="preserve">. </w:t>
      </w:r>
      <w:r w:rsidRPr="00B745A7">
        <w:rPr>
          <w:rFonts w:ascii="Times New Roman" w:hAnsi="Times New Roman" w:cs="Times New Roman"/>
          <w:i/>
          <w:sz w:val="24"/>
          <w:szCs w:val="24"/>
        </w:rPr>
        <w:t xml:space="preserve">BMC Health </w:t>
      </w:r>
      <w:proofErr w:type="spellStart"/>
      <w:r w:rsidRPr="00B745A7">
        <w:rPr>
          <w:rFonts w:ascii="Times New Roman" w:hAnsi="Times New Roman" w:cs="Times New Roman"/>
          <w:i/>
          <w:sz w:val="24"/>
          <w:szCs w:val="24"/>
        </w:rPr>
        <w:t>Serv</w:t>
      </w:r>
      <w:proofErr w:type="spellEnd"/>
      <w:r w:rsidRPr="00B745A7">
        <w:rPr>
          <w:rFonts w:ascii="Times New Roman" w:hAnsi="Times New Roman" w:cs="Times New Roman"/>
          <w:i/>
          <w:sz w:val="24"/>
          <w:szCs w:val="24"/>
        </w:rPr>
        <w:t xml:space="preserve"> Res 20</w:t>
      </w:r>
      <w:r w:rsidRPr="00B745A7">
        <w:rPr>
          <w:rFonts w:ascii="Times New Roman" w:hAnsi="Times New Roman" w:cs="Times New Roman"/>
          <w:sz w:val="24"/>
          <w:szCs w:val="24"/>
        </w:rPr>
        <w:t>, 414. https://doi.org/10.1186/s12913-020-05307-1</w:t>
      </w:r>
    </w:p>
    <w:p w14:paraId="0EFB0BA9" w14:textId="15E03F74"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GIEBEL, C., EASTHAM, C., CANNON, J., WILSON, J., WILSON, J., and PEARSON, A., 2020. Evaluating a young-onset dementia service from two sides of the coin: staff and service user perspectives. </w:t>
      </w:r>
      <w:r w:rsidRPr="00B745A7">
        <w:rPr>
          <w:rFonts w:ascii="Times New Roman" w:hAnsi="Times New Roman" w:cs="Times New Roman"/>
          <w:i/>
          <w:sz w:val="24"/>
          <w:szCs w:val="24"/>
        </w:rPr>
        <w:t xml:space="preserve">BMC Health </w:t>
      </w:r>
      <w:proofErr w:type="spellStart"/>
      <w:r w:rsidRPr="00B745A7">
        <w:rPr>
          <w:rFonts w:ascii="Times New Roman" w:hAnsi="Times New Roman" w:cs="Times New Roman"/>
          <w:i/>
          <w:sz w:val="24"/>
          <w:szCs w:val="24"/>
        </w:rPr>
        <w:t>Serv</w:t>
      </w:r>
      <w:proofErr w:type="spellEnd"/>
      <w:r w:rsidRPr="00B745A7">
        <w:rPr>
          <w:rFonts w:ascii="Times New Roman" w:hAnsi="Times New Roman" w:cs="Times New Roman"/>
          <w:i/>
          <w:sz w:val="24"/>
          <w:szCs w:val="24"/>
        </w:rPr>
        <w:t xml:space="preserve"> Res 20, 187</w:t>
      </w:r>
      <w:r w:rsidRPr="00B745A7">
        <w:rPr>
          <w:rFonts w:ascii="Times New Roman" w:hAnsi="Times New Roman" w:cs="Times New Roman"/>
          <w:sz w:val="24"/>
          <w:szCs w:val="24"/>
        </w:rPr>
        <w:t>. https://doi.org/10.1186/s12913-020-5027-8</w:t>
      </w:r>
    </w:p>
    <w:p w14:paraId="4FFB0D83" w14:textId="46C89E7E"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GIEBEL, C., HANNA, K., TETLOW, H., WARD, K., SHENTON, J., CANNON, J., BUTCHARD, S., KOMURAVELLI, A., GAUGHAN, A., ELEY, R., ROGERS, C., RAJAGOPAL, M., LIMBERT, S., CALLAGHAN, S., WHITTINGTON, R., SHAW, L. and GABBAY, M., 2021. “A piece of paper is not the same as having someone to talk to”: </w:t>
      </w:r>
      <w:r w:rsidRPr="00B745A7">
        <w:rPr>
          <w:rFonts w:ascii="Times New Roman" w:hAnsi="Times New Roman" w:cs="Times New Roman"/>
          <w:sz w:val="24"/>
          <w:szCs w:val="24"/>
        </w:rPr>
        <w:lastRenderedPageBreak/>
        <w:t xml:space="preserve">accessing post-diagnostic dementia care before and since COVID-19 and associated inequalities. </w:t>
      </w:r>
      <w:r w:rsidRPr="00B745A7">
        <w:rPr>
          <w:rFonts w:ascii="Times New Roman" w:hAnsi="Times New Roman" w:cs="Times New Roman"/>
          <w:i/>
          <w:sz w:val="24"/>
          <w:szCs w:val="24"/>
        </w:rPr>
        <w:t>International Journal for Equity in Health, 20</w:t>
      </w:r>
      <w:r w:rsidRPr="00B745A7">
        <w:rPr>
          <w:rFonts w:ascii="Times New Roman" w:hAnsi="Times New Roman" w:cs="Times New Roman"/>
          <w:sz w:val="24"/>
          <w:szCs w:val="24"/>
        </w:rPr>
        <w:t xml:space="preserve">(1):76. </w:t>
      </w:r>
    </w:p>
    <w:p w14:paraId="19752FA0" w14:textId="5AFC7818" w:rsidR="00BA33FE" w:rsidRPr="00B745A7" w:rsidRDefault="00BA33FE"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GIEBEL, C., SUTCLIFFE, C., DARLINGTON-POLLOCK, F., GREEN, M. A., AKPAN, A., DICKINSON, J., WATSON, J., and GABBAY, M. (2021). Health Inequities in the Care Pathways for People Living with Young- and Late-Onset Dementia: From Pre-COVID-19 to Early Pandemic. </w:t>
      </w:r>
      <w:r w:rsidRPr="00B745A7">
        <w:rPr>
          <w:rFonts w:ascii="Times New Roman" w:hAnsi="Times New Roman" w:cs="Times New Roman"/>
          <w:i/>
          <w:sz w:val="24"/>
          <w:szCs w:val="24"/>
        </w:rPr>
        <w:t>International journal of environmental research and public health</w:t>
      </w:r>
      <w:r w:rsidRPr="00B745A7">
        <w:rPr>
          <w:rFonts w:ascii="Times New Roman" w:hAnsi="Times New Roman" w:cs="Times New Roman"/>
          <w:sz w:val="24"/>
          <w:szCs w:val="24"/>
        </w:rPr>
        <w:t>, 18(2), 686. https://doi.org/10.3390/ijerph18020686</w:t>
      </w:r>
    </w:p>
    <w:p w14:paraId="6D42407D"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GRIFFITH, L.E., GRUNEIR, A., FISHER, K., PANJWANI, D., GANDHI, S., SHENG, L., GAFNI, A., PATTERSON, C., MARKLE-REID, M. and PLOEG, J., 2016. Patterns of health service use in community living older adults with dementia and comorbid conditions: a population-based retrospective cohort study in Ontario, Canada. </w:t>
      </w:r>
      <w:r w:rsidRPr="00B745A7">
        <w:rPr>
          <w:rFonts w:ascii="Times New Roman" w:hAnsi="Times New Roman" w:cs="Times New Roman"/>
          <w:i/>
          <w:sz w:val="24"/>
          <w:szCs w:val="24"/>
        </w:rPr>
        <w:t>BMC Geriatrics, 16</w:t>
      </w:r>
      <w:r w:rsidRPr="00B745A7">
        <w:rPr>
          <w:rFonts w:ascii="Times New Roman" w:hAnsi="Times New Roman" w:cs="Times New Roman"/>
          <w:sz w:val="24"/>
          <w:szCs w:val="24"/>
        </w:rPr>
        <w:t xml:space="preserve">. </w:t>
      </w:r>
    </w:p>
    <w:p w14:paraId="21B0FCD0"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GUPTA, S., FIERTAG, O., and WARNER, J., 2009.  Rare and unusual dementias. </w:t>
      </w:r>
      <w:r w:rsidRPr="00B745A7">
        <w:rPr>
          <w:rFonts w:ascii="Times New Roman" w:hAnsi="Times New Roman" w:cs="Times New Roman"/>
          <w:i/>
          <w:sz w:val="24"/>
          <w:szCs w:val="24"/>
        </w:rPr>
        <w:t>Advances in Psychiatric Treatment, 15</w:t>
      </w:r>
      <w:r w:rsidRPr="00B745A7">
        <w:rPr>
          <w:rFonts w:ascii="Times New Roman" w:hAnsi="Times New Roman" w:cs="Times New Roman"/>
          <w:sz w:val="24"/>
          <w:szCs w:val="24"/>
        </w:rPr>
        <w:t>(5), 364-371. doi:10.1192/apt.bp.107.003558</w:t>
      </w:r>
    </w:p>
    <w:p w14:paraId="1DDF85B7"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HINDORFF, L.A., BONHAM, V.L. and OHNO-MACHADO, L., 2018. Enhancing diversity to reduce health information disparities and build an evidence base for genomic medicine. </w:t>
      </w:r>
      <w:r w:rsidRPr="00B745A7">
        <w:rPr>
          <w:rFonts w:ascii="Times New Roman" w:hAnsi="Times New Roman" w:cs="Times New Roman"/>
          <w:i/>
          <w:sz w:val="24"/>
          <w:szCs w:val="24"/>
        </w:rPr>
        <w:t>PERSONALIZED MEDICINE, 15</w:t>
      </w:r>
      <w:r w:rsidRPr="00B745A7">
        <w:rPr>
          <w:rFonts w:ascii="Times New Roman" w:hAnsi="Times New Roman" w:cs="Times New Roman"/>
          <w:sz w:val="24"/>
          <w:szCs w:val="24"/>
        </w:rPr>
        <w:t xml:space="preserve">(5), pp. 403-412. </w:t>
      </w:r>
    </w:p>
    <w:p w14:paraId="23198244"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HOANG, M. T., KAREHOLT, I., VON KOCH, L., XU, H., SECNIK, J., RELIGA, D., TAN, E. D. K., JOHNELL, K., and GARCIA-PTACEK, s., 2021. Socioeconomic inequalities in dementia diagnostic process and medication prescription: Experience from the Swedish Dementia Registry. </w:t>
      </w:r>
      <w:r w:rsidRPr="00B745A7">
        <w:rPr>
          <w:rFonts w:ascii="Times New Roman" w:hAnsi="Times New Roman" w:cs="Times New Roman"/>
          <w:i/>
          <w:sz w:val="24"/>
          <w:szCs w:val="24"/>
        </w:rPr>
        <w:t>Alzheimer's Dement., 17</w:t>
      </w:r>
      <w:r w:rsidRPr="00B745A7">
        <w:rPr>
          <w:rFonts w:ascii="Times New Roman" w:hAnsi="Times New Roman" w:cs="Times New Roman"/>
          <w:sz w:val="24"/>
          <w:szCs w:val="24"/>
        </w:rPr>
        <w:t>: e049802. https://doi.org/10.1002/alz.049802</w:t>
      </w:r>
    </w:p>
    <w:p w14:paraId="1DB1C426" w14:textId="76334326" w:rsidR="00E34317" w:rsidRPr="00B745A7" w:rsidRDefault="00E34317"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HUSAINI, B., GUDLAVALLETI, A. S., CAIN, V., LEVINE, R., &amp; MOONIS, M. (2015). Risk Factors and Hospitalization Costs of Dementia Patients: Examining Race and Gender Variations. </w:t>
      </w:r>
      <w:r w:rsidRPr="00B745A7">
        <w:rPr>
          <w:rFonts w:ascii="Times New Roman" w:hAnsi="Times New Roman" w:cs="Times New Roman"/>
          <w:i/>
          <w:sz w:val="24"/>
          <w:szCs w:val="24"/>
        </w:rPr>
        <w:t>Indian journal of community medicine: official publication of Indian Association of Preventive &amp; Social Medicine</w:t>
      </w:r>
      <w:r w:rsidRPr="00B745A7">
        <w:rPr>
          <w:rFonts w:ascii="Times New Roman" w:hAnsi="Times New Roman" w:cs="Times New Roman"/>
          <w:sz w:val="24"/>
          <w:szCs w:val="24"/>
        </w:rPr>
        <w:t>, 40(4), 258–263. https://doi.org/10.4103/0970-0218.164396.</w:t>
      </w:r>
    </w:p>
    <w:p w14:paraId="24A73ACE" w14:textId="32450A88"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lastRenderedPageBreak/>
        <w:t xml:space="preserve">JITLAL, M., AMIRTHALINGHAM, C. N. K., KARANIA, T., PARRY, E., NEIGAN, A., DOBSON, R., NOYCE, A. J. and MARSHALL, C. R., 2021. The Influence of Socioeconomic Deprivation on Dementia Mortality, Age at Death, and Quality of Diagnosis: A Nationwide Death Records Study in England and Wales 2001-2017. </w:t>
      </w:r>
      <w:r w:rsidRPr="00B745A7">
        <w:rPr>
          <w:rFonts w:ascii="Times New Roman" w:hAnsi="Times New Roman" w:cs="Times New Roman"/>
          <w:i/>
          <w:sz w:val="24"/>
          <w:szCs w:val="24"/>
        </w:rPr>
        <w:t xml:space="preserve">J </w:t>
      </w:r>
      <w:proofErr w:type="spellStart"/>
      <w:r w:rsidRPr="00B745A7">
        <w:rPr>
          <w:rFonts w:ascii="Times New Roman" w:hAnsi="Times New Roman" w:cs="Times New Roman"/>
          <w:i/>
          <w:sz w:val="24"/>
          <w:szCs w:val="24"/>
        </w:rPr>
        <w:t>Alzheimers</w:t>
      </w:r>
      <w:proofErr w:type="spellEnd"/>
      <w:r w:rsidRPr="00B745A7">
        <w:rPr>
          <w:rFonts w:ascii="Times New Roman" w:hAnsi="Times New Roman" w:cs="Times New Roman"/>
          <w:i/>
          <w:sz w:val="24"/>
          <w:szCs w:val="24"/>
        </w:rPr>
        <w:t xml:space="preserve"> Dis, 81</w:t>
      </w:r>
      <w:r w:rsidRPr="00B745A7">
        <w:rPr>
          <w:rFonts w:ascii="Times New Roman" w:hAnsi="Times New Roman" w:cs="Times New Roman"/>
          <w:sz w:val="24"/>
          <w:szCs w:val="24"/>
        </w:rPr>
        <w:t>(1):321-328. doi: 10.3233/JAD-210089. PMID: 33780372.</w:t>
      </w:r>
    </w:p>
    <w:p w14:paraId="3E87AAFB"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KING'S FUND, 2018. The NHS at 70: What's the problem with social care, and why do we need to do better? [Online] Available from: https://www.kingsfund.org.uk/publications/nhs-70-whats-the-problem-with-social-care Accessed 19/04/2022</w:t>
      </w:r>
    </w:p>
    <w:p w14:paraId="75B73739"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KING'S FUND, 2021. The health of people from ethnic minority groups in England [Online] Available from: https://www.kingsfund.org.uk/publications/health-people-ethnic-minority-groups-england Accessed 19/04/2022</w:t>
      </w:r>
    </w:p>
    <w:p w14:paraId="10CE6FF5"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KOEDAM, E. L., LAUFFER, V., VAN DER VLIES, A. E., VAN DER FLIER, W. M., SCHELTENS, P., and PIJNENBURG, y. a., 2010. Early-versus late-onset Alzheimer's disease: more than age alone. </w:t>
      </w:r>
      <w:r w:rsidRPr="00B745A7">
        <w:rPr>
          <w:rFonts w:ascii="Times New Roman" w:hAnsi="Times New Roman" w:cs="Times New Roman"/>
          <w:i/>
          <w:sz w:val="24"/>
          <w:szCs w:val="24"/>
        </w:rPr>
        <w:t xml:space="preserve">J </w:t>
      </w:r>
      <w:proofErr w:type="spellStart"/>
      <w:r w:rsidRPr="00B745A7">
        <w:rPr>
          <w:rFonts w:ascii="Times New Roman" w:hAnsi="Times New Roman" w:cs="Times New Roman"/>
          <w:i/>
          <w:sz w:val="24"/>
          <w:szCs w:val="24"/>
        </w:rPr>
        <w:t>Alzheimers</w:t>
      </w:r>
      <w:proofErr w:type="spellEnd"/>
      <w:r w:rsidRPr="00B745A7">
        <w:rPr>
          <w:rFonts w:ascii="Times New Roman" w:hAnsi="Times New Roman" w:cs="Times New Roman"/>
          <w:i/>
          <w:sz w:val="24"/>
          <w:szCs w:val="24"/>
        </w:rPr>
        <w:t xml:space="preserve"> Dis. 19</w:t>
      </w:r>
      <w:r w:rsidRPr="00B745A7">
        <w:rPr>
          <w:rFonts w:ascii="Times New Roman" w:hAnsi="Times New Roman" w:cs="Times New Roman"/>
          <w:sz w:val="24"/>
          <w:szCs w:val="24"/>
        </w:rPr>
        <w:t>(4):1401-8. doi: 10.3233/JAD-2010-1337.</w:t>
      </w:r>
    </w:p>
    <w:p w14:paraId="5AA9D35B"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KORHONEN, K., EINIÖ, E., TARKIAINEN, L., MARTIKAINEN, P. and LEINONEN, T., 2020. Midlife socioeconomic position and old-age dementia mortality: A large prospective register-based study from Finland. </w:t>
      </w:r>
      <w:r w:rsidRPr="00B745A7">
        <w:rPr>
          <w:rFonts w:ascii="Times New Roman" w:hAnsi="Times New Roman" w:cs="Times New Roman"/>
          <w:i/>
          <w:sz w:val="24"/>
          <w:szCs w:val="24"/>
        </w:rPr>
        <w:t>BMJ Open, 10</w:t>
      </w:r>
      <w:r w:rsidRPr="00B745A7">
        <w:rPr>
          <w:rFonts w:ascii="Times New Roman" w:hAnsi="Times New Roman" w:cs="Times New Roman"/>
          <w:sz w:val="24"/>
          <w:szCs w:val="24"/>
        </w:rPr>
        <w:t xml:space="preserve">(1). </w:t>
      </w:r>
    </w:p>
    <w:p w14:paraId="401E4398"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LIN, K. A., CHOUDHURY, K. R., RATHAKRISHNAN, B. G., MARKS, D. M., PETRELLA, J. R., and DORAISWARMY, P. M., 2015. Marked gender differences in progression of mild cognitive impairment over 8 years. </w:t>
      </w:r>
      <w:r w:rsidRPr="00B745A7">
        <w:rPr>
          <w:rFonts w:ascii="Times New Roman" w:hAnsi="Times New Roman" w:cs="Times New Roman"/>
          <w:i/>
          <w:sz w:val="24"/>
          <w:szCs w:val="24"/>
        </w:rPr>
        <w:t>Alzheimer's &amp; dementia (New York, N. Y.), 1</w:t>
      </w:r>
      <w:r w:rsidRPr="00B745A7">
        <w:rPr>
          <w:rFonts w:ascii="Times New Roman" w:hAnsi="Times New Roman" w:cs="Times New Roman"/>
          <w:sz w:val="24"/>
          <w:szCs w:val="24"/>
        </w:rPr>
        <w:t>(2), 103–110. https://doi.org/10.1016/j.trci.2015.07.001</w:t>
      </w:r>
    </w:p>
    <w:p w14:paraId="6413E985"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LIN, P. -J., DALY, A., OLCHANSKI, N., COEN, J. T., NEUMANN, P. J., FAUL, J. D., FILLIT, H. M. and FREUND, K. M., 2020. Dementia diagnosis disparities by race and ethnicity. </w:t>
      </w:r>
      <w:r w:rsidRPr="00B745A7">
        <w:rPr>
          <w:rFonts w:ascii="Times New Roman" w:hAnsi="Times New Roman" w:cs="Times New Roman"/>
          <w:i/>
          <w:sz w:val="24"/>
          <w:szCs w:val="24"/>
        </w:rPr>
        <w:t>Alzheimer's Dement., 16</w:t>
      </w:r>
      <w:r w:rsidRPr="00B745A7">
        <w:rPr>
          <w:rFonts w:ascii="Times New Roman" w:hAnsi="Times New Roman" w:cs="Times New Roman"/>
          <w:sz w:val="24"/>
          <w:szCs w:val="24"/>
        </w:rPr>
        <w:t>: e043183. https://doi.org/10.1002/alz.043183</w:t>
      </w:r>
    </w:p>
    <w:p w14:paraId="6AF28235"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lastRenderedPageBreak/>
        <w:t>LOCAL GOVERNMENT ASSOCIATION. (2021). Dementia Action Week, House of Commons, 27 May 2021. [Online] Available from: http://www.local.gov.uk/parliament/briefings-and-responses/dementia-action-week-house-commons-27-may-2021 Accessed: 08/09/2021</w:t>
      </w:r>
    </w:p>
    <w:p w14:paraId="747A24DC" w14:textId="0B07852F"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LOVHEIM, H., SANDMAN, P., KARLSSON, S. and GUSTAFSON, Y., 2009. Sex differences in the prevalence of </w:t>
      </w:r>
      <w:proofErr w:type="spellStart"/>
      <w:r w:rsidRPr="00B745A7">
        <w:rPr>
          <w:rFonts w:ascii="Times New Roman" w:hAnsi="Times New Roman" w:cs="Times New Roman"/>
          <w:sz w:val="24"/>
          <w:szCs w:val="24"/>
        </w:rPr>
        <w:t>behavioral</w:t>
      </w:r>
      <w:proofErr w:type="spellEnd"/>
      <w:r w:rsidRPr="00B745A7">
        <w:rPr>
          <w:rFonts w:ascii="Times New Roman" w:hAnsi="Times New Roman" w:cs="Times New Roman"/>
          <w:sz w:val="24"/>
          <w:szCs w:val="24"/>
        </w:rPr>
        <w:t xml:space="preserve"> and psychological symptoms of dementia. </w:t>
      </w:r>
      <w:r w:rsidRPr="00B745A7">
        <w:rPr>
          <w:rFonts w:ascii="Times New Roman" w:hAnsi="Times New Roman" w:cs="Times New Roman"/>
          <w:i/>
          <w:sz w:val="24"/>
          <w:szCs w:val="24"/>
        </w:rPr>
        <w:t xml:space="preserve">International </w:t>
      </w:r>
      <w:proofErr w:type="spellStart"/>
      <w:r w:rsidRPr="00B745A7">
        <w:rPr>
          <w:rFonts w:ascii="Times New Roman" w:hAnsi="Times New Roman" w:cs="Times New Roman"/>
          <w:i/>
          <w:sz w:val="24"/>
          <w:szCs w:val="24"/>
        </w:rPr>
        <w:t>Psychogeriatrics</w:t>
      </w:r>
      <w:proofErr w:type="spellEnd"/>
      <w:r w:rsidRPr="00B745A7">
        <w:rPr>
          <w:rFonts w:ascii="Times New Roman" w:hAnsi="Times New Roman" w:cs="Times New Roman"/>
          <w:i/>
          <w:sz w:val="24"/>
          <w:szCs w:val="24"/>
        </w:rPr>
        <w:t>, 21</w:t>
      </w:r>
      <w:r w:rsidRPr="00B745A7">
        <w:rPr>
          <w:rFonts w:ascii="Times New Roman" w:hAnsi="Times New Roman" w:cs="Times New Roman"/>
          <w:sz w:val="24"/>
          <w:szCs w:val="24"/>
        </w:rPr>
        <w:t>(3), 469-475. doi:10.1017/S1041610209008497</w:t>
      </w:r>
      <w:r w:rsidR="00404C01" w:rsidRPr="00B745A7">
        <w:rPr>
          <w:rFonts w:ascii="Times New Roman" w:hAnsi="Times New Roman" w:cs="Times New Roman"/>
          <w:sz w:val="24"/>
          <w:szCs w:val="24"/>
        </w:rPr>
        <w:t>.</w:t>
      </w:r>
    </w:p>
    <w:p w14:paraId="3A8D1492" w14:textId="0C2FFBD4" w:rsidR="00404C01" w:rsidRPr="00B745A7" w:rsidRDefault="00404C01"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LU, Z. K., XIONG, X., WANG, X., &amp; WU, J. (2021). Gender Disparities in Anti-dementia Medication Use among Older Adults: Health Equity Considerations and Management of Alzheimer's Disease and Related Dementias. </w:t>
      </w:r>
      <w:r w:rsidRPr="00B745A7">
        <w:rPr>
          <w:rFonts w:ascii="Times New Roman" w:hAnsi="Times New Roman" w:cs="Times New Roman"/>
          <w:i/>
          <w:sz w:val="24"/>
          <w:szCs w:val="24"/>
        </w:rPr>
        <w:t>Frontiers in pharmacology</w:t>
      </w:r>
      <w:r w:rsidRPr="00B745A7">
        <w:rPr>
          <w:rFonts w:ascii="Times New Roman" w:hAnsi="Times New Roman" w:cs="Times New Roman"/>
          <w:sz w:val="24"/>
          <w:szCs w:val="24"/>
        </w:rPr>
        <w:t>, 12, 706762. https://doi.org/10.3389/fphar.2021.706762</w:t>
      </w:r>
    </w:p>
    <w:p w14:paraId="0CE504A3" w14:textId="4575F16F"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LYKETSOS, C. G., STEELE, C., GALIK, E., ROSENBLATT, A., STEINBERG, M., WARREN, A. and SHEPPARD, J. M., 1999. Physical aggression in dementia patients and its relationship to depression. </w:t>
      </w:r>
      <w:r w:rsidRPr="00B745A7">
        <w:rPr>
          <w:rFonts w:ascii="Times New Roman" w:hAnsi="Times New Roman" w:cs="Times New Roman"/>
          <w:i/>
          <w:sz w:val="24"/>
          <w:szCs w:val="24"/>
        </w:rPr>
        <w:t>Am J Psychiatry, 156</w:t>
      </w:r>
      <w:r w:rsidRPr="00B745A7">
        <w:rPr>
          <w:rFonts w:ascii="Times New Roman" w:hAnsi="Times New Roman" w:cs="Times New Roman"/>
          <w:sz w:val="24"/>
          <w:szCs w:val="24"/>
        </w:rPr>
        <w:t>(1):66-71. doi: 10.1176/ajp.156.1.66. PMID: 9892299.</w:t>
      </w:r>
    </w:p>
    <w:p w14:paraId="58BC08CA" w14:textId="74603B49" w:rsidR="008A1866" w:rsidRPr="00B745A7" w:rsidRDefault="008A1866"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MINISTRY OF HOUSING, COMMUNITIES &amp; LOCAL GOVERNMENT, 2015. English indices of deprivation 2015 [Online] Available from: https://www.gov.uk/government/statistics/english-indices-of-deprivation-2015</w:t>
      </w:r>
    </w:p>
    <w:p w14:paraId="48EF864E"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MUKADAM, N., COOPER, C. and LIVINGSTON, G. A., 2011. A systematic review of ethnicity and pathways to care in dementia. </w:t>
      </w:r>
      <w:r w:rsidRPr="00B745A7">
        <w:rPr>
          <w:rFonts w:ascii="Times New Roman" w:hAnsi="Times New Roman" w:cs="Times New Roman"/>
          <w:i/>
          <w:sz w:val="24"/>
          <w:szCs w:val="24"/>
        </w:rPr>
        <w:t xml:space="preserve">Int J </w:t>
      </w:r>
      <w:proofErr w:type="spellStart"/>
      <w:r w:rsidRPr="00B745A7">
        <w:rPr>
          <w:rFonts w:ascii="Times New Roman" w:hAnsi="Times New Roman" w:cs="Times New Roman"/>
          <w:i/>
          <w:sz w:val="24"/>
          <w:szCs w:val="24"/>
        </w:rPr>
        <w:t>Geriatr</w:t>
      </w:r>
      <w:proofErr w:type="spellEnd"/>
      <w:r w:rsidRPr="00B745A7">
        <w:rPr>
          <w:rFonts w:ascii="Times New Roman" w:hAnsi="Times New Roman" w:cs="Times New Roman"/>
          <w:i/>
          <w:sz w:val="24"/>
          <w:szCs w:val="24"/>
        </w:rPr>
        <w:t xml:space="preserve"> Psychiatry, 26</w:t>
      </w:r>
      <w:r w:rsidRPr="00B745A7">
        <w:rPr>
          <w:rFonts w:ascii="Times New Roman" w:hAnsi="Times New Roman" w:cs="Times New Roman"/>
          <w:sz w:val="24"/>
          <w:szCs w:val="24"/>
        </w:rPr>
        <w:t>(1):12-20. doi: 10.1002/gps.2484. PMID: 21157846.</w:t>
      </w:r>
    </w:p>
    <w:p w14:paraId="280034CE" w14:textId="7B0C40DC" w:rsidR="00E52BF2" w:rsidRPr="00B745A7" w:rsidRDefault="00E52BF2" w:rsidP="00AD5F19">
      <w:pPr>
        <w:spacing w:line="480" w:lineRule="auto"/>
        <w:rPr>
          <w:rFonts w:ascii="Times New Roman" w:hAnsi="Times New Roman" w:cs="Times New Roman"/>
          <w:sz w:val="24"/>
          <w:szCs w:val="24"/>
        </w:rPr>
      </w:pPr>
    </w:p>
    <w:p w14:paraId="2AF68DD7" w14:textId="43B837FF"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lastRenderedPageBreak/>
        <w:t xml:space="preserve">NEBEL, R. A., AGGARWAL, N. T., BARNES, L. L., GALLACHER, A., GOLDSTEIN, J. M., KANTARCI, K., MALLAMPALLI, M. P., MORMINO, E. C., SCOTT, L., YU, W. H., MAKI, P. M. and MIELKE, M. M., 2018. Understanding the impact of sex and gender in Alzheimer's disease: A call to action. </w:t>
      </w:r>
      <w:r w:rsidRPr="00B745A7">
        <w:rPr>
          <w:rFonts w:ascii="Times New Roman" w:hAnsi="Times New Roman" w:cs="Times New Roman"/>
          <w:i/>
          <w:sz w:val="24"/>
          <w:szCs w:val="24"/>
        </w:rPr>
        <w:t xml:space="preserve">Alzheimer's &amp; </w:t>
      </w:r>
      <w:proofErr w:type="gramStart"/>
      <w:r w:rsidRPr="00B745A7">
        <w:rPr>
          <w:rFonts w:ascii="Times New Roman" w:hAnsi="Times New Roman" w:cs="Times New Roman"/>
          <w:i/>
          <w:sz w:val="24"/>
          <w:szCs w:val="24"/>
        </w:rPr>
        <w:t>dementia :</w:t>
      </w:r>
      <w:proofErr w:type="gramEnd"/>
      <w:r w:rsidRPr="00B745A7">
        <w:rPr>
          <w:rFonts w:ascii="Times New Roman" w:hAnsi="Times New Roman" w:cs="Times New Roman"/>
          <w:i/>
          <w:sz w:val="24"/>
          <w:szCs w:val="24"/>
        </w:rPr>
        <w:t xml:space="preserve"> the journal of the Alzheimer's Association, 14</w:t>
      </w:r>
      <w:r w:rsidRPr="00B745A7">
        <w:rPr>
          <w:rFonts w:ascii="Times New Roman" w:hAnsi="Times New Roman" w:cs="Times New Roman"/>
          <w:sz w:val="24"/>
          <w:szCs w:val="24"/>
        </w:rPr>
        <w:t>(9), 1171–1183. https://doi.org/10.1016/j.jalz.2018.04.008</w:t>
      </w:r>
    </w:p>
    <w:p w14:paraId="4FAC4420" w14:textId="06AE5C65"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NELIS, S. M., WU, Y. T., MATTHEWS, F. E., MARTYR, A., QUINN, C., RIPPON, I., RUSTED, J., </w:t>
      </w:r>
      <w:proofErr w:type="gramStart"/>
      <w:r w:rsidRPr="00B745A7">
        <w:rPr>
          <w:rFonts w:ascii="Times New Roman" w:hAnsi="Times New Roman" w:cs="Times New Roman"/>
          <w:sz w:val="24"/>
          <w:szCs w:val="24"/>
        </w:rPr>
        <w:t>THOM ,</w:t>
      </w:r>
      <w:proofErr w:type="gramEnd"/>
      <w:r w:rsidRPr="00B745A7">
        <w:rPr>
          <w:rFonts w:ascii="Times New Roman" w:hAnsi="Times New Roman" w:cs="Times New Roman"/>
          <w:sz w:val="24"/>
          <w:szCs w:val="24"/>
        </w:rPr>
        <w:t xml:space="preserve"> J. M., KOPLEMAN, M. D. HINDLE, J. V., and CLARE, L., 2019. The impact of co-morbidity on the quality of life of people with dementia: findings from the IDEAL study. </w:t>
      </w:r>
      <w:r w:rsidRPr="00B745A7">
        <w:rPr>
          <w:rFonts w:ascii="Times New Roman" w:hAnsi="Times New Roman" w:cs="Times New Roman"/>
          <w:i/>
          <w:sz w:val="24"/>
          <w:szCs w:val="24"/>
        </w:rPr>
        <w:t>Age Ageing</w:t>
      </w:r>
      <w:r w:rsidR="00093B60" w:rsidRPr="00B745A7">
        <w:rPr>
          <w:rFonts w:ascii="Times New Roman" w:hAnsi="Times New Roman" w:cs="Times New Roman"/>
          <w:i/>
          <w:sz w:val="24"/>
          <w:szCs w:val="24"/>
        </w:rPr>
        <w:t xml:space="preserve">, </w:t>
      </w:r>
      <w:r w:rsidRPr="00B745A7">
        <w:rPr>
          <w:rFonts w:ascii="Times New Roman" w:hAnsi="Times New Roman" w:cs="Times New Roman"/>
          <w:i/>
          <w:sz w:val="24"/>
          <w:szCs w:val="24"/>
        </w:rPr>
        <w:t>48</w:t>
      </w:r>
      <w:r w:rsidRPr="00B745A7">
        <w:rPr>
          <w:rFonts w:ascii="Times New Roman" w:hAnsi="Times New Roman" w:cs="Times New Roman"/>
          <w:sz w:val="24"/>
          <w:szCs w:val="24"/>
        </w:rPr>
        <w:t>(3):361-367. doi: 10.1093/ageing/afy155</w:t>
      </w:r>
    </w:p>
    <w:p w14:paraId="1EBE635B"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NATIONAL INSTITUTE FOR HEALTH AND CARE EXCELLENCE, 2021. Hospital Care [Online] Available from: https://www.nice.org.uk/about/what-we-do/into-practice/measuring-the-use-of-nice-guidance/impact-of-our-guidance/niceimpact-dementia/ch3-hospital-care Accessed 19/04/2022</w:t>
      </w:r>
    </w:p>
    <w:p w14:paraId="08F66AD6"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ONO, T., TAMAI, A., TAKEUCHI, D., TAMAI, Y., IDEKI, H., FUKUSHIMA, H., and KASAHARA, S., 2010. Predictors of length of stay in a ward for demented elderly: gender differences. </w:t>
      </w:r>
      <w:proofErr w:type="spellStart"/>
      <w:r w:rsidRPr="00B745A7">
        <w:rPr>
          <w:rFonts w:ascii="Times New Roman" w:hAnsi="Times New Roman" w:cs="Times New Roman"/>
          <w:i/>
          <w:sz w:val="24"/>
          <w:szCs w:val="24"/>
        </w:rPr>
        <w:t>Psychogeriatrics</w:t>
      </w:r>
      <w:proofErr w:type="spellEnd"/>
      <w:r w:rsidRPr="00B745A7">
        <w:rPr>
          <w:rFonts w:ascii="Times New Roman" w:hAnsi="Times New Roman" w:cs="Times New Roman"/>
          <w:i/>
          <w:sz w:val="24"/>
          <w:szCs w:val="24"/>
        </w:rPr>
        <w:t>, 10</w:t>
      </w:r>
      <w:r w:rsidRPr="00B745A7">
        <w:rPr>
          <w:rFonts w:ascii="Times New Roman" w:hAnsi="Times New Roman" w:cs="Times New Roman"/>
          <w:sz w:val="24"/>
          <w:szCs w:val="24"/>
        </w:rPr>
        <w:t>: 153-159. https://doi.org/10.1111/j.1479-8301.2010.00328.x</w:t>
      </w:r>
    </w:p>
    <w:p w14:paraId="2A384DB1"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PARVEEN, S., OYEBODE, J.R., Better health briefing 46 dementia and minority ethnic carers. 2018. http://raceequalityfoundation.org.uk/wp-content/uploads/2018/07/REF-Better-Health-463.pdf.  Accessed: 08/09/2021</w:t>
      </w:r>
    </w:p>
    <w:p w14:paraId="4D09468F"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PEARCE, J., MITCHELL, R. and SHIRTT, N., 2015. Place, space, and health inequalities. In: Smith, K. E., </w:t>
      </w:r>
      <w:proofErr w:type="spellStart"/>
      <w:r w:rsidRPr="00B745A7">
        <w:rPr>
          <w:rFonts w:ascii="Times New Roman" w:hAnsi="Times New Roman" w:cs="Times New Roman"/>
          <w:sz w:val="24"/>
          <w:szCs w:val="24"/>
        </w:rPr>
        <w:t>Bambra</w:t>
      </w:r>
      <w:proofErr w:type="spellEnd"/>
      <w:r w:rsidRPr="00B745A7">
        <w:rPr>
          <w:rFonts w:ascii="Times New Roman" w:hAnsi="Times New Roman" w:cs="Times New Roman"/>
          <w:sz w:val="24"/>
          <w:szCs w:val="24"/>
        </w:rPr>
        <w:t xml:space="preserve">, C. and Hill, S. E. (eds.) Health Inequalities: Critical Perspectives. </w:t>
      </w:r>
      <w:r w:rsidRPr="00B745A7">
        <w:rPr>
          <w:rFonts w:ascii="Times New Roman" w:hAnsi="Times New Roman" w:cs="Times New Roman"/>
          <w:i/>
          <w:sz w:val="24"/>
          <w:szCs w:val="24"/>
        </w:rPr>
        <w:t>Oxford University Press: Oxford</w:t>
      </w:r>
      <w:r w:rsidRPr="00B745A7">
        <w:rPr>
          <w:rFonts w:ascii="Times New Roman" w:hAnsi="Times New Roman" w:cs="Times New Roman"/>
          <w:sz w:val="24"/>
          <w:szCs w:val="24"/>
        </w:rPr>
        <w:t xml:space="preserve">, pp. 192-205. ISBN 9780198703358 </w:t>
      </w:r>
    </w:p>
    <w:p w14:paraId="77E4ABD2"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lastRenderedPageBreak/>
        <w:t xml:space="preserve">PETERSEN, J. D., WEHBERG, S., PACKNESS, A., SVENSSON, J. H., HYLDIG, N., RAUNSGAARD, S., ANDERSEN, M. K., RUG, J., MERCER, S. W., SONDERHAARD, J. and WALDORFF, F. B., 2021. Association of Socioeconomic Status </w:t>
      </w:r>
      <w:proofErr w:type="gramStart"/>
      <w:r w:rsidRPr="00B745A7">
        <w:rPr>
          <w:rFonts w:ascii="Times New Roman" w:hAnsi="Times New Roman" w:cs="Times New Roman"/>
          <w:sz w:val="24"/>
          <w:szCs w:val="24"/>
        </w:rPr>
        <w:t>With</w:t>
      </w:r>
      <w:proofErr w:type="gramEnd"/>
      <w:r w:rsidRPr="00B745A7">
        <w:rPr>
          <w:rFonts w:ascii="Times New Roman" w:hAnsi="Times New Roman" w:cs="Times New Roman"/>
          <w:sz w:val="24"/>
          <w:szCs w:val="24"/>
        </w:rPr>
        <w:t xml:space="preserve"> Dementia Diagnosis Among Older Adults in Denmark. </w:t>
      </w:r>
      <w:r w:rsidRPr="00B745A7">
        <w:rPr>
          <w:rFonts w:ascii="Times New Roman" w:hAnsi="Times New Roman" w:cs="Times New Roman"/>
          <w:i/>
          <w:sz w:val="24"/>
          <w:szCs w:val="24"/>
        </w:rPr>
        <w:t xml:space="preserve">JAMA </w:t>
      </w:r>
      <w:proofErr w:type="spellStart"/>
      <w:r w:rsidRPr="00B745A7">
        <w:rPr>
          <w:rFonts w:ascii="Times New Roman" w:hAnsi="Times New Roman" w:cs="Times New Roman"/>
          <w:i/>
          <w:sz w:val="24"/>
          <w:szCs w:val="24"/>
        </w:rPr>
        <w:t>Netw</w:t>
      </w:r>
      <w:proofErr w:type="spellEnd"/>
      <w:r w:rsidRPr="00B745A7">
        <w:rPr>
          <w:rFonts w:ascii="Times New Roman" w:hAnsi="Times New Roman" w:cs="Times New Roman"/>
          <w:i/>
          <w:sz w:val="24"/>
          <w:szCs w:val="24"/>
        </w:rPr>
        <w:t xml:space="preserve"> Open, 3</w:t>
      </w:r>
      <w:r w:rsidRPr="00B745A7">
        <w:rPr>
          <w:rFonts w:ascii="Times New Roman" w:hAnsi="Times New Roman" w:cs="Times New Roman"/>
          <w:sz w:val="24"/>
          <w:szCs w:val="24"/>
        </w:rPr>
        <w:t>;4(5</w:t>
      </w:r>
      <w:proofErr w:type="gramStart"/>
      <w:r w:rsidRPr="00B745A7">
        <w:rPr>
          <w:rFonts w:ascii="Times New Roman" w:hAnsi="Times New Roman" w:cs="Times New Roman"/>
          <w:sz w:val="24"/>
          <w:szCs w:val="24"/>
        </w:rPr>
        <w:t>):e</w:t>
      </w:r>
      <w:proofErr w:type="gramEnd"/>
      <w:r w:rsidRPr="00B745A7">
        <w:rPr>
          <w:rFonts w:ascii="Times New Roman" w:hAnsi="Times New Roman" w:cs="Times New Roman"/>
          <w:sz w:val="24"/>
          <w:szCs w:val="24"/>
        </w:rPr>
        <w:t>2110432. doi: 10.1001/jamanetworkopen.2021.10432.</w:t>
      </w:r>
    </w:p>
    <w:p w14:paraId="1AA08942"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PHAM, T.M., PETERSEN, I., WALTERS, K., RAINE, R., MANTHORPE, J., MUKADAM, N. and COOPER, C., 2018. Trends in dementia diagnosis rates in UK ethnic groups: analysis of UK primary care data. </w:t>
      </w:r>
      <w:r w:rsidRPr="00B745A7">
        <w:rPr>
          <w:rFonts w:ascii="Times New Roman" w:hAnsi="Times New Roman" w:cs="Times New Roman"/>
          <w:i/>
          <w:sz w:val="24"/>
          <w:szCs w:val="24"/>
        </w:rPr>
        <w:t xml:space="preserve">Clinical Epidemiology, </w:t>
      </w:r>
      <w:proofErr w:type="spellStart"/>
      <w:r w:rsidRPr="00B745A7">
        <w:rPr>
          <w:rFonts w:ascii="Times New Roman" w:hAnsi="Times New Roman" w:cs="Times New Roman"/>
          <w:i/>
          <w:sz w:val="24"/>
          <w:szCs w:val="24"/>
        </w:rPr>
        <w:t>ume</w:t>
      </w:r>
      <w:proofErr w:type="spellEnd"/>
      <w:r w:rsidRPr="00B745A7">
        <w:rPr>
          <w:rFonts w:ascii="Times New Roman" w:hAnsi="Times New Roman" w:cs="Times New Roman"/>
          <w:i/>
          <w:sz w:val="24"/>
          <w:szCs w:val="24"/>
        </w:rPr>
        <w:t xml:space="preserve"> 10</w:t>
      </w:r>
      <w:r w:rsidRPr="00B745A7">
        <w:rPr>
          <w:rFonts w:ascii="Times New Roman" w:hAnsi="Times New Roman" w:cs="Times New Roman"/>
          <w:sz w:val="24"/>
          <w:szCs w:val="24"/>
        </w:rPr>
        <w:t xml:space="preserve">, pp. 949-960. </w:t>
      </w:r>
    </w:p>
    <w:p w14:paraId="1BBE6718"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PHILLIPS, J., POND, C. D., PATERSON, N. E., HOWELL, C., SHELL, A., STOCKS, N. P., GOODE, S. M. and MARLEY, J. E., 2012. Difficulties in disclosing the diagnosis of dementia: a qualitative study in general practice. </w:t>
      </w:r>
      <w:r w:rsidRPr="00B745A7">
        <w:rPr>
          <w:rFonts w:ascii="Times New Roman" w:hAnsi="Times New Roman" w:cs="Times New Roman"/>
          <w:i/>
          <w:sz w:val="24"/>
          <w:szCs w:val="24"/>
        </w:rPr>
        <w:t xml:space="preserve">Br J Gen </w:t>
      </w:r>
      <w:proofErr w:type="spellStart"/>
      <w:r w:rsidRPr="00B745A7">
        <w:rPr>
          <w:rFonts w:ascii="Times New Roman" w:hAnsi="Times New Roman" w:cs="Times New Roman"/>
          <w:i/>
          <w:sz w:val="24"/>
          <w:szCs w:val="24"/>
        </w:rPr>
        <w:t>Pract</w:t>
      </w:r>
      <w:proofErr w:type="spellEnd"/>
      <w:r w:rsidRPr="00B745A7">
        <w:rPr>
          <w:rFonts w:ascii="Times New Roman" w:hAnsi="Times New Roman" w:cs="Times New Roman"/>
          <w:i/>
          <w:sz w:val="24"/>
          <w:szCs w:val="24"/>
        </w:rPr>
        <w:t>, 62</w:t>
      </w:r>
      <w:r w:rsidRPr="00B745A7">
        <w:rPr>
          <w:rFonts w:ascii="Times New Roman" w:hAnsi="Times New Roman" w:cs="Times New Roman"/>
          <w:sz w:val="24"/>
          <w:szCs w:val="24"/>
        </w:rPr>
        <w:t>(601</w:t>
      </w:r>
      <w:proofErr w:type="gramStart"/>
      <w:r w:rsidRPr="00B745A7">
        <w:rPr>
          <w:rFonts w:ascii="Times New Roman" w:hAnsi="Times New Roman" w:cs="Times New Roman"/>
          <w:sz w:val="24"/>
          <w:szCs w:val="24"/>
        </w:rPr>
        <w:t>):e</w:t>
      </w:r>
      <w:proofErr w:type="gramEnd"/>
      <w:r w:rsidRPr="00B745A7">
        <w:rPr>
          <w:rFonts w:ascii="Times New Roman" w:hAnsi="Times New Roman" w:cs="Times New Roman"/>
          <w:sz w:val="24"/>
          <w:szCs w:val="24"/>
        </w:rPr>
        <w:t>546-53. doi: 10.3399/bjgp12X653598</w:t>
      </w:r>
    </w:p>
    <w:p w14:paraId="7285CD72" w14:textId="616797FD"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PRICE, J. H., KHUBCHANDANI, J., MCKINNEY, M. and BRAUN, R., 2013. Racial/ethnic disparities in chronic diseases of youths and access to health care in the United States. </w:t>
      </w:r>
      <w:r w:rsidRPr="00B745A7">
        <w:rPr>
          <w:rFonts w:ascii="Times New Roman" w:hAnsi="Times New Roman" w:cs="Times New Roman"/>
          <w:i/>
          <w:sz w:val="24"/>
          <w:szCs w:val="24"/>
        </w:rPr>
        <w:t>Biomed Res Int.</w:t>
      </w:r>
      <w:r w:rsidR="00093B60" w:rsidRPr="00B745A7">
        <w:rPr>
          <w:rFonts w:ascii="Times New Roman" w:hAnsi="Times New Roman" w:cs="Times New Roman"/>
          <w:i/>
          <w:sz w:val="24"/>
          <w:szCs w:val="24"/>
        </w:rPr>
        <w:t xml:space="preserve">, </w:t>
      </w:r>
      <w:r w:rsidRPr="00B745A7">
        <w:rPr>
          <w:rFonts w:ascii="Times New Roman" w:hAnsi="Times New Roman" w:cs="Times New Roman"/>
          <w:i/>
          <w:sz w:val="24"/>
          <w:szCs w:val="24"/>
        </w:rPr>
        <w:t>2013</w:t>
      </w:r>
      <w:r w:rsidRPr="00B745A7">
        <w:rPr>
          <w:rFonts w:ascii="Times New Roman" w:hAnsi="Times New Roman" w:cs="Times New Roman"/>
          <w:sz w:val="24"/>
          <w:szCs w:val="24"/>
        </w:rPr>
        <w:t xml:space="preserve">:787616. doi: 10.1155/2013/787616. </w:t>
      </w:r>
      <w:proofErr w:type="spellStart"/>
      <w:r w:rsidRPr="00B745A7">
        <w:rPr>
          <w:rFonts w:ascii="Times New Roman" w:hAnsi="Times New Roman" w:cs="Times New Roman"/>
          <w:sz w:val="24"/>
          <w:szCs w:val="24"/>
        </w:rPr>
        <w:t>Epub</w:t>
      </w:r>
      <w:proofErr w:type="spellEnd"/>
      <w:r w:rsidRPr="00B745A7">
        <w:rPr>
          <w:rFonts w:ascii="Times New Roman" w:hAnsi="Times New Roman" w:cs="Times New Roman"/>
          <w:sz w:val="24"/>
          <w:szCs w:val="24"/>
        </w:rPr>
        <w:t xml:space="preserve"> 2013 Sep 23.</w:t>
      </w:r>
    </w:p>
    <w:p w14:paraId="111026BD"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QUINONES, A. R., BOTOSENEANU, A., MARKWARDT, S., NAGEL, C. L., NEWSOM, J. T., DORR, D. A. and ALLORE, H. G., 2019. Racial/ethnic differences in multimorbidity development and chronic disease accumulation for middle-aged adults. </w:t>
      </w:r>
      <w:proofErr w:type="spellStart"/>
      <w:r w:rsidRPr="00B745A7">
        <w:rPr>
          <w:rFonts w:ascii="Times New Roman" w:hAnsi="Times New Roman" w:cs="Times New Roman"/>
          <w:i/>
          <w:sz w:val="24"/>
          <w:szCs w:val="24"/>
        </w:rPr>
        <w:t>PLoS</w:t>
      </w:r>
      <w:proofErr w:type="spellEnd"/>
      <w:r w:rsidRPr="00B745A7">
        <w:rPr>
          <w:rFonts w:ascii="Times New Roman" w:hAnsi="Times New Roman" w:cs="Times New Roman"/>
          <w:i/>
          <w:sz w:val="24"/>
          <w:szCs w:val="24"/>
        </w:rPr>
        <w:t xml:space="preserve"> One, 17</w:t>
      </w:r>
      <w:r w:rsidRPr="00B745A7">
        <w:rPr>
          <w:rFonts w:ascii="Times New Roman" w:hAnsi="Times New Roman" w:cs="Times New Roman"/>
          <w:sz w:val="24"/>
          <w:szCs w:val="24"/>
        </w:rPr>
        <w:t>;14(6</w:t>
      </w:r>
      <w:proofErr w:type="gramStart"/>
      <w:r w:rsidRPr="00B745A7">
        <w:rPr>
          <w:rFonts w:ascii="Times New Roman" w:hAnsi="Times New Roman" w:cs="Times New Roman"/>
          <w:sz w:val="24"/>
          <w:szCs w:val="24"/>
        </w:rPr>
        <w:t>):e</w:t>
      </w:r>
      <w:proofErr w:type="gramEnd"/>
      <w:r w:rsidRPr="00B745A7">
        <w:rPr>
          <w:rFonts w:ascii="Times New Roman" w:hAnsi="Times New Roman" w:cs="Times New Roman"/>
          <w:sz w:val="24"/>
          <w:szCs w:val="24"/>
        </w:rPr>
        <w:t>0218462. doi: 10.1371/journal.pone.0218462</w:t>
      </w:r>
    </w:p>
    <w:p w14:paraId="33AACBAC"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RAHMAN, M., WHITE, E. M., THOMAS, K. S. and JUTKOWICZ, E., 2020. Assessment of Rural-Urban Differences in Health Care Use and Survival Among Medicare Beneficiaries </w:t>
      </w:r>
      <w:proofErr w:type="gramStart"/>
      <w:r w:rsidRPr="00B745A7">
        <w:rPr>
          <w:rFonts w:ascii="Times New Roman" w:hAnsi="Times New Roman" w:cs="Times New Roman"/>
          <w:sz w:val="24"/>
          <w:szCs w:val="24"/>
        </w:rPr>
        <w:t>With</w:t>
      </w:r>
      <w:proofErr w:type="gramEnd"/>
      <w:r w:rsidRPr="00B745A7">
        <w:rPr>
          <w:rFonts w:ascii="Times New Roman" w:hAnsi="Times New Roman" w:cs="Times New Roman"/>
          <w:sz w:val="24"/>
          <w:szCs w:val="24"/>
        </w:rPr>
        <w:t xml:space="preserve"> Alzheimer Disease and Related Dementia. </w:t>
      </w:r>
      <w:r w:rsidRPr="00B745A7">
        <w:rPr>
          <w:rFonts w:ascii="Times New Roman" w:hAnsi="Times New Roman" w:cs="Times New Roman"/>
          <w:i/>
          <w:sz w:val="24"/>
          <w:szCs w:val="24"/>
        </w:rPr>
        <w:t xml:space="preserve">JAMA </w:t>
      </w:r>
      <w:proofErr w:type="spellStart"/>
      <w:r w:rsidRPr="00B745A7">
        <w:rPr>
          <w:rFonts w:ascii="Times New Roman" w:hAnsi="Times New Roman" w:cs="Times New Roman"/>
          <w:i/>
          <w:sz w:val="24"/>
          <w:szCs w:val="24"/>
        </w:rPr>
        <w:t>Netw</w:t>
      </w:r>
      <w:proofErr w:type="spellEnd"/>
      <w:r w:rsidRPr="00B745A7">
        <w:rPr>
          <w:rFonts w:ascii="Times New Roman" w:hAnsi="Times New Roman" w:cs="Times New Roman"/>
          <w:i/>
          <w:sz w:val="24"/>
          <w:szCs w:val="24"/>
        </w:rPr>
        <w:t xml:space="preserve"> Open, 3</w:t>
      </w:r>
      <w:r w:rsidRPr="00B745A7">
        <w:rPr>
          <w:rFonts w:ascii="Times New Roman" w:hAnsi="Times New Roman" w:cs="Times New Roman"/>
          <w:sz w:val="24"/>
          <w:szCs w:val="24"/>
        </w:rPr>
        <w:t>(10</w:t>
      </w:r>
      <w:proofErr w:type="gramStart"/>
      <w:r w:rsidRPr="00B745A7">
        <w:rPr>
          <w:rFonts w:ascii="Times New Roman" w:hAnsi="Times New Roman" w:cs="Times New Roman"/>
          <w:sz w:val="24"/>
          <w:szCs w:val="24"/>
        </w:rPr>
        <w:t>):e</w:t>
      </w:r>
      <w:proofErr w:type="gramEnd"/>
      <w:r w:rsidRPr="00B745A7">
        <w:rPr>
          <w:rFonts w:ascii="Times New Roman" w:hAnsi="Times New Roman" w:cs="Times New Roman"/>
          <w:sz w:val="24"/>
          <w:szCs w:val="24"/>
        </w:rPr>
        <w:t>2022111. doi:10.1001/jamanetworkopen.2020.22111</w:t>
      </w:r>
    </w:p>
    <w:p w14:paraId="3A544300"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lastRenderedPageBreak/>
        <w:t xml:space="preserve">RASMUSSEN, J. and LANGERMAN, H., 2019. Rasmussen, J., &amp; Langerman, H. (2019). Alzheimer's Disease - Why We Need Early Diagnosis. </w:t>
      </w:r>
      <w:r w:rsidRPr="00B745A7">
        <w:rPr>
          <w:rFonts w:ascii="Times New Roman" w:hAnsi="Times New Roman" w:cs="Times New Roman"/>
          <w:i/>
          <w:sz w:val="24"/>
          <w:szCs w:val="24"/>
        </w:rPr>
        <w:t>Degenerative neurological and neuromuscular disease, 9</w:t>
      </w:r>
      <w:r w:rsidRPr="00B745A7">
        <w:rPr>
          <w:rFonts w:ascii="Times New Roman" w:hAnsi="Times New Roman" w:cs="Times New Roman"/>
          <w:sz w:val="24"/>
          <w:szCs w:val="24"/>
        </w:rPr>
        <w:t>, 123–130. doi: 10.2147/DNND.S228939</w:t>
      </w:r>
    </w:p>
    <w:p w14:paraId="4D9B35B5" w14:textId="5CAFC3FE"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REYNISH, E. L., HAPCA, S. M., DE SOUZE, N., CVORO, V., DONNAN, P. T. and GUTHRIE, B., 2017. Epidemiology and outcomes of people with dementia, delirium, and unspecified cognitive impairment in the general hospital: prospective cohort study of 10,014 admissions. </w:t>
      </w:r>
      <w:r w:rsidRPr="00B745A7">
        <w:rPr>
          <w:rFonts w:ascii="Times New Roman" w:hAnsi="Times New Roman" w:cs="Times New Roman"/>
          <w:i/>
          <w:sz w:val="24"/>
          <w:szCs w:val="24"/>
        </w:rPr>
        <w:t>BMC Med.</w:t>
      </w:r>
      <w:r w:rsidR="00093B60" w:rsidRPr="00B745A7">
        <w:rPr>
          <w:rFonts w:ascii="Times New Roman" w:hAnsi="Times New Roman" w:cs="Times New Roman"/>
          <w:i/>
          <w:sz w:val="24"/>
          <w:szCs w:val="24"/>
        </w:rPr>
        <w:t xml:space="preserve">, </w:t>
      </w:r>
      <w:r w:rsidRPr="00B745A7">
        <w:rPr>
          <w:rFonts w:ascii="Times New Roman" w:hAnsi="Times New Roman" w:cs="Times New Roman"/>
          <w:i/>
          <w:sz w:val="24"/>
          <w:szCs w:val="24"/>
        </w:rPr>
        <w:t>15</w:t>
      </w:r>
      <w:r w:rsidRPr="00B745A7">
        <w:rPr>
          <w:rFonts w:ascii="Times New Roman" w:hAnsi="Times New Roman" w:cs="Times New Roman"/>
          <w:sz w:val="24"/>
          <w:szCs w:val="24"/>
        </w:rPr>
        <w:t>(1):140. doi: 10.1186/s12916-017-0899-0</w:t>
      </w:r>
    </w:p>
    <w:p w14:paraId="7B068392" w14:textId="03360D8C" w:rsidR="00E52BF2" w:rsidRPr="00B745A7" w:rsidRDefault="00823333"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RICE, N. and SMITH, P. C., 2001. Ethics and geographical equity in health care. </w:t>
      </w:r>
      <w:r w:rsidRPr="00B745A7">
        <w:rPr>
          <w:rFonts w:ascii="Times New Roman" w:hAnsi="Times New Roman" w:cs="Times New Roman"/>
          <w:i/>
          <w:sz w:val="24"/>
          <w:szCs w:val="24"/>
        </w:rPr>
        <w:t>Journal of Medical Ethics, 27</w:t>
      </w:r>
      <w:r w:rsidRPr="00B745A7">
        <w:rPr>
          <w:rFonts w:ascii="Times New Roman" w:hAnsi="Times New Roman" w:cs="Times New Roman"/>
          <w:sz w:val="24"/>
          <w:szCs w:val="24"/>
        </w:rPr>
        <w:t xml:space="preserve">(4): 256-261. </w:t>
      </w:r>
      <w:proofErr w:type="spellStart"/>
      <w:r w:rsidRPr="00B745A7">
        <w:rPr>
          <w:rFonts w:ascii="Times New Roman" w:hAnsi="Times New Roman" w:cs="Times New Roman"/>
          <w:sz w:val="24"/>
          <w:szCs w:val="24"/>
        </w:rPr>
        <w:t>doi</w:t>
      </w:r>
      <w:proofErr w:type="spellEnd"/>
      <w:r w:rsidRPr="00B745A7">
        <w:rPr>
          <w:rFonts w:ascii="Times New Roman" w:hAnsi="Times New Roman" w:cs="Times New Roman"/>
          <w:sz w:val="24"/>
          <w:szCs w:val="24"/>
        </w:rPr>
        <w:t>: 10.1136/jme.27.4.256</w:t>
      </w:r>
    </w:p>
    <w:p w14:paraId="4BB26AEE" w14:textId="16BD19B6" w:rsidR="00A06332" w:rsidRPr="00B745A7" w:rsidRDefault="00A0633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RURAL SERVICES NETWORK, 2022. Major Inquiry highlights the urban-rural divide in accessing health and care [Online] Available from: https://www.rsnonline.org.uk/major-inquiry-highlights-the-urban-rural-divide-in-accessing-health-and-care Accessed 19/04/2022</w:t>
      </w:r>
    </w:p>
    <w:p w14:paraId="43F284FB"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SAGER, M. A., FRANKE, T., INOUYE, S. K., LANDEFELD, C. S., MORGAN, T. M., RUDBERG, M. A., SEBENS, H. and WINOGRAD, C. H., 1996. Functional outcomes of acute medical illness and hospitalization in older persons. </w:t>
      </w:r>
      <w:r w:rsidRPr="00B745A7">
        <w:rPr>
          <w:rFonts w:ascii="Times New Roman" w:hAnsi="Times New Roman" w:cs="Times New Roman"/>
          <w:i/>
          <w:sz w:val="24"/>
          <w:szCs w:val="24"/>
        </w:rPr>
        <w:t>Arch Intern Med, 25;156</w:t>
      </w:r>
      <w:r w:rsidRPr="00B745A7">
        <w:rPr>
          <w:rFonts w:ascii="Times New Roman" w:hAnsi="Times New Roman" w:cs="Times New Roman"/>
          <w:sz w:val="24"/>
          <w:szCs w:val="24"/>
        </w:rPr>
        <w:t>(6):645-52. PMID: 8629876.</w:t>
      </w:r>
    </w:p>
    <w:p w14:paraId="49E45E49" w14:textId="11C7E965"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SHARMA, N., CHAKRABARTI, S. and GROVER, S., 2016. </w:t>
      </w:r>
      <w:r w:rsidR="0069560A" w:rsidRPr="00B745A7">
        <w:rPr>
          <w:rFonts w:ascii="Times New Roman" w:hAnsi="Times New Roman" w:cs="Times New Roman"/>
          <w:sz w:val="24"/>
          <w:szCs w:val="24"/>
        </w:rPr>
        <w:t>G</w:t>
      </w:r>
      <w:r w:rsidRPr="00B745A7">
        <w:rPr>
          <w:rFonts w:ascii="Times New Roman" w:hAnsi="Times New Roman" w:cs="Times New Roman"/>
          <w:sz w:val="24"/>
          <w:szCs w:val="24"/>
        </w:rPr>
        <w:t xml:space="preserve">ender differences in caregiving among family - caregivers of people with mental illnesses. </w:t>
      </w:r>
      <w:r w:rsidRPr="00B745A7">
        <w:rPr>
          <w:rFonts w:ascii="Times New Roman" w:hAnsi="Times New Roman" w:cs="Times New Roman"/>
          <w:i/>
          <w:sz w:val="24"/>
          <w:szCs w:val="24"/>
        </w:rPr>
        <w:t>World J Psychiatry, 6</w:t>
      </w:r>
      <w:r w:rsidRPr="00B745A7">
        <w:rPr>
          <w:rFonts w:ascii="Times New Roman" w:hAnsi="Times New Roman" w:cs="Times New Roman"/>
          <w:sz w:val="24"/>
          <w:szCs w:val="24"/>
        </w:rPr>
        <w:t xml:space="preserve">(1):7-17. </w:t>
      </w:r>
      <w:proofErr w:type="spellStart"/>
      <w:r w:rsidRPr="00B745A7">
        <w:rPr>
          <w:rFonts w:ascii="Times New Roman" w:hAnsi="Times New Roman" w:cs="Times New Roman"/>
          <w:sz w:val="24"/>
          <w:szCs w:val="24"/>
        </w:rPr>
        <w:t>doi</w:t>
      </w:r>
      <w:proofErr w:type="spellEnd"/>
      <w:r w:rsidRPr="00B745A7">
        <w:rPr>
          <w:rFonts w:ascii="Times New Roman" w:hAnsi="Times New Roman" w:cs="Times New Roman"/>
          <w:sz w:val="24"/>
          <w:szCs w:val="24"/>
        </w:rPr>
        <w:t>: 10.5498/</w:t>
      </w:r>
      <w:proofErr w:type="gramStart"/>
      <w:r w:rsidRPr="00B745A7">
        <w:rPr>
          <w:rFonts w:ascii="Times New Roman" w:hAnsi="Times New Roman" w:cs="Times New Roman"/>
          <w:sz w:val="24"/>
          <w:szCs w:val="24"/>
        </w:rPr>
        <w:t>wjp.v</w:t>
      </w:r>
      <w:proofErr w:type="gramEnd"/>
      <w:r w:rsidRPr="00B745A7">
        <w:rPr>
          <w:rFonts w:ascii="Times New Roman" w:hAnsi="Times New Roman" w:cs="Times New Roman"/>
          <w:sz w:val="24"/>
          <w:szCs w:val="24"/>
        </w:rPr>
        <w:t>6.i1.7.</w:t>
      </w:r>
    </w:p>
    <w:p w14:paraId="47B0DBDB" w14:textId="35C5533A" w:rsidR="0063497C" w:rsidRPr="00B745A7" w:rsidRDefault="0063497C"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SHEPHERD H, LIVINGSTON G, CHAN J, SOMMERLAD A. Hospitalisation rates and predictors in people with dementia: a systematic review and meta-analysis. </w:t>
      </w:r>
      <w:r w:rsidRPr="00B745A7">
        <w:rPr>
          <w:rFonts w:ascii="Times New Roman" w:hAnsi="Times New Roman" w:cs="Times New Roman"/>
          <w:i/>
          <w:sz w:val="24"/>
          <w:szCs w:val="24"/>
        </w:rPr>
        <w:t>BMC Med</w:t>
      </w:r>
      <w:r w:rsidRPr="00B745A7">
        <w:rPr>
          <w:rFonts w:ascii="Times New Roman" w:hAnsi="Times New Roman" w:cs="Times New Roman"/>
          <w:sz w:val="24"/>
          <w:szCs w:val="24"/>
        </w:rPr>
        <w:t xml:space="preserve">. 2019 Jul 15;17(1):130. </w:t>
      </w:r>
      <w:proofErr w:type="spellStart"/>
      <w:r w:rsidRPr="00B745A7">
        <w:rPr>
          <w:rFonts w:ascii="Times New Roman" w:hAnsi="Times New Roman" w:cs="Times New Roman"/>
          <w:sz w:val="24"/>
          <w:szCs w:val="24"/>
        </w:rPr>
        <w:t>doi</w:t>
      </w:r>
      <w:proofErr w:type="spellEnd"/>
      <w:r w:rsidRPr="00B745A7">
        <w:rPr>
          <w:rFonts w:ascii="Times New Roman" w:hAnsi="Times New Roman" w:cs="Times New Roman"/>
          <w:sz w:val="24"/>
          <w:szCs w:val="24"/>
        </w:rPr>
        <w:t>: 10.1186/s12916-019-1369-7.</w:t>
      </w:r>
    </w:p>
    <w:p w14:paraId="5901ECD6"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lastRenderedPageBreak/>
        <w:t xml:space="preserve">SMITS, L., VAN HARTEN, A., PIJNENBURG, Y., KOEDAM, E. L. G. E., BOUWMAN, F. H., SISTERMANS, N., REULING, I. E. W., PRINS, N. D., LEMSTRA, A. W., SCHELTENS, P. and VAN DER FLIER, W. M., 2015. Trajectories of cognitive decline in different types of dementia, </w:t>
      </w:r>
      <w:proofErr w:type="spellStart"/>
      <w:r w:rsidRPr="00B745A7">
        <w:rPr>
          <w:rFonts w:ascii="Times New Roman" w:hAnsi="Times New Roman" w:cs="Times New Roman"/>
          <w:i/>
          <w:sz w:val="24"/>
          <w:szCs w:val="24"/>
        </w:rPr>
        <w:t>Psychol</w:t>
      </w:r>
      <w:proofErr w:type="spellEnd"/>
      <w:r w:rsidRPr="00B745A7">
        <w:rPr>
          <w:rFonts w:ascii="Times New Roman" w:hAnsi="Times New Roman" w:cs="Times New Roman"/>
          <w:i/>
          <w:sz w:val="24"/>
          <w:szCs w:val="24"/>
        </w:rPr>
        <w:t xml:space="preserve"> Med, 45</w:t>
      </w:r>
      <w:r w:rsidRPr="00B745A7">
        <w:rPr>
          <w:rFonts w:ascii="Times New Roman" w:hAnsi="Times New Roman" w:cs="Times New Roman"/>
          <w:sz w:val="24"/>
          <w:szCs w:val="24"/>
        </w:rPr>
        <w:t>(5):1051-9. doi: 10.1017/S0033291714002153</w:t>
      </w:r>
    </w:p>
    <w:p w14:paraId="39E7B12C" w14:textId="11F15AFB"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SZYMCZYNSKA, P., INNES, A., MASON, A. and STARK, C., 2011. A Review of Diagnostic Process and </w:t>
      </w:r>
      <w:proofErr w:type="spellStart"/>
      <w:r w:rsidRPr="00B745A7">
        <w:rPr>
          <w:rFonts w:ascii="Times New Roman" w:hAnsi="Times New Roman" w:cs="Times New Roman"/>
          <w:sz w:val="24"/>
          <w:szCs w:val="24"/>
        </w:rPr>
        <w:t>Postdiagnostic</w:t>
      </w:r>
      <w:proofErr w:type="spellEnd"/>
      <w:r w:rsidRPr="00B745A7">
        <w:rPr>
          <w:rFonts w:ascii="Times New Roman" w:hAnsi="Times New Roman" w:cs="Times New Roman"/>
          <w:sz w:val="24"/>
          <w:szCs w:val="24"/>
        </w:rPr>
        <w:t xml:space="preserve"> Support for People </w:t>
      </w:r>
      <w:proofErr w:type="gramStart"/>
      <w:r w:rsidRPr="00B745A7">
        <w:rPr>
          <w:rFonts w:ascii="Times New Roman" w:hAnsi="Times New Roman" w:cs="Times New Roman"/>
          <w:sz w:val="24"/>
          <w:szCs w:val="24"/>
        </w:rPr>
        <w:t>With</w:t>
      </w:r>
      <w:proofErr w:type="gramEnd"/>
      <w:r w:rsidRPr="00B745A7">
        <w:rPr>
          <w:rFonts w:ascii="Times New Roman" w:hAnsi="Times New Roman" w:cs="Times New Roman"/>
          <w:sz w:val="24"/>
          <w:szCs w:val="24"/>
        </w:rPr>
        <w:t xml:space="preserve"> Dementia in Rural Areas. </w:t>
      </w:r>
      <w:r w:rsidRPr="00B745A7">
        <w:rPr>
          <w:rFonts w:ascii="Times New Roman" w:hAnsi="Times New Roman" w:cs="Times New Roman"/>
          <w:i/>
          <w:sz w:val="24"/>
          <w:szCs w:val="24"/>
        </w:rPr>
        <w:t>Journal of Primary Care &amp; Community Health, 2</w:t>
      </w:r>
      <w:r w:rsidRPr="00B745A7">
        <w:rPr>
          <w:rFonts w:ascii="Times New Roman" w:hAnsi="Times New Roman" w:cs="Times New Roman"/>
          <w:sz w:val="24"/>
          <w:szCs w:val="24"/>
        </w:rPr>
        <w:t xml:space="preserve">(4), pp. 262-276. </w:t>
      </w:r>
    </w:p>
    <w:p w14:paraId="733C11CB" w14:textId="046AB7B3" w:rsidR="007030DB" w:rsidRPr="00B745A7" w:rsidRDefault="007030DB"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THORPE, J.M., VAN HOUTVEN, C.H., SLEATH, B.L. and THORPE, C.T., (2010). Rural-Urban Differences in Preventable Hospitalizations Among Community-Dwelling Veterans </w:t>
      </w:r>
      <w:proofErr w:type="gramStart"/>
      <w:r w:rsidRPr="00B745A7">
        <w:rPr>
          <w:rFonts w:ascii="Times New Roman" w:hAnsi="Times New Roman" w:cs="Times New Roman"/>
          <w:sz w:val="24"/>
          <w:szCs w:val="24"/>
        </w:rPr>
        <w:t>With</w:t>
      </w:r>
      <w:proofErr w:type="gramEnd"/>
      <w:r w:rsidRPr="00B745A7">
        <w:rPr>
          <w:rFonts w:ascii="Times New Roman" w:hAnsi="Times New Roman" w:cs="Times New Roman"/>
          <w:sz w:val="24"/>
          <w:szCs w:val="24"/>
        </w:rPr>
        <w:t xml:space="preserve"> Dementia. </w:t>
      </w:r>
      <w:r w:rsidRPr="00B745A7">
        <w:rPr>
          <w:rFonts w:ascii="Times New Roman" w:hAnsi="Times New Roman" w:cs="Times New Roman"/>
          <w:i/>
          <w:sz w:val="24"/>
          <w:szCs w:val="24"/>
        </w:rPr>
        <w:t>The Journal of Rural Health, 26</w:t>
      </w:r>
      <w:r w:rsidRPr="00B745A7">
        <w:rPr>
          <w:rFonts w:ascii="Times New Roman" w:hAnsi="Times New Roman" w:cs="Times New Roman"/>
          <w:sz w:val="24"/>
          <w:szCs w:val="24"/>
        </w:rPr>
        <w:t xml:space="preserve">: 146-155. </w:t>
      </w:r>
      <w:r w:rsidR="000A15BE" w:rsidRPr="00B745A7">
        <w:rPr>
          <w:rFonts w:ascii="Times New Roman" w:hAnsi="Times New Roman" w:cs="Times New Roman"/>
          <w:sz w:val="24"/>
          <w:szCs w:val="24"/>
        </w:rPr>
        <w:t xml:space="preserve">doi: </w:t>
      </w:r>
      <w:r w:rsidR="000A15BE" w:rsidRPr="00B745A7">
        <w:rPr>
          <w:rStyle w:val="identifier"/>
          <w:rFonts w:ascii="Times New Roman" w:hAnsi="Times New Roman" w:cs="Times New Roman"/>
          <w:sz w:val="24"/>
          <w:szCs w:val="24"/>
        </w:rPr>
        <w:t>10.1111/j.1748-0361.</w:t>
      </w:r>
      <w:proofErr w:type="gramStart"/>
      <w:r w:rsidR="000A15BE" w:rsidRPr="00B745A7">
        <w:rPr>
          <w:rStyle w:val="identifier"/>
          <w:rFonts w:ascii="Times New Roman" w:hAnsi="Times New Roman" w:cs="Times New Roman"/>
          <w:sz w:val="24"/>
          <w:szCs w:val="24"/>
        </w:rPr>
        <w:t>2010.00276.x</w:t>
      </w:r>
      <w:proofErr w:type="gramEnd"/>
      <w:r w:rsidR="000A15BE" w:rsidRPr="00B745A7">
        <w:rPr>
          <w:rStyle w:val="identifier"/>
          <w:rFonts w:ascii="Times New Roman" w:hAnsi="Times New Roman" w:cs="Times New Roman"/>
          <w:sz w:val="24"/>
          <w:szCs w:val="24"/>
        </w:rPr>
        <w:t xml:space="preserve"> </w:t>
      </w:r>
    </w:p>
    <w:p w14:paraId="0884C040"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TROPEA, J., LOGUIDICE, D., LIEW, D., GORELIK, A. and BRAND, C., 2017. Poorer outcomes and greater healthcare costs for hospitalised older people with dementia and delirium: a retrospective cohort study. </w:t>
      </w:r>
      <w:r w:rsidRPr="00B745A7">
        <w:rPr>
          <w:rFonts w:ascii="Times New Roman" w:hAnsi="Times New Roman" w:cs="Times New Roman"/>
          <w:i/>
          <w:sz w:val="24"/>
          <w:szCs w:val="24"/>
        </w:rPr>
        <w:t xml:space="preserve">Int J </w:t>
      </w:r>
      <w:proofErr w:type="spellStart"/>
      <w:r w:rsidRPr="00B745A7">
        <w:rPr>
          <w:rFonts w:ascii="Times New Roman" w:hAnsi="Times New Roman" w:cs="Times New Roman"/>
          <w:i/>
          <w:sz w:val="24"/>
          <w:szCs w:val="24"/>
        </w:rPr>
        <w:t>Geriatr</w:t>
      </w:r>
      <w:proofErr w:type="spellEnd"/>
      <w:r w:rsidRPr="00B745A7">
        <w:rPr>
          <w:rFonts w:ascii="Times New Roman" w:hAnsi="Times New Roman" w:cs="Times New Roman"/>
          <w:i/>
          <w:sz w:val="24"/>
          <w:szCs w:val="24"/>
        </w:rPr>
        <w:t xml:space="preserve"> Psychiatry, 32</w:t>
      </w:r>
      <w:r w:rsidRPr="00B745A7">
        <w:rPr>
          <w:rFonts w:ascii="Times New Roman" w:hAnsi="Times New Roman" w:cs="Times New Roman"/>
          <w:sz w:val="24"/>
          <w:szCs w:val="24"/>
        </w:rPr>
        <w:t>(5):539-547. doi: 10.1002/gps.4491.</w:t>
      </w:r>
    </w:p>
    <w:p w14:paraId="67D013DD"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VAN DE VORST, I. E., VAARTIES, I., GEERLINGS M. I., BOTS, M. L., KOEK, H. L., 2015. Prognosis of patients with dementia: results from a prospective nationwide registry linkage study in the Netherlands. </w:t>
      </w:r>
      <w:r w:rsidRPr="00B745A7">
        <w:rPr>
          <w:rFonts w:ascii="Times New Roman" w:hAnsi="Times New Roman" w:cs="Times New Roman"/>
          <w:i/>
          <w:sz w:val="24"/>
          <w:szCs w:val="24"/>
        </w:rPr>
        <w:t xml:space="preserve">BMJ Open 2015; </w:t>
      </w:r>
      <w:proofErr w:type="gramStart"/>
      <w:r w:rsidRPr="00B745A7">
        <w:rPr>
          <w:rFonts w:ascii="Times New Roman" w:hAnsi="Times New Roman" w:cs="Times New Roman"/>
          <w:i/>
          <w:sz w:val="24"/>
          <w:szCs w:val="24"/>
        </w:rPr>
        <w:t>5</w:t>
      </w:r>
      <w:r w:rsidRPr="00B745A7">
        <w:rPr>
          <w:rFonts w:ascii="Times New Roman" w:hAnsi="Times New Roman" w:cs="Times New Roman"/>
          <w:sz w:val="24"/>
          <w:szCs w:val="24"/>
        </w:rPr>
        <w:t>:e</w:t>
      </w:r>
      <w:proofErr w:type="gramEnd"/>
      <w:r w:rsidRPr="00B745A7">
        <w:rPr>
          <w:rFonts w:ascii="Times New Roman" w:hAnsi="Times New Roman" w:cs="Times New Roman"/>
          <w:sz w:val="24"/>
          <w:szCs w:val="24"/>
        </w:rPr>
        <w:t>008897.</w:t>
      </w:r>
    </w:p>
    <w:p w14:paraId="34970377"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VAN DE VORST, I. E., KOEK, H.L., STEIN, C.E., BOTS, M.L. and VAARTJES, I., 2016. Socioeconomic Disparities and Mortality After a Diagnosis of Dementia: Results </w:t>
      </w:r>
      <w:proofErr w:type="gramStart"/>
      <w:r w:rsidRPr="00B745A7">
        <w:rPr>
          <w:rFonts w:ascii="Times New Roman" w:hAnsi="Times New Roman" w:cs="Times New Roman"/>
          <w:sz w:val="24"/>
          <w:szCs w:val="24"/>
        </w:rPr>
        <w:t>From</w:t>
      </w:r>
      <w:proofErr w:type="gramEnd"/>
      <w:r w:rsidRPr="00B745A7">
        <w:rPr>
          <w:rFonts w:ascii="Times New Roman" w:hAnsi="Times New Roman" w:cs="Times New Roman"/>
          <w:sz w:val="24"/>
          <w:szCs w:val="24"/>
        </w:rPr>
        <w:t xml:space="preserve"> a Nationwide Registry Linkage Study. </w:t>
      </w:r>
      <w:r w:rsidRPr="00B745A7">
        <w:rPr>
          <w:rFonts w:ascii="Times New Roman" w:hAnsi="Times New Roman" w:cs="Times New Roman"/>
          <w:i/>
          <w:sz w:val="24"/>
          <w:szCs w:val="24"/>
        </w:rPr>
        <w:t>Great Britain: Oxford University Press</w:t>
      </w:r>
      <w:r w:rsidRPr="00B745A7">
        <w:rPr>
          <w:rFonts w:ascii="Times New Roman" w:hAnsi="Times New Roman" w:cs="Times New Roman"/>
          <w:sz w:val="24"/>
          <w:szCs w:val="24"/>
        </w:rPr>
        <w:t xml:space="preserve">. </w:t>
      </w:r>
    </w:p>
    <w:p w14:paraId="206CC193"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VOHRA, N., HADI, M. A., KHANAL, S., KURMI, O. P. and PAUDYAL, V., 2021. Impact of deprivation, dementia prevalence and regional demography on prescribing of antidementia </w:t>
      </w:r>
      <w:r w:rsidRPr="00B745A7">
        <w:rPr>
          <w:rFonts w:ascii="Times New Roman" w:hAnsi="Times New Roman" w:cs="Times New Roman"/>
          <w:sz w:val="24"/>
          <w:szCs w:val="24"/>
        </w:rPr>
        <w:lastRenderedPageBreak/>
        <w:t xml:space="preserve">drugs in England: A time trend analysis. </w:t>
      </w:r>
      <w:r w:rsidRPr="00B745A7">
        <w:rPr>
          <w:rFonts w:ascii="Times New Roman" w:hAnsi="Times New Roman" w:cs="Times New Roman"/>
          <w:i/>
          <w:sz w:val="24"/>
          <w:szCs w:val="24"/>
        </w:rPr>
        <w:t xml:space="preserve">Br J Clin </w:t>
      </w:r>
      <w:proofErr w:type="spellStart"/>
      <w:r w:rsidRPr="00B745A7">
        <w:rPr>
          <w:rFonts w:ascii="Times New Roman" w:hAnsi="Times New Roman" w:cs="Times New Roman"/>
          <w:i/>
          <w:sz w:val="24"/>
          <w:szCs w:val="24"/>
        </w:rPr>
        <w:t>Pharmacol</w:t>
      </w:r>
      <w:proofErr w:type="spellEnd"/>
      <w:r w:rsidRPr="00B745A7">
        <w:rPr>
          <w:rFonts w:ascii="Times New Roman" w:hAnsi="Times New Roman" w:cs="Times New Roman"/>
          <w:i/>
          <w:sz w:val="24"/>
          <w:szCs w:val="24"/>
        </w:rPr>
        <w:t>, 87</w:t>
      </w:r>
      <w:r w:rsidRPr="00B745A7">
        <w:rPr>
          <w:rFonts w:ascii="Times New Roman" w:hAnsi="Times New Roman" w:cs="Times New Roman"/>
          <w:sz w:val="24"/>
          <w:szCs w:val="24"/>
        </w:rPr>
        <w:t>(10):3747-3755. doi: 10.1111/bcp.14782</w:t>
      </w:r>
    </w:p>
    <w:p w14:paraId="074AF9F9"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VOSS, S., BLACK., S., BRANDLING, J., BUSWELL, M., CHESTON, R., CULLUM, S., KIRBY, K., PURDY, S., SOLWAY, C., TAYLOR, H. and BENGER, J., 2017. </w:t>
      </w:r>
      <w:proofErr w:type="spellStart"/>
      <w:r w:rsidRPr="00B745A7">
        <w:rPr>
          <w:rFonts w:ascii="Times New Roman" w:hAnsi="Times New Roman" w:cs="Times New Roman"/>
          <w:sz w:val="24"/>
          <w:szCs w:val="24"/>
        </w:rPr>
        <w:t>ome</w:t>
      </w:r>
      <w:proofErr w:type="spellEnd"/>
      <w:r w:rsidRPr="00B745A7">
        <w:rPr>
          <w:rFonts w:ascii="Times New Roman" w:hAnsi="Times New Roman" w:cs="Times New Roman"/>
          <w:sz w:val="24"/>
          <w:szCs w:val="24"/>
        </w:rPr>
        <w:t xml:space="preserve"> or hospital for people with dementia and one or more other </w:t>
      </w:r>
      <w:proofErr w:type="spellStart"/>
      <w:r w:rsidRPr="00B745A7">
        <w:rPr>
          <w:rFonts w:ascii="Times New Roman" w:hAnsi="Times New Roman" w:cs="Times New Roman"/>
          <w:sz w:val="24"/>
          <w:szCs w:val="24"/>
        </w:rPr>
        <w:t>multimorbidities</w:t>
      </w:r>
      <w:proofErr w:type="spellEnd"/>
      <w:r w:rsidRPr="00B745A7">
        <w:rPr>
          <w:rFonts w:ascii="Times New Roman" w:hAnsi="Times New Roman" w:cs="Times New Roman"/>
          <w:sz w:val="24"/>
          <w:szCs w:val="24"/>
        </w:rPr>
        <w:t xml:space="preserve">: What is the potential to reduce avoidable emergency admissions? The HOMEWARD Project Protocol. </w:t>
      </w:r>
      <w:r w:rsidRPr="00B745A7">
        <w:rPr>
          <w:rFonts w:ascii="Times New Roman" w:hAnsi="Times New Roman" w:cs="Times New Roman"/>
          <w:i/>
          <w:sz w:val="24"/>
          <w:szCs w:val="24"/>
        </w:rPr>
        <w:t>BMJ Open, 3</w:t>
      </w:r>
      <w:r w:rsidRPr="00B745A7">
        <w:rPr>
          <w:rFonts w:ascii="Times New Roman" w:hAnsi="Times New Roman" w:cs="Times New Roman"/>
          <w:sz w:val="24"/>
          <w:szCs w:val="24"/>
        </w:rPr>
        <w:t>;7(4</w:t>
      </w:r>
      <w:proofErr w:type="gramStart"/>
      <w:r w:rsidRPr="00B745A7">
        <w:rPr>
          <w:rFonts w:ascii="Times New Roman" w:hAnsi="Times New Roman" w:cs="Times New Roman"/>
          <w:sz w:val="24"/>
          <w:szCs w:val="24"/>
        </w:rPr>
        <w:t>):e</w:t>
      </w:r>
      <w:proofErr w:type="gramEnd"/>
      <w:r w:rsidRPr="00B745A7">
        <w:rPr>
          <w:rFonts w:ascii="Times New Roman" w:hAnsi="Times New Roman" w:cs="Times New Roman"/>
          <w:sz w:val="24"/>
          <w:szCs w:val="24"/>
        </w:rPr>
        <w:t>016651. doi: 10.1136/bmjopen-2017-016651</w:t>
      </w:r>
    </w:p>
    <w:p w14:paraId="62648991"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WATSON, J., GIEBEL, C., GREEN, M., DARLINGTON-POLLOCK, F. and AKPAN, A., 2020. Use of routine and cohort data globally in exploring dementia care pathways and inequalities: A systematic review. </w:t>
      </w:r>
      <w:r w:rsidRPr="00B745A7">
        <w:rPr>
          <w:rFonts w:ascii="Times New Roman" w:hAnsi="Times New Roman" w:cs="Times New Roman"/>
          <w:i/>
          <w:sz w:val="24"/>
          <w:szCs w:val="24"/>
        </w:rPr>
        <w:t>International journal of geriatric psychiatry, 36</w:t>
      </w:r>
      <w:r w:rsidRPr="00B745A7">
        <w:rPr>
          <w:rFonts w:ascii="Times New Roman" w:hAnsi="Times New Roman" w:cs="Times New Roman"/>
          <w:sz w:val="24"/>
          <w:szCs w:val="24"/>
        </w:rPr>
        <w:t xml:space="preserve">(2), pp. 252. </w:t>
      </w:r>
    </w:p>
    <w:p w14:paraId="45FE5DC9"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WATSON, J., DARLINGTON-POLLOCK, F., GREEN, M., GIEBEL, C. and AKPAN, A., 2021. The Impact of Demographic, Socio-Economic and Geographic Factors on Mortality Risk among People Living with Dementia in England (2002-2016). </w:t>
      </w:r>
      <w:r w:rsidRPr="00B745A7">
        <w:rPr>
          <w:rFonts w:ascii="Times New Roman" w:hAnsi="Times New Roman" w:cs="Times New Roman"/>
          <w:i/>
          <w:sz w:val="24"/>
          <w:szCs w:val="24"/>
        </w:rPr>
        <w:t>Int J Environ Res Public Health, 18</w:t>
      </w:r>
      <w:r w:rsidRPr="00B745A7">
        <w:rPr>
          <w:rFonts w:ascii="Times New Roman" w:hAnsi="Times New Roman" w:cs="Times New Roman"/>
          <w:sz w:val="24"/>
          <w:szCs w:val="24"/>
        </w:rPr>
        <w:t>(24):13405. doi: 10.3390/ijerph182413405</w:t>
      </w:r>
    </w:p>
    <w:p w14:paraId="4A60C741"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WILLIAMS, D.R. and COOPER, L.A., 2019. Reducing Racial Inequities in Health: Using What We Already Know to </w:t>
      </w:r>
      <w:proofErr w:type="gramStart"/>
      <w:r w:rsidRPr="00B745A7">
        <w:rPr>
          <w:rFonts w:ascii="Times New Roman" w:hAnsi="Times New Roman" w:cs="Times New Roman"/>
          <w:sz w:val="24"/>
          <w:szCs w:val="24"/>
        </w:rPr>
        <w:t>Take Action</w:t>
      </w:r>
      <w:proofErr w:type="gramEnd"/>
      <w:r w:rsidRPr="00B745A7">
        <w:rPr>
          <w:rFonts w:ascii="Times New Roman" w:hAnsi="Times New Roman" w:cs="Times New Roman"/>
          <w:sz w:val="24"/>
          <w:szCs w:val="24"/>
        </w:rPr>
        <w:t xml:space="preserve">. </w:t>
      </w:r>
      <w:r w:rsidRPr="00B745A7">
        <w:rPr>
          <w:rFonts w:ascii="Times New Roman" w:hAnsi="Times New Roman" w:cs="Times New Roman"/>
          <w:i/>
          <w:sz w:val="24"/>
          <w:szCs w:val="24"/>
        </w:rPr>
        <w:t>International journal of environmental research and public health, 16</w:t>
      </w:r>
      <w:r w:rsidRPr="00B745A7">
        <w:rPr>
          <w:rFonts w:ascii="Times New Roman" w:hAnsi="Times New Roman" w:cs="Times New Roman"/>
          <w:sz w:val="24"/>
          <w:szCs w:val="24"/>
        </w:rPr>
        <w:t xml:space="preserve">(4), pp. 606. </w:t>
      </w:r>
    </w:p>
    <w:p w14:paraId="7DC8DD47"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WITTENBERG, R., HU, B., BARRAZA-ARAIZA, L., REHILL, A. Projections of Older People with Dementia and Costs of Dementia Care in the United Kingdom, 2019-2040. London, England: </w:t>
      </w:r>
      <w:r w:rsidRPr="00B745A7">
        <w:rPr>
          <w:rFonts w:ascii="Times New Roman" w:hAnsi="Times New Roman" w:cs="Times New Roman"/>
          <w:i/>
          <w:sz w:val="24"/>
          <w:szCs w:val="24"/>
        </w:rPr>
        <w:t>Care Policy and Evaluation Centre; 2019</w:t>
      </w:r>
      <w:r w:rsidRPr="00B745A7">
        <w:rPr>
          <w:rFonts w:ascii="Times New Roman" w:hAnsi="Times New Roman" w:cs="Times New Roman"/>
          <w:sz w:val="24"/>
          <w:szCs w:val="24"/>
        </w:rPr>
        <w:t>:1-79.</w:t>
      </w:r>
    </w:p>
    <w:p w14:paraId="1DDDF6BD" w14:textId="77777777" w:rsidR="00E52BF2"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WU, Y., CLARE, L., JONES, I.R., MARTYR, A., NELIS, S.M., QUINN, C., VICTOR, C.R., LAMONT, R.A., RIPPON, I. and MATTHEWS, F.E., 2018. Inequalities in living well with dementia-The impact of deprivation on well-being, quality of life and life satisfaction: </w:t>
      </w:r>
      <w:r w:rsidRPr="00B745A7">
        <w:rPr>
          <w:rFonts w:ascii="Times New Roman" w:hAnsi="Times New Roman" w:cs="Times New Roman"/>
          <w:sz w:val="24"/>
          <w:szCs w:val="24"/>
        </w:rPr>
        <w:lastRenderedPageBreak/>
        <w:t xml:space="preserve">Results from the improving the experience of dementia and enhancing active life study. </w:t>
      </w:r>
      <w:r w:rsidRPr="00B745A7">
        <w:rPr>
          <w:rFonts w:ascii="Times New Roman" w:hAnsi="Times New Roman" w:cs="Times New Roman"/>
          <w:i/>
          <w:sz w:val="24"/>
          <w:szCs w:val="24"/>
        </w:rPr>
        <w:t>International journal of geriatric psychiatry, 33</w:t>
      </w:r>
      <w:r w:rsidRPr="00B745A7">
        <w:rPr>
          <w:rFonts w:ascii="Times New Roman" w:hAnsi="Times New Roman" w:cs="Times New Roman"/>
          <w:sz w:val="24"/>
          <w:szCs w:val="24"/>
        </w:rPr>
        <w:t>(12), pp. 1736.</w:t>
      </w:r>
    </w:p>
    <w:p w14:paraId="492FFBCE" w14:textId="674F7392" w:rsidR="002550CF" w:rsidRPr="00B745A7" w:rsidRDefault="00E52BF2"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WU, Y., ZHENG, H., LIU, Z., WANG, S., LIU, Y. and HU, S., 2020. Dementia-Free Life Expectancy among People over 60 Years Old by Sex, Urban and Rural Areas in Jiangxi Province, China. </w:t>
      </w:r>
      <w:r w:rsidRPr="00B745A7">
        <w:rPr>
          <w:rFonts w:ascii="Times New Roman" w:hAnsi="Times New Roman" w:cs="Times New Roman"/>
          <w:i/>
          <w:sz w:val="24"/>
          <w:szCs w:val="24"/>
        </w:rPr>
        <w:t>International journal of environmental research and public health, 17</w:t>
      </w:r>
      <w:r w:rsidRPr="00B745A7">
        <w:rPr>
          <w:rFonts w:ascii="Times New Roman" w:hAnsi="Times New Roman" w:cs="Times New Roman"/>
          <w:sz w:val="24"/>
          <w:szCs w:val="24"/>
        </w:rPr>
        <w:t>(16), 5665. https://doi.org/10.3390/ijerph17165665</w:t>
      </w:r>
    </w:p>
    <w:p w14:paraId="78D07D92" w14:textId="77777777" w:rsidR="004756B4" w:rsidRPr="00B745A7" w:rsidRDefault="004756B4" w:rsidP="00AD5F19">
      <w:pPr>
        <w:spacing w:line="480" w:lineRule="auto"/>
        <w:rPr>
          <w:rFonts w:ascii="Times New Roman" w:hAnsi="Times New Roman" w:cs="Times New Roman"/>
          <w:b/>
          <w:sz w:val="24"/>
          <w:szCs w:val="24"/>
        </w:rPr>
      </w:pPr>
      <w:r w:rsidRPr="00B745A7">
        <w:rPr>
          <w:rFonts w:ascii="Times New Roman" w:hAnsi="Times New Roman" w:cs="Times New Roman"/>
          <w:b/>
          <w:sz w:val="24"/>
          <w:szCs w:val="24"/>
        </w:rPr>
        <w:br w:type="page"/>
      </w:r>
    </w:p>
    <w:p w14:paraId="2244C7A3" w14:textId="4FE3FF93" w:rsidR="002550CF" w:rsidRPr="00B745A7" w:rsidRDefault="002550CF" w:rsidP="00AD5F19">
      <w:pPr>
        <w:spacing w:line="480" w:lineRule="auto"/>
        <w:jc w:val="both"/>
        <w:rPr>
          <w:rFonts w:ascii="Times New Roman" w:hAnsi="Times New Roman" w:cs="Times New Roman"/>
          <w:b/>
          <w:sz w:val="24"/>
          <w:szCs w:val="24"/>
        </w:rPr>
      </w:pPr>
      <w:r w:rsidRPr="00B745A7">
        <w:rPr>
          <w:rFonts w:ascii="Times New Roman" w:hAnsi="Times New Roman" w:cs="Times New Roman"/>
          <w:b/>
          <w:sz w:val="24"/>
          <w:szCs w:val="24"/>
        </w:rPr>
        <w:lastRenderedPageBreak/>
        <w:t>Figures and Tables</w:t>
      </w:r>
    </w:p>
    <w:p w14:paraId="7B815153" w14:textId="6D2F8129" w:rsidR="002550CF" w:rsidRPr="00B745A7" w:rsidRDefault="002550CF" w:rsidP="00AD5F19">
      <w:pPr>
        <w:spacing w:line="480" w:lineRule="auto"/>
        <w:jc w:val="both"/>
        <w:rPr>
          <w:rFonts w:ascii="Times New Roman" w:hAnsi="Times New Roman" w:cs="Times New Roman"/>
          <w:b/>
          <w:i/>
          <w:sz w:val="24"/>
          <w:szCs w:val="24"/>
        </w:rPr>
      </w:pPr>
      <w:r w:rsidRPr="00B745A7">
        <w:rPr>
          <w:rFonts w:ascii="Times New Roman" w:hAnsi="Times New Roman" w:cs="Times New Roman"/>
          <w:b/>
          <w:i/>
          <w:sz w:val="24"/>
          <w:szCs w:val="24"/>
        </w:rPr>
        <w:t>Table 1: Demographic characteristics of sample population vs. UK dementia population</w:t>
      </w:r>
      <w:r w:rsidRPr="00B745A7">
        <w:rPr>
          <w:rFonts w:ascii="Times New Roman" w:hAnsi="Times New Roman" w:cs="Times New Roman"/>
          <w:b/>
          <w:noProof/>
          <w:sz w:val="24"/>
          <w:szCs w:val="24"/>
        </w:rPr>
        <w:drawing>
          <wp:inline distT="0" distB="0" distL="0" distR="0" wp14:anchorId="2B19C54E" wp14:editId="16B30766">
            <wp:extent cx="2998381" cy="635732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_1.jpg"/>
                    <pic:cNvPicPr/>
                  </pic:nvPicPr>
                  <pic:blipFill rotWithShape="1">
                    <a:blip r:embed="rId11">
                      <a:extLst>
                        <a:ext uri="{28A0092B-C50C-407E-A947-70E740481C1C}">
                          <a14:useLocalDpi xmlns:a14="http://schemas.microsoft.com/office/drawing/2010/main" val="0"/>
                        </a:ext>
                      </a:extLst>
                    </a:blip>
                    <a:srcRect l="348" t="1" r="4628" b="280"/>
                    <a:stretch/>
                  </pic:blipFill>
                  <pic:spPr bwMode="auto">
                    <a:xfrm>
                      <a:off x="0" y="0"/>
                      <a:ext cx="3010846" cy="6383751"/>
                    </a:xfrm>
                    <a:prstGeom prst="rect">
                      <a:avLst/>
                    </a:prstGeom>
                    <a:ln>
                      <a:noFill/>
                    </a:ln>
                    <a:extLst>
                      <a:ext uri="{53640926-AAD7-44D8-BBD7-CCE9431645EC}">
                        <a14:shadowObscured xmlns:a14="http://schemas.microsoft.com/office/drawing/2010/main"/>
                      </a:ext>
                    </a:extLst>
                  </pic:spPr>
                </pic:pic>
              </a:graphicData>
            </a:graphic>
          </wp:inline>
        </w:drawing>
      </w:r>
    </w:p>
    <w:p w14:paraId="527AE912" w14:textId="77777777" w:rsidR="002550CF" w:rsidRPr="00B745A7" w:rsidRDefault="002550CF" w:rsidP="00AD5F19">
      <w:pPr>
        <w:spacing w:line="480" w:lineRule="auto"/>
        <w:jc w:val="both"/>
        <w:rPr>
          <w:rFonts w:ascii="Times New Roman" w:hAnsi="Times New Roman" w:cs="Times New Roman"/>
          <w:b/>
          <w:sz w:val="24"/>
          <w:szCs w:val="24"/>
        </w:rPr>
      </w:pPr>
    </w:p>
    <w:p w14:paraId="52FFB005" w14:textId="77777777" w:rsidR="002550CF" w:rsidRPr="00B745A7" w:rsidRDefault="002550CF" w:rsidP="00AD5F19">
      <w:pPr>
        <w:spacing w:line="480" w:lineRule="auto"/>
        <w:jc w:val="both"/>
        <w:rPr>
          <w:rFonts w:ascii="Times New Roman" w:hAnsi="Times New Roman" w:cs="Times New Roman"/>
          <w:b/>
          <w:sz w:val="24"/>
          <w:szCs w:val="24"/>
        </w:rPr>
      </w:pPr>
    </w:p>
    <w:p w14:paraId="5945D87E" w14:textId="6B2D8465" w:rsidR="008F548E" w:rsidRPr="00B745A7" w:rsidRDefault="008F548E" w:rsidP="00AD5F19">
      <w:pPr>
        <w:spacing w:line="480" w:lineRule="auto"/>
        <w:rPr>
          <w:rFonts w:ascii="Times New Roman" w:hAnsi="Times New Roman" w:cs="Times New Roman"/>
          <w:sz w:val="24"/>
          <w:szCs w:val="24"/>
        </w:rPr>
      </w:pPr>
    </w:p>
    <w:p w14:paraId="2DD2109D" w14:textId="0F906141" w:rsidR="002550CF" w:rsidRPr="00B745A7" w:rsidRDefault="002550CF" w:rsidP="00AD5F19">
      <w:pPr>
        <w:spacing w:line="480" w:lineRule="auto"/>
        <w:rPr>
          <w:rFonts w:ascii="Times New Roman" w:hAnsi="Times New Roman" w:cs="Times New Roman"/>
          <w:b/>
          <w:sz w:val="24"/>
          <w:szCs w:val="24"/>
        </w:rPr>
      </w:pPr>
    </w:p>
    <w:p w14:paraId="3F3A8A3F" w14:textId="01BEA9A3" w:rsidR="00E543BF" w:rsidRPr="00B745A7" w:rsidRDefault="00E543BF" w:rsidP="00AD5F19">
      <w:pPr>
        <w:spacing w:line="480" w:lineRule="auto"/>
        <w:rPr>
          <w:rFonts w:ascii="Times New Roman" w:hAnsi="Times New Roman" w:cs="Times New Roman"/>
          <w:b/>
          <w:sz w:val="24"/>
          <w:szCs w:val="24"/>
        </w:rPr>
      </w:pPr>
      <w:r w:rsidRPr="00B745A7">
        <w:rPr>
          <w:noProof/>
        </w:rPr>
        <w:drawing>
          <wp:inline distT="0" distB="0" distL="0" distR="0" wp14:anchorId="0A7E8CBD" wp14:editId="1942AE99">
            <wp:extent cx="2790825" cy="4965405"/>
            <wp:effectExtent l="0" t="0" r="0" b="6985"/>
            <wp:docPr id="3" name="Picture 15">
              <a:extLst xmlns:a="http://schemas.openxmlformats.org/drawingml/2006/main">
                <a:ext uri="{FF2B5EF4-FFF2-40B4-BE49-F238E27FC236}">
                  <a16:creationId xmlns:a16="http://schemas.microsoft.com/office/drawing/2014/main" id="{8A2A0106-356D-491A-AD36-A89B2C9B7C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8A2A0106-356D-491A-AD36-A89B2C9B7C63}"/>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b="8383"/>
                    <a:stretch/>
                  </pic:blipFill>
                  <pic:spPr bwMode="auto">
                    <a:xfrm>
                      <a:off x="0" y="0"/>
                      <a:ext cx="2790825" cy="4965405"/>
                    </a:xfrm>
                    <a:prstGeom prst="rect">
                      <a:avLst/>
                    </a:prstGeom>
                    <a:noFill/>
                    <a:ln>
                      <a:noFill/>
                    </a:ln>
                    <a:extLst>
                      <a:ext uri="{53640926-AAD7-44D8-BBD7-CCE9431645EC}">
                        <a14:shadowObscured xmlns:a14="http://schemas.microsoft.com/office/drawing/2010/main"/>
                      </a:ext>
                    </a:extLst>
                  </pic:spPr>
                </pic:pic>
              </a:graphicData>
            </a:graphic>
          </wp:inline>
        </w:drawing>
      </w:r>
    </w:p>
    <w:p w14:paraId="2AFD3B98" w14:textId="1BA5AAD7" w:rsidR="004756B4" w:rsidRPr="00B745A7" w:rsidRDefault="002550CF" w:rsidP="00AD5F19">
      <w:pPr>
        <w:spacing w:line="480" w:lineRule="auto"/>
        <w:rPr>
          <w:rFonts w:ascii="Times New Roman" w:hAnsi="Times New Roman" w:cs="Times New Roman"/>
          <w:b/>
          <w:i/>
          <w:sz w:val="24"/>
          <w:szCs w:val="24"/>
        </w:rPr>
      </w:pPr>
      <w:r w:rsidRPr="00B745A7">
        <w:rPr>
          <w:rFonts w:ascii="Times New Roman" w:hAnsi="Times New Roman" w:cs="Times New Roman"/>
          <w:b/>
          <w:i/>
          <w:sz w:val="24"/>
          <w:szCs w:val="24"/>
        </w:rPr>
        <w:t>Figure 1: Inclusion/Exclusion criteria for sample population</w:t>
      </w:r>
    </w:p>
    <w:p w14:paraId="54840569" w14:textId="21FDB927" w:rsidR="004F0D39" w:rsidRPr="00B745A7" w:rsidRDefault="004F0D39" w:rsidP="00AD5F19">
      <w:pPr>
        <w:spacing w:line="480" w:lineRule="auto"/>
        <w:rPr>
          <w:rFonts w:ascii="Times New Roman" w:hAnsi="Times New Roman" w:cs="Times New Roman"/>
          <w:b/>
          <w:sz w:val="24"/>
          <w:szCs w:val="24"/>
        </w:rPr>
      </w:pPr>
      <w:r w:rsidRPr="00B745A7">
        <w:rPr>
          <w:rFonts w:ascii="Times New Roman" w:hAnsi="Times New Roman" w:cs="Times New Roman"/>
          <w:b/>
          <w:sz w:val="24"/>
          <w:szCs w:val="24"/>
        </w:rPr>
        <w:br w:type="page"/>
      </w:r>
    </w:p>
    <w:p w14:paraId="5EAED7DE" w14:textId="77777777" w:rsidR="006B3730" w:rsidRPr="00B745A7" w:rsidRDefault="006B3730" w:rsidP="00AD5F19">
      <w:pPr>
        <w:spacing w:line="480" w:lineRule="auto"/>
        <w:rPr>
          <w:rFonts w:ascii="Times New Roman" w:hAnsi="Times New Roman" w:cs="Times New Roman"/>
          <w:b/>
          <w:sz w:val="24"/>
          <w:szCs w:val="24"/>
        </w:rPr>
        <w:sectPr w:rsidR="006B3730" w:rsidRPr="00B745A7" w:rsidSect="006B3730">
          <w:pgSz w:w="11906" w:h="16838"/>
          <w:pgMar w:top="1440" w:right="1440" w:bottom="1440" w:left="1440" w:header="709" w:footer="709" w:gutter="0"/>
          <w:cols w:space="708"/>
          <w:docGrid w:linePitch="360"/>
        </w:sectPr>
      </w:pPr>
    </w:p>
    <w:p w14:paraId="1DB4C25F" w14:textId="239D255B" w:rsidR="004D5142" w:rsidRPr="00B745A7" w:rsidRDefault="004F0D39" w:rsidP="00AD5F19">
      <w:pPr>
        <w:spacing w:line="480" w:lineRule="auto"/>
        <w:rPr>
          <w:rFonts w:ascii="Times New Roman" w:hAnsi="Times New Roman" w:cs="Times New Roman"/>
          <w:b/>
          <w:sz w:val="24"/>
          <w:szCs w:val="24"/>
        </w:rPr>
      </w:pPr>
      <w:r w:rsidRPr="00B745A7">
        <w:rPr>
          <w:rFonts w:ascii="Times New Roman" w:hAnsi="Times New Roman" w:cs="Times New Roman"/>
          <w:b/>
          <w:sz w:val="24"/>
          <w:szCs w:val="24"/>
        </w:rPr>
        <w:lastRenderedPageBreak/>
        <w:t>Appendices</w:t>
      </w:r>
    </w:p>
    <w:p w14:paraId="083E8254" w14:textId="4562880F" w:rsidR="00066340" w:rsidRPr="00B745A7" w:rsidRDefault="00FD493D" w:rsidP="00066340">
      <w:pPr>
        <w:spacing w:line="480" w:lineRule="auto"/>
        <w:jc w:val="both"/>
        <w:rPr>
          <w:rFonts w:ascii="Times New Roman" w:hAnsi="Times New Roman" w:cs="Times New Roman"/>
          <w:b/>
          <w:i/>
          <w:sz w:val="24"/>
          <w:szCs w:val="24"/>
        </w:rPr>
      </w:pPr>
      <w:r w:rsidRPr="00B745A7">
        <w:rPr>
          <w:rFonts w:ascii="Times New Roman" w:hAnsi="Times New Roman" w:cs="Times New Roman"/>
          <w:b/>
          <w:i/>
          <w:noProof/>
          <w:sz w:val="24"/>
          <w:szCs w:val="24"/>
        </w:rPr>
        <w:drawing>
          <wp:inline distT="0" distB="0" distL="0" distR="0" wp14:anchorId="700A7CB7" wp14:editId="7A35558B">
            <wp:extent cx="8863330" cy="42513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e2.JPG"/>
                    <pic:cNvPicPr/>
                  </pic:nvPicPr>
                  <pic:blipFill>
                    <a:blip r:embed="rId13">
                      <a:extLst>
                        <a:ext uri="{28A0092B-C50C-407E-A947-70E740481C1C}">
                          <a14:useLocalDpi xmlns:a14="http://schemas.microsoft.com/office/drawing/2010/main" val="0"/>
                        </a:ext>
                      </a:extLst>
                    </a:blip>
                    <a:stretch>
                      <a:fillRect/>
                    </a:stretch>
                  </pic:blipFill>
                  <pic:spPr>
                    <a:xfrm>
                      <a:off x="0" y="0"/>
                      <a:ext cx="8863330" cy="4251325"/>
                    </a:xfrm>
                    <a:prstGeom prst="rect">
                      <a:avLst/>
                    </a:prstGeom>
                  </pic:spPr>
                </pic:pic>
              </a:graphicData>
            </a:graphic>
          </wp:inline>
        </w:drawing>
      </w:r>
    </w:p>
    <w:p w14:paraId="611A82DE" w14:textId="1B238070" w:rsidR="00066340" w:rsidRPr="00B745A7" w:rsidRDefault="00FD493D" w:rsidP="00066340">
      <w:pPr>
        <w:spacing w:line="480" w:lineRule="auto"/>
        <w:jc w:val="both"/>
        <w:rPr>
          <w:rFonts w:ascii="Times New Roman" w:hAnsi="Times New Roman" w:cs="Times New Roman"/>
          <w:sz w:val="24"/>
          <w:szCs w:val="24"/>
        </w:rPr>
      </w:pPr>
      <w:r w:rsidRPr="00B745A7">
        <w:rPr>
          <w:rFonts w:ascii="Times New Roman" w:hAnsi="Times New Roman" w:cs="Times New Roman"/>
          <w:sz w:val="24"/>
          <w:szCs w:val="24"/>
        </w:rPr>
        <w:t xml:space="preserve">Appendix 1: </w:t>
      </w:r>
      <w:r w:rsidR="00066340" w:rsidRPr="00B745A7">
        <w:rPr>
          <w:rFonts w:ascii="Times New Roman" w:hAnsi="Times New Roman" w:cs="Times New Roman"/>
          <w:sz w:val="24"/>
          <w:szCs w:val="24"/>
        </w:rPr>
        <w:t xml:space="preserve">Regression coefficients for healthcare use among </w:t>
      </w:r>
      <w:r w:rsidRPr="00B745A7">
        <w:rPr>
          <w:rFonts w:ascii="Times New Roman" w:hAnsi="Times New Roman" w:cs="Times New Roman"/>
          <w:sz w:val="24"/>
          <w:szCs w:val="24"/>
        </w:rPr>
        <w:t>early</w:t>
      </w:r>
      <w:r w:rsidR="00066340" w:rsidRPr="00B745A7">
        <w:rPr>
          <w:rFonts w:ascii="Times New Roman" w:hAnsi="Times New Roman" w:cs="Times New Roman"/>
          <w:sz w:val="24"/>
          <w:szCs w:val="24"/>
        </w:rPr>
        <w:t>-onset dementia sample population, by demographic</w:t>
      </w:r>
      <w:r w:rsidRPr="00B745A7">
        <w:rPr>
          <w:rFonts w:ascii="Times New Roman" w:hAnsi="Times New Roman" w:cs="Times New Roman"/>
          <w:sz w:val="24"/>
          <w:szCs w:val="24"/>
        </w:rPr>
        <w:t>/</w:t>
      </w:r>
      <w:r w:rsidR="00066340" w:rsidRPr="00B745A7">
        <w:rPr>
          <w:rFonts w:ascii="Times New Roman" w:hAnsi="Times New Roman" w:cs="Times New Roman"/>
          <w:sz w:val="24"/>
          <w:szCs w:val="24"/>
        </w:rPr>
        <w:t>socio-economic factors</w:t>
      </w:r>
    </w:p>
    <w:p w14:paraId="511B5AE2" w14:textId="77777777" w:rsidR="00066340" w:rsidRPr="00B745A7" w:rsidRDefault="00066340" w:rsidP="00066340">
      <w:pPr>
        <w:spacing w:line="480" w:lineRule="auto"/>
        <w:jc w:val="both"/>
        <w:rPr>
          <w:rFonts w:ascii="Times New Roman" w:hAnsi="Times New Roman" w:cs="Times New Roman"/>
          <w:b/>
          <w:i/>
          <w:sz w:val="24"/>
          <w:szCs w:val="24"/>
        </w:rPr>
      </w:pPr>
      <w:r w:rsidRPr="00B745A7">
        <w:rPr>
          <w:rFonts w:ascii="Times New Roman" w:hAnsi="Times New Roman" w:cs="Times New Roman"/>
          <w:b/>
          <w:i/>
          <w:sz w:val="24"/>
          <w:szCs w:val="24"/>
        </w:rPr>
        <w:br w:type="page"/>
      </w:r>
    </w:p>
    <w:p w14:paraId="217A80F2" w14:textId="3B425D7F" w:rsidR="00066340" w:rsidRPr="00B745A7" w:rsidRDefault="00FD493D" w:rsidP="00066340">
      <w:pPr>
        <w:spacing w:line="480" w:lineRule="auto"/>
        <w:jc w:val="both"/>
        <w:rPr>
          <w:rFonts w:ascii="Times New Roman" w:hAnsi="Times New Roman" w:cs="Times New Roman"/>
          <w:b/>
          <w:i/>
          <w:sz w:val="24"/>
          <w:szCs w:val="24"/>
        </w:rPr>
      </w:pPr>
      <w:r w:rsidRPr="00B745A7">
        <w:rPr>
          <w:rFonts w:ascii="Times New Roman" w:hAnsi="Times New Roman" w:cs="Times New Roman"/>
          <w:b/>
          <w:i/>
          <w:noProof/>
          <w:sz w:val="24"/>
          <w:szCs w:val="24"/>
        </w:rPr>
        <w:lastRenderedPageBreak/>
        <w:drawing>
          <wp:inline distT="0" distB="0" distL="0" distR="0" wp14:anchorId="7C09B65D" wp14:editId="60502EAB">
            <wp:extent cx="8863330" cy="397637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e3.JPG"/>
                    <pic:cNvPicPr/>
                  </pic:nvPicPr>
                  <pic:blipFill>
                    <a:blip r:embed="rId14">
                      <a:extLst>
                        <a:ext uri="{28A0092B-C50C-407E-A947-70E740481C1C}">
                          <a14:useLocalDpi xmlns:a14="http://schemas.microsoft.com/office/drawing/2010/main" val="0"/>
                        </a:ext>
                      </a:extLst>
                    </a:blip>
                    <a:stretch>
                      <a:fillRect/>
                    </a:stretch>
                  </pic:blipFill>
                  <pic:spPr>
                    <a:xfrm>
                      <a:off x="0" y="0"/>
                      <a:ext cx="8863330" cy="3976370"/>
                    </a:xfrm>
                    <a:prstGeom prst="rect">
                      <a:avLst/>
                    </a:prstGeom>
                  </pic:spPr>
                </pic:pic>
              </a:graphicData>
            </a:graphic>
          </wp:inline>
        </w:drawing>
      </w:r>
    </w:p>
    <w:p w14:paraId="7D68A487" w14:textId="1B3613FD" w:rsidR="00066340" w:rsidRPr="00B745A7" w:rsidRDefault="00066340" w:rsidP="00066340">
      <w:pPr>
        <w:spacing w:line="480" w:lineRule="auto"/>
        <w:jc w:val="both"/>
        <w:rPr>
          <w:rFonts w:ascii="Times New Roman" w:hAnsi="Times New Roman" w:cs="Times New Roman"/>
          <w:sz w:val="24"/>
          <w:szCs w:val="24"/>
        </w:rPr>
      </w:pPr>
      <w:r w:rsidRPr="00B745A7">
        <w:rPr>
          <w:rFonts w:ascii="Times New Roman" w:hAnsi="Times New Roman" w:cs="Times New Roman"/>
          <w:sz w:val="24"/>
          <w:szCs w:val="24"/>
        </w:rPr>
        <w:t xml:space="preserve">Appendix 2: Regression coefficients for healthcare use among </w:t>
      </w:r>
      <w:r w:rsidR="00FD493D" w:rsidRPr="00B745A7">
        <w:rPr>
          <w:rFonts w:ascii="Times New Roman" w:hAnsi="Times New Roman" w:cs="Times New Roman"/>
          <w:sz w:val="24"/>
          <w:szCs w:val="24"/>
        </w:rPr>
        <w:t>early</w:t>
      </w:r>
      <w:r w:rsidRPr="00B745A7">
        <w:rPr>
          <w:rFonts w:ascii="Times New Roman" w:hAnsi="Times New Roman" w:cs="Times New Roman"/>
          <w:sz w:val="24"/>
          <w:szCs w:val="24"/>
        </w:rPr>
        <w:t>-onset dementia sample population, by spatial factors</w:t>
      </w:r>
    </w:p>
    <w:p w14:paraId="78223D3F" w14:textId="77777777" w:rsidR="00066340" w:rsidRPr="00B745A7" w:rsidRDefault="00066340">
      <w:pPr>
        <w:rPr>
          <w:rFonts w:ascii="Times New Roman" w:hAnsi="Times New Roman" w:cs="Times New Roman"/>
          <w:b/>
          <w:sz w:val="24"/>
          <w:szCs w:val="24"/>
        </w:rPr>
      </w:pPr>
      <w:r w:rsidRPr="00B745A7">
        <w:rPr>
          <w:rFonts w:ascii="Times New Roman" w:hAnsi="Times New Roman" w:cs="Times New Roman"/>
          <w:b/>
          <w:sz w:val="24"/>
          <w:szCs w:val="24"/>
        </w:rPr>
        <w:br w:type="page"/>
      </w:r>
    </w:p>
    <w:p w14:paraId="03F6342B" w14:textId="1AE902EF" w:rsidR="001D4837" w:rsidRPr="00B745A7" w:rsidRDefault="001D4837" w:rsidP="00AD5F19">
      <w:pPr>
        <w:spacing w:line="480" w:lineRule="auto"/>
        <w:rPr>
          <w:rFonts w:ascii="Times New Roman" w:hAnsi="Times New Roman" w:cs="Times New Roman"/>
          <w:b/>
          <w:sz w:val="24"/>
          <w:szCs w:val="24"/>
        </w:rPr>
      </w:pPr>
      <w:r w:rsidRPr="00B745A7">
        <w:rPr>
          <w:rFonts w:ascii="Times New Roman" w:hAnsi="Times New Roman" w:cs="Times New Roman"/>
          <w:b/>
          <w:sz w:val="24"/>
          <w:szCs w:val="24"/>
        </w:rPr>
        <w:lastRenderedPageBreak/>
        <w:t xml:space="preserve">Appendix </w:t>
      </w:r>
      <w:r w:rsidR="00066340" w:rsidRPr="00B745A7">
        <w:rPr>
          <w:rFonts w:ascii="Times New Roman" w:hAnsi="Times New Roman" w:cs="Times New Roman"/>
          <w:b/>
          <w:sz w:val="24"/>
          <w:szCs w:val="24"/>
        </w:rPr>
        <w:t>3</w:t>
      </w:r>
      <w:r w:rsidRPr="00B745A7">
        <w:rPr>
          <w:rFonts w:ascii="Times New Roman" w:hAnsi="Times New Roman" w:cs="Times New Roman"/>
          <w:b/>
          <w:sz w:val="24"/>
          <w:szCs w:val="24"/>
        </w:rPr>
        <w:t>:</w:t>
      </w:r>
      <w:r w:rsidRPr="00B745A7">
        <w:rPr>
          <w:rFonts w:ascii="Times New Roman" w:hAnsi="Times New Roman" w:cs="Times New Roman"/>
          <w:sz w:val="24"/>
          <w:szCs w:val="24"/>
        </w:rPr>
        <w:t xml:space="preserve"> </w:t>
      </w:r>
      <w:r w:rsidRPr="00B745A7">
        <w:rPr>
          <w:rFonts w:ascii="Times New Roman" w:hAnsi="Times New Roman" w:cs="Times New Roman"/>
          <w:b/>
          <w:sz w:val="24"/>
          <w:szCs w:val="24"/>
        </w:rPr>
        <w:t>Healthcare contact rates per patient year for sample population with early-onset dementia, by healthcare type and explanatory factor</w:t>
      </w:r>
    </w:p>
    <w:p w14:paraId="257F538E" w14:textId="1BF6E3E7" w:rsidR="008A1866" w:rsidRPr="00B745A7" w:rsidRDefault="008A1866" w:rsidP="00AD5F19">
      <w:pPr>
        <w:spacing w:line="480" w:lineRule="auto"/>
        <w:rPr>
          <w:rFonts w:ascii="Times New Roman" w:hAnsi="Times New Roman" w:cs="Times New Roman"/>
          <w:b/>
          <w:sz w:val="24"/>
          <w:szCs w:val="24"/>
        </w:rPr>
      </w:pPr>
      <w:r w:rsidRPr="00B745A7">
        <w:rPr>
          <w:noProof/>
        </w:rPr>
        <w:drawing>
          <wp:inline distT="0" distB="0" distL="0" distR="0" wp14:anchorId="6991CA6A" wp14:editId="7FB39E4C">
            <wp:extent cx="4731488" cy="4468130"/>
            <wp:effectExtent l="0" t="0" r="0" b="8890"/>
            <wp:docPr id="4" name="Picture 2">
              <a:extLst xmlns:a="http://schemas.openxmlformats.org/drawingml/2006/main">
                <a:ext uri="{FF2B5EF4-FFF2-40B4-BE49-F238E27FC236}">
                  <a16:creationId xmlns:a16="http://schemas.microsoft.com/office/drawing/2014/main" id="{60A088A6-08FC-478C-B7C9-C7A2EEACD8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0A088A6-08FC-478C-B7C9-C7A2EEACD80D}"/>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1488" cy="4468130"/>
                    </a:xfrm>
                    <a:prstGeom prst="rect">
                      <a:avLst/>
                    </a:prstGeom>
                    <a:noFill/>
                    <a:extLst/>
                  </pic:spPr>
                </pic:pic>
              </a:graphicData>
            </a:graphic>
          </wp:inline>
        </w:drawing>
      </w:r>
    </w:p>
    <w:p w14:paraId="7649C956" w14:textId="0BF396B3" w:rsidR="001D4837" w:rsidRPr="00B745A7" w:rsidRDefault="001D4837" w:rsidP="00AD5F19">
      <w:pPr>
        <w:spacing w:line="480" w:lineRule="auto"/>
        <w:rPr>
          <w:rFonts w:ascii="Times New Roman" w:hAnsi="Times New Roman" w:cs="Times New Roman"/>
          <w:b/>
          <w:sz w:val="24"/>
          <w:szCs w:val="24"/>
        </w:rPr>
      </w:pPr>
      <w:r w:rsidRPr="00B745A7">
        <w:rPr>
          <w:rFonts w:ascii="Times New Roman" w:hAnsi="Times New Roman" w:cs="Times New Roman"/>
          <w:b/>
          <w:sz w:val="24"/>
          <w:szCs w:val="24"/>
        </w:rPr>
        <w:lastRenderedPageBreak/>
        <w:t xml:space="preserve">Appendix </w:t>
      </w:r>
      <w:r w:rsidR="00066340" w:rsidRPr="00B745A7">
        <w:rPr>
          <w:rFonts w:ascii="Times New Roman" w:hAnsi="Times New Roman" w:cs="Times New Roman"/>
          <w:b/>
          <w:sz w:val="24"/>
          <w:szCs w:val="24"/>
        </w:rPr>
        <w:t>4</w:t>
      </w:r>
      <w:r w:rsidRPr="00B745A7">
        <w:rPr>
          <w:rFonts w:ascii="Times New Roman" w:hAnsi="Times New Roman" w:cs="Times New Roman"/>
          <w:b/>
          <w:sz w:val="24"/>
          <w:szCs w:val="24"/>
        </w:rPr>
        <w:t>: Healthcare contact rates per patient year for sample population with later-onset dementia, by healthcare type and explanatory factor</w:t>
      </w:r>
    </w:p>
    <w:p w14:paraId="6E71E672" w14:textId="316A7DB9" w:rsidR="00454461" w:rsidRPr="00B745A7" w:rsidRDefault="00454461" w:rsidP="00AD5F19">
      <w:pPr>
        <w:spacing w:line="480" w:lineRule="auto"/>
        <w:rPr>
          <w:rFonts w:ascii="Times New Roman" w:hAnsi="Times New Roman" w:cs="Times New Roman"/>
          <w:b/>
          <w:sz w:val="24"/>
          <w:szCs w:val="24"/>
        </w:rPr>
      </w:pPr>
      <w:r w:rsidRPr="00B745A7">
        <w:rPr>
          <w:noProof/>
        </w:rPr>
        <w:drawing>
          <wp:inline distT="0" distB="0" distL="0" distR="0" wp14:anchorId="5D65E797" wp14:editId="4A8709D5">
            <wp:extent cx="4784651" cy="4642186"/>
            <wp:effectExtent l="0" t="0" r="0" b="6350"/>
            <wp:docPr id="2" name="Picture 1">
              <a:extLst xmlns:a="http://schemas.openxmlformats.org/drawingml/2006/main">
                <a:ext uri="{FF2B5EF4-FFF2-40B4-BE49-F238E27FC236}">
                  <a16:creationId xmlns:a16="http://schemas.microsoft.com/office/drawing/2014/main" id="{25BB90A4-1B90-409D-8C19-3B9DF7F683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25BB90A4-1B90-409D-8C19-3B9DF7F683AB}"/>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90289" cy="4647656"/>
                    </a:xfrm>
                    <a:prstGeom prst="rect">
                      <a:avLst/>
                    </a:prstGeom>
                    <a:noFill/>
                    <a:extLst/>
                  </pic:spPr>
                </pic:pic>
              </a:graphicData>
            </a:graphic>
          </wp:inline>
        </w:drawing>
      </w:r>
    </w:p>
    <w:p w14:paraId="59444FF6" w14:textId="02E534D7" w:rsidR="003240F1" w:rsidRPr="00B745A7" w:rsidRDefault="003240F1" w:rsidP="00AD5F19">
      <w:pPr>
        <w:spacing w:line="480" w:lineRule="auto"/>
        <w:rPr>
          <w:rFonts w:ascii="Times New Roman" w:hAnsi="Times New Roman" w:cs="Times New Roman"/>
          <w:b/>
          <w:sz w:val="24"/>
          <w:szCs w:val="24"/>
        </w:rPr>
      </w:pPr>
      <w:r w:rsidRPr="00B745A7">
        <w:rPr>
          <w:rFonts w:ascii="Times New Roman" w:hAnsi="Times New Roman" w:cs="Times New Roman"/>
          <w:b/>
          <w:sz w:val="24"/>
          <w:szCs w:val="24"/>
        </w:rPr>
        <w:lastRenderedPageBreak/>
        <w:t>Figure Captions</w:t>
      </w:r>
    </w:p>
    <w:p w14:paraId="001E97B5" w14:textId="7BBF828B" w:rsidR="003240F1" w:rsidRPr="00B745A7" w:rsidRDefault="003240F1"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Figure 1: Inclusion/Exclusion criteria for sample population</w:t>
      </w:r>
    </w:p>
    <w:p w14:paraId="73E90C72" w14:textId="22B9230B" w:rsidR="003240F1" w:rsidRPr="00B745A7" w:rsidRDefault="003240F1"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Figure </w:t>
      </w:r>
      <w:r w:rsidR="00FD493D" w:rsidRPr="00B745A7">
        <w:rPr>
          <w:rFonts w:ascii="Times New Roman" w:hAnsi="Times New Roman" w:cs="Times New Roman"/>
          <w:sz w:val="24"/>
          <w:szCs w:val="24"/>
        </w:rPr>
        <w:t>2</w:t>
      </w:r>
      <w:r w:rsidRPr="00B745A7">
        <w:rPr>
          <w:rFonts w:ascii="Times New Roman" w:hAnsi="Times New Roman" w:cs="Times New Roman"/>
          <w:sz w:val="24"/>
          <w:szCs w:val="24"/>
        </w:rPr>
        <w:t>: Regression coefficients for healthcare use among later-onset dementia sample population, by demographic and socio-economic factors</w:t>
      </w:r>
    </w:p>
    <w:p w14:paraId="24B997ED" w14:textId="338212B9" w:rsidR="003240F1" w:rsidRPr="00B745A7" w:rsidRDefault="003240F1"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Figure </w:t>
      </w:r>
      <w:r w:rsidR="00FD493D" w:rsidRPr="00B745A7">
        <w:rPr>
          <w:rFonts w:ascii="Times New Roman" w:hAnsi="Times New Roman" w:cs="Times New Roman"/>
          <w:sz w:val="24"/>
          <w:szCs w:val="24"/>
        </w:rPr>
        <w:t>3</w:t>
      </w:r>
      <w:r w:rsidRPr="00B745A7">
        <w:rPr>
          <w:rFonts w:ascii="Times New Roman" w:hAnsi="Times New Roman" w:cs="Times New Roman"/>
          <w:sz w:val="24"/>
          <w:szCs w:val="24"/>
        </w:rPr>
        <w:t>: Regression coefficients for healthcare use among later-onset dementia sample population, by spatial factors</w:t>
      </w:r>
    </w:p>
    <w:p w14:paraId="44618455" w14:textId="5723BFF5" w:rsidR="003240F1" w:rsidRPr="00B745A7" w:rsidRDefault="003240F1"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Table 1: Demographic characteristics of sample population vs. UK dementia population</w:t>
      </w:r>
    </w:p>
    <w:p w14:paraId="26A86265" w14:textId="77777777" w:rsidR="00066340" w:rsidRPr="00B745A7" w:rsidRDefault="00066340" w:rsidP="00066340">
      <w:pPr>
        <w:spacing w:line="480" w:lineRule="auto"/>
        <w:rPr>
          <w:rFonts w:ascii="Times New Roman" w:hAnsi="Times New Roman" w:cs="Times New Roman"/>
          <w:sz w:val="24"/>
          <w:szCs w:val="24"/>
        </w:rPr>
      </w:pPr>
      <w:r w:rsidRPr="00B745A7">
        <w:rPr>
          <w:rFonts w:ascii="Times New Roman" w:hAnsi="Times New Roman" w:cs="Times New Roman"/>
          <w:sz w:val="24"/>
          <w:szCs w:val="24"/>
        </w:rPr>
        <w:t>Appendix 1: Regression coefficients for healthcare use among early-onset dementia sample population, by demographic and socio-economic factors</w:t>
      </w:r>
    </w:p>
    <w:p w14:paraId="1187ED54" w14:textId="24D37CFB" w:rsidR="00066340" w:rsidRPr="00B745A7" w:rsidRDefault="00066340" w:rsidP="00066340">
      <w:pPr>
        <w:spacing w:line="480" w:lineRule="auto"/>
        <w:rPr>
          <w:rFonts w:ascii="Times New Roman" w:hAnsi="Times New Roman" w:cs="Times New Roman"/>
          <w:sz w:val="24"/>
          <w:szCs w:val="24"/>
        </w:rPr>
      </w:pPr>
      <w:r w:rsidRPr="00B745A7">
        <w:rPr>
          <w:rFonts w:ascii="Times New Roman" w:hAnsi="Times New Roman" w:cs="Times New Roman"/>
          <w:sz w:val="24"/>
          <w:szCs w:val="24"/>
        </w:rPr>
        <w:t>Appendix 2: Regression coefficients for healthcare use among early-onset dementia sample population, by spatial factors</w:t>
      </w:r>
    </w:p>
    <w:p w14:paraId="7AC4457C" w14:textId="37F5F8E2" w:rsidR="003240F1" w:rsidRPr="00B745A7" w:rsidRDefault="003240F1" w:rsidP="00AD5F19">
      <w:pPr>
        <w:spacing w:line="480" w:lineRule="auto"/>
        <w:rPr>
          <w:rFonts w:ascii="Times New Roman" w:hAnsi="Times New Roman" w:cs="Times New Roman"/>
          <w:sz w:val="24"/>
          <w:szCs w:val="24"/>
        </w:rPr>
      </w:pPr>
      <w:r w:rsidRPr="00B745A7">
        <w:rPr>
          <w:rFonts w:ascii="Times New Roman" w:hAnsi="Times New Roman" w:cs="Times New Roman"/>
          <w:sz w:val="24"/>
          <w:szCs w:val="24"/>
        </w:rPr>
        <w:t xml:space="preserve">Appendix </w:t>
      </w:r>
      <w:r w:rsidR="00066340" w:rsidRPr="00B745A7">
        <w:rPr>
          <w:rFonts w:ascii="Times New Roman" w:hAnsi="Times New Roman" w:cs="Times New Roman"/>
          <w:sz w:val="24"/>
          <w:szCs w:val="24"/>
        </w:rPr>
        <w:t>3</w:t>
      </w:r>
      <w:r w:rsidRPr="00B745A7">
        <w:rPr>
          <w:rFonts w:ascii="Times New Roman" w:hAnsi="Times New Roman" w:cs="Times New Roman"/>
          <w:sz w:val="24"/>
          <w:szCs w:val="24"/>
        </w:rPr>
        <w:t>: Healthcare contact rates per patient year for sample population with early-onset dementia, by healthcare type and explanatory factor</w:t>
      </w:r>
    </w:p>
    <w:p w14:paraId="7EDE7E86" w14:textId="7259C1B4" w:rsidR="003240F1" w:rsidRPr="003240F1" w:rsidRDefault="003240F1" w:rsidP="00AD5F19">
      <w:pPr>
        <w:spacing w:line="480" w:lineRule="auto"/>
        <w:rPr>
          <w:rFonts w:ascii="Arial" w:hAnsi="Arial" w:cs="Arial"/>
          <w:sz w:val="20"/>
        </w:rPr>
      </w:pPr>
      <w:r w:rsidRPr="00B745A7">
        <w:rPr>
          <w:rFonts w:ascii="Times New Roman" w:hAnsi="Times New Roman" w:cs="Times New Roman"/>
          <w:sz w:val="24"/>
          <w:szCs w:val="24"/>
        </w:rPr>
        <w:t xml:space="preserve">Appendix </w:t>
      </w:r>
      <w:r w:rsidR="00066340" w:rsidRPr="00B745A7">
        <w:rPr>
          <w:rFonts w:ascii="Times New Roman" w:hAnsi="Times New Roman" w:cs="Times New Roman"/>
          <w:sz w:val="24"/>
          <w:szCs w:val="24"/>
        </w:rPr>
        <w:t>4</w:t>
      </w:r>
      <w:r w:rsidRPr="00B745A7">
        <w:rPr>
          <w:rFonts w:ascii="Times New Roman" w:hAnsi="Times New Roman" w:cs="Times New Roman"/>
          <w:sz w:val="24"/>
          <w:szCs w:val="24"/>
        </w:rPr>
        <w:t>: Healthcare contact rates per patient year for sample population with later-onset dementia, by healthcare</w:t>
      </w:r>
      <w:r w:rsidRPr="00B745A7">
        <w:rPr>
          <w:rFonts w:ascii="Arial" w:hAnsi="Arial" w:cs="Arial"/>
          <w:sz w:val="20"/>
        </w:rPr>
        <w:t xml:space="preserve"> type and explanatory factor</w:t>
      </w:r>
    </w:p>
    <w:sectPr w:rsidR="003240F1" w:rsidRPr="003240F1" w:rsidSect="006B3730">
      <w:pgSz w:w="16838" w:h="11906" w:orient="landscape"/>
      <w:pgMar w:top="1440" w:right="1440" w:bottom="1440" w:left="144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5C8ED3" w16cex:dateUtc="2022-03-23T16:01:40.048Z"/>
  <w16cex:commentExtensible w16cex:durableId="7EB9DA82" w16cex:dateUtc="2022-03-23T16:08:06.972Z"/>
  <w16cex:commentExtensible w16cex:durableId="527ED673" w16cex:dateUtc="2022-03-23T16:08:35.357Z"/>
  <w16cex:commentExtensible w16cex:durableId="2FA59AAC" w16cex:dateUtc="2022-03-24T07:26:51.634Z"/>
  <w16cex:commentExtensible w16cex:durableId="4C943B73" w16cex:dateUtc="2022-03-24T07:27:42.29Z"/>
  <w16cex:commentExtensible w16cex:durableId="054A65C5" w16cex:dateUtc="2022-03-24T07:30:38.58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4B7EF" w14:textId="77777777" w:rsidR="00A7375F" w:rsidRDefault="00A7375F" w:rsidP="00E72F63">
      <w:pPr>
        <w:spacing w:after="0" w:line="240" w:lineRule="auto"/>
      </w:pPr>
      <w:r>
        <w:separator/>
      </w:r>
    </w:p>
  </w:endnote>
  <w:endnote w:type="continuationSeparator" w:id="0">
    <w:p w14:paraId="5BD751A3" w14:textId="77777777" w:rsidR="00A7375F" w:rsidRDefault="00A7375F" w:rsidP="00E7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0347" w14:textId="77777777" w:rsidR="0030590D" w:rsidRDefault="00305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450B8" w14:textId="77777777" w:rsidR="00A7375F" w:rsidRDefault="00A7375F" w:rsidP="00E72F63">
      <w:pPr>
        <w:spacing w:after="0" w:line="240" w:lineRule="auto"/>
      </w:pPr>
      <w:r>
        <w:separator/>
      </w:r>
    </w:p>
  </w:footnote>
  <w:footnote w:type="continuationSeparator" w:id="0">
    <w:p w14:paraId="04E8A779" w14:textId="77777777" w:rsidR="00A7375F" w:rsidRDefault="00A7375F" w:rsidP="00E72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148A9"/>
    <w:multiLevelType w:val="hybridMultilevel"/>
    <w:tmpl w:val="A65CB876"/>
    <w:lvl w:ilvl="0" w:tplc="963890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07F36"/>
    <w:multiLevelType w:val="hybridMultilevel"/>
    <w:tmpl w:val="B1301BBA"/>
    <w:lvl w:ilvl="0" w:tplc="AE6E3F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4125A"/>
    <w:multiLevelType w:val="hybridMultilevel"/>
    <w:tmpl w:val="61405382"/>
    <w:lvl w:ilvl="0" w:tplc="C5F4D6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BA6705"/>
    <w:multiLevelType w:val="hybridMultilevel"/>
    <w:tmpl w:val="C368F852"/>
    <w:lvl w:ilvl="0" w:tplc="0A107270">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642CDE"/>
    <w:multiLevelType w:val="hybridMultilevel"/>
    <w:tmpl w:val="0A40A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3528B5"/>
    <w:multiLevelType w:val="hybridMultilevel"/>
    <w:tmpl w:val="CC1CE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84552"/>
    <w:multiLevelType w:val="hybridMultilevel"/>
    <w:tmpl w:val="086ED826"/>
    <w:lvl w:ilvl="0" w:tplc="98522A2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E31C5"/>
    <w:multiLevelType w:val="hybridMultilevel"/>
    <w:tmpl w:val="D4A447BE"/>
    <w:lvl w:ilvl="0" w:tplc="C5F4D6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8B"/>
    <w:rsid w:val="00000020"/>
    <w:rsid w:val="00000272"/>
    <w:rsid w:val="00001EF7"/>
    <w:rsid w:val="00002436"/>
    <w:rsid w:val="00003228"/>
    <w:rsid w:val="0000383E"/>
    <w:rsid w:val="0000386B"/>
    <w:rsid w:val="00004AF3"/>
    <w:rsid w:val="00005365"/>
    <w:rsid w:val="000064F9"/>
    <w:rsid w:val="00006A99"/>
    <w:rsid w:val="00007B29"/>
    <w:rsid w:val="00010065"/>
    <w:rsid w:val="000101D6"/>
    <w:rsid w:val="0001281E"/>
    <w:rsid w:val="00013EF8"/>
    <w:rsid w:val="00015C14"/>
    <w:rsid w:val="0001629D"/>
    <w:rsid w:val="00016482"/>
    <w:rsid w:val="00017420"/>
    <w:rsid w:val="00017871"/>
    <w:rsid w:val="00020E1B"/>
    <w:rsid w:val="00022113"/>
    <w:rsid w:val="00023530"/>
    <w:rsid w:val="000246AA"/>
    <w:rsid w:val="00024E0C"/>
    <w:rsid w:val="0002532A"/>
    <w:rsid w:val="000256D6"/>
    <w:rsid w:val="00025C75"/>
    <w:rsid w:val="0003083C"/>
    <w:rsid w:val="00030F90"/>
    <w:rsid w:val="0003127A"/>
    <w:rsid w:val="00031605"/>
    <w:rsid w:val="0003194A"/>
    <w:rsid w:val="00031BF4"/>
    <w:rsid w:val="00031D88"/>
    <w:rsid w:val="00032817"/>
    <w:rsid w:val="00032E87"/>
    <w:rsid w:val="0003365E"/>
    <w:rsid w:val="00033ACB"/>
    <w:rsid w:val="0003514E"/>
    <w:rsid w:val="000361F7"/>
    <w:rsid w:val="00037094"/>
    <w:rsid w:val="0004025D"/>
    <w:rsid w:val="00043736"/>
    <w:rsid w:val="00043D8D"/>
    <w:rsid w:val="00044171"/>
    <w:rsid w:val="000444A0"/>
    <w:rsid w:val="000450A6"/>
    <w:rsid w:val="00045708"/>
    <w:rsid w:val="00045976"/>
    <w:rsid w:val="000461DE"/>
    <w:rsid w:val="0005043F"/>
    <w:rsid w:val="00050E3B"/>
    <w:rsid w:val="0005414E"/>
    <w:rsid w:val="00054E83"/>
    <w:rsid w:val="0005716A"/>
    <w:rsid w:val="000571FF"/>
    <w:rsid w:val="00057923"/>
    <w:rsid w:val="00057C20"/>
    <w:rsid w:val="000603D9"/>
    <w:rsid w:val="000609F6"/>
    <w:rsid w:val="00060EDE"/>
    <w:rsid w:val="000612B5"/>
    <w:rsid w:val="000620A3"/>
    <w:rsid w:val="00062D6F"/>
    <w:rsid w:val="00062E15"/>
    <w:rsid w:val="00063126"/>
    <w:rsid w:val="00064162"/>
    <w:rsid w:val="00064865"/>
    <w:rsid w:val="000656D5"/>
    <w:rsid w:val="00066340"/>
    <w:rsid w:val="00067BBC"/>
    <w:rsid w:val="000717E6"/>
    <w:rsid w:val="000718B5"/>
    <w:rsid w:val="00071C72"/>
    <w:rsid w:val="00072307"/>
    <w:rsid w:val="00072771"/>
    <w:rsid w:val="000735C9"/>
    <w:rsid w:val="00073B6F"/>
    <w:rsid w:val="00073BCD"/>
    <w:rsid w:val="00075695"/>
    <w:rsid w:val="000756C6"/>
    <w:rsid w:val="00075CE4"/>
    <w:rsid w:val="000760A1"/>
    <w:rsid w:val="00076559"/>
    <w:rsid w:val="000778D8"/>
    <w:rsid w:val="00081EF1"/>
    <w:rsid w:val="00083062"/>
    <w:rsid w:val="00084DA1"/>
    <w:rsid w:val="00085191"/>
    <w:rsid w:val="00085C05"/>
    <w:rsid w:val="000861A2"/>
    <w:rsid w:val="00086381"/>
    <w:rsid w:val="00086CAF"/>
    <w:rsid w:val="00087B92"/>
    <w:rsid w:val="00091415"/>
    <w:rsid w:val="000932A8"/>
    <w:rsid w:val="00093328"/>
    <w:rsid w:val="0009347F"/>
    <w:rsid w:val="00093A34"/>
    <w:rsid w:val="00093B60"/>
    <w:rsid w:val="000945A9"/>
    <w:rsid w:val="00095568"/>
    <w:rsid w:val="00096EAD"/>
    <w:rsid w:val="00097BFB"/>
    <w:rsid w:val="00097CAE"/>
    <w:rsid w:val="000A02A7"/>
    <w:rsid w:val="000A120F"/>
    <w:rsid w:val="000A15BE"/>
    <w:rsid w:val="000A2C16"/>
    <w:rsid w:val="000A2C9D"/>
    <w:rsid w:val="000A2E60"/>
    <w:rsid w:val="000A36F9"/>
    <w:rsid w:val="000A6094"/>
    <w:rsid w:val="000A6E0A"/>
    <w:rsid w:val="000A7ECB"/>
    <w:rsid w:val="000B05F0"/>
    <w:rsid w:val="000B07C6"/>
    <w:rsid w:val="000B20E2"/>
    <w:rsid w:val="000B2DCB"/>
    <w:rsid w:val="000B2E01"/>
    <w:rsid w:val="000B2E6B"/>
    <w:rsid w:val="000B365D"/>
    <w:rsid w:val="000B3907"/>
    <w:rsid w:val="000B3F55"/>
    <w:rsid w:val="000B4AF7"/>
    <w:rsid w:val="000B7949"/>
    <w:rsid w:val="000C3927"/>
    <w:rsid w:val="000C3D9D"/>
    <w:rsid w:val="000C3ED5"/>
    <w:rsid w:val="000C6D2C"/>
    <w:rsid w:val="000D19C4"/>
    <w:rsid w:val="000D2E1A"/>
    <w:rsid w:val="000D4D65"/>
    <w:rsid w:val="000D4EEA"/>
    <w:rsid w:val="000D5F9F"/>
    <w:rsid w:val="000D6B0C"/>
    <w:rsid w:val="000D7049"/>
    <w:rsid w:val="000E01EB"/>
    <w:rsid w:val="000E06AA"/>
    <w:rsid w:val="000E07B1"/>
    <w:rsid w:val="000E0D20"/>
    <w:rsid w:val="000E15EE"/>
    <w:rsid w:val="000E1CE5"/>
    <w:rsid w:val="000E2E67"/>
    <w:rsid w:val="000E3F3A"/>
    <w:rsid w:val="000E41AC"/>
    <w:rsid w:val="000E45BA"/>
    <w:rsid w:val="000E4B55"/>
    <w:rsid w:val="000E4CCE"/>
    <w:rsid w:val="000E57F0"/>
    <w:rsid w:val="000E7876"/>
    <w:rsid w:val="000F1BD1"/>
    <w:rsid w:val="000F1D90"/>
    <w:rsid w:val="000F23DE"/>
    <w:rsid w:val="000F270C"/>
    <w:rsid w:val="000F3918"/>
    <w:rsid w:val="000F4873"/>
    <w:rsid w:val="000F6116"/>
    <w:rsid w:val="000F7B0A"/>
    <w:rsid w:val="000F7B74"/>
    <w:rsid w:val="00100286"/>
    <w:rsid w:val="001006B9"/>
    <w:rsid w:val="0010166B"/>
    <w:rsid w:val="0010184B"/>
    <w:rsid w:val="00101F61"/>
    <w:rsid w:val="001021D6"/>
    <w:rsid w:val="00102E3F"/>
    <w:rsid w:val="00104E74"/>
    <w:rsid w:val="0010517F"/>
    <w:rsid w:val="00110643"/>
    <w:rsid w:val="001107D2"/>
    <w:rsid w:val="00111A3C"/>
    <w:rsid w:val="00114558"/>
    <w:rsid w:val="001146CA"/>
    <w:rsid w:val="0011760A"/>
    <w:rsid w:val="00121F3F"/>
    <w:rsid w:val="00121F9D"/>
    <w:rsid w:val="00122692"/>
    <w:rsid w:val="00124B65"/>
    <w:rsid w:val="0012553C"/>
    <w:rsid w:val="001274AD"/>
    <w:rsid w:val="00130C5A"/>
    <w:rsid w:val="0013116C"/>
    <w:rsid w:val="00131B3F"/>
    <w:rsid w:val="00132334"/>
    <w:rsid w:val="00133758"/>
    <w:rsid w:val="001339C0"/>
    <w:rsid w:val="00133DCB"/>
    <w:rsid w:val="00133FE7"/>
    <w:rsid w:val="001350E8"/>
    <w:rsid w:val="00135609"/>
    <w:rsid w:val="00135E9B"/>
    <w:rsid w:val="00140722"/>
    <w:rsid w:val="00141500"/>
    <w:rsid w:val="001415B3"/>
    <w:rsid w:val="00141A1B"/>
    <w:rsid w:val="00145B35"/>
    <w:rsid w:val="00145B89"/>
    <w:rsid w:val="00145F27"/>
    <w:rsid w:val="00145FBF"/>
    <w:rsid w:val="001466FD"/>
    <w:rsid w:val="00147797"/>
    <w:rsid w:val="00150C8E"/>
    <w:rsid w:val="00151104"/>
    <w:rsid w:val="00153642"/>
    <w:rsid w:val="00155C87"/>
    <w:rsid w:val="00156696"/>
    <w:rsid w:val="001573CE"/>
    <w:rsid w:val="00160753"/>
    <w:rsid w:val="00160E2F"/>
    <w:rsid w:val="00161630"/>
    <w:rsid w:val="00161BB1"/>
    <w:rsid w:val="00163BCC"/>
    <w:rsid w:val="00163E80"/>
    <w:rsid w:val="00163F39"/>
    <w:rsid w:val="001645A7"/>
    <w:rsid w:val="00165C56"/>
    <w:rsid w:val="00165D9C"/>
    <w:rsid w:val="00167FCB"/>
    <w:rsid w:val="0017068C"/>
    <w:rsid w:val="00173388"/>
    <w:rsid w:val="001750E5"/>
    <w:rsid w:val="001757E3"/>
    <w:rsid w:val="001761FC"/>
    <w:rsid w:val="001761FF"/>
    <w:rsid w:val="00177710"/>
    <w:rsid w:val="001800EE"/>
    <w:rsid w:val="00180466"/>
    <w:rsid w:val="00180B2F"/>
    <w:rsid w:val="001821EA"/>
    <w:rsid w:val="00183BC8"/>
    <w:rsid w:val="00183BF3"/>
    <w:rsid w:val="00183D92"/>
    <w:rsid w:val="001846A9"/>
    <w:rsid w:val="001848AD"/>
    <w:rsid w:val="001852B8"/>
    <w:rsid w:val="0018540D"/>
    <w:rsid w:val="00185890"/>
    <w:rsid w:val="00186080"/>
    <w:rsid w:val="0018632C"/>
    <w:rsid w:val="00186A84"/>
    <w:rsid w:val="00186E21"/>
    <w:rsid w:val="0018756C"/>
    <w:rsid w:val="00190A03"/>
    <w:rsid w:val="00190E33"/>
    <w:rsid w:val="0019156D"/>
    <w:rsid w:val="00191624"/>
    <w:rsid w:val="00192ADB"/>
    <w:rsid w:val="001931AA"/>
    <w:rsid w:val="00193857"/>
    <w:rsid w:val="00195A0E"/>
    <w:rsid w:val="00196D1B"/>
    <w:rsid w:val="00196D6D"/>
    <w:rsid w:val="001A1607"/>
    <w:rsid w:val="001A1F2B"/>
    <w:rsid w:val="001A2975"/>
    <w:rsid w:val="001A38BE"/>
    <w:rsid w:val="001A4E34"/>
    <w:rsid w:val="001A5704"/>
    <w:rsid w:val="001A57AC"/>
    <w:rsid w:val="001B1B92"/>
    <w:rsid w:val="001B222A"/>
    <w:rsid w:val="001B3D49"/>
    <w:rsid w:val="001B3E6B"/>
    <w:rsid w:val="001B64E7"/>
    <w:rsid w:val="001C1096"/>
    <w:rsid w:val="001C1376"/>
    <w:rsid w:val="001C1E9D"/>
    <w:rsid w:val="001C30DD"/>
    <w:rsid w:val="001C34D5"/>
    <w:rsid w:val="001C52EC"/>
    <w:rsid w:val="001D0BAE"/>
    <w:rsid w:val="001D1344"/>
    <w:rsid w:val="001D1C17"/>
    <w:rsid w:val="001D286A"/>
    <w:rsid w:val="001D4837"/>
    <w:rsid w:val="001D48A6"/>
    <w:rsid w:val="001D5103"/>
    <w:rsid w:val="001D62AF"/>
    <w:rsid w:val="001D72EA"/>
    <w:rsid w:val="001D75F3"/>
    <w:rsid w:val="001D7936"/>
    <w:rsid w:val="001D798E"/>
    <w:rsid w:val="001D7A77"/>
    <w:rsid w:val="001D7CA3"/>
    <w:rsid w:val="001D7F42"/>
    <w:rsid w:val="001E10E3"/>
    <w:rsid w:val="001E14A6"/>
    <w:rsid w:val="001E1593"/>
    <w:rsid w:val="001E17FB"/>
    <w:rsid w:val="001E18A6"/>
    <w:rsid w:val="001E18FE"/>
    <w:rsid w:val="001E24F7"/>
    <w:rsid w:val="001E2F25"/>
    <w:rsid w:val="001E424D"/>
    <w:rsid w:val="001E473F"/>
    <w:rsid w:val="001E4861"/>
    <w:rsid w:val="001E504B"/>
    <w:rsid w:val="001E6637"/>
    <w:rsid w:val="001F0C85"/>
    <w:rsid w:val="001F0DF2"/>
    <w:rsid w:val="001F2310"/>
    <w:rsid w:val="001F2BFC"/>
    <w:rsid w:val="001F3550"/>
    <w:rsid w:val="001F433C"/>
    <w:rsid w:val="001F6B1E"/>
    <w:rsid w:val="001F73F6"/>
    <w:rsid w:val="001F75D2"/>
    <w:rsid w:val="00201ECB"/>
    <w:rsid w:val="002031A0"/>
    <w:rsid w:val="002032CC"/>
    <w:rsid w:val="00205662"/>
    <w:rsid w:val="00205840"/>
    <w:rsid w:val="00206AE0"/>
    <w:rsid w:val="00207ABE"/>
    <w:rsid w:val="00210479"/>
    <w:rsid w:val="00211406"/>
    <w:rsid w:val="0021305F"/>
    <w:rsid w:val="00213D0D"/>
    <w:rsid w:val="00214BE4"/>
    <w:rsid w:val="00214FFE"/>
    <w:rsid w:val="00215CC0"/>
    <w:rsid w:val="00217258"/>
    <w:rsid w:val="00217674"/>
    <w:rsid w:val="0021797E"/>
    <w:rsid w:val="002213CC"/>
    <w:rsid w:val="00222762"/>
    <w:rsid w:val="00223D2D"/>
    <w:rsid w:val="00223E5D"/>
    <w:rsid w:val="002251E4"/>
    <w:rsid w:val="00227DCB"/>
    <w:rsid w:val="00231782"/>
    <w:rsid w:val="00231E51"/>
    <w:rsid w:val="00232193"/>
    <w:rsid w:val="00233757"/>
    <w:rsid w:val="00233A29"/>
    <w:rsid w:val="00234658"/>
    <w:rsid w:val="00235393"/>
    <w:rsid w:val="0023631F"/>
    <w:rsid w:val="0024040C"/>
    <w:rsid w:val="002408AB"/>
    <w:rsid w:val="002410BA"/>
    <w:rsid w:val="002434FA"/>
    <w:rsid w:val="002440F4"/>
    <w:rsid w:val="0024479A"/>
    <w:rsid w:val="0024786E"/>
    <w:rsid w:val="0025057F"/>
    <w:rsid w:val="002506B2"/>
    <w:rsid w:val="00251B84"/>
    <w:rsid w:val="00252C5F"/>
    <w:rsid w:val="00252D46"/>
    <w:rsid w:val="00253686"/>
    <w:rsid w:val="00253C3B"/>
    <w:rsid w:val="002548B1"/>
    <w:rsid w:val="002550CF"/>
    <w:rsid w:val="0025597E"/>
    <w:rsid w:val="00255B50"/>
    <w:rsid w:val="00255BA7"/>
    <w:rsid w:val="00256A64"/>
    <w:rsid w:val="0025723C"/>
    <w:rsid w:val="00257EE7"/>
    <w:rsid w:val="00260555"/>
    <w:rsid w:val="00261A10"/>
    <w:rsid w:val="00261CF5"/>
    <w:rsid w:val="0026577F"/>
    <w:rsid w:val="00265AF6"/>
    <w:rsid w:val="002676FA"/>
    <w:rsid w:val="002708CD"/>
    <w:rsid w:val="00271608"/>
    <w:rsid w:val="0027224C"/>
    <w:rsid w:val="00272B27"/>
    <w:rsid w:val="00273BA3"/>
    <w:rsid w:val="00274271"/>
    <w:rsid w:val="00274899"/>
    <w:rsid w:val="002749B5"/>
    <w:rsid w:val="002756F9"/>
    <w:rsid w:val="00275755"/>
    <w:rsid w:val="002760A2"/>
    <w:rsid w:val="00277B3F"/>
    <w:rsid w:val="00280AC3"/>
    <w:rsid w:val="002811D6"/>
    <w:rsid w:val="00281EF9"/>
    <w:rsid w:val="00282C1C"/>
    <w:rsid w:val="002834C5"/>
    <w:rsid w:val="00283D9B"/>
    <w:rsid w:val="002846A6"/>
    <w:rsid w:val="00285AB1"/>
    <w:rsid w:val="00285BF8"/>
    <w:rsid w:val="00286BC4"/>
    <w:rsid w:val="00286D17"/>
    <w:rsid w:val="00286F78"/>
    <w:rsid w:val="00287074"/>
    <w:rsid w:val="0028779F"/>
    <w:rsid w:val="0029108B"/>
    <w:rsid w:val="0029119E"/>
    <w:rsid w:val="00291777"/>
    <w:rsid w:val="002928EA"/>
    <w:rsid w:val="00293C78"/>
    <w:rsid w:val="002946ED"/>
    <w:rsid w:val="00294840"/>
    <w:rsid w:val="00295AF7"/>
    <w:rsid w:val="00296F0E"/>
    <w:rsid w:val="0029762E"/>
    <w:rsid w:val="00297947"/>
    <w:rsid w:val="00297CA3"/>
    <w:rsid w:val="002A012C"/>
    <w:rsid w:val="002A0A0C"/>
    <w:rsid w:val="002A1FEE"/>
    <w:rsid w:val="002A25CC"/>
    <w:rsid w:val="002A3777"/>
    <w:rsid w:val="002A7573"/>
    <w:rsid w:val="002A770A"/>
    <w:rsid w:val="002A77D0"/>
    <w:rsid w:val="002B0EB2"/>
    <w:rsid w:val="002B130B"/>
    <w:rsid w:val="002B1B01"/>
    <w:rsid w:val="002B1DE8"/>
    <w:rsid w:val="002B2DFF"/>
    <w:rsid w:val="002B2EB3"/>
    <w:rsid w:val="002B59B8"/>
    <w:rsid w:val="002B5D27"/>
    <w:rsid w:val="002B7174"/>
    <w:rsid w:val="002C06B4"/>
    <w:rsid w:val="002C2003"/>
    <w:rsid w:val="002C2EA9"/>
    <w:rsid w:val="002C6255"/>
    <w:rsid w:val="002C6349"/>
    <w:rsid w:val="002C70FB"/>
    <w:rsid w:val="002C71C8"/>
    <w:rsid w:val="002C7EE9"/>
    <w:rsid w:val="002D0E9A"/>
    <w:rsid w:val="002D1351"/>
    <w:rsid w:val="002D1863"/>
    <w:rsid w:val="002D1C8D"/>
    <w:rsid w:val="002D2044"/>
    <w:rsid w:val="002D2108"/>
    <w:rsid w:val="002D2E9A"/>
    <w:rsid w:val="002D2F59"/>
    <w:rsid w:val="002D55E6"/>
    <w:rsid w:val="002D74B3"/>
    <w:rsid w:val="002D772D"/>
    <w:rsid w:val="002E15E5"/>
    <w:rsid w:val="002E1AA1"/>
    <w:rsid w:val="002E200F"/>
    <w:rsid w:val="002E20B8"/>
    <w:rsid w:val="002E2138"/>
    <w:rsid w:val="002E255C"/>
    <w:rsid w:val="002E2C81"/>
    <w:rsid w:val="002E3973"/>
    <w:rsid w:val="002E438C"/>
    <w:rsid w:val="002E50EB"/>
    <w:rsid w:val="002E5406"/>
    <w:rsid w:val="002E5628"/>
    <w:rsid w:val="002E5CFD"/>
    <w:rsid w:val="002E6F36"/>
    <w:rsid w:val="002E766E"/>
    <w:rsid w:val="002F0B67"/>
    <w:rsid w:val="002F0D2F"/>
    <w:rsid w:val="002F0E3B"/>
    <w:rsid w:val="002F2788"/>
    <w:rsid w:val="002F2BC6"/>
    <w:rsid w:val="002F2F67"/>
    <w:rsid w:val="002F470E"/>
    <w:rsid w:val="002F4C98"/>
    <w:rsid w:val="002F672F"/>
    <w:rsid w:val="002F76DC"/>
    <w:rsid w:val="003001A9"/>
    <w:rsid w:val="00300F51"/>
    <w:rsid w:val="00301B7C"/>
    <w:rsid w:val="0030439C"/>
    <w:rsid w:val="003051EE"/>
    <w:rsid w:val="0030590D"/>
    <w:rsid w:val="003065AC"/>
    <w:rsid w:val="0031058C"/>
    <w:rsid w:val="00310A88"/>
    <w:rsid w:val="00310CC4"/>
    <w:rsid w:val="0031168C"/>
    <w:rsid w:val="003120C9"/>
    <w:rsid w:val="00312B57"/>
    <w:rsid w:val="003137BC"/>
    <w:rsid w:val="00314F10"/>
    <w:rsid w:val="003155D4"/>
    <w:rsid w:val="00316DBD"/>
    <w:rsid w:val="003214E5"/>
    <w:rsid w:val="003218E2"/>
    <w:rsid w:val="00321F39"/>
    <w:rsid w:val="003240F1"/>
    <w:rsid w:val="00324549"/>
    <w:rsid w:val="0032499C"/>
    <w:rsid w:val="00324BC3"/>
    <w:rsid w:val="00324D26"/>
    <w:rsid w:val="0032524F"/>
    <w:rsid w:val="003271C2"/>
    <w:rsid w:val="0032783B"/>
    <w:rsid w:val="0033151A"/>
    <w:rsid w:val="00331D51"/>
    <w:rsid w:val="003323F3"/>
    <w:rsid w:val="00333998"/>
    <w:rsid w:val="00333B4D"/>
    <w:rsid w:val="003368B2"/>
    <w:rsid w:val="00337747"/>
    <w:rsid w:val="0033798D"/>
    <w:rsid w:val="00340200"/>
    <w:rsid w:val="00341293"/>
    <w:rsid w:val="00342805"/>
    <w:rsid w:val="0034358F"/>
    <w:rsid w:val="0034394E"/>
    <w:rsid w:val="0034523E"/>
    <w:rsid w:val="003452F8"/>
    <w:rsid w:val="00345BEF"/>
    <w:rsid w:val="0035021C"/>
    <w:rsid w:val="0035193B"/>
    <w:rsid w:val="00351FA5"/>
    <w:rsid w:val="00354A26"/>
    <w:rsid w:val="003551F3"/>
    <w:rsid w:val="003565A7"/>
    <w:rsid w:val="003566D7"/>
    <w:rsid w:val="003568D6"/>
    <w:rsid w:val="00357129"/>
    <w:rsid w:val="00357C64"/>
    <w:rsid w:val="00360613"/>
    <w:rsid w:val="00360CA1"/>
    <w:rsid w:val="00361068"/>
    <w:rsid w:val="00362A41"/>
    <w:rsid w:val="003633DF"/>
    <w:rsid w:val="00363D67"/>
    <w:rsid w:val="0036407A"/>
    <w:rsid w:val="00365A0E"/>
    <w:rsid w:val="00365CD6"/>
    <w:rsid w:val="00371663"/>
    <w:rsid w:val="003716EE"/>
    <w:rsid w:val="003723CF"/>
    <w:rsid w:val="003728F3"/>
    <w:rsid w:val="00373DA6"/>
    <w:rsid w:val="0037452D"/>
    <w:rsid w:val="00374BA8"/>
    <w:rsid w:val="0037526D"/>
    <w:rsid w:val="003768A7"/>
    <w:rsid w:val="0037694A"/>
    <w:rsid w:val="00376DEE"/>
    <w:rsid w:val="0037735B"/>
    <w:rsid w:val="003774A4"/>
    <w:rsid w:val="00377B51"/>
    <w:rsid w:val="003801DB"/>
    <w:rsid w:val="00380F39"/>
    <w:rsid w:val="003836A6"/>
    <w:rsid w:val="00383773"/>
    <w:rsid w:val="00384070"/>
    <w:rsid w:val="003902F8"/>
    <w:rsid w:val="00391292"/>
    <w:rsid w:val="00394259"/>
    <w:rsid w:val="003947BE"/>
    <w:rsid w:val="00394BDD"/>
    <w:rsid w:val="00394F64"/>
    <w:rsid w:val="003958E7"/>
    <w:rsid w:val="00395B00"/>
    <w:rsid w:val="00395B7D"/>
    <w:rsid w:val="00396DB0"/>
    <w:rsid w:val="00396EFB"/>
    <w:rsid w:val="003A03C8"/>
    <w:rsid w:val="003A1A3C"/>
    <w:rsid w:val="003A216B"/>
    <w:rsid w:val="003A28CD"/>
    <w:rsid w:val="003A4724"/>
    <w:rsid w:val="003A4870"/>
    <w:rsid w:val="003A4C1B"/>
    <w:rsid w:val="003A4C74"/>
    <w:rsid w:val="003A58AD"/>
    <w:rsid w:val="003A5AFD"/>
    <w:rsid w:val="003A6940"/>
    <w:rsid w:val="003A6C6F"/>
    <w:rsid w:val="003A73E9"/>
    <w:rsid w:val="003B0479"/>
    <w:rsid w:val="003B0BE3"/>
    <w:rsid w:val="003B4E28"/>
    <w:rsid w:val="003B50D3"/>
    <w:rsid w:val="003B5EE9"/>
    <w:rsid w:val="003B6062"/>
    <w:rsid w:val="003B6A33"/>
    <w:rsid w:val="003B6E96"/>
    <w:rsid w:val="003C1C86"/>
    <w:rsid w:val="003C1DA2"/>
    <w:rsid w:val="003C2529"/>
    <w:rsid w:val="003C2E0D"/>
    <w:rsid w:val="003C58D2"/>
    <w:rsid w:val="003C61BD"/>
    <w:rsid w:val="003C6CF7"/>
    <w:rsid w:val="003C6DAD"/>
    <w:rsid w:val="003C7183"/>
    <w:rsid w:val="003C726C"/>
    <w:rsid w:val="003D08E4"/>
    <w:rsid w:val="003D1E5D"/>
    <w:rsid w:val="003D279A"/>
    <w:rsid w:val="003D3569"/>
    <w:rsid w:val="003D54B0"/>
    <w:rsid w:val="003E17F0"/>
    <w:rsid w:val="003E1C71"/>
    <w:rsid w:val="003E2AF8"/>
    <w:rsid w:val="003E2DEA"/>
    <w:rsid w:val="003E3808"/>
    <w:rsid w:val="003E3C78"/>
    <w:rsid w:val="003E448B"/>
    <w:rsid w:val="003E567F"/>
    <w:rsid w:val="003E6103"/>
    <w:rsid w:val="003E6778"/>
    <w:rsid w:val="003E7291"/>
    <w:rsid w:val="003E7B7F"/>
    <w:rsid w:val="003F0D51"/>
    <w:rsid w:val="003F0F84"/>
    <w:rsid w:val="003F25EC"/>
    <w:rsid w:val="003F2689"/>
    <w:rsid w:val="003F271D"/>
    <w:rsid w:val="003F2BB6"/>
    <w:rsid w:val="003F34D3"/>
    <w:rsid w:val="003F3527"/>
    <w:rsid w:val="003F43B2"/>
    <w:rsid w:val="003F4563"/>
    <w:rsid w:val="003F4584"/>
    <w:rsid w:val="003F47EC"/>
    <w:rsid w:val="003F4B6C"/>
    <w:rsid w:val="003F4EC9"/>
    <w:rsid w:val="003F65D4"/>
    <w:rsid w:val="004007AF"/>
    <w:rsid w:val="00401D98"/>
    <w:rsid w:val="004031A2"/>
    <w:rsid w:val="00403495"/>
    <w:rsid w:val="00404C01"/>
    <w:rsid w:val="00406E23"/>
    <w:rsid w:val="004111AF"/>
    <w:rsid w:val="00411258"/>
    <w:rsid w:val="00411A2D"/>
    <w:rsid w:val="00411F51"/>
    <w:rsid w:val="00412D8C"/>
    <w:rsid w:val="00414381"/>
    <w:rsid w:val="004147D3"/>
    <w:rsid w:val="0041552C"/>
    <w:rsid w:val="00415E10"/>
    <w:rsid w:val="00415EF9"/>
    <w:rsid w:val="004171DE"/>
    <w:rsid w:val="004204FD"/>
    <w:rsid w:val="00420D2F"/>
    <w:rsid w:val="0042150A"/>
    <w:rsid w:val="0042344C"/>
    <w:rsid w:val="00424189"/>
    <w:rsid w:val="0042469F"/>
    <w:rsid w:val="00425CA7"/>
    <w:rsid w:val="00426FDD"/>
    <w:rsid w:val="004270BA"/>
    <w:rsid w:val="00430C60"/>
    <w:rsid w:val="00430F9E"/>
    <w:rsid w:val="004316A1"/>
    <w:rsid w:val="004330DB"/>
    <w:rsid w:val="004335EF"/>
    <w:rsid w:val="00440CE8"/>
    <w:rsid w:val="004413C2"/>
    <w:rsid w:val="00443BF8"/>
    <w:rsid w:val="004469CB"/>
    <w:rsid w:val="00447257"/>
    <w:rsid w:val="004508B2"/>
    <w:rsid w:val="00450920"/>
    <w:rsid w:val="004515E0"/>
    <w:rsid w:val="0045253D"/>
    <w:rsid w:val="00452EB3"/>
    <w:rsid w:val="00453A90"/>
    <w:rsid w:val="00454461"/>
    <w:rsid w:val="004544C7"/>
    <w:rsid w:val="00454B8C"/>
    <w:rsid w:val="0045545B"/>
    <w:rsid w:val="004556AD"/>
    <w:rsid w:val="00455CA1"/>
    <w:rsid w:val="0046014D"/>
    <w:rsid w:val="00460A6F"/>
    <w:rsid w:val="00462C4E"/>
    <w:rsid w:val="004634C1"/>
    <w:rsid w:val="00466EDA"/>
    <w:rsid w:val="004701F5"/>
    <w:rsid w:val="004716A9"/>
    <w:rsid w:val="00471ED2"/>
    <w:rsid w:val="00473080"/>
    <w:rsid w:val="00473245"/>
    <w:rsid w:val="00473735"/>
    <w:rsid w:val="004756B4"/>
    <w:rsid w:val="004778D9"/>
    <w:rsid w:val="0048101C"/>
    <w:rsid w:val="00483235"/>
    <w:rsid w:val="00484F92"/>
    <w:rsid w:val="004852C3"/>
    <w:rsid w:val="00485359"/>
    <w:rsid w:val="0048580D"/>
    <w:rsid w:val="0049199A"/>
    <w:rsid w:val="00492046"/>
    <w:rsid w:val="00494047"/>
    <w:rsid w:val="00496036"/>
    <w:rsid w:val="00496811"/>
    <w:rsid w:val="004A0F18"/>
    <w:rsid w:val="004A209A"/>
    <w:rsid w:val="004A2441"/>
    <w:rsid w:val="004A31D0"/>
    <w:rsid w:val="004A49D2"/>
    <w:rsid w:val="004A5BA5"/>
    <w:rsid w:val="004A5CF7"/>
    <w:rsid w:val="004A667C"/>
    <w:rsid w:val="004A76B1"/>
    <w:rsid w:val="004A7797"/>
    <w:rsid w:val="004A7B2E"/>
    <w:rsid w:val="004B0F99"/>
    <w:rsid w:val="004B1FA9"/>
    <w:rsid w:val="004B26E0"/>
    <w:rsid w:val="004B386D"/>
    <w:rsid w:val="004B4564"/>
    <w:rsid w:val="004B4C22"/>
    <w:rsid w:val="004B4E4C"/>
    <w:rsid w:val="004B60BB"/>
    <w:rsid w:val="004B6F65"/>
    <w:rsid w:val="004B71DC"/>
    <w:rsid w:val="004B7998"/>
    <w:rsid w:val="004C1429"/>
    <w:rsid w:val="004C3EB8"/>
    <w:rsid w:val="004C704F"/>
    <w:rsid w:val="004C7FB8"/>
    <w:rsid w:val="004D1545"/>
    <w:rsid w:val="004D1786"/>
    <w:rsid w:val="004D2A0D"/>
    <w:rsid w:val="004D3C93"/>
    <w:rsid w:val="004D4D66"/>
    <w:rsid w:val="004D5142"/>
    <w:rsid w:val="004D552F"/>
    <w:rsid w:val="004D622E"/>
    <w:rsid w:val="004D63EE"/>
    <w:rsid w:val="004D70A2"/>
    <w:rsid w:val="004E0D2E"/>
    <w:rsid w:val="004E1854"/>
    <w:rsid w:val="004E1F90"/>
    <w:rsid w:val="004E295E"/>
    <w:rsid w:val="004E31AE"/>
    <w:rsid w:val="004E5716"/>
    <w:rsid w:val="004E6B55"/>
    <w:rsid w:val="004E7165"/>
    <w:rsid w:val="004F0D39"/>
    <w:rsid w:val="004F12A3"/>
    <w:rsid w:val="004F141D"/>
    <w:rsid w:val="004F1997"/>
    <w:rsid w:val="004F21FD"/>
    <w:rsid w:val="004F2FA7"/>
    <w:rsid w:val="004F3423"/>
    <w:rsid w:val="004F389E"/>
    <w:rsid w:val="004F3DC0"/>
    <w:rsid w:val="004F49E2"/>
    <w:rsid w:val="004F7433"/>
    <w:rsid w:val="004F777D"/>
    <w:rsid w:val="00500097"/>
    <w:rsid w:val="00500111"/>
    <w:rsid w:val="00500F67"/>
    <w:rsid w:val="0050298C"/>
    <w:rsid w:val="00502B39"/>
    <w:rsid w:val="00503FB1"/>
    <w:rsid w:val="00506C0D"/>
    <w:rsid w:val="00510419"/>
    <w:rsid w:val="00511E5D"/>
    <w:rsid w:val="00511E72"/>
    <w:rsid w:val="005123FE"/>
    <w:rsid w:val="00512702"/>
    <w:rsid w:val="00512927"/>
    <w:rsid w:val="00512C42"/>
    <w:rsid w:val="0051365E"/>
    <w:rsid w:val="00513F0F"/>
    <w:rsid w:val="0051503A"/>
    <w:rsid w:val="005155F2"/>
    <w:rsid w:val="00517D5C"/>
    <w:rsid w:val="0052007B"/>
    <w:rsid w:val="00520369"/>
    <w:rsid w:val="00520506"/>
    <w:rsid w:val="0052152E"/>
    <w:rsid w:val="005227A0"/>
    <w:rsid w:val="00522A1E"/>
    <w:rsid w:val="00522B5C"/>
    <w:rsid w:val="00522F2B"/>
    <w:rsid w:val="00523646"/>
    <w:rsid w:val="005242A6"/>
    <w:rsid w:val="00524DB9"/>
    <w:rsid w:val="00524E9F"/>
    <w:rsid w:val="00525509"/>
    <w:rsid w:val="00526C72"/>
    <w:rsid w:val="00526E79"/>
    <w:rsid w:val="00526F60"/>
    <w:rsid w:val="00527495"/>
    <w:rsid w:val="0053030D"/>
    <w:rsid w:val="005311DE"/>
    <w:rsid w:val="005335B8"/>
    <w:rsid w:val="00533D54"/>
    <w:rsid w:val="0053443B"/>
    <w:rsid w:val="0053478A"/>
    <w:rsid w:val="0053569A"/>
    <w:rsid w:val="00536907"/>
    <w:rsid w:val="00536A65"/>
    <w:rsid w:val="00540C23"/>
    <w:rsid w:val="0054120E"/>
    <w:rsid w:val="00542137"/>
    <w:rsid w:val="0054424F"/>
    <w:rsid w:val="00545F47"/>
    <w:rsid w:val="00546825"/>
    <w:rsid w:val="005502A6"/>
    <w:rsid w:val="00551A19"/>
    <w:rsid w:val="005524F9"/>
    <w:rsid w:val="00552703"/>
    <w:rsid w:val="00553719"/>
    <w:rsid w:val="005539CF"/>
    <w:rsid w:val="00553E92"/>
    <w:rsid w:val="005557B7"/>
    <w:rsid w:val="005559A2"/>
    <w:rsid w:val="0055693A"/>
    <w:rsid w:val="005570BD"/>
    <w:rsid w:val="00557AE2"/>
    <w:rsid w:val="00560203"/>
    <w:rsid w:val="00560CB2"/>
    <w:rsid w:val="00561041"/>
    <w:rsid w:val="00561119"/>
    <w:rsid w:val="0056223E"/>
    <w:rsid w:val="0056296F"/>
    <w:rsid w:val="00562FD4"/>
    <w:rsid w:val="00563212"/>
    <w:rsid w:val="0056470E"/>
    <w:rsid w:val="005650C1"/>
    <w:rsid w:val="005654C2"/>
    <w:rsid w:val="005670BF"/>
    <w:rsid w:val="005672A0"/>
    <w:rsid w:val="00567984"/>
    <w:rsid w:val="005679FA"/>
    <w:rsid w:val="00570957"/>
    <w:rsid w:val="00571493"/>
    <w:rsid w:val="00571ED2"/>
    <w:rsid w:val="00573125"/>
    <w:rsid w:val="00573CF4"/>
    <w:rsid w:val="0057518E"/>
    <w:rsid w:val="00575865"/>
    <w:rsid w:val="0057620D"/>
    <w:rsid w:val="0057639F"/>
    <w:rsid w:val="005765C5"/>
    <w:rsid w:val="00577B84"/>
    <w:rsid w:val="00577E5E"/>
    <w:rsid w:val="005803C2"/>
    <w:rsid w:val="005804EC"/>
    <w:rsid w:val="00584DDC"/>
    <w:rsid w:val="00584E67"/>
    <w:rsid w:val="00590B6D"/>
    <w:rsid w:val="00592C2E"/>
    <w:rsid w:val="005942A1"/>
    <w:rsid w:val="00594743"/>
    <w:rsid w:val="00594CB6"/>
    <w:rsid w:val="005957AA"/>
    <w:rsid w:val="00596104"/>
    <w:rsid w:val="00596F62"/>
    <w:rsid w:val="00597A2E"/>
    <w:rsid w:val="005A1ADD"/>
    <w:rsid w:val="005A1E02"/>
    <w:rsid w:val="005A20AC"/>
    <w:rsid w:val="005A27DD"/>
    <w:rsid w:val="005A28FB"/>
    <w:rsid w:val="005A29F8"/>
    <w:rsid w:val="005A3A4D"/>
    <w:rsid w:val="005A43CD"/>
    <w:rsid w:val="005A561E"/>
    <w:rsid w:val="005A7D61"/>
    <w:rsid w:val="005B01E9"/>
    <w:rsid w:val="005B0870"/>
    <w:rsid w:val="005B0DE6"/>
    <w:rsid w:val="005B2666"/>
    <w:rsid w:val="005B2875"/>
    <w:rsid w:val="005B2934"/>
    <w:rsid w:val="005B2A41"/>
    <w:rsid w:val="005B2E0F"/>
    <w:rsid w:val="005B4375"/>
    <w:rsid w:val="005B44BE"/>
    <w:rsid w:val="005B5272"/>
    <w:rsid w:val="005B6738"/>
    <w:rsid w:val="005B6D7D"/>
    <w:rsid w:val="005B6D84"/>
    <w:rsid w:val="005C05FB"/>
    <w:rsid w:val="005C1F51"/>
    <w:rsid w:val="005C1FEF"/>
    <w:rsid w:val="005C25CA"/>
    <w:rsid w:val="005C2E1E"/>
    <w:rsid w:val="005C2F30"/>
    <w:rsid w:val="005C3852"/>
    <w:rsid w:val="005C467F"/>
    <w:rsid w:val="005C4BA3"/>
    <w:rsid w:val="005C5A8A"/>
    <w:rsid w:val="005C6294"/>
    <w:rsid w:val="005C77BE"/>
    <w:rsid w:val="005C7F9F"/>
    <w:rsid w:val="005D0875"/>
    <w:rsid w:val="005D162F"/>
    <w:rsid w:val="005D3FA4"/>
    <w:rsid w:val="005D4C13"/>
    <w:rsid w:val="005D7287"/>
    <w:rsid w:val="005D7DDC"/>
    <w:rsid w:val="005D7E8A"/>
    <w:rsid w:val="005E10EA"/>
    <w:rsid w:val="005E1515"/>
    <w:rsid w:val="005E3B30"/>
    <w:rsid w:val="005E3EDC"/>
    <w:rsid w:val="005E3F08"/>
    <w:rsid w:val="005E4832"/>
    <w:rsid w:val="005E4E13"/>
    <w:rsid w:val="005E4EC9"/>
    <w:rsid w:val="005E7743"/>
    <w:rsid w:val="005E7D8D"/>
    <w:rsid w:val="005E7E4E"/>
    <w:rsid w:val="005F0C82"/>
    <w:rsid w:val="005F194F"/>
    <w:rsid w:val="005F3186"/>
    <w:rsid w:val="005F4DEA"/>
    <w:rsid w:val="005F57C7"/>
    <w:rsid w:val="005F72F3"/>
    <w:rsid w:val="0060183C"/>
    <w:rsid w:val="00601AEF"/>
    <w:rsid w:val="00602838"/>
    <w:rsid w:val="00602FA2"/>
    <w:rsid w:val="00603530"/>
    <w:rsid w:val="0060385E"/>
    <w:rsid w:val="00604FFB"/>
    <w:rsid w:val="00605441"/>
    <w:rsid w:val="00605C27"/>
    <w:rsid w:val="00606BE5"/>
    <w:rsid w:val="00607485"/>
    <w:rsid w:val="006078E9"/>
    <w:rsid w:val="0061491B"/>
    <w:rsid w:val="00615EE0"/>
    <w:rsid w:val="00616000"/>
    <w:rsid w:val="006203BB"/>
    <w:rsid w:val="00620A27"/>
    <w:rsid w:val="006266BF"/>
    <w:rsid w:val="00630954"/>
    <w:rsid w:val="00630B36"/>
    <w:rsid w:val="0063150C"/>
    <w:rsid w:val="00631BB1"/>
    <w:rsid w:val="0063203A"/>
    <w:rsid w:val="006321B2"/>
    <w:rsid w:val="006329E0"/>
    <w:rsid w:val="0063385C"/>
    <w:rsid w:val="006343C1"/>
    <w:rsid w:val="006343DB"/>
    <w:rsid w:val="0063497C"/>
    <w:rsid w:val="0063530B"/>
    <w:rsid w:val="00636DF7"/>
    <w:rsid w:val="0064072D"/>
    <w:rsid w:val="00640B84"/>
    <w:rsid w:val="00640F81"/>
    <w:rsid w:val="00641016"/>
    <w:rsid w:val="006412BF"/>
    <w:rsid w:val="00643E66"/>
    <w:rsid w:val="00644226"/>
    <w:rsid w:val="006452F6"/>
    <w:rsid w:val="00646030"/>
    <w:rsid w:val="006479DE"/>
    <w:rsid w:val="00650EF8"/>
    <w:rsid w:val="00650FAA"/>
    <w:rsid w:val="006525EA"/>
    <w:rsid w:val="006540FC"/>
    <w:rsid w:val="00655EC8"/>
    <w:rsid w:val="0065630F"/>
    <w:rsid w:val="00656F6F"/>
    <w:rsid w:val="006606BC"/>
    <w:rsid w:val="006614FD"/>
    <w:rsid w:val="00662DE0"/>
    <w:rsid w:val="006639D5"/>
    <w:rsid w:val="006646B8"/>
    <w:rsid w:val="00664BE5"/>
    <w:rsid w:val="00664E51"/>
    <w:rsid w:val="00665B7E"/>
    <w:rsid w:val="00666139"/>
    <w:rsid w:val="00666D27"/>
    <w:rsid w:val="00667977"/>
    <w:rsid w:val="00667F58"/>
    <w:rsid w:val="00671539"/>
    <w:rsid w:val="00672029"/>
    <w:rsid w:val="0067451B"/>
    <w:rsid w:val="006754CC"/>
    <w:rsid w:val="0067726A"/>
    <w:rsid w:val="00677573"/>
    <w:rsid w:val="006807DD"/>
    <w:rsid w:val="006812F4"/>
    <w:rsid w:val="00683301"/>
    <w:rsid w:val="006858CC"/>
    <w:rsid w:val="00685E58"/>
    <w:rsid w:val="00685FEF"/>
    <w:rsid w:val="00687321"/>
    <w:rsid w:val="00687DA3"/>
    <w:rsid w:val="0069054E"/>
    <w:rsid w:val="00690A2C"/>
    <w:rsid w:val="0069182C"/>
    <w:rsid w:val="00692F08"/>
    <w:rsid w:val="006940D4"/>
    <w:rsid w:val="00694C0C"/>
    <w:rsid w:val="0069560A"/>
    <w:rsid w:val="00696D9D"/>
    <w:rsid w:val="00696E2E"/>
    <w:rsid w:val="006972D0"/>
    <w:rsid w:val="006976EE"/>
    <w:rsid w:val="00697FB6"/>
    <w:rsid w:val="006A0167"/>
    <w:rsid w:val="006A1CBD"/>
    <w:rsid w:val="006A1D24"/>
    <w:rsid w:val="006A225B"/>
    <w:rsid w:val="006A44F5"/>
    <w:rsid w:val="006A450E"/>
    <w:rsid w:val="006A59B3"/>
    <w:rsid w:val="006B02D9"/>
    <w:rsid w:val="006B062E"/>
    <w:rsid w:val="006B0891"/>
    <w:rsid w:val="006B17A5"/>
    <w:rsid w:val="006B2AA5"/>
    <w:rsid w:val="006B2F5A"/>
    <w:rsid w:val="006B3730"/>
    <w:rsid w:val="006B5859"/>
    <w:rsid w:val="006B6AD0"/>
    <w:rsid w:val="006B6C40"/>
    <w:rsid w:val="006B6E83"/>
    <w:rsid w:val="006B739F"/>
    <w:rsid w:val="006B7475"/>
    <w:rsid w:val="006C0E51"/>
    <w:rsid w:val="006C2232"/>
    <w:rsid w:val="006C2D6A"/>
    <w:rsid w:val="006C30A3"/>
    <w:rsid w:val="006C3103"/>
    <w:rsid w:val="006C3757"/>
    <w:rsid w:val="006C4318"/>
    <w:rsid w:val="006C47B5"/>
    <w:rsid w:val="006C4FD4"/>
    <w:rsid w:val="006C5F1C"/>
    <w:rsid w:val="006C5F6D"/>
    <w:rsid w:val="006D09C9"/>
    <w:rsid w:val="006D258B"/>
    <w:rsid w:val="006D2A9D"/>
    <w:rsid w:val="006D38AE"/>
    <w:rsid w:val="006D4F87"/>
    <w:rsid w:val="006D64CC"/>
    <w:rsid w:val="006D747C"/>
    <w:rsid w:val="006D7709"/>
    <w:rsid w:val="006D7D37"/>
    <w:rsid w:val="006E13CD"/>
    <w:rsid w:val="006E1AE0"/>
    <w:rsid w:val="006E2C7A"/>
    <w:rsid w:val="006E341D"/>
    <w:rsid w:val="006E4004"/>
    <w:rsid w:val="006E498D"/>
    <w:rsid w:val="006E756B"/>
    <w:rsid w:val="006E7F98"/>
    <w:rsid w:val="006F09D2"/>
    <w:rsid w:val="006F1CFD"/>
    <w:rsid w:val="006F1EE0"/>
    <w:rsid w:val="006F286A"/>
    <w:rsid w:val="006F2D4C"/>
    <w:rsid w:val="006F2DB4"/>
    <w:rsid w:val="006F3784"/>
    <w:rsid w:val="006F60D5"/>
    <w:rsid w:val="006F624E"/>
    <w:rsid w:val="006F6657"/>
    <w:rsid w:val="007030DB"/>
    <w:rsid w:val="00703490"/>
    <w:rsid w:val="00703660"/>
    <w:rsid w:val="0070432D"/>
    <w:rsid w:val="00706E5A"/>
    <w:rsid w:val="00707383"/>
    <w:rsid w:val="0071122B"/>
    <w:rsid w:val="007117E6"/>
    <w:rsid w:val="00711C47"/>
    <w:rsid w:val="007129B2"/>
    <w:rsid w:val="007135D4"/>
    <w:rsid w:val="007148BB"/>
    <w:rsid w:val="00714B0B"/>
    <w:rsid w:val="00714E6B"/>
    <w:rsid w:val="00715DA5"/>
    <w:rsid w:val="007160B5"/>
    <w:rsid w:val="007166CE"/>
    <w:rsid w:val="00717A6E"/>
    <w:rsid w:val="00721C52"/>
    <w:rsid w:val="0072214B"/>
    <w:rsid w:val="0072435F"/>
    <w:rsid w:val="00724C69"/>
    <w:rsid w:val="0072527D"/>
    <w:rsid w:val="007257CC"/>
    <w:rsid w:val="0072649A"/>
    <w:rsid w:val="007271A6"/>
    <w:rsid w:val="0072783A"/>
    <w:rsid w:val="007308C6"/>
    <w:rsid w:val="00730AC5"/>
    <w:rsid w:val="007311A3"/>
    <w:rsid w:val="00731C1F"/>
    <w:rsid w:val="007333CA"/>
    <w:rsid w:val="00734EAC"/>
    <w:rsid w:val="0073531F"/>
    <w:rsid w:val="00735C56"/>
    <w:rsid w:val="00737C21"/>
    <w:rsid w:val="0074121E"/>
    <w:rsid w:val="00741BEE"/>
    <w:rsid w:val="0074217A"/>
    <w:rsid w:val="00742F02"/>
    <w:rsid w:val="00744439"/>
    <w:rsid w:val="00745281"/>
    <w:rsid w:val="00745AE9"/>
    <w:rsid w:val="00747215"/>
    <w:rsid w:val="00750799"/>
    <w:rsid w:val="00754040"/>
    <w:rsid w:val="00754EED"/>
    <w:rsid w:val="007561D1"/>
    <w:rsid w:val="00756CEB"/>
    <w:rsid w:val="00760766"/>
    <w:rsid w:val="0076197B"/>
    <w:rsid w:val="00762166"/>
    <w:rsid w:val="00762B57"/>
    <w:rsid w:val="0076377B"/>
    <w:rsid w:val="0076428B"/>
    <w:rsid w:val="00764477"/>
    <w:rsid w:val="00766819"/>
    <w:rsid w:val="00767BC3"/>
    <w:rsid w:val="00770227"/>
    <w:rsid w:val="00770994"/>
    <w:rsid w:val="00773639"/>
    <w:rsid w:val="0077477A"/>
    <w:rsid w:val="00774D02"/>
    <w:rsid w:val="00776377"/>
    <w:rsid w:val="0077637D"/>
    <w:rsid w:val="0077707E"/>
    <w:rsid w:val="007770D5"/>
    <w:rsid w:val="0078051B"/>
    <w:rsid w:val="00780EDE"/>
    <w:rsid w:val="0078231C"/>
    <w:rsid w:val="007835FB"/>
    <w:rsid w:val="0078361B"/>
    <w:rsid w:val="007851AC"/>
    <w:rsid w:val="007853D5"/>
    <w:rsid w:val="00786172"/>
    <w:rsid w:val="00786601"/>
    <w:rsid w:val="00787492"/>
    <w:rsid w:val="00787632"/>
    <w:rsid w:val="00790046"/>
    <w:rsid w:val="00790CCA"/>
    <w:rsid w:val="00791CD6"/>
    <w:rsid w:val="0079203D"/>
    <w:rsid w:val="00792721"/>
    <w:rsid w:val="007938BD"/>
    <w:rsid w:val="00794197"/>
    <w:rsid w:val="00794A7D"/>
    <w:rsid w:val="00794FD8"/>
    <w:rsid w:val="00795076"/>
    <w:rsid w:val="00795901"/>
    <w:rsid w:val="00795BE0"/>
    <w:rsid w:val="00796FDE"/>
    <w:rsid w:val="007975BA"/>
    <w:rsid w:val="007976C1"/>
    <w:rsid w:val="00797AAC"/>
    <w:rsid w:val="00797E67"/>
    <w:rsid w:val="00797FEB"/>
    <w:rsid w:val="007A00E1"/>
    <w:rsid w:val="007A0BAB"/>
    <w:rsid w:val="007A249D"/>
    <w:rsid w:val="007A2D6C"/>
    <w:rsid w:val="007A51CD"/>
    <w:rsid w:val="007A5A1A"/>
    <w:rsid w:val="007A649D"/>
    <w:rsid w:val="007A6CF2"/>
    <w:rsid w:val="007A71D2"/>
    <w:rsid w:val="007A72B8"/>
    <w:rsid w:val="007A7C6C"/>
    <w:rsid w:val="007B00FD"/>
    <w:rsid w:val="007B02BD"/>
    <w:rsid w:val="007B39F9"/>
    <w:rsid w:val="007B52D3"/>
    <w:rsid w:val="007B6884"/>
    <w:rsid w:val="007B742B"/>
    <w:rsid w:val="007B7C30"/>
    <w:rsid w:val="007C06C5"/>
    <w:rsid w:val="007C5363"/>
    <w:rsid w:val="007C696B"/>
    <w:rsid w:val="007C6AF3"/>
    <w:rsid w:val="007C7E22"/>
    <w:rsid w:val="007D145E"/>
    <w:rsid w:val="007D2D25"/>
    <w:rsid w:val="007D38C2"/>
    <w:rsid w:val="007D480A"/>
    <w:rsid w:val="007D5E64"/>
    <w:rsid w:val="007D5F13"/>
    <w:rsid w:val="007D6079"/>
    <w:rsid w:val="007D6587"/>
    <w:rsid w:val="007E4578"/>
    <w:rsid w:val="007F1308"/>
    <w:rsid w:val="007F2C1B"/>
    <w:rsid w:val="007F486A"/>
    <w:rsid w:val="007F4DBB"/>
    <w:rsid w:val="007F4E9A"/>
    <w:rsid w:val="007F68F3"/>
    <w:rsid w:val="007F707D"/>
    <w:rsid w:val="007F75F3"/>
    <w:rsid w:val="008006BF"/>
    <w:rsid w:val="00800D1B"/>
    <w:rsid w:val="00801C19"/>
    <w:rsid w:val="00803717"/>
    <w:rsid w:val="008063C6"/>
    <w:rsid w:val="00806FAB"/>
    <w:rsid w:val="00810E04"/>
    <w:rsid w:val="008123D8"/>
    <w:rsid w:val="00812C72"/>
    <w:rsid w:val="008134CE"/>
    <w:rsid w:val="00813502"/>
    <w:rsid w:val="00813BFB"/>
    <w:rsid w:val="00813D5B"/>
    <w:rsid w:val="00814B91"/>
    <w:rsid w:val="00814C9F"/>
    <w:rsid w:val="008155B4"/>
    <w:rsid w:val="0081578D"/>
    <w:rsid w:val="00816C7E"/>
    <w:rsid w:val="00816E74"/>
    <w:rsid w:val="008172A7"/>
    <w:rsid w:val="00817A69"/>
    <w:rsid w:val="00820AAA"/>
    <w:rsid w:val="00821562"/>
    <w:rsid w:val="00822616"/>
    <w:rsid w:val="00823333"/>
    <w:rsid w:val="00823448"/>
    <w:rsid w:val="0082488E"/>
    <w:rsid w:val="00824D37"/>
    <w:rsid w:val="00825CF2"/>
    <w:rsid w:val="008268C8"/>
    <w:rsid w:val="008278F0"/>
    <w:rsid w:val="0083130E"/>
    <w:rsid w:val="0083172E"/>
    <w:rsid w:val="00831B5F"/>
    <w:rsid w:val="00832D50"/>
    <w:rsid w:val="008338A6"/>
    <w:rsid w:val="00833F70"/>
    <w:rsid w:val="00835A6C"/>
    <w:rsid w:val="00836568"/>
    <w:rsid w:val="008365C3"/>
    <w:rsid w:val="0083667E"/>
    <w:rsid w:val="008372A3"/>
    <w:rsid w:val="0084009D"/>
    <w:rsid w:val="00840106"/>
    <w:rsid w:val="008407E1"/>
    <w:rsid w:val="008413FB"/>
    <w:rsid w:val="0084204C"/>
    <w:rsid w:val="00842F10"/>
    <w:rsid w:val="0084464E"/>
    <w:rsid w:val="00845DE2"/>
    <w:rsid w:val="00846785"/>
    <w:rsid w:val="00847530"/>
    <w:rsid w:val="0084799F"/>
    <w:rsid w:val="00851067"/>
    <w:rsid w:val="00851BF7"/>
    <w:rsid w:val="00851F41"/>
    <w:rsid w:val="008520B6"/>
    <w:rsid w:val="00852D1B"/>
    <w:rsid w:val="00856EB0"/>
    <w:rsid w:val="00857035"/>
    <w:rsid w:val="00857400"/>
    <w:rsid w:val="0085789D"/>
    <w:rsid w:val="00857DA6"/>
    <w:rsid w:val="00861096"/>
    <w:rsid w:val="008612E2"/>
    <w:rsid w:val="00861438"/>
    <w:rsid w:val="0086255C"/>
    <w:rsid w:val="00862981"/>
    <w:rsid w:val="0086310E"/>
    <w:rsid w:val="0086432D"/>
    <w:rsid w:val="00866619"/>
    <w:rsid w:val="00866890"/>
    <w:rsid w:val="00866AE9"/>
    <w:rsid w:val="0086705F"/>
    <w:rsid w:val="008677F3"/>
    <w:rsid w:val="00867CC9"/>
    <w:rsid w:val="00867E0B"/>
    <w:rsid w:val="008702C2"/>
    <w:rsid w:val="00872782"/>
    <w:rsid w:val="00872806"/>
    <w:rsid w:val="00872F76"/>
    <w:rsid w:val="0087413A"/>
    <w:rsid w:val="00875CFD"/>
    <w:rsid w:val="008765CA"/>
    <w:rsid w:val="008768E9"/>
    <w:rsid w:val="0087775B"/>
    <w:rsid w:val="008805C8"/>
    <w:rsid w:val="00880F56"/>
    <w:rsid w:val="00881C25"/>
    <w:rsid w:val="00881D2A"/>
    <w:rsid w:val="00883108"/>
    <w:rsid w:val="008831C0"/>
    <w:rsid w:val="008831FE"/>
    <w:rsid w:val="00883DB9"/>
    <w:rsid w:val="00884C22"/>
    <w:rsid w:val="00885767"/>
    <w:rsid w:val="0088793D"/>
    <w:rsid w:val="00891B73"/>
    <w:rsid w:val="00892E6C"/>
    <w:rsid w:val="00893588"/>
    <w:rsid w:val="00894653"/>
    <w:rsid w:val="00894E69"/>
    <w:rsid w:val="00895CE7"/>
    <w:rsid w:val="00895F80"/>
    <w:rsid w:val="00896A4E"/>
    <w:rsid w:val="00896D7C"/>
    <w:rsid w:val="00897101"/>
    <w:rsid w:val="008A1866"/>
    <w:rsid w:val="008A2678"/>
    <w:rsid w:val="008A2752"/>
    <w:rsid w:val="008A28FD"/>
    <w:rsid w:val="008A3FDA"/>
    <w:rsid w:val="008A419B"/>
    <w:rsid w:val="008A5652"/>
    <w:rsid w:val="008A566E"/>
    <w:rsid w:val="008A6706"/>
    <w:rsid w:val="008A7BC0"/>
    <w:rsid w:val="008B1C27"/>
    <w:rsid w:val="008B22BA"/>
    <w:rsid w:val="008B237F"/>
    <w:rsid w:val="008B37ED"/>
    <w:rsid w:val="008B3DE3"/>
    <w:rsid w:val="008B50F9"/>
    <w:rsid w:val="008C1652"/>
    <w:rsid w:val="008C1E89"/>
    <w:rsid w:val="008C2C69"/>
    <w:rsid w:val="008C3C8B"/>
    <w:rsid w:val="008C3CF3"/>
    <w:rsid w:val="008C4D84"/>
    <w:rsid w:val="008C543D"/>
    <w:rsid w:val="008C5719"/>
    <w:rsid w:val="008C571D"/>
    <w:rsid w:val="008C6347"/>
    <w:rsid w:val="008C6812"/>
    <w:rsid w:val="008D06C3"/>
    <w:rsid w:val="008D170C"/>
    <w:rsid w:val="008D272F"/>
    <w:rsid w:val="008D279A"/>
    <w:rsid w:val="008D281E"/>
    <w:rsid w:val="008D3461"/>
    <w:rsid w:val="008D3BB2"/>
    <w:rsid w:val="008D52E3"/>
    <w:rsid w:val="008D5646"/>
    <w:rsid w:val="008E0728"/>
    <w:rsid w:val="008E1537"/>
    <w:rsid w:val="008E2050"/>
    <w:rsid w:val="008E3541"/>
    <w:rsid w:val="008E4F6A"/>
    <w:rsid w:val="008E598C"/>
    <w:rsid w:val="008F028E"/>
    <w:rsid w:val="008F0B5A"/>
    <w:rsid w:val="008F180F"/>
    <w:rsid w:val="008F2015"/>
    <w:rsid w:val="008F2B0A"/>
    <w:rsid w:val="008F3A86"/>
    <w:rsid w:val="008F424B"/>
    <w:rsid w:val="008F548E"/>
    <w:rsid w:val="008F731D"/>
    <w:rsid w:val="008F7D9B"/>
    <w:rsid w:val="00900894"/>
    <w:rsid w:val="00900942"/>
    <w:rsid w:val="0090150C"/>
    <w:rsid w:val="00902532"/>
    <w:rsid w:val="009028CC"/>
    <w:rsid w:val="00904B97"/>
    <w:rsid w:val="00906EE5"/>
    <w:rsid w:val="0091198D"/>
    <w:rsid w:val="00912460"/>
    <w:rsid w:val="00913160"/>
    <w:rsid w:val="009141F0"/>
    <w:rsid w:val="0091426F"/>
    <w:rsid w:val="00914B57"/>
    <w:rsid w:val="00915D08"/>
    <w:rsid w:val="009160AB"/>
    <w:rsid w:val="009160BE"/>
    <w:rsid w:val="00916DC7"/>
    <w:rsid w:val="00917682"/>
    <w:rsid w:val="00920142"/>
    <w:rsid w:val="00922943"/>
    <w:rsid w:val="00922CB9"/>
    <w:rsid w:val="00922EE9"/>
    <w:rsid w:val="0092395F"/>
    <w:rsid w:val="00923D70"/>
    <w:rsid w:val="00924C9F"/>
    <w:rsid w:val="00924D9A"/>
    <w:rsid w:val="009255C3"/>
    <w:rsid w:val="00927578"/>
    <w:rsid w:val="0093213A"/>
    <w:rsid w:val="00933798"/>
    <w:rsid w:val="00933DAB"/>
    <w:rsid w:val="009349D9"/>
    <w:rsid w:val="00934D3A"/>
    <w:rsid w:val="00935424"/>
    <w:rsid w:val="0093560D"/>
    <w:rsid w:val="00935CEE"/>
    <w:rsid w:val="00936C71"/>
    <w:rsid w:val="0093757F"/>
    <w:rsid w:val="00937749"/>
    <w:rsid w:val="00937A88"/>
    <w:rsid w:val="009403F1"/>
    <w:rsid w:val="009405FB"/>
    <w:rsid w:val="00941004"/>
    <w:rsid w:val="00942254"/>
    <w:rsid w:val="009425CE"/>
    <w:rsid w:val="00943F80"/>
    <w:rsid w:val="009445F9"/>
    <w:rsid w:val="0094508D"/>
    <w:rsid w:val="00946136"/>
    <w:rsid w:val="0094638C"/>
    <w:rsid w:val="009472B9"/>
    <w:rsid w:val="00950100"/>
    <w:rsid w:val="00950580"/>
    <w:rsid w:val="009512C0"/>
    <w:rsid w:val="0095261B"/>
    <w:rsid w:val="00953428"/>
    <w:rsid w:val="00953AAD"/>
    <w:rsid w:val="00955090"/>
    <w:rsid w:val="00956443"/>
    <w:rsid w:val="00956BB9"/>
    <w:rsid w:val="009609E4"/>
    <w:rsid w:val="009609FB"/>
    <w:rsid w:val="009612D6"/>
    <w:rsid w:val="00962518"/>
    <w:rsid w:val="00962D64"/>
    <w:rsid w:val="0096498E"/>
    <w:rsid w:val="009652CB"/>
    <w:rsid w:val="00965C01"/>
    <w:rsid w:val="00966AC6"/>
    <w:rsid w:val="00967ADA"/>
    <w:rsid w:val="00970557"/>
    <w:rsid w:val="00970A1C"/>
    <w:rsid w:val="009717BD"/>
    <w:rsid w:val="009726FA"/>
    <w:rsid w:val="00972956"/>
    <w:rsid w:val="00972BAF"/>
    <w:rsid w:val="00972E16"/>
    <w:rsid w:val="009735B8"/>
    <w:rsid w:val="009765AF"/>
    <w:rsid w:val="00981759"/>
    <w:rsid w:val="00982EE2"/>
    <w:rsid w:val="00984E6E"/>
    <w:rsid w:val="00985DE2"/>
    <w:rsid w:val="00990977"/>
    <w:rsid w:val="00991577"/>
    <w:rsid w:val="009917B0"/>
    <w:rsid w:val="00991D11"/>
    <w:rsid w:val="00992088"/>
    <w:rsid w:val="00992362"/>
    <w:rsid w:val="00992E23"/>
    <w:rsid w:val="009934D0"/>
    <w:rsid w:val="0099461B"/>
    <w:rsid w:val="00994867"/>
    <w:rsid w:val="00995E0B"/>
    <w:rsid w:val="00996174"/>
    <w:rsid w:val="009978DA"/>
    <w:rsid w:val="009A2C15"/>
    <w:rsid w:val="009A456F"/>
    <w:rsid w:val="009A59D2"/>
    <w:rsid w:val="009A7394"/>
    <w:rsid w:val="009A7CF0"/>
    <w:rsid w:val="009B0470"/>
    <w:rsid w:val="009B1FD9"/>
    <w:rsid w:val="009B347C"/>
    <w:rsid w:val="009B4B22"/>
    <w:rsid w:val="009B4FFE"/>
    <w:rsid w:val="009B6508"/>
    <w:rsid w:val="009B6516"/>
    <w:rsid w:val="009B6613"/>
    <w:rsid w:val="009B6981"/>
    <w:rsid w:val="009B7714"/>
    <w:rsid w:val="009C0C5F"/>
    <w:rsid w:val="009C1C66"/>
    <w:rsid w:val="009C295C"/>
    <w:rsid w:val="009C31DA"/>
    <w:rsid w:val="009C471D"/>
    <w:rsid w:val="009C4D0B"/>
    <w:rsid w:val="009C706E"/>
    <w:rsid w:val="009C7FE7"/>
    <w:rsid w:val="009D0C42"/>
    <w:rsid w:val="009D1364"/>
    <w:rsid w:val="009D1986"/>
    <w:rsid w:val="009D2641"/>
    <w:rsid w:val="009D3EA0"/>
    <w:rsid w:val="009D4185"/>
    <w:rsid w:val="009D4F27"/>
    <w:rsid w:val="009D5037"/>
    <w:rsid w:val="009D5104"/>
    <w:rsid w:val="009D7F49"/>
    <w:rsid w:val="009E0F0B"/>
    <w:rsid w:val="009E292A"/>
    <w:rsid w:val="009E4DF7"/>
    <w:rsid w:val="009E6D98"/>
    <w:rsid w:val="009E6F2F"/>
    <w:rsid w:val="009E7C7B"/>
    <w:rsid w:val="009F14A5"/>
    <w:rsid w:val="009F16D1"/>
    <w:rsid w:val="009F2737"/>
    <w:rsid w:val="009F3AA1"/>
    <w:rsid w:val="009F443A"/>
    <w:rsid w:val="009F590D"/>
    <w:rsid w:val="009F6622"/>
    <w:rsid w:val="009F6C16"/>
    <w:rsid w:val="009F6EDB"/>
    <w:rsid w:val="00A00A03"/>
    <w:rsid w:val="00A0108C"/>
    <w:rsid w:val="00A01B03"/>
    <w:rsid w:val="00A026FE"/>
    <w:rsid w:val="00A02E06"/>
    <w:rsid w:val="00A040C7"/>
    <w:rsid w:val="00A0583E"/>
    <w:rsid w:val="00A06332"/>
    <w:rsid w:val="00A06406"/>
    <w:rsid w:val="00A0707C"/>
    <w:rsid w:val="00A07108"/>
    <w:rsid w:val="00A071AB"/>
    <w:rsid w:val="00A11A2A"/>
    <w:rsid w:val="00A123B6"/>
    <w:rsid w:val="00A1283F"/>
    <w:rsid w:val="00A1505E"/>
    <w:rsid w:val="00A17B43"/>
    <w:rsid w:val="00A20092"/>
    <w:rsid w:val="00A2010A"/>
    <w:rsid w:val="00A22A70"/>
    <w:rsid w:val="00A23863"/>
    <w:rsid w:val="00A24A23"/>
    <w:rsid w:val="00A25D2B"/>
    <w:rsid w:val="00A26A07"/>
    <w:rsid w:val="00A27723"/>
    <w:rsid w:val="00A2794D"/>
    <w:rsid w:val="00A310DD"/>
    <w:rsid w:val="00A32639"/>
    <w:rsid w:val="00A32BD3"/>
    <w:rsid w:val="00A33363"/>
    <w:rsid w:val="00A35614"/>
    <w:rsid w:val="00A358EC"/>
    <w:rsid w:val="00A36539"/>
    <w:rsid w:val="00A36AA1"/>
    <w:rsid w:val="00A405A9"/>
    <w:rsid w:val="00A405AC"/>
    <w:rsid w:val="00A40B6F"/>
    <w:rsid w:val="00A40BD5"/>
    <w:rsid w:val="00A41096"/>
    <w:rsid w:val="00A413CC"/>
    <w:rsid w:val="00A42E21"/>
    <w:rsid w:val="00A447AE"/>
    <w:rsid w:val="00A44A56"/>
    <w:rsid w:val="00A45B02"/>
    <w:rsid w:val="00A45EB7"/>
    <w:rsid w:val="00A5284E"/>
    <w:rsid w:val="00A551FF"/>
    <w:rsid w:val="00A5558B"/>
    <w:rsid w:val="00A563FC"/>
    <w:rsid w:val="00A569D7"/>
    <w:rsid w:val="00A618A8"/>
    <w:rsid w:val="00A6494D"/>
    <w:rsid w:val="00A64AB0"/>
    <w:rsid w:val="00A64DC3"/>
    <w:rsid w:val="00A653DE"/>
    <w:rsid w:val="00A654A0"/>
    <w:rsid w:val="00A66B16"/>
    <w:rsid w:val="00A66D8C"/>
    <w:rsid w:val="00A67892"/>
    <w:rsid w:val="00A6791E"/>
    <w:rsid w:val="00A70D36"/>
    <w:rsid w:val="00A711F1"/>
    <w:rsid w:val="00A71A15"/>
    <w:rsid w:val="00A71B31"/>
    <w:rsid w:val="00A71FAA"/>
    <w:rsid w:val="00A7375F"/>
    <w:rsid w:val="00A76805"/>
    <w:rsid w:val="00A76E13"/>
    <w:rsid w:val="00A812E6"/>
    <w:rsid w:val="00A81B2D"/>
    <w:rsid w:val="00A86477"/>
    <w:rsid w:val="00A8679A"/>
    <w:rsid w:val="00A867D9"/>
    <w:rsid w:val="00A86E03"/>
    <w:rsid w:val="00A90674"/>
    <w:rsid w:val="00A91DA1"/>
    <w:rsid w:val="00A92F73"/>
    <w:rsid w:val="00A93589"/>
    <w:rsid w:val="00A94762"/>
    <w:rsid w:val="00A9634B"/>
    <w:rsid w:val="00A97762"/>
    <w:rsid w:val="00AA00D5"/>
    <w:rsid w:val="00AA0881"/>
    <w:rsid w:val="00AA09D4"/>
    <w:rsid w:val="00AA1F86"/>
    <w:rsid w:val="00AA1F98"/>
    <w:rsid w:val="00AA26A4"/>
    <w:rsid w:val="00AA2B48"/>
    <w:rsid w:val="00AA411D"/>
    <w:rsid w:val="00AA665A"/>
    <w:rsid w:val="00AA7179"/>
    <w:rsid w:val="00AA7FE0"/>
    <w:rsid w:val="00AB024F"/>
    <w:rsid w:val="00AB0456"/>
    <w:rsid w:val="00AB1A2C"/>
    <w:rsid w:val="00AB1FAB"/>
    <w:rsid w:val="00AB2490"/>
    <w:rsid w:val="00AB4696"/>
    <w:rsid w:val="00AB6A45"/>
    <w:rsid w:val="00AC3BC2"/>
    <w:rsid w:val="00AC4B85"/>
    <w:rsid w:val="00AC53C6"/>
    <w:rsid w:val="00AC592C"/>
    <w:rsid w:val="00AC5958"/>
    <w:rsid w:val="00AC6983"/>
    <w:rsid w:val="00AC7931"/>
    <w:rsid w:val="00AD00C6"/>
    <w:rsid w:val="00AD0700"/>
    <w:rsid w:val="00AD1098"/>
    <w:rsid w:val="00AD371B"/>
    <w:rsid w:val="00AD3853"/>
    <w:rsid w:val="00AD3E6D"/>
    <w:rsid w:val="00AD4FDF"/>
    <w:rsid w:val="00AD4FF2"/>
    <w:rsid w:val="00AD5093"/>
    <w:rsid w:val="00AD53CD"/>
    <w:rsid w:val="00AD5F19"/>
    <w:rsid w:val="00AD6B25"/>
    <w:rsid w:val="00AE1051"/>
    <w:rsid w:val="00AE1DC3"/>
    <w:rsid w:val="00AE2732"/>
    <w:rsid w:val="00AE2B16"/>
    <w:rsid w:val="00AE3676"/>
    <w:rsid w:val="00AE3DD7"/>
    <w:rsid w:val="00AE4DDD"/>
    <w:rsid w:val="00AE52DE"/>
    <w:rsid w:val="00AE55BE"/>
    <w:rsid w:val="00AE55DB"/>
    <w:rsid w:val="00AE5AD9"/>
    <w:rsid w:val="00AE6705"/>
    <w:rsid w:val="00AE78FB"/>
    <w:rsid w:val="00AF1190"/>
    <w:rsid w:val="00AF13F7"/>
    <w:rsid w:val="00AF309A"/>
    <w:rsid w:val="00AF517D"/>
    <w:rsid w:val="00B022F6"/>
    <w:rsid w:val="00B03B0A"/>
    <w:rsid w:val="00B03E95"/>
    <w:rsid w:val="00B0407F"/>
    <w:rsid w:val="00B04F19"/>
    <w:rsid w:val="00B0577A"/>
    <w:rsid w:val="00B0678A"/>
    <w:rsid w:val="00B1294F"/>
    <w:rsid w:val="00B13ED5"/>
    <w:rsid w:val="00B1537D"/>
    <w:rsid w:val="00B156A2"/>
    <w:rsid w:val="00B16231"/>
    <w:rsid w:val="00B1702B"/>
    <w:rsid w:val="00B1743F"/>
    <w:rsid w:val="00B1749C"/>
    <w:rsid w:val="00B17E00"/>
    <w:rsid w:val="00B2171B"/>
    <w:rsid w:val="00B22DCF"/>
    <w:rsid w:val="00B234BB"/>
    <w:rsid w:val="00B23EC1"/>
    <w:rsid w:val="00B243D5"/>
    <w:rsid w:val="00B24C2D"/>
    <w:rsid w:val="00B26387"/>
    <w:rsid w:val="00B27A62"/>
    <w:rsid w:val="00B27E90"/>
    <w:rsid w:val="00B30976"/>
    <w:rsid w:val="00B31210"/>
    <w:rsid w:val="00B31ADB"/>
    <w:rsid w:val="00B31BE1"/>
    <w:rsid w:val="00B3268B"/>
    <w:rsid w:val="00B32A26"/>
    <w:rsid w:val="00B33DE8"/>
    <w:rsid w:val="00B359AB"/>
    <w:rsid w:val="00B36450"/>
    <w:rsid w:val="00B364DB"/>
    <w:rsid w:val="00B40C81"/>
    <w:rsid w:val="00B43E89"/>
    <w:rsid w:val="00B44138"/>
    <w:rsid w:val="00B44CBA"/>
    <w:rsid w:val="00B45524"/>
    <w:rsid w:val="00B4626A"/>
    <w:rsid w:val="00B46E42"/>
    <w:rsid w:val="00B46FB8"/>
    <w:rsid w:val="00B470DE"/>
    <w:rsid w:val="00B473C0"/>
    <w:rsid w:val="00B47445"/>
    <w:rsid w:val="00B47B4E"/>
    <w:rsid w:val="00B47BE8"/>
    <w:rsid w:val="00B5131A"/>
    <w:rsid w:val="00B518F4"/>
    <w:rsid w:val="00B51E52"/>
    <w:rsid w:val="00B52CEE"/>
    <w:rsid w:val="00B53544"/>
    <w:rsid w:val="00B53C8D"/>
    <w:rsid w:val="00B567C2"/>
    <w:rsid w:val="00B56A24"/>
    <w:rsid w:val="00B56DE2"/>
    <w:rsid w:val="00B6113F"/>
    <w:rsid w:val="00B61601"/>
    <w:rsid w:val="00B61C8F"/>
    <w:rsid w:val="00B63488"/>
    <w:rsid w:val="00B6359E"/>
    <w:rsid w:val="00B63937"/>
    <w:rsid w:val="00B63BEE"/>
    <w:rsid w:val="00B63EA7"/>
    <w:rsid w:val="00B646AB"/>
    <w:rsid w:val="00B6540B"/>
    <w:rsid w:val="00B668F6"/>
    <w:rsid w:val="00B66958"/>
    <w:rsid w:val="00B67449"/>
    <w:rsid w:val="00B702A4"/>
    <w:rsid w:val="00B70CA9"/>
    <w:rsid w:val="00B72951"/>
    <w:rsid w:val="00B72BC2"/>
    <w:rsid w:val="00B74355"/>
    <w:rsid w:val="00B745A7"/>
    <w:rsid w:val="00B756E7"/>
    <w:rsid w:val="00B7576F"/>
    <w:rsid w:val="00B75A68"/>
    <w:rsid w:val="00B7646C"/>
    <w:rsid w:val="00B76A38"/>
    <w:rsid w:val="00B76C4D"/>
    <w:rsid w:val="00B77732"/>
    <w:rsid w:val="00B77743"/>
    <w:rsid w:val="00B81CF2"/>
    <w:rsid w:val="00B82B47"/>
    <w:rsid w:val="00B849CF"/>
    <w:rsid w:val="00B8603A"/>
    <w:rsid w:val="00B86961"/>
    <w:rsid w:val="00B90B47"/>
    <w:rsid w:val="00B92452"/>
    <w:rsid w:val="00B928A1"/>
    <w:rsid w:val="00B936E6"/>
    <w:rsid w:val="00B9476D"/>
    <w:rsid w:val="00B947F7"/>
    <w:rsid w:val="00B94915"/>
    <w:rsid w:val="00B951B3"/>
    <w:rsid w:val="00B968B2"/>
    <w:rsid w:val="00B96A5D"/>
    <w:rsid w:val="00B9791F"/>
    <w:rsid w:val="00B97C25"/>
    <w:rsid w:val="00BA1962"/>
    <w:rsid w:val="00BA259B"/>
    <w:rsid w:val="00BA33FE"/>
    <w:rsid w:val="00BA799D"/>
    <w:rsid w:val="00BB1C78"/>
    <w:rsid w:val="00BB2453"/>
    <w:rsid w:val="00BB2CDD"/>
    <w:rsid w:val="00BB3EFC"/>
    <w:rsid w:val="00BB50A7"/>
    <w:rsid w:val="00BB5E09"/>
    <w:rsid w:val="00BB6E9A"/>
    <w:rsid w:val="00BB7287"/>
    <w:rsid w:val="00BC0DB7"/>
    <w:rsid w:val="00BC1F53"/>
    <w:rsid w:val="00BC2134"/>
    <w:rsid w:val="00BC3A82"/>
    <w:rsid w:val="00BC3B8B"/>
    <w:rsid w:val="00BC3D6B"/>
    <w:rsid w:val="00BC3F52"/>
    <w:rsid w:val="00BC5662"/>
    <w:rsid w:val="00BC7682"/>
    <w:rsid w:val="00BC7F95"/>
    <w:rsid w:val="00BD041E"/>
    <w:rsid w:val="00BD0F20"/>
    <w:rsid w:val="00BD1963"/>
    <w:rsid w:val="00BD1F1F"/>
    <w:rsid w:val="00BD2017"/>
    <w:rsid w:val="00BD2654"/>
    <w:rsid w:val="00BD2E0B"/>
    <w:rsid w:val="00BD45F1"/>
    <w:rsid w:val="00BD5010"/>
    <w:rsid w:val="00BD6777"/>
    <w:rsid w:val="00BE0777"/>
    <w:rsid w:val="00BE18DB"/>
    <w:rsid w:val="00BE1D39"/>
    <w:rsid w:val="00BE28CC"/>
    <w:rsid w:val="00BE2FE3"/>
    <w:rsid w:val="00BE30E7"/>
    <w:rsid w:val="00BE42F0"/>
    <w:rsid w:val="00BE4358"/>
    <w:rsid w:val="00BE462D"/>
    <w:rsid w:val="00BE5465"/>
    <w:rsid w:val="00BE67DC"/>
    <w:rsid w:val="00BE790B"/>
    <w:rsid w:val="00BF17F7"/>
    <w:rsid w:val="00BF2230"/>
    <w:rsid w:val="00BF22BF"/>
    <w:rsid w:val="00BF2439"/>
    <w:rsid w:val="00BF2743"/>
    <w:rsid w:val="00BF2D64"/>
    <w:rsid w:val="00BF414A"/>
    <w:rsid w:val="00BF47F1"/>
    <w:rsid w:val="00BF4DC1"/>
    <w:rsid w:val="00BF654C"/>
    <w:rsid w:val="00BF689A"/>
    <w:rsid w:val="00BF6E9F"/>
    <w:rsid w:val="00BF71F8"/>
    <w:rsid w:val="00C00608"/>
    <w:rsid w:val="00C00C82"/>
    <w:rsid w:val="00C01CD5"/>
    <w:rsid w:val="00C01EEC"/>
    <w:rsid w:val="00C02712"/>
    <w:rsid w:val="00C02C3B"/>
    <w:rsid w:val="00C03219"/>
    <w:rsid w:val="00C036FF"/>
    <w:rsid w:val="00C03E15"/>
    <w:rsid w:val="00C04205"/>
    <w:rsid w:val="00C04246"/>
    <w:rsid w:val="00C04258"/>
    <w:rsid w:val="00C05A9E"/>
    <w:rsid w:val="00C0648B"/>
    <w:rsid w:val="00C0695F"/>
    <w:rsid w:val="00C07DB8"/>
    <w:rsid w:val="00C07E21"/>
    <w:rsid w:val="00C109F6"/>
    <w:rsid w:val="00C12AA1"/>
    <w:rsid w:val="00C1384A"/>
    <w:rsid w:val="00C15EB4"/>
    <w:rsid w:val="00C16149"/>
    <w:rsid w:val="00C16836"/>
    <w:rsid w:val="00C16D80"/>
    <w:rsid w:val="00C17176"/>
    <w:rsid w:val="00C2081E"/>
    <w:rsid w:val="00C21973"/>
    <w:rsid w:val="00C239EE"/>
    <w:rsid w:val="00C23AED"/>
    <w:rsid w:val="00C243C7"/>
    <w:rsid w:val="00C24706"/>
    <w:rsid w:val="00C25356"/>
    <w:rsid w:val="00C2576E"/>
    <w:rsid w:val="00C25DCC"/>
    <w:rsid w:val="00C260A8"/>
    <w:rsid w:val="00C273BE"/>
    <w:rsid w:val="00C313F9"/>
    <w:rsid w:val="00C35103"/>
    <w:rsid w:val="00C35547"/>
    <w:rsid w:val="00C36408"/>
    <w:rsid w:val="00C37D2E"/>
    <w:rsid w:val="00C404F7"/>
    <w:rsid w:val="00C410D3"/>
    <w:rsid w:val="00C41A61"/>
    <w:rsid w:val="00C441B1"/>
    <w:rsid w:val="00C4420F"/>
    <w:rsid w:val="00C4432B"/>
    <w:rsid w:val="00C454B8"/>
    <w:rsid w:val="00C45E33"/>
    <w:rsid w:val="00C50B1D"/>
    <w:rsid w:val="00C51BDF"/>
    <w:rsid w:val="00C5203A"/>
    <w:rsid w:val="00C537B6"/>
    <w:rsid w:val="00C53F68"/>
    <w:rsid w:val="00C54527"/>
    <w:rsid w:val="00C55C29"/>
    <w:rsid w:val="00C55E58"/>
    <w:rsid w:val="00C56136"/>
    <w:rsid w:val="00C57D32"/>
    <w:rsid w:val="00C60084"/>
    <w:rsid w:val="00C602F8"/>
    <w:rsid w:val="00C6169D"/>
    <w:rsid w:val="00C63749"/>
    <w:rsid w:val="00C6484D"/>
    <w:rsid w:val="00C65423"/>
    <w:rsid w:val="00C65BD9"/>
    <w:rsid w:val="00C6618D"/>
    <w:rsid w:val="00C67BDF"/>
    <w:rsid w:val="00C72441"/>
    <w:rsid w:val="00C727CA"/>
    <w:rsid w:val="00C74781"/>
    <w:rsid w:val="00C75D01"/>
    <w:rsid w:val="00C7613F"/>
    <w:rsid w:val="00C7637F"/>
    <w:rsid w:val="00C7655B"/>
    <w:rsid w:val="00C8030E"/>
    <w:rsid w:val="00C8083A"/>
    <w:rsid w:val="00C80A74"/>
    <w:rsid w:val="00C80D49"/>
    <w:rsid w:val="00C8166C"/>
    <w:rsid w:val="00C82EE8"/>
    <w:rsid w:val="00C8322F"/>
    <w:rsid w:val="00C8376D"/>
    <w:rsid w:val="00C84D42"/>
    <w:rsid w:val="00C85BAD"/>
    <w:rsid w:val="00C86B45"/>
    <w:rsid w:val="00C92949"/>
    <w:rsid w:val="00C937D0"/>
    <w:rsid w:val="00C9413B"/>
    <w:rsid w:val="00C944FD"/>
    <w:rsid w:val="00C94BC1"/>
    <w:rsid w:val="00C94DCA"/>
    <w:rsid w:val="00C9519E"/>
    <w:rsid w:val="00C963B7"/>
    <w:rsid w:val="00CA0056"/>
    <w:rsid w:val="00CA07A4"/>
    <w:rsid w:val="00CA0803"/>
    <w:rsid w:val="00CA140B"/>
    <w:rsid w:val="00CA1416"/>
    <w:rsid w:val="00CA1CBE"/>
    <w:rsid w:val="00CA2254"/>
    <w:rsid w:val="00CA2432"/>
    <w:rsid w:val="00CA578C"/>
    <w:rsid w:val="00CA5978"/>
    <w:rsid w:val="00CB0ACF"/>
    <w:rsid w:val="00CB284A"/>
    <w:rsid w:val="00CB459F"/>
    <w:rsid w:val="00CB47AD"/>
    <w:rsid w:val="00CC09CB"/>
    <w:rsid w:val="00CC2EC4"/>
    <w:rsid w:val="00CC358C"/>
    <w:rsid w:val="00CC4BF9"/>
    <w:rsid w:val="00CC5A35"/>
    <w:rsid w:val="00CC77BA"/>
    <w:rsid w:val="00CD0E21"/>
    <w:rsid w:val="00CD2BD7"/>
    <w:rsid w:val="00CD36B9"/>
    <w:rsid w:val="00CD5E0D"/>
    <w:rsid w:val="00CD7EAE"/>
    <w:rsid w:val="00CE084F"/>
    <w:rsid w:val="00CE08E6"/>
    <w:rsid w:val="00CE0A93"/>
    <w:rsid w:val="00CE2033"/>
    <w:rsid w:val="00CE20C2"/>
    <w:rsid w:val="00CE2483"/>
    <w:rsid w:val="00CE2973"/>
    <w:rsid w:val="00CE2B15"/>
    <w:rsid w:val="00CE2CB0"/>
    <w:rsid w:val="00CE2F38"/>
    <w:rsid w:val="00CE3330"/>
    <w:rsid w:val="00CE344A"/>
    <w:rsid w:val="00CE37CC"/>
    <w:rsid w:val="00CE41F2"/>
    <w:rsid w:val="00CE48FE"/>
    <w:rsid w:val="00CE4F86"/>
    <w:rsid w:val="00CE5F95"/>
    <w:rsid w:val="00CE6DB4"/>
    <w:rsid w:val="00CE799B"/>
    <w:rsid w:val="00CE7BDC"/>
    <w:rsid w:val="00CF1214"/>
    <w:rsid w:val="00CF1677"/>
    <w:rsid w:val="00CF2233"/>
    <w:rsid w:val="00CF24CA"/>
    <w:rsid w:val="00CF24D9"/>
    <w:rsid w:val="00CF301E"/>
    <w:rsid w:val="00CF53C5"/>
    <w:rsid w:val="00D01088"/>
    <w:rsid w:val="00D01270"/>
    <w:rsid w:val="00D01AA3"/>
    <w:rsid w:val="00D01D79"/>
    <w:rsid w:val="00D024C0"/>
    <w:rsid w:val="00D03217"/>
    <w:rsid w:val="00D05CC0"/>
    <w:rsid w:val="00D05E31"/>
    <w:rsid w:val="00D05E53"/>
    <w:rsid w:val="00D0614D"/>
    <w:rsid w:val="00D06CFA"/>
    <w:rsid w:val="00D10BDA"/>
    <w:rsid w:val="00D11C5F"/>
    <w:rsid w:val="00D12FBB"/>
    <w:rsid w:val="00D12FE4"/>
    <w:rsid w:val="00D13BF3"/>
    <w:rsid w:val="00D159AC"/>
    <w:rsid w:val="00D159F4"/>
    <w:rsid w:val="00D15BAD"/>
    <w:rsid w:val="00D17BCA"/>
    <w:rsid w:val="00D236A3"/>
    <w:rsid w:val="00D23710"/>
    <w:rsid w:val="00D23B41"/>
    <w:rsid w:val="00D23FCB"/>
    <w:rsid w:val="00D2419E"/>
    <w:rsid w:val="00D25AAA"/>
    <w:rsid w:val="00D264A6"/>
    <w:rsid w:val="00D26AD3"/>
    <w:rsid w:val="00D30146"/>
    <w:rsid w:val="00D318F9"/>
    <w:rsid w:val="00D32848"/>
    <w:rsid w:val="00D32E70"/>
    <w:rsid w:val="00D32F64"/>
    <w:rsid w:val="00D3334F"/>
    <w:rsid w:val="00D35046"/>
    <w:rsid w:val="00D35334"/>
    <w:rsid w:val="00D36122"/>
    <w:rsid w:val="00D36EEC"/>
    <w:rsid w:val="00D37C0F"/>
    <w:rsid w:val="00D4094A"/>
    <w:rsid w:val="00D41701"/>
    <w:rsid w:val="00D41F2F"/>
    <w:rsid w:val="00D423DC"/>
    <w:rsid w:val="00D42EC7"/>
    <w:rsid w:val="00D43DB7"/>
    <w:rsid w:val="00D44112"/>
    <w:rsid w:val="00D4480F"/>
    <w:rsid w:val="00D452D8"/>
    <w:rsid w:val="00D456B4"/>
    <w:rsid w:val="00D45B06"/>
    <w:rsid w:val="00D47389"/>
    <w:rsid w:val="00D51097"/>
    <w:rsid w:val="00D521CF"/>
    <w:rsid w:val="00D54583"/>
    <w:rsid w:val="00D5482B"/>
    <w:rsid w:val="00D55025"/>
    <w:rsid w:val="00D558CD"/>
    <w:rsid w:val="00D56FC8"/>
    <w:rsid w:val="00D60A21"/>
    <w:rsid w:val="00D6215C"/>
    <w:rsid w:val="00D62951"/>
    <w:rsid w:val="00D62A33"/>
    <w:rsid w:val="00D62BEF"/>
    <w:rsid w:val="00D62D67"/>
    <w:rsid w:val="00D630CD"/>
    <w:rsid w:val="00D63459"/>
    <w:rsid w:val="00D63800"/>
    <w:rsid w:val="00D639BB"/>
    <w:rsid w:val="00D6419D"/>
    <w:rsid w:val="00D642FB"/>
    <w:rsid w:val="00D64B80"/>
    <w:rsid w:val="00D64FD7"/>
    <w:rsid w:val="00D652E9"/>
    <w:rsid w:val="00D7223C"/>
    <w:rsid w:val="00D72AB5"/>
    <w:rsid w:val="00D72DBC"/>
    <w:rsid w:val="00D731A2"/>
    <w:rsid w:val="00D73959"/>
    <w:rsid w:val="00D76F62"/>
    <w:rsid w:val="00D7711A"/>
    <w:rsid w:val="00D82446"/>
    <w:rsid w:val="00D82FE2"/>
    <w:rsid w:val="00D84E1A"/>
    <w:rsid w:val="00D87460"/>
    <w:rsid w:val="00D87C75"/>
    <w:rsid w:val="00D87EA3"/>
    <w:rsid w:val="00D90D3C"/>
    <w:rsid w:val="00D927D0"/>
    <w:rsid w:val="00D944E3"/>
    <w:rsid w:val="00D94908"/>
    <w:rsid w:val="00D95A5C"/>
    <w:rsid w:val="00D96442"/>
    <w:rsid w:val="00D97389"/>
    <w:rsid w:val="00D97472"/>
    <w:rsid w:val="00D97D3E"/>
    <w:rsid w:val="00DA0D9F"/>
    <w:rsid w:val="00DA1026"/>
    <w:rsid w:val="00DA1652"/>
    <w:rsid w:val="00DA31B2"/>
    <w:rsid w:val="00DA3880"/>
    <w:rsid w:val="00DA4927"/>
    <w:rsid w:val="00DA4A25"/>
    <w:rsid w:val="00DA57D3"/>
    <w:rsid w:val="00DA6CE7"/>
    <w:rsid w:val="00DA6F8F"/>
    <w:rsid w:val="00DB000B"/>
    <w:rsid w:val="00DB0A9C"/>
    <w:rsid w:val="00DB0EED"/>
    <w:rsid w:val="00DB1411"/>
    <w:rsid w:val="00DB191E"/>
    <w:rsid w:val="00DB2B7D"/>
    <w:rsid w:val="00DB2FC3"/>
    <w:rsid w:val="00DB399F"/>
    <w:rsid w:val="00DB3DA1"/>
    <w:rsid w:val="00DB414A"/>
    <w:rsid w:val="00DB4ADB"/>
    <w:rsid w:val="00DB5D21"/>
    <w:rsid w:val="00DB65B4"/>
    <w:rsid w:val="00DB6DD4"/>
    <w:rsid w:val="00DB77F7"/>
    <w:rsid w:val="00DB7D26"/>
    <w:rsid w:val="00DC085F"/>
    <w:rsid w:val="00DC27D4"/>
    <w:rsid w:val="00DC2A53"/>
    <w:rsid w:val="00DC2D67"/>
    <w:rsid w:val="00DC2F26"/>
    <w:rsid w:val="00DC3E55"/>
    <w:rsid w:val="00DC474D"/>
    <w:rsid w:val="00DC551E"/>
    <w:rsid w:val="00DD0711"/>
    <w:rsid w:val="00DD1040"/>
    <w:rsid w:val="00DD1D9A"/>
    <w:rsid w:val="00DD383D"/>
    <w:rsid w:val="00DD3FA2"/>
    <w:rsid w:val="00DD4160"/>
    <w:rsid w:val="00DD43DC"/>
    <w:rsid w:val="00DD4F68"/>
    <w:rsid w:val="00DD61F1"/>
    <w:rsid w:val="00DD6BBF"/>
    <w:rsid w:val="00DD7818"/>
    <w:rsid w:val="00DD7951"/>
    <w:rsid w:val="00DE2821"/>
    <w:rsid w:val="00DE33D6"/>
    <w:rsid w:val="00DE64B6"/>
    <w:rsid w:val="00DE67EE"/>
    <w:rsid w:val="00DE7941"/>
    <w:rsid w:val="00DE7FCD"/>
    <w:rsid w:val="00DF01F5"/>
    <w:rsid w:val="00DF0933"/>
    <w:rsid w:val="00DF09CB"/>
    <w:rsid w:val="00DF26BD"/>
    <w:rsid w:val="00DF2796"/>
    <w:rsid w:val="00DF279E"/>
    <w:rsid w:val="00DF29B5"/>
    <w:rsid w:val="00DF315B"/>
    <w:rsid w:val="00DF32B5"/>
    <w:rsid w:val="00DF3B50"/>
    <w:rsid w:val="00DF6B88"/>
    <w:rsid w:val="00E01413"/>
    <w:rsid w:val="00E01A95"/>
    <w:rsid w:val="00E03B2D"/>
    <w:rsid w:val="00E03C74"/>
    <w:rsid w:val="00E04E1D"/>
    <w:rsid w:val="00E05226"/>
    <w:rsid w:val="00E06902"/>
    <w:rsid w:val="00E06CE3"/>
    <w:rsid w:val="00E104A5"/>
    <w:rsid w:val="00E104E8"/>
    <w:rsid w:val="00E106B6"/>
    <w:rsid w:val="00E109F2"/>
    <w:rsid w:val="00E10ED8"/>
    <w:rsid w:val="00E10FF7"/>
    <w:rsid w:val="00E1239E"/>
    <w:rsid w:val="00E137B9"/>
    <w:rsid w:val="00E13893"/>
    <w:rsid w:val="00E1478E"/>
    <w:rsid w:val="00E14DF0"/>
    <w:rsid w:val="00E150B6"/>
    <w:rsid w:val="00E16230"/>
    <w:rsid w:val="00E169B4"/>
    <w:rsid w:val="00E17B81"/>
    <w:rsid w:val="00E2401C"/>
    <w:rsid w:val="00E240FF"/>
    <w:rsid w:val="00E2431D"/>
    <w:rsid w:val="00E25FF7"/>
    <w:rsid w:val="00E2618B"/>
    <w:rsid w:val="00E309CD"/>
    <w:rsid w:val="00E3128C"/>
    <w:rsid w:val="00E32EB7"/>
    <w:rsid w:val="00E3364D"/>
    <w:rsid w:val="00E336C6"/>
    <w:rsid w:val="00E3421F"/>
    <w:rsid w:val="00E34317"/>
    <w:rsid w:val="00E3510B"/>
    <w:rsid w:val="00E40174"/>
    <w:rsid w:val="00E40625"/>
    <w:rsid w:val="00E40EB3"/>
    <w:rsid w:val="00E41712"/>
    <w:rsid w:val="00E421BB"/>
    <w:rsid w:val="00E439EB"/>
    <w:rsid w:val="00E453F7"/>
    <w:rsid w:val="00E472F7"/>
    <w:rsid w:val="00E47CFB"/>
    <w:rsid w:val="00E504AB"/>
    <w:rsid w:val="00E505D0"/>
    <w:rsid w:val="00E52008"/>
    <w:rsid w:val="00E52BF2"/>
    <w:rsid w:val="00E53A08"/>
    <w:rsid w:val="00E54315"/>
    <w:rsid w:val="00E543BF"/>
    <w:rsid w:val="00E544F9"/>
    <w:rsid w:val="00E56539"/>
    <w:rsid w:val="00E575E1"/>
    <w:rsid w:val="00E603F0"/>
    <w:rsid w:val="00E60743"/>
    <w:rsid w:val="00E61684"/>
    <w:rsid w:val="00E618FA"/>
    <w:rsid w:val="00E6343C"/>
    <w:rsid w:val="00E63BD4"/>
    <w:rsid w:val="00E64259"/>
    <w:rsid w:val="00E64E87"/>
    <w:rsid w:val="00E66955"/>
    <w:rsid w:val="00E6729D"/>
    <w:rsid w:val="00E70983"/>
    <w:rsid w:val="00E71057"/>
    <w:rsid w:val="00E71547"/>
    <w:rsid w:val="00E71C82"/>
    <w:rsid w:val="00E71F74"/>
    <w:rsid w:val="00E72BBC"/>
    <w:rsid w:val="00E72F63"/>
    <w:rsid w:val="00E73492"/>
    <w:rsid w:val="00E73A56"/>
    <w:rsid w:val="00E77324"/>
    <w:rsid w:val="00E77DEA"/>
    <w:rsid w:val="00E811C0"/>
    <w:rsid w:val="00E840ED"/>
    <w:rsid w:val="00E84545"/>
    <w:rsid w:val="00E85D78"/>
    <w:rsid w:val="00E86E82"/>
    <w:rsid w:val="00E91943"/>
    <w:rsid w:val="00E91CB4"/>
    <w:rsid w:val="00E93C96"/>
    <w:rsid w:val="00E93DB1"/>
    <w:rsid w:val="00E94298"/>
    <w:rsid w:val="00E946B0"/>
    <w:rsid w:val="00E957A3"/>
    <w:rsid w:val="00E95B38"/>
    <w:rsid w:val="00E96F73"/>
    <w:rsid w:val="00EA01F7"/>
    <w:rsid w:val="00EA11AE"/>
    <w:rsid w:val="00EA13AA"/>
    <w:rsid w:val="00EA16A9"/>
    <w:rsid w:val="00EA4089"/>
    <w:rsid w:val="00EA4A48"/>
    <w:rsid w:val="00EA6E8C"/>
    <w:rsid w:val="00EB03AB"/>
    <w:rsid w:val="00EB03E8"/>
    <w:rsid w:val="00EB2029"/>
    <w:rsid w:val="00EB33D3"/>
    <w:rsid w:val="00EB38FF"/>
    <w:rsid w:val="00EB3AE1"/>
    <w:rsid w:val="00EB543F"/>
    <w:rsid w:val="00EB5D5F"/>
    <w:rsid w:val="00EC1D88"/>
    <w:rsid w:val="00EC20B2"/>
    <w:rsid w:val="00EC434A"/>
    <w:rsid w:val="00EC5303"/>
    <w:rsid w:val="00EC5431"/>
    <w:rsid w:val="00EC5756"/>
    <w:rsid w:val="00EC6B4D"/>
    <w:rsid w:val="00EC6FAE"/>
    <w:rsid w:val="00EC7133"/>
    <w:rsid w:val="00EC7ADF"/>
    <w:rsid w:val="00ED0862"/>
    <w:rsid w:val="00ED0A09"/>
    <w:rsid w:val="00ED169A"/>
    <w:rsid w:val="00ED20BA"/>
    <w:rsid w:val="00ED32AA"/>
    <w:rsid w:val="00ED33D4"/>
    <w:rsid w:val="00ED3D79"/>
    <w:rsid w:val="00ED7125"/>
    <w:rsid w:val="00ED7938"/>
    <w:rsid w:val="00EE03F0"/>
    <w:rsid w:val="00EE0D32"/>
    <w:rsid w:val="00EE1373"/>
    <w:rsid w:val="00EE315B"/>
    <w:rsid w:val="00EE4605"/>
    <w:rsid w:val="00EE6E31"/>
    <w:rsid w:val="00EE727C"/>
    <w:rsid w:val="00EE79D4"/>
    <w:rsid w:val="00EE7ECF"/>
    <w:rsid w:val="00EF027F"/>
    <w:rsid w:val="00EF2454"/>
    <w:rsid w:val="00EF24C7"/>
    <w:rsid w:val="00EF2C6F"/>
    <w:rsid w:val="00EF2E54"/>
    <w:rsid w:val="00EF3D3E"/>
    <w:rsid w:val="00EF4549"/>
    <w:rsid w:val="00EF49B0"/>
    <w:rsid w:val="00EF545D"/>
    <w:rsid w:val="00EF5BFD"/>
    <w:rsid w:val="00EF6909"/>
    <w:rsid w:val="00EF6BE5"/>
    <w:rsid w:val="00EF72C9"/>
    <w:rsid w:val="00F0032C"/>
    <w:rsid w:val="00F01369"/>
    <w:rsid w:val="00F0150E"/>
    <w:rsid w:val="00F0184D"/>
    <w:rsid w:val="00F02329"/>
    <w:rsid w:val="00F02CC8"/>
    <w:rsid w:val="00F02DBC"/>
    <w:rsid w:val="00F02FF2"/>
    <w:rsid w:val="00F04029"/>
    <w:rsid w:val="00F068D5"/>
    <w:rsid w:val="00F07B60"/>
    <w:rsid w:val="00F102F9"/>
    <w:rsid w:val="00F10FBE"/>
    <w:rsid w:val="00F11AFF"/>
    <w:rsid w:val="00F12181"/>
    <w:rsid w:val="00F1232E"/>
    <w:rsid w:val="00F125E9"/>
    <w:rsid w:val="00F127BA"/>
    <w:rsid w:val="00F1286E"/>
    <w:rsid w:val="00F13BF8"/>
    <w:rsid w:val="00F14AFD"/>
    <w:rsid w:val="00F167C1"/>
    <w:rsid w:val="00F245C1"/>
    <w:rsid w:val="00F254B8"/>
    <w:rsid w:val="00F26321"/>
    <w:rsid w:val="00F301C4"/>
    <w:rsid w:val="00F30B29"/>
    <w:rsid w:val="00F313EE"/>
    <w:rsid w:val="00F3147E"/>
    <w:rsid w:val="00F32071"/>
    <w:rsid w:val="00F3277E"/>
    <w:rsid w:val="00F35430"/>
    <w:rsid w:val="00F362C5"/>
    <w:rsid w:val="00F364A7"/>
    <w:rsid w:val="00F368C0"/>
    <w:rsid w:val="00F37139"/>
    <w:rsid w:val="00F3714B"/>
    <w:rsid w:val="00F376D7"/>
    <w:rsid w:val="00F3787E"/>
    <w:rsid w:val="00F37F70"/>
    <w:rsid w:val="00F4253F"/>
    <w:rsid w:val="00F42BDE"/>
    <w:rsid w:val="00F45880"/>
    <w:rsid w:val="00F50A6B"/>
    <w:rsid w:val="00F50BB2"/>
    <w:rsid w:val="00F51C9E"/>
    <w:rsid w:val="00F535AE"/>
    <w:rsid w:val="00F54376"/>
    <w:rsid w:val="00F56592"/>
    <w:rsid w:val="00F61B26"/>
    <w:rsid w:val="00F62EFE"/>
    <w:rsid w:val="00F6343D"/>
    <w:rsid w:val="00F6409D"/>
    <w:rsid w:val="00F656DB"/>
    <w:rsid w:val="00F67038"/>
    <w:rsid w:val="00F67F4D"/>
    <w:rsid w:val="00F701AF"/>
    <w:rsid w:val="00F7191C"/>
    <w:rsid w:val="00F73318"/>
    <w:rsid w:val="00F735A1"/>
    <w:rsid w:val="00F75443"/>
    <w:rsid w:val="00F759D8"/>
    <w:rsid w:val="00F75F32"/>
    <w:rsid w:val="00F76125"/>
    <w:rsid w:val="00F76F28"/>
    <w:rsid w:val="00F77616"/>
    <w:rsid w:val="00F8138D"/>
    <w:rsid w:val="00F82594"/>
    <w:rsid w:val="00F82ACE"/>
    <w:rsid w:val="00F82DFE"/>
    <w:rsid w:val="00F8473F"/>
    <w:rsid w:val="00F86764"/>
    <w:rsid w:val="00F87940"/>
    <w:rsid w:val="00F91467"/>
    <w:rsid w:val="00F9168E"/>
    <w:rsid w:val="00F91A94"/>
    <w:rsid w:val="00F9209C"/>
    <w:rsid w:val="00F929BE"/>
    <w:rsid w:val="00F92D28"/>
    <w:rsid w:val="00F933DC"/>
    <w:rsid w:val="00F94275"/>
    <w:rsid w:val="00F95848"/>
    <w:rsid w:val="00F96127"/>
    <w:rsid w:val="00F970EE"/>
    <w:rsid w:val="00F971DB"/>
    <w:rsid w:val="00FA068E"/>
    <w:rsid w:val="00FA0D2A"/>
    <w:rsid w:val="00FA1D0C"/>
    <w:rsid w:val="00FA2830"/>
    <w:rsid w:val="00FA2C72"/>
    <w:rsid w:val="00FA4321"/>
    <w:rsid w:val="00FA6CEA"/>
    <w:rsid w:val="00FA6FE3"/>
    <w:rsid w:val="00FA70DE"/>
    <w:rsid w:val="00FA78C1"/>
    <w:rsid w:val="00FB1890"/>
    <w:rsid w:val="00FB1B8F"/>
    <w:rsid w:val="00FB2DDB"/>
    <w:rsid w:val="00FB2FEE"/>
    <w:rsid w:val="00FB3F38"/>
    <w:rsid w:val="00FB423F"/>
    <w:rsid w:val="00FB5067"/>
    <w:rsid w:val="00FB5216"/>
    <w:rsid w:val="00FB6C11"/>
    <w:rsid w:val="00FB7B3C"/>
    <w:rsid w:val="00FC0A30"/>
    <w:rsid w:val="00FC2499"/>
    <w:rsid w:val="00FC2CB3"/>
    <w:rsid w:val="00FC2DC1"/>
    <w:rsid w:val="00FC342B"/>
    <w:rsid w:val="00FC3CA9"/>
    <w:rsid w:val="00FC4B76"/>
    <w:rsid w:val="00FC5B16"/>
    <w:rsid w:val="00FD2322"/>
    <w:rsid w:val="00FD2456"/>
    <w:rsid w:val="00FD2460"/>
    <w:rsid w:val="00FD493D"/>
    <w:rsid w:val="00FD4E73"/>
    <w:rsid w:val="00FD4EF6"/>
    <w:rsid w:val="00FD52B6"/>
    <w:rsid w:val="00FD5527"/>
    <w:rsid w:val="00FD5BE8"/>
    <w:rsid w:val="00FD66D3"/>
    <w:rsid w:val="00FD6732"/>
    <w:rsid w:val="00FE0B48"/>
    <w:rsid w:val="00FE2DA7"/>
    <w:rsid w:val="00FE34D9"/>
    <w:rsid w:val="00FE4C09"/>
    <w:rsid w:val="00FE679E"/>
    <w:rsid w:val="00FE68F7"/>
    <w:rsid w:val="00FE73F1"/>
    <w:rsid w:val="00FE750A"/>
    <w:rsid w:val="00FE78BC"/>
    <w:rsid w:val="00FE7C99"/>
    <w:rsid w:val="00FF137D"/>
    <w:rsid w:val="00FF2DBE"/>
    <w:rsid w:val="00FF3D6C"/>
    <w:rsid w:val="00FF648D"/>
    <w:rsid w:val="00FF6CC6"/>
    <w:rsid w:val="00FF6EF1"/>
    <w:rsid w:val="0EEBFFA5"/>
    <w:rsid w:val="2191B6C3"/>
    <w:rsid w:val="25795279"/>
    <w:rsid w:val="271522DA"/>
    <w:rsid w:val="2CDF6C96"/>
    <w:rsid w:val="2E7B3CF7"/>
    <w:rsid w:val="35325316"/>
    <w:rsid w:val="37C96E4E"/>
    <w:rsid w:val="3A926316"/>
    <w:rsid w:val="3C295769"/>
    <w:rsid w:val="4053D5B0"/>
    <w:rsid w:val="641AF0A5"/>
    <w:rsid w:val="65861B8F"/>
    <w:rsid w:val="68BDBC51"/>
    <w:rsid w:val="6B643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40DD32"/>
  <w15:chartTrackingRefBased/>
  <w15:docId w15:val="{5C260AD6-FF53-40E6-AEBB-0F7AD980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65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21"/>
    <w:pPr>
      <w:ind w:left="720"/>
      <w:contextualSpacing/>
    </w:pPr>
  </w:style>
  <w:style w:type="character" w:styleId="Hyperlink">
    <w:name w:val="Hyperlink"/>
    <w:basedOn w:val="DefaultParagraphFont"/>
    <w:uiPriority w:val="99"/>
    <w:unhideWhenUsed/>
    <w:rsid w:val="00DD3FA2"/>
    <w:rPr>
      <w:color w:val="0563C1" w:themeColor="hyperlink"/>
      <w:u w:val="single"/>
    </w:rPr>
  </w:style>
  <w:style w:type="character" w:styleId="UnresolvedMention">
    <w:name w:val="Unresolved Mention"/>
    <w:basedOn w:val="DefaultParagraphFont"/>
    <w:uiPriority w:val="99"/>
    <w:semiHidden/>
    <w:unhideWhenUsed/>
    <w:rsid w:val="00DD3FA2"/>
    <w:rPr>
      <w:color w:val="605E5C"/>
      <w:shd w:val="clear" w:color="auto" w:fill="E1DFDD"/>
    </w:rPr>
  </w:style>
  <w:style w:type="table" w:styleId="TableGrid">
    <w:name w:val="Table Grid"/>
    <w:basedOn w:val="TableNormal"/>
    <w:uiPriority w:val="39"/>
    <w:rsid w:val="00AD00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2F63"/>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E72F63"/>
    <w:rPr>
      <w:rFonts w:eastAsiaTheme="minorEastAsia"/>
      <w:sz w:val="20"/>
      <w:szCs w:val="20"/>
    </w:rPr>
  </w:style>
  <w:style w:type="character" w:styleId="EndnoteReference">
    <w:name w:val="endnote reference"/>
    <w:basedOn w:val="DefaultParagraphFont"/>
    <w:uiPriority w:val="99"/>
    <w:semiHidden/>
    <w:unhideWhenUsed/>
    <w:rsid w:val="00E72F63"/>
    <w:rPr>
      <w:vertAlign w:val="superscript"/>
    </w:rPr>
  </w:style>
  <w:style w:type="character" w:styleId="CommentReference">
    <w:name w:val="annotation reference"/>
    <w:basedOn w:val="DefaultParagraphFont"/>
    <w:uiPriority w:val="99"/>
    <w:semiHidden/>
    <w:unhideWhenUsed/>
    <w:rsid w:val="00004AF3"/>
    <w:rPr>
      <w:sz w:val="16"/>
      <w:szCs w:val="16"/>
    </w:rPr>
  </w:style>
  <w:style w:type="paragraph" w:styleId="CommentText">
    <w:name w:val="annotation text"/>
    <w:basedOn w:val="Normal"/>
    <w:link w:val="CommentTextChar"/>
    <w:uiPriority w:val="99"/>
    <w:unhideWhenUsed/>
    <w:rsid w:val="00004AF3"/>
    <w:pPr>
      <w:spacing w:line="240" w:lineRule="auto"/>
    </w:pPr>
    <w:rPr>
      <w:sz w:val="20"/>
      <w:szCs w:val="20"/>
    </w:rPr>
  </w:style>
  <w:style w:type="character" w:customStyle="1" w:styleId="CommentTextChar">
    <w:name w:val="Comment Text Char"/>
    <w:basedOn w:val="DefaultParagraphFont"/>
    <w:link w:val="CommentText"/>
    <w:uiPriority w:val="99"/>
    <w:rsid w:val="00004AF3"/>
    <w:rPr>
      <w:sz w:val="20"/>
      <w:szCs w:val="20"/>
    </w:rPr>
  </w:style>
  <w:style w:type="paragraph" w:styleId="CommentSubject">
    <w:name w:val="annotation subject"/>
    <w:basedOn w:val="CommentText"/>
    <w:next w:val="CommentText"/>
    <w:link w:val="CommentSubjectChar"/>
    <w:uiPriority w:val="99"/>
    <w:semiHidden/>
    <w:unhideWhenUsed/>
    <w:rsid w:val="00004AF3"/>
    <w:rPr>
      <w:b/>
      <w:bCs/>
    </w:rPr>
  </w:style>
  <w:style w:type="character" w:customStyle="1" w:styleId="CommentSubjectChar">
    <w:name w:val="Comment Subject Char"/>
    <w:basedOn w:val="CommentTextChar"/>
    <w:link w:val="CommentSubject"/>
    <w:uiPriority w:val="99"/>
    <w:semiHidden/>
    <w:rsid w:val="00004AF3"/>
    <w:rPr>
      <w:b/>
      <w:bCs/>
      <w:sz w:val="20"/>
      <w:szCs w:val="20"/>
    </w:rPr>
  </w:style>
  <w:style w:type="paragraph" w:styleId="BalloonText">
    <w:name w:val="Balloon Text"/>
    <w:basedOn w:val="Normal"/>
    <w:link w:val="BalloonTextChar"/>
    <w:uiPriority w:val="99"/>
    <w:semiHidden/>
    <w:unhideWhenUsed/>
    <w:rsid w:val="00004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AF3"/>
    <w:rPr>
      <w:rFonts w:ascii="Segoe UI" w:hAnsi="Segoe UI" w:cs="Segoe UI"/>
      <w:sz w:val="18"/>
      <w:szCs w:val="18"/>
    </w:rPr>
  </w:style>
  <w:style w:type="character" w:styleId="FollowedHyperlink">
    <w:name w:val="FollowedHyperlink"/>
    <w:basedOn w:val="DefaultParagraphFont"/>
    <w:uiPriority w:val="99"/>
    <w:semiHidden/>
    <w:unhideWhenUsed/>
    <w:rsid w:val="00EE315B"/>
    <w:rPr>
      <w:color w:val="954F72" w:themeColor="followedHyperlink"/>
      <w:u w:val="single"/>
    </w:rPr>
  </w:style>
  <w:style w:type="paragraph" w:styleId="Header">
    <w:name w:val="header"/>
    <w:basedOn w:val="Normal"/>
    <w:link w:val="HeaderChar"/>
    <w:uiPriority w:val="99"/>
    <w:unhideWhenUsed/>
    <w:rsid w:val="00D31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8F9"/>
  </w:style>
  <w:style w:type="paragraph" w:styleId="Footer">
    <w:name w:val="footer"/>
    <w:basedOn w:val="Normal"/>
    <w:link w:val="FooterChar"/>
    <w:uiPriority w:val="99"/>
    <w:unhideWhenUsed/>
    <w:rsid w:val="00D31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8F9"/>
  </w:style>
  <w:style w:type="paragraph" w:styleId="NormalWeb">
    <w:name w:val="Normal (Web)"/>
    <w:basedOn w:val="Normal"/>
    <w:uiPriority w:val="99"/>
    <w:semiHidden/>
    <w:unhideWhenUsed/>
    <w:rsid w:val="00533D54"/>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BC3D6B"/>
    <w:pPr>
      <w:spacing w:after="0" w:line="240" w:lineRule="auto"/>
    </w:pPr>
  </w:style>
  <w:style w:type="paragraph" w:styleId="FootnoteText">
    <w:name w:val="footnote text"/>
    <w:basedOn w:val="Normal"/>
    <w:link w:val="FootnoteTextChar"/>
    <w:uiPriority w:val="99"/>
    <w:semiHidden/>
    <w:unhideWhenUsed/>
    <w:rsid w:val="003B04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0479"/>
    <w:rPr>
      <w:sz w:val="20"/>
      <w:szCs w:val="20"/>
    </w:rPr>
  </w:style>
  <w:style w:type="character" w:styleId="FootnoteReference">
    <w:name w:val="footnote reference"/>
    <w:basedOn w:val="DefaultParagraphFont"/>
    <w:uiPriority w:val="99"/>
    <w:semiHidden/>
    <w:unhideWhenUsed/>
    <w:rsid w:val="003B0479"/>
    <w:rPr>
      <w:vertAlign w:val="superscript"/>
    </w:rPr>
  </w:style>
  <w:style w:type="character" w:customStyle="1" w:styleId="author">
    <w:name w:val="author"/>
    <w:basedOn w:val="DefaultParagraphFont"/>
    <w:rsid w:val="00032E87"/>
  </w:style>
  <w:style w:type="character" w:customStyle="1" w:styleId="pubyear">
    <w:name w:val="pubyear"/>
    <w:basedOn w:val="DefaultParagraphFont"/>
    <w:rsid w:val="00032E87"/>
  </w:style>
  <w:style w:type="character" w:customStyle="1" w:styleId="markedcontent">
    <w:name w:val="markedcontent"/>
    <w:rsid w:val="008F548E"/>
  </w:style>
  <w:style w:type="character" w:customStyle="1" w:styleId="highlight">
    <w:name w:val="highlight"/>
    <w:rsid w:val="008F548E"/>
  </w:style>
  <w:style w:type="character" w:styleId="Strong">
    <w:name w:val="Strong"/>
    <w:basedOn w:val="DefaultParagraphFont"/>
    <w:uiPriority w:val="22"/>
    <w:qFormat/>
    <w:rsid w:val="00135609"/>
    <w:rPr>
      <w:b/>
      <w:bCs/>
    </w:rPr>
  </w:style>
  <w:style w:type="character" w:customStyle="1" w:styleId="Heading1Char">
    <w:name w:val="Heading 1 Char"/>
    <w:basedOn w:val="DefaultParagraphFont"/>
    <w:link w:val="Heading1"/>
    <w:uiPriority w:val="9"/>
    <w:rsid w:val="003565A7"/>
    <w:rPr>
      <w:rFonts w:asciiTheme="majorHAnsi" w:eastAsiaTheme="majorEastAsia" w:hAnsiTheme="majorHAnsi" w:cstheme="majorBidi"/>
      <w:color w:val="2F5496" w:themeColor="accent1" w:themeShade="BF"/>
      <w:sz w:val="32"/>
      <w:szCs w:val="32"/>
    </w:rPr>
  </w:style>
  <w:style w:type="character" w:customStyle="1" w:styleId="identifier">
    <w:name w:val="identifier"/>
    <w:basedOn w:val="DefaultParagraphFont"/>
    <w:rsid w:val="000A15BE"/>
  </w:style>
  <w:style w:type="paragraph" w:styleId="PlainText">
    <w:name w:val="Plain Text"/>
    <w:basedOn w:val="Normal"/>
    <w:link w:val="PlainTextChar"/>
    <w:uiPriority w:val="99"/>
    <w:semiHidden/>
    <w:unhideWhenUsed/>
    <w:rsid w:val="00394BD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94BD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68829">
      <w:bodyDiv w:val="1"/>
      <w:marLeft w:val="0"/>
      <w:marRight w:val="0"/>
      <w:marTop w:val="0"/>
      <w:marBottom w:val="0"/>
      <w:divBdr>
        <w:top w:val="none" w:sz="0" w:space="0" w:color="auto"/>
        <w:left w:val="none" w:sz="0" w:space="0" w:color="auto"/>
        <w:bottom w:val="none" w:sz="0" w:space="0" w:color="auto"/>
        <w:right w:val="none" w:sz="0" w:space="0" w:color="auto"/>
      </w:divBdr>
      <w:divsChild>
        <w:div w:id="2131971625">
          <w:marLeft w:val="0"/>
          <w:marRight w:val="0"/>
          <w:marTop w:val="0"/>
          <w:marBottom w:val="0"/>
          <w:divBdr>
            <w:top w:val="none" w:sz="0" w:space="0" w:color="auto"/>
            <w:left w:val="none" w:sz="0" w:space="0" w:color="auto"/>
            <w:bottom w:val="none" w:sz="0" w:space="0" w:color="auto"/>
            <w:right w:val="none" w:sz="0" w:space="0" w:color="auto"/>
          </w:divBdr>
        </w:div>
        <w:div w:id="228350705">
          <w:marLeft w:val="0"/>
          <w:marRight w:val="0"/>
          <w:marTop w:val="0"/>
          <w:marBottom w:val="0"/>
          <w:divBdr>
            <w:top w:val="none" w:sz="0" w:space="0" w:color="auto"/>
            <w:left w:val="none" w:sz="0" w:space="0" w:color="auto"/>
            <w:bottom w:val="none" w:sz="0" w:space="0" w:color="auto"/>
            <w:right w:val="none" w:sz="0" w:space="0" w:color="auto"/>
          </w:divBdr>
        </w:div>
        <w:div w:id="1896089338">
          <w:marLeft w:val="0"/>
          <w:marRight w:val="0"/>
          <w:marTop w:val="0"/>
          <w:marBottom w:val="0"/>
          <w:divBdr>
            <w:top w:val="none" w:sz="0" w:space="0" w:color="auto"/>
            <w:left w:val="none" w:sz="0" w:space="0" w:color="auto"/>
            <w:bottom w:val="none" w:sz="0" w:space="0" w:color="auto"/>
            <w:right w:val="none" w:sz="0" w:space="0" w:color="auto"/>
          </w:divBdr>
        </w:div>
        <w:div w:id="526483247">
          <w:marLeft w:val="0"/>
          <w:marRight w:val="0"/>
          <w:marTop w:val="0"/>
          <w:marBottom w:val="0"/>
          <w:divBdr>
            <w:top w:val="none" w:sz="0" w:space="0" w:color="auto"/>
            <w:left w:val="none" w:sz="0" w:space="0" w:color="auto"/>
            <w:bottom w:val="none" w:sz="0" w:space="0" w:color="auto"/>
            <w:right w:val="none" w:sz="0" w:space="0" w:color="auto"/>
          </w:divBdr>
        </w:div>
        <w:div w:id="1784614024">
          <w:marLeft w:val="0"/>
          <w:marRight w:val="0"/>
          <w:marTop w:val="0"/>
          <w:marBottom w:val="0"/>
          <w:divBdr>
            <w:top w:val="none" w:sz="0" w:space="0" w:color="auto"/>
            <w:left w:val="none" w:sz="0" w:space="0" w:color="auto"/>
            <w:bottom w:val="none" w:sz="0" w:space="0" w:color="auto"/>
            <w:right w:val="none" w:sz="0" w:space="0" w:color="auto"/>
          </w:divBdr>
        </w:div>
        <w:div w:id="1241987223">
          <w:marLeft w:val="0"/>
          <w:marRight w:val="0"/>
          <w:marTop w:val="0"/>
          <w:marBottom w:val="0"/>
          <w:divBdr>
            <w:top w:val="none" w:sz="0" w:space="0" w:color="auto"/>
            <w:left w:val="none" w:sz="0" w:space="0" w:color="auto"/>
            <w:bottom w:val="none" w:sz="0" w:space="0" w:color="auto"/>
            <w:right w:val="none" w:sz="0" w:space="0" w:color="auto"/>
          </w:divBdr>
        </w:div>
        <w:div w:id="141041603">
          <w:marLeft w:val="0"/>
          <w:marRight w:val="0"/>
          <w:marTop w:val="0"/>
          <w:marBottom w:val="0"/>
          <w:divBdr>
            <w:top w:val="none" w:sz="0" w:space="0" w:color="auto"/>
            <w:left w:val="none" w:sz="0" w:space="0" w:color="auto"/>
            <w:bottom w:val="none" w:sz="0" w:space="0" w:color="auto"/>
            <w:right w:val="none" w:sz="0" w:space="0" w:color="auto"/>
          </w:divBdr>
        </w:div>
        <w:div w:id="227227303">
          <w:marLeft w:val="0"/>
          <w:marRight w:val="0"/>
          <w:marTop w:val="0"/>
          <w:marBottom w:val="0"/>
          <w:divBdr>
            <w:top w:val="none" w:sz="0" w:space="0" w:color="auto"/>
            <w:left w:val="none" w:sz="0" w:space="0" w:color="auto"/>
            <w:bottom w:val="none" w:sz="0" w:space="0" w:color="auto"/>
            <w:right w:val="none" w:sz="0" w:space="0" w:color="auto"/>
          </w:divBdr>
        </w:div>
        <w:div w:id="1171987215">
          <w:marLeft w:val="0"/>
          <w:marRight w:val="0"/>
          <w:marTop w:val="0"/>
          <w:marBottom w:val="0"/>
          <w:divBdr>
            <w:top w:val="none" w:sz="0" w:space="0" w:color="auto"/>
            <w:left w:val="none" w:sz="0" w:space="0" w:color="auto"/>
            <w:bottom w:val="none" w:sz="0" w:space="0" w:color="auto"/>
            <w:right w:val="none" w:sz="0" w:space="0" w:color="auto"/>
          </w:divBdr>
        </w:div>
        <w:div w:id="293633239">
          <w:marLeft w:val="0"/>
          <w:marRight w:val="0"/>
          <w:marTop w:val="0"/>
          <w:marBottom w:val="0"/>
          <w:divBdr>
            <w:top w:val="none" w:sz="0" w:space="0" w:color="auto"/>
            <w:left w:val="none" w:sz="0" w:space="0" w:color="auto"/>
            <w:bottom w:val="none" w:sz="0" w:space="0" w:color="auto"/>
            <w:right w:val="none" w:sz="0" w:space="0" w:color="auto"/>
          </w:divBdr>
        </w:div>
        <w:div w:id="1738085738">
          <w:marLeft w:val="0"/>
          <w:marRight w:val="0"/>
          <w:marTop w:val="0"/>
          <w:marBottom w:val="0"/>
          <w:divBdr>
            <w:top w:val="none" w:sz="0" w:space="0" w:color="auto"/>
            <w:left w:val="none" w:sz="0" w:space="0" w:color="auto"/>
            <w:bottom w:val="none" w:sz="0" w:space="0" w:color="auto"/>
            <w:right w:val="none" w:sz="0" w:space="0" w:color="auto"/>
          </w:divBdr>
        </w:div>
        <w:div w:id="89739113">
          <w:marLeft w:val="0"/>
          <w:marRight w:val="0"/>
          <w:marTop w:val="0"/>
          <w:marBottom w:val="0"/>
          <w:divBdr>
            <w:top w:val="none" w:sz="0" w:space="0" w:color="auto"/>
            <w:left w:val="none" w:sz="0" w:space="0" w:color="auto"/>
            <w:bottom w:val="none" w:sz="0" w:space="0" w:color="auto"/>
            <w:right w:val="none" w:sz="0" w:space="0" w:color="auto"/>
          </w:divBdr>
        </w:div>
        <w:div w:id="316154219">
          <w:marLeft w:val="0"/>
          <w:marRight w:val="0"/>
          <w:marTop w:val="0"/>
          <w:marBottom w:val="0"/>
          <w:divBdr>
            <w:top w:val="none" w:sz="0" w:space="0" w:color="auto"/>
            <w:left w:val="none" w:sz="0" w:space="0" w:color="auto"/>
            <w:bottom w:val="none" w:sz="0" w:space="0" w:color="auto"/>
            <w:right w:val="none" w:sz="0" w:space="0" w:color="auto"/>
          </w:divBdr>
        </w:div>
        <w:div w:id="94832805">
          <w:marLeft w:val="0"/>
          <w:marRight w:val="0"/>
          <w:marTop w:val="0"/>
          <w:marBottom w:val="0"/>
          <w:divBdr>
            <w:top w:val="none" w:sz="0" w:space="0" w:color="auto"/>
            <w:left w:val="none" w:sz="0" w:space="0" w:color="auto"/>
            <w:bottom w:val="none" w:sz="0" w:space="0" w:color="auto"/>
            <w:right w:val="none" w:sz="0" w:space="0" w:color="auto"/>
          </w:divBdr>
        </w:div>
        <w:div w:id="974796834">
          <w:marLeft w:val="0"/>
          <w:marRight w:val="0"/>
          <w:marTop w:val="0"/>
          <w:marBottom w:val="0"/>
          <w:divBdr>
            <w:top w:val="none" w:sz="0" w:space="0" w:color="auto"/>
            <w:left w:val="none" w:sz="0" w:space="0" w:color="auto"/>
            <w:bottom w:val="none" w:sz="0" w:space="0" w:color="auto"/>
            <w:right w:val="none" w:sz="0" w:space="0" w:color="auto"/>
          </w:divBdr>
        </w:div>
        <w:div w:id="211309842">
          <w:marLeft w:val="0"/>
          <w:marRight w:val="0"/>
          <w:marTop w:val="0"/>
          <w:marBottom w:val="0"/>
          <w:divBdr>
            <w:top w:val="none" w:sz="0" w:space="0" w:color="auto"/>
            <w:left w:val="none" w:sz="0" w:space="0" w:color="auto"/>
            <w:bottom w:val="none" w:sz="0" w:space="0" w:color="auto"/>
            <w:right w:val="none" w:sz="0" w:space="0" w:color="auto"/>
          </w:divBdr>
        </w:div>
        <w:div w:id="642276730">
          <w:marLeft w:val="0"/>
          <w:marRight w:val="0"/>
          <w:marTop w:val="0"/>
          <w:marBottom w:val="0"/>
          <w:divBdr>
            <w:top w:val="none" w:sz="0" w:space="0" w:color="auto"/>
            <w:left w:val="none" w:sz="0" w:space="0" w:color="auto"/>
            <w:bottom w:val="none" w:sz="0" w:space="0" w:color="auto"/>
            <w:right w:val="none" w:sz="0" w:space="0" w:color="auto"/>
          </w:divBdr>
        </w:div>
        <w:div w:id="923414052">
          <w:marLeft w:val="0"/>
          <w:marRight w:val="0"/>
          <w:marTop w:val="0"/>
          <w:marBottom w:val="0"/>
          <w:divBdr>
            <w:top w:val="none" w:sz="0" w:space="0" w:color="auto"/>
            <w:left w:val="none" w:sz="0" w:space="0" w:color="auto"/>
            <w:bottom w:val="none" w:sz="0" w:space="0" w:color="auto"/>
            <w:right w:val="none" w:sz="0" w:space="0" w:color="auto"/>
          </w:divBdr>
        </w:div>
        <w:div w:id="872301976">
          <w:marLeft w:val="0"/>
          <w:marRight w:val="0"/>
          <w:marTop w:val="0"/>
          <w:marBottom w:val="0"/>
          <w:divBdr>
            <w:top w:val="none" w:sz="0" w:space="0" w:color="auto"/>
            <w:left w:val="none" w:sz="0" w:space="0" w:color="auto"/>
            <w:bottom w:val="none" w:sz="0" w:space="0" w:color="auto"/>
            <w:right w:val="none" w:sz="0" w:space="0" w:color="auto"/>
          </w:divBdr>
        </w:div>
        <w:div w:id="1766732442">
          <w:marLeft w:val="0"/>
          <w:marRight w:val="0"/>
          <w:marTop w:val="0"/>
          <w:marBottom w:val="0"/>
          <w:divBdr>
            <w:top w:val="none" w:sz="0" w:space="0" w:color="auto"/>
            <w:left w:val="none" w:sz="0" w:space="0" w:color="auto"/>
            <w:bottom w:val="none" w:sz="0" w:space="0" w:color="auto"/>
            <w:right w:val="none" w:sz="0" w:space="0" w:color="auto"/>
          </w:divBdr>
        </w:div>
        <w:div w:id="1668634071">
          <w:marLeft w:val="0"/>
          <w:marRight w:val="0"/>
          <w:marTop w:val="0"/>
          <w:marBottom w:val="0"/>
          <w:divBdr>
            <w:top w:val="none" w:sz="0" w:space="0" w:color="auto"/>
            <w:left w:val="none" w:sz="0" w:space="0" w:color="auto"/>
            <w:bottom w:val="none" w:sz="0" w:space="0" w:color="auto"/>
            <w:right w:val="none" w:sz="0" w:space="0" w:color="auto"/>
          </w:divBdr>
        </w:div>
        <w:div w:id="942684081">
          <w:marLeft w:val="0"/>
          <w:marRight w:val="0"/>
          <w:marTop w:val="0"/>
          <w:marBottom w:val="0"/>
          <w:divBdr>
            <w:top w:val="none" w:sz="0" w:space="0" w:color="auto"/>
            <w:left w:val="none" w:sz="0" w:space="0" w:color="auto"/>
            <w:bottom w:val="none" w:sz="0" w:space="0" w:color="auto"/>
            <w:right w:val="none" w:sz="0" w:space="0" w:color="auto"/>
          </w:divBdr>
        </w:div>
        <w:div w:id="248347627">
          <w:marLeft w:val="0"/>
          <w:marRight w:val="0"/>
          <w:marTop w:val="0"/>
          <w:marBottom w:val="0"/>
          <w:divBdr>
            <w:top w:val="none" w:sz="0" w:space="0" w:color="auto"/>
            <w:left w:val="none" w:sz="0" w:space="0" w:color="auto"/>
            <w:bottom w:val="none" w:sz="0" w:space="0" w:color="auto"/>
            <w:right w:val="none" w:sz="0" w:space="0" w:color="auto"/>
          </w:divBdr>
        </w:div>
        <w:div w:id="112676596">
          <w:marLeft w:val="0"/>
          <w:marRight w:val="0"/>
          <w:marTop w:val="0"/>
          <w:marBottom w:val="0"/>
          <w:divBdr>
            <w:top w:val="none" w:sz="0" w:space="0" w:color="auto"/>
            <w:left w:val="none" w:sz="0" w:space="0" w:color="auto"/>
            <w:bottom w:val="none" w:sz="0" w:space="0" w:color="auto"/>
            <w:right w:val="none" w:sz="0" w:space="0" w:color="auto"/>
          </w:divBdr>
        </w:div>
        <w:div w:id="267126387">
          <w:marLeft w:val="0"/>
          <w:marRight w:val="0"/>
          <w:marTop w:val="0"/>
          <w:marBottom w:val="0"/>
          <w:divBdr>
            <w:top w:val="none" w:sz="0" w:space="0" w:color="auto"/>
            <w:left w:val="none" w:sz="0" w:space="0" w:color="auto"/>
            <w:bottom w:val="none" w:sz="0" w:space="0" w:color="auto"/>
            <w:right w:val="none" w:sz="0" w:space="0" w:color="auto"/>
          </w:divBdr>
        </w:div>
        <w:div w:id="2059357334">
          <w:marLeft w:val="0"/>
          <w:marRight w:val="0"/>
          <w:marTop w:val="0"/>
          <w:marBottom w:val="0"/>
          <w:divBdr>
            <w:top w:val="none" w:sz="0" w:space="0" w:color="auto"/>
            <w:left w:val="none" w:sz="0" w:space="0" w:color="auto"/>
            <w:bottom w:val="none" w:sz="0" w:space="0" w:color="auto"/>
            <w:right w:val="none" w:sz="0" w:space="0" w:color="auto"/>
          </w:divBdr>
        </w:div>
        <w:div w:id="1085802052">
          <w:marLeft w:val="0"/>
          <w:marRight w:val="0"/>
          <w:marTop w:val="0"/>
          <w:marBottom w:val="0"/>
          <w:divBdr>
            <w:top w:val="none" w:sz="0" w:space="0" w:color="auto"/>
            <w:left w:val="none" w:sz="0" w:space="0" w:color="auto"/>
            <w:bottom w:val="none" w:sz="0" w:space="0" w:color="auto"/>
            <w:right w:val="none" w:sz="0" w:space="0" w:color="auto"/>
          </w:divBdr>
        </w:div>
        <w:div w:id="1736734511">
          <w:marLeft w:val="0"/>
          <w:marRight w:val="0"/>
          <w:marTop w:val="0"/>
          <w:marBottom w:val="0"/>
          <w:divBdr>
            <w:top w:val="none" w:sz="0" w:space="0" w:color="auto"/>
            <w:left w:val="none" w:sz="0" w:space="0" w:color="auto"/>
            <w:bottom w:val="none" w:sz="0" w:space="0" w:color="auto"/>
            <w:right w:val="none" w:sz="0" w:space="0" w:color="auto"/>
          </w:divBdr>
        </w:div>
        <w:div w:id="2068457623">
          <w:marLeft w:val="0"/>
          <w:marRight w:val="0"/>
          <w:marTop w:val="0"/>
          <w:marBottom w:val="0"/>
          <w:divBdr>
            <w:top w:val="none" w:sz="0" w:space="0" w:color="auto"/>
            <w:left w:val="none" w:sz="0" w:space="0" w:color="auto"/>
            <w:bottom w:val="none" w:sz="0" w:space="0" w:color="auto"/>
            <w:right w:val="none" w:sz="0" w:space="0" w:color="auto"/>
          </w:divBdr>
        </w:div>
        <w:div w:id="928584579">
          <w:marLeft w:val="0"/>
          <w:marRight w:val="0"/>
          <w:marTop w:val="0"/>
          <w:marBottom w:val="0"/>
          <w:divBdr>
            <w:top w:val="none" w:sz="0" w:space="0" w:color="auto"/>
            <w:left w:val="none" w:sz="0" w:space="0" w:color="auto"/>
            <w:bottom w:val="none" w:sz="0" w:space="0" w:color="auto"/>
            <w:right w:val="none" w:sz="0" w:space="0" w:color="auto"/>
          </w:divBdr>
        </w:div>
        <w:div w:id="551161657">
          <w:marLeft w:val="0"/>
          <w:marRight w:val="0"/>
          <w:marTop w:val="0"/>
          <w:marBottom w:val="0"/>
          <w:divBdr>
            <w:top w:val="none" w:sz="0" w:space="0" w:color="auto"/>
            <w:left w:val="none" w:sz="0" w:space="0" w:color="auto"/>
            <w:bottom w:val="none" w:sz="0" w:space="0" w:color="auto"/>
            <w:right w:val="none" w:sz="0" w:space="0" w:color="auto"/>
          </w:divBdr>
        </w:div>
        <w:div w:id="338119311">
          <w:marLeft w:val="0"/>
          <w:marRight w:val="0"/>
          <w:marTop w:val="0"/>
          <w:marBottom w:val="0"/>
          <w:divBdr>
            <w:top w:val="none" w:sz="0" w:space="0" w:color="auto"/>
            <w:left w:val="none" w:sz="0" w:space="0" w:color="auto"/>
            <w:bottom w:val="none" w:sz="0" w:space="0" w:color="auto"/>
            <w:right w:val="none" w:sz="0" w:space="0" w:color="auto"/>
          </w:divBdr>
        </w:div>
        <w:div w:id="1918199932">
          <w:marLeft w:val="0"/>
          <w:marRight w:val="0"/>
          <w:marTop w:val="0"/>
          <w:marBottom w:val="0"/>
          <w:divBdr>
            <w:top w:val="none" w:sz="0" w:space="0" w:color="auto"/>
            <w:left w:val="none" w:sz="0" w:space="0" w:color="auto"/>
            <w:bottom w:val="none" w:sz="0" w:space="0" w:color="auto"/>
            <w:right w:val="none" w:sz="0" w:space="0" w:color="auto"/>
          </w:divBdr>
        </w:div>
        <w:div w:id="147400790">
          <w:marLeft w:val="0"/>
          <w:marRight w:val="0"/>
          <w:marTop w:val="0"/>
          <w:marBottom w:val="0"/>
          <w:divBdr>
            <w:top w:val="none" w:sz="0" w:space="0" w:color="auto"/>
            <w:left w:val="none" w:sz="0" w:space="0" w:color="auto"/>
            <w:bottom w:val="none" w:sz="0" w:space="0" w:color="auto"/>
            <w:right w:val="none" w:sz="0" w:space="0" w:color="auto"/>
          </w:divBdr>
        </w:div>
        <w:div w:id="27688142">
          <w:marLeft w:val="0"/>
          <w:marRight w:val="0"/>
          <w:marTop w:val="0"/>
          <w:marBottom w:val="0"/>
          <w:divBdr>
            <w:top w:val="none" w:sz="0" w:space="0" w:color="auto"/>
            <w:left w:val="none" w:sz="0" w:space="0" w:color="auto"/>
            <w:bottom w:val="none" w:sz="0" w:space="0" w:color="auto"/>
            <w:right w:val="none" w:sz="0" w:space="0" w:color="auto"/>
          </w:divBdr>
        </w:div>
        <w:div w:id="698092447">
          <w:marLeft w:val="0"/>
          <w:marRight w:val="0"/>
          <w:marTop w:val="0"/>
          <w:marBottom w:val="0"/>
          <w:divBdr>
            <w:top w:val="none" w:sz="0" w:space="0" w:color="auto"/>
            <w:left w:val="none" w:sz="0" w:space="0" w:color="auto"/>
            <w:bottom w:val="none" w:sz="0" w:space="0" w:color="auto"/>
            <w:right w:val="none" w:sz="0" w:space="0" w:color="auto"/>
          </w:divBdr>
        </w:div>
        <w:div w:id="1842966958">
          <w:marLeft w:val="0"/>
          <w:marRight w:val="0"/>
          <w:marTop w:val="0"/>
          <w:marBottom w:val="0"/>
          <w:divBdr>
            <w:top w:val="none" w:sz="0" w:space="0" w:color="auto"/>
            <w:left w:val="none" w:sz="0" w:space="0" w:color="auto"/>
            <w:bottom w:val="none" w:sz="0" w:space="0" w:color="auto"/>
            <w:right w:val="none" w:sz="0" w:space="0" w:color="auto"/>
          </w:divBdr>
        </w:div>
        <w:div w:id="928931506">
          <w:marLeft w:val="0"/>
          <w:marRight w:val="0"/>
          <w:marTop w:val="0"/>
          <w:marBottom w:val="0"/>
          <w:divBdr>
            <w:top w:val="none" w:sz="0" w:space="0" w:color="auto"/>
            <w:left w:val="none" w:sz="0" w:space="0" w:color="auto"/>
            <w:bottom w:val="none" w:sz="0" w:space="0" w:color="auto"/>
            <w:right w:val="none" w:sz="0" w:space="0" w:color="auto"/>
          </w:divBdr>
        </w:div>
        <w:div w:id="1942689433">
          <w:marLeft w:val="0"/>
          <w:marRight w:val="0"/>
          <w:marTop w:val="0"/>
          <w:marBottom w:val="0"/>
          <w:divBdr>
            <w:top w:val="none" w:sz="0" w:space="0" w:color="auto"/>
            <w:left w:val="none" w:sz="0" w:space="0" w:color="auto"/>
            <w:bottom w:val="none" w:sz="0" w:space="0" w:color="auto"/>
            <w:right w:val="none" w:sz="0" w:space="0" w:color="auto"/>
          </w:divBdr>
        </w:div>
        <w:div w:id="2138839175">
          <w:marLeft w:val="0"/>
          <w:marRight w:val="0"/>
          <w:marTop w:val="0"/>
          <w:marBottom w:val="0"/>
          <w:divBdr>
            <w:top w:val="none" w:sz="0" w:space="0" w:color="auto"/>
            <w:left w:val="none" w:sz="0" w:space="0" w:color="auto"/>
            <w:bottom w:val="none" w:sz="0" w:space="0" w:color="auto"/>
            <w:right w:val="none" w:sz="0" w:space="0" w:color="auto"/>
          </w:divBdr>
        </w:div>
        <w:div w:id="114565184">
          <w:marLeft w:val="0"/>
          <w:marRight w:val="0"/>
          <w:marTop w:val="0"/>
          <w:marBottom w:val="0"/>
          <w:divBdr>
            <w:top w:val="none" w:sz="0" w:space="0" w:color="auto"/>
            <w:left w:val="none" w:sz="0" w:space="0" w:color="auto"/>
            <w:bottom w:val="none" w:sz="0" w:space="0" w:color="auto"/>
            <w:right w:val="none" w:sz="0" w:space="0" w:color="auto"/>
          </w:divBdr>
        </w:div>
        <w:div w:id="1152985216">
          <w:marLeft w:val="0"/>
          <w:marRight w:val="0"/>
          <w:marTop w:val="0"/>
          <w:marBottom w:val="0"/>
          <w:divBdr>
            <w:top w:val="none" w:sz="0" w:space="0" w:color="auto"/>
            <w:left w:val="none" w:sz="0" w:space="0" w:color="auto"/>
            <w:bottom w:val="none" w:sz="0" w:space="0" w:color="auto"/>
            <w:right w:val="none" w:sz="0" w:space="0" w:color="auto"/>
          </w:divBdr>
        </w:div>
        <w:div w:id="1350138349">
          <w:marLeft w:val="0"/>
          <w:marRight w:val="0"/>
          <w:marTop w:val="0"/>
          <w:marBottom w:val="0"/>
          <w:divBdr>
            <w:top w:val="none" w:sz="0" w:space="0" w:color="auto"/>
            <w:left w:val="none" w:sz="0" w:space="0" w:color="auto"/>
            <w:bottom w:val="none" w:sz="0" w:space="0" w:color="auto"/>
            <w:right w:val="none" w:sz="0" w:space="0" w:color="auto"/>
          </w:divBdr>
        </w:div>
        <w:div w:id="316543731">
          <w:marLeft w:val="0"/>
          <w:marRight w:val="0"/>
          <w:marTop w:val="0"/>
          <w:marBottom w:val="0"/>
          <w:divBdr>
            <w:top w:val="none" w:sz="0" w:space="0" w:color="auto"/>
            <w:left w:val="none" w:sz="0" w:space="0" w:color="auto"/>
            <w:bottom w:val="none" w:sz="0" w:space="0" w:color="auto"/>
            <w:right w:val="none" w:sz="0" w:space="0" w:color="auto"/>
          </w:divBdr>
        </w:div>
        <w:div w:id="21447067">
          <w:marLeft w:val="0"/>
          <w:marRight w:val="0"/>
          <w:marTop w:val="0"/>
          <w:marBottom w:val="0"/>
          <w:divBdr>
            <w:top w:val="none" w:sz="0" w:space="0" w:color="auto"/>
            <w:left w:val="none" w:sz="0" w:space="0" w:color="auto"/>
            <w:bottom w:val="none" w:sz="0" w:space="0" w:color="auto"/>
            <w:right w:val="none" w:sz="0" w:space="0" w:color="auto"/>
          </w:divBdr>
        </w:div>
        <w:div w:id="2043507200">
          <w:marLeft w:val="0"/>
          <w:marRight w:val="0"/>
          <w:marTop w:val="0"/>
          <w:marBottom w:val="0"/>
          <w:divBdr>
            <w:top w:val="none" w:sz="0" w:space="0" w:color="auto"/>
            <w:left w:val="none" w:sz="0" w:space="0" w:color="auto"/>
            <w:bottom w:val="none" w:sz="0" w:space="0" w:color="auto"/>
            <w:right w:val="none" w:sz="0" w:space="0" w:color="auto"/>
          </w:divBdr>
        </w:div>
        <w:div w:id="339240797">
          <w:marLeft w:val="0"/>
          <w:marRight w:val="0"/>
          <w:marTop w:val="0"/>
          <w:marBottom w:val="0"/>
          <w:divBdr>
            <w:top w:val="none" w:sz="0" w:space="0" w:color="auto"/>
            <w:left w:val="none" w:sz="0" w:space="0" w:color="auto"/>
            <w:bottom w:val="none" w:sz="0" w:space="0" w:color="auto"/>
            <w:right w:val="none" w:sz="0" w:space="0" w:color="auto"/>
          </w:divBdr>
        </w:div>
        <w:div w:id="122314247">
          <w:marLeft w:val="0"/>
          <w:marRight w:val="0"/>
          <w:marTop w:val="0"/>
          <w:marBottom w:val="0"/>
          <w:divBdr>
            <w:top w:val="none" w:sz="0" w:space="0" w:color="auto"/>
            <w:left w:val="none" w:sz="0" w:space="0" w:color="auto"/>
            <w:bottom w:val="none" w:sz="0" w:space="0" w:color="auto"/>
            <w:right w:val="none" w:sz="0" w:space="0" w:color="auto"/>
          </w:divBdr>
        </w:div>
        <w:div w:id="1302997430">
          <w:marLeft w:val="0"/>
          <w:marRight w:val="0"/>
          <w:marTop w:val="0"/>
          <w:marBottom w:val="0"/>
          <w:divBdr>
            <w:top w:val="none" w:sz="0" w:space="0" w:color="auto"/>
            <w:left w:val="none" w:sz="0" w:space="0" w:color="auto"/>
            <w:bottom w:val="none" w:sz="0" w:space="0" w:color="auto"/>
            <w:right w:val="none" w:sz="0" w:space="0" w:color="auto"/>
          </w:divBdr>
        </w:div>
        <w:div w:id="961379538">
          <w:marLeft w:val="0"/>
          <w:marRight w:val="0"/>
          <w:marTop w:val="0"/>
          <w:marBottom w:val="0"/>
          <w:divBdr>
            <w:top w:val="none" w:sz="0" w:space="0" w:color="auto"/>
            <w:left w:val="none" w:sz="0" w:space="0" w:color="auto"/>
            <w:bottom w:val="none" w:sz="0" w:space="0" w:color="auto"/>
            <w:right w:val="none" w:sz="0" w:space="0" w:color="auto"/>
          </w:divBdr>
        </w:div>
        <w:div w:id="912468050">
          <w:marLeft w:val="0"/>
          <w:marRight w:val="0"/>
          <w:marTop w:val="0"/>
          <w:marBottom w:val="0"/>
          <w:divBdr>
            <w:top w:val="none" w:sz="0" w:space="0" w:color="auto"/>
            <w:left w:val="none" w:sz="0" w:space="0" w:color="auto"/>
            <w:bottom w:val="none" w:sz="0" w:space="0" w:color="auto"/>
            <w:right w:val="none" w:sz="0" w:space="0" w:color="auto"/>
          </w:divBdr>
        </w:div>
        <w:div w:id="1811171885">
          <w:marLeft w:val="0"/>
          <w:marRight w:val="0"/>
          <w:marTop w:val="0"/>
          <w:marBottom w:val="0"/>
          <w:divBdr>
            <w:top w:val="none" w:sz="0" w:space="0" w:color="auto"/>
            <w:left w:val="none" w:sz="0" w:space="0" w:color="auto"/>
            <w:bottom w:val="none" w:sz="0" w:space="0" w:color="auto"/>
            <w:right w:val="none" w:sz="0" w:space="0" w:color="auto"/>
          </w:divBdr>
        </w:div>
        <w:div w:id="1113983763">
          <w:marLeft w:val="0"/>
          <w:marRight w:val="0"/>
          <w:marTop w:val="0"/>
          <w:marBottom w:val="0"/>
          <w:divBdr>
            <w:top w:val="none" w:sz="0" w:space="0" w:color="auto"/>
            <w:left w:val="none" w:sz="0" w:space="0" w:color="auto"/>
            <w:bottom w:val="none" w:sz="0" w:space="0" w:color="auto"/>
            <w:right w:val="none" w:sz="0" w:space="0" w:color="auto"/>
          </w:divBdr>
        </w:div>
        <w:div w:id="1835948383">
          <w:marLeft w:val="0"/>
          <w:marRight w:val="0"/>
          <w:marTop w:val="0"/>
          <w:marBottom w:val="0"/>
          <w:divBdr>
            <w:top w:val="none" w:sz="0" w:space="0" w:color="auto"/>
            <w:left w:val="none" w:sz="0" w:space="0" w:color="auto"/>
            <w:bottom w:val="none" w:sz="0" w:space="0" w:color="auto"/>
            <w:right w:val="none" w:sz="0" w:space="0" w:color="auto"/>
          </w:divBdr>
        </w:div>
        <w:div w:id="946737212">
          <w:marLeft w:val="0"/>
          <w:marRight w:val="0"/>
          <w:marTop w:val="0"/>
          <w:marBottom w:val="0"/>
          <w:divBdr>
            <w:top w:val="none" w:sz="0" w:space="0" w:color="auto"/>
            <w:left w:val="none" w:sz="0" w:space="0" w:color="auto"/>
            <w:bottom w:val="none" w:sz="0" w:space="0" w:color="auto"/>
            <w:right w:val="none" w:sz="0" w:space="0" w:color="auto"/>
          </w:divBdr>
        </w:div>
        <w:div w:id="1787576576">
          <w:marLeft w:val="0"/>
          <w:marRight w:val="0"/>
          <w:marTop w:val="0"/>
          <w:marBottom w:val="0"/>
          <w:divBdr>
            <w:top w:val="none" w:sz="0" w:space="0" w:color="auto"/>
            <w:left w:val="none" w:sz="0" w:space="0" w:color="auto"/>
            <w:bottom w:val="none" w:sz="0" w:space="0" w:color="auto"/>
            <w:right w:val="none" w:sz="0" w:space="0" w:color="auto"/>
          </w:divBdr>
        </w:div>
        <w:div w:id="1073048133">
          <w:marLeft w:val="0"/>
          <w:marRight w:val="0"/>
          <w:marTop w:val="0"/>
          <w:marBottom w:val="0"/>
          <w:divBdr>
            <w:top w:val="none" w:sz="0" w:space="0" w:color="auto"/>
            <w:left w:val="none" w:sz="0" w:space="0" w:color="auto"/>
            <w:bottom w:val="none" w:sz="0" w:space="0" w:color="auto"/>
            <w:right w:val="none" w:sz="0" w:space="0" w:color="auto"/>
          </w:divBdr>
        </w:div>
        <w:div w:id="318118412">
          <w:marLeft w:val="0"/>
          <w:marRight w:val="0"/>
          <w:marTop w:val="0"/>
          <w:marBottom w:val="0"/>
          <w:divBdr>
            <w:top w:val="none" w:sz="0" w:space="0" w:color="auto"/>
            <w:left w:val="none" w:sz="0" w:space="0" w:color="auto"/>
            <w:bottom w:val="none" w:sz="0" w:space="0" w:color="auto"/>
            <w:right w:val="none" w:sz="0" w:space="0" w:color="auto"/>
          </w:divBdr>
        </w:div>
        <w:div w:id="1397581703">
          <w:marLeft w:val="0"/>
          <w:marRight w:val="0"/>
          <w:marTop w:val="0"/>
          <w:marBottom w:val="0"/>
          <w:divBdr>
            <w:top w:val="none" w:sz="0" w:space="0" w:color="auto"/>
            <w:left w:val="none" w:sz="0" w:space="0" w:color="auto"/>
            <w:bottom w:val="none" w:sz="0" w:space="0" w:color="auto"/>
            <w:right w:val="none" w:sz="0" w:space="0" w:color="auto"/>
          </w:divBdr>
        </w:div>
        <w:div w:id="1305743358">
          <w:marLeft w:val="0"/>
          <w:marRight w:val="0"/>
          <w:marTop w:val="0"/>
          <w:marBottom w:val="0"/>
          <w:divBdr>
            <w:top w:val="none" w:sz="0" w:space="0" w:color="auto"/>
            <w:left w:val="none" w:sz="0" w:space="0" w:color="auto"/>
            <w:bottom w:val="none" w:sz="0" w:space="0" w:color="auto"/>
            <w:right w:val="none" w:sz="0" w:space="0" w:color="auto"/>
          </w:divBdr>
        </w:div>
        <w:div w:id="281544026">
          <w:marLeft w:val="0"/>
          <w:marRight w:val="0"/>
          <w:marTop w:val="0"/>
          <w:marBottom w:val="0"/>
          <w:divBdr>
            <w:top w:val="none" w:sz="0" w:space="0" w:color="auto"/>
            <w:left w:val="none" w:sz="0" w:space="0" w:color="auto"/>
            <w:bottom w:val="none" w:sz="0" w:space="0" w:color="auto"/>
            <w:right w:val="none" w:sz="0" w:space="0" w:color="auto"/>
          </w:divBdr>
        </w:div>
        <w:div w:id="1194223499">
          <w:marLeft w:val="0"/>
          <w:marRight w:val="0"/>
          <w:marTop w:val="0"/>
          <w:marBottom w:val="0"/>
          <w:divBdr>
            <w:top w:val="none" w:sz="0" w:space="0" w:color="auto"/>
            <w:left w:val="none" w:sz="0" w:space="0" w:color="auto"/>
            <w:bottom w:val="none" w:sz="0" w:space="0" w:color="auto"/>
            <w:right w:val="none" w:sz="0" w:space="0" w:color="auto"/>
          </w:divBdr>
        </w:div>
        <w:div w:id="1870289249">
          <w:marLeft w:val="0"/>
          <w:marRight w:val="0"/>
          <w:marTop w:val="0"/>
          <w:marBottom w:val="0"/>
          <w:divBdr>
            <w:top w:val="none" w:sz="0" w:space="0" w:color="auto"/>
            <w:left w:val="none" w:sz="0" w:space="0" w:color="auto"/>
            <w:bottom w:val="none" w:sz="0" w:space="0" w:color="auto"/>
            <w:right w:val="none" w:sz="0" w:space="0" w:color="auto"/>
          </w:divBdr>
        </w:div>
        <w:div w:id="308898389">
          <w:marLeft w:val="0"/>
          <w:marRight w:val="0"/>
          <w:marTop w:val="0"/>
          <w:marBottom w:val="0"/>
          <w:divBdr>
            <w:top w:val="none" w:sz="0" w:space="0" w:color="auto"/>
            <w:left w:val="none" w:sz="0" w:space="0" w:color="auto"/>
            <w:bottom w:val="none" w:sz="0" w:space="0" w:color="auto"/>
            <w:right w:val="none" w:sz="0" w:space="0" w:color="auto"/>
          </w:divBdr>
        </w:div>
        <w:div w:id="1718434552">
          <w:marLeft w:val="0"/>
          <w:marRight w:val="0"/>
          <w:marTop w:val="0"/>
          <w:marBottom w:val="0"/>
          <w:divBdr>
            <w:top w:val="none" w:sz="0" w:space="0" w:color="auto"/>
            <w:left w:val="none" w:sz="0" w:space="0" w:color="auto"/>
            <w:bottom w:val="none" w:sz="0" w:space="0" w:color="auto"/>
            <w:right w:val="none" w:sz="0" w:space="0" w:color="auto"/>
          </w:divBdr>
        </w:div>
        <w:div w:id="1584291135">
          <w:marLeft w:val="0"/>
          <w:marRight w:val="0"/>
          <w:marTop w:val="0"/>
          <w:marBottom w:val="0"/>
          <w:divBdr>
            <w:top w:val="none" w:sz="0" w:space="0" w:color="auto"/>
            <w:left w:val="none" w:sz="0" w:space="0" w:color="auto"/>
            <w:bottom w:val="none" w:sz="0" w:space="0" w:color="auto"/>
            <w:right w:val="none" w:sz="0" w:space="0" w:color="auto"/>
          </w:divBdr>
        </w:div>
        <w:div w:id="1863399802">
          <w:marLeft w:val="0"/>
          <w:marRight w:val="0"/>
          <w:marTop w:val="0"/>
          <w:marBottom w:val="0"/>
          <w:divBdr>
            <w:top w:val="none" w:sz="0" w:space="0" w:color="auto"/>
            <w:left w:val="none" w:sz="0" w:space="0" w:color="auto"/>
            <w:bottom w:val="none" w:sz="0" w:space="0" w:color="auto"/>
            <w:right w:val="none" w:sz="0" w:space="0" w:color="auto"/>
          </w:divBdr>
        </w:div>
        <w:div w:id="302390470">
          <w:marLeft w:val="0"/>
          <w:marRight w:val="0"/>
          <w:marTop w:val="0"/>
          <w:marBottom w:val="0"/>
          <w:divBdr>
            <w:top w:val="none" w:sz="0" w:space="0" w:color="auto"/>
            <w:left w:val="none" w:sz="0" w:space="0" w:color="auto"/>
            <w:bottom w:val="none" w:sz="0" w:space="0" w:color="auto"/>
            <w:right w:val="none" w:sz="0" w:space="0" w:color="auto"/>
          </w:divBdr>
        </w:div>
      </w:divsChild>
    </w:div>
    <w:div w:id="46685456">
      <w:bodyDiv w:val="1"/>
      <w:marLeft w:val="0"/>
      <w:marRight w:val="0"/>
      <w:marTop w:val="0"/>
      <w:marBottom w:val="0"/>
      <w:divBdr>
        <w:top w:val="none" w:sz="0" w:space="0" w:color="auto"/>
        <w:left w:val="none" w:sz="0" w:space="0" w:color="auto"/>
        <w:bottom w:val="none" w:sz="0" w:space="0" w:color="auto"/>
        <w:right w:val="none" w:sz="0" w:space="0" w:color="auto"/>
      </w:divBdr>
    </w:div>
    <w:div w:id="64571793">
      <w:bodyDiv w:val="1"/>
      <w:marLeft w:val="0"/>
      <w:marRight w:val="0"/>
      <w:marTop w:val="0"/>
      <w:marBottom w:val="0"/>
      <w:divBdr>
        <w:top w:val="none" w:sz="0" w:space="0" w:color="auto"/>
        <w:left w:val="none" w:sz="0" w:space="0" w:color="auto"/>
        <w:bottom w:val="none" w:sz="0" w:space="0" w:color="auto"/>
        <w:right w:val="none" w:sz="0" w:space="0" w:color="auto"/>
      </w:divBdr>
    </w:div>
    <w:div w:id="79761883">
      <w:bodyDiv w:val="1"/>
      <w:marLeft w:val="0"/>
      <w:marRight w:val="0"/>
      <w:marTop w:val="0"/>
      <w:marBottom w:val="0"/>
      <w:divBdr>
        <w:top w:val="none" w:sz="0" w:space="0" w:color="auto"/>
        <w:left w:val="none" w:sz="0" w:space="0" w:color="auto"/>
        <w:bottom w:val="none" w:sz="0" w:space="0" w:color="auto"/>
        <w:right w:val="none" w:sz="0" w:space="0" w:color="auto"/>
      </w:divBdr>
    </w:div>
    <w:div w:id="88745341">
      <w:bodyDiv w:val="1"/>
      <w:marLeft w:val="0"/>
      <w:marRight w:val="0"/>
      <w:marTop w:val="0"/>
      <w:marBottom w:val="0"/>
      <w:divBdr>
        <w:top w:val="none" w:sz="0" w:space="0" w:color="auto"/>
        <w:left w:val="none" w:sz="0" w:space="0" w:color="auto"/>
        <w:bottom w:val="none" w:sz="0" w:space="0" w:color="auto"/>
        <w:right w:val="none" w:sz="0" w:space="0" w:color="auto"/>
      </w:divBdr>
    </w:div>
    <w:div w:id="109401152">
      <w:bodyDiv w:val="1"/>
      <w:marLeft w:val="0"/>
      <w:marRight w:val="0"/>
      <w:marTop w:val="0"/>
      <w:marBottom w:val="0"/>
      <w:divBdr>
        <w:top w:val="none" w:sz="0" w:space="0" w:color="auto"/>
        <w:left w:val="none" w:sz="0" w:space="0" w:color="auto"/>
        <w:bottom w:val="none" w:sz="0" w:space="0" w:color="auto"/>
        <w:right w:val="none" w:sz="0" w:space="0" w:color="auto"/>
      </w:divBdr>
    </w:div>
    <w:div w:id="127674170">
      <w:bodyDiv w:val="1"/>
      <w:marLeft w:val="0"/>
      <w:marRight w:val="0"/>
      <w:marTop w:val="0"/>
      <w:marBottom w:val="0"/>
      <w:divBdr>
        <w:top w:val="none" w:sz="0" w:space="0" w:color="auto"/>
        <w:left w:val="none" w:sz="0" w:space="0" w:color="auto"/>
        <w:bottom w:val="none" w:sz="0" w:space="0" w:color="auto"/>
        <w:right w:val="none" w:sz="0" w:space="0" w:color="auto"/>
      </w:divBdr>
    </w:div>
    <w:div w:id="154958629">
      <w:bodyDiv w:val="1"/>
      <w:marLeft w:val="0"/>
      <w:marRight w:val="0"/>
      <w:marTop w:val="0"/>
      <w:marBottom w:val="0"/>
      <w:divBdr>
        <w:top w:val="none" w:sz="0" w:space="0" w:color="auto"/>
        <w:left w:val="none" w:sz="0" w:space="0" w:color="auto"/>
        <w:bottom w:val="none" w:sz="0" w:space="0" w:color="auto"/>
        <w:right w:val="none" w:sz="0" w:space="0" w:color="auto"/>
      </w:divBdr>
    </w:div>
    <w:div w:id="394400784">
      <w:bodyDiv w:val="1"/>
      <w:marLeft w:val="0"/>
      <w:marRight w:val="0"/>
      <w:marTop w:val="0"/>
      <w:marBottom w:val="0"/>
      <w:divBdr>
        <w:top w:val="none" w:sz="0" w:space="0" w:color="auto"/>
        <w:left w:val="none" w:sz="0" w:space="0" w:color="auto"/>
        <w:bottom w:val="none" w:sz="0" w:space="0" w:color="auto"/>
        <w:right w:val="none" w:sz="0" w:space="0" w:color="auto"/>
      </w:divBdr>
      <w:divsChild>
        <w:div w:id="874738456">
          <w:marLeft w:val="0"/>
          <w:marRight w:val="0"/>
          <w:marTop w:val="0"/>
          <w:marBottom w:val="0"/>
          <w:divBdr>
            <w:top w:val="none" w:sz="0" w:space="0" w:color="auto"/>
            <w:left w:val="none" w:sz="0" w:space="0" w:color="auto"/>
            <w:bottom w:val="none" w:sz="0" w:space="0" w:color="auto"/>
            <w:right w:val="none" w:sz="0" w:space="0" w:color="auto"/>
          </w:divBdr>
        </w:div>
      </w:divsChild>
    </w:div>
    <w:div w:id="424040283">
      <w:bodyDiv w:val="1"/>
      <w:marLeft w:val="0"/>
      <w:marRight w:val="0"/>
      <w:marTop w:val="0"/>
      <w:marBottom w:val="0"/>
      <w:divBdr>
        <w:top w:val="none" w:sz="0" w:space="0" w:color="auto"/>
        <w:left w:val="none" w:sz="0" w:space="0" w:color="auto"/>
        <w:bottom w:val="none" w:sz="0" w:space="0" w:color="auto"/>
        <w:right w:val="none" w:sz="0" w:space="0" w:color="auto"/>
      </w:divBdr>
    </w:div>
    <w:div w:id="424956778">
      <w:bodyDiv w:val="1"/>
      <w:marLeft w:val="0"/>
      <w:marRight w:val="0"/>
      <w:marTop w:val="0"/>
      <w:marBottom w:val="0"/>
      <w:divBdr>
        <w:top w:val="none" w:sz="0" w:space="0" w:color="auto"/>
        <w:left w:val="none" w:sz="0" w:space="0" w:color="auto"/>
        <w:bottom w:val="none" w:sz="0" w:space="0" w:color="auto"/>
        <w:right w:val="none" w:sz="0" w:space="0" w:color="auto"/>
      </w:divBdr>
    </w:div>
    <w:div w:id="536696152">
      <w:bodyDiv w:val="1"/>
      <w:marLeft w:val="0"/>
      <w:marRight w:val="0"/>
      <w:marTop w:val="0"/>
      <w:marBottom w:val="0"/>
      <w:divBdr>
        <w:top w:val="none" w:sz="0" w:space="0" w:color="auto"/>
        <w:left w:val="none" w:sz="0" w:space="0" w:color="auto"/>
        <w:bottom w:val="none" w:sz="0" w:space="0" w:color="auto"/>
        <w:right w:val="none" w:sz="0" w:space="0" w:color="auto"/>
      </w:divBdr>
    </w:div>
    <w:div w:id="628901164">
      <w:bodyDiv w:val="1"/>
      <w:marLeft w:val="0"/>
      <w:marRight w:val="0"/>
      <w:marTop w:val="0"/>
      <w:marBottom w:val="0"/>
      <w:divBdr>
        <w:top w:val="none" w:sz="0" w:space="0" w:color="auto"/>
        <w:left w:val="none" w:sz="0" w:space="0" w:color="auto"/>
        <w:bottom w:val="none" w:sz="0" w:space="0" w:color="auto"/>
        <w:right w:val="none" w:sz="0" w:space="0" w:color="auto"/>
      </w:divBdr>
    </w:div>
    <w:div w:id="678116138">
      <w:bodyDiv w:val="1"/>
      <w:marLeft w:val="0"/>
      <w:marRight w:val="0"/>
      <w:marTop w:val="0"/>
      <w:marBottom w:val="0"/>
      <w:divBdr>
        <w:top w:val="none" w:sz="0" w:space="0" w:color="auto"/>
        <w:left w:val="none" w:sz="0" w:space="0" w:color="auto"/>
        <w:bottom w:val="none" w:sz="0" w:space="0" w:color="auto"/>
        <w:right w:val="none" w:sz="0" w:space="0" w:color="auto"/>
      </w:divBdr>
    </w:div>
    <w:div w:id="680816414">
      <w:bodyDiv w:val="1"/>
      <w:marLeft w:val="0"/>
      <w:marRight w:val="0"/>
      <w:marTop w:val="0"/>
      <w:marBottom w:val="0"/>
      <w:divBdr>
        <w:top w:val="none" w:sz="0" w:space="0" w:color="auto"/>
        <w:left w:val="none" w:sz="0" w:space="0" w:color="auto"/>
        <w:bottom w:val="none" w:sz="0" w:space="0" w:color="auto"/>
        <w:right w:val="none" w:sz="0" w:space="0" w:color="auto"/>
      </w:divBdr>
    </w:div>
    <w:div w:id="705955241">
      <w:bodyDiv w:val="1"/>
      <w:marLeft w:val="0"/>
      <w:marRight w:val="0"/>
      <w:marTop w:val="0"/>
      <w:marBottom w:val="0"/>
      <w:divBdr>
        <w:top w:val="none" w:sz="0" w:space="0" w:color="auto"/>
        <w:left w:val="none" w:sz="0" w:space="0" w:color="auto"/>
        <w:bottom w:val="none" w:sz="0" w:space="0" w:color="auto"/>
        <w:right w:val="none" w:sz="0" w:space="0" w:color="auto"/>
      </w:divBdr>
    </w:div>
    <w:div w:id="774787770">
      <w:bodyDiv w:val="1"/>
      <w:marLeft w:val="0"/>
      <w:marRight w:val="0"/>
      <w:marTop w:val="0"/>
      <w:marBottom w:val="0"/>
      <w:divBdr>
        <w:top w:val="none" w:sz="0" w:space="0" w:color="auto"/>
        <w:left w:val="none" w:sz="0" w:space="0" w:color="auto"/>
        <w:bottom w:val="none" w:sz="0" w:space="0" w:color="auto"/>
        <w:right w:val="none" w:sz="0" w:space="0" w:color="auto"/>
      </w:divBdr>
    </w:div>
    <w:div w:id="841942078">
      <w:bodyDiv w:val="1"/>
      <w:marLeft w:val="0"/>
      <w:marRight w:val="0"/>
      <w:marTop w:val="0"/>
      <w:marBottom w:val="0"/>
      <w:divBdr>
        <w:top w:val="none" w:sz="0" w:space="0" w:color="auto"/>
        <w:left w:val="none" w:sz="0" w:space="0" w:color="auto"/>
        <w:bottom w:val="none" w:sz="0" w:space="0" w:color="auto"/>
        <w:right w:val="none" w:sz="0" w:space="0" w:color="auto"/>
      </w:divBdr>
    </w:div>
    <w:div w:id="868032412">
      <w:bodyDiv w:val="1"/>
      <w:marLeft w:val="0"/>
      <w:marRight w:val="0"/>
      <w:marTop w:val="0"/>
      <w:marBottom w:val="0"/>
      <w:divBdr>
        <w:top w:val="none" w:sz="0" w:space="0" w:color="auto"/>
        <w:left w:val="none" w:sz="0" w:space="0" w:color="auto"/>
        <w:bottom w:val="none" w:sz="0" w:space="0" w:color="auto"/>
        <w:right w:val="none" w:sz="0" w:space="0" w:color="auto"/>
      </w:divBdr>
    </w:div>
    <w:div w:id="903641824">
      <w:bodyDiv w:val="1"/>
      <w:marLeft w:val="0"/>
      <w:marRight w:val="0"/>
      <w:marTop w:val="0"/>
      <w:marBottom w:val="0"/>
      <w:divBdr>
        <w:top w:val="none" w:sz="0" w:space="0" w:color="auto"/>
        <w:left w:val="none" w:sz="0" w:space="0" w:color="auto"/>
        <w:bottom w:val="none" w:sz="0" w:space="0" w:color="auto"/>
        <w:right w:val="none" w:sz="0" w:space="0" w:color="auto"/>
      </w:divBdr>
      <w:divsChild>
        <w:div w:id="874192753">
          <w:marLeft w:val="0"/>
          <w:marRight w:val="0"/>
          <w:marTop w:val="0"/>
          <w:marBottom w:val="0"/>
          <w:divBdr>
            <w:top w:val="none" w:sz="0" w:space="0" w:color="auto"/>
            <w:left w:val="none" w:sz="0" w:space="0" w:color="auto"/>
            <w:bottom w:val="none" w:sz="0" w:space="0" w:color="auto"/>
            <w:right w:val="none" w:sz="0" w:space="0" w:color="auto"/>
          </w:divBdr>
        </w:div>
      </w:divsChild>
    </w:div>
    <w:div w:id="962463915">
      <w:bodyDiv w:val="1"/>
      <w:marLeft w:val="0"/>
      <w:marRight w:val="0"/>
      <w:marTop w:val="0"/>
      <w:marBottom w:val="0"/>
      <w:divBdr>
        <w:top w:val="none" w:sz="0" w:space="0" w:color="auto"/>
        <w:left w:val="none" w:sz="0" w:space="0" w:color="auto"/>
        <w:bottom w:val="none" w:sz="0" w:space="0" w:color="auto"/>
        <w:right w:val="none" w:sz="0" w:space="0" w:color="auto"/>
      </w:divBdr>
    </w:div>
    <w:div w:id="974143703">
      <w:bodyDiv w:val="1"/>
      <w:marLeft w:val="0"/>
      <w:marRight w:val="0"/>
      <w:marTop w:val="0"/>
      <w:marBottom w:val="0"/>
      <w:divBdr>
        <w:top w:val="none" w:sz="0" w:space="0" w:color="auto"/>
        <w:left w:val="none" w:sz="0" w:space="0" w:color="auto"/>
        <w:bottom w:val="none" w:sz="0" w:space="0" w:color="auto"/>
        <w:right w:val="none" w:sz="0" w:space="0" w:color="auto"/>
      </w:divBdr>
    </w:div>
    <w:div w:id="978613183">
      <w:bodyDiv w:val="1"/>
      <w:marLeft w:val="0"/>
      <w:marRight w:val="0"/>
      <w:marTop w:val="0"/>
      <w:marBottom w:val="0"/>
      <w:divBdr>
        <w:top w:val="none" w:sz="0" w:space="0" w:color="auto"/>
        <w:left w:val="none" w:sz="0" w:space="0" w:color="auto"/>
        <w:bottom w:val="none" w:sz="0" w:space="0" w:color="auto"/>
        <w:right w:val="none" w:sz="0" w:space="0" w:color="auto"/>
      </w:divBdr>
    </w:div>
    <w:div w:id="1067001070">
      <w:bodyDiv w:val="1"/>
      <w:marLeft w:val="0"/>
      <w:marRight w:val="0"/>
      <w:marTop w:val="0"/>
      <w:marBottom w:val="0"/>
      <w:divBdr>
        <w:top w:val="none" w:sz="0" w:space="0" w:color="auto"/>
        <w:left w:val="none" w:sz="0" w:space="0" w:color="auto"/>
        <w:bottom w:val="none" w:sz="0" w:space="0" w:color="auto"/>
        <w:right w:val="none" w:sz="0" w:space="0" w:color="auto"/>
      </w:divBdr>
    </w:div>
    <w:div w:id="1139692190">
      <w:bodyDiv w:val="1"/>
      <w:marLeft w:val="0"/>
      <w:marRight w:val="0"/>
      <w:marTop w:val="0"/>
      <w:marBottom w:val="0"/>
      <w:divBdr>
        <w:top w:val="none" w:sz="0" w:space="0" w:color="auto"/>
        <w:left w:val="none" w:sz="0" w:space="0" w:color="auto"/>
        <w:bottom w:val="none" w:sz="0" w:space="0" w:color="auto"/>
        <w:right w:val="none" w:sz="0" w:space="0" w:color="auto"/>
      </w:divBdr>
      <w:divsChild>
        <w:div w:id="1894653661">
          <w:marLeft w:val="0"/>
          <w:marRight w:val="0"/>
          <w:marTop w:val="0"/>
          <w:marBottom w:val="0"/>
          <w:divBdr>
            <w:top w:val="none" w:sz="0" w:space="0" w:color="auto"/>
            <w:left w:val="none" w:sz="0" w:space="0" w:color="auto"/>
            <w:bottom w:val="none" w:sz="0" w:space="0" w:color="auto"/>
            <w:right w:val="none" w:sz="0" w:space="0" w:color="auto"/>
          </w:divBdr>
        </w:div>
        <w:div w:id="168444871">
          <w:marLeft w:val="0"/>
          <w:marRight w:val="0"/>
          <w:marTop w:val="0"/>
          <w:marBottom w:val="0"/>
          <w:divBdr>
            <w:top w:val="none" w:sz="0" w:space="0" w:color="auto"/>
            <w:left w:val="none" w:sz="0" w:space="0" w:color="auto"/>
            <w:bottom w:val="none" w:sz="0" w:space="0" w:color="auto"/>
            <w:right w:val="none" w:sz="0" w:space="0" w:color="auto"/>
          </w:divBdr>
        </w:div>
        <w:div w:id="1095177259">
          <w:marLeft w:val="0"/>
          <w:marRight w:val="0"/>
          <w:marTop w:val="0"/>
          <w:marBottom w:val="0"/>
          <w:divBdr>
            <w:top w:val="none" w:sz="0" w:space="0" w:color="auto"/>
            <w:left w:val="none" w:sz="0" w:space="0" w:color="auto"/>
            <w:bottom w:val="none" w:sz="0" w:space="0" w:color="auto"/>
            <w:right w:val="none" w:sz="0" w:space="0" w:color="auto"/>
          </w:divBdr>
        </w:div>
        <w:div w:id="861239569">
          <w:marLeft w:val="0"/>
          <w:marRight w:val="0"/>
          <w:marTop w:val="0"/>
          <w:marBottom w:val="0"/>
          <w:divBdr>
            <w:top w:val="none" w:sz="0" w:space="0" w:color="auto"/>
            <w:left w:val="none" w:sz="0" w:space="0" w:color="auto"/>
            <w:bottom w:val="none" w:sz="0" w:space="0" w:color="auto"/>
            <w:right w:val="none" w:sz="0" w:space="0" w:color="auto"/>
          </w:divBdr>
        </w:div>
        <w:div w:id="723066103">
          <w:marLeft w:val="0"/>
          <w:marRight w:val="0"/>
          <w:marTop w:val="0"/>
          <w:marBottom w:val="0"/>
          <w:divBdr>
            <w:top w:val="none" w:sz="0" w:space="0" w:color="auto"/>
            <w:left w:val="none" w:sz="0" w:space="0" w:color="auto"/>
            <w:bottom w:val="none" w:sz="0" w:space="0" w:color="auto"/>
            <w:right w:val="none" w:sz="0" w:space="0" w:color="auto"/>
          </w:divBdr>
        </w:div>
        <w:div w:id="1181748071">
          <w:marLeft w:val="0"/>
          <w:marRight w:val="0"/>
          <w:marTop w:val="0"/>
          <w:marBottom w:val="0"/>
          <w:divBdr>
            <w:top w:val="none" w:sz="0" w:space="0" w:color="auto"/>
            <w:left w:val="none" w:sz="0" w:space="0" w:color="auto"/>
            <w:bottom w:val="none" w:sz="0" w:space="0" w:color="auto"/>
            <w:right w:val="none" w:sz="0" w:space="0" w:color="auto"/>
          </w:divBdr>
        </w:div>
        <w:div w:id="1791699304">
          <w:marLeft w:val="0"/>
          <w:marRight w:val="0"/>
          <w:marTop w:val="0"/>
          <w:marBottom w:val="0"/>
          <w:divBdr>
            <w:top w:val="none" w:sz="0" w:space="0" w:color="auto"/>
            <w:left w:val="none" w:sz="0" w:space="0" w:color="auto"/>
            <w:bottom w:val="none" w:sz="0" w:space="0" w:color="auto"/>
            <w:right w:val="none" w:sz="0" w:space="0" w:color="auto"/>
          </w:divBdr>
        </w:div>
        <w:div w:id="373967892">
          <w:marLeft w:val="0"/>
          <w:marRight w:val="0"/>
          <w:marTop w:val="0"/>
          <w:marBottom w:val="0"/>
          <w:divBdr>
            <w:top w:val="none" w:sz="0" w:space="0" w:color="auto"/>
            <w:left w:val="none" w:sz="0" w:space="0" w:color="auto"/>
            <w:bottom w:val="none" w:sz="0" w:space="0" w:color="auto"/>
            <w:right w:val="none" w:sz="0" w:space="0" w:color="auto"/>
          </w:divBdr>
        </w:div>
        <w:div w:id="689339751">
          <w:marLeft w:val="0"/>
          <w:marRight w:val="0"/>
          <w:marTop w:val="0"/>
          <w:marBottom w:val="0"/>
          <w:divBdr>
            <w:top w:val="none" w:sz="0" w:space="0" w:color="auto"/>
            <w:left w:val="none" w:sz="0" w:space="0" w:color="auto"/>
            <w:bottom w:val="none" w:sz="0" w:space="0" w:color="auto"/>
            <w:right w:val="none" w:sz="0" w:space="0" w:color="auto"/>
          </w:divBdr>
        </w:div>
        <w:div w:id="7417752">
          <w:marLeft w:val="0"/>
          <w:marRight w:val="0"/>
          <w:marTop w:val="0"/>
          <w:marBottom w:val="0"/>
          <w:divBdr>
            <w:top w:val="none" w:sz="0" w:space="0" w:color="auto"/>
            <w:left w:val="none" w:sz="0" w:space="0" w:color="auto"/>
            <w:bottom w:val="none" w:sz="0" w:space="0" w:color="auto"/>
            <w:right w:val="none" w:sz="0" w:space="0" w:color="auto"/>
          </w:divBdr>
        </w:div>
      </w:divsChild>
    </w:div>
    <w:div w:id="1167018688">
      <w:bodyDiv w:val="1"/>
      <w:marLeft w:val="0"/>
      <w:marRight w:val="0"/>
      <w:marTop w:val="0"/>
      <w:marBottom w:val="0"/>
      <w:divBdr>
        <w:top w:val="none" w:sz="0" w:space="0" w:color="auto"/>
        <w:left w:val="none" w:sz="0" w:space="0" w:color="auto"/>
        <w:bottom w:val="none" w:sz="0" w:space="0" w:color="auto"/>
        <w:right w:val="none" w:sz="0" w:space="0" w:color="auto"/>
      </w:divBdr>
    </w:div>
    <w:div w:id="1168712168">
      <w:bodyDiv w:val="1"/>
      <w:marLeft w:val="0"/>
      <w:marRight w:val="0"/>
      <w:marTop w:val="0"/>
      <w:marBottom w:val="0"/>
      <w:divBdr>
        <w:top w:val="none" w:sz="0" w:space="0" w:color="auto"/>
        <w:left w:val="none" w:sz="0" w:space="0" w:color="auto"/>
        <w:bottom w:val="none" w:sz="0" w:space="0" w:color="auto"/>
        <w:right w:val="none" w:sz="0" w:space="0" w:color="auto"/>
      </w:divBdr>
    </w:div>
    <w:div w:id="1330599203">
      <w:bodyDiv w:val="1"/>
      <w:marLeft w:val="0"/>
      <w:marRight w:val="0"/>
      <w:marTop w:val="0"/>
      <w:marBottom w:val="0"/>
      <w:divBdr>
        <w:top w:val="none" w:sz="0" w:space="0" w:color="auto"/>
        <w:left w:val="none" w:sz="0" w:space="0" w:color="auto"/>
        <w:bottom w:val="none" w:sz="0" w:space="0" w:color="auto"/>
        <w:right w:val="none" w:sz="0" w:space="0" w:color="auto"/>
      </w:divBdr>
    </w:div>
    <w:div w:id="1382628431">
      <w:bodyDiv w:val="1"/>
      <w:marLeft w:val="0"/>
      <w:marRight w:val="0"/>
      <w:marTop w:val="0"/>
      <w:marBottom w:val="0"/>
      <w:divBdr>
        <w:top w:val="none" w:sz="0" w:space="0" w:color="auto"/>
        <w:left w:val="none" w:sz="0" w:space="0" w:color="auto"/>
        <w:bottom w:val="none" w:sz="0" w:space="0" w:color="auto"/>
        <w:right w:val="none" w:sz="0" w:space="0" w:color="auto"/>
      </w:divBdr>
    </w:div>
    <w:div w:id="1515269664">
      <w:bodyDiv w:val="1"/>
      <w:marLeft w:val="0"/>
      <w:marRight w:val="0"/>
      <w:marTop w:val="0"/>
      <w:marBottom w:val="0"/>
      <w:divBdr>
        <w:top w:val="none" w:sz="0" w:space="0" w:color="auto"/>
        <w:left w:val="none" w:sz="0" w:space="0" w:color="auto"/>
        <w:bottom w:val="none" w:sz="0" w:space="0" w:color="auto"/>
        <w:right w:val="none" w:sz="0" w:space="0" w:color="auto"/>
      </w:divBdr>
    </w:div>
    <w:div w:id="1552424700">
      <w:bodyDiv w:val="1"/>
      <w:marLeft w:val="0"/>
      <w:marRight w:val="0"/>
      <w:marTop w:val="0"/>
      <w:marBottom w:val="0"/>
      <w:divBdr>
        <w:top w:val="none" w:sz="0" w:space="0" w:color="auto"/>
        <w:left w:val="none" w:sz="0" w:space="0" w:color="auto"/>
        <w:bottom w:val="none" w:sz="0" w:space="0" w:color="auto"/>
        <w:right w:val="none" w:sz="0" w:space="0" w:color="auto"/>
      </w:divBdr>
      <w:divsChild>
        <w:div w:id="2112699979">
          <w:marLeft w:val="0"/>
          <w:marRight w:val="0"/>
          <w:marTop w:val="0"/>
          <w:marBottom w:val="0"/>
          <w:divBdr>
            <w:top w:val="none" w:sz="0" w:space="0" w:color="auto"/>
            <w:left w:val="none" w:sz="0" w:space="0" w:color="auto"/>
            <w:bottom w:val="none" w:sz="0" w:space="0" w:color="auto"/>
            <w:right w:val="none" w:sz="0" w:space="0" w:color="auto"/>
          </w:divBdr>
        </w:div>
      </w:divsChild>
    </w:div>
    <w:div w:id="1576934795">
      <w:bodyDiv w:val="1"/>
      <w:marLeft w:val="0"/>
      <w:marRight w:val="0"/>
      <w:marTop w:val="0"/>
      <w:marBottom w:val="0"/>
      <w:divBdr>
        <w:top w:val="none" w:sz="0" w:space="0" w:color="auto"/>
        <w:left w:val="none" w:sz="0" w:space="0" w:color="auto"/>
        <w:bottom w:val="none" w:sz="0" w:space="0" w:color="auto"/>
        <w:right w:val="none" w:sz="0" w:space="0" w:color="auto"/>
      </w:divBdr>
    </w:div>
    <w:div w:id="1636834577">
      <w:bodyDiv w:val="1"/>
      <w:marLeft w:val="0"/>
      <w:marRight w:val="0"/>
      <w:marTop w:val="0"/>
      <w:marBottom w:val="0"/>
      <w:divBdr>
        <w:top w:val="none" w:sz="0" w:space="0" w:color="auto"/>
        <w:left w:val="none" w:sz="0" w:space="0" w:color="auto"/>
        <w:bottom w:val="none" w:sz="0" w:space="0" w:color="auto"/>
        <w:right w:val="none" w:sz="0" w:space="0" w:color="auto"/>
      </w:divBdr>
    </w:div>
    <w:div w:id="1705712616">
      <w:bodyDiv w:val="1"/>
      <w:marLeft w:val="0"/>
      <w:marRight w:val="0"/>
      <w:marTop w:val="0"/>
      <w:marBottom w:val="0"/>
      <w:divBdr>
        <w:top w:val="none" w:sz="0" w:space="0" w:color="auto"/>
        <w:left w:val="none" w:sz="0" w:space="0" w:color="auto"/>
        <w:bottom w:val="none" w:sz="0" w:space="0" w:color="auto"/>
        <w:right w:val="none" w:sz="0" w:space="0" w:color="auto"/>
      </w:divBdr>
    </w:div>
    <w:div w:id="1716927496">
      <w:bodyDiv w:val="1"/>
      <w:marLeft w:val="0"/>
      <w:marRight w:val="0"/>
      <w:marTop w:val="0"/>
      <w:marBottom w:val="0"/>
      <w:divBdr>
        <w:top w:val="none" w:sz="0" w:space="0" w:color="auto"/>
        <w:left w:val="none" w:sz="0" w:space="0" w:color="auto"/>
        <w:bottom w:val="none" w:sz="0" w:space="0" w:color="auto"/>
        <w:right w:val="none" w:sz="0" w:space="0" w:color="auto"/>
      </w:divBdr>
    </w:div>
    <w:div w:id="1807702568">
      <w:bodyDiv w:val="1"/>
      <w:marLeft w:val="0"/>
      <w:marRight w:val="0"/>
      <w:marTop w:val="0"/>
      <w:marBottom w:val="0"/>
      <w:divBdr>
        <w:top w:val="none" w:sz="0" w:space="0" w:color="auto"/>
        <w:left w:val="none" w:sz="0" w:space="0" w:color="auto"/>
        <w:bottom w:val="none" w:sz="0" w:space="0" w:color="auto"/>
        <w:right w:val="none" w:sz="0" w:space="0" w:color="auto"/>
      </w:divBdr>
    </w:div>
    <w:div w:id="1861427388">
      <w:bodyDiv w:val="1"/>
      <w:marLeft w:val="0"/>
      <w:marRight w:val="0"/>
      <w:marTop w:val="0"/>
      <w:marBottom w:val="0"/>
      <w:divBdr>
        <w:top w:val="none" w:sz="0" w:space="0" w:color="auto"/>
        <w:left w:val="none" w:sz="0" w:space="0" w:color="auto"/>
        <w:bottom w:val="none" w:sz="0" w:space="0" w:color="auto"/>
        <w:right w:val="none" w:sz="0" w:space="0" w:color="auto"/>
      </w:divBdr>
    </w:div>
    <w:div w:id="1923369419">
      <w:bodyDiv w:val="1"/>
      <w:marLeft w:val="0"/>
      <w:marRight w:val="0"/>
      <w:marTop w:val="0"/>
      <w:marBottom w:val="0"/>
      <w:divBdr>
        <w:top w:val="none" w:sz="0" w:space="0" w:color="auto"/>
        <w:left w:val="none" w:sz="0" w:space="0" w:color="auto"/>
        <w:bottom w:val="none" w:sz="0" w:space="0" w:color="auto"/>
        <w:right w:val="none" w:sz="0" w:space="0" w:color="auto"/>
      </w:divBdr>
    </w:div>
    <w:div w:id="1962951052">
      <w:bodyDiv w:val="1"/>
      <w:marLeft w:val="0"/>
      <w:marRight w:val="0"/>
      <w:marTop w:val="0"/>
      <w:marBottom w:val="0"/>
      <w:divBdr>
        <w:top w:val="none" w:sz="0" w:space="0" w:color="auto"/>
        <w:left w:val="none" w:sz="0" w:space="0" w:color="auto"/>
        <w:bottom w:val="none" w:sz="0" w:space="0" w:color="auto"/>
        <w:right w:val="none" w:sz="0" w:space="0" w:color="auto"/>
      </w:divBdr>
    </w:div>
    <w:div w:id="2021466587">
      <w:bodyDiv w:val="1"/>
      <w:marLeft w:val="0"/>
      <w:marRight w:val="0"/>
      <w:marTop w:val="0"/>
      <w:marBottom w:val="0"/>
      <w:divBdr>
        <w:top w:val="none" w:sz="0" w:space="0" w:color="auto"/>
        <w:left w:val="none" w:sz="0" w:space="0" w:color="auto"/>
        <w:bottom w:val="none" w:sz="0" w:space="0" w:color="auto"/>
        <w:right w:val="none" w:sz="0" w:space="0" w:color="auto"/>
      </w:divBdr>
    </w:div>
    <w:div w:id="207967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18" Type="http://schemas.openxmlformats.org/officeDocument/2006/relationships/theme" Target="theme/theme1.xml"/><Relationship Id="R10e85f68318446b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F1085-EB57-45D4-9928-469681A3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8429</Words>
  <Characters>48047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James [watsonjr]</dc:creator>
  <cp:keywords/>
  <dc:description/>
  <cp:lastModifiedBy>Anonymous</cp:lastModifiedBy>
  <cp:revision>2</cp:revision>
  <dcterms:created xsi:type="dcterms:W3CDTF">2022-07-20T11:00:00Z</dcterms:created>
  <dcterms:modified xsi:type="dcterms:W3CDTF">2022-07-20T11:00:00Z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27e695df-7a4e-344e-bd8f-0d97b1c6a900</vt:lpwstr>
  </property>
</Properties>
</file>