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D428" w14:textId="531176AE" w:rsidR="00B338E6" w:rsidRPr="00B825AA" w:rsidRDefault="00F555B0" w:rsidP="00B825AA">
      <w:pPr>
        <w:spacing w:line="480" w:lineRule="auto"/>
        <w:jc w:val="both"/>
        <w:rPr>
          <w:rFonts w:ascii="Calibri" w:hAnsi="Calibri" w:cs="Calibri"/>
          <w:b/>
          <w:bCs/>
        </w:rPr>
      </w:pPr>
      <w:r w:rsidRPr="00B825AA">
        <w:rPr>
          <w:rFonts w:ascii="Calibri" w:hAnsi="Calibri" w:cs="Calibri"/>
          <w:b/>
          <w:bCs/>
        </w:rPr>
        <w:t xml:space="preserve">The effect of deep brain stimulation on impulse control related disorders in Parkinson’s disease – a </w:t>
      </w:r>
      <w:r w:rsidR="004F3EF7">
        <w:rPr>
          <w:rFonts w:ascii="Calibri" w:hAnsi="Calibri" w:cs="Calibri"/>
          <w:b/>
          <w:bCs/>
        </w:rPr>
        <w:t>10</w:t>
      </w:r>
      <w:r w:rsidR="007D67C9">
        <w:rPr>
          <w:rFonts w:ascii="Calibri" w:hAnsi="Calibri" w:cs="Calibri"/>
          <w:b/>
          <w:bCs/>
        </w:rPr>
        <w:t>-</w:t>
      </w:r>
      <w:r w:rsidR="004F3EF7">
        <w:rPr>
          <w:rFonts w:ascii="Calibri" w:hAnsi="Calibri" w:cs="Calibri"/>
          <w:b/>
          <w:bCs/>
        </w:rPr>
        <w:t xml:space="preserve">year </w:t>
      </w:r>
      <w:r w:rsidRPr="00B825AA">
        <w:rPr>
          <w:rFonts w:ascii="Calibri" w:hAnsi="Calibri" w:cs="Calibri"/>
          <w:b/>
          <w:bCs/>
        </w:rPr>
        <w:t xml:space="preserve">retrospective </w:t>
      </w:r>
      <w:r w:rsidR="006222BB" w:rsidRPr="00B825AA">
        <w:rPr>
          <w:rFonts w:ascii="Calibri" w:hAnsi="Calibri" w:cs="Calibri"/>
          <w:b/>
          <w:bCs/>
        </w:rPr>
        <w:t>study</w:t>
      </w:r>
      <w:r w:rsidRPr="00B825AA">
        <w:rPr>
          <w:rFonts w:ascii="Calibri" w:hAnsi="Calibri" w:cs="Calibri"/>
          <w:b/>
          <w:bCs/>
        </w:rPr>
        <w:t xml:space="preserve"> of 137 patients</w:t>
      </w:r>
    </w:p>
    <w:p w14:paraId="79394362" w14:textId="77777777" w:rsidR="0038724C" w:rsidRPr="00B825AA" w:rsidRDefault="0038724C" w:rsidP="00B825AA">
      <w:pPr>
        <w:spacing w:line="480" w:lineRule="auto"/>
        <w:jc w:val="both"/>
        <w:rPr>
          <w:rFonts w:ascii="Calibri" w:eastAsia="Times New Roman" w:hAnsi="Calibri" w:cs="Calibri"/>
          <w:color w:val="333333"/>
          <w:bdr w:val="none" w:sz="0" w:space="0" w:color="auto" w:frame="1"/>
          <w:lang w:eastAsia="en-GB"/>
        </w:rPr>
      </w:pPr>
    </w:p>
    <w:p w14:paraId="24DAF7D2" w14:textId="14CF5B75" w:rsidR="0038724C" w:rsidRPr="00B825AA" w:rsidRDefault="00F2005E" w:rsidP="00B825AA">
      <w:pPr>
        <w:spacing w:line="480" w:lineRule="auto"/>
        <w:jc w:val="both"/>
        <w:rPr>
          <w:rFonts w:ascii="Calibri" w:hAnsi="Calibri" w:cs="Calibri"/>
          <w:vertAlign w:val="superscript"/>
        </w:rPr>
      </w:pPr>
      <w:r w:rsidRPr="00B825AA">
        <w:rPr>
          <w:rFonts w:ascii="Calibri" w:hAnsi="Calibri" w:cs="Calibri"/>
        </w:rPr>
        <w:t xml:space="preserve">Sarah </w:t>
      </w:r>
      <w:r w:rsidRPr="00F2005E">
        <w:rPr>
          <w:rFonts w:ascii="Calibri" w:hAnsi="Calibri" w:cs="Calibri"/>
        </w:rPr>
        <w:t>Healy</w:t>
      </w:r>
      <w:r w:rsidRPr="00F2005E">
        <w:rPr>
          <w:rFonts w:ascii="Calibri" w:hAnsi="Calibri" w:cs="Calibri"/>
          <w:vertAlign w:val="superscript"/>
        </w:rPr>
        <w:t>1</w:t>
      </w:r>
      <w:r>
        <w:rPr>
          <w:rFonts w:ascii="Calibri" w:hAnsi="Calibri" w:cs="Calibri"/>
        </w:rPr>
        <w:t xml:space="preserve">, </w:t>
      </w:r>
      <w:r w:rsidR="0038724C" w:rsidRPr="00F2005E">
        <w:rPr>
          <w:rFonts w:ascii="Calibri" w:hAnsi="Calibri" w:cs="Calibri"/>
        </w:rPr>
        <w:t>Hilary</w:t>
      </w:r>
      <w:r w:rsidR="0038724C" w:rsidRPr="00B825AA">
        <w:rPr>
          <w:rFonts w:ascii="Calibri" w:hAnsi="Calibri" w:cs="Calibri"/>
        </w:rPr>
        <w:t xml:space="preserve"> Shepherd</w:t>
      </w:r>
      <w:r w:rsidR="0038724C" w:rsidRPr="00B825AA">
        <w:rPr>
          <w:rFonts w:ascii="Calibri" w:hAnsi="Calibri" w:cs="Calibri"/>
          <w:vertAlign w:val="superscript"/>
        </w:rPr>
        <w:t>1</w:t>
      </w:r>
      <w:r w:rsidR="00B825AA">
        <w:rPr>
          <w:rFonts w:ascii="Calibri" w:hAnsi="Calibri" w:cs="Calibri"/>
          <w:vertAlign w:val="superscript"/>
        </w:rPr>
        <w:t>,2</w:t>
      </w:r>
      <w:r w:rsidR="0038724C" w:rsidRPr="00B825AA">
        <w:rPr>
          <w:rFonts w:ascii="Calibri" w:hAnsi="Calibri" w:cs="Calibri"/>
        </w:rPr>
        <w:t>, Nicole Mooney</w:t>
      </w:r>
      <w:r w:rsidR="00B825AA">
        <w:rPr>
          <w:rFonts w:ascii="Calibri" w:hAnsi="Calibri" w:cs="Calibri"/>
          <w:vertAlign w:val="superscript"/>
        </w:rPr>
        <w:t>1</w:t>
      </w:r>
      <w:r w:rsidR="0038724C" w:rsidRPr="00B825AA">
        <w:rPr>
          <w:rFonts w:ascii="Calibri" w:hAnsi="Calibri" w:cs="Calibri"/>
        </w:rPr>
        <w:t xml:space="preserve">, </w:t>
      </w:r>
      <w:r w:rsidR="00756F99" w:rsidRPr="00B825AA">
        <w:rPr>
          <w:rFonts w:ascii="Calibri" w:hAnsi="Calibri" w:cs="Calibri"/>
        </w:rPr>
        <w:t xml:space="preserve">Antonio </w:t>
      </w:r>
      <w:r w:rsidR="00184CF1" w:rsidRPr="00B825AA">
        <w:rPr>
          <w:rFonts w:ascii="Calibri" w:hAnsi="Calibri" w:cs="Calibri"/>
        </w:rPr>
        <w:t>D</w:t>
      </w:r>
      <w:r w:rsidR="00756F99" w:rsidRPr="00B825AA">
        <w:rPr>
          <w:rFonts w:ascii="Calibri" w:hAnsi="Calibri" w:cs="Calibri"/>
        </w:rPr>
        <w:t>a Costa</w:t>
      </w:r>
      <w:r w:rsidR="00B825AA">
        <w:rPr>
          <w:rFonts w:ascii="Calibri" w:hAnsi="Calibri" w:cs="Calibri"/>
        </w:rPr>
        <w:t>,</w:t>
      </w:r>
      <w:r w:rsidR="00B825AA" w:rsidRPr="00B825AA">
        <w:rPr>
          <w:rFonts w:ascii="Calibri" w:hAnsi="Calibri" w:cs="Calibri"/>
          <w:vertAlign w:val="superscript"/>
        </w:rPr>
        <w:t xml:space="preserve"> </w:t>
      </w:r>
      <w:r w:rsidR="00B825AA">
        <w:rPr>
          <w:rFonts w:ascii="Calibri" w:hAnsi="Calibri" w:cs="Calibri"/>
          <w:vertAlign w:val="superscript"/>
        </w:rPr>
        <w:t>1</w:t>
      </w:r>
      <w:r w:rsidR="00756F99" w:rsidRPr="00B825AA">
        <w:rPr>
          <w:rFonts w:ascii="Calibri" w:hAnsi="Calibri" w:cs="Calibri"/>
          <w:vertAlign w:val="superscript"/>
        </w:rPr>
        <w:t xml:space="preserve"> </w:t>
      </w:r>
      <w:r w:rsidR="0038724C" w:rsidRPr="00B825AA">
        <w:rPr>
          <w:rFonts w:ascii="Calibri" w:hAnsi="Calibri" w:cs="Calibri"/>
        </w:rPr>
        <w:t>Jibril Osman-Farah,</w:t>
      </w:r>
      <w:r w:rsidR="00B825AA" w:rsidRPr="00B825AA">
        <w:rPr>
          <w:rFonts w:ascii="Calibri" w:hAnsi="Calibri" w:cs="Calibri"/>
          <w:vertAlign w:val="superscript"/>
        </w:rPr>
        <w:t xml:space="preserve"> </w:t>
      </w:r>
      <w:r w:rsidR="00B825AA">
        <w:rPr>
          <w:rFonts w:ascii="Calibri" w:hAnsi="Calibri" w:cs="Calibri"/>
          <w:vertAlign w:val="superscript"/>
        </w:rPr>
        <w:t>1</w:t>
      </w:r>
      <w:r w:rsidR="0038724C" w:rsidRPr="00B825AA">
        <w:rPr>
          <w:rFonts w:ascii="Calibri" w:hAnsi="Calibri" w:cs="Calibri"/>
        </w:rPr>
        <w:t xml:space="preserve"> Antonella Macerollo</w:t>
      </w:r>
      <w:r w:rsidR="00B825AA">
        <w:rPr>
          <w:rFonts w:ascii="Calibri" w:hAnsi="Calibri" w:cs="Calibri"/>
          <w:vertAlign w:val="superscript"/>
        </w:rPr>
        <w:t>1,3</w:t>
      </w:r>
    </w:p>
    <w:p w14:paraId="417BBA4D" w14:textId="77777777" w:rsidR="00B825AA" w:rsidRPr="00B825AA" w:rsidRDefault="00B825AA" w:rsidP="00B825AA">
      <w:pPr>
        <w:spacing w:line="480" w:lineRule="auto"/>
        <w:rPr>
          <w:rFonts w:ascii="Calibri" w:hAnsi="Calibri" w:cs="Calibri"/>
          <w:color w:val="0D0D0D" w:themeColor="text1" w:themeTint="F2"/>
        </w:rPr>
      </w:pPr>
    </w:p>
    <w:p w14:paraId="42A7058C" w14:textId="77777777" w:rsidR="00B825AA" w:rsidRPr="00B825AA" w:rsidRDefault="00B825AA" w:rsidP="00B825AA">
      <w:pPr>
        <w:spacing w:line="480" w:lineRule="auto"/>
        <w:rPr>
          <w:rFonts w:ascii="Calibri" w:hAnsi="Calibri" w:cs="Calibri"/>
        </w:rPr>
      </w:pPr>
      <w:r w:rsidRPr="00B825AA">
        <w:rPr>
          <w:rFonts w:ascii="Calibri" w:hAnsi="Calibri" w:cs="Calibri"/>
        </w:rPr>
        <w:t>1.The Walton Centre NHS Foundation Trust for Neurology and Neurosurgery, Liverpool, UK.</w:t>
      </w:r>
    </w:p>
    <w:p w14:paraId="1C8CA314" w14:textId="77777777" w:rsidR="00B825AA" w:rsidRPr="00B825AA" w:rsidRDefault="00B825AA" w:rsidP="00B825AA">
      <w:pPr>
        <w:spacing w:line="480" w:lineRule="auto"/>
        <w:rPr>
          <w:rFonts w:ascii="Calibri" w:hAnsi="Calibri" w:cs="Calibri"/>
        </w:rPr>
      </w:pPr>
      <w:r w:rsidRPr="00B825AA">
        <w:rPr>
          <w:rFonts w:ascii="Calibri" w:hAnsi="Calibri" w:cs="Calibri"/>
        </w:rPr>
        <w:t>2. University of Liverpool Medical School, Liverpool, UK</w:t>
      </w:r>
    </w:p>
    <w:p w14:paraId="5A58FA39" w14:textId="77777777" w:rsidR="00B825AA" w:rsidRPr="00B825AA" w:rsidRDefault="00B825AA" w:rsidP="00B825AA">
      <w:pPr>
        <w:spacing w:line="480" w:lineRule="auto"/>
        <w:rPr>
          <w:rFonts w:ascii="Calibri" w:hAnsi="Calibri" w:cs="Calibri"/>
          <w:lang w:val="en-CA"/>
        </w:rPr>
      </w:pPr>
      <w:r w:rsidRPr="00B825AA">
        <w:rPr>
          <w:rFonts w:ascii="Calibri" w:hAnsi="Calibri" w:cs="Calibri"/>
        </w:rPr>
        <w:t>3. Institute of Systems, Molecular and Integrative Biology, University of Liverpool, UK</w:t>
      </w:r>
    </w:p>
    <w:p w14:paraId="2284533F" w14:textId="77777777" w:rsidR="00B825AA" w:rsidRPr="00B825AA" w:rsidRDefault="00B825AA" w:rsidP="00B825AA">
      <w:pPr>
        <w:spacing w:line="480" w:lineRule="auto"/>
        <w:rPr>
          <w:rFonts w:ascii="Calibri" w:hAnsi="Calibri" w:cs="Calibri"/>
        </w:rPr>
      </w:pPr>
    </w:p>
    <w:p w14:paraId="497A5900" w14:textId="77777777" w:rsidR="00B825AA" w:rsidRPr="00B825AA" w:rsidRDefault="00B825AA" w:rsidP="00B825AA">
      <w:pPr>
        <w:spacing w:line="480" w:lineRule="auto"/>
        <w:jc w:val="both"/>
        <w:rPr>
          <w:rFonts w:ascii="Calibri" w:hAnsi="Calibri" w:cs="Calibri"/>
          <w:u w:val="single"/>
        </w:rPr>
      </w:pPr>
      <w:r w:rsidRPr="00B825AA">
        <w:rPr>
          <w:rFonts w:ascii="Calibri" w:hAnsi="Calibri" w:cs="Calibri"/>
          <w:u w:val="single"/>
        </w:rPr>
        <w:t>Corresponding author:</w:t>
      </w:r>
    </w:p>
    <w:p w14:paraId="75B528EB" w14:textId="77777777" w:rsidR="00B825AA" w:rsidRPr="00B825AA" w:rsidRDefault="00B825AA" w:rsidP="00B825AA">
      <w:pPr>
        <w:spacing w:line="480" w:lineRule="auto"/>
        <w:jc w:val="both"/>
        <w:rPr>
          <w:rFonts w:ascii="Calibri" w:hAnsi="Calibri" w:cs="Calibri"/>
        </w:rPr>
      </w:pPr>
      <w:r w:rsidRPr="00B825AA">
        <w:rPr>
          <w:rFonts w:ascii="Calibri" w:hAnsi="Calibri" w:cs="Calibri"/>
        </w:rPr>
        <w:t>Antonella Macerollo, MD MRCP PhD</w:t>
      </w:r>
    </w:p>
    <w:p w14:paraId="41EFA9FF" w14:textId="3BD8EB19" w:rsidR="00B825AA" w:rsidRPr="00B825AA" w:rsidRDefault="00B825AA" w:rsidP="00B825AA">
      <w:pPr>
        <w:spacing w:line="480" w:lineRule="auto"/>
        <w:jc w:val="both"/>
        <w:rPr>
          <w:rFonts w:ascii="Calibri" w:hAnsi="Calibri" w:cs="Calibri"/>
        </w:rPr>
      </w:pPr>
      <w:r w:rsidRPr="00B825AA">
        <w:rPr>
          <w:rFonts w:ascii="Calibri" w:hAnsi="Calibri" w:cs="Calibri"/>
        </w:rPr>
        <w:t>Institute of Translational Medicine, Faculty of Health and Life Sciences, University of Liverpool,</w:t>
      </w:r>
      <w:r>
        <w:rPr>
          <w:rFonts w:ascii="Calibri" w:hAnsi="Calibri" w:cs="Calibri"/>
        </w:rPr>
        <w:t xml:space="preserve"> </w:t>
      </w:r>
      <w:r w:rsidRPr="00B825AA">
        <w:rPr>
          <w:rFonts w:ascii="Calibri" w:hAnsi="Calibri" w:cs="Calibri"/>
        </w:rPr>
        <w:t>UK</w:t>
      </w:r>
    </w:p>
    <w:p w14:paraId="22596166" w14:textId="77777777" w:rsidR="00B825AA" w:rsidRPr="00B825AA" w:rsidRDefault="00A479A2" w:rsidP="00B825AA">
      <w:pPr>
        <w:spacing w:line="480" w:lineRule="auto"/>
        <w:jc w:val="both"/>
        <w:rPr>
          <w:rFonts w:ascii="Calibri" w:hAnsi="Calibri" w:cs="Calibri"/>
        </w:rPr>
      </w:pPr>
      <w:hyperlink r:id="rId6" w:history="1">
        <w:r w:rsidR="00B825AA" w:rsidRPr="00B825AA">
          <w:rPr>
            <w:rStyle w:val="Hyperlink"/>
            <w:rFonts w:ascii="Calibri" w:hAnsi="Calibri" w:cs="Calibri"/>
          </w:rPr>
          <w:t>a.macerollo@liverpool.ac.uk</w:t>
        </w:r>
      </w:hyperlink>
    </w:p>
    <w:p w14:paraId="59FA3DA6" w14:textId="77777777" w:rsidR="00B825AA" w:rsidRPr="00B825AA" w:rsidRDefault="00B825AA" w:rsidP="00B825AA">
      <w:pPr>
        <w:spacing w:line="480" w:lineRule="auto"/>
        <w:jc w:val="both"/>
        <w:rPr>
          <w:rFonts w:ascii="Calibri" w:hAnsi="Calibri" w:cs="Calibri"/>
          <w:u w:val="single"/>
        </w:rPr>
      </w:pPr>
    </w:p>
    <w:p w14:paraId="701C00F6" w14:textId="041D5AAA" w:rsidR="00B825AA" w:rsidRPr="00D45D42" w:rsidRDefault="00B825AA" w:rsidP="00B825AA">
      <w:pPr>
        <w:spacing w:line="480" w:lineRule="auto"/>
        <w:jc w:val="both"/>
        <w:rPr>
          <w:rFonts w:ascii="Calibri" w:hAnsi="Calibri" w:cs="Calibri"/>
        </w:rPr>
      </w:pPr>
      <w:r w:rsidRPr="00D45D42">
        <w:rPr>
          <w:rFonts w:ascii="Calibri" w:hAnsi="Calibri" w:cs="Calibri"/>
        </w:rPr>
        <w:t xml:space="preserve">References: </w:t>
      </w:r>
      <w:r w:rsidR="00A9075F">
        <w:rPr>
          <w:rFonts w:ascii="Calibri" w:hAnsi="Calibri" w:cs="Calibri"/>
          <w:b/>
          <w:bCs/>
        </w:rPr>
        <w:t>10</w:t>
      </w:r>
    </w:p>
    <w:p w14:paraId="7D5DE0A3" w14:textId="20FCF17A" w:rsidR="00B825AA" w:rsidRPr="00B825AA" w:rsidRDefault="00B825AA" w:rsidP="00B825AA">
      <w:pPr>
        <w:spacing w:line="480" w:lineRule="auto"/>
        <w:jc w:val="both"/>
        <w:rPr>
          <w:rFonts w:ascii="Calibri" w:hAnsi="Calibri" w:cs="Calibri"/>
        </w:rPr>
      </w:pPr>
      <w:r w:rsidRPr="00B825AA">
        <w:rPr>
          <w:rFonts w:ascii="Calibri" w:hAnsi="Calibri" w:cs="Calibri"/>
        </w:rPr>
        <w:t xml:space="preserve">Table/graph count: </w:t>
      </w:r>
      <w:r w:rsidR="00A81D09">
        <w:rPr>
          <w:rFonts w:ascii="Calibri" w:hAnsi="Calibri" w:cs="Calibri"/>
          <w:b/>
          <w:bCs/>
        </w:rPr>
        <w:t>5</w:t>
      </w:r>
    </w:p>
    <w:p w14:paraId="36948BBB" w14:textId="298F8398" w:rsidR="00A9075F" w:rsidRPr="00B825AA" w:rsidRDefault="00B825AA" w:rsidP="00B825AA">
      <w:pPr>
        <w:spacing w:line="480" w:lineRule="auto"/>
        <w:jc w:val="both"/>
        <w:rPr>
          <w:rFonts w:ascii="Calibri" w:hAnsi="Calibri" w:cs="Calibri"/>
        </w:rPr>
      </w:pPr>
      <w:r w:rsidRPr="00CA55AF">
        <w:rPr>
          <w:rFonts w:ascii="Calibri" w:hAnsi="Calibri" w:cs="Calibri"/>
        </w:rPr>
        <w:t>Manuscript Word Count:</w:t>
      </w:r>
      <w:r w:rsidR="00A9075F">
        <w:rPr>
          <w:rFonts w:ascii="Calibri" w:hAnsi="Calibri" w:cs="Calibri"/>
        </w:rPr>
        <w:t xml:space="preserve"> </w:t>
      </w:r>
      <w:r w:rsidR="00A9075F" w:rsidRPr="00065E72">
        <w:rPr>
          <w:rFonts w:ascii="Calibri" w:hAnsi="Calibri" w:cs="Calibri"/>
          <w:b/>
          <w:bCs/>
        </w:rPr>
        <w:t>980</w:t>
      </w:r>
    </w:p>
    <w:p w14:paraId="315D11DD" w14:textId="35AA87D0" w:rsidR="00473223" w:rsidRPr="007D09F8" w:rsidRDefault="00B825AA" w:rsidP="00B825AA">
      <w:pPr>
        <w:spacing w:line="480" w:lineRule="auto"/>
        <w:jc w:val="both"/>
        <w:rPr>
          <w:rFonts w:ascii="Calibri" w:hAnsi="Calibri" w:cs="Calibri"/>
          <w:u w:val="single"/>
        </w:rPr>
      </w:pPr>
      <w:r w:rsidRPr="007D09F8">
        <w:rPr>
          <w:rFonts w:ascii="Calibri" w:hAnsi="Calibri" w:cs="Calibri"/>
        </w:rPr>
        <w:t>Keywords: Parkinson’s</w:t>
      </w:r>
      <w:r>
        <w:rPr>
          <w:rFonts w:ascii="Calibri" w:hAnsi="Calibri" w:cs="Calibri"/>
        </w:rPr>
        <w:t xml:space="preserve"> Disease, Impulsive Control Related</w:t>
      </w:r>
      <w:r w:rsidR="00473223">
        <w:rPr>
          <w:rFonts w:ascii="Calibri" w:hAnsi="Calibri" w:cs="Calibri"/>
        </w:rPr>
        <w:t xml:space="preserve"> Behaviour</w:t>
      </w:r>
      <w:r>
        <w:rPr>
          <w:rFonts w:ascii="Calibri" w:hAnsi="Calibri" w:cs="Calibri"/>
        </w:rPr>
        <w:t xml:space="preserve"> Disorders, Deep Brain Stimulation</w:t>
      </w:r>
      <w:r w:rsidR="00473223">
        <w:rPr>
          <w:rFonts w:ascii="Calibri" w:hAnsi="Calibri" w:cs="Calibri"/>
        </w:rPr>
        <w:t>, Subthalamic Nucleus.</w:t>
      </w:r>
    </w:p>
    <w:p w14:paraId="45CF6EA0" w14:textId="6653BDF0" w:rsidR="00473223" w:rsidRPr="007D09F8" w:rsidRDefault="007D09F8" w:rsidP="00B825AA">
      <w:pPr>
        <w:spacing w:line="480" w:lineRule="auto"/>
        <w:jc w:val="both"/>
        <w:rPr>
          <w:rFonts w:ascii="Calibri" w:hAnsi="Calibri" w:cs="Calibri"/>
        </w:rPr>
      </w:pPr>
      <w:r>
        <w:rPr>
          <w:rFonts w:ascii="Calibri" w:hAnsi="Calibri" w:cs="Calibri"/>
        </w:rPr>
        <w:t xml:space="preserve">Funding: </w:t>
      </w:r>
      <w:r w:rsidRPr="007D09F8">
        <w:rPr>
          <w:rFonts w:ascii="Calibri" w:hAnsi="Calibri" w:cs="Calibri"/>
        </w:rPr>
        <w:t>This research did not receive any specific grant from funding agencies in the public, commercial, or not-for-profit sectors.</w:t>
      </w:r>
    </w:p>
    <w:p w14:paraId="459AA340" w14:textId="77777777" w:rsidR="007D09F8" w:rsidRDefault="007D09F8" w:rsidP="00B825AA">
      <w:pPr>
        <w:spacing w:line="480" w:lineRule="auto"/>
        <w:jc w:val="both"/>
        <w:rPr>
          <w:rFonts w:ascii="Calibri" w:hAnsi="Calibri" w:cs="Calibri"/>
        </w:rPr>
      </w:pPr>
    </w:p>
    <w:p w14:paraId="7820863F" w14:textId="6A29186B" w:rsidR="00B825AA" w:rsidRDefault="00B825AA" w:rsidP="00B825AA">
      <w:pPr>
        <w:spacing w:line="480" w:lineRule="auto"/>
        <w:jc w:val="both"/>
        <w:rPr>
          <w:rFonts w:ascii="Calibri" w:hAnsi="Calibri" w:cs="Calibri"/>
        </w:rPr>
      </w:pPr>
      <w:r>
        <w:rPr>
          <w:rFonts w:ascii="Calibri" w:hAnsi="Calibri" w:cs="Calibri"/>
        </w:rPr>
        <w:lastRenderedPageBreak/>
        <w:t>Dear Editor,</w:t>
      </w:r>
    </w:p>
    <w:p w14:paraId="57D82B95" w14:textId="29F6647F" w:rsidR="00AE63D6" w:rsidRDefault="00AE63D6" w:rsidP="00160188">
      <w:pPr>
        <w:spacing w:line="480" w:lineRule="auto"/>
      </w:pPr>
      <w:r>
        <w:t>Up to 15% of patients with Parkinson’s Disease (PD) experience impulse control and related behaviours (ICRBs), though it is not fully understood why (</w:t>
      </w:r>
      <w:r w:rsidR="00160188">
        <w:t>1</w:t>
      </w:r>
      <w:r>
        <w:t>). Dopamine agonists (DA) and high total dose of levodopa have been associated</w:t>
      </w:r>
      <w:r w:rsidR="00A9075F">
        <w:t xml:space="preserve"> with development of ICRBs</w:t>
      </w:r>
      <w:r>
        <w:t xml:space="preserve">, with the reduction or withdrawal of a DA often improving </w:t>
      </w:r>
      <w:r w:rsidR="00A9075F">
        <w:t>these symptoms</w:t>
      </w:r>
      <w:r>
        <w:t>. Subthalamic nucleus deep brain stimulation (STN-DBS) can be used as a tertiary therapy for PD in order to reduce DA dosage (</w:t>
      </w:r>
      <w:r w:rsidR="00160188">
        <w:t>2, 3),</w:t>
      </w:r>
      <w:r>
        <w:t xml:space="preserve"> however, the effect of STN-DBS on ICRBs is unclear</w:t>
      </w:r>
      <w:r w:rsidR="00EB35FA">
        <w:t xml:space="preserve"> (</w:t>
      </w:r>
      <w:r w:rsidR="00160188">
        <w:t>4, 5, 6).</w:t>
      </w:r>
    </w:p>
    <w:p w14:paraId="2767E565" w14:textId="77777777" w:rsidR="00AE63D6" w:rsidRPr="00B825AA" w:rsidRDefault="00AE63D6" w:rsidP="00160188">
      <w:pPr>
        <w:spacing w:line="480" w:lineRule="auto"/>
        <w:jc w:val="both"/>
        <w:rPr>
          <w:rFonts w:ascii="Calibri" w:hAnsi="Calibri" w:cs="Calibri"/>
        </w:rPr>
      </w:pPr>
    </w:p>
    <w:p w14:paraId="5D7AF14B" w14:textId="5030FA25" w:rsidR="00AE63D6" w:rsidRDefault="00DC361A" w:rsidP="00160188">
      <w:pPr>
        <w:spacing w:line="480" w:lineRule="auto"/>
      </w:pPr>
      <w:r>
        <w:t>R</w:t>
      </w:r>
      <w:r w:rsidR="00AE63D6">
        <w:t>eports into STN-DBS have shown conflicting results. Kim et all (2018)</w:t>
      </w:r>
      <w:r w:rsidR="00160188">
        <w:t xml:space="preserve"> (7)</w:t>
      </w:r>
      <w:r w:rsidR="00AE63D6">
        <w:t xml:space="preserve"> found that all pre-operative ICRBs (n=8) resolved following DBS, with 7 patients experiencing new and persisten</w:t>
      </w:r>
      <w:r>
        <w:t>t ICRBs at 7 years of follow up</w:t>
      </w:r>
      <w:r w:rsidR="00AE63D6">
        <w:t xml:space="preserve"> without any significant change to medication. This suggests an independent effect of STN-DBS on ICRBs, but with both positive and negative outcomes seen. A similar independent DBS effect on ICRBs is suggested by </w:t>
      </w:r>
      <w:r w:rsidR="00A9075F">
        <w:t xml:space="preserve">other studies </w:t>
      </w:r>
      <w:r w:rsidR="00160188">
        <w:t>(8)</w:t>
      </w:r>
      <w:r w:rsidR="00AE63D6">
        <w:t xml:space="preserve">, with both improvement and worsening of symptoms seen. </w:t>
      </w:r>
      <w:r w:rsidR="00A9075F">
        <w:t>L</w:t>
      </w:r>
      <w:r w:rsidR="00AE63D6">
        <w:t>iterature suggests mixed outcomes post-DBS on pre-existing ICRBs, as well as de novo ICRBs appearing in approximately 15% of cases reported (</w:t>
      </w:r>
      <w:r w:rsidR="00160188">
        <w:t>9</w:t>
      </w:r>
      <w:r w:rsidR="00AE63D6">
        <w:t xml:space="preserve">). </w:t>
      </w:r>
      <w:r w:rsidR="00A9075F">
        <w:t xml:space="preserve">Hypotheses exist </w:t>
      </w:r>
      <w:r w:rsidR="00AE63D6">
        <w:t xml:space="preserve">that STN-DBS treatment itself could be a risk factor for ICRBs, or that de novo ICRB cases may have specific risk factors independent to DBS treatment, </w:t>
      </w:r>
      <w:proofErr w:type="gramStart"/>
      <w:r w:rsidR="00AE63D6">
        <w:t>e.g.</w:t>
      </w:r>
      <w:proofErr w:type="gramEnd"/>
      <w:r w:rsidR="00AE63D6">
        <w:t xml:space="preserve"> PD symptom duration prior to DBS insertion, or total PD symptom duration (</w:t>
      </w:r>
      <w:r w:rsidR="00160188">
        <w:t>7, 10</w:t>
      </w:r>
      <w:r w:rsidR="00AE63D6">
        <w:t>).</w:t>
      </w:r>
    </w:p>
    <w:p w14:paraId="6FC7C26E" w14:textId="77777777" w:rsidR="00AE63D6" w:rsidRDefault="00AE63D6" w:rsidP="00160188">
      <w:pPr>
        <w:spacing w:line="480" w:lineRule="auto"/>
        <w:jc w:val="both"/>
        <w:rPr>
          <w:rFonts w:ascii="Calibri" w:hAnsi="Calibri" w:cs="Calibri"/>
        </w:rPr>
      </w:pPr>
    </w:p>
    <w:p w14:paraId="5A8FA45D" w14:textId="2F08A909" w:rsidR="00AE63D6" w:rsidRDefault="00A9075F" w:rsidP="00160188">
      <w:pPr>
        <w:spacing w:line="480" w:lineRule="auto"/>
      </w:pPr>
      <w:r>
        <w:t>W</w:t>
      </w:r>
      <w:r w:rsidR="00AE63D6">
        <w:t xml:space="preserve">e performed a retrospective study </w:t>
      </w:r>
      <w:r>
        <w:t>of patients collated over 10 years, e</w:t>
      </w:r>
      <w:r w:rsidR="00AE63D6">
        <w:t xml:space="preserve">xamining 137 PD patients who had bilateral STN-DBS under </w:t>
      </w:r>
      <w:r>
        <w:t xml:space="preserve">the care of </w:t>
      </w:r>
      <w:r w:rsidR="00AE63D6">
        <w:t>The Walton Centre NHS Foundation Trust. We aimed to review any clinical or demographic factors correlating with ICRBs before and after STN-DBS.</w:t>
      </w:r>
    </w:p>
    <w:p w14:paraId="55207E07" w14:textId="77777777" w:rsidR="00AE63D6" w:rsidRPr="00B825AA" w:rsidRDefault="00AE63D6" w:rsidP="00160188">
      <w:pPr>
        <w:spacing w:line="480" w:lineRule="auto"/>
        <w:jc w:val="both"/>
        <w:rPr>
          <w:rFonts w:ascii="Calibri" w:hAnsi="Calibri" w:cs="Calibri"/>
        </w:rPr>
      </w:pPr>
    </w:p>
    <w:p w14:paraId="0E1B2F98" w14:textId="680C8F6A" w:rsidR="00AE63D6" w:rsidRDefault="00C50504" w:rsidP="00B825AA">
      <w:pPr>
        <w:spacing w:line="480" w:lineRule="auto"/>
        <w:jc w:val="both"/>
        <w:rPr>
          <w:rFonts w:ascii="Calibri" w:hAnsi="Calibri" w:cs="Calibri"/>
        </w:rPr>
      </w:pPr>
      <w:r w:rsidRPr="00B825AA">
        <w:rPr>
          <w:rFonts w:ascii="Calibri" w:hAnsi="Calibri" w:cs="Calibri"/>
        </w:rPr>
        <w:t xml:space="preserve">We retrospectively </w:t>
      </w:r>
      <w:r w:rsidR="00852675">
        <w:rPr>
          <w:rFonts w:ascii="Calibri" w:hAnsi="Calibri" w:cs="Calibri"/>
        </w:rPr>
        <w:t>assessed</w:t>
      </w:r>
      <w:r w:rsidR="00BC68B7">
        <w:rPr>
          <w:rFonts w:ascii="Calibri" w:hAnsi="Calibri" w:cs="Calibri"/>
        </w:rPr>
        <w:t xml:space="preserve"> </w:t>
      </w:r>
      <w:r w:rsidRPr="00B825AA">
        <w:rPr>
          <w:rFonts w:ascii="Calibri" w:hAnsi="Calibri" w:cs="Calibri"/>
        </w:rPr>
        <w:t>patients</w:t>
      </w:r>
      <w:r w:rsidR="00852675">
        <w:rPr>
          <w:rFonts w:ascii="Calibri" w:hAnsi="Calibri" w:cs="Calibri"/>
        </w:rPr>
        <w:t xml:space="preserve"> for </w:t>
      </w:r>
      <w:r w:rsidR="00A9075F">
        <w:rPr>
          <w:rFonts w:ascii="Calibri" w:hAnsi="Calibri" w:cs="Calibri"/>
        </w:rPr>
        <w:t xml:space="preserve">the presence of </w:t>
      </w:r>
      <w:r w:rsidR="00852675">
        <w:rPr>
          <w:rFonts w:ascii="Calibri" w:hAnsi="Calibri" w:cs="Calibri"/>
        </w:rPr>
        <w:t>ICRBs</w:t>
      </w:r>
      <w:r w:rsidRPr="00B825AA">
        <w:rPr>
          <w:rFonts w:ascii="Calibri" w:hAnsi="Calibri" w:cs="Calibri"/>
        </w:rPr>
        <w:t xml:space="preserve"> who </w:t>
      </w:r>
      <w:r w:rsidR="00BC68B7">
        <w:rPr>
          <w:rFonts w:ascii="Calibri" w:hAnsi="Calibri" w:cs="Calibri"/>
        </w:rPr>
        <w:t>were treated with STN-</w:t>
      </w:r>
      <w:r w:rsidRPr="00B825AA">
        <w:rPr>
          <w:rFonts w:ascii="Calibri" w:hAnsi="Calibri" w:cs="Calibri"/>
        </w:rPr>
        <w:t xml:space="preserve">DBS for PD </w:t>
      </w:r>
      <w:r w:rsidR="00BC68B7">
        <w:rPr>
          <w:rFonts w:ascii="Calibri" w:hAnsi="Calibri" w:cs="Calibri"/>
        </w:rPr>
        <w:t>between</w:t>
      </w:r>
      <w:r w:rsidRPr="00B825AA">
        <w:rPr>
          <w:rFonts w:ascii="Calibri" w:hAnsi="Calibri" w:cs="Calibri"/>
        </w:rPr>
        <w:t xml:space="preserve"> 2010</w:t>
      </w:r>
      <w:r w:rsidR="00BC68B7">
        <w:rPr>
          <w:rFonts w:ascii="Calibri" w:hAnsi="Calibri" w:cs="Calibri"/>
        </w:rPr>
        <w:t xml:space="preserve"> and </w:t>
      </w:r>
      <w:r w:rsidRPr="00B825AA">
        <w:rPr>
          <w:rFonts w:ascii="Calibri" w:hAnsi="Calibri" w:cs="Calibri"/>
        </w:rPr>
        <w:t xml:space="preserve">2020. Pre- and post-operative electronic documentation, clinic letters and written notes were reviewed and anonymised. </w:t>
      </w:r>
      <w:r w:rsidR="00AE63D6">
        <w:rPr>
          <w:rFonts w:ascii="Calibri" w:hAnsi="Calibri" w:cs="Calibri"/>
        </w:rPr>
        <w:t xml:space="preserve">Table 1 demonstrates our definition of ICRBs.  All patients had a clinical diagnosis of PD and were on PD medications prior to STN-DBS insertion. </w:t>
      </w:r>
      <w:r w:rsidRPr="00B825AA">
        <w:rPr>
          <w:rFonts w:ascii="Calibri" w:hAnsi="Calibri" w:cs="Calibri"/>
        </w:rPr>
        <w:t>The following information w</w:t>
      </w:r>
      <w:r w:rsidR="00BC68B7">
        <w:rPr>
          <w:rFonts w:ascii="Calibri" w:hAnsi="Calibri" w:cs="Calibri"/>
        </w:rPr>
        <w:t>ere</w:t>
      </w:r>
      <w:r w:rsidRPr="00B825AA">
        <w:rPr>
          <w:rFonts w:ascii="Calibri" w:hAnsi="Calibri" w:cs="Calibri"/>
        </w:rPr>
        <w:t xml:space="preserve"> collected: patient demographics, age of PD diagnosis, date and type of DBS insertion, any reference to ICRB, type of ICRB, date of first ICRB documentation, medications at the time of ICRB onset, </w:t>
      </w:r>
      <w:r w:rsidR="00A9075F">
        <w:rPr>
          <w:rFonts w:ascii="Calibri" w:hAnsi="Calibri" w:cs="Calibri"/>
        </w:rPr>
        <w:t xml:space="preserve">and clinical assessment of ICRBs </w:t>
      </w:r>
      <w:r w:rsidRPr="00B825AA">
        <w:rPr>
          <w:rFonts w:ascii="Calibri" w:hAnsi="Calibri" w:cs="Calibri"/>
        </w:rPr>
        <w:t xml:space="preserve">over time. </w:t>
      </w:r>
      <w:r w:rsidR="00AE63D6">
        <w:rPr>
          <w:rFonts w:ascii="Calibri" w:hAnsi="Calibri" w:cs="Calibri"/>
        </w:rPr>
        <w:t xml:space="preserve">Pre-operative Unified Parkinson’s Disease Rating Scale (UPDRS) and Minnesota impulsive disorders interview (MIDI) scores were noted when available. </w:t>
      </w:r>
      <w:r w:rsidRPr="00B825AA">
        <w:rPr>
          <w:rFonts w:ascii="Calibri" w:hAnsi="Calibri" w:cs="Calibri"/>
        </w:rPr>
        <w:t xml:space="preserve">Patients with incomplete data were excluded. The lowest dose of medication was assumed </w:t>
      </w:r>
      <w:r w:rsidR="00AE63D6">
        <w:rPr>
          <w:rFonts w:ascii="Calibri" w:hAnsi="Calibri" w:cs="Calibri"/>
        </w:rPr>
        <w:t>when a dose</w:t>
      </w:r>
      <w:r w:rsidRPr="00B825AA">
        <w:rPr>
          <w:rFonts w:ascii="Calibri" w:hAnsi="Calibri" w:cs="Calibri"/>
        </w:rPr>
        <w:t xml:space="preserve"> was </w:t>
      </w:r>
      <w:r w:rsidR="00AE63D6">
        <w:rPr>
          <w:rFonts w:ascii="Calibri" w:hAnsi="Calibri" w:cs="Calibri"/>
        </w:rPr>
        <w:t xml:space="preserve">not </w:t>
      </w:r>
      <w:r w:rsidRPr="00B825AA">
        <w:rPr>
          <w:rFonts w:ascii="Calibri" w:hAnsi="Calibri" w:cs="Calibri"/>
        </w:rPr>
        <w:t xml:space="preserve">referenced. </w:t>
      </w:r>
    </w:p>
    <w:p w14:paraId="60CF4B9E" w14:textId="28D85DCD" w:rsidR="00AE63D6" w:rsidRDefault="00C50504" w:rsidP="00B825AA">
      <w:pPr>
        <w:spacing w:line="480" w:lineRule="auto"/>
        <w:jc w:val="both"/>
        <w:rPr>
          <w:rFonts w:ascii="Calibri" w:hAnsi="Calibri" w:cs="Calibri"/>
        </w:rPr>
      </w:pPr>
      <w:r w:rsidRPr="00B825AA">
        <w:rPr>
          <w:rFonts w:ascii="Calibri" w:hAnsi="Calibri" w:cs="Calibri"/>
        </w:rPr>
        <w:t xml:space="preserve">We classified patients as having pre-operative ICRBs </w:t>
      </w:r>
      <w:r w:rsidR="00AE63D6">
        <w:rPr>
          <w:rFonts w:ascii="Calibri" w:hAnsi="Calibri" w:cs="Calibri"/>
        </w:rPr>
        <w:t>if they</w:t>
      </w:r>
      <w:r w:rsidRPr="00B825AA">
        <w:rPr>
          <w:rFonts w:ascii="Calibri" w:hAnsi="Calibri" w:cs="Calibri"/>
        </w:rPr>
        <w:t xml:space="preserve"> were present before surgery, and ‘de novo’ ICRBs</w:t>
      </w:r>
      <w:r w:rsidR="00A9075F">
        <w:rPr>
          <w:rFonts w:ascii="Calibri" w:hAnsi="Calibri" w:cs="Calibri"/>
        </w:rPr>
        <w:t>,</w:t>
      </w:r>
      <w:r w:rsidRPr="00B825AA">
        <w:rPr>
          <w:rFonts w:ascii="Calibri" w:hAnsi="Calibri" w:cs="Calibri"/>
        </w:rPr>
        <w:t xml:space="preserve"> if developed after surgery. An estimated levodopa equivalent daily dose (LEDD) was calculated at onset of ICRB.</w:t>
      </w:r>
    </w:p>
    <w:p w14:paraId="2B3225B6" w14:textId="0ADC3DA9" w:rsidR="00253F84" w:rsidRDefault="00C50504" w:rsidP="00B825AA">
      <w:pPr>
        <w:spacing w:line="480" w:lineRule="auto"/>
        <w:jc w:val="both"/>
        <w:rPr>
          <w:rFonts w:ascii="Calibri" w:hAnsi="Calibri" w:cs="Calibri"/>
        </w:rPr>
      </w:pPr>
      <w:r w:rsidRPr="00B825AA">
        <w:rPr>
          <w:rFonts w:ascii="Calibri" w:hAnsi="Calibri" w:cs="Calibri"/>
        </w:rPr>
        <w:t xml:space="preserve"> Mann-Whitney U test was used to compare the clinical characteristics of patients with pre-existing ICRB with de novo ICRB </w:t>
      </w:r>
      <w:proofErr w:type="gramStart"/>
      <w:r w:rsidRPr="00B825AA">
        <w:rPr>
          <w:rFonts w:ascii="Calibri" w:hAnsi="Calibri" w:cs="Calibri"/>
        </w:rPr>
        <w:t>cases  All</w:t>
      </w:r>
      <w:proofErr w:type="gramEnd"/>
      <w:r w:rsidRPr="00B825AA">
        <w:rPr>
          <w:rFonts w:ascii="Calibri" w:hAnsi="Calibri" w:cs="Calibri"/>
        </w:rPr>
        <w:t xml:space="preserve"> data analyses were done with SPSS version 25 package (IBM Corp. Released 2017. IBM SPSS Statistics for Macintosh, Version 25.0. Armonk, NY: IBM Corp.)</w:t>
      </w:r>
    </w:p>
    <w:p w14:paraId="4C883CD4" w14:textId="77777777" w:rsidR="00AE63D6" w:rsidRPr="00B825AA" w:rsidRDefault="00AE63D6" w:rsidP="00B825AA">
      <w:pPr>
        <w:spacing w:line="480" w:lineRule="auto"/>
        <w:jc w:val="both"/>
        <w:rPr>
          <w:rFonts w:ascii="Calibri" w:hAnsi="Calibri" w:cs="Calibri"/>
        </w:rPr>
      </w:pPr>
    </w:p>
    <w:p w14:paraId="05654D67" w14:textId="0074774D" w:rsidR="004F3EF7" w:rsidRDefault="00D545B8" w:rsidP="00B825AA">
      <w:pPr>
        <w:spacing w:line="480" w:lineRule="auto"/>
        <w:jc w:val="both"/>
        <w:rPr>
          <w:rFonts w:ascii="Calibri" w:hAnsi="Calibri" w:cs="Calibri"/>
        </w:rPr>
      </w:pPr>
      <w:r w:rsidRPr="00B825AA">
        <w:rPr>
          <w:rFonts w:ascii="Calibri" w:hAnsi="Calibri" w:cs="Calibri"/>
        </w:rPr>
        <w:t xml:space="preserve">Among the 141 patients initially included in the study, 4 were excluded due to insufficient data. A total of 137 patients with </w:t>
      </w:r>
      <w:r w:rsidR="00A9075F">
        <w:rPr>
          <w:rFonts w:ascii="Calibri" w:hAnsi="Calibri" w:cs="Calibri"/>
        </w:rPr>
        <w:t xml:space="preserve">PD </w:t>
      </w:r>
      <w:r w:rsidRPr="00B825AA">
        <w:rPr>
          <w:rFonts w:ascii="Calibri" w:hAnsi="Calibri" w:cs="Calibri"/>
        </w:rPr>
        <w:t>were reviewed. 70% were men</w:t>
      </w:r>
      <w:r w:rsidR="00AE63D6">
        <w:rPr>
          <w:rFonts w:ascii="Calibri" w:hAnsi="Calibri" w:cs="Calibri"/>
        </w:rPr>
        <w:t>,</w:t>
      </w:r>
      <w:r w:rsidRPr="00B825AA">
        <w:rPr>
          <w:rFonts w:ascii="Calibri" w:hAnsi="Calibri" w:cs="Calibri"/>
        </w:rPr>
        <w:t xml:space="preserve"> the mean age for diagnosis of PD was 49 years.  The mean duration of PD before DBS insertion was 10 years in </w:t>
      </w:r>
      <w:r w:rsidRPr="00B825AA">
        <w:rPr>
          <w:rFonts w:ascii="Calibri" w:hAnsi="Calibri" w:cs="Calibri"/>
        </w:rPr>
        <w:lastRenderedPageBreak/>
        <w:t>men, and 11 years in women</w:t>
      </w:r>
      <w:r w:rsidR="000C508F">
        <w:rPr>
          <w:rFonts w:ascii="Calibri" w:hAnsi="Calibri" w:cs="Calibri"/>
        </w:rPr>
        <w:t xml:space="preserve"> (Table </w:t>
      </w:r>
      <w:r w:rsidR="00A9075F">
        <w:rPr>
          <w:rFonts w:ascii="Calibri" w:hAnsi="Calibri" w:cs="Calibri"/>
        </w:rPr>
        <w:t>2</w:t>
      </w:r>
      <w:r w:rsidR="000C508F">
        <w:rPr>
          <w:rFonts w:ascii="Calibri" w:hAnsi="Calibri" w:cs="Calibri"/>
        </w:rPr>
        <w:t>)</w:t>
      </w:r>
      <w:r w:rsidRPr="00B825AA">
        <w:rPr>
          <w:rFonts w:ascii="Calibri" w:hAnsi="Calibri" w:cs="Calibri"/>
        </w:rPr>
        <w:t xml:space="preserve">. </w:t>
      </w:r>
      <w:r w:rsidR="00DC361A">
        <w:rPr>
          <w:rFonts w:ascii="Calibri" w:hAnsi="Calibri" w:cs="Calibri"/>
        </w:rPr>
        <w:t xml:space="preserve">The mean </w:t>
      </w:r>
      <w:proofErr w:type="gramStart"/>
      <w:r w:rsidR="00DC361A">
        <w:rPr>
          <w:rFonts w:ascii="Calibri" w:hAnsi="Calibri" w:cs="Calibri"/>
        </w:rPr>
        <w:t>follow</w:t>
      </w:r>
      <w:proofErr w:type="gramEnd"/>
      <w:r w:rsidR="00DC361A">
        <w:rPr>
          <w:rFonts w:ascii="Calibri" w:hAnsi="Calibri" w:cs="Calibri"/>
        </w:rPr>
        <w:t xml:space="preserve"> up time from PD diagnosis was 17 years (SD </w:t>
      </w:r>
      <w:r w:rsidR="00A9075F">
        <w:rPr>
          <w:rFonts w:ascii="Calibri" w:hAnsi="Calibri" w:cs="Calibri"/>
        </w:rPr>
        <w:t>+/-</w:t>
      </w:r>
      <w:r w:rsidR="00DC361A">
        <w:rPr>
          <w:rFonts w:ascii="Calibri" w:hAnsi="Calibri" w:cs="Calibri"/>
        </w:rPr>
        <w:t xml:space="preserve">7.01) and mean follow up from DBS insertion was 6.95 years (SD </w:t>
      </w:r>
      <w:r w:rsidR="00A9075F">
        <w:rPr>
          <w:rFonts w:ascii="Calibri" w:hAnsi="Calibri" w:cs="Calibri"/>
        </w:rPr>
        <w:t>+/-</w:t>
      </w:r>
      <w:r w:rsidR="00DC361A">
        <w:rPr>
          <w:rFonts w:ascii="Calibri" w:hAnsi="Calibri" w:cs="Calibri"/>
        </w:rPr>
        <w:t>4.86).</w:t>
      </w:r>
      <w:r w:rsidR="00F2005E">
        <w:rPr>
          <w:rFonts w:ascii="Calibri" w:hAnsi="Calibri" w:cs="Calibri"/>
        </w:rPr>
        <w:t xml:space="preserve"> </w:t>
      </w:r>
    </w:p>
    <w:p w14:paraId="01B1E877" w14:textId="21DFA712" w:rsidR="00F2005E" w:rsidRDefault="00F2005E" w:rsidP="00B825AA">
      <w:pPr>
        <w:spacing w:line="480" w:lineRule="auto"/>
        <w:jc w:val="both"/>
        <w:rPr>
          <w:rFonts w:ascii="Calibri" w:hAnsi="Calibri" w:cs="Calibri"/>
        </w:rPr>
      </w:pPr>
      <w:r>
        <w:rPr>
          <w:rFonts w:ascii="Calibri" w:hAnsi="Calibri" w:cs="Calibri"/>
        </w:rPr>
        <w:t>Pre-implantation objective assessments were carried out 122/141 patients</w:t>
      </w:r>
      <w:r w:rsidR="00A9075F">
        <w:rPr>
          <w:rFonts w:ascii="Calibri" w:hAnsi="Calibri" w:cs="Calibri"/>
        </w:rPr>
        <w:t>. Reasons for exclusion include implantation prior to record keeping, implantation elsewhere, or incomplete data.</w:t>
      </w:r>
      <w:r>
        <w:rPr>
          <w:rFonts w:ascii="Calibri" w:hAnsi="Calibri" w:cs="Calibri"/>
        </w:rPr>
        <w:t xml:space="preserve"> Analysis of UPDRS and MIDI scores can be found in Table </w:t>
      </w:r>
      <w:r w:rsidR="00A9075F">
        <w:rPr>
          <w:rFonts w:ascii="Calibri" w:hAnsi="Calibri" w:cs="Calibri"/>
        </w:rPr>
        <w:t>3</w:t>
      </w:r>
      <w:r>
        <w:rPr>
          <w:rFonts w:ascii="Calibri" w:hAnsi="Calibri" w:cs="Calibri"/>
        </w:rPr>
        <w:t xml:space="preserve">. </w:t>
      </w:r>
    </w:p>
    <w:p w14:paraId="7A074BD9" w14:textId="7A243B8B" w:rsidR="00852675" w:rsidRDefault="00D545B8" w:rsidP="00B825AA">
      <w:pPr>
        <w:spacing w:line="480" w:lineRule="auto"/>
        <w:jc w:val="both"/>
        <w:rPr>
          <w:rFonts w:ascii="Calibri" w:hAnsi="Calibri" w:cs="Calibri"/>
        </w:rPr>
      </w:pPr>
      <w:r w:rsidRPr="00B825AA">
        <w:rPr>
          <w:rFonts w:ascii="Calibri" w:hAnsi="Calibri" w:cs="Calibri"/>
        </w:rPr>
        <w:t>47</w:t>
      </w:r>
      <w:r w:rsidR="00A9075F">
        <w:rPr>
          <w:rFonts w:ascii="Calibri" w:hAnsi="Calibri" w:cs="Calibri"/>
        </w:rPr>
        <w:t>/137</w:t>
      </w:r>
      <w:r w:rsidRPr="00B825AA">
        <w:rPr>
          <w:rFonts w:ascii="Calibri" w:hAnsi="Calibri" w:cs="Calibri"/>
        </w:rPr>
        <w:t xml:space="preserve"> patients</w:t>
      </w:r>
      <w:r w:rsidR="00FF7B07" w:rsidRPr="00B825AA">
        <w:rPr>
          <w:rFonts w:ascii="Calibri" w:hAnsi="Calibri" w:cs="Calibri"/>
        </w:rPr>
        <w:t xml:space="preserve"> </w:t>
      </w:r>
      <w:r w:rsidR="00AE63D6">
        <w:rPr>
          <w:rFonts w:ascii="Calibri" w:hAnsi="Calibri" w:cs="Calibri"/>
        </w:rPr>
        <w:t>had a documented ICRB.</w:t>
      </w:r>
      <w:r w:rsidRPr="00B825AA">
        <w:rPr>
          <w:rFonts w:ascii="Calibri" w:hAnsi="Calibri" w:cs="Calibri"/>
        </w:rPr>
        <w:t xml:space="preserve"> </w:t>
      </w:r>
      <w:r w:rsidR="00AE63D6">
        <w:rPr>
          <w:rFonts w:ascii="Calibri" w:hAnsi="Calibri" w:cs="Calibri"/>
        </w:rPr>
        <w:t xml:space="preserve">Ten </w:t>
      </w:r>
      <w:r w:rsidR="00DC361A">
        <w:rPr>
          <w:rFonts w:ascii="Calibri" w:hAnsi="Calibri" w:cs="Calibri"/>
        </w:rPr>
        <w:t>were</w:t>
      </w:r>
      <w:r w:rsidRPr="00B825AA">
        <w:rPr>
          <w:rFonts w:ascii="Calibri" w:hAnsi="Calibri" w:cs="Calibri"/>
        </w:rPr>
        <w:t xml:space="preserve"> excluded due to insufficient medication data making the ICRB</w:t>
      </w:r>
      <w:r w:rsidR="00DC361A">
        <w:rPr>
          <w:rFonts w:ascii="Calibri" w:hAnsi="Calibri" w:cs="Calibri"/>
        </w:rPr>
        <w:t xml:space="preserve"> cohort 37</w:t>
      </w:r>
      <w:r w:rsidRPr="00B825AA">
        <w:rPr>
          <w:rFonts w:ascii="Calibri" w:hAnsi="Calibri" w:cs="Calibri"/>
        </w:rPr>
        <w:t xml:space="preserve"> </w:t>
      </w:r>
      <w:r w:rsidR="00FF7B07" w:rsidRPr="00B825AA">
        <w:rPr>
          <w:rFonts w:ascii="Calibri" w:hAnsi="Calibri" w:cs="Calibri"/>
        </w:rPr>
        <w:t>(</w:t>
      </w:r>
      <w:r w:rsidR="004F3EF7">
        <w:rPr>
          <w:rFonts w:ascii="Calibri" w:hAnsi="Calibri" w:cs="Calibri"/>
        </w:rPr>
        <w:t>T</w:t>
      </w:r>
      <w:r w:rsidR="00FF7B07" w:rsidRPr="00B825AA">
        <w:rPr>
          <w:rFonts w:ascii="Calibri" w:hAnsi="Calibri" w:cs="Calibri"/>
        </w:rPr>
        <w:t xml:space="preserve">able </w:t>
      </w:r>
      <w:r w:rsidR="00F2005E">
        <w:rPr>
          <w:rFonts w:ascii="Calibri" w:hAnsi="Calibri" w:cs="Calibri"/>
        </w:rPr>
        <w:t>3</w:t>
      </w:r>
      <w:r w:rsidR="00FF7B07" w:rsidRPr="00B825AA">
        <w:rPr>
          <w:rFonts w:ascii="Calibri" w:hAnsi="Calibri" w:cs="Calibri"/>
        </w:rPr>
        <w:t>)</w:t>
      </w:r>
      <w:r w:rsidRPr="00B825AA">
        <w:rPr>
          <w:rFonts w:ascii="Calibri" w:hAnsi="Calibri" w:cs="Calibri"/>
        </w:rPr>
        <w:t>.</w:t>
      </w:r>
      <w:r w:rsidR="000C508F">
        <w:rPr>
          <w:rFonts w:ascii="Calibri" w:hAnsi="Calibri" w:cs="Calibri"/>
        </w:rPr>
        <w:t xml:space="preserve"> </w:t>
      </w:r>
      <w:r w:rsidR="004A32B0" w:rsidRPr="00B825AA">
        <w:rPr>
          <w:rFonts w:ascii="Calibri" w:hAnsi="Calibri" w:cs="Calibri"/>
        </w:rPr>
        <w:t>24</w:t>
      </w:r>
      <w:r w:rsidR="00AE63D6">
        <w:rPr>
          <w:rFonts w:ascii="Calibri" w:hAnsi="Calibri" w:cs="Calibri"/>
        </w:rPr>
        <w:t>/37</w:t>
      </w:r>
      <w:r w:rsidR="004A32B0" w:rsidRPr="00B825AA">
        <w:rPr>
          <w:rFonts w:ascii="Calibri" w:hAnsi="Calibri" w:cs="Calibri"/>
        </w:rPr>
        <w:t xml:space="preserve"> (64.8%) suffered from one ICRB type with hypersexuality being to most highly reported (</w:t>
      </w:r>
      <w:r w:rsidR="004F3EF7">
        <w:rPr>
          <w:rFonts w:ascii="Calibri" w:hAnsi="Calibri" w:cs="Calibri"/>
        </w:rPr>
        <w:t>F</w:t>
      </w:r>
      <w:r w:rsidR="004A32B0" w:rsidRPr="00B825AA">
        <w:rPr>
          <w:rFonts w:ascii="Calibri" w:hAnsi="Calibri" w:cs="Calibri"/>
        </w:rPr>
        <w:t xml:space="preserve">igure </w:t>
      </w:r>
      <w:r w:rsidR="004F3EF7">
        <w:rPr>
          <w:rFonts w:ascii="Calibri" w:hAnsi="Calibri" w:cs="Calibri"/>
        </w:rPr>
        <w:t>1 A</w:t>
      </w:r>
      <w:r w:rsidR="004A32B0" w:rsidRPr="00B825AA">
        <w:rPr>
          <w:rFonts w:ascii="Calibri" w:hAnsi="Calibri" w:cs="Calibri"/>
        </w:rPr>
        <w:t>).</w:t>
      </w:r>
    </w:p>
    <w:p w14:paraId="3B68EC04" w14:textId="77777777" w:rsidR="00AE63D6" w:rsidRDefault="00AE63D6" w:rsidP="00B825AA">
      <w:pPr>
        <w:spacing w:line="480" w:lineRule="auto"/>
        <w:jc w:val="both"/>
        <w:rPr>
          <w:rFonts w:ascii="Calibri" w:hAnsi="Calibri" w:cs="Calibri"/>
        </w:rPr>
      </w:pPr>
    </w:p>
    <w:p w14:paraId="6FA69F33" w14:textId="65DB40F8" w:rsidR="00AE63D6" w:rsidRDefault="00FF7B07" w:rsidP="00B825AA">
      <w:pPr>
        <w:spacing w:line="480" w:lineRule="auto"/>
        <w:jc w:val="both"/>
        <w:rPr>
          <w:rFonts w:ascii="Calibri" w:hAnsi="Calibri" w:cs="Calibri"/>
        </w:rPr>
      </w:pPr>
      <w:r w:rsidRPr="00B825AA">
        <w:rPr>
          <w:rFonts w:ascii="Calibri" w:hAnsi="Calibri" w:cs="Calibri"/>
        </w:rPr>
        <w:t>The LEDD at ICRB diagnosis was calculated for the ICRB cohort</w:t>
      </w:r>
      <w:r w:rsidR="00AE63D6">
        <w:rPr>
          <w:rFonts w:ascii="Calibri" w:hAnsi="Calibri" w:cs="Calibri"/>
        </w:rPr>
        <w:t>.</w:t>
      </w:r>
      <w:r w:rsidRPr="00B825AA">
        <w:rPr>
          <w:rFonts w:ascii="Calibri" w:hAnsi="Calibri" w:cs="Calibri"/>
        </w:rPr>
        <w:t xml:space="preserve"> 3/37 had estimates used for</w:t>
      </w:r>
      <w:r w:rsidR="00AE63D6">
        <w:rPr>
          <w:rFonts w:ascii="Calibri" w:hAnsi="Calibri" w:cs="Calibri"/>
        </w:rPr>
        <w:t xml:space="preserve"> medication</w:t>
      </w:r>
      <w:r w:rsidRPr="00B825AA">
        <w:rPr>
          <w:rFonts w:ascii="Calibri" w:hAnsi="Calibri" w:cs="Calibri"/>
        </w:rPr>
        <w:t xml:space="preserve"> doses</w:t>
      </w:r>
      <w:r w:rsidR="00AE63D6">
        <w:rPr>
          <w:rFonts w:ascii="Calibri" w:hAnsi="Calibri" w:cs="Calibri"/>
        </w:rPr>
        <w:t>.</w:t>
      </w:r>
      <w:r w:rsidRPr="00B825AA">
        <w:rPr>
          <w:rFonts w:ascii="Calibri" w:hAnsi="Calibri" w:cs="Calibri"/>
        </w:rPr>
        <w:t xml:space="preserve"> </w:t>
      </w:r>
      <w:r w:rsidR="00AE63D6">
        <w:rPr>
          <w:rFonts w:ascii="Calibri" w:hAnsi="Calibri" w:cs="Calibri"/>
        </w:rPr>
        <w:t xml:space="preserve"> </w:t>
      </w:r>
      <w:r w:rsidR="00A9075F">
        <w:rPr>
          <w:rFonts w:ascii="Calibri" w:hAnsi="Calibri" w:cs="Calibri"/>
        </w:rPr>
        <w:t xml:space="preserve">At onset of ICRB, </w:t>
      </w:r>
      <w:r w:rsidR="00AE63D6">
        <w:rPr>
          <w:rFonts w:ascii="Calibri" w:hAnsi="Calibri" w:cs="Calibri"/>
        </w:rPr>
        <w:t>16/37 (43%) were taking</w:t>
      </w:r>
      <w:r w:rsidR="005E2081">
        <w:rPr>
          <w:rFonts w:ascii="Calibri" w:hAnsi="Calibri" w:cs="Calibri"/>
        </w:rPr>
        <w:t xml:space="preserve"> a</w:t>
      </w:r>
      <w:r w:rsidRPr="00B825AA">
        <w:rPr>
          <w:rFonts w:ascii="Calibri" w:hAnsi="Calibri" w:cs="Calibri"/>
        </w:rPr>
        <w:t xml:space="preserve"> dopamine agonist with a total LEDD average of 1194.63 (+/- 609.26) mg/day</w:t>
      </w:r>
      <w:r w:rsidR="00AE63D6">
        <w:rPr>
          <w:rFonts w:ascii="Calibri" w:hAnsi="Calibri" w:cs="Calibri"/>
        </w:rPr>
        <w:t>.</w:t>
      </w:r>
      <w:r w:rsidRPr="00B825AA">
        <w:rPr>
          <w:rFonts w:ascii="Calibri" w:hAnsi="Calibri" w:cs="Calibri"/>
        </w:rPr>
        <w:t xml:space="preserve"> 21</w:t>
      </w:r>
      <w:r w:rsidR="00AE63D6">
        <w:rPr>
          <w:rFonts w:ascii="Calibri" w:hAnsi="Calibri" w:cs="Calibri"/>
        </w:rPr>
        <w:t>/37 (57%) were not taking a DA,</w:t>
      </w:r>
      <w:r w:rsidRPr="00B825AA">
        <w:rPr>
          <w:rFonts w:ascii="Calibri" w:hAnsi="Calibri" w:cs="Calibri"/>
        </w:rPr>
        <w:t xml:space="preserve"> with a total LEDD average of 1048.57 (+/- 721.31) mg/day</w:t>
      </w:r>
      <w:proofErr w:type="gramStart"/>
      <w:r w:rsidR="00AE63D6">
        <w:rPr>
          <w:rFonts w:ascii="Calibri" w:hAnsi="Calibri" w:cs="Calibri"/>
        </w:rPr>
        <w:t>.</w:t>
      </w:r>
      <w:r w:rsidRPr="00B825AA">
        <w:rPr>
          <w:rFonts w:ascii="Calibri" w:hAnsi="Calibri" w:cs="Calibri"/>
        </w:rPr>
        <w:t xml:space="preserve"> </w:t>
      </w:r>
      <w:r w:rsidR="005E2081">
        <w:rPr>
          <w:rFonts w:ascii="Calibri" w:hAnsi="Calibri" w:cs="Calibri"/>
        </w:rPr>
        <w:t>,</w:t>
      </w:r>
      <w:proofErr w:type="gramEnd"/>
      <w:r w:rsidRPr="00B825AA">
        <w:rPr>
          <w:rFonts w:ascii="Calibri" w:hAnsi="Calibri" w:cs="Calibri"/>
        </w:rPr>
        <w:t xml:space="preserve"> </w:t>
      </w:r>
    </w:p>
    <w:p w14:paraId="44EE9026" w14:textId="6F040D1A" w:rsidR="00AE63D6" w:rsidRDefault="00FF7B07" w:rsidP="00B825AA">
      <w:pPr>
        <w:spacing w:line="480" w:lineRule="auto"/>
        <w:jc w:val="both"/>
        <w:rPr>
          <w:rFonts w:ascii="Calibri" w:hAnsi="Calibri" w:cs="Calibri"/>
        </w:rPr>
      </w:pPr>
      <w:r w:rsidRPr="00B825AA">
        <w:rPr>
          <w:rFonts w:ascii="Calibri" w:hAnsi="Calibri" w:cs="Calibri"/>
        </w:rPr>
        <w:t>2</w:t>
      </w:r>
      <w:r w:rsidR="00160188">
        <w:rPr>
          <w:rFonts w:ascii="Calibri" w:hAnsi="Calibri" w:cs="Calibri"/>
        </w:rPr>
        <w:t>7</w:t>
      </w:r>
      <w:r w:rsidRPr="00B825AA">
        <w:rPr>
          <w:rFonts w:ascii="Calibri" w:hAnsi="Calibri" w:cs="Calibri"/>
        </w:rPr>
        <w:t>/37 ICRB patients (7</w:t>
      </w:r>
      <w:r w:rsidR="00160188">
        <w:rPr>
          <w:rFonts w:ascii="Calibri" w:hAnsi="Calibri" w:cs="Calibri"/>
        </w:rPr>
        <w:t>5</w:t>
      </w:r>
      <w:r w:rsidRPr="00B825AA">
        <w:rPr>
          <w:rFonts w:ascii="Calibri" w:hAnsi="Calibri" w:cs="Calibri"/>
        </w:rPr>
        <w:t>%)</w:t>
      </w:r>
      <w:r w:rsidR="007C121C">
        <w:rPr>
          <w:rFonts w:ascii="Calibri" w:hAnsi="Calibri" w:cs="Calibri"/>
        </w:rPr>
        <w:t xml:space="preserve"> </w:t>
      </w:r>
      <w:r w:rsidR="007C121C">
        <w:rPr>
          <w:rFonts w:ascii="Calibri" w:hAnsi="Calibri" w:cs="Calibri"/>
        </w:rPr>
        <w:t>demonstrated</w:t>
      </w:r>
      <w:r w:rsidRPr="00B825AA">
        <w:rPr>
          <w:rFonts w:ascii="Calibri" w:hAnsi="Calibri" w:cs="Calibri"/>
        </w:rPr>
        <w:t xml:space="preserve"> preoperative </w:t>
      </w:r>
      <w:r w:rsidR="007C121C">
        <w:rPr>
          <w:rFonts w:ascii="Calibri" w:hAnsi="Calibri" w:cs="Calibri"/>
        </w:rPr>
        <w:t xml:space="preserve">clinical </w:t>
      </w:r>
      <w:r w:rsidRPr="00B825AA">
        <w:rPr>
          <w:rFonts w:ascii="Calibri" w:hAnsi="Calibri" w:cs="Calibri"/>
        </w:rPr>
        <w:t>improve</w:t>
      </w:r>
      <w:r w:rsidR="007C121C">
        <w:rPr>
          <w:rFonts w:ascii="Calibri" w:hAnsi="Calibri" w:cs="Calibri"/>
        </w:rPr>
        <w:t xml:space="preserve">ment or resolution </w:t>
      </w:r>
      <w:r w:rsidR="00AE63D6">
        <w:rPr>
          <w:rFonts w:ascii="Calibri" w:hAnsi="Calibri" w:cs="Calibri"/>
        </w:rPr>
        <w:t>with reduction of DA or LEDD and did not recur with STN-DBS insertion</w:t>
      </w:r>
      <w:r w:rsidRPr="00B825AA">
        <w:rPr>
          <w:rFonts w:ascii="Calibri" w:hAnsi="Calibri" w:cs="Calibri"/>
        </w:rPr>
        <w:t>.</w:t>
      </w:r>
      <w:r w:rsidR="00D545B8" w:rsidRPr="00B825AA">
        <w:rPr>
          <w:rFonts w:ascii="Calibri" w:hAnsi="Calibri" w:cs="Calibri"/>
        </w:rPr>
        <w:t xml:space="preserve"> </w:t>
      </w:r>
      <w:r w:rsidR="00AE63D6">
        <w:rPr>
          <w:rFonts w:ascii="Calibri" w:hAnsi="Calibri" w:cs="Calibri"/>
        </w:rPr>
        <w:t>5/37</w:t>
      </w:r>
      <w:r w:rsidR="00D545B8" w:rsidRPr="00B825AA">
        <w:rPr>
          <w:rFonts w:ascii="Calibri" w:hAnsi="Calibri" w:cs="Calibri"/>
        </w:rPr>
        <w:t xml:space="preserve">(13.5%) </w:t>
      </w:r>
      <w:r w:rsidR="00AE63D6">
        <w:rPr>
          <w:rFonts w:ascii="Calibri" w:hAnsi="Calibri" w:cs="Calibri"/>
        </w:rPr>
        <w:t xml:space="preserve">had </w:t>
      </w:r>
      <w:r w:rsidR="00D545B8" w:rsidRPr="00B825AA">
        <w:rPr>
          <w:rFonts w:ascii="Calibri" w:hAnsi="Calibri" w:cs="Calibri"/>
        </w:rPr>
        <w:t>ICRBs</w:t>
      </w:r>
      <w:r w:rsidR="00AE63D6">
        <w:rPr>
          <w:rFonts w:ascii="Calibri" w:hAnsi="Calibri" w:cs="Calibri"/>
        </w:rPr>
        <w:t xml:space="preserve"> that</w:t>
      </w:r>
      <w:r w:rsidR="00D545B8" w:rsidRPr="00B825AA">
        <w:rPr>
          <w:rFonts w:ascii="Calibri" w:hAnsi="Calibri" w:cs="Calibri"/>
        </w:rPr>
        <w:t xml:space="preserve"> persisted or recurred</w:t>
      </w:r>
      <w:r w:rsidR="00AE63D6">
        <w:rPr>
          <w:rFonts w:ascii="Calibri" w:hAnsi="Calibri" w:cs="Calibri"/>
        </w:rPr>
        <w:t xml:space="preserve"> following</w:t>
      </w:r>
      <w:r w:rsidR="00D545B8" w:rsidRPr="00B825AA">
        <w:rPr>
          <w:rFonts w:ascii="Calibri" w:hAnsi="Calibri" w:cs="Calibri"/>
        </w:rPr>
        <w:t xml:space="preserve"> </w:t>
      </w:r>
      <w:r w:rsidR="005E2081">
        <w:rPr>
          <w:rFonts w:ascii="Calibri" w:hAnsi="Calibri" w:cs="Calibri"/>
        </w:rPr>
        <w:t>STN-</w:t>
      </w:r>
      <w:r w:rsidR="00D545B8" w:rsidRPr="00B825AA">
        <w:rPr>
          <w:rFonts w:ascii="Calibri" w:hAnsi="Calibri" w:cs="Calibri"/>
        </w:rPr>
        <w:t xml:space="preserve">DBS. </w:t>
      </w:r>
      <w:r w:rsidR="00160188">
        <w:rPr>
          <w:rFonts w:ascii="Calibri" w:hAnsi="Calibri" w:cs="Calibri"/>
        </w:rPr>
        <w:t>5</w:t>
      </w:r>
      <w:r w:rsidR="00AE63D6">
        <w:rPr>
          <w:rFonts w:ascii="Calibri" w:hAnsi="Calibri" w:cs="Calibri"/>
        </w:rPr>
        <w:t>/37</w:t>
      </w:r>
      <w:r w:rsidR="00D545B8" w:rsidRPr="00B825AA">
        <w:rPr>
          <w:rFonts w:ascii="Calibri" w:hAnsi="Calibri" w:cs="Calibri"/>
        </w:rPr>
        <w:t xml:space="preserve"> (</w:t>
      </w:r>
      <w:r w:rsidR="00160188">
        <w:rPr>
          <w:rFonts w:ascii="Calibri" w:hAnsi="Calibri" w:cs="Calibri"/>
        </w:rPr>
        <w:t>13.5</w:t>
      </w:r>
      <w:r w:rsidR="00D545B8" w:rsidRPr="00B825AA">
        <w:rPr>
          <w:rFonts w:ascii="Calibri" w:hAnsi="Calibri" w:cs="Calibri"/>
        </w:rPr>
        <w:t>%) developed d</w:t>
      </w:r>
      <w:r w:rsidR="005E2081">
        <w:rPr>
          <w:rFonts w:ascii="Calibri" w:hAnsi="Calibri" w:cs="Calibri"/>
        </w:rPr>
        <w:t>e</w:t>
      </w:r>
      <w:r w:rsidR="00D545B8" w:rsidRPr="00B825AA">
        <w:rPr>
          <w:rFonts w:ascii="Calibri" w:hAnsi="Calibri" w:cs="Calibri"/>
        </w:rPr>
        <w:t xml:space="preserve"> novo ICRB </w:t>
      </w:r>
      <w:r w:rsidR="004F3EF7">
        <w:rPr>
          <w:rFonts w:ascii="Calibri" w:hAnsi="Calibri" w:cs="Calibri"/>
        </w:rPr>
        <w:t>(Figure 1 B)</w:t>
      </w:r>
      <w:r w:rsidR="00D545B8" w:rsidRPr="00B825AA">
        <w:rPr>
          <w:rFonts w:ascii="Calibri" w:hAnsi="Calibri" w:cs="Calibri"/>
        </w:rPr>
        <w:t xml:space="preserve">. </w:t>
      </w:r>
    </w:p>
    <w:p w14:paraId="2A553124" w14:textId="129AF230" w:rsidR="00AE63D6" w:rsidRDefault="00AE63D6" w:rsidP="00B825AA">
      <w:pPr>
        <w:spacing w:line="480" w:lineRule="auto"/>
        <w:jc w:val="both"/>
        <w:rPr>
          <w:rFonts w:ascii="Calibri" w:hAnsi="Calibri" w:cs="Calibri"/>
        </w:rPr>
      </w:pPr>
    </w:p>
    <w:p w14:paraId="7C89F583" w14:textId="1715CB00" w:rsidR="006222BB" w:rsidRDefault="00AE63D6" w:rsidP="00B825AA">
      <w:pPr>
        <w:spacing w:line="480" w:lineRule="auto"/>
        <w:jc w:val="both"/>
        <w:rPr>
          <w:rFonts w:ascii="Calibri" w:hAnsi="Calibri" w:cs="Calibri"/>
        </w:rPr>
      </w:pPr>
      <w:r>
        <w:rPr>
          <w:rFonts w:ascii="Calibri" w:hAnsi="Calibri" w:cs="Calibri"/>
        </w:rPr>
        <w:t xml:space="preserve">The de novo </w:t>
      </w:r>
      <w:proofErr w:type="gramStart"/>
      <w:r>
        <w:rPr>
          <w:rFonts w:ascii="Calibri" w:hAnsi="Calibri" w:cs="Calibri"/>
        </w:rPr>
        <w:t xml:space="preserve">group </w:t>
      </w:r>
      <w:r w:rsidR="00D545B8" w:rsidRPr="00B825AA">
        <w:rPr>
          <w:rFonts w:ascii="Calibri" w:hAnsi="Calibri" w:cs="Calibri"/>
        </w:rPr>
        <w:t xml:space="preserve"> </w:t>
      </w:r>
      <w:r w:rsidR="00CB3357" w:rsidRPr="00B825AA">
        <w:rPr>
          <w:rFonts w:ascii="Calibri" w:hAnsi="Calibri" w:cs="Calibri"/>
        </w:rPr>
        <w:t>had</w:t>
      </w:r>
      <w:proofErr w:type="gramEnd"/>
      <w:r w:rsidR="00CB3357" w:rsidRPr="00B825AA">
        <w:rPr>
          <w:rFonts w:ascii="Calibri" w:hAnsi="Calibri" w:cs="Calibri"/>
        </w:rPr>
        <w:t xml:space="preserve"> a PD diagnosis for twice as long as patients with pre</w:t>
      </w:r>
      <w:r>
        <w:rPr>
          <w:rFonts w:ascii="Calibri" w:hAnsi="Calibri" w:cs="Calibri"/>
        </w:rPr>
        <w:t>-operative</w:t>
      </w:r>
      <w:r w:rsidR="00A9075F">
        <w:rPr>
          <w:rFonts w:ascii="Calibri" w:hAnsi="Calibri" w:cs="Calibri"/>
        </w:rPr>
        <w:t xml:space="preserve"> </w:t>
      </w:r>
      <w:r w:rsidR="00CB3357" w:rsidRPr="00B825AA">
        <w:rPr>
          <w:rFonts w:ascii="Calibri" w:hAnsi="Calibri" w:cs="Calibri"/>
        </w:rPr>
        <w:t>ICRBs</w:t>
      </w:r>
      <w:r w:rsidR="00D545B8" w:rsidRPr="00B825AA">
        <w:rPr>
          <w:rFonts w:ascii="Calibri" w:hAnsi="Calibri" w:cs="Calibri"/>
        </w:rPr>
        <w:t xml:space="preserve"> (p&gt;0.05). </w:t>
      </w:r>
      <w:r w:rsidR="00D63057" w:rsidRPr="00B825AA">
        <w:rPr>
          <w:rFonts w:ascii="Calibri" w:hAnsi="Calibri" w:cs="Calibri"/>
        </w:rPr>
        <w:t>All clinical characteristics between the pre-</w:t>
      </w:r>
      <w:r>
        <w:rPr>
          <w:rFonts w:ascii="Calibri" w:hAnsi="Calibri" w:cs="Calibri"/>
        </w:rPr>
        <w:t>operative</w:t>
      </w:r>
      <w:r w:rsidR="00D63057" w:rsidRPr="00B825AA">
        <w:rPr>
          <w:rFonts w:ascii="Calibri" w:hAnsi="Calibri" w:cs="Calibri"/>
        </w:rPr>
        <w:t xml:space="preserve"> </w:t>
      </w:r>
      <w:proofErr w:type="gramStart"/>
      <w:r w:rsidR="00D63057" w:rsidRPr="00B825AA">
        <w:rPr>
          <w:rFonts w:ascii="Calibri" w:hAnsi="Calibri" w:cs="Calibri"/>
        </w:rPr>
        <w:t>ICRBs  and</w:t>
      </w:r>
      <w:proofErr w:type="gramEnd"/>
      <w:r w:rsidR="00D63057" w:rsidRPr="00B825AA">
        <w:rPr>
          <w:rFonts w:ascii="Calibri" w:hAnsi="Calibri" w:cs="Calibri"/>
        </w:rPr>
        <w:t xml:space="preserve"> de novo cohorts failed to meet significance </w:t>
      </w:r>
      <w:r w:rsidR="005E2081">
        <w:rPr>
          <w:rFonts w:ascii="Calibri" w:hAnsi="Calibri" w:cs="Calibri"/>
        </w:rPr>
        <w:t xml:space="preserve">(Table </w:t>
      </w:r>
      <w:r w:rsidR="00A9075F">
        <w:rPr>
          <w:rFonts w:ascii="Calibri" w:hAnsi="Calibri" w:cs="Calibri"/>
        </w:rPr>
        <w:t>4, Figure 1B</w:t>
      </w:r>
      <w:r w:rsidR="005E2081">
        <w:rPr>
          <w:rFonts w:ascii="Calibri" w:hAnsi="Calibri" w:cs="Calibri"/>
        </w:rPr>
        <w:t>)</w:t>
      </w:r>
      <w:r w:rsidR="00D63057" w:rsidRPr="00B825AA">
        <w:rPr>
          <w:rFonts w:ascii="Calibri" w:hAnsi="Calibri" w:cs="Calibri"/>
        </w:rPr>
        <w:t>.</w:t>
      </w:r>
      <w:r w:rsidR="00160188">
        <w:rPr>
          <w:rFonts w:ascii="Calibri" w:hAnsi="Calibri" w:cs="Calibri"/>
        </w:rPr>
        <w:t xml:space="preserve"> Mean duration of DBS before development of ICRBs was 3.5years.</w:t>
      </w:r>
      <w:r w:rsidR="00D63057" w:rsidRPr="00B825AA">
        <w:rPr>
          <w:rFonts w:ascii="Calibri" w:hAnsi="Calibri" w:cs="Calibri"/>
        </w:rPr>
        <w:t xml:space="preserve"> All de novo </w:t>
      </w:r>
      <w:r w:rsidR="00FE431A" w:rsidRPr="00B825AA">
        <w:rPr>
          <w:rFonts w:ascii="Calibri" w:hAnsi="Calibri" w:cs="Calibri"/>
        </w:rPr>
        <w:t xml:space="preserve">ICRBs </w:t>
      </w:r>
      <w:r w:rsidR="00A9075F">
        <w:rPr>
          <w:rFonts w:ascii="Calibri" w:hAnsi="Calibri" w:cs="Calibri"/>
        </w:rPr>
        <w:t xml:space="preserve">demonstrated qualitative clinical improvement with </w:t>
      </w:r>
      <w:r>
        <w:rPr>
          <w:rFonts w:ascii="Calibri" w:hAnsi="Calibri" w:cs="Calibri"/>
        </w:rPr>
        <w:t xml:space="preserve">reduction </w:t>
      </w:r>
      <w:r w:rsidR="00A9075F">
        <w:rPr>
          <w:rFonts w:ascii="Calibri" w:hAnsi="Calibri" w:cs="Calibri"/>
        </w:rPr>
        <w:t>of</w:t>
      </w:r>
      <w:r>
        <w:rPr>
          <w:rFonts w:ascii="Calibri" w:hAnsi="Calibri" w:cs="Calibri"/>
        </w:rPr>
        <w:t xml:space="preserve"> DA or LEDD</w:t>
      </w:r>
      <w:r w:rsidR="00D63057" w:rsidRPr="00B825AA">
        <w:rPr>
          <w:rFonts w:ascii="Calibri" w:hAnsi="Calibri" w:cs="Calibri"/>
        </w:rPr>
        <w:t>.</w:t>
      </w:r>
      <w:r>
        <w:rPr>
          <w:rFonts w:ascii="Calibri" w:hAnsi="Calibri" w:cs="Calibri"/>
        </w:rPr>
        <w:t xml:space="preserve"> </w:t>
      </w:r>
    </w:p>
    <w:p w14:paraId="44F2E299" w14:textId="77777777" w:rsidR="00A9075F" w:rsidRPr="00B825AA" w:rsidRDefault="00A9075F" w:rsidP="00B825AA">
      <w:pPr>
        <w:spacing w:line="480" w:lineRule="auto"/>
        <w:jc w:val="both"/>
        <w:rPr>
          <w:rFonts w:ascii="Calibri" w:hAnsi="Calibri" w:cs="Calibri"/>
        </w:rPr>
      </w:pPr>
    </w:p>
    <w:p w14:paraId="552F3DE6" w14:textId="4AAC747E" w:rsidR="00AE63D6" w:rsidRDefault="00FE431A" w:rsidP="00B825AA">
      <w:pPr>
        <w:spacing w:line="480" w:lineRule="auto"/>
        <w:jc w:val="both"/>
        <w:rPr>
          <w:rFonts w:ascii="Calibri" w:hAnsi="Calibri" w:cs="Calibri"/>
        </w:rPr>
      </w:pPr>
      <w:r w:rsidRPr="00B825AA">
        <w:rPr>
          <w:rFonts w:ascii="Calibri" w:hAnsi="Calibri" w:cs="Calibri"/>
        </w:rPr>
        <w:lastRenderedPageBreak/>
        <w:t xml:space="preserve">In </w:t>
      </w:r>
      <w:r w:rsidR="00E904AB" w:rsidRPr="00B825AA">
        <w:rPr>
          <w:rFonts w:ascii="Calibri" w:hAnsi="Calibri" w:cs="Calibri"/>
        </w:rPr>
        <w:t>conclusion</w:t>
      </w:r>
      <w:r w:rsidRPr="00B825AA">
        <w:rPr>
          <w:rFonts w:ascii="Calibri" w:hAnsi="Calibri" w:cs="Calibri"/>
        </w:rPr>
        <w:t>,</w:t>
      </w:r>
      <w:r w:rsidR="00A9075F">
        <w:rPr>
          <w:rFonts w:ascii="Calibri" w:hAnsi="Calibri" w:cs="Calibri"/>
        </w:rPr>
        <w:t xml:space="preserve"> of the 37/137 patients who experienced ICRB related to their PD,</w:t>
      </w:r>
      <w:r w:rsidR="00E904AB" w:rsidRPr="00B825AA">
        <w:rPr>
          <w:rFonts w:ascii="Calibri" w:hAnsi="Calibri" w:cs="Calibri"/>
        </w:rPr>
        <w:t xml:space="preserve"> </w:t>
      </w:r>
      <w:r w:rsidR="00AE63D6">
        <w:rPr>
          <w:rFonts w:ascii="Calibri" w:hAnsi="Calibri" w:cs="Calibri"/>
        </w:rPr>
        <w:t xml:space="preserve">27% experienced them after STN-DBS insertion, with </w:t>
      </w:r>
      <w:r w:rsidR="00A9075F">
        <w:rPr>
          <w:rFonts w:ascii="Calibri" w:hAnsi="Calibri" w:cs="Calibri"/>
        </w:rPr>
        <w:t>13.5%</w:t>
      </w:r>
      <w:r w:rsidR="00AE63D6">
        <w:rPr>
          <w:rFonts w:ascii="Calibri" w:hAnsi="Calibri" w:cs="Calibri"/>
        </w:rPr>
        <w:t xml:space="preserve"> occurring de novo. These results reflect the literature. There were no significant clinical discriminators found to suggest risk factors for developing ICRBs after STN-DBS, however, duration of PD diagnosis should be focussed on in further studies. </w:t>
      </w:r>
    </w:p>
    <w:p w14:paraId="01745C0F" w14:textId="29C875A2" w:rsidR="00EE7DD5" w:rsidRDefault="00AE63D6" w:rsidP="00EE7DD5">
      <w:pPr>
        <w:spacing w:line="480" w:lineRule="auto"/>
        <w:jc w:val="both"/>
        <w:rPr>
          <w:rFonts w:ascii="Calibri" w:hAnsi="Calibri" w:cs="Calibri"/>
        </w:rPr>
      </w:pPr>
      <w:r>
        <w:rPr>
          <w:rFonts w:ascii="Calibri" w:hAnsi="Calibri" w:cs="Calibri"/>
        </w:rPr>
        <w:t xml:space="preserve">The study’s strength is that it was a </w:t>
      </w:r>
      <w:r w:rsidRPr="00EE7DD5">
        <w:rPr>
          <w:rFonts w:ascii="Calibri" w:hAnsi="Calibri" w:cs="Calibri"/>
        </w:rPr>
        <w:t>single centr</w:t>
      </w:r>
      <w:r>
        <w:rPr>
          <w:rFonts w:ascii="Calibri" w:hAnsi="Calibri" w:cs="Calibri"/>
        </w:rPr>
        <w:t>e study</w:t>
      </w:r>
      <w:r w:rsidRPr="00EE7DD5">
        <w:rPr>
          <w:rFonts w:ascii="Calibri" w:hAnsi="Calibri" w:cs="Calibri"/>
        </w:rPr>
        <w:t xml:space="preserve"> of patients who underwent bilateral STN</w:t>
      </w:r>
      <w:r>
        <w:rPr>
          <w:rFonts w:ascii="Calibri" w:hAnsi="Calibri" w:cs="Calibri"/>
        </w:rPr>
        <w:t>-</w:t>
      </w:r>
      <w:r w:rsidRPr="00EE7DD5">
        <w:rPr>
          <w:rFonts w:ascii="Calibri" w:hAnsi="Calibri" w:cs="Calibri"/>
        </w:rPr>
        <w:t>DBS, it had a</w:t>
      </w:r>
      <w:r>
        <w:rPr>
          <w:rFonts w:ascii="Calibri" w:hAnsi="Calibri" w:cs="Calibri"/>
        </w:rPr>
        <w:t xml:space="preserve"> </w:t>
      </w:r>
      <w:r w:rsidRPr="00EE7DD5">
        <w:rPr>
          <w:rFonts w:ascii="Calibri" w:hAnsi="Calibri" w:cs="Calibri"/>
        </w:rPr>
        <w:t xml:space="preserve">large sample size and a </w:t>
      </w:r>
      <w:r w:rsidR="00DC361A">
        <w:rPr>
          <w:rFonts w:ascii="Calibri" w:hAnsi="Calibri" w:cs="Calibri"/>
        </w:rPr>
        <w:t>long duration of</w:t>
      </w:r>
      <w:r w:rsidRPr="00EE7DD5">
        <w:rPr>
          <w:rFonts w:ascii="Calibri" w:hAnsi="Calibri" w:cs="Calibri"/>
        </w:rPr>
        <w:t xml:space="preserve"> follow-up.</w:t>
      </w:r>
      <w:r w:rsidR="004578C2">
        <w:rPr>
          <w:rFonts w:ascii="Calibri" w:hAnsi="Calibri" w:cs="Calibri"/>
        </w:rPr>
        <w:t xml:space="preserve"> </w:t>
      </w:r>
      <w:r w:rsidR="00EE7DD5" w:rsidRPr="00EE7DD5">
        <w:rPr>
          <w:rFonts w:ascii="Calibri" w:hAnsi="Calibri" w:cs="Calibri"/>
        </w:rPr>
        <w:t xml:space="preserve">Our research has some limitations. </w:t>
      </w:r>
      <w:r w:rsidR="00A9075F">
        <w:rPr>
          <w:rFonts w:ascii="Calibri" w:hAnsi="Calibri" w:cs="Calibri"/>
        </w:rPr>
        <w:t>P</w:t>
      </w:r>
      <w:r w:rsidR="00EE7DD5" w:rsidRPr="00EE7DD5">
        <w:rPr>
          <w:rFonts w:ascii="Calibri" w:hAnsi="Calibri" w:cs="Calibri"/>
        </w:rPr>
        <w:t>atients in our</w:t>
      </w:r>
      <w:r w:rsidR="00EE7DD5">
        <w:rPr>
          <w:rFonts w:ascii="Calibri" w:hAnsi="Calibri" w:cs="Calibri"/>
        </w:rPr>
        <w:t xml:space="preserve"> </w:t>
      </w:r>
      <w:r w:rsidR="00EE7DD5" w:rsidRPr="00EE7DD5">
        <w:rPr>
          <w:rFonts w:ascii="Calibri" w:hAnsi="Calibri" w:cs="Calibri"/>
        </w:rPr>
        <w:t xml:space="preserve">study </w:t>
      </w:r>
      <w:r w:rsidR="00A9075F">
        <w:rPr>
          <w:rFonts w:ascii="Calibri" w:hAnsi="Calibri" w:cs="Calibri"/>
        </w:rPr>
        <w:t>we</w:t>
      </w:r>
      <w:r w:rsidR="00EE7DD5" w:rsidRPr="00EE7DD5">
        <w:rPr>
          <w:rFonts w:ascii="Calibri" w:hAnsi="Calibri" w:cs="Calibri"/>
        </w:rPr>
        <w:t>re followed under a prospective protocol, ICRB</w:t>
      </w:r>
      <w:r w:rsidR="00EE7DD5">
        <w:rPr>
          <w:rFonts w:ascii="Calibri" w:hAnsi="Calibri" w:cs="Calibri"/>
        </w:rPr>
        <w:t>s</w:t>
      </w:r>
      <w:r w:rsidR="00EE7DD5" w:rsidRPr="00EE7DD5">
        <w:rPr>
          <w:rFonts w:ascii="Calibri" w:hAnsi="Calibri" w:cs="Calibri"/>
        </w:rPr>
        <w:t xml:space="preserve"> were investigated</w:t>
      </w:r>
      <w:r w:rsidR="00EE7DD5">
        <w:rPr>
          <w:rFonts w:ascii="Calibri" w:hAnsi="Calibri" w:cs="Calibri"/>
        </w:rPr>
        <w:t xml:space="preserve"> </w:t>
      </w:r>
      <w:r w:rsidR="00EE7DD5" w:rsidRPr="00EE7DD5">
        <w:rPr>
          <w:rFonts w:ascii="Calibri" w:hAnsi="Calibri" w:cs="Calibri"/>
        </w:rPr>
        <w:t>retrospectively. Th</w:t>
      </w:r>
      <w:r w:rsidR="00EE7DD5">
        <w:rPr>
          <w:rFonts w:ascii="Calibri" w:hAnsi="Calibri" w:cs="Calibri"/>
        </w:rPr>
        <w:t>erefore</w:t>
      </w:r>
      <w:r w:rsidR="00EE7DD5" w:rsidRPr="00EE7DD5">
        <w:rPr>
          <w:rFonts w:ascii="Calibri" w:hAnsi="Calibri" w:cs="Calibri"/>
        </w:rPr>
        <w:t>, some cases of preoperative</w:t>
      </w:r>
      <w:r w:rsidR="00EE7DD5">
        <w:rPr>
          <w:rFonts w:ascii="Calibri" w:hAnsi="Calibri" w:cs="Calibri"/>
        </w:rPr>
        <w:t xml:space="preserve"> </w:t>
      </w:r>
      <w:r w:rsidR="00EE7DD5" w:rsidRPr="00EE7DD5">
        <w:rPr>
          <w:rFonts w:ascii="Calibri" w:hAnsi="Calibri" w:cs="Calibri"/>
        </w:rPr>
        <w:t xml:space="preserve">ICRB </w:t>
      </w:r>
      <w:r w:rsidR="00EE7DD5">
        <w:rPr>
          <w:rFonts w:ascii="Calibri" w:hAnsi="Calibri" w:cs="Calibri"/>
        </w:rPr>
        <w:t xml:space="preserve">might have been </w:t>
      </w:r>
      <w:r w:rsidR="00EE7DD5" w:rsidRPr="00EE7DD5">
        <w:rPr>
          <w:rFonts w:ascii="Calibri" w:hAnsi="Calibri" w:cs="Calibri"/>
        </w:rPr>
        <w:t>resolved postoperatively without being reported</w:t>
      </w:r>
      <w:r w:rsidR="00EE7DD5">
        <w:rPr>
          <w:rFonts w:ascii="Calibri" w:hAnsi="Calibri" w:cs="Calibri"/>
        </w:rPr>
        <w:t xml:space="preserve"> </w:t>
      </w:r>
      <w:r w:rsidR="00EE7DD5" w:rsidRPr="00EE7DD5">
        <w:rPr>
          <w:rFonts w:ascii="Calibri" w:hAnsi="Calibri" w:cs="Calibri"/>
        </w:rPr>
        <w:t xml:space="preserve">due to recall bias. </w:t>
      </w:r>
      <w:r>
        <w:rPr>
          <w:rFonts w:ascii="Calibri" w:hAnsi="Calibri" w:cs="Calibri"/>
        </w:rPr>
        <w:t>Our reliance on clinical documentation resulted in exclusion of patients due to incomplete data, and</w:t>
      </w:r>
      <w:r w:rsidR="00A9075F">
        <w:rPr>
          <w:rFonts w:ascii="Calibri" w:hAnsi="Calibri" w:cs="Calibri"/>
        </w:rPr>
        <w:t xml:space="preserve"> longitudinal</w:t>
      </w:r>
      <w:r>
        <w:rPr>
          <w:rFonts w:ascii="Calibri" w:hAnsi="Calibri" w:cs="Calibri"/>
        </w:rPr>
        <w:t xml:space="preserve"> objective assessment of ICRBs through scoring systems would be beneficial for future w</w:t>
      </w:r>
      <w:r w:rsidR="004578C2">
        <w:rPr>
          <w:rFonts w:ascii="Calibri" w:hAnsi="Calibri" w:cs="Calibri"/>
        </w:rPr>
        <w:t xml:space="preserve">ork. Future studies should </w:t>
      </w:r>
      <w:r>
        <w:rPr>
          <w:rFonts w:ascii="Calibri" w:hAnsi="Calibri" w:cs="Calibri"/>
        </w:rPr>
        <w:t>consider analysis of electrode contacts in ICRB development</w:t>
      </w:r>
      <w:r w:rsidR="004578C2">
        <w:rPr>
          <w:rFonts w:ascii="Calibri" w:hAnsi="Calibri" w:cs="Calibri"/>
        </w:rPr>
        <w:t xml:space="preserve"> and to evaluate pr</w:t>
      </w:r>
      <w:r>
        <w:rPr>
          <w:rFonts w:ascii="Calibri" w:hAnsi="Calibri" w:cs="Calibri"/>
        </w:rPr>
        <w:t xml:space="preserve">e-operative neuropsychological and neuropsychiatric testing. </w:t>
      </w:r>
    </w:p>
    <w:p w14:paraId="5CBB3437" w14:textId="77777777" w:rsidR="00C16255" w:rsidRPr="00B825AA" w:rsidRDefault="00C16255" w:rsidP="00B825AA">
      <w:pPr>
        <w:spacing w:line="480" w:lineRule="auto"/>
        <w:jc w:val="both"/>
        <w:rPr>
          <w:rFonts w:ascii="Calibri" w:hAnsi="Calibri" w:cs="Calibri"/>
        </w:rPr>
      </w:pPr>
    </w:p>
    <w:p w14:paraId="369BE1AE" w14:textId="1753AFFD" w:rsidR="00F54CED" w:rsidRPr="00EE7DD5" w:rsidRDefault="00C459A4" w:rsidP="00B825AA">
      <w:pPr>
        <w:spacing w:line="480" w:lineRule="auto"/>
        <w:rPr>
          <w:rFonts w:ascii="Calibri" w:hAnsi="Calibri" w:cs="Calibri"/>
          <w:b/>
          <w:bCs/>
        </w:rPr>
      </w:pPr>
      <w:r w:rsidRPr="004F3EF7">
        <w:rPr>
          <w:rFonts w:ascii="Calibri" w:hAnsi="Calibri" w:cs="Calibri"/>
          <w:b/>
          <w:bCs/>
        </w:rPr>
        <w:t xml:space="preserve"> </w:t>
      </w:r>
      <w:r w:rsidR="00D12445" w:rsidRPr="004F3EF7">
        <w:rPr>
          <w:rFonts w:ascii="Calibri" w:hAnsi="Calibri" w:cs="Calibri"/>
          <w:b/>
          <w:bCs/>
        </w:rPr>
        <w:t>FIGURE LEGEND</w:t>
      </w:r>
    </w:p>
    <w:p w14:paraId="493304AC" w14:textId="09A281DC" w:rsidR="00A81D09" w:rsidRPr="00065E72" w:rsidRDefault="00A81D09" w:rsidP="00A479A2">
      <w:pPr>
        <w:rPr>
          <w:rFonts w:ascii="Calibri" w:hAnsi="Calibri" w:cs="Calibri"/>
        </w:rPr>
      </w:pPr>
      <w:r w:rsidRPr="00A479A2">
        <w:rPr>
          <w:rFonts w:ascii="Calibri" w:hAnsi="Calibri" w:cs="Calibri"/>
          <w:b/>
          <w:bCs/>
        </w:rPr>
        <w:t>Figure 1 A:</w:t>
      </w:r>
      <w:r w:rsidRPr="00065E72">
        <w:rPr>
          <w:rFonts w:ascii="Calibri" w:hAnsi="Calibri" w:cs="Calibri"/>
        </w:rPr>
        <w:t xml:space="preserve"> A bar chart demonstrating the frequency of ICRB types reported</w:t>
      </w:r>
    </w:p>
    <w:p w14:paraId="0B765C65" w14:textId="77777777" w:rsidR="00A479A2" w:rsidRDefault="00A479A2" w:rsidP="00B825AA">
      <w:pPr>
        <w:spacing w:line="480" w:lineRule="auto"/>
        <w:rPr>
          <w:rFonts w:ascii="Calibri" w:hAnsi="Calibri" w:cs="Calibri"/>
        </w:rPr>
      </w:pPr>
    </w:p>
    <w:p w14:paraId="3C81C2A4" w14:textId="300D4F63" w:rsidR="00A81D09" w:rsidRPr="00065E72" w:rsidRDefault="00A81D09" w:rsidP="00B825AA">
      <w:pPr>
        <w:spacing w:line="480" w:lineRule="auto"/>
        <w:rPr>
          <w:rFonts w:ascii="Calibri" w:hAnsi="Calibri" w:cs="Calibri"/>
        </w:rPr>
      </w:pPr>
      <w:r w:rsidRPr="00A479A2">
        <w:rPr>
          <w:rFonts w:ascii="Calibri" w:hAnsi="Calibri" w:cs="Calibri"/>
          <w:b/>
          <w:bCs/>
        </w:rPr>
        <w:t>Figure 1 B:</w:t>
      </w:r>
      <w:r w:rsidRPr="00065E72">
        <w:rPr>
          <w:rFonts w:ascii="Calibri" w:hAnsi="Calibri" w:cs="Calibri"/>
        </w:rPr>
        <w:t xml:space="preserve"> Box plot demonstrating duration of PD symptoms at ICRB diagnosis, comparing de novo ICRB cases (green) to pre-</w:t>
      </w:r>
      <w:r w:rsidR="00A479A2" w:rsidRPr="00065E72">
        <w:rPr>
          <w:rFonts w:ascii="Calibri" w:hAnsi="Calibri" w:cs="Calibri"/>
        </w:rPr>
        <w:t>existing</w:t>
      </w:r>
      <w:r w:rsidRPr="00065E72">
        <w:rPr>
          <w:rFonts w:ascii="Calibri" w:hAnsi="Calibri" w:cs="Calibri"/>
        </w:rPr>
        <w:t xml:space="preserve"> ICRB cases (red)</w:t>
      </w:r>
    </w:p>
    <w:p w14:paraId="1A38EF88" w14:textId="77777777" w:rsidR="00A479A2" w:rsidRDefault="00A479A2" w:rsidP="00B825AA">
      <w:pPr>
        <w:spacing w:line="480" w:lineRule="auto"/>
        <w:rPr>
          <w:rFonts w:ascii="Calibri" w:hAnsi="Calibri" w:cs="Calibri"/>
          <w:b/>
          <w:bCs/>
          <w:i/>
          <w:iCs/>
          <w:lang w:val="it-IT"/>
        </w:rPr>
      </w:pPr>
    </w:p>
    <w:p w14:paraId="5017F1D9" w14:textId="77777777" w:rsidR="00A479A2" w:rsidRDefault="00A479A2" w:rsidP="00B825AA">
      <w:pPr>
        <w:spacing w:line="480" w:lineRule="auto"/>
        <w:rPr>
          <w:rFonts w:ascii="Calibri" w:hAnsi="Calibri" w:cs="Calibri"/>
          <w:b/>
          <w:bCs/>
          <w:i/>
          <w:iCs/>
          <w:lang w:val="it-IT"/>
        </w:rPr>
      </w:pPr>
    </w:p>
    <w:p w14:paraId="189EF102" w14:textId="77777777" w:rsidR="00A479A2" w:rsidRDefault="00A479A2" w:rsidP="00B825AA">
      <w:pPr>
        <w:spacing w:line="480" w:lineRule="auto"/>
        <w:rPr>
          <w:rFonts w:ascii="Calibri" w:hAnsi="Calibri" w:cs="Calibri"/>
          <w:b/>
          <w:bCs/>
          <w:i/>
          <w:iCs/>
          <w:lang w:val="it-IT"/>
        </w:rPr>
      </w:pPr>
    </w:p>
    <w:p w14:paraId="5A3DA1C6" w14:textId="77777777" w:rsidR="00A479A2" w:rsidRDefault="00A479A2" w:rsidP="00B825AA">
      <w:pPr>
        <w:spacing w:line="480" w:lineRule="auto"/>
        <w:rPr>
          <w:rFonts w:ascii="Calibri" w:hAnsi="Calibri" w:cs="Calibri"/>
          <w:b/>
          <w:bCs/>
          <w:i/>
          <w:iCs/>
          <w:lang w:val="it-IT"/>
        </w:rPr>
      </w:pPr>
    </w:p>
    <w:p w14:paraId="6A18D2E0" w14:textId="249098AB" w:rsidR="00BA2466" w:rsidRDefault="004F3EF7" w:rsidP="00B825AA">
      <w:pPr>
        <w:spacing w:line="480" w:lineRule="auto"/>
        <w:rPr>
          <w:rFonts w:ascii="Calibri" w:hAnsi="Calibri" w:cs="Calibri"/>
          <w:b/>
          <w:bCs/>
          <w:i/>
          <w:iCs/>
          <w:lang w:val="it-IT"/>
        </w:rPr>
      </w:pPr>
      <w:r w:rsidRPr="007D09F8">
        <w:rPr>
          <w:rFonts w:ascii="Calibri" w:hAnsi="Calibri" w:cs="Calibri"/>
          <w:b/>
          <w:bCs/>
          <w:i/>
          <w:iCs/>
          <w:lang w:val="it-IT"/>
        </w:rPr>
        <w:lastRenderedPageBreak/>
        <w:t>REFERENCES</w:t>
      </w:r>
    </w:p>
    <w:p w14:paraId="1770DD7E" w14:textId="77777777" w:rsidR="00160188" w:rsidRDefault="00160188" w:rsidP="00B825AA">
      <w:pPr>
        <w:spacing w:line="480" w:lineRule="auto"/>
        <w:rPr>
          <w:rFonts w:ascii="Calibri" w:hAnsi="Calibri" w:cs="Calibri"/>
          <w:b/>
          <w:bCs/>
          <w:i/>
          <w:iCs/>
          <w:lang w:val="it-IT"/>
        </w:rPr>
      </w:pPr>
    </w:p>
    <w:p w14:paraId="5FEDDA5A" w14:textId="1BB14545" w:rsidR="00160188" w:rsidRPr="00A479A2" w:rsidRDefault="00160188" w:rsidP="00160188">
      <w:pPr>
        <w:pStyle w:val="ListParagraph"/>
        <w:numPr>
          <w:ilvl w:val="0"/>
          <w:numId w:val="2"/>
        </w:numPr>
        <w:spacing w:line="480" w:lineRule="auto"/>
        <w:rPr>
          <w:rFonts w:ascii="Calibri" w:hAnsi="Calibri" w:cs="Calibri"/>
        </w:rPr>
      </w:pPr>
      <w:r w:rsidRPr="00663392">
        <w:t xml:space="preserve">Maloney EM, </w:t>
      </w:r>
      <w:proofErr w:type="spellStart"/>
      <w:r w:rsidRPr="00663392">
        <w:t>Djamshidian</w:t>
      </w:r>
      <w:proofErr w:type="spellEnd"/>
      <w:r w:rsidRPr="00663392">
        <w:t xml:space="preserve"> A, O'Sullivan SS. Phenomenology and epidemiology of impulsive-compulsive behaviours in Parkinson's disease, atypical Parkinsonian disorders and non-Parkinsonian populations. J </w:t>
      </w:r>
      <w:proofErr w:type="spellStart"/>
      <w:r w:rsidRPr="00663392">
        <w:t>Neurol</w:t>
      </w:r>
      <w:proofErr w:type="spellEnd"/>
      <w:r w:rsidRPr="00663392">
        <w:t xml:space="preserve"> Sci. </w:t>
      </w:r>
      <w:proofErr w:type="gramStart"/>
      <w:r w:rsidRPr="00663392">
        <w:t>2017;374:47</w:t>
      </w:r>
      <w:proofErr w:type="gramEnd"/>
      <w:r w:rsidRPr="00663392">
        <w:t>-52.</w:t>
      </w:r>
    </w:p>
    <w:p w14:paraId="0F737D58" w14:textId="5C9C4D44" w:rsidR="00160188" w:rsidRPr="00160188" w:rsidRDefault="00160188" w:rsidP="00160188">
      <w:pPr>
        <w:pStyle w:val="ListParagraph"/>
        <w:numPr>
          <w:ilvl w:val="0"/>
          <w:numId w:val="2"/>
        </w:numPr>
        <w:spacing w:line="480" w:lineRule="auto"/>
        <w:rPr>
          <w:rFonts w:ascii="Calibri" w:hAnsi="Calibri" w:cs="Calibri"/>
          <w:lang w:val="it-IT"/>
        </w:rPr>
      </w:pPr>
      <w:r w:rsidRPr="007D09F8">
        <w:rPr>
          <w:lang w:val="it-IT"/>
        </w:rPr>
        <w:t xml:space="preserve">Rossi PJ, Shute JB, Opri E, Molina R, Peden C, Castellanos O, et al. </w:t>
      </w:r>
      <w:r w:rsidRPr="00663392">
        <w:t xml:space="preserve">Impulsivity in Parkinson's disease is associated with altered subthalamic but not globus pallidus internus activity. J </w:t>
      </w:r>
      <w:proofErr w:type="spellStart"/>
      <w:r w:rsidRPr="00663392">
        <w:t>Neurol</w:t>
      </w:r>
      <w:proofErr w:type="spellEnd"/>
      <w:r w:rsidRPr="00663392">
        <w:t xml:space="preserve"> </w:t>
      </w:r>
      <w:proofErr w:type="spellStart"/>
      <w:r w:rsidRPr="00663392">
        <w:t>Neurosurg</w:t>
      </w:r>
      <w:proofErr w:type="spellEnd"/>
      <w:r w:rsidRPr="00663392">
        <w:t xml:space="preserve"> Psychiatry. 2017;88(11):968-70.</w:t>
      </w:r>
    </w:p>
    <w:p w14:paraId="1F8A1960" w14:textId="787C2A73" w:rsidR="00160188" w:rsidRPr="00E7765E" w:rsidRDefault="00160188" w:rsidP="00E7765E">
      <w:pPr>
        <w:pStyle w:val="EndNoteBibliography"/>
        <w:numPr>
          <w:ilvl w:val="0"/>
          <w:numId w:val="2"/>
        </w:numPr>
        <w:spacing w:line="480" w:lineRule="auto"/>
        <w:jc w:val="both"/>
        <w:rPr>
          <w:rFonts w:asciiTheme="minorHAnsi" w:hAnsiTheme="minorHAnsi" w:cstheme="minorHAnsi"/>
        </w:rPr>
      </w:pPr>
      <w:r w:rsidRPr="00E7765E">
        <w:rPr>
          <w:rFonts w:asciiTheme="minorHAnsi" w:hAnsiTheme="minorHAnsi" w:cstheme="minorHAnsi"/>
        </w:rPr>
        <w:t>Rossi PJ, De Jesus S, Hess CW, Martinez-Ramirez D, Foote KD, Gunduz A, et al. Measures of impulsivity in Parkinson's disease decrease after DBS in the setting of stable dopamine therapy. Parkinsonism Relat Disord. 2017;44:13-7.</w:t>
      </w:r>
    </w:p>
    <w:p w14:paraId="0FFC4714" w14:textId="77777777" w:rsidR="00160188" w:rsidRPr="00E7765E" w:rsidRDefault="00160188" w:rsidP="00E7765E">
      <w:pPr>
        <w:pStyle w:val="ListParagraph"/>
        <w:numPr>
          <w:ilvl w:val="0"/>
          <w:numId w:val="2"/>
        </w:numPr>
        <w:shd w:val="clear" w:color="auto" w:fill="FFFFFF"/>
        <w:spacing w:line="480" w:lineRule="auto"/>
        <w:rPr>
          <w:rFonts w:asciiTheme="minorHAnsi" w:hAnsiTheme="minorHAnsi" w:cstheme="minorHAnsi"/>
        </w:rPr>
      </w:pPr>
      <w:r w:rsidRPr="00065E72">
        <w:rPr>
          <w:rFonts w:asciiTheme="minorHAnsi" w:hAnsiTheme="minorHAnsi" w:cstheme="minorHAnsi"/>
          <w:shd w:val="clear" w:color="auto" w:fill="FFFFFF"/>
          <w:lang w:val="it-IT"/>
        </w:rPr>
        <w:t xml:space="preserve">Merola, A., Romagnolo, A., Rizzi, L. et al. </w:t>
      </w:r>
      <w:r w:rsidRPr="00E7765E">
        <w:rPr>
          <w:rFonts w:asciiTheme="minorHAnsi" w:hAnsiTheme="minorHAnsi" w:cstheme="minorHAnsi"/>
          <w:shd w:val="clear" w:color="auto" w:fill="FFFFFF"/>
        </w:rPr>
        <w:t xml:space="preserve">Impulse control </w:t>
      </w:r>
      <w:proofErr w:type="spellStart"/>
      <w:r w:rsidRPr="00E7765E">
        <w:rPr>
          <w:rFonts w:asciiTheme="minorHAnsi" w:hAnsiTheme="minorHAnsi" w:cstheme="minorHAnsi"/>
          <w:shd w:val="clear" w:color="auto" w:fill="FFFFFF"/>
        </w:rPr>
        <w:t>behaviors</w:t>
      </w:r>
      <w:proofErr w:type="spellEnd"/>
      <w:r w:rsidRPr="00E7765E">
        <w:rPr>
          <w:rFonts w:asciiTheme="minorHAnsi" w:hAnsiTheme="minorHAnsi" w:cstheme="minorHAnsi"/>
          <w:shd w:val="clear" w:color="auto" w:fill="FFFFFF"/>
        </w:rPr>
        <w:t xml:space="preserve"> and subthalamic deep brain stimulation in Parkinson disease. J </w:t>
      </w:r>
      <w:proofErr w:type="spellStart"/>
      <w:r w:rsidRPr="00E7765E">
        <w:rPr>
          <w:rFonts w:asciiTheme="minorHAnsi" w:hAnsiTheme="minorHAnsi" w:cstheme="minorHAnsi"/>
          <w:shd w:val="clear" w:color="auto" w:fill="FFFFFF"/>
        </w:rPr>
        <w:t>Neurol</w:t>
      </w:r>
      <w:proofErr w:type="spellEnd"/>
      <w:r w:rsidRPr="00E7765E">
        <w:rPr>
          <w:rFonts w:asciiTheme="minorHAnsi" w:hAnsiTheme="minorHAnsi" w:cstheme="minorHAnsi"/>
          <w:shd w:val="clear" w:color="auto" w:fill="FFFFFF"/>
        </w:rPr>
        <w:t xml:space="preserve"> 264, 40-48 (2017). </w:t>
      </w:r>
      <w:hyperlink r:id="rId7" w:tgtFrame="_blank" w:history="1">
        <w:r w:rsidRPr="00E7765E">
          <w:rPr>
            <w:rStyle w:val="Hyperlink"/>
            <w:rFonts w:asciiTheme="minorHAnsi" w:hAnsiTheme="minorHAnsi" w:cstheme="minorHAnsi"/>
            <w:color w:val="auto"/>
            <w:shd w:val="clear" w:color="auto" w:fill="FFFFFF"/>
          </w:rPr>
          <w:t>https://doi.org/10.1007/s00415-016-8314-x</w:t>
        </w:r>
      </w:hyperlink>
    </w:p>
    <w:p w14:paraId="374CE9A0" w14:textId="39A0CE5C" w:rsidR="00160188" w:rsidRPr="00E7765E" w:rsidRDefault="00E7765E" w:rsidP="00E7765E">
      <w:pPr>
        <w:pStyle w:val="ListParagraph"/>
        <w:numPr>
          <w:ilvl w:val="0"/>
          <w:numId w:val="2"/>
        </w:numPr>
        <w:spacing w:line="480" w:lineRule="auto"/>
        <w:rPr>
          <w:rFonts w:asciiTheme="minorHAnsi" w:hAnsiTheme="minorHAnsi" w:cstheme="minorHAnsi"/>
        </w:rPr>
      </w:pPr>
      <w:proofErr w:type="spellStart"/>
      <w:r w:rsidRPr="00E7765E">
        <w:rPr>
          <w:rFonts w:asciiTheme="minorHAnsi" w:hAnsiTheme="minorHAnsi" w:cstheme="minorHAnsi"/>
          <w:shd w:val="clear" w:color="auto" w:fill="FFFFFF"/>
        </w:rPr>
        <w:t>Santin</w:t>
      </w:r>
      <w:proofErr w:type="spellEnd"/>
      <w:r w:rsidRPr="00E7765E">
        <w:rPr>
          <w:rFonts w:asciiTheme="minorHAnsi" w:hAnsiTheme="minorHAnsi" w:cstheme="minorHAnsi"/>
          <w:shd w:val="clear" w:color="auto" w:fill="FFFFFF"/>
        </w:rPr>
        <w:t xml:space="preserve">, </w:t>
      </w:r>
      <w:proofErr w:type="spellStart"/>
      <w:r w:rsidRPr="00E7765E">
        <w:rPr>
          <w:rFonts w:asciiTheme="minorHAnsi" w:hAnsiTheme="minorHAnsi" w:cstheme="minorHAnsi"/>
          <w:shd w:val="clear" w:color="auto" w:fill="FFFFFF"/>
        </w:rPr>
        <w:t>Voullemnot</w:t>
      </w:r>
      <w:proofErr w:type="spellEnd"/>
      <w:r w:rsidRPr="00E7765E">
        <w:rPr>
          <w:rFonts w:asciiTheme="minorHAnsi" w:hAnsiTheme="minorHAnsi" w:cstheme="minorHAnsi"/>
          <w:shd w:val="clear" w:color="auto" w:fill="FFFFFF"/>
        </w:rPr>
        <w:t xml:space="preserve">, </w:t>
      </w:r>
      <w:proofErr w:type="spellStart"/>
      <w:r w:rsidRPr="00E7765E">
        <w:rPr>
          <w:rFonts w:asciiTheme="minorHAnsi" w:hAnsiTheme="minorHAnsi" w:cstheme="minorHAnsi"/>
          <w:shd w:val="clear" w:color="auto" w:fill="FFFFFF"/>
        </w:rPr>
        <w:t>Vrillon</w:t>
      </w:r>
      <w:proofErr w:type="spellEnd"/>
      <w:r w:rsidRPr="00E7765E">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et al. </w:t>
      </w:r>
      <w:r w:rsidR="00160188" w:rsidRPr="00E7765E">
        <w:rPr>
          <w:rFonts w:asciiTheme="minorHAnsi" w:hAnsiTheme="minorHAnsi" w:cstheme="minorHAnsi"/>
          <w:shd w:val="clear" w:color="auto" w:fill="FFFFFF"/>
        </w:rPr>
        <w:t xml:space="preserve">Impact of subthalamic DBS on ICD in PD patients: a prospective study. </w:t>
      </w:r>
      <w:r>
        <w:rPr>
          <w:rFonts w:asciiTheme="minorHAnsi" w:hAnsiTheme="minorHAnsi" w:cstheme="minorHAnsi"/>
          <w:shd w:val="clear" w:color="auto" w:fill="FFFFFF"/>
        </w:rPr>
        <w:t xml:space="preserve">Mov </w:t>
      </w:r>
      <w:proofErr w:type="spellStart"/>
      <w:r>
        <w:rPr>
          <w:rFonts w:asciiTheme="minorHAnsi" w:hAnsiTheme="minorHAnsi" w:cstheme="minorHAnsi"/>
          <w:shd w:val="clear" w:color="auto" w:fill="FFFFFF"/>
        </w:rPr>
        <w:t>Disord</w:t>
      </w:r>
      <w:proofErr w:type="spellEnd"/>
      <w:r>
        <w:rPr>
          <w:rFonts w:asciiTheme="minorHAnsi" w:hAnsiTheme="minorHAnsi" w:cstheme="minorHAnsi"/>
          <w:shd w:val="clear" w:color="auto" w:fill="FFFFFF"/>
        </w:rPr>
        <w:t xml:space="preserve">. </w:t>
      </w:r>
      <w:r w:rsidR="00160188" w:rsidRPr="00E7765E">
        <w:rPr>
          <w:rFonts w:asciiTheme="minorHAnsi" w:hAnsiTheme="minorHAnsi" w:cstheme="minorHAnsi"/>
          <w:shd w:val="clear" w:color="auto" w:fill="FFFFFF"/>
        </w:rPr>
        <w:t>2021</w:t>
      </w:r>
      <w:r>
        <w:rPr>
          <w:rFonts w:asciiTheme="minorHAnsi" w:hAnsiTheme="minorHAnsi" w:cstheme="minorHAnsi"/>
          <w:shd w:val="clear" w:color="auto" w:fill="FFFFFF"/>
        </w:rPr>
        <w:t xml:space="preserve"> Mar; 36(3):750-757. Doi: 10.1002/mds.28320</w:t>
      </w:r>
    </w:p>
    <w:p w14:paraId="1CAB68B5" w14:textId="77777777" w:rsidR="00160188" w:rsidRPr="00E7765E" w:rsidRDefault="00160188" w:rsidP="00E7765E">
      <w:pPr>
        <w:pStyle w:val="ListParagraph"/>
        <w:numPr>
          <w:ilvl w:val="0"/>
          <w:numId w:val="2"/>
        </w:numPr>
        <w:spacing w:line="480" w:lineRule="auto"/>
        <w:rPr>
          <w:rFonts w:asciiTheme="minorHAnsi" w:hAnsiTheme="minorHAnsi" w:cstheme="minorHAnsi"/>
          <w:shd w:val="clear" w:color="auto" w:fill="FFFFFF"/>
        </w:rPr>
      </w:pPr>
      <w:proofErr w:type="spellStart"/>
      <w:r w:rsidRPr="00E7765E">
        <w:rPr>
          <w:rFonts w:asciiTheme="minorHAnsi" w:hAnsiTheme="minorHAnsi" w:cstheme="minorHAnsi"/>
          <w:shd w:val="clear" w:color="auto" w:fill="FFFFFF"/>
        </w:rPr>
        <w:t>Kasemsuk</w:t>
      </w:r>
      <w:proofErr w:type="spellEnd"/>
      <w:r w:rsidRPr="00E7765E">
        <w:rPr>
          <w:rFonts w:asciiTheme="minorHAnsi" w:hAnsiTheme="minorHAnsi" w:cstheme="minorHAnsi"/>
          <w:shd w:val="clear" w:color="auto" w:fill="FFFFFF"/>
        </w:rPr>
        <w:t xml:space="preserve"> C, </w:t>
      </w:r>
      <w:proofErr w:type="spellStart"/>
      <w:r w:rsidRPr="00E7765E">
        <w:rPr>
          <w:rFonts w:asciiTheme="minorHAnsi" w:hAnsiTheme="minorHAnsi" w:cstheme="minorHAnsi"/>
          <w:shd w:val="clear" w:color="auto" w:fill="FFFFFF"/>
        </w:rPr>
        <w:t>Oyama</w:t>
      </w:r>
      <w:proofErr w:type="spellEnd"/>
      <w:r w:rsidRPr="00E7765E">
        <w:rPr>
          <w:rFonts w:asciiTheme="minorHAnsi" w:hAnsiTheme="minorHAnsi" w:cstheme="minorHAnsi"/>
          <w:shd w:val="clear" w:color="auto" w:fill="FFFFFF"/>
        </w:rPr>
        <w:t xml:space="preserve"> G, Hattori N. Management of impulse control disorders with deep brain stimulation: A double-edged sword. J </w:t>
      </w:r>
      <w:proofErr w:type="spellStart"/>
      <w:r w:rsidRPr="00E7765E">
        <w:rPr>
          <w:rFonts w:asciiTheme="minorHAnsi" w:hAnsiTheme="minorHAnsi" w:cstheme="minorHAnsi"/>
          <w:shd w:val="clear" w:color="auto" w:fill="FFFFFF"/>
        </w:rPr>
        <w:t>Neurol</w:t>
      </w:r>
      <w:proofErr w:type="spellEnd"/>
      <w:r w:rsidRPr="00E7765E">
        <w:rPr>
          <w:rFonts w:asciiTheme="minorHAnsi" w:hAnsiTheme="minorHAnsi" w:cstheme="minorHAnsi"/>
          <w:shd w:val="clear" w:color="auto" w:fill="FFFFFF"/>
        </w:rPr>
        <w:t xml:space="preserve"> Sci. 2017 Mar </w:t>
      </w:r>
      <w:proofErr w:type="gramStart"/>
      <w:r w:rsidRPr="00E7765E">
        <w:rPr>
          <w:rFonts w:asciiTheme="minorHAnsi" w:hAnsiTheme="minorHAnsi" w:cstheme="minorHAnsi"/>
          <w:shd w:val="clear" w:color="auto" w:fill="FFFFFF"/>
        </w:rPr>
        <w:t>15;374:63</w:t>
      </w:r>
      <w:proofErr w:type="gramEnd"/>
      <w:r w:rsidRPr="00E7765E">
        <w:rPr>
          <w:rFonts w:asciiTheme="minorHAnsi" w:hAnsiTheme="minorHAnsi" w:cstheme="minorHAnsi"/>
          <w:shd w:val="clear" w:color="auto" w:fill="FFFFFF"/>
        </w:rPr>
        <w:t>-68</w:t>
      </w:r>
    </w:p>
    <w:p w14:paraId="23966990" w14:textId="29FF3638" w:rsidR="00160188" w:rsidRPr="00E7765E" w:rsidRDefault="00160188" w:rsidP="00E7765E">
      <w:pPr>
        <w:pStyle w:val="ListParagraph"/>
        <w:numPr>
          <w:ilvl w:val="0"/>
          <w:numId w:val="2"/>
        </w:numPr>
        <w:spacing w:line="480" w:lineRule="auto"/>
        <w:rPr>
          <w:rFonts w:asciiTheme="minorHAnsi" w:hAnsiTheme="minorHAnsi" w:cstheme="minorHAnsi"/>
          <w:lang w:val="it-IT"/>
        </w:rPr>
      </w:pPr>
      <w:r w:rsidRPr="00E7765E">
        <w:rPr>
          <w:rFonts w:asciiTheme="minorHAnsi" w:hAnsiTheme="minorHAnsi" w:cstheme="minorHAnsi"/>
        </w:rPr>
        <w:t xml:space="preserve">Kim A, Kim YE, Kim HJ, Yun JY, Yang HJ, Lee WW, et al. A 7-year observation of the effect of subthalamic deep brain stimulation on impulse control disorder in patients with Parkinson's disease. Parkinsonism </w:t>
      </w:r>
      <w:proofErr w:type="spellStart"/>
      <w:r w:rsidRPr="00E7765E">
        <w:rPr>
          <w:rFonts w:asciiTheme="minorHAnsi" w:hAnsiTheme="minorHAnsi" w:cstheme="minorHAnsi"/>
        </w:rPr>
        <w:t>Relat</w:t>
      </w:r>
      <w:proofErr w:type="spellEnd"/>
      <w:r w:rsidRPr="00E7765E">
        <w:rPr>
          <w:rFonts w:asciiTheme="minorHAnsi" w:hAnsiTheme="minorHAnsi" w:cstheme="minorHAnsi"/>
        </w:rPr>
        <w:t xml:space="preserve"> </w:t>
      </w:r>
      <w:proofErr w:type="spellStart"/>
      <w:r w:rsidRPr="00E7765E">
        <w:rPr>
          <w:rFonts w:asciiTheme="minorHAnsi" w:hAnsiTheme="minorHAnsi" w:cstheme="minorHAnsi"/>
        </w:rPr>
        <w:t>Disord</w:t>
      </w:r>
      <w:proofErr w:type="spellEnd"/>
      <w:r w:rsidRPr="00E7765E">
        <w:rPr>
          <w:rFonts w:asciiTheme="minorHAnsi" w:hAnsiTheme="minorHAnsi" w:cstheme="minorHAnsi"/>
        </w:rPr>
        <w:t xml:space="preserve">. </w:t>
      </w:r>
      <w:proofErr w:type="gramStart"/>
      <w:r w:rsidRPr="00E7765E">
        <w:rPr>
          <w:rFonts w:asciiTheme="minorHAnsi" w:hAnsiTheme="minorHAnsi" w:cstheme="minorHAnsi"/>
        </w:rPr>
        <w:t>2018;56:3</w:t>
      </w:r>
      <w:proofErr w:type="gramEnd"/>
      <w:r w:rsidRPr="00E7765E">
        <w:rPr>
          <w:rFonts w:asciiTheme="minorHAnsi" w:hAnsiTheme="minorHAnsi" w:cstheme="minorHAnsi"/>
        </w:rPr>
        <w:t>-8.</w:t>
      </w:r>
    </w:p>
    <w:p w14:paraId="68D7FBCB" w14:textId="40E3970D" w:rsidR="00160188" w:rsidRPr="00E7765E" w:rsidRDefault="00160188" w:rsidP="00E7765E">
      <w:pPr>
        <w:pStyle w:val="ListParagraph"/>
        <w:numPr>
          <w:ilvl w:val="0"/>
          <w:numId w:val="2"/>
        </w:numPr>
        <w:spacing w:line="480" w:lineRule="auto"/>
        <w:rPr>
          <w:rFonts w:asciiTheme="minorHAnsi" w:hAnsiTheme="minorHAnsi" w:cstheme="minorHAnsi"/>
          <w:lang w:val="it-IT"/>
        </w:rPr>
      </w:pPr>
      <w:r w:rsidRPr="00065E72">
        <w:rPr>
          <w:rFonts w:asciiTheme="minorHAnsi" w:hAnsiTheme="minorHAnsi" w:cstheme="minorHAnsi"/>
          <w:lang w:val="it-IT"/>
        </w:rPr>
        <w:t xml:space="preserve">Kim YE, Kim HJ, Kim HJ, Lee JY, Yun JY, Kim JY, et al. </w:t>
      </w:r>
      <w:r w:rsidRPr="00E7765E">
        <w:rPr>
          <w:rFonts w:asciiTheme="minorHAnsi" w:hAnsiTheme="minorHAnsi" w:cstheme="minorHAnsi"/>
        </w:rPr>
        <w:t xml:space="preserve">Impulse control and related </w:t>
      </w:r>
      <w:proofErr w:type="spellStart"/>
      <w:r w:rsidRPr="00E7765E">
        <w:rPr>
          <w:rFonts w:asciiTheme="minorHAnsi" w:hAnsiTheme="minorHAnsi" w:cstheme="minorHAnsi"/>
        </w:rPr>
        <w:t>behaviors</w:t>
      </w:r>
      <w:proofErr w:type="spellEnd"/>
      <w:r w:rsidRPr="00E7765E">
        <w:rPr>
          <w:rFonts w:asciiTheme="minorHAnsi" w:hAnsiTheme="minorHAnsi" w:cstheme="minorHAnsi"/>
        </w:rPr>
        <w:t xml:space="preserve"> after bilateral subthalamic stimulation in patients with Parkinson's disease. J Clin </w:t>
      </w:r>
      <w:proofErr w:type="spellStart"/>
      <w:r w:rsidRPr="00E7765E">
        <w:rPr>
          <w:rFonts w:asciiTheme="minorHAnsi" w:hAnsiTheme="minorHAnsi" w:cstheme="minorHAnsi"/>
        </w:rPr>
        <w:t>Neurosci</w:t>
      </w:r>
      <w:proofErr w:type="spellEnd"/>
      <w:r w:rsidRPr="00E7765E">
        <w:rPr>
          <w:rFonts w:asciiTheme="minorHAnsi" w:hAnsiTheme="minorHAnsi" w:cstheme="minorHAnsi"/>
        </w:rPr>
        <w:t>. 2013;20(7):964-9.</w:t>
      </w:r>
    </w:p>
    <w:p w14:paraId="1DE8B5AE" w14:textId="038E9E52" w:rsidR="00160188" w:rsidRPr="00A479A2" w:rsidRDefault="00160188" w:rsidP="00E7765E">
      <w:pPr>
        <w:pStyle w:val="ListParagraph"/>
        <w:numPr>
          <w:ilvl w:val="0"/>
          <w:numId w:val="2"/>
        </w:numPr>
        <w:spacing w:line="480" w:lineRule="auto"/>
        <w:rPr>
          <w:rFonts w:asciiTheme="minorHAnsi" w:hAnsiTheme="minorHAnsi" w:cstheme="minorHAnsi"/>
        </w:rPr>
      </w:pPr>
      <w:proofErr w:type="spellStart"/>
      <w:r w:rsidRPr="00E7765E">
        <w:rPr>
          <w:rFonts w:asciiTheme="minorHAnsi" w:hAnsiTheme="minorHAnsi" w:cstheme="minorHAnsi"/>
        </w:rPr>
        <w:lastRenderedPageBreak/>
        <w:t>Fluchere</w:t>
      </w:r>
      <w:proofErr w:type="spellEnd"/>
      <w:r w:rsidRPr="00E7765E">
        <w:rPr>
          <w:rFonts w:asciiTheme="minorHAnsi" w:hAnsiTheme="minorHAnsi" w:cstheme="minorHAnsi"/>
        </w:rPr>
        <w:t xml:space="preserve"> F, </w:t>
      </w:r>
      <w:proofErr w:type="spellStart"/>
      <w:r w:rsidRPr="00E7765E">
        <w:rPr>
          <w:rFonts w:asciiTheme="minorHAnsi" w:hAnsiTheme="minorHAnsi" w:cstheme="minorHAnsi"/>
        </w:rPr>
        <w:t>Burle</w:t>
      </w:r>
      <w:proofErr w:type="spellEnd"/>
      <w:r w:rsidRPr="00E7765E">
        <w:rPr>
          <w:rFonts w:asciiTheme="minorHAnsi" w:hAnsiTheme="minorHAnsi" w:cstheme="minorHAnsi"/>
        </w:rPr>
        <w:t xml:space="preserve"> B, Vidal F, van den </w:t>
      </w:r>
      <w:proofErr w:type="spellStart"/>
      <w:r w:rsidRPr="00E7765E">
        <w:rPr>
          <w:rFonts w:asciiTheme="minorHAnsi" w:hAnsiTheme="minorHAnsi" w:cstheme="minorHAnsi"/>
        </w:rPr>
        <w:t>Wildenberg</w:t>
      </w:r>
      <w:proofErr w:type="spellEnd"/>
      <w:r w:rsidRPr="00E7765E">
        <w:rPr>
          <w:rFonts w:asciiTheme="minorHAnsi" w:hAnsiTheme="minorHAnsi" w:cstheme="minorHAnsi"/>
        </w:rPr>
        <w:t xml:space="preserve"> W, </w:t>
      </w:r>
      <w:proofErr w:type="spellStart"/>
      <w:r w:rsidRPr="00E7765E">
        <w:rPr>
          <w:rFonts w:asciiTheme="minorHAnsi" w:hAnsiTheme="minorHAnsi" w:cstheme="minorHAnsi"/>
        </w:rPr>
        <w:t>Witjas</w:t>
      </w:r>
      <w:proofErr w:type="spellEnd"/>
      <w:r w:rsidRPr="00E7765E">
        <w:rPr>
          <w:rFonts w:asciiTheme="minorHAnsi" w:hAnsiTheme="minorHAnsi" w:cstheme="minorHAnsi"/>
        </w:rPr>
        <w:t xml:space="preserve"> T, Eusebio A, et al. Subthalamic nucleus stimulation, dopaminergic treatment and impulsivity in Parkinson's disease. </w:t>
      </w:r>
      <w:proofErr w:type="spellStart"/>
      <w:r w:rsidRPr="00E7765E">
        <w:rPr>
          <w:rFonts w:asciiTheme="minorHAnsi" w:hAnsiTheme="minorHAnsi" w:cstheme="minorHAnsi"/>
        </w:rPr>
        <w:t>Neuropsychologia</w:t>
      </w:r>
      <w:proofErr w:type="spellEnd"/>
      <w:r w:rsidRPr="00E7765E">
        <w:rPr>
          <w:rFonts w:asciiTheme="minorHAnsi" w:hAnsiTheme="minorHAnsi" w:cstheme="minorHAnsi"/>
        </w:rPr>
        <w:t xml:space="preserve">. </w:t>
      </w:r>
      <w:proofErr w:type="gramStart"/>
      <w:r w:rsidRPr="00E7765E">
        <w:rPr>
          <w:rFonts w:asciiTheme="minorHAnsi" w:hAnsiTheme="minorHAnsi" w:cstheme="minorHAnsi"/>
        </w:rPr>
        <w:t>2018;117:167</w:t>
      </w:r>
      <w:proofErr w:type="gramEnd"/>
      <w:r w:rsidRPr="00E7765E">
        <w:rPr>
          <w:rFonts w:asciiTheme="minorHAnsi" w:hAnsiTheme="minorHAnsi" w:cstheme="minorHAnsi"/>
        </w:rPr>
        <w:t>-77.</w:t>
      </w:r>
    </w:p>
    <w:p w14:paraId="43E7F715" w14:textId="6CCB4252" w:rsidR="00160188" w:rsidRPr="00E7765E" w:rsidRDefault="00160188" w:rsidP="00E7765E">
      <w:pPr>
        <w:pStyle w:val="EndNoteBibliography"/>
        <w:numPr>
          <w:ilvl w:val="0"/>
          <w:numId w:val="2"/>
        </w:numPr>
        <w:spacing w:line="480" w:lineRule="auto"/>
        <w:jc w:val="both"/>
        <w:rPr>
          <w:rFonts w:asciiTheme="minorHAnsi" w:hAnsiTheme="minorHAnsi" w:cstheme="minorHAnsi"/>
        </w:rPr>
      </w:pPr>
      <w:r w:rsidRPr="00E7765E">
        <w:rPr>
          <w:rFonts w:asciiTheme="minorHAnsi" w:hAnsiTheme="minorHAnsi" w:cstheme="minorHAnsi"/>
        </w:rPr>
        <w:t>Mehta SH. DBS and Impulse Control Disorders in PD: I think we got this.....wait! we don't. Parkinsonism Relat Disord. 2018;56:1-2.</w:t>
      </w:r>
    </w:p>
    <w:p w14:paraId="2637C0B0" w14:textId="77777777" w:rsidR="00160188" w:rsidRPr="00160188" w:rsidRDefault="00160188" w:rsidP="00160188">
      <w:pPr>
        <w:pStyle w:val="ListParagraph"/>
        <w:spacing w:line="480" w:lineRule="auto"/>
        <w:rPr>
          <w:rFonts w:ascii="Calibri" w:hAnsi="Calibri" w:cs="Calibri"/>
          <w:lang w:val="it-IT"/>
        </w:rPr>
      </w:pPr>
    </w:p>
    <w:p w14:paraId="6B81FB9B" w14:textId="7B32C6B6" w:rsidR="00FF7B07" w:rsidRPr="00B825AA" w:rsidRDefault="00FF7B07" w:rsidP="00CA55AF">
      <w:pPr>
        <w:spacing w:line="480" w:lineRule="auto"/>
        <w:jc w:val="both"/>
        <w:rPr>
          <w:rFonts w:ascii="Calibri" w:hAnsi="Calibri" w:cs="Calibri"/>
        </w:rPr>
      </w:pPr>
    </w:p>
    <w:sectPr w:rsidR="00FF7B07" w:rsidRPr="00B8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546"/>
    <w:multiLevelType w:val="hybridMultilevel"/>
    <w:tmpl w:val="81B20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26310"/>
    <w:multiLevelType w:val="hybridMultilevel"/>
    <w:tmpl w:val="3822BE2C"/>
    <w:lvl w:ilvl="0" w:tplc="382C553A">
      <w:start w:val="1"/>
      <w:numFmt w:val="bullet"/>
      <w:lvlText w:val="•"/>
      <w:lvlJc w:val="left"/>
      <w:pPr>
        <w:tabs>
          <w:tab w:val="num" w:pos="720"/>
        </w:tabs>
        <w:ind w:left="720" w:hanging="360"/>
      </w:pPr>
      <w:rPr>
        <w:rFonts w:ascii="Arial" w:hAnsi="Arial" w:hint="default"/>
      </w:rPr>
    </w:lvl>
    <w:lvl w:ilvl="1" w:tplc="2DEC29AE">
      <w:numFmt w:val="bullet"/>
      <w:lvlText w:val="•"/>
      <w:lvlJc w:val="left"/>
      <w:pPr>
        <w:tabs>
          <w:tab w:val="num" w:pos="1440"/>
        </w:tabs>
        <w:ind w:left="1440" w:hanging="360"/>
      </w:pPr>
      <w:rPr>
        <w:rFonts w:ascii="Arial" w:hAnsi="Arial" w:hint="default"/>
      </w:rPr>
    </w:lvl>
    <w:lvl w:ilvl="2" w:tplc="8514F83E" w:tentative="1">
      <w:start w:val="1"/>
      <w:numFmt w:val="bullet"/>
      <w:lvlText w:val="•"/>
      <w:lvlJc w:val="left"/>
      <w:pPr>
        <w:tabs>
          <w:tab w:val="num" w:pos="2160"/>
        </w:tabs>
        <w:ind w:left="2160" w:hanging="360"/>
      </w:pPr>
      <w:rPr>
        <w:rFonts w:ascii="Arial" w:hAnsi="Arial" w:hint="default"/>
      </w:rPr>
    </w:lvl>
    <w:lvl w:ilvl="3" w:tplc="F0A0B87C" w:tentative="1">
      <w:start w:val="1"/>
      <w:numFmt w:val="bullet"/>
      <w:lvlText w:val="•"/>
      <w:lvlJc w:val="left"/>
      <w:pPr>
        <w:tabs>
          <w:tab w:val="num" w:pos="2880"/>
        </w:tabs>
        <w:ind w:left="2880" w:hanging="360"/>
      </w:pPr>
      <w:rPr>
        <w:rFonts w:ascii="Arial" w:hAnsi="Arial" w:hint="default"/>
      </w:rPr>
    </w:lvl>
    <w:lvl w:ilvl="4" w:tplc="DDF20D88" w:tentative="1">
      <w:start w:val="1"/>
      <w:numFmt w:val="bullet"/>
      <w:lvlText w:val="•"/>
      <w:lvlJc w:val="left"/>
      <w:pPr>
        <w:tabs>
          <w:tab w:val="num" w:pos="3600"/>
        </w:tabs>
        <w:ind w:left="3600" w:hanging="360"/>
      </w:pPr>
      <w:rPr>
        <w:rFonts w:ascii="Arial" w:hAnsi="Arial" w:hint="default"/>
      </w:rPr>
    </w:lvl>
    <w:lvl w:ilvl="5" w:tplc="91642AFC" w:tentative="1">
      <w:start w:val="1"/>
      <w:numFmt w:val="bullet"/>
      <w:lvlText w:val="•"/>
      <w:lvlJc w:val="left"/>
      <w:pPr>
        <w:tabs>
          <w:tab w:val="num" w:pos="4320"/>
        </w:tabs>
        <w:ind w:left="4320" w:hanging="360"/>
      </w:pPr>
      <w:rPr>
        <w:rFonts w:ascii="Arial" w:hAnsi="Arial" w:hint="default"/>
      </w:rPr>
    </w:lvl>
    <w:lvl w:ilvl="6" w:tplc="8A0EB42E" w:tentative="1">
      <w:start w:val="1"/>
      <w:numFmt w:val="bullet"/>
      <w:lvlText w:val="•"/>
      <w:lvlJc w:val="left"/>
      <w:pPr>
        <w:tabs>
          <w:tab w:val="num" w:pos="5040"/>
        </w:tabs>
        <w:ind w:left="5040" w:hanging="360"/>
      </w:pPr>
      <w:rPr>
        <w:rFonts w:ascii="Arial" w:hAnsi="Arial" w:hint="default"/>
      </w:rPr>
    </w:lvl>
    <w:lvl w:ilvl="7" w:tplc="DFFE8DCA" w:tentative="1">
      <w:start w:val="1"/>
      <w:numFmt w:val="bullet"/>
      <w:lvlText w:val="•"/>
      <w:lvlJc w:val="left"/>
      <w:pPr>
        <w:tabs>
          <w:tab w:val="num" w:pos="5760"/>
        </w:tabs>
        <w:ind w:left="5760" w:hanging="360"/>
      </w:pPr>
      <w:rPr>
        <w:rFonts w:ascii="Arial" w:hAnsi="Arial" w:hint="default"/>
      </w:rPr>
    </w:lvl>
    <w:lvl w:ilvl="8" w:tplc="2146C3B8" w:tentative="1">
      <w:start w:val="1"/>
      <w:numFmt w:val="bullet"/>
      <w:lvlText w:val="•"/>
      <w:lvlJc w:val="left"/>
      <w:pPr>
        <w:tabs>
          <w:tab w:val="num" w:pos="6480"/>
        </w:tabs>
        <w:ind w:left="6480" w:hanging="360"/>
      </w:pPr>
      <w:rPr>
        <w:rFonts w:ascii="Arial" w:hAnsi="Arial" w:hint="default"/>
      </w:rPr>
    </w:lvl>
  </w:abstractNum>
  <w:num w:numId="1" w16cid:durableId="1274946464">
    <w:abstractNumId w:val="1"/>
  </w:num>
  <w:num w:numId="2" w16cid:durableId="57613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rzv595xpdrx7erw9a5ae2g0dv0dtz09dz0&quot;&gt;DBS&amp;amp;ICD&lt;record-ids&gt;&lt;item&gt;1&lt;/item&gt;&lt;item&gt;3&lt;/item&gt;&lt;item&gt;38&lt;/item&gt;&lt;item&gt;88&lt;/item&gt;&lt;item&gt;89&lt;/item&gt;&lt;item&gt;91&lt;/item&gt;&lt;item&gt;92&lt;/item&gt;&lt;/record-ids&gt;&lt;/item&gt;&lt;/Libraries&gt;"/>
  </w:docVars>
  <w:rsids>
    <w:rsidRoot w:val="00B338E6"/>
    <w:rsid w:val="00065E72"/>
    <w:rsid w:val="00076545"/>
    <w:rsid w:val="000B05AA"/>
    <w:rsid w:val="000C508F"/>
    <w:rsid w:val="000E5BD3"/>
    <w:rsid w:val="00160188"/>
    <w:rsid w:val="00184CF1"/>
    <w:rsid w:val="001C7466"/>
    <w:rsid w:val="00253F84"/>
    <w:rsid w:val="002D1D08"/>
    <w:rsid w:val="00373804"/>
    <w:rsid w:val="0038724C"/>
    <w:rsid w:val="003904C8"/>
    <w:rsid w:val="003D4E0B"/>
    <w:rsid w:val="0040342B"/>
    <w:rsid w:val="004578C2"/>
    <w:rsid w:val="004671D6"/>
    <w:rsid w:val="00473223"/>
    <w:rsid w:val="004A32B0"/>
    <w:rsid w:val="004C1305"/>
    <w:rsid w:val="004D22E3"/>
    <w:rsid w:val="004F3EF7"/>
    <w:rsid w:val="00573364"/>
    <w:rsid w:val="00592257"/>
    <w:rsid w:val="005E2081"/>
    <w:rsid w:val="006222BB"/>
    <w:rsid w:val="00663392"/>
    <w:rsid w:val="00664C5B"/>
    <w:rsid w:val="006A250B"/>
    <w:rsid w:val="006F0D11"/>
    <w:rsid w:val="00720D32"/>
    <w:rsid w:val="00756F99"/>
    <w:rsid w:val="00757B69"/>
    <w:rsid w:val="007C121C"/>
    <w:rsid w:val="007C5842"/>
    <w:rsid w:val="007D09F8"/>
    <w:rsid w:val="007D67C9"/>
    <w:rsid w:val="008014E6"/>
    <w:rsid w:val="00852675"/>
    <w:rsid w:val="00A32E94"/>
    <w:rsid w:val="00A479A2"/>
    <w:rsid w:val="00A50BC4"/>
    <w:rsid w:val="00A81D09"/>
    <w:rsid w:val="00A9075F"/>
    <w:rsid w:val="00AE63D6"/>
    <w:rsid w:val="00B305A0"/>
    <w:rsid w:val="00B338E6"/>
    <w:rsid w:val="00B52BA3"/>
    <w:rsid w:val="00B825AA"/>
    <w:rsid w:val="00BA2466"/>
    <w:rsid w:val="00BC68B7"/>
    <w:rsid w:val="00BD50AD"/>
    <w:rsid w:val="00C16255"/>
    <w:rsid w:val="00C44616"/>
    <w:rsid w:val="00C459A4"/>
    <w:rsid w:val="00C50504"/>
    <w:rsid w:val="00CA448B"/>
    <w:rsid w:val="00CA55AF"/>
    <w:rsid w:val="00CB3357"/>
    <w:rsid w:val="00CE389B"/>
    <w:rsid w:val="00D102FF"/>
    <w:rsid w:val="00D12445"/>
    <w:rsid w:val="00D45D42"/>
    <w:rsid w:val="00D545B8"/>
    <w:rsid w:val="00D63057"/>
    <w:rsid w:val="00DC361A"/>
    <w:rsid w:val="00DE2DCC"/>
    <w:rsid w:val="00E62767"/>
    <w:rsid w:val="00E640F2"/>
    <w:rsid w:val="00E7765E"/>
    <w:rsid w:val="00E85497"/>
    <w:rsid w:val="00E904AB"/>
    <w:rsid w:val="00EB35FA"/>
    <w:rsid w:val="00EC69AD"/>
    <w:rsid w:val="00EE7DD5"/>
    <w:rsid w:val="00F2005E"/>
    <w:rsid w:val="00F51BE2"/>
    <w:rsid w:val="00F54CED"/>
    <w:rsid w:val="00F555B0"/>
    <w:rsid w:val="00FE431A"/>
    <w:rsid w:val="00FF552D"/>
    <w:rsid w:val="00FF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F707"/>
  <w15:docId w15:val="{45A08AB7-4C51-4A57-B9EF-3BB2CE4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04"/>
    <w:rPr>
      <w:color w:val="0563C1" w:themeColor="hyperlink"/>
      <w:u w:val="single"/>
    </w:rPr>
  </w:style>
  <w:style w:type="character" w:customStyle="1" w:styleId="UnresolvedMention1">
    <w:name w:val="Unresolved Mention1"/>
    <w:basedOn w:val="DefaultParagraphFont"/>
    <w:uiPriority w:val="99"/>
    <w:semiHidden/>
    <w:unhideWhenUsed/>
    <w:rsid w:val="00C50504"/>
    <w:rPr>
      <w:color w:val="605E5C"/>
      <w:shd w:val="clear" w:color="auto" w:fill="E1DFDD"/>
    </w:rPr>
  </w:style>
  <w:style w:type="table" w:styleId="TableGrid">
    <w:name w:val="Table Grid"/>
    <w:basedOn w:val="TableNormal"/>
    <w:uiPriority w:val="59"/>
    <w:rsid w:val="00FF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9AD"/>
    <w:pPr>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64C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C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4C5B"/>
    <w:rPr>
      <w:sz w:val="16"/>
      <w:szCs w:val="16"/>
    </w:rPr>
  </w:style>
  <w:style w:type="paragraph" w:styleId="CommentText">
    <w:name w:val="annotation text"/>
    <w:basedOn w:val="Normal"/>
    <w:link w:val="CommentTextChar"/>
    <w:uiPriority w:val="99"/>
    <w:semiHidden/>
    <w:unhideWhenUsed/>
    <w:rsid w:val="00664C5B"/>
    <w:rPr>
      <w:sz w:val="20"/>
      <w:szCs w:val="20"/>
    </w:rPr>
  </w:style>
  <w:style w:type="character" w:customStyle="1" w:styleId="CommentTextChar">
    <w:name w:val="Comment Text Char"/>
    <w:basedOn w:val="DefaultParagraphFont"/>
    <w:link w:val="CommentText"/>
    <w:uiPriority w:val="99"/>
    <w:semiHidden/>
    <w:rsid w:val="00664C5B"/>
    <w:rPr>
      <w:sz w:val="20"/>
      <w:szCs w:val="20"/>
    </w:rPr>
  </w:style>
  <w:style w:type="paragraph" w:styleId="CommentSubject">
    <w:name w:val="annotation subject"/>
    <w:basedOn w:val="CommentText"/>
    <w:next w:val="CommentText"/>
    <w:link w:val="CommentSubjectChar"/>
    <w:uiPriority w:val="99"/>
    <w:semiHidden/>
    <w:unhideWhenUsed/>
    <w:rsid w:val="00664C5B"/>
    <w:rPr>
      <w:b/>
      <w:bCs/>
    </w:rPr>
  </w:style>
  <w:style w:type="character" w:customStyle="1" w:styleId="CommentSubjectChar">
    <w:name w:val="Comment Subject Char"/>
    <w:basedOn w:val="CommentTextChar"/>
    <w:link w:val="CommentSubject"/>
    <w:uiPriority w:val="99"/>
    <w:semiHidden/>
    <w:rsid w:val="00664C5B"/>
    <w:rPr>
      <w:b/>
      <w:bCs/>
      <w:sz w:val="20"/>
      <w:szCs w:val="20"/>
    </w:rPr>
  </w:style>
  <w:style w:type="paragraph" w:styleId="Revision">
    <w:name w:val="Revision"/>
    <w:hidden/>
    <w:uiPriority w:val="99"/>
    <w:semiHidden/>
    <w:rsid w:val="00FE431A"/>
  </w:style>
  <w:style w:type="paragraph" w:customStyle="1" w:styleId="EndNoteBibliographyTitle">
    <w:name w:val="EndNote Bibliography Title"/>
    <w:basedOn w:val="Normal"/>
    <w:link w:val="EndNoteBibliographyTitleChar"/>
    <w:rsid w:val="00BA2466"/>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A2466"/>
    <w:rPr>
      <w:rFonts w:ascii="Calibri" w:hAnsi="Calibri" w:cs="Calibri"/>
      <w:noProof/>
      <w:lang w:val="en-US"/>
    </w:rPr>
  </w:style>
  <w:style w:type="paragraph" w:customStyle="1" w:styleId="EndNoteBibliography">
    <w:name w:val="EndNote Bibliography"/>
    <w:basedOn w:val="Normal"/>
    <w:link w:val="EndNoteBibliographyChar"/>
    <w:rsid w:val="00BA2466"/>
    <w:rPr>
      <w:rFonts w:ascii="Calibri" w:hAnsi="Calibri" w:cs="Calibri"/>
      <w:noProof/>
      <w:lang w:val="en-US"/>
    </w:rPr>
  </w:style>
  <w:style w:type="character" w:customStyle="1" w:styleId="EndNoteBibliographyChar">
    <w:name w:val="EndNote Bibliography Char"/>
    <w:basedOn w:val="DefaultParagraphFont"/>
    <w:link w:val="EndNoteBibliography"/>
    <w:rsid w:val="00BA246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4385">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360"/>
          <w:marRight w:val="0"/>
          <w:marTop w:val="200"/>
          <w:marBottom w:val="0"/>
          <w:divBdr>
            <w:top w:val="none" w:sz="0" w:space="0" w:color="auto"/>
            <w:left w:val="none" w:sz="0" w:space="0" w:color="auto"/>
            <w:bottom w:val="none" w:sz="0" w:space="0" w:color="auto"/>
            <w:right w:val="none" w:sz="0" w:space="0" w:color="auto"/>
          </w:divBdr>
        </w:div>
        <w:div w:id="83179440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s00415-016-8314-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cerollo@liverpo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D8E1-61CB-4A52-99D8-EB06822E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h.shepherd12345@icloud.com</dc:creator>
  <cp:lastModifiedBy>Antonella Macerollo</cp:lastModifiedBy>
  <cp:revision>2</cp:revision>
  <dcterms:created xsi:type="dcterms:W3CDTF">2022-06-14T12:49:00Z</dcterms:created>
  <dcterms:modified xsi:type="dcterms:W3CDTF">2022-06-14T12:49:00Z</dcterms:modified>
</cp:coreProperties>
</file>