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B57B" w14:textId="3A3C57DE" w:rsidR="00C377EB" w:rsidRPr="007C2E4B" w:rsidRDefault="0078533E" w:rsidP="00785819">
      <w:pPr>
        <w:spacing w:line="360" w:lineRule="auto"/>
        <w:jc w:val="both"/>
        <w:rPr>
          <w:b/>
          <w:bCs/>
          <w:sz w:val="32"/>
          <w:szCs w:val="32"/>
        </w:rPr>
      </w:pPr>
      <w:r w:rsidRPr="007C2E4B">
        <w:rPr>
          <w:b/>
          <w:bCs/>
          <w:sz w:val="32"/>
          <w:szCs w:val="32"/>
        </w:rPr>
        <w:t>The</w:t>
      </w:r>
      <w:r w:rsidR="007B37F4" w:rsidRPr="007C2E4B">
        <w:rPr>
          <w:b/>
          <w:bCs/>
          <w:sz w:val="32"/>
          <w:szCs w:val="32"/>
        </w:rPr>
        <w:t xml:space="preserve"> </w:t>
      </w:r>
      <w:r w:rsidRPr="007C2E4B">
        <w:rPr>
          <w:b/>
          <w:bCs/>
          <w:sz w:val="32"/>
          <w:szCs w:val="32"/>
        </w:rPr>
        <w:t>Attorney General</w:t>
      </w:r>
      <w:r w:rsidR="002E3C62" w:rsidRPr="007C2E4B">
        <w:rPr>
          <w:b/>
          <w:bCs/>
          <w:sz w:val="32"/>
          <w:szCs w:val="32"/>
        </w:rPr>
        <w:t xml:space="preserve"> and Renewed Controversy Over the </w:t>
      </w:r>
      <w:r w:rsidRPr="007C2E4B">
        <w:rPr>
          <w:b/>
          <w:bCs/>
          <w:sz w:val="32"/>
          <w:szCs w:val="32"/>
        </w:rPr>
        <w:t>Law/Politics Divide</w:t>
      </w:r>
    </w:p>
    <w:p w14:paraId="2D4FA759" w14:textId="1B422BFF" w:rsidR="00EB0A54" w:rsidRDefault="00201039" w:rsidP="00785819">
      <w:pPr>
        <w:spacing w:line="360" w:lineRule="auto"/>
        <w:jc w:val="both"/>
        <w:rPr>
          <w:b/>
          <w:bCs/>
        </w:rPr>
      </w:pPr>
      <w:r>
        <w:rPr>
          <w:b/>
          <w:bCs/>
        </w:rPr>
        <w:t>Conor Casey</w:t>
      </w:r>
      <w:r w:rsidR="00F8169E">
        <w:rPr>
          <w:rStyle w:val="FootnoteReference"/>
          <w:b/>
          <w:bCs/>
        </w:rPr>
        <w:footnoteReference w:id="1"/>
      </w:r>
      <w:r>
        <w:rPr>
          <w:b/>
          <w:bCs/>
        </w:rPr>
        <w:t xml:space="preserve"> &amp; John Larkin QC</w:t>
      </w:r>
      <w:r w:rsidR="00F8169E">
        <w:rPr>
          <w:rStyle w:val="FootnoteReference"/>
          <w:b/>
          <w:bCs/>
        </w:rPr>
        <w:footnoteReference w:id="2"/>
      </w:r>
    </w:p>
    <w:p w14:paraId="20ACD670" w14:textId="43E6C03E" w:rsidR="0078533E" w:rsidRPr="00785819" w:rsidRDefault="0078533E" w:rsidP="00785819">
      <w:pPr>
        <w:spacing w:line="360" w:lineRule="auto"/>
        <w:jc w:val="both"/>
        <w:rPr>
          <w:b/>
          <w:bCs/>
        </w:rPr>
      </w:pPr>
    </w:p>
    <w:p w14:paraId="0A5FB22A" w14:textId="38B8C48A" w:rsidR="00B07641" w:rsidRPr="00963651" w:rsidRDefault="00AC2E67" w:rsidP="00963651">
      <w:pPr>
        <w:pStyle w:val="ListParagraph"/>
        <w:numPr>
          <w:ilvl w:val="0"/>
          <w:numId w:val="10"/>
        </w:numPr>
        <w:spacing w:line="360" w:lineRule="auto"/>
        <w:jc w:val="both"/>
        <w:rPr>
          <w:b/>
          <w:bCs/>
        </w:rPr>
      </w:pPr>
      <w:r>
        <w:rPr>
          <w:b/>
          <w:bCs/>
        </w:rPr>
        <w:t xml:space="preserve">CONTROVERSY OVER </w:t>
      </w:r>
      <w:r w:rsidR="006B1E14">
        <w:rPr>
          <w:b/>
          <w:bCs/>
        </w:rPr>
        <w:t xml:space="preserve">THE </w:t>
      </w:r>
      <w:r>
        <w:rPr>
          <w:b/>
          <w:bCs/>
        </w:rPr>
        <w:t>ATTORNEY GENERAL</w:t>
      </w:r>
      <w:r w:rsidR="006B1E14">
        <w:rPr>
          <w:b/>
          <w:bCs/>
        </w:rPr>
        <w:t>’S</w:t>
      </w:r>
      <w:r>
        <w:rPr>
          <w:b/>
          <w:bCs/>
        </w:rPr>
        <w:t xml:space="preserve"> REMARKS</w:t>
      </w:r>
    </w:p>
    <w:p w14:paraId="5B3EF241" w14:textId="4A3EBEE3" w:rsidR="00B07641" w:rsidRPr="00C718C8" w:rsidRDefault="00B07641" w:rsidP="00C718C8">
      <w:pPr>
        <w:spacing w:line="360" w:lineRule="auto"/>
        <w:jc w:val="both"/>
      </w:pPr>
      <w:r w:rsidRPr="00C718C8">
        <w:t>On</w:t>
      </w:r>
      <w:r w:rsidR="005D306F" w:rsidRPr="00C718C8">
        <w:t xml:space="preserve"> the </w:t>
      </w:r>
      <w:r w:rsidR="00DD184D" w:rsidRPr="00C718C8">
        <w:t>19</w:t>
      </w:r>
      <w:r w:rsidR="00DD184D" w:rsidRPr="00C718C8">
        <w:rPr>
          <w:vertAlign w:val="superscript"/>
        </w:rPr>
        <w:t xml:space="preserve">th </w:t>
      </w:r>
      <w:r w:rsidR="00DD184D" w:rsidRPr="00C718C8">
        <w:t xml:space="preserve">of </w:t>
      </w:r>
      <w:r w:rsidR="005D306F" w:rsidRPr="00C718C8">
        <w:t>October 2021 the</w:t>
      </w:r>
      <w:r w:rsidRPr="00C718C8">
        <w:t xml:space="preserve"> Attorney General of England and Wales, Suella Braverman QC</w:t>
      </w:r>
      <w:r w:rsidR="005D306F" w:rsidRPr="00C718C8">
        <w:t xml:space="preserve"> MP</w:t>
      </w:r>
      <w:r w:rsidRPr="00C718C8">
        <w:t>, delivered</w:t>
      </w:r>
      <w:r w:rsidR="005D306F" w:rsidRPr="00C718C8">
        <w:t xml:space="preserve"> </w:t>
      </w:r>
      <w:r w:rsidR="00126CD1">
        <w:t>the keynote</w:t>
      </w:r>
      <w:r w:rsidR="005D306F" w:rsidRPr="00C718C8">
        <w:t xml:space="preserve"> speech </w:t>
      </w:r>
      <w:r w:rsidR="009D6871">
        <w:t>at</w:t>
      </w:r>
      <w:r w:rsidR="009D6871" w:rsidRPr="00C718C8">
        <w:t xml:space="preserve"> </w:t>
      </w:r>
      <w:r w:rsidR="005D306F" w:rsidRPr="00C718C8">
        <w:t>the 2021 Public Law Project Conference</w:t>
      </w:r>
      <w:r w:rsidR="0062037F">
        <w:t xml:space="preserve">. </w:t>
      </w:r>
      <w:r w:rsidR="004A795D">
        <w:t xml:space="preserve">This speech </w:t>
      </w:r>
      <w:r w:rsidR="00DD184D" w:rsidRPr="00C718C8">
        <w:t>defend</w:t>
      </w:r>
      <w:r w:rsidR="0062037F">
        <w:t>ed</w:t>
      </w:r>
      <w:r w:rsidR="00DD184D" w:rsidRPr="00C718C8">
        <w:t xml:space="preserve"> the government’s </w:t>
      </w:r>
      <w:r w:rsidR="004A795D">
        <w:t>ongoing</w:t>
      </w:r>
      <w:r w:rsidR="00DD184D" w:rsidRPr="00C718C8">
        <w:t xml:space="preserve"> proposals to reform</w:t>
      </w:r>
      <w:r w:rsidR="00E66C45">
        <w:t xml:space="preserve"> aspects of</w:t>
      </w:r>
      <w:r w:rsidR="00DD184D" w:rsidRPr="00C718C8">
        <w:t xml:space="preserve"> </w:t>
      </w:r>
      <w:r w:rsidR="005D306F" w:rsidRPr="00C718C8">
        <w:t>judicial review</w:t>
      </w:r>
      <w:r w:rsidR="00E66C45">
        <w:t xml:space="preserve"> procedure</w:t>
      </w:r>
      <w:r w:rsidR="0062037F">
        <w:t xml:space="preserve"> and,</w:t>
      </w:r>
      <w:r w:rsidR="00FE1991">
        <w:t xml:space="preserve"> </w:t>
      </w:r>
      <w:r w:rsidR="0062037F">
        <w:t>m</w:t>
      </w:r>
      <w:r w:rsidR="00FE1991">
        <w:t>ore broadly, the constitutional</w:t>
      </w:r>
      <w:r w:rsidR="00DD184D" w:rsidRPr="00C718C8">
        <w:t xml:space="preserve"> legitimacy of</w:t>
      </w:r>
      <w:r w:rsidR="00BE7FA7" w:rsidRPr="00C718C8">
        <w:t xml:space="preserve"> inviting</w:t>
      </w:r>
      <w:r w:rsidR="00DD184D" w:rsidRPr="00C718C8">
        <w:t xml:space="preserve"> Parliament to </w:t>
      </w:r>
      <w:r w:rsidR="002404DF" w:rsidRPr="00C718C8">
        <w:t xml:space="preserve">overturn </w:t>
      </w:r>
      <w:r w:rsidR="00DD184D" w:rsidRPr="00C718C8">
        <w:t>jurisprudence it consider</w:t>
      </w:r>
      <w:r w:rsidR="00FE1991">
        <w:t>s</w:t>
      </w:r>
      <w:r w:rsidR="00DD184D" w:rsidRPr="00C718C8">
        <w:t xml:space="preserve"> to be erroneous.</w:t>
      </w:r>
      <w:bookmarkStart w:id="0" w:name="_Ref87952818"/>
      <w:r w:rsidR="0062037F">
        <w:rPr>
          <w:rStyle w:val="FootnoteReference"/>
        </w:rPr>
        <w:footnoteReference w:id="3"/>
      </w:r>
      <w:bookmarkEnd w:id="0"/>
      <w:r w:rsidR="00DD184D" w:rsidRPr="00C718C8">
        <w:t xml:space="preserve"> </w:t>
      </w:r>
    </w:p>
    <w:p w14:paraId="7F19EC06" w14:textId="3AED99FF" w:rsidR="005D306F" w:rsidRPr="00C718C8" w:rsidRDefault="005D306F" w:rsidP="00C718C8">
      <w:pPr>
        <w:spacing w:line="360" w:lineRule="auto"/>
        <w:jc w:val="both"/>
      </w:pPr>
    </w:p>
    <w:p w14:paraId="3795ECB3" w14:textId="1C97E37F" w:rsidR="007C48C1" w:rsidRPr="00C718C8" w:rsidRDefault="007B3E29" w:rsidP="00C718C8">
      <w:pPr>
        <w:spacing w:line="360" w:lineRule="auto"/>
        <w:jc w:val="both"/>
        <w:rPr>
          <w:color w:val="1A1A1A"/>
          <w:shd w:val="clear" w:color="auto" w:fill="FFFFFF"/>
        </w:rPr>
      </w:pPr>
      <w:r w:rsidRPr="00C718C8">
        <w:t>The A</w:t>
      </w:r>
      <w:r w:rsidR="009D6871">
        <w:t xml:space="preserve">ttorney </w:t>
      </w:r>
      <w:r w:rsidRPr="00C718C8">
        <w:t>G</w:t>
      </w:r>
      <w:r w:rsidR="009D6871">
        <w:t>eneral</w:t>
      </w:r>
      <w:r w:rsidRPr="00C718C8">
        <w:t xml:space="preserve"> accepted that there has long been debate over the “</w:t>
      </w:r>
      <w:r w:rsidRPr="007B3E29">
        <w:rPr>
          <w:color w:val="0B0C0C"/>
        </w:rPr>
        <w:t>proper role of the Courts in interpreting Parliament’s legislative supremacy</w:t>
      </w:r>
      <w:r w:rsidR="00376D69" w:rsidRPr="00C718C8">
        <w:rPr>
          <w:color w:val="0B0C0C"/>
        </w:rPr>
        <w:t>” but</w:t>
      </w:r>
      <w:r w:rsidR="002E1229">
        <w:rPr>
          <w:color w:val="0B0C0C"/>
        </w:rPr>
        <w:t xml:space="preserve"> suggested</w:t>
      </w:r>
      <w:r w:rsidRPr="00C718C8">
        <w:rPr>
          <w:color w:val="0B0C0C"/>
        </w:rPr>
        <w:t xml:space="preserve"> that several recent Supreme Court judgments</w:t>
      </w:r>
      <w:r w:rsidRPr="007B3E29">
        <w:rPr>
          <w:color w:val="0B0C0C"/>
        </w:rPr>
        <w:t xml:space="preserve"> </w:t>
      </w:r>
      <w:r w:rsidR="00376D69">
        <w:rPr>
          <w:color w:val="0B0C0C"/>
        </w:rPr>
        <w:t>represented</w:t>
      </w:r>
      <w:r w:rsidRPr="00C718C8">
        <w:rPr>
          <w:color w:val="0B0C0C"/>
        </w:rPr>
        <w:t xml:space="preserve"> a </w:t>
      </w:r>
      <w:r w:rsidRPr="00C718C8">
        <w:t>“</w:t>
      </w:r>
      <w:r w:rsidR="005D306F" w:rsidRPr="005D306F">
        <w:rPr>
          <w:color w:val="1A1A1A"/>
          <w:shd w:val="clear" w:color="auto" w:fill="FFFFFF"/>
        </w:rPr>
        <w:t>radical departure from orthodox constitutional norms</w:t>
      </w:r>
      <w:r w:rsidRPr="00C718C8">
        <w:rPr>
          <w:color w:val="1A1A1A"/>
          <w:shd w:val="clear" w:color="auto" w:fill="FFFFFF"/>
        </w:rPr>
        <w:t>” which</w:t>
      </w:r>
      <w:r w:rsidR="005D306F" w:rsidRPr="005D306F">
        <w:rPr>
          <w:color w:val="1A1A1A"/>
          <w:shd w:val="clear" w:color="auto" w:fill="FFFFFF"/>
        </w:rPr>
        <w:t xml:space="preserve"> severely threaten</w:t>
      </w:r>
      <w:r w:rsidR="002E1229">
        <w:rPr>
          <w:color w:val="1A1A1A"/>
          <w:shd w:val="clear" w:color="auto" w:fill="FFFFFF"/>
        </w:rPr>
        <w:t>ed</w:t>
      </w:r>
      <w:r w:rsidR="005D306F" w:rsidRPr="005D306F">
        <w:rPr>
          <w:color w:val="1A1A1A"/>
          <w:shd w:val="clear" w:color="auto" w:fill="FFFFFF"/>
        </w:rPr>
        <w:t xml:space="preserve"> the delicate balance </w:t>
      </w:r>
      <w:r w:rsidRPr="00C718C8">
        <w:rPr>
          <w:color w:val="1A1A1A"/>
          <w:shd w:val="clear" w:color="auto" w:fill="FFFFFF"/>
        </w:rPr>
        <w:t>of the UK Constitution. The A</w:t>
      </w:r>
      <w:r w:rsidR="006B1E14">
        <w:rPr>
          <w:color w:val="1A1A1A"/>
          <w:shd w:val="clear" w:color="auto" w:fill="FFFFFF"/>
        </w:rPr>
        <w:t xml:space="preserve">ttorney </w:t>
      </w:r>
      <w:r w:rsidRPr="00C718C8">
        <w:rPr>
          <w:color w:val="1A1A1A"/>
          <w:shd w:val="clear" w:color="auto" w:fill="FFFFFF"/>
        </w:rPr>
        <w:t>G</w:t>
      </w:r>
      <w:r w:rsidR="006B1E14">
        <w:rPr>
          <w:color w:val="1A1A1A"/>
          <w:shd w:val="clear" w:color="auto" w:fill="FFFFFF"/>
        </w:rPr>
        <w:t>eneral</w:t>
      </w:r>
      <w:r w:rsidRPr="00C718C8">
        <w:rPr>
          <w:color w:val="1A1A1A"/>
          <w:shd w:val="clear" w:color="auto" w:fill="FFFFFF"/>
        </w:rPr>
        <w:t xml:space="preserve"> cited </w:t>
      </w:r>
      <w:r w:rsidR="007C48C1" w:rsidRPr="007C48C1">
        <w:rPr>
          <w:i/>
          <w:iCs/>
          <w:color w:val="0B0C0C"/>
          <w:shd w:val="clear" w:color="auto" w:fill="FFFFFF"/>
        </w:rPr>
        <w:t>Adams</w:t>
      </w:r>
      <w:r w:rsidR="00C718C8" w:rsidRPr="004A795D">
        <w:rPr>
          <w:rStyle w:val="FootnoteReference"/>
          <w:color w:val="0B0C0C"/>
          <w:shd w:val="clear" w:color="auto" w:fill="FFFFFF"/>
        </w:rPr>
        <w:footnoteReference w:id="4"/>
      </w:r>
      <w:r w:rsidR="007C48C1" w:rsidRPr="007C48C1">
        <w:rPr>
          <w:i/>
          <w:iCs/>
          <w:color w:val="0B0C0C"/>
          <w:shd w:val="clear" w:color="auto" w:fill="FFFFFF"/>
        </w:rPr>
        <w:t xml:space="preserve">, Miller </w:t>
      </w:r>
      <w:r w:rsidR="00C718C8" w:rsidRPr="00C718C8">
        <w:rPr>
          <w:i/>
          <w:iCs/>
          <w:color w:val="0B0C0C"/>
          <w:shd w:val="clear" w:color="auto" w:fill="FFFFFF"/>
        </w:rPr>
        <w:t>I</w:t>
      </w:r>
      <w:r w:rsidR="00C718C8" w:rsidRPr="004A795D">
        <w:rPr>
          <w:rStyle w:val="FootnoteReference"/>
          <w:color w:val="0B0C0C"/>
          <w:shd w:val="clear" w:color="auto" w:fill="FFFFFF"/>
        </w:rPr>
        <w:footnoteReference w:id="5"/>
      </w:r>
      <w:r w:rsidR="00C718C8" w:rsidRPr="00C718C8">
        <w:rPr>
          <w:i/>
          <w:iCs/>
          <w:color w:val="0B0C0C"/>
          <w:shd w:val="clear" w:color="auto" w:fill="FFFFFF"/>
        </w:rPr>
        <w:t xml:space="preserve"> </w:t>
      </w:r>
      <w:r w:rsidR="00C718C8" w:rsidRPr="00C718C8">
        <w:rPr>
          <w:color w:val="0B0C0C"/>
          <w:shd w:val="clear" w:color="auto" w:fill="FFFFFF"/>
        </w:rPr>
        <w:t>and</w:t>
      </w:r>
      <w:r w:rsidR="00C718C8" w:rsidRPr="00C718C8">
        <w:rPr>
          <w:i/>
          <w:iCs/>
          <w:color w:val="0B0C0C"/>
          <w:shd w:val="clear" w:color="auto" w:fill="FFFFFF"/>
        </w:rPr>
        <w:t xml:space="preserve"> Miller II</w:t>
      </w:r>
      <w:r w:rsidR="00C718C8" w:rsidRPr="004A795D">
        <w:rPr>
          <w:rStyle w:val="FootnoteReference"/>
          <w:color w:val="0B0C0C"/>
          <w:shd w:val="clear" w:color="auto" w:fill="FFFFFF"/>
        </w:rPr>
        <w:footnoteReference w:id="6"/>
      </w:r>
      <w:r w:rsidR="00C718C8" w:rsidRPr="00C718C8">
        <w:rPr>
          <w:i/>
          <w:iCs/>
          <w:color w:val="0B0C0C"/>
          <w:shd w:val="clear" w:color="auto" w:fill="FFFFFF"/>
        </w:rPr>
        <w:t xml:space="preserve"> </w:t>
      </w:r>
      <w:r w:rsidR="007C48C1" w:rsidRPr="007C48C1">
        <w:rPr>
          <w:i/>
          <w:iCs/>
          <w:color w:val="0B0C0C"/>
          <w:shd w:val="clear" w:color="auto" w:fill="FFFFFF"/>
        </w:rPr>
        <w:t>, Evans</w:t>
      </w:r>
      <w:r w:rsidR="00C718C8" w:rsidRPr="004A795D">
        <w:rPr>
          <w:rStyle w:val="FootnoteReference"/>
          <w:color w:val="0B0C0C"/>
          <w:shd w:val="clear" w:color="auto" w:fill="FFFFFF"/>
        </w:rPr>
        <w:footnoteReference w:id="7"/>
      </w:r>
      <w:r w:rsidR="007C48C1" w:rsidRPr="007C48C1">
        <w:rPr>
          <w:i/>
          <w:iCs/>
          <w:color w:val="0B0C0C"/>
          <w:shd w:val="clear" w:color="auto" w:fill="FFFFFF"/>
        </w:rPr>
        <w:t xml:space="preserve"> / UNISON</w:t>
      </w:r>
      <w:r w:rsidR="00C718C8" w:rsidRPr="00C718C8">
        <w:rPr>
          <w:rStyle w:val="FootnoteReference"/>
          <w:color w:val="0B0C0C"/>
          <w:shd w:val="clear" w:color="auto" w:fill="FFFFFF"/>
        </w:rPr>
        <w:footnoteReference w:id="8"/>
      </w:r>
      <w:r w:rsidR="007C48C1" w:rsidRPr="007C48C1">
        <w:rPr>
          <w:color w:val="0B0C0C"/>
          <w:shd w:val="clear" w:color="auto" w:fill="FFFFFF"/>
        </w:rPr>
        <w:t xml:space="preserve"> and </w:t>
      </w:r>
      <w:r w:rsidR="007C48C1" w:rsidRPr="007C48C1">
        <w:rPr>
          <w:i/>
          <w:iCs/>
          <w:color w:val="0B0C0C"/>
          <w:shd w:val="clear" w:color="auto" w:fill="FFFFFF"/>
        </w:rPr>
        <w:t>Privacy International</w:t>
      </w:r>
      <w:r w:rsidR="00C718C8" w:rsidRPr="00C718C8">
        <w:rPr>
          <w:rStyle w:val="FootnoteReference"/>
          <w:color w:val="0B0C0C"/>
          <w:shd w:val="clear" w:color="auto" w:fill="FFFFFF"/>
        </w:rPr>
        <w:footnoteReference w:id="9"/>
      </w:r>
      <w:r w:rsidR="007C48C1" w:rsidRPr="007C48C1">
        <w:rPr>
          <w:color w:val="0B0C0C"/>
          <w:shd w:val="clear" w:color="auto" w:fill="FFFFFF"/>
        </w:rPr>
        <w:t xml:space="preserve">, </w:t>
      </w:r>
      <w:r w:rsidR="007C48C1" w:rsidRPr="00C718C8">
        <w:rPr>
          <w:color w:val="0B0C0C"/>
          <w:shd w:val="clear" w:color="auto" w:fill="FFFFFF"/>
        </w:rPr>
        <w:t>as examples of Supreme Court cases that “</w:t>
      </w:r>
      <w:r w:rsidR="007C48C1" w:rsidRPr="007C48C1">
        <w:rPr>
          <w:color w:val="0B0C0C"/>
          <w:shd w:val="clear" w:color="auto" w:fill="FFFFFF"/>
        </w:rPr>
        <w:t>strained the principle of Parliamentary sovereignty and introduced uncertainty into the constitutional balance between Parliament, the Government, and the Courts.</w:t>
      </w:r>
      <w:r w:rsidR="007C48C1" w:rsidRPr="00C718C8">
        <w:rPr>
          <w:color w:val="0B0C0C"/>
          <w:shd w:val="clear" w:color="auto" w:fill="FFFFFF"/>
        </w:rPr>
        <w:t xml:space="preserve">” </w:t>
      </w:r>
    </w:p>
    <w:p w14:paraId="415FFD5C" w14:textId="77777777" w:rsidR="007C48C1" w:rsidRPr="00C718C8" w:rsidRDefault="007C48C1" w:rsidP="00C718C8">
      <w:pPr>
        <w:spacing w:line="360" w:lineRule="auto"/>
        <w:jc w:val="both"/>
        <w:rPr>
          <w:color w:val="0B0C0C"/>
          <w:shd w:val="clear" w:color="auto" w:fill="FFFFFF"/>
        </w:rPr>
      </w:pPr>
    </w:p>
    <w:p w14:paraId="386AE1EB" w14:textId="468E746F" w:rsidR="00863793" w:rsidRDefault="006B1E14" w:rsidP="00C718C8">
      <w:pPr>
        <w:spacing w:line="360" w:lineRule="auto"/>
        <w:jc w:val="both"/>
        <w:rPr>
          <w:color w:val="0B0C0C"/>
          <w:shd w:val="clear" w:color="auto" w:fill="FFFFFF"/>
        </w:rPr>
      </w:pPr>
      <w:r>
        <w:rPr>
          <w:color w:val="0B0C0C"/>
          <w:shd w:val="clear" w:color="auto" w:fill="FFFFFF"/>
        </w:rPr>
        <w:t>While t</w:t>
      </w:r>
      <w:r w:rsidR="00B8745A">
        <w:rPr>
          <w:color w:val="0B0C0C"/>
          <w:shd w:val="clear" w:color="auto" w:fill="FFFFFF"/>
        </w:rPr>
        <w:t>he</w:t>
      </w:r>
      <w:r w:rsidR="007B3E29" w:rsidRPr="00C718C8">
        <w:rPr>
          <w:color w:val="1A1A1A"/>
          <w:shd w:val="clear" w:color="auto" w:fill="FFFFFF"/>
        </w:rPr>
        <w:t xml:space="preserve"> A</w:t>
      </w:r>
      <w:r w:rsidR="009D6871">
        <w:rPr>
          <w:color w:val="1A1A1A"/>
          <w:shd w:val="clear" w:color="auto" w:fill="FFFFFF"/>
        </w:rPr>
        <w:t xml:space="preserve">ttorney </w:t>
      </w:r>
      <w:r w:rsidR="007B3E29" w:rsidRPr="00C718C8">
        <w:rPr>
          <w:color w:val="1A1A1A"/>
          <w:shd w:val="clear" w:color="auto" w:fill="FFFFFF"/>
        </w:rPr>
        <w:t>G</w:t>
      </w:r>
      <w:r w:rsidR="009D6871">
        <w:rPr>
          <w:color w:val="1A1A1A"/>
          <w:shd w:val="clear" w:color="auto" w:fill="FFFFFF"/>
        </w:rPr>
        <w:t>eneral</w:t>
      </w:r>
      <w:r w:rsidR="007B3E29" w:rsidRPr="00C718C8">
        <w:rPr>
          <w:color w:val="1A1A1A"/>
          <w:shd w:val="clear" w:color="auto" w:fill="FFFFFF"/>
        </w:rPr>
        <w:t xml:space="preserve"> </w:t>
      </w:r>
      <w:r w:rsidR="00B8745A">
        <w:rPr>
          <w:color w:val="1A1A1A"/>
          <w:shd w:val="clear" w:color="auto" w:fill="FFFFFF"/>
        </w:rPr>
        <w:t xml:space="preserve">proceeded to </w:t>
      </w:r>
      <w:r w:rsidR="007B3E29" w:rsidRPr="00C718C8">
        <w:rPr>
          <w:color w:val="1A1A1A"/>
          <w:shd w:val="clear" w:color="auto" w:fill="FFFFFF"/>
        </w:rPr>
        <w:t>welcome</w:t>
      </w:r>
      <w:r w:rsidR="00B8745A">
        <w:rPr>
          <w:color w:val="1A1A1A"/>
          <w:shd w:val="clear" w:color="auto" w:fill="FFFFFF"/>
        </w:rPr>
        <w:t xml:space="preserve"> </w:t>
      </w:r>
      <w:r w:rsidR="0024621D">
        <w:rPr>
          <w:color w:val="1A1A1A"/>
          <w:shd w:val="clear" w:color="auto" w:fill="FFFFFF"/>
        </w:rPr>
        <w:t xml:space="preserve">signs of a shift by </w:t>
      </w:r>
      <w:r w:rsidR="00F13F0B">
        <w:rPr>
          <w:color w:val="1A1A1A"/>
          <w:shd w:val="clear" w:color="auto" w:fill="FFFFFF"/>
        </w:rPr>
        <w:t xml:space="preserve">the </w:t>
      </w:r>
      <w:r w:rsidR="007C48C1" w:rsidRPr="00C718C8">
        <w:rPr>
          <w:color w:val="1A1A1A"/>
          <w:shd w:val="clear" w:color="auto" w:fill="FFFFFF"/>
        </w:rPr>
        <w:t>current</w:t>
      </w:r>
      <w:r w:rsidR="007B3E29" w:rsidRPr="00C718C8">
        <w:rPr>
          <w:color w:val="1A1A1A"/>
          <w:shd w:val="clear" w:color="auto" w:fill="FFFFFF"/>
        </w:rPr>
        <w:t xml:space="preserve"> Supreme Court </w:t>
      </w:r>
      <w:r w:rsidR="00863793">
        <w:rPr>
          <w:color w:val="1A1A1A"/>
          <w:shd w:val="clear" w:color="auto" w:fill="FFFFFF"/>
        </w:rPr>
        <w:t xml:space="preserve">back </w:t>
      </w:r>
      <w:r w:rsidR="007B3E29" w:rsidRPr="00C718C8">
        <w:rPr>
          <w:color w:val="1A1A1A"/>
          <w:shd w:val="clear" w:color="auto" w:fill="FFFFFF"/>
        </w:rPr>
        <w:t>to</w:t>
      </w:r>
      <w:r w:rsidR="00F13F0B">
        <w:rPr>
          <w:color w:val="1A1A1A"/>
          <w:shd w:val="clear" w:color="auto" w:fill="FFFFFF"/>
        </w:rPr>
        <w:t xml:space="preserve"> what she characterised as</w:t>
      </w:r>
      <w:r w:rsidR="007B3E29" w:rsidRPr="00C718C8">
        <w:rPr>
          <w:color w:val="1A1A1A"/>
          <w:shd w:val="clear" w:color="auto" w:fill="FFFFFF"/>
        </w:rPr>
        <w:t xml:space="preserve"> a more orthodox</w:t>
      </w:r>
      <w:r w:rsidR="0024621D">
        <w:rPr>
          <w:color w:val="1A1A1A"/>
          <w:shd w:val="clear" w:color="auto" w:fill="FFFFFF"/>
        </w:rPr>
        <w:t>, traditional</w:t>
      </w:r>
      <w:r w:rsidR="00F13F0B">
        <w:rPr>
          <w:color w:val="1A1A1A"/>
          <w:shd w:val="clear" w:color="auto" w:fill="FFFFFF"/>
        </w:rPr>
        <w:t>,</w:t>
      </w:r>
      <w:r w:rsidR="0024621D">
        <w:rPr>
          <w:color w:val="1A1A1A"/>
          <w:shd w:val="clear" w:color="auto" w:fill="FFFFFF"/>
        </w:rPr>
        <w:t xml:space="preserve"> approach to judicial review</w:t>
      </w:r>
      <w:r>
        <w:rPr>
          <w:color w:val="1A1A1A"/>
          <w:shd w:val="clear" w:color="auto" w:fill="FFFFFF"/>
        </w:rPr>
        <w:t>,</w:t>
      </w:r>
      <w:r w:rsidR="007C48C1" w:rsidRPr="00C718C8">
        <w:t xml:space="preserve"> </w:t>
      </w:r>
      <w:r>
        <w:t>s</w:t>
      </w:r>
      <w:r w:rsidR="003A0B62">
        <w:t>he</w:t>
      </w:r>
      <w:r w:rsidR="007B3E29" w:rsidRPr="00C718C8">
        <w:t xml:space="preserve"> </w:t>
      </w:r>
      <w:r w:rsidR="007C48C1" w:rsidRPr="00C718C8">
        <w:t>proceeded to</w:t>
      </w:r>
      <w:r w:rsidR="007B3E29" w:rsidRPr="00C718C8">
        <w:t xml:space="preserve"> </w:t>
      </w:r>
      <w:r w:rsidR="00D86ADE" w:rsidRPr="00C718C8">
        <w:t>defend the</w:t>
      </w:r>
      <w:r w:rsidR="007C48C1" w:rsidRPr="00C718C8">
        <w:t xml:space="preserve"> government’s recent proposal to reform judicial review</w:t>
      </w:r>
      <w:r w:rsidR="00B8745A">
        <w:rPr>
          <w:rStyle w:val="FootnoteReference"/>
        </w:rPr>
        <w:footnoteReference w:id="10"/>
      </w:r>
      <w:r w:rsidR="007C48C1" w:rsidRPr="00C718C8">
        <w:t xml:space="preserve"> </w:t>
      </w:r>
      <w:r w:rsidR="00C22728" w:rsidRPr="00C718C8">
        <w:t>and, the</w:t>
      </w:r>
      <w:r w:rsidR="003A0B62">
        <w:t xml:space="preserve"> constitutional propriety of the</w:t>
      </w:r>
      <w:r w:rsidR="007C48C1" w:rsidRPr="00C718C8">
        <w:t xml:space="preserve"> executive</w:t>
      </w:r>
      <w:r w:rsidR="00DD406F">
        <w:t xml:space="preserve"> </w:t>
      </w:r>
      <w:r w:rsidR="003A0B62">
        <w:t xml:space="preserve">deciding </w:t>
      </w:r>
      <w:r w:rsidR="00AC2837">
        <w:t>that</w:t>
      </w:r>
      <w:r w:rsidR="007C48C1" w:rsidRPr="00C718C8">
        <w:t xml:space="preserve"> it is “</w:t>
      </w:r>
      <w:r w:rsidR="007B3E29" w:rsidRPr="007B3E29">
        <w:rPr>
          <w:color w:val="0B0C0C"/>
          <w:shd w:val="clear" w:color="auto" w:fill="FFFFFF"/>
        </w:rPr>
        <w:t>worthwhile and important to invite Parliament to legislate to overturn</w:t>
      </w:r>
      <w:r w:rsidR="007C48C1" w:rsidRPr="00C718C8">
        <w:rPr>
          <w:color w:val="0B0C0C"/>
          <w:shd w:val="clear" w:color="auto" w:fill="FFFFFF"/>
        </w:rPr>
        <w:t xml:space="preserve">” judicial decisions it thinks erroneous. </w:t>
      </w:r>
    </w:p>
    <w:p w14:paraId="50C4A8F5" w14:textId="77777777" w:rsidR="00272F73" w:rsidRDefault="00272F73" w:rsidP="00C718C8">
      <w:pPr>
        <w:spacing w:line="360" w:lineRule="auto"/>
        <w:jc w:val="both"/>
        <w:rPr>
          <w:color w:val="0B0C0C"/>
          <w:shd w:val="clear" w:color="auto" w:fill="FFFFFF"/>
        </w:rPr>
      </w:pPr>
    </w:p>
    <w:p w14:paraId="78EFA402" w14:textId="6215AFBF" w:rsidR="00B07641" w:rsidRPr="0024621D" w:rsidRDefault="007C48C1" w:rsidP="00C718C8">
      <w:pPr>
        <w:spacing w:line="360" w:lineRule="auto"/>
        <w:jc w:val="both"/>
      </w:pPr>
      <w:r w:rsidRPr="00C718C8">
        <w:rPr>
          <w:color w:val="0B0C0C"/>
          <w:shd w:val="clear" w:color="auto" w:fill="FFFFFF"/>
        </w:rPr>
        <w:t xml:space="preserve">While emphasising the centrality of </w:t>
      </w:r>
      <w:r w:rsidRPr="007B3E29">
        <w:rPr>
          <w:color w:val="000000" w:themeColor="text1"/>
          <w:shd w:val="clear" w:color="auto" w:fill="FFFFFF"/>
        </w:rPr>
        <w:t>an independent, apolitical, judiciary</w:t>
      </w:r>
      <w:r w:rsidRPr="00C718C8">
        <w:rPr>
          <w:color w:val="000000" w:themeColor="text1"/>
          <w:shd w:val="clear" w:color="auto" w:fill="FFFFFF"/>
        </w:rPr>
        <w:t xml:space="preserve"> to the </w:t>
      </w:r>
      <w:r w:rsidR="00740E22">
        <w:rPr>
          <w:color w:val="000000" w:themeColor="text1"/>
          <w:shd w:val="clear" w:color="auto" w:fill="FFFFFF"/>
        </w:rPr>
        <w:t>U</w:t>
      </w:r>
      <w:r w:rsidR="006B1E14">
        <w:rPr>
          <w:color w:val="000000" w:themeColor="text1"/>
          <w:shd w:val="clear" w:color="auto" w:fill="FFFFFF"/>
        </w:rPr>
        <w:t xml:space="preserve">nited </w:t>
      </w:r>
      <w:r w:rsidR="00740E22">
        <w:rPr>
          <w:color w:val="000000" w:themeColor="text1"/>
          <w:shd w:val="clear" w:color="auto" w:fill="FFFFFF"/>
        </w:rPr>
        <w:t>K</w:t>
      </w:r>
      <w:r w:rsidR="006B1E14">
        <w:rPr>
          <w:color w:val="000000" w:themeColor="text1"/>
          <w:shd w:val="clear" w:color="auto" w:fill="FFFFFF"/>
        </w:rPr>
        <w:t>ingdom’</w:t>
      </w:r>
      <w:r w:rsidR="00740E22">
        <w:rPr>
          <w:color w:val="000000" w:themeColor="text1"/>
          <w:shd w:val="clear" w:color="auto" w:fill="FFFFFF"/>
        </w:rPr>
        <w:t>s separation of powers</w:t>
      </w:r>
      <w:r w:rsidRPr="00C718C8">
        <w:rPr>
          <w:color w:val="000000" w:themeColor="text1"/>
          <w:shd w:val="clear" w:color="auto" w:fill="FFFFFF"/>
        </w:rPr>
        <w:t>, the A</w:t>
      </w:r>
      <w:r w:rsidR="00F804E3">
        <w:rPr>
          <w:color w:val="000000" w:themeColor="text1"/>
          <w:shd w:val="clear" w:color="auto" w:fill="FFFFFF"/>
        </w:rPr>
        <w:t xml:space="preserve">ttorney </w:t>
      </w:r>
      <w:r w:rsidRPr="00C718C8">
        <w:rPr>
          <w:color w:val="000000" w:themeColor="text1"/>
          <w:shd w:val="clear" w:color="auto" w:fill="FFFFFF"/>
        </w:rPr>
        <w:t>G</w:t>
      </w:r>
      <w:r w:rsidR="00F804E3">
        <w:rPr>
          <w:color w:val="000000" w:themeColor="text1"/>
          <w:shd w:val="clear" w:color="auto" w:fill="FFFFFF"/>
        </w:rPr>
        <w:t>eneral</w:t>
      </w:r>
      <w:r w:rsidRPr="00C718C8">
        <w:rPr>
          <w:color w:val="000000" w:themeColor="text1"/>
          <w:shd w:val="clear" w:color="auto" w:fill="FFFFFF"/>
        </w:rPr>
        <w:t xml:space="preserve"> </w:t>
      </w:r>
      <w:r w:rsidR="00740E22">
        <w:rPr>
          <w:color w:val="000000" w:themeColor="text1"/>
          <w:shd w:val="clear" w:color="auto" w:fill="FFFFFF"/>
        </w:rPr>
        <w:t>argued</w:t>
      </w:r>
      <w:r w:rsidR="003A0B62">
        <w:rPr>
          <w:color w:val="000000" w:themeColor="text1"/>
          <w:shd w:val="clear" w:color="auto" w:fill="FFFFFF"/>
        </w:rPr>
        <w:t xml:space="preserve"> that</w:t>
      </w:r>
      <w:r w:rsidRPr="00C718C8">
        <w:rPr>
          <w:color w:val="000000" w:themeColor="text1"/>
          <w:shd w:val="clear" w:color="auto" w:fill="FFFFFF"/>
        </w:rPr>
        <w:t xml:space="preserve"> </w:t>
      </w:r>
      <w:r w:rsidRPr="00C718C8">
        <w:rPr>
          <w:color w:val="0B0C0C"/>
          <w:shd w:val="clear" w:color="auto" w:fill="FFFFFF"/>
        </w:rPr>
        <w:t xml:space="preserve">failure </w:t>
      </w:r>
      <w:r w:rsidR="00C3471C" w:rsidRPr="00C718C8">
        <w:rPr>
          <w:color w:val="0B0C0C"/>
          <w:shd w:val="clear" w:color="auto" w:fill="FFFFFF"/>
        </w:rPr>
        <w:t>to correct</w:t>
      </w:r>
      <w:r w:rsidR="00740E22">
        <w:rPr>
          <w:color w:val="0B0C0C"/>
          <w:shd w:val="clear" w:color="auto" w:fill="FFFFFF"/>
        </w:rPr>
        <w:t xml:space="preserve"> Supreme Court</w:t>
      </w:r>
      <w:r w:rsidR="00C3471C" w:rsidRPr="00C718C8">
        <w:rPr>
          <w:color w:val="0B0C0C"/>
          <w:shd w:val="clear" w:color="auto" w:fill="FFFFFF"/>
        </w:rPr>
        <w:t xml:space="preserve"> judgments which distur</w:t>
      </w:r>
      <w:r w:rsidR="00F804E3">
        <w:rPr>
          <w:color w:val="0B0C0C"/>
          <w:shd w:val="clear" w:color="auto" w:fill="FFFFFF"/>
        </w:rPr>
        <w:t>b</w:t>
      </w:r>
      <w:r w:rsidR="00C3471C" w:rsidRPr="00C718C8">
        <w:rPr>
          <w:color w:val="0B0C0C"/>
          <w:shd w:val="clear" w:color="auto" w:fill="FFFFFF"/>
        </w:rPr>
        <w:t xml:space="preserve"> constitutional </w:t>
      </w:r>
      <w:r w:rsidRPr="00C718C8">
        <w:rPr>
          <w:color w:val="0B0C0C"/>
          <w:shd w:val="clear" w:color="auto" w:fill="FFFFFF"/>
        </w:rPr>
        <w:t>orthodoxy</w:t>
      </w:r>
      <w:r w:rsidR="00C3471C" w:rsidRPr="00C718C8">
        <w:rPr>
          <w:color w:val="0B0C0C"/>
          <w:shd w:val="clear" w:color="auto" w:fill="FFFFFF"/>
        </w:rPr>
        <w:t xml:space="preserve"> and</w:t>
      </w:r>
      <w:r w:rsidRPr="00C718C8">
        <w:rPr>
          <w:color w:val="0B0C0C"/>
          <w:shd w:val="clear" w:color="auto" w:fill="FFFFFF"/>
        </w:rPr>
        <w:t xml:space="preserve"> </w:t>
      </w:r>
      <w:r w:rsidR="00863793">
        <w:rPr>
          <w:color w:val="0B0C0C"/>
          <w:shd w:val="clear" w:color="auto" w:fill="FFFFFF"/>
        </w:rPr>
        <w:t xml:space="preserve">expand </w:t>
      </w:r>
      <w:r w:rsidR="006B1E14">
        <w:rPr>
          <w:color w:val="0B0C0C"/>
          <w:shd w:val="clear" w:color="auto" w:fill="FFFFFF"/>
        </w:rPr>
        <w:t>the judicial</w:t>
      </w:r>
      <w:r w:rsidR="00863793">
        <w:rPr>
          <w:color w:val="0B0C0C"/>
          <w:shd w:val="clear" w:color="auto" w:fill="FFFFFF"/>
        </w:rPr>
        <w:t xml:space="preserve"> remit</w:t>
      </w:r>
      <w:r w:rsidR="00C3471C" w:rsidRPr="00C718C8">
        <w:rPr>
          <w:color w:val="0B0C0C"/>
          <w:shd w:val="clear" w:color="auto" w:fill="FFFFFF"/>
        </w:rPr>
        <w:t xml:space="preserve"> into more</w:t>
      </w:r>
      <w:r w:rsidRPr="00C718C8">
        <w:rPr>
          <w:color w:val="0B0C0C"/>
          <w:shd w:val="clear" w:color="auto" w:fill="FFFFFF"/>
        </w:rPr>
        <w:t xml:space="preserve"> starkly</w:t>
      </w:r>
      <w:r w:rsidR="00C3471C" w:rsidRPr="00C718C8">
        <w:rPr>
          <w:color w:val="0B0C0C"/>
          <w:shd w:val="clear" w:color="auto" w:fill="FFFFFF"/>
        </w:rPr>
        <w:t xml:space="preserve"> political issues</w:t>
      </w:r>
      <w:r w:rsidRPr="00C718C8">
        <w:rPr>
          <w:color w:val="0B0C0C"/>
          <w:shd w:val="clear" w:color="auto" w:fill="FFFFFF"/>
        </w:rPr>
        <w:t>,</w:t>
      </w:r>
      <w:r w:rsidR="00C3471C" w:rsidRPr="00C718C8">
        <w:rPr>
          <w:color w:val="0B0C0C"/>
          <w:shd w:val="clear" w:color="auto" w:fill="FFFFFF"/>
        </w:rPr>
        <w:t xml:space="preserve"> </w:t>
      </w:r>
      <w:r w:rsidRPr="00C718C8">
        <w:rPr>
          <w:color w:val="0B0C0C"/>
          <w:shd w:val="clear" w:color="auto" w:fill="FFFFFF"/>
        </w:rPr>
        <w:t>risked the</w:t>
      </w:r>
      <w:r w:rsidR="00C3471C" w:rsidRPr="00C718C8">
        <w:rPr>
          <w:color w:val="0B0C0C"/>
          <w:shd w:val="clear" w:color="auto" w:fill="FFFFFF"/>
        </w:rPr>
        <w:t xml:space="preserve"> “</w:t>
      </w:r>
      <w:r w:rsidR="00C3471C" w:rsidRPr="00C3471C">
        <w:rPr>
          <w:color w:val="0B0C0C"/>
          <w:shd w:val="clear" w:color="auto" w:fill="FFFFFF"/>
        </w:rPr>
        <w:t>legitimacy and reputation of our judiciary, which is inextricably linked to its political neutrality</w:t>
      </w:r>
      <w:r w:rsidR="00C3471C" w:rsidRPr="00C718C8">
        <w:rPr>
          <w:color w:val="0B0C0C"/>
          <w:shd w:val="clear" w:color="auto" w:fill="FFFFFF"/>
        </w:rPr>
        <w:t>”</w:t>
      </w:r>
      <w:r w:rsidR="004E1C99">
        <w:rPr>
          <w:color w:val="0B0C0C"/>
          <w:shd w:val="clear" w:color="auto" w:fill="FFFFFF"/>
        </w:rPr>
        <w:t xml:space="preserve"> which in turn could</w:t>
      </w:r>
      <w:r w:rsidR="00C3471C" w:rsidRPr="00C718C8">
        <w:rPr>
          <w:color w:val="0B0C0C"/>
          <w:shd w:val="clear" w:color="auto" w:fill="FFFFFF"/>
        </w:rPr>
        <w:t xml:space="preserve"> weaken the rule of law.</w:t>
      </w:r>
      <w:r w:rsidR="0087592B">
        <w:rPr>
          <w:rStyle w:val="FootnoteReference"/>
          <w:color w:val="0B0C0C"/>
          <w:shd w:val="clear" w:color="auto" w:fill="FFFFFF"/>
        </w:rPr>
        <w:footnoteReference w:id="11"/>
      </w:r>
      <w:r w:rsidR="00C3471C" w:rsidRPr="00C3471C">
        <w:rPr>
          <w:color w:val="0B0C0C"/>
          <w:shd w:val="clear" w:color="auto" w:fill="FFFFFF"/>
        </w:rPr>
        <w:t xml:space="preserve"> </w:t>
      </w:r>
    </w:p>
    <w:p w14:paraId="47D966C8" w14:textId="77777777" w:rsidR="00C718C8" w:rsidRPr="00C718C8" w:rsidRDefault="00C718C8" w:rsidP="00C718C8">
      <w:pPr>
        <w:spacing w:line="360" w:lineRule="auto"/>
        <w:jc w:val="both"/>
      </w:pPr>
    </w:p>
    <w:p w14:paraId="09CEAD7F" w14:textId="77777777" w:rsidR="00903991" w:rsidRDefault="005D306F" w:rsidP="00C364BA">
      <w:pPr>
        <w:spacing w:line="360" w:lineRule="auto"/>
        <w:jc w:val="both"/>
        <w:rPr>
          <w:color w:val="000000" w:themeColor="text1"/>
        </w:rPr>
      </w:pPr>
      <w:r w:rsidRPr="00C718C8">
        <w:t>The</w:t>
      </w:r>
      <w:r w:rsidR="004E1C99">
        <w:t xml:space="preserve"> A</w:t>
      </w:r>
      <w:r w:rsidR="00DD406F">
        <w:t xml:space="preserve">ttorney </w:t>
      </w:r>
      <w:r w:rsidR="004E1C99">
        <w:t>G</w:t>
      </w:r>
      <w:r w:rsidR="00DD406F">
        <w:t>eneral’</w:t>
      </w:r>
      <w:r w:rsidR="004E1C99">
        <w:t>s</w:t>
      </w:r>
      <w:r w:rsidRPr="00C718C8">
        <w:t xml:space="preserve"> speech </w:t>
      </w:r>
      <w:r w:rsidR="00DD406F">
        <w:t>was criticised by some</w:t>
      </w:r>
      <w:r w:rsidRPr="00C718C8">
        <w:t xml:space="preserve"> legal commentators.</w:t>
      </w:r>
      <w:r w:rsidR="00863793">
        <w:rPr>
          <w:rStyle w:val="FootnoteReference"/>
        </w:rPr>
        <w:footnoteReference w:id="12"/>
      </w:r>
      <w:r w:rsidRPr="00C718C8">
        <w:t xml:space="preserve"> Given</w:t>
      </w:r>
      <w:r w:rsidR="001E53F1">
        <w:t xml:space="preserve"> </w:t>
      </w:r>
      <w:r w:rsidR="00AC1EDA">
        <w:t>the nature</w:t>
      </w:r>
      <w:r w:rsidR="004E1C99">
        <w:t xml:space="preserve"> </w:t>
      </w:r>
      <w:r w:rsidR="0085261F" w:rsidRPr="00B23E66">
        <w:t xml:space="preserve">of the </w:t>
      </w:r>
      <w:r w:rsidRPr="00B23E66">
        <w:t xml:space="preserve">subject matter, this was </w:t>
      </w:r>
      <w:r w:rsidR="003A0B62" w:rsidRPr="00B23E66">
        <w:t>not</w:t>
      </w:r>
      <w:r w:rsidRPr="00B23E66">
        <w:t xml:space="preserve"> </w:t>
      </w:r>
      <w:r w:rsidR="003A0B62" w:rsidRPr="00B23E66">
        <w:t>un</w:t>
      </w:r>
      <w:r w:rsidRPr="00B23E66">
        <w:t xml:space="preserve">expected. However, some critiques </w:t>
      </w:r>
      <w:r w:rsidR="001E53F1" w:rsidRPr="00B23E66">
        <w:t>about</w:t>
      </w:r>
      <w:r w:rsidR="007C48C1" w:rsidRPr="00B23E66">
        <w:t xml:space="preserve"> the substance of the remarks</w:t>
      </w:r>
      <w:r w:rsidR="001E53F1" w:rsidRPr="00B23E66">
        <w:t xml:space="preserve"> also</w:t>
      </w:r>
      <w:r w:rsidR="007C48C1" w:rsidRPr="00B23E66">
        <w:t xml:space="preserve"> </w:t>
      </w:r>
      <w:r w:rsidR="003A0B62" w:rsidRPr="00B23E66">
        <w:t xml:space="preserve">appeared to </w:t>
      </w:r>
      <w:r w:rsidR="0085261F" w:rsidRPr="00B23E66">
        <w:t>adopt an</w:t>
      </w:r>
      <w:r w:rsidR="007C48C1" w:rsidRPr="00B23E66">
        <w:t xml:space="preserve"> </w:t>
      </w:r>
      <w:r w:rsidRPr="00B23E66">
        <w:t>underlying</w:t>
      </w:r>
      <w:r w:rsidR="003A0B62" w:rsidRPr="00B23E66">
        <w:t xml:space="preserve"> but unstated</w:t>
      </w:r>
      <w:r w:rsidRPr="00B23E66">
        <w:t xml:space="preserve"> </w:t>
      </w:r>
      <w:r w:rsidR="004E1C99" w:rsidRPr="00B23E66">
        <w:t>premise</w:t>
      </w:r>
      <w:r w:rsidRPr="00B23E66">
        <w:t xml:space="preserve"> that the A</w:t>
      </w:r>
      <w:r w:rsidR="000E50D1">
        <w:t xml:space="preserve">ttorney </w:t>
      </w:r>
      <w:r w:rsidRPr="00B23E66">
        <w:t>G</w:t>
      </w:r>
      <w:r w:rsidR="000E50D1">
        <w:t>eneral</w:t>
      </w:r>
      <w:r w:rsidRPr="00B23E66">
        <w:t xml:space="preserve">, in giving </w:t>
      </w:r>
      <w:r w:rsidR="004E1C99" w:rsidRPr="00B23E66">
        <w:t>these</w:t>
      </w:r>
      <w:r w:rsidRPr="00B23E66">
        <w:t xml:space="preserve"> remarks, had</w:t>
      </w:r>
      <w:r w:rsidR="007C48C1" w:rsidRPr="00B23E66">
        <w:t xml:space="preserve"> somehow</w:t>
      </w:r>
      <w:r w:rsidRPr="00B23E66">
        <w:t xml:space="preserve"> overstepped her role</w:t>
      </w:r>
      <w:r w:rsidR="00606961" w:rsidRPr="00B23E66">
        <w:t xml:space="preserve"> by </w:t>
      </w:r>
      <w:r w:rsidRPr="00B23E66">
        <w:t xml:space="preserve">pushing at constitutional </w:t>
      </w:r>
      <w:r w:rsidR="00AC1EDA" w:rsidRPr="00B23E66">
        <w:t>boundaries either</w:t>
      </w:r>
      <w:r w:rsidR="00606961" w:rsidRPr="00B23E66">
        <w:t xml:space="preserve"> </w:t>
      </w:r>
      <w:r w:rsidR="00FD2AC9" w:rsidRPr="00B23E66">
        <w:t xml:space="preserve">by </w:t>
      </w:r>
      <w:r w:rsidR="00606961" w:rsidRPr="00C364BA">
        <w:rPr>
          <w:color w:val="000000" w:themeColor="text1"/>
        </w:rPr>
        <w:t>attacking the judiciary</w:t>
      </w:r>
      <w:r w:rsidRPr="00C364BA">
        <w:rPr>
          <w:color w:val="000000" w:themeColor="text1"/>
        </w:rPr>
        <w:t xml:space="preserve"> </w:t>
      </w:r>
      <w:r w:rsidR="0085261F" w:rsidRPr="00C364BA">
        <w:rPr>
          <w:color w:val="000000" w:themeColor="text1"/>
        </w:rPr>
        <w:t>or</w:t>
      </w:r>
      <w:r w:rsidRPr="00C364BA">
        <w:rPr>
          <w:color w:val="000000" w:themeColor="text1"/>
        </w:rPr>
        <w:t xml:space="preserve"> inappropriately politicising </w:t>
      </w:r>
      <w:r w:rsidR="0085261F" w:rsidRPr="00C364BA">
        <w:rPr>
          <w:color w:val="000000" w:themeColor="text1"/>
        </w:rPr>
        <w:t>her</w:t>
      </w:r>
      <w:r w:rsidRPr="00C364BA">
        <w:rPr>
          <w:color w:val="000000" w:themeColor="text1"/>
        </w:rPr>
        <w:t xml:space="preserve"> office.</w:t>
      </w:r>
      <w:r w:rsidR="00B23E66" w:rsidRPr="00C364BA">
        <w:rPr>
          <w:color w:val="000000" w:themeColor="text1"/>
        </w:rPr>
        <w:t xml:space="preserve"> </w:t>
      </w:r>
    </w:p>
    <w:p w14:paraId="06E7E2A9" w14:textId="77777777" w:rsidR="00903991" w:rsidRDefault="00903991" w:rsidP="00C364BA">
      <w:pPr>
        <w:spacing w:line="360" w:lineRule="auto"/>
        <w:jc w:val="both"/>
        <w:rPr>
          <w:color w:val="000000" w:themeColor="text1"/>
        </w:rPr>
      </w:pPr>
    </w:p>
    <w:p w14:paraId="73A62FCC" w14:textId="2D6ED680" w:rsidR="00ED06EC" w:rsidRPr="00C364BA" w:rsidRDefault="00B23E66" w:rsidP="00C364BA">
      <w:pPr>
        <w:spacing w:line="360" w:lineRule="auto"/>
        <w:jc w:val="both"/>
        <w:rPr>
          <w:color w:val="000000" w:themeColor="text1"/>
          <w:shd w:val="clear" w:color="auto" w:fill="FFFFFF"/>
        </w:rPr>
      </w:pPr>
      <w:r w:rsidRPr="00C364BA">
        <w:rPr>
          <w:color w:val="000000" w:themeColor="text1"/>
        </w:rPr>
        <w:t>For example, Joshua Rozenberg QC (hon), one of the UKs most prominent legal commentators, argued that the Attorney General’s remarks were “</w:t>
      </w:r>
      <w:r w:rsidRPr="00C364BA">
        <w:rPr>
          <w:color w:val="000000" w:themeColor="text1"/>
          <w:shd w:val="clear" w:color="auto" w:fill="FFFFFF"/>
        </w:rPr>
        <w:t>trumpeting a political message” that politicized her office and undermined the idea she can “act independently in the public interest while remaining the government’s chief legal adviser.”</w:t>
      </w:r>
      <w:r w:rsidRPr="00C364BA">
        <w:rPr>
          <w:rStyle w:val="FootnoteReference"/>
          <w:color w:val="000000" w:themeColor="text1"/>
          <w:shd w:val="clear" w:color="auto" w:fill="FFFFFF"/>
        </w:rPr>
        <w:footnoteReference w:id="13"/>
      </w:r>
      <w:r w:rsidRPr="00C364BA">
        <w:rPr>
          <w:color w:val="000000" w:themeColor="text1"/>
          <w:shd w:val="clear" w:color="auto" w:fill="FFFFFF"/>
        </w:rPr>
        <w:t xml:space="preserve"> </w:t>
      </w:r>
      <w:r w:rsidR="0094613B">
        <w:rPr>
          <w:color w:val="000000" w:themeColor="text1"/>
          <w:shd w:val="clear" w:color="auto" w:fill="FFFFFF"/>
        </w:rPr>
        <w:t>The</w:t>
      </w:r>
      <w:r w:rsidRPr="00C364BA">
        <w:rPr>
          <w:color w:val="000000" w:themeColor="text1"/>
          <w:shd w:val="clear" w:color="auto" w:fill="FFFFFF"/>
        </w:rPr>
        <w:t xml:space="preserve"> distinguished public lawyer, Professor Mark Elliot, </w:t>
      </w:r>
      <w:r>
        <w:rPr>
          <w:color w:val="000000" w:themeColor="text1"/>
          <w:shd w:val="clear" w:color="auto" w:fill="FFFFFF"/>
        </w:rPr>
        <w:t>agreed with</w:t>
      </w:r>
      <w:r w:rsidRPr="00C364BA">
        <w:rPr>
          <w:color w:val="000000" w:themeColor="text1"/>
          <w:shd w:val="clear" w:color="auto" w:fill="FFFFFF"/>
        </w:rPr>
        <w:t xml:space="preserve"> Rozenberg’s critique</w:t>
      </w:r>
      <w:r w:rsidR="0094613B">
        <w:rPr>
          <w:color w:val="000000" w:themeColor="text1"/>
          <w:shd w:val="clear" w:color="auto" w:fill="FFFFFF"/>
        </w:rPr>
        <w:t>.</w:t>
      </w:r>
      <w:r>
        <w:rPr>
          <w:color w:val="000000" w:themeColor="text1"/>
          <w:shd w:val="clear" w:color="auto" w:fill="FFFFFF"/>
        </w:rPr>
        <w:t xml:space="preserve"> </w:t>
      </w:r>
      <w:r w:rsidR="0094613B">
        <w:rPr>
          <w:color w:val="000000" w:themeColor="text1"/>
          <w:shd w:val="clear" w:color="auto" w:fill="FFFFFF"/>
        </w:rPr>
        <w:t>For Professor Elliot, the passage of Rozenberg’s</w:t>
      </w:r>
      <w:r>
        <w:rPr>
          <w:color w:val="000000" w:themeColor="text1"/>
          <w:shd w:val="clear" w:color="auto" w:fill="FFFFFF"/>
        </w:rPr>
        <w:t xml:space="preserve"> </w:t>
      </w:r>
      <w:r w:rsidR="0094613B">
        <w:rPr>
          <w:color w:val="000000" w:themeColor="text1"/>
          <w:shd w:val="clear" w:color="auto" w:fill="FFFFFF"/>
        </w:rPr>
        <w:t>article which</w:t>
      </w:r>
      <w:r w:rsidR="000375A2">
        <w:rPr>
          <w:color w:val="000000" w:themeColor="text1"/>
          <w:shd w:val="clear" w:color="auto" w:fill="FFFFFF"/>
        </w:rPr>
        <w:t xml:space="preserve"> alleg</w:t>
      </w:r>
      <w:r w:rsidR="0094613B">
        <w:rPr>
          <w:color w:val="000000" w:themeColor="text1"/>
          <w:shd w:val="clear" w:color="auto" w:fill="FFFFFF"/>
        </w:rPr>
        <w:t>ed</w:t>
      </w:r>
      <w:r w:rsidR="000375A2">
        <w:rPr>
          <w:color w:val="000000" w:themeColor="text1"/>
          <w:shd w:val="clear" w:color="auto" w:fill="FFFFFF"/>
        </w:rPr>
        <w:t xml:space="preserve"> the Attorney General was politicizing her office</w:t>
      </w:r>
      <w:r w:rsidRPr="00C364BA">
        <w:rPr>
          <w:color w:val="000000" w:themeColor="text1"/>
          <w:shd w:val="clear" w:color="auto" w:fill="FFFFFF"/>
        </w:rPr>
        <w:t xml:space="preserve"> “nicely illustrates how readily the fabric of the constitution can begin to unravel when appropriate restraint, in any quarter, is not practised.”</w:t>
      </w:r>
      <w:r w:rsidRPr="00C364BA">
        <w:rPr>
          <w:rStyle w:val="FootnoteReference"/>
          <w:color w:val="000000" w:themeColor="text1"/>
          <w:shd w:val="clear" w:color="auto" w:fill="FFFFFF"/>
        </w:rPr>
        <w:footnoteReference w:id="14"/>
      </w:r>
      <w:r w:rsidR="0001360C">
        <w:rPr>
          <w:color w:val="000000" w:themeColor="text1"/>
          <w:shd w:val="clear" w:color="auto" w:fill="FFFFFF"/>
        </w:rPr>
        <w:t xml:space="preserve"> Shortly thereafter, </w:t>
      </w:r>
      <w:r w:rsidR="0001360C" w:rsidRPr="00C364BA">
        <w:rPr>
          <w:i/>
          <w:iCs/>
          <w:color w:val="000000" w:themeColor="text1"/>
          <w:shd w:val="clear" w:color="auto" w:fill="FFFFFF"/>
        </w:rPr>
        <w:t>the</w:t>
      </w:r>
      <w:r w:rsidR="0001360C">
        <w:rPr>
          <w:color w:val="000000" w:themeColor="text1"/>
          <w:shd w:val="clear" w:color="auto" w:fill="FFFFFF"/>
        </w:rPr>
        <w:t xml:space="preserve"> </w:t>
      </w:r>
      <w:r w:rsidR="0001360C">
        <w:rPr>
          <w:i/>
          <w:iCs/>
          <w:color w:val="000000" w:themeColor="text1"/>
          <w:shd w:val="clear" w:color="auto" w:fill="FFFFFF"/>
        </w:rPr>
        <w:t xml:space="preserve">Economist </w:t>
      </w:r>
      <w:r w:rsidR="0001360C">
        <w:rPr>
          <w:color w:val="000000" w:themeColor="text1"/>
          <w:shd w:val="clear" w:color="auto" w:fill="FFFFFF"/>
        </w:rPr>
        <w:t>ran articles</w:t>
      </w:r>
      <w:r w:rsidR="0094613B">
        <w:rPr>
          <w:color w:val="000000" w:themeColor="text1"/>
          <w:shd w:val="clear" w:color="auto" w:fill="FFFFFF"/>
        </w:rPr>
        <w:t xml:space="preserve"> that</w:t>
      </w:r>
      <w:r w:rsidR="000E50D1">
        <w:rPr>
          <w:color w:val="000000" w:themeColor="text1"/>
          <w:shd w:val="clear" w:color="auto" w:fill="FFFFFF"/>
        </w:rPr>
        <w:t xml:space="preserve"> made</w:t>
      </w:r>
      <w:r w:rsidR="0094613B">
        <w:rPr>
          <w:color w:val="000000" w:themeColor="text1"/>
          <w:shd w:val="clear" w:color="auto" w:fill="FFFFFF"/>
        </w:rPr>
        <w:t xml:space="preserve"> reference</w:t>
      </w:r>
      <w:r w:rsidR="000E50D1">
        <w:rPr>
          <w:color w:val="000000" w:themeColor="text1"/>
          <w:shd w:val="clear" w:color="auto" w:fill="FFFFFF"/>
        </w:rPr>
        <w:t xml:space="preserve"> to</w:t>
      </w:r>
      <w:r w:rsidR="0094613B">
        <w:rPr>
          <w:color w:val="000000" w:themeColor="text1"/>
          <w:shd w:val="clear" w:color="auto" w:fill="FFFFFF"/>
        </w:rPr>
        <w:t xml:space="preserve"> the Attorney General’s remarks,</w:t>
      </w:r>
      <w:r w:rsidR="0001360C">
        <w:rPr>
          <w:color w:val="000000" w:themeColor="text1"/>
          <w:shd w:val="clear" w:color="auto" w:fill="FFFFFF"/>
        </w:rPr>
        <w:t xml:space="preserve"> suggesting that rather “than defending judicial independence, the attorney-general…has joined the attack”</w:t>
      </w:r>
      <w:r w:rsidR="0001360C">
        <w:rPr>
          <w:rStyle w:val="FootnoteReference"/>
          <w:color w:val="000000" w:themeColor="text1"/>
          <w:shd w:val="clear" w:color="auto" w:fill="FFFFFF"/>
        </w:rPr>
        <w:footnoteReference w:id="15"/>
      </w:r>
      <w:r w:rsidR="0001360C">
        <w:rPr>
          <w:color w:val="000000" w:themeColor="text1"/>
          <w:shd w:val="clear" w:color="auto" w:fill="FFFFFF"/>
        </w:rPr>
        <w:t xml:space="preserve"> and that </w:t>
      </w:r>
      <w:r w:rsidR="00ED06EC">
        <w:rPr>
          <w:color w:val="000000" w:themeColor="text1"/>
          <w:shd w:val="clear" w:color="auto" w:fill="FFFFFF"/>
        </w:rPr>
        <w:t>the remarks were part of an “</w:t>
      </w:r>
      <w:r w:rsidR="00ED06EC" w:rsidRPr="00ED06EC">
        <w:rPr>
          <w:color w:val="0D0D0D"/>
          <w:shd w:val="clear" w:color="auto" w:fill="FFFFFF"/>
        </w:rPr>
        <w:t>anti-judicial agenda</w:t>
      </w:r>
      <w:r w:rsidR="00ED06EC">
        <w:rPr>
          <w:color w:val="0D0D0D"/>
          <w:shd w:val="clear" w:color="auto" w:fill="FFFFFF"/>
        </w:rPr>
        <w:t>…</w:t>
      </w:r>
      <w:r w:rsidR="00ED06EC" w:rsidRPr="00ED06EC">
        <w:rPr>
          <w:color w:val="0D0D0D"/>
          <w:shd w:val="clear" w:color="auto" w:fill="FFFFFF"/>
        </w:rPr>
        <w:t>at odds with the separation of powers.</w:t>
      </w:r>
      <w:r w:rsidR="00ED06EC">
        <w:rPr>
          <w:color w:val="0D0D0D"/>
          <w:shd w:val="clear" w:color="auto" w:fill="FFFFFF"/>
        </w:rPr>
        <w:t>”</w:t>
      </w:r>
      <w:r w:rsidR="00ED06EC">
        <w:rPr>
          <w:rStyle w:val="FootnoteReference"/>
          <w:color w:val="0D0D0D"/>
          <w:shd w:val="clear" w:color="auto" w:fill="FFFFFF"/>
        </w:rPr>
        <w:footnoteReference w:id="16"/>
      </w:r>
    </w:p>
    <w:p w14:paraId="7C863253" w14:textId="77777777" w:rsidR="00D7796C" w:rsidRDefault="00D7796C" w:rsidP="00B26762">
      <w:pPr>
        <w:spacing w:line="360" w:lineRule="auto"/>
        <w:jc w:val="both"/>
      </w:pPr>
    </w:p>
    <w:p w14:paraId="7E923634" w14:textId="5E63741E" w:rsidR="002E3C62" w:rsidRDefault="007C48C1" w:rsidP="0087592B">
      <w:pPr>
        <w:spacing w:line="360" w:lineRule="auto"/>
        <w:ind w:firstLine="360"/>
        <w:jc w:val="both"/>
        <w:rPr>
          <w:color w:val="000000" w:themeColor="text1"/>
        </w:rPr>
      </w:pPr>
      <w:r w:rsidRPr="00C718C8">
        <w:lastRenderedPageBreak/>
        <w:t xml:space="preserve">In this short </w:t>
      </w:r>
      <w:r w:rsidR="007B37F4">
        <w:t>essay</w:t>
      </w:r>
      <w:r w:rsidRPr="00C718C8">
        <w:t xml:space="preserve">, we </w:t>
      </w:r>
      <w:r w:rsidR="007B37F4">
        <w:t xml:space="preserve">make two observations about this controversy. First, we </w:t>
      </w:r>
      <w:r w:rsidR="007E3C4D">
        <w:t>argue</w:t>
      </w:r>
      <w:r w:rsidR="007B37F4">
        <w:t xml:space="preserve"> </w:t>
      </w:r>
      <w:r w:rsidR="0025437B">
        <w:t>the A</w:t>
      </w:r>
      <w:r w:rsidR="000E50D1">
        <w:t xml:space="preserve">ttorney </w:t>
      </w:r>
      <w:r w:rsidR="0025437B">
        <w:t>G</w:t>
      </w:r>
      <w:r w:rsidR="000E50D1">
        <w:t>eneral’</w:t>
      </w:r>
      <w:r w:rsidR="0025437B">
        <w:t xml:space="preserve">s decision to offer public remarks on </w:t>
      </w:r>
      <w:r w:rsidR="003E246F">
        <w:t>judicial review</w:t>
      </w:r>
      <w:r w:rsidR="0025437B">
        <w:t xml:space="preserve"> </w:t>
      </w:r>
      <w:r w:rsidR="007B37F4">
        <w:t>did not</w:t>
      </w:r>
      <w:r w:rsidR="0025437B">
        <w:t xml:space="preserve"> push </w:t>
      </w:r>
      <w:r w:rsidR="00FD2AC9">
        <w:t xml:space="preserve">impermissibly </w:t>
      </w:r>
      <w:r w:rsidR="0025437B">
        <w:t>at th</w:t>
      </w:r>
      <w:r w:rsidR="007B37F4">
        <w:t>e constitutional</w:t>
      </w:r>
      <w:r w:rsidR="0025437B">
        <w:t xml:space="preserve"> boundaries </w:t>
      </w:r>
      <w:r w:rsidR="00F1417B">
        <w:t xml:space="preserve">of </w:t>
      </w:r>
      <w:r w:rsidR="0025437B">
        <w:t xml:space="preserve">her office. </w:t>
      </w:r>
      <w:r w:rsidR="007B37F4">
        <w:t>When one takes a contextual analysis of the Attorney General’s remarks</w:t>
      </w:r>
      <w:r w:rsidR="00097224">
        <w:t xml:space="preserve"> -</w:t>
      </w:r>
      <w:r w:rsidR="007B37F4">
        <w:t xml:space="preserve"> through a lens which gives due weight to the Office’s </w:t>
      </w:r>
      <w:r w:rsidR="004A795D">
        <w:t xml:space="preserve">dual </w:t>
      </w:r>
      <w:r w:rsidR="0025437B">
        <w:t>political</w:t>
      </w:r>
      <w:r w:rsidR="004A795D">
        <w:t>-</w:t>
      </w:r>
      <w:r w:rsidR="0025437B">
        <w:t>legal dimensions</w:t>
      </w:r>
      <w:r w:rsidR="00097224">
        <w:t xml:space="preserve"> - </w:t>
      </w:r>
      <w:r w:rsidR="007B37F4" w:rsidRPr="00F4197F">
        <w:t xml:space="preserve">the natural reading </w:t>
      </w:r>
      <w:r w:rsidR="007B37F4">
        <w:t>is</w:t>
      </w:r>
      <w:r w:rsidR="007B37F4" w:rsidRPr="00F4197F">
        <w:t xml:space="preserve"> that </w:t>
      </w:r>
      <w:r w:rsidR="007B37F4">
        <w:t>they</w:t>
      </w:r>
      <w:r w:rsidR="007B37F4" w:rsidRPr="00F4197F">
        <w:t xml:space="preserve"> did not involve an inappropriate</w:t>
      </w:r>
      <w:r w:rsidR="00BC4CB2">
        <w:t xml:space="preserve"> partisan</w:t>
      </w:r>
      <w:r w:rsidR="007B37F4" w:rsidRPr="00F4197F">
        <w:t xml:space="preserve"> politicisation of the office</w:t>
      </w:r>
      <w:r w:rsidR="00097224">
        <w:t>. Instead, in making a</w:t>
      </w:r>
      <w:r w:rsidR="00097224" w:rsidRPr="00F4197F">
        <w:t xml:space="preserve"> good faith constitutional critique of important Supreme Court jurisprudence, and defending legislative </w:t>
      </w:r>
      <w:r w:rsidR="00097224" w:rsidRPr="00015015">
        <w:rPr>
          <w:color w:val="000000" w:themeColor="text1"/>
        </w:rPr>
        <w:t xml:space="preserve">intervention to correct them, the remarks </w:t>
      </w:r>
      <w:r w:rsidR="007B37F4" w:rsidRPr="00015015">
        <w:rPr>
          <w:color w:val="000000" w:themeColor="text1"/>
        </w:rPr>
        <w:t>constituted</w:t>
      </w:r>
      <w:r w:rsidR="0083228C" w:rsidRPr="00015015">
        <w:rPr>
          <w:color w:val="000000" w:themeColor="text1"/>
        </w:rPr>
        <w:t xml:space="preserve"> the kind</w:t>
      </w:r>
      <w:r w:rsidR="00B97DCC">
        <w:rPr>
          <w:color w:val="000000" w:themeColor="text1"/>
        </w:rPr>
        <w:t xml:space="preserve"> of</w:t>
      </w:r>
      <w:r w:rsidR="007B37F4" w:rsidRPr="00015015">
        <w:rPr>
          <w:color w:val="000000" w:themeColor="text1"/>
        </w:rPr>
        <w:t xml:space="preserve"> political activity entirely consistent with the dual legal and political role of that office.</w:t>
      </w:r>
      <w:r w:rsidR="00097224" w:rsidRPr="00015015">
        <w:rPr>
          <w:color w:val="000000" w:themeColor="text1"/>
        </w:rPr>
        <w:t xml:space="preserve"> </w:t>
      </w:r>
    </w:p>
    <w:p w14:paraId="11F69975" w14:textId="77777777" w:rsidR="005E23E4" w:rsidRDefault="005E23E4" w:rsidP="0079169C">
      <w:pPr>
        <w:spacing w:line="360" w:lineRule="auto"/>
        <w:jc w:val="both"/>
        <w:rPr>
          <w:color w:val="000000" w:themeColor="text1"/>
        </w:rPr>
      </w:pPr>
    </w:p>
    <w:p w14:paraId="06B50DE0" w14:textId="545ED39C" w:rsidR="00BC4CB2" w:rsidRPr="00BC4CB2" w:rsidRDefault="00F116B6" w:rsidP="002E3C62">
      <w:pPr>
        <w:spacing w:line="360" w:lineRule="auto"/>
        <w:ind w:firstLine="360"/>
        <w:jc w:val="both"/>
      </w:pPr>
      <w:r w:rsidRPr="00015015">
        <w:rPr>
          <w:color w:val="000000" w:themeColor="text1"/>
        </w:rPr>
        <w:t xml:space="preserve">Second, we </w:t>
      </w:r>
      <w:r w:rsidR="007E3C4D">
        <w:rPr>
          <w:color w:val="000000" w:themeColor="text1"/>
        </w:rPr>
        <w:t>anticipate</w:t>
      </w:r>
      <w:r w:rsidR="00B1028C">
        <w:rPr>
          <w:color w:val="000000" w:themeColor="text1"/>
        </w:rPr>
        <w:t xml:space="preserve"> this defence will be unsatisfying to those</w:t>
      </w:r>
      <w:r w:rsidR="00903991">
        <w:rPr>
          <w:color w:val="000000" w:themeColor="text1"/>
        </w:rPr>
        <w:t xml:space="preserve"> whose</w:t>
      </w:r>
      <w:r w:rsidR="00276AAA">
        <w:rPr>
          <w:color w:val="000000" w:themeColor="text1"/>
        </w:rPr>
        <w:t xml:space="preserve"> </w:t>
      </w:r>
      <w:r w:rsidR="00077FC0">
        <w:rPr>
          <w:color w:val="000000" w:themeColor="text1"/>
        </w:rPr>
        <w:t>concern</w:t>
      </w:r>
      <w:r w:rsidR="00276AAA">
        <w:rPr>
          <w:color w:val="000000" w:themeColor="text1"/>
        </w:rPr>
        <w:t xml:space="preserve"> </w:t>
      </w:r>
      <w:r w:rsidR="007F7580">
        <w:rPr>
          <w:color w:val="000000" w:themeColor="text1"/>
        </w:rPr>
        <w:t>about</w:t>
      </w:r>
      <w:r w:rsidR="00276AAA">
        <w:rPr>
          <w:color w:val="000000" w:themeColor="text1"/>
        </w:rPr>
        <w:t xml:space="preserve"> the Attorney General</w:t>
      </w:r>
      <w:r w:rsidR="00077FC0">
        <w:rPr>
          <w:color w:val="000000" w:themeColor="text1"/>
        </w:rPr>
        <w:t>’s remarks</w:t>
      </w:r>
      <w:r w:rsidR="00276AAA">
        <w:rPr>
          <w:color w:val="000000" w:themeColor="text1"/>
        </w:rPr>
        <w:t xml:space="preserve"> implicitly stem</w:t>
      </w:r>
      <w:r w:rsidR="00B1028C">
        <w:rPr>
          <w:color w:val="000000" w:themeColor="text1"/>
        </w:rPr>
        <w:t xml:space="preserve"> </w:t>
      </w:r>
      <w:r w:rsidR="00276AAA">
        <w:rPr>
          <w:color w:val="000000" w:themeColor="text1"/>
        </w:rPr>
        <w:t>from a</w:t>
      </w:r>
      <w:r w:rsidR="00015015">
        <w:rPr>
          <w:color w:val="000000" w:themeColor="text1"/>
        </w:rPr>
        <w:t xml:space="preserve"> more </w:t>
      </w:r>
      <w:r w:rsidR="007E3C4D">
        <w:rPr>
          <w:color w:val="000000" w:themeColor="text1"/>
        </w:rPr>
        <w:t>deep-seated</w:t>
      </w:r>
      <w:r w:rsidR="00015015">
        <w:rPr>
          <w:color w:val="000000" w:themeColor="text1"/>
        </w:rPr>
        <w:t xml:space="preserve"> </w:t>
      </w:r>
      <w:r w:rsidR="007E3C4D">
        <w:rPr>
          <w:color w:val="000000" w:themeColor="text1"/>
        </w:rPr>
        <w:t>anxiety</w:t>
      </w:r>
      <w:r w:rsidR="00276AAA">
        <w:rPr>
          <w:color w:val="000000" w:themeColor="text1"/>
        </w:rPr>
        <w:t>:</w:t>
      </w:r>
      <w:r w:rsidR="00097224" w:rsidRPr="00015015">
        <w:rPr>
          <w:color w:val="000000" w:themeColor="text1"/>
        </w:rPr>
        <w:t xml:space="preserve"> that the</w:t>
      </w:r>
      <w:r w:rsidR="00411CC7" w:rsidRPr="00015015">
        <w:rPr>
          <w:color w:val="000000" w:themeColor="text1"/>
        </w:rPr>
        <w:t xml:space="preserve"> </w:t>
      </w:r>
      <w:r w:rsidR="0079169C" w:rsidRPr="00BC4CB2">
        <w:rPr>
          <w:color w:val="000000" w:themeColor="text1"/>
          <w:shd w:val="clear" w:color="auto" w:fill="FFFFFF"/>
        </w:rPr>
        <w:t>incumbent dual legal-political model</w:t>
      </w:r>
      <w:r w:rsidR="00CA2F9D" w:rsidRPr="00015015">
        <w:rPr>
          <w:color w:val="000000" w:themeColor="text1"/>
          <w:shd w:val="clear" w:color="auto" w:fill="FFFFFF"/>
        </w:rPr>
        <w:t xml:space="preserve"> </w:t>
      </w:r>
      <w:r w:rsidR="007F7580">
        <w:rPr>
          <w:color w:val="000000" w:themeColor="text1"/>
          <w:shd w:val="clear" w:color="auto" w:fill="FFFFFF"/>
        </w:rPr>
        <w:t>of</w:t>
      </w:r>
      <w:r w:rsidR="00CA2F9D" w:rsidRPr="00015015">
        <w:rPr>
          <w:color w:val="000000" w:themeColor="text1"/>
          <w:shd w:val="clear" w:color="auto" w:fill="FFFFFF"/>
        </w:rPr>
        <w:t xml:space="preserve"> </w:t>
      </w:r>
      <w:r w:rsidR="007E3C4D">
        <w:rPr>
          <w:color w:val="000000" w:themeColor="text1"/>
          <w:shd w:val="clear" w:color="auto" w:fill="FFFFFF"/>
        </w:rPr>
        <w:t>the UK government’s</w:t>
      </w:r>
      <w:r w:rsidR="00CA2F9D" w:rsidRPr="00015015">
        <w:rPr>
          <w:color w:val="000000" w:themeColor="text1"/>
          <w:shd w:val="clear" w:color="auto" w:fill="FFFFFF"/>
        </w:rPr>
        <w:t xml:space="preserve"> apex legal advisor</w:t>
      </w:r>
      <w:r w:rsidR="0079169C" w:rsidRPr="00015015">
        <w:rPr>
          <w:color w:val="000000" w:themeColor="text1"/>
        </w:rPr>
        <w:t xml:space="preserve"> is</w:t>
      </w:r>
      <w:r w:rsidR="00411CC7" w:rsidRPr="00015015">
        <w:rPr>
          <w:color w:val="000000" w:themeColor="text1"/>
        </w:rPr>
        <w:t xml:space="preserve"> </w:t>
      </w:r>
      <w:r w:rsidR="00015015">
        <w:rPr>
          <w:color w:val="000000" w:themeColor="text1"/>
        </w:rPr>
        <w:t>imprudent</w:t>
      </w:r>
      <w:r w:rsidR="00097224" w:rsidRPr="00015015">
        <w:rPr>
          <w:color w:val="000000" w:themeColor="text1"/>
        </w:rPr>
        <w:t xml:space="preserve"> and should be reformed</w:t>
      </w:r>
      <w:r w:rsidR="0079169C" w:rsidRPr="00015015">
        <w:rPr>
          <w:color w:val="000000" w:themeColor="text1"/>
        </w:rPr>
        <w:t xml:space="preserve">. </w:t>
      </w:r>
      <w:r w:rsidR="007E3C4D">
        <w:rPr>
          <w:color w:val="000000" w:themeColor="text1"/>
        </w:rPr>
        <w:t>On this score,</w:t>
      </w:r>
      <w:r w:rsidR="00B1028C">
        <w:rPr>
          <w:color w:val="000000" w:themeColor="text1"/>
        </w:rPr>
        <w:t xml:space="preserve"> we make the short point that</w:t>
      </w:r>
      <w:r w:rsidR="00B1028C">
        <w:t xml:space="preserve"> </w:t>
      </w:r>
      <w:r w:rsidR="00BC4CB2" w:rsidRPr="00BC4CB2">
        <w:rPr>
          <w:color w:val="000000" w:themeColor="text1"/>
          <w:shd w:val="clear" w:color="auto" w:fill="FFFFFF"/>
        </w:rPr>
        <w:t>any</w:t>
      </w:r>
      <w:r w:rsidR="00B1028C">
        <w:rPr>
          <w:color w:val="000000" w:themeColor="text1"/>
          <w:shd w:val="clear" w:color="auto" w:fill="FFFFFF"/>
        </w:rPr>
        <w:t xml:space="preserve"> proposed</w:t>
      </w:r>
      <w:r w:rsidR="00BC4CB2" w:rsidRPr="00BC4CB2">
        <w:rPr>
          <w:color w:val="000000" w:themeColor="text1"/>
          <w:shd w:val="clear" w:color="auto" w:fill="FFFFFF"/>
        </w:rPr>
        <w:t xml:space="preserve"> reform will not be a panacea for</w:t>
      </w:r>
      <w:r w:rsidR="00903991">
        <w:rPr>
          <w:color w:val="000000" w:themeColor="text1"/>
          <w:shd w:val="clear" w:color="auto" w:fill="FFFFFF"/>
        </w:rPr>
        <w:t xml:space="preserve"> the </w:t>
      </w:r>
      <w:r w:rsidR="00BC4CB2" w:rsidRPr="00BC4CB2">
        <w:rPr>
          <w:color w:val="000000" w:themeColor="text1"/>
          <w:shd w:val="clear" w:color="auto" w:fill="FFFFFF"/>
        </w:rPr>
        <w:t xml:space="preserve">difficult </w:t>
      </w:r>
      <w:r w:rsidR="0079169C" w:rsidRPr="00CA2F9D">
        <w:rPr>
          <w:color w:val="000000" w:themeColor="text1"/>
          <w:shd w:val="clear" w:color="auto" w:fill="FFFFFF"/>
        </w:rPr>
        <w:t>trade-offs</w:t>
      </w:r>
      <w:r w:rsidR="00BC4CB2" w:rsidRPr="00BC4CB2">
        <w:rPr>
          <w:color w:val="000000" w:themeColor="text1"/>
          <w:shd w:val="clear" w:color="auto" w:fill="FFFFFF"/>
        </w:rPr>
        <w:t xml:space="preserve"> between expertise, independence,</w:t>
      </w:r>
      <w:r w:rsidR="00077FC0">
        <w:rPr>
          <w:color w:val="000000" w:themeColor="text1"/>
          <w:shd w:val="clear" w:color="auto" w:fill="FFFFFF"/>
        </w:rPr>
        <w:t xml:space="preserve"> and democratic</w:t>
      </w:r>
      <w:r w:rsidR="00BC4CB2" w:rsidRPr="00BC4CB2">
        <w:rPr>
          <w:color w:val="000000" w:themeColor="text1"/>
          <w:shd w:val="clear" w:color="auto" w:fill="FFFFFF"/>
        </w:rPr>
        <w:t xml:space="preserve"> accountability </w:t>
      </w:r>
      <w:r w:rsidR="00C82062">
        <w:rPr>
          <w:color w:val="000000" w:themeColor="text1"/>
          <w:shd w:val="clear" w:color="auto" w:fill="FFFFFF"/>
        </w:rPr>
        <w:t>around</w:t>
      </w:r>
      <w:r w:rsidR="00B1028C">
        <w:rPr>
          <w:color w:val="000000" w:themeColor="text1"/>
          <w:shd w:val="clear" w:color="auto" w:fill="FFFFFF"/>
        </w:rPr>
        <w:t xml:space="preserve"> the work of apex legal advisors</w:t>
      </w:r>
      <w:r w:rsidR="002E3C62">
        <w:rPr>
          <w:color w:val="000000" w:themeColor="text1"/>
          <w:shd w:val="clear" w:color="auto" w:fill="FFFFFF"/>
        </w:rPr>
        <w:t xml:space="preserve">, and that any </w:t>
      </w:r>
      <w:r w:rsidR="007E3C4D">
        <w:rPr>
          <w:color w:val="000000" w:themeColor="text1"/>
          <w:shd w:val="clear" w:color="auto" w:fill="FFFFFF"/>
        </w:rPr>
        <w:t>alternative models</w:t>
      </w:r>
      <w:r w:rsidR="002E3C62">
        <w:rPr>
          <w:color w:val="000000" w:themeColor="text1"/>
          <w:shd w:val="clear" w:color="auto" w:fill="FFFFFF"/>
        </w:rPr>
        <w:t xml:space="preserve"> </w:t>
      </w:r>
      <w:r w:rsidR="007E3C4D">
        <w:rPr>
          <w:color w:val="000000" w:themeColor="text1"/>
          <w:shd w:val="clear" w:color="auto" w:fill="FFFFFF"/>
        </w:rPr>
        <w:t xml:space="preserve">will involve their own risks that </w:t>
      </w:r>
      <w:r w:rsidR="00C82062">
        <w:rPr>
          <w:color w:val="000000" w:themeColor="text1"/>
          <w:shd w:val="clear" w:color="auto" w:fill="FFFFFF"/>
        </w:rPr>
        <w:t>require earnest</w:t>
      </w:r>
      <w:r w:rsidR="007E3C4D">
        <w:rPr>
          <w:color w:val="000000" w:themeColor="text1"/>
          <w:shd w:val="clear" w:color="auto" w:fill="FFFFFF"/>
        </w:rPr>
        <w:t xml:space="preserve"> scrutiny. </w:t>
      </w:r>
    </w:p>
    <w:p w14:paraId="0354BB27" w14:textId="77777777" w:rsidR="00F23BE8" w:rsidRPr="00B1028C" w:rsidRDefault="00F23BE8" w:rsidP="00B26762">
      <w:pPr>
        <w:spacing w:line="360" w:lineRule="auto"/>
        <w:jc w:val="both"/>
        <w:rPr>
          <w:b/>
          <w:bCs/>
        </w:rPr>
      </w:pPr>
    </w:p>
    <w:p w14:paraId="5C18B2DB" w14:textId="296F6557" w:rsidR="00F4197F" w:rsidRPr="005A7BF9" w:rsidRDefault="00F4197F" w:rsidP="005A7BF9">
      <w:pPr>
        <w:pStyle w:val="ListParagraph"/>
        <w:numPr>
          <w:ilvl w:val="0"/>
          <w:numId w:val="10"/>
        </w:numPr>
        <w:shd w:val="clear" w:color="auto" w:fill="FFFFFF"/>
        <w:rPr>
          <w:b/>
          <w:bCs/>
          <w:color w:val="212121"/>
          <w:sz w:val="23"/>
          <w:szCs w:val="23"/>
        </w:rPr>
      </w:pPr>
      <w:r w:rsidRPr="005A7BF9">
        <w:rPr>
          <w:b/>
          <w:bCs/>
          <w:color w:val="212121"/>
        </w:rPr>
        <w:t> </w:t>
      </w:r>
      <w:r w:rsidR="00AC2E67" w:rsidRPr="005A7BF9">
        <w:rPr>
          <w:b/>
          <w:bCs/>
          <w:color w:val="212121"/>
        </w:rPr>
        <w:t>THE ATTORNEY GENERAL AND THE LAW/POLITICS DIVIDE: REDUX</w:t>
      </w:r>
    </w:p>
    <w:p w14:paraId="32884BFB" w14:textId="77777777" w:rsidR="00E81654" w:rsidRPr="00E81654" w:rsidRDefault="00E81654" w:rsidP="00E81654">
      <w:pPr>
        <w:shd w:val="clear" w:color="auto" w:fill="FFFFFF"/>
        <w:rPr>
          <w:color w:val="212121"/>
          <w:sz w:val="23"/>
          <w:szCs w:val="23"/>
        </w:rPr>
      </w:pPr>
    </w:p>
    <w:p w14:paraId="2D1C26FB" w14:textId="733DE0D2" w:rsidR="00E81654" w:rsidRPr="00785819" w:rsidRDefault="00E81654" w:rsidP="00E81654">
      <w:pPr>
        <w:spacing w:line="360" w:lineRule="auto"/>
        <w:jc w:val="both"/>
      </w:pPr>
      <w:r w:rsidRPr="00785819">
        <w:t>“The painfullest taske in the realme”</w:t>
      </w:r>
      <w:bookmarkStart w:id="1" w:name="_Ref97030059"/>
      <w:r w:rsidRPr="00785819">
        <w:rPr>
          <w:rStyle w:val="FootnoteReference"/>
        </w:rPr>
        <w:footnoteReference w:id="17"/>
      </w:r>
      <w:bookmarkEnd w:id="1"/>
      <w:r w:rsidRPr="00785819">
        <w:t>, “my idea of hell”</w:t>
      </w:r>
      <w:r w:rsidRPr="00785819">
        <w:rPr>
          <w:rStyle w:val="FootnoteReference"/>
        </w:rPr>
        <w:footnoteReference w:id="18"/>
      </w:r>
      <w:r w:rsidRPr="00785819">
        <w:t>, “</w:t>
      </w:r>
      <w:r>
        <w:t>if it were not so fascinating in scope, it would be oppressive in its demands</w:t>
      </w:r>
      <w:r w:rsidRPr="00785819">
        <w:t>”</w:t>
      </w:r>
      <w:r w:rsidRPr="00785819">
        <w:rPr>
          <w:rStyle w:val="FootnoteReference"/>
        </w:rPr>
        <w:footnoteReference w:id="19"/>
      </w:r>
      <w:r w:rsidRPr="00785819">
        <w:t xml:space="preserve"> - these are the colourful words </w:t>
      </w:r>
      <w:r>
        <w:t>past Attorneys General have used</w:t>
      </w:r>
      <w:r w:rsidRPr="00785819">
        <w:t xml:space="preserve"> to describe the work of their office. </w:t>
      </w:r>
      <w:r w:rsidR="003D2CC3">
        <w:t>An</w:t>
      </w:r>
      <w:r w:rsidRPr="00785819">
        <w:t xml:space="preserve"> examination of the history and nature of the office and the duties it performs, provides a useful window into what might have motivated the dramatic choice of words of </w:t>
      </w:r>
      <w:r>
        <w:t>its previous incumbents</w:t>
      </w:r>
      <w:r w:rsidRPr="00785819">
        <w:t>.</w:t>
      </w:r>
    </w:p>
    <w:p w14:paraId="2C102541" w14:textId="77777777" w:rsidR="00E81654" w:rsidRPr="00785819" w:rsidRDefault="00E81654" w:rsidP="00E81654">
      <w:pPr>
        <w:spacing w:line="360" w:lineRule="auto"/>
        <w:jc w:val="both"/>
      </w:pPr>
    </w:p>
    <w:p w14:paraId="0080D2B0" w14:textId="72BEF121" w:rsidR="005E0C93" w:rsidRDefault="00E81654" w:rsidP="00E81654">
      <w:pPr>
        <w:spacing w:line="360" w:lineRule="auto"/>
        <w:jc w:val="both"/>
      </w:pPr>
      <w:r w:rsidRPr="00785819">
        <w:t>The Attorney General of England and Wales is an office ancient in origin, with roots traceable to the 1</w:t>
      </w:r>
      <w:r>
        <w:t>3</w:t>
      </w:r>
      <w:r w:rsidRPr="00785819">
        <w:rPr>
          <w:vertAlign w:val="superscript"/>
        </w:rPr>
        <w:t>th</w:t>
      </w:r>
      <w:r w:rsidRPr="00785819">
        <w:t xml:space="preserve"> Century.</w:t>
      </w:r>
      <w:r w:rsidRPr="00785819">
        <w:rPr>
          <w:rStyle w:val="FootnoteReference"/>
        </w:rPr>
        <w:footnoteReference w:id="20"/>
      </w:r>
      <w:r w:rsidRPr="00785819">
        <w:t xml:space="preserve">Initially the </w:t>
      </w:r>
      <w:r>
        <w:t>Attorney General</w:t>
      </w:r>
      <w:r w:rsidRPr="00785819">
        <w:t xml:space="preserve"> was the King’s lawyer, an eminent counsel who was expected to fiercely represent </w:t>
      </w:r>
      <w:r>
        <w:t>the sovereign’s</w:t>
      </w:r>
      <w:r w:rsidRPr="00785819">
        <w:t xml:space="preserve"> interests</w:t>
      </w:r>
      <w:r w:rsidR="0087592B">
        <w:t xml:space="preserve">. </w:t>
      </w:r>
      <w:r w:rsidRPr="00785819">
        <w:t xml:space="preserve">Today, the </w:t>
      </w:r>
      <w:r>
        <w:t>Attorney General</w:t>
      </w:r>
      <w:r w:rsidRPr="00785819">
        <w:t xml:space="preserve"> of England and Wales is one of the UKs several “Law Officers”, </w:t>
      </w:r>
      <w:r>
        <w:t xml:space="preserve">a </w:t>
      </w:r>
      <w:r w:rsidRPr="00785819">
        <w:t xml:space="preserve">group of legal advisors to </w:t>
      </w:r>
      <w:r w:rsidRPr="00785819">
        <w:lastRenderedPageBreak/>
        <w:t xml:space="preserve">the UK and </w:t>
      </w:r>
      <w:r>
        <w:t>d</w:t>
      </w:r>
      <w:r w:rsidRPr="00785819">
        <w:t>evolved governments.</w:t>
      </w:r>
      <w:bookmarkStart w:id="2" w:name="_Ref95832324"/>
      <w:r w:rsidRPr="00785819">
        <w:rPr>
          <w:rStyle w:val="FootnoteReference"/>
        </w:rPr>
        <w:footnoteReference w:id="21"/>
      </w:r>
      <w:bookmarkEnd w:id="2"/>
      <w:r w:rsidRPr="00785819">
        <w:t xml:space="preserve"> The A</w:t>
      </w:r>
      <w:r>
        <w:t xml:space="preserve">ttorney </w:t>
      </w:r>
      <w:r w:rsidRPr="00785819">
        <w:t>G</w:t>
      </w:r>
      <w:r>
        <w:t>eneral</w:t>
      </w:r>
      <w:r w:rsidRPr="00785819">
        <w:t xml:space="preserve"> </w:t>
      </w:r>
      <w:r>
        <w:t>is by convention</w:t>
      </w:r>
      <w:r w:rsidRPr="00785819">
        <w:t xml:space="preserve"> a minister </w:t>
      </w:r>
      <w:r w:rsidRPr="00785819">
        <w:rPr>
          <w:rFonts w:eastAsiaTheme="minorHAnsi"/>
          <w:lang w:eastAsia="en-US"/>
        </w:rPr>
        <w:t>of the UK government, either elected to the House of</w:t>
      </w:r>
      <w:r w:rsidRPr="00785819">
        <w:t xml:space="preserve"> </w:t>
      </w:r>
      <w:r w:rsidRPr="00785819">
        <w:rPr>
          <w:rFonts w:eastAsiaTheme="minorHAnsi"/>
          <w:lang w:eastAsia="en-US"/>
        </w:rPr>
        <w:t>Commons or</w:t>
      </w:r>
      <w:r>
        <w:rPr>
          <w:rFonts w:eastAsiaTheme="minorHAnsi"/>
          <w:lang w:eastAsia="en-US"/>
        </w:rPr>
        <w:t xml:space="preserve"> a peer</w:t>
      </w:r>
      <w:r w:rsidRPr="00785819">
        <w:rPr>
          <w:rFonts w:eastAsiaTheme="minorHAnsi"/>
          <w:lang w:eastAsia="en-US"/>
        </w:rPr>
        <w:t xml:space="preserve"> appointed from the House of Lords</w:t>
      </w:r>
      <w:r w:rsidRPr="00785819">
        <w:t xml:space="preserve">. The functions of the </w:t>
      </w:r>
      <w:r>
        <w:t>Attorney General</w:t>
      </w:r>
      <w:r w:rsidRPr="00785819">
        <w:t xml:space="preserve"> are truly daunting in their variety and volume</w:t>
      </w:r>
      <w:r w:rsidR="0087592B">
        <w:t xml:space="preserve">, ranging from </w:t>
      </w:r>
      <w:r w:rsidR="00FC60DF">
        <w:t>acting as</w:t>
      </w:r>
      <w:r w:rsidR="0087592B">
        <w:t xml:space="preserve"> the </w:t>
      </w:r>
      <w:r w:rsidR="00FC60DF">
        <w:t>apex</w:t>
      </w:r>
      <w:r w:rsidR="0087592B">
        <w:t xml:space="preserve"> legal advisor to the government, guardian of the public interest, and superintendent of the prosecution services. They </w:t>
      </w:r>
      <w:r w:rsidR="00FB06C7">
        <w:t xml:space="preserve">additionally shoulder the responsibilities that accompany ministerial and parliamentary office. </w:t>
      </w:r>
    </w:p>
    <w:p w14:paraId="67B997BD" w14:textId="55FF1775" w:rsidR="00036E22" w:rsidRDefault="00036E22" w:rsidP="00D7225D">
      <w:pPr>
        <w:spacing w:line="360" w:lineRule="auto"/>
        <w:jc w:val="both"/>
        <w:rPr>
          <w:b/>
          <w:bCs/>
        </w:rPr>
      </w:pPr>
    </w:p>
    <w:p w14:paraId="33F261D4" w14:textId="194E7B8F" w:rsidR="00E81654" w:rsidRPr="00785819" w:rsidRDefault="00FB06C7" w:rsidP="00E81654">
      <w:pPr>
        <w:spacing w:line="360" w:lineRule="auto"/>
        <w:jc w:val="both"/>
        <w:rPr>
          <w:color w:val="000000" w:themeColor="text1"/>
        </w:rPr>
      </w:pPr>
      <w:r>
        <w:t>A</w:t>
      </w:r>
      <w:r w:rsidR="00E81654" w:rsidRPr="00785819">
        <w:t xml:space="preserve">side from </w:t>
      </w:r>
      <w:r w:rsidR="00E81654">
        <w:t>the</w:t>
      </w:r>
      <w:r w:rsidR="0087592B">
        <w:t xml:space="preserve"> sheer</w:t>
      </w:r>
      <w:r w:rsidR="00E81654" w:rsidRPr="00785819">
        <w:t xml:space="preserve"> workload </w:t>
      </w:r>
      <w:r w:rsidR="0087592B">
        <w:t>attending the office</w:t>
      </w:r>
      <w:r w:rsidR="00E81654" w:rsidRPr="00785819">
        <w:t>, perhaps the ‘</w:t>
      </w:r>
      <w:r w:rsidR="00E81654" w:rsidRPr="00492B06">
        <w:rPr>
          <w:i/>
          <w:iCs/>
        </w:rPr>
        <w:t>painfullest</w:t>
      </w:r>
      <w:r w:rsidR="007C2EF8" w:rsidRPr="00785819">
        <w:t>’ aspect</w:t>
      </w:r>
      <w:r w:rsidR="00E81654" w:rsidRPr="00785819">
        <w:t xml:space="preserve"> of the office is the tension its holder must deftly navigate between its legal and political aspects. Professor Edwards</w:t>
      </w:r>
      <w:r w:rsidR="0087592B">
        <w:t xml:space="preserve"> </w:t>
      </w:r>
      <w:r w:rsidR="00E81654" w:rsidRPr="00785819">
        <w:t xml:space="preserve">memorably </w:t>
      </w:r>
      <w:r w:rsidR="005E0C93">
        <w:t>argued</w:t>
      </w:r>
      <w:r w:rsidR="00E81654" w:rsidRPr="00785819">
        <w:t xml:space="preserve"> the A</w:t>
      </w:r>
      <w:r w:rsidR="00E81654">
        <w:t xml:space="preserve">ttorney </w:t>
      </w:r>
      <w:r w:rsidR="00E81654" w:rsidRPr="00785819">
        <w:t>G</w:t>
      </w:r>
      <w:r w:rsidR="00E81654">
        <w:t>eneral</w:t>
      </w:r>
      <w:r w:rsidR="00E81654" w:rsidRPr="00785819">
        <w:t xml:space="preserve"> constantly walk</w:t>
      </w:r>
      <w:r w:rsidR="00E81654">
        <w:t>s</w:t>
      </w:r>
      <w:r w:rsidR="00E81654" w:rsidRPr="00785819">
        <w:t xml:space="preserve"> a tightrope in the British constitutional order.</w:t>
      </w:r>
      <w:bookmarkStart w:id="3" w:name="_Ref95830479"/>
      <w:r w:rsidR="00E81654" w:rsidRPr="00785819">
        <w:rPr>
          <w:rStyle w:val="FootnoteReference"/>
        </w:rPr>
        <w:footnoteReference w:id="22"/>
      </w:r>
      <w:bookmarkEnd w:id="3"/>
      <w:r w:rsidR="00E81654" w:rsidRPr="00785819">
        <w:t xml:space="preserve"> </w:t>
      </w:r>
      <w:r w:rsidR="005E0C93">
        <w:t xml:space="preserve">That is, </w:t>
      </w:r>
      <w:r w:rsidR="00E81654" w:rsidRPr="00785819">
        <w:t>A</w:t>
      </w:r>
      <w:r w:rsidR="00E81654">
        <w:t xml:space="preserve">ttorneys </w:t>
      </w:r>
      <w:r w:rsidR="00E81654" w:rsidRPr="00785819">
        <w:t>G</w:t>
      </w:r>
      <w:r w:rsidR="00E81654">
        <w:t xml:space="preserve">eneral </w:t>
      </w:r>
      <w:r w:rsidR="00E81654" w:rsidRPr="00785819">
        <w:rPr>
          <w:color w:val="000000" w:themeColor="text1"/>
        </w:rPr>
        <w:t>must always maintain</w:t>
      </w:r>
      <w:r w:rsidR="00E81654">
        <w:rPr>
          <w:color w:val="000000" w:themeColor="text1"/>
        </w:rPr>
        <w:t xml:space="preserve"> a careful balance</w:t>
      </w:r>
      <w:r w:rsidR="00E81654" w:rsidRPr="00785819">
        <w:rPr>
          <w:color w:val="000000" w:themeColor="text1"/>
        </w:rPr>
        <w:t xml:space="preserve"> when simultaneously carrying out their role as legal advisor and guardian of the public interest</w:t>
      </w:r>
      <w:r w:rsidR="00E81654">
        <w:rPr>
          <w:color w:val="000000" w:themeColor="text1"/>
        </w:rPr>
        <w:t>/</w:t>
      </w:r>
      <w:r w:rsidR="00E81654" w:rsidRPr="00785819">
        <w:rPr>
          <w:color w:val="000000" w:themeColor="text1"/>
        </w:rPr>
        <w:t xml:space="preserve">rule of law on the one hand, and their position as a highly political animal and member of government on the other. </w:t>
      </w:r>
      <w:r w:rsidR="00E81654" w:rsidRPr="00785819">
        <w:rPr>
          <w:rFonts w:eastAsiaTheme="minorHAnsi"/>
          <w:color w:val="000000" w:themeColor="text1"/>
          <w:lang w:eastAsia="en-US"/>
        </w:rPr>
        <w:t xml:space="preserve">Successfully negotiating this institutional tension - being both an ideologically sympathetic political appointee and an impartial legal advisor and guardian of the public interest - is perhaps the most important and </w:t>
      </w:r>
      <w:r w:rsidR="00E81654">
        <w:rPr>
          <w:rFonts w:eastAsiaTheme="minorHAnsi"/>
          <w:color w:val="000000" w:themeColor="text1"/>
          <w:lang w:eastAsia="en-US"/>
        </w:rPr>
        <w:t>sensitive</w:t>
      </w:r>
      <w:r w:rsidR="00E81654" w:rsidRPr="00785819">
        <w:rPr>
          <w:rFonts w:eastAsiaTheme="minorHAnsi"/>
          <w:color w:val="000000" w:themeColor="text1"/>
          <w:lang w:eastAsia="en-US"/>
        </w:rPr>
        <w:t xml:space="preserve"> charge </w:t>
      </w:r>
      <w:r w:rsidR="00E81654">
        <w:rPr>
          <w:rFonts w:eastAsiaTheme="minorHAnsi"/>
          <w:color w:val="000000" w:themeColor="text1"/>
          <w:lang w:eastAsia="en-US"/>
        </w:rPr>
        <w:t>the</w:t>
      </w:r>
      <w:r w:rsidR="00E81654" w:rsidRPr="00785819">
        <w:rPr>
          <w:rFonts w:eastAsiaTheme="minorHAnsi"/>
          <w:color w:val="000000" w:themeColor="text1"/>
          <w:lang w:eastAsia="en-US"/>
        </w:rPr>
        <w:t xml:space="preserve"> A</w:t>
      </w:r>
      <w:r w:rsidR="00E81654">
        <w:rPr>
          <w:rFonts w:eastAsiaTheme="minorHAnsi"/>
          <w:color w:val="000000" w:themeColor="text1"/>
          <w:lang w:eastAsia="en-US"/>
        </w:rPr>
        <w:t xml:space="preserve">ttorney </w:t>
      </w:r>
      <w:r w:rsidR="00E81654" w:rsidRPr="00785819">
        <w:rPr>
          <w:rFonts w:eastAsiaTheme="minorHAnsi"/>
          <w:color w:val="000000" w:themeColor="text1"/>
          <w:lang w:eastAsia="en-US"/>
        </w:rPr>
        <w:t>G</w:t>
      </w:r>
      <w:r w:rsidR="00E81654">
        <w:rPr>
          <w:rFonts w:eastAsiaTheme="minorHAnsi"/>
          <w:color w:val="000000" w:themeColor="text1"/>
          <w:lang w:eastAsia="en-US"/>
        </w:rPr>
        <w:t>eneral shoulders</w:t>
      </w:r>
      <w:r w:rsidR="00E81654" w:rsidRPr="00785819">
        <w:rPr>
          <w:rFonts w:eastAsiaTheme="minorHAnsi"/>
          <w:color w:val="000000" w:themeColor="text1"/>
          <w:lang w:eastAsia="en-US"/>
        </w:rPr>
        <w:t xml:space="preserve">. </w:t>
      </w:r>
      <w:r w:rsidR="005E0C93">
        <w:rPr>
          <w:rFonts w:eastAsiaTheme="minorHAnsi"/>
          <w:color w:val="000000" w:themeColor="text1"/>
          <w:lang w:eastAsia="en-US"/>
        </w:rPr>
        <w:t xml:space="preserve">It is also the charge that attracts the most controversy. </w:t>
      </w:r>
    </w:p>
    <w:p w14:paraId="5C7F2720" w14:textId="5E72641D" w:rsidR="00036E22" w:rsidRDefault="00036E22" w:rsidP="00D7225D">
      <w:pPr>
        <w:spacing w:line="360" w:lineRule="auto"/>
        <w:jc w:val="both"/>
        <w:rPr>
          <w:b/>
          <w:bCs/>
        </w:rPr>
      </w:pPr>
    </w:p>
    <w:p w14:paraId="3D2CB378" w14:textId="6BF6AD33" w:rsidR="00E81654" w:rsidRDefault="005E0C93" w:rsidP="00E81654">
      <w:pPr>
        <w:spacing w:line="360" w:lineRule="auto"/>
        <w:jc w:val="both"/>
      </w:pPr>
      <w:r>
        <w:rPr>
          <w:color w:val="000000" w:themeColor="text1"/>
        </w:rPr>
        <w:t>For defenders of the UK model, an</w:t>
      </w:r>
      <w:r w:rsidR="00E81654" w:rsidRPr="00785819">
        <w:rPr>
          <w:color w:val="000000" w:themeColor="text1"/>
        </w:rPr>
        <w:t xml:space="preserve"> </w:t>
      </w:r>
      <w:r w:rsidR="00E81654">
        <w:rPr>
          <w:color w:val="000000" w:themeColor="text1"/>
        </w:rPr>
        <w:t>Attorney General’s</w:t>
      </w:r>
      <w:r w:rsidR="00E81654" w:rsidRPr="00785819">
        <w:rPr>
          <w:color w:val="000000" w:themeColor="text1"/>
        </w:rPr>
        <w:t xml:space="preserve"> capacity to withstand political pressure savouring of party advantage </w:t>
      </w:r>
      <w:r w:rsidRPr="00CC2CFB">
        <w:rPr>
          <w:i/>
          <w:iCs/>
          <w:color w:val="000000" w:themeColor="text1"/>
        </w:rPr>
        <w:t>can</w:t>
      </w:r>
      <w:r>
        <w:rPr>
          <w:color w:val="000000" w:themeColor="text1"/>
        </w:rPr>
        <w:t xml:space="preserve"> be</w:t>
      </w:r>
      <w:r w:rsidR="00E81654" w:rsidRPr="00785819">
        <w:rPr>
          <w:color w:val="000000" w:themeColor="text1"/>
        </w:rPr>
        <w:t xml:space="preserve"> secured</w:t>
      </w:r>
      <w:r w:rsidR="00C11390">
        <w:rPr>
          <w:color w:val="000000" w:themeColor="text1"/>
        </w:rPr>
        <w:t>;</w:t>
      </w:r>
      <w:r>
        <w:rPr>
          <w:color w:val="000000" w:themeColor="text1"/>
        </w:rPr>
        <w:t xml:space="preserve"> through</w:t>
      </w:r>
      <w:r w:rsidR="00E81654" w:rsidRPr="00785819">
        <w:rPr>
          <w:color w:val="000000" w:themeColor="text1"/>
        </w:rPr>
        <w:t xml:space="preserve"> a combination of</w:t>
      </w:r>
      <w:r w:rsidR="00C82062">
        <w:rPr>
          <w:color w:val="000000" w:themeColor="text1"/>
        </w:rPr>
        <w:t xml:space="preserve"> a supportive constitutional culture and tradition, a</w:t>
      </w:r>
      <w:r w:rsidR="00E81654" w:rsidRPr="00785819">
        <w:rPr>
          <w:color w:val="000000" w:themeColor="text1"/>
        </w:rPr>
        <w:t xml:space="preserve"> dedication to </w:t>
      </w:r>
      <w:r w:rsidR="00E81654" w:rsidRPr="00785819">
        <w:t>constitutional norms of independence</w:t>
      </w:r>
      <w:r w:rsidR="00E81654">
        <w:t xml:space="preserve"> in functions concerning the public interest and rule of law</w:t>
      </w:r>
      <w:r w:rsidR="00E81654" w:rsidRPr="00785819">
        <w:t>, adherence to legal professional ethics</w:t>
      </w:r>
      <w:r w:rsidR="00C82062">
        <w:t>,</w:t>
      </w:r>
      <w:r w:rsidR="00E81654" w:rsidRPr="00785819">
        <w:t xml:space="preserve"> </w:t>
      </w:r>
      <w:r w:rsidR="00C82062">
        <w:t>legal</w:t>
      </w:r>
      <w:r w:rsidR="00E81654" w:rsidRPr="00785819">
        <w:t xml:space="preserve"> expertise,</w:t>
      </w:r>
      <w:r w:rsidR="00E81654">
        <w:t xml:space="preserve"> </w:t>
      </w:r>
      <w:r w:rsidR="00E81654" w:rsidRPr="00785819">
        <w:t>and above all</w:t>
      </w:r>
      <w:r w:rsidR="00C82062">
        <w:t>,</w:t>
      </w:r>
      <w:r w:rsidR="00E81654" w:rsidRPr="00785819">
        <w:t xml:space="preserve"> the personal integrity of the </w:t>
      </w:r>
      <w:r w:rsidR="00C82062">
        <w:t>law officer</w:t>
      </w:r>
      <w:r w:rsidR="00E81654" w:rsidRPr="00785819">
        <w:t xml:space="preserve">. </w:t>
      </w:r>
      <w:r w:rsidR="00C11390">
        <w:t>Defenders of the current dual political-legal model of Attorney General would argue that if these</w:t>
      </w:r>
      <w:r>
        <w:t xml:space="preserve"> </w:t>
      </w:r>
      <w:r w:rsidR="00C11390">
        <w:t>are</w:t>
      </w:r>
      <w:r>
        <w:t xml:space="preserve"> adhered to, they </w:t>
      </w:r>
      <w:r w:rsidR="00C11390">
        <w:t xml:space="preserve">will </w:t>
      </w:r>
      <w:r w:rsidR="00E81654" w:rsidRPr="00785819">
        <w:t xml:space="preserve">help ensure an </w:t>
      </w:r>
      <w:r w:rsidR="00E81654">
        <w:rPr>
          <w:color w:val="000000" w:themeColor="text1"/>
        </w:rPr>
        <w:t>Attorney General’s</w:t>
      </w:r>
      <w:r w:rsidR="00E81654" w:rsidRPr="00785819">
        <w:rPr>
          <w:color w:val="000000" w:themeColor="text1"/>
        </w:rPr>
        <w:t xml:space="preserve"> </w:t>
      </w:r>
      <w:r w:rsidR="00E81654" w:rsidRPr="00785819">
        <w:t>political sympathies do not obstruct their duty to strive for independence and detachment in their advice giving and public interest functions.</w:t>
      </w:r>
      <w:r w:rsidR="00E81654" w:rsidRPr="00785819">
        <w:rPr>
          <w:color w:val="000000" w:themeColor="text1"/>
        </w:rPr>
        <w:t xml:space="preserve"> </w:t>
      </w:r>
      <w:r w:rsidR="00E81654">
        <w:rPr>
          <w:color w:val="000000" w:themeColor="text1"/>
        </w:rPr>
        <w:t>Attorneys General</w:t>
      </w:r>
      <w:r w:rsidR="00E81654" w:rsidRPr="00785819">
        <w:rPr>
          <w:color w:val="000000" w:themeColor="text1"/>
        </w:rPr>
        <w:t xml:space="preserve"> </w:t>
      </w:r>
      <w:r w:rsidR="00E81654" w:rsidRPr="00785819">
        <w:t>whose role carries a political dimension therefore try and marry their political commitments and roles to the longstanding traditions of their</w:t>
      </w:r>
      <w:r w:rsidR="00E81654">
        <w:t xml:space="preserve"> constitutional</w:t>
      </w:r>
      <w:r w:rsidR="00E81654" w:rsidRPr="00785819">
        <w:t xml:space="preserve"> office and to </w:t>
      </w:r>
      <w:r w:rsidR="00E81654">
        <w:t xml:space="preserve">those </w:t>
      </w:r>
      <w:r w:rsidR="00E81654">
        <w:lastRenderedPageBreak/>
        <w:t>of the</w:t>
      </w:r>
      <w:r w:rsidR="00E81654" w:rsidRPr="00785819">
        <w:t xml:space="preserve"> independent legal profession</w:t>
      </w:r>
      <w:r w:rsidR="00E81654">
        <w:t xml:space="preserve"> in which they are trained</w:t>
      </w:r>
      <w:r w:rsidR="00E81654" w:rsidRPr="00785819">
        <w:t xml:space="preserve">, both of which embrace the values of legality and the rule of law. </w:t>
      </w:r>
    </w:p>
    <w:p w14:paraId="76EDD935" w14:textId="77777777" w:rsidR="00E81654" w:rsidRDefault="00E81654" w:rsidP="00E81654">
      <w:pPr>
        <w:spacing w:line="360" w:lineRule="auto"/>
        <w:jc w:val="both"/>
      </w:pPr>
    </w:p>
    <w:p w14:paraId="647F9BF2" w14:textId="6E278435" w:rsidR="0003630A" w:rsidRDefault="00E81654" w:rsidP="00C11390">
      <w:pPr>
        <w:spacing w:line="360" w:lineRule="auto"/>
        <w:ind w:firstLine="720"/>
        <w:jc w:val="both"/>
      </w:pPr>
      <w:r w:rsidRPr="00785819">
        <w:t xml:space="preserve">In discharging </w:t>
      </w:r>
      <w:r>
        <w:t xml:space="preserve">their </w:t>
      </w:r>
      <w:r w:rsidR="0003630A">
        <w:t>advice-giving</w:t>
      </w:r>
      <w:r w:rsidRPr="00785819">
        <w:t xml:space="preserve"> role,</w:t>
      </w:r>
      <w:r>
        <w:t xml:space="preserve"> for instance,</w:t>
      </w:r>
      <w:r w:rsidRPr="00785819">
        <w:t xml:space="preserve"> successive </w:t>
      </w:r>
      <w:r>
        <w:rPr>
          <w:color w:val="000000" w:themeColor="text1"/>
        </w:rPr>
        <w:t>Attorneys General</w:t>
      </w:r>
      <w:r w:rsidRPr="00785819">
        <w:rPr>
          <w:color w:val="000000" w:themeColor="text1"/>
        </w:rPr>
        <w:t xml:space="preserve"> </w:t>
      </w:r>
      <w:r w:rsidRPr="00785819">
        <w:t>have consistently maintained that they try to offer impartial detached advice in the manner of a lawyer’s advice to any client: to give an objective analysis of the law as they see it.</w:t>
      </w:r>
      <w:bookmarkStart w:id="4" w:name="_Ref95828047"/>
      <w:r w:rsidRPr="00785819">
        <w:rPr>
          <w:rStyle w:val="FootnoteReference"/>
        </w:rPr>
        <w:footnoteReference w:id="23"/>
      </w:r>
      <w:bookmarkEnd w:id="4"/>
      <w:r w:rsidRPr="00785819">
        <w:t xml:space="preserve"> </w:t>
      </w:r>
      <w:r w:rsidR="009965AA">
        <w:t>The fact p</w:t>
      </w:r>
      <w:r w:rsidR="00BB39E1">
        <w:t>revious</w:t>
      </w:r>
      <w:r w:rsidR="0003630A">
        <w:t xml:space="preserve"> Attorneys General have felt confident in offering forthright advice</w:t>
      </w:r>
      <w:r w:rsidR="009965AA">
        <w:t>, even where</w:t>
      </w:r>
      <w:r w:rsidR="0003630A">
        <w:t xml:space="preserve"> </w:t>
      </w:r>
      <w:r w:rsidR="009965AA">
        <w:t>it has had</w:t>
      </w:r>
      <w:r w:rsidR="0003630A">
        <w:t xml:space="preserve"> unwelcome political consequences for the </w:t>
      </w:r>
      <w:r w:rsidR="00B77E77">
        <w:t>g</w:t>
      </w:r>
      <w:r w:rsidR="0003630A">
        <w:t>overnment</w:t>
      </w:r>
      <w:r w:rsidR="009965AA">
        <w:t>,</w:t>
      </w:r>
      <w:r w:rsidR="0003630A">
        <w:t xml:space="preserve"> is </w:t>
      </w:r>
      <w:r w:rsidR="00571804">
        <w:t>perhaps</w:t>
      </w:r>
      <w:r w:rsidR="0003630A">
        <w:t xml:space="preserve"> testament to their ability to </w:t>
      </w:r>
      <w:r w:rsidR="009965AA">
        <w:t>maintain a stance of detachment</w:t>
      </w:r>
      <w:r w:rsidR="0003630A">
        <w:t>.</w:t>
      </w:r>
      <w:r w:rsidR="0003630A">
        <w:rPr>
          <w:rStyle w:val="FootnoteReference"/>
        </w:rPr>
        <w:footnoteReference w:id="24"/>
      </w:r>
      <w:r w:rsidR="0003630A">
        <w:t xml:space="preserve"> A good </w:t>
      </w:r>
      <w:r w:rsidR="00BB39E1">
        <w:t>concrete</w:t>
      </w:r>
      <w:r w:rsidR="0003630A">
        <w:t xml:space="preserve"> example </w:t>
      </w:r>
      <w:r w:rsidR="00B77E77">
        <w:t xml:space="preserve">of this disposition in action </w:t>
      </w:r>
      <w:r w:rsidR="00BB39E1">
        <w:t>can be seen in</w:t>
      </w:r>
      <w:r w:rsidR="0003630A">
        <w:t xml:space="preserve"> Geoffrey Cox QC’s advice on the legal effects of the Northern Irish Backstop in the EU-UK Withdrawal Agreement, advice which proved a serious political thorn in then Prime Minister</w:t>
      </w:r>
      <w:r w:rsidR="00365FD4">
        <w:t xml:space="preserve"> May’s</w:t>
      </w:r>
      <w:r w:rsidR="0003630A">
        <w:t xml:space="preserve"> </w:t>
      </w:r>
      <w:r w:rsidR="00BB39E1">
        <w:t>attempt to secure parliamentary approval</w:t>
      </w:r>
      <w:r w:rsidR="00365FD4">
        <w:t xml:space="preserve"> for her</w:t>
      </w:r>
      <w:r w:rsidR="00C82062">
        <w:t xml:space="preserve"> Brexit</w:t>
      </w:r>
      <w:r w:rsidR="00365FD4">
        <w:t xml:space="preserve"> deal</w:t>
      </w:r>
      <w:r w:rsidR="0003630A">
        <w:t>.</w:t>
      </w:r>
      <w:r w:rsidR="00BB39E1">
        <w:rPr>
          <w:rStyle w:val="FootnoteReference"/>
        </w:rPr>
        <w:footnoteReference w:id="25"/>
      </w:r>
    </w:p>
    <w:p w14:paraId="0E867962" w14:textId="77777777" w:rsidR="0003630A" w:rsidRDefault="0003630A" w:rsidP="00E81654">
      <w:pPr>
        <w:spacing w:line="360" w:lineRule="auto"/>
        <w:jc w:val="both"/>
      </w:pPr>
    </w:p>
    <w:p w14:paraId="1DB2C58F" w14:textId="2E00B9B0" w:rsidR="00E81654" w:rsidRPr="00785819" w:rsidRDefault="0003630A" w:rsidP="00E81654">
      <w:pPr>
        <w:spacing w:line="360" w:lineRule="auto"/>
        <w:jc w:val="both"/>
      </w:pPr>
      <w:r>
        <w:t xml:space="preserve"> </w:t>
      </w:r>
      <w:r w:rsidR="00900F37">
        <w:tab/>
      </w:r>
      <w:r w:rsidR="00365FD4">
        <w:t xml:space="preserve">But </w:t>
      </w:r>
      <w:r w:rsidR="00E81654">
        <w:rPr>
          <w:color w:val="000000" w:themeColor="text1"/>
        </w:rPr>
        <w:t>Attorneys General</w:t>
      </w:r>
      <w:r w:rsidR="00365FD4">
        <w:rPr>
          <w:color w:val="000000" w:themeColor="text1"/>
        </w:rPr>
        <w:t xml:space="preserve"> do not simply see themselves as technocrats. They</w:t>
      </w:r>
      <w:r w:rsidR="00E81654" w:rsidRPr="00785819">
        <w:rPr>
          <w:color w:val="000000" w:themeColor="text1"/>
        </w:rPr>
        <w:t xml:space="preserve"> </w:t>
      </w:r>
      <w:r w:rsidR="00E81654" w:rsidRPr="00785819">
        <w:t xml:space="preserve">also seek to combine their professional </w:t>
      </w:r>
      <w:r w:rsidR="00900F37">
        <w:t xml:space="preserve">expertise </w:t>
      </w:r>
      <w:r w:rsidR="00E81654" w:rsidRPr="00785819">
        <w:t xml:space="preserve">as trained lawyers with a desire to assist their ministerial colleagues in the common goal of implementing </w:t>
      </w:r>
      <w:r w:rsidR="00CC2CFB">
        <w:t>the</w:t>
      </w:r>
      <w:r w:rsidR="00E81654" w:rsidRPr="00785819">
        <w:t xml:space="preserve"> government’s policy agenda</w:t>
      </w:r>
      <w:r w:rsidR="00E81654">
        <w:t>.</w:t>
      </w:r>
      <w:bookmarkStart w:id="5" w:name="_Ref95830413"/>
      <w:r w:rsidR="00E81654" w:rsidRPr="00785819">
        <w:rPr>
          <w:rStyle w:val="FootnoteReference"/>
        </w:rPr>
        <w:footnoteReference w:id="26"/>
      </w:r>
      <w:bookmarkEnd w:id="5"/>
      <w:r w:rsidR="00E81654" w:rsidRPr="00785819">
        <w:t>Defenders of the present status of the A</w:t>
      </w:r>
      <w:r w:rsidR="00E81654">
        <w:t xml:space="preserve">ttorney </w:t>
      </w:r>
      <w:r w:rsidR="00E81654" w:rsidRPr="00785819">
        <w:t>G</w:t>
      </w:r>
      <w:r w:rsidR="00E81654">
        <w:t>eneral</w:t>
      </w:r>
      <w:r w:rsidR="00E81654" w:rsidRPr="00785819">
        <w:t xml:space="preserve"> </w:t>
      </w:r>
      <w:r w:rsidR="00900F37">
        <w:t>argue</w:t>
      </w:r>
      <w:r w:rsidR="00E81654" w:rsidRPr="00785819">
        <w:t xml:space="preserve"> these dimensions of the office are, in fact, complementary. The political aspect is said to provide the A</w:t>
      </w:r>
      <w:r w:rsidR="00E81654">
        <w:t xml:space="preserve">ttorney </w:t>
      </w:r>
      <w:r w:rsidR="00E81654" w:rsidRPr="00785819">
        <w:t>G</w:t>
      </w:r>
      <w:r w:rsidR="00E81654">
        <w:t>eneral</w:t>
      </w:r>
      <w:r w:rsidR="00E81654" w:rsidRPr="00785819">
        <w:t xml:space="preserve"> with</w:t>
      </w:r>
      <w:r w:rsidR="005E0C93">
        <w:t xml:space="preserve"> tacit and</w:t>
      </w:r>
      <w:r w:rsidR="00E81654" w:rsidRPr="00785819">
        <w:t xml:space="preserve"> intimate </w:t>
      </w:r>
      <w:r w:rsidR="00E81654" w:rsidRPr="00785819">
        <w:rPr>
          <w:rFonts w:eastAsiaTheme="minorHAnsi"/>
          <w:lang w:eastAsia="en-US"/>
        </w:rPr>
        <w:t>knowledge</w:t>
      </w:r>
      <w:r w:rsidR="00E81654" w:rsidRPr="00785819">
        <w:t xml:space="preserve"> </w:t>
      </w:r>
      <w:r w:rsidR="00E81654" w:rsidRPr="00785819">
        <w:rPr>
          <w:rFonts w:eastAsiaTheme="minorHAnsi"/>
          <w:lang w:eastAsia="en-US"/>
        </w:rPr>
        <w:t xml:space="preserve">of the </w:t>
      </w:r>
      <w:r w:rsidR="00E81654">
        <w:rPr>
          <w:rFonts w:eastAsiaTheme="minorHAnsi"/>
          <w:lang w:eastAsia="en-US"/>
        </w:rPr>
        <w:t>policy</w:t>
      </w:r>
      <w:r w:rsidR="00E81654" w:rsidRPr="00785819">
        <w:rPr>
          <w:rFonts w:eastAsiaTheme="minorHAnsi"/>
          <w:lang w:eastAsia="en-US"/>
        </w:rPr>
        <w:t xml:space="preserve"> goals and pressures on ministerial colleagues, which in turn aids </w:t>
      </w:r>
      <w:r w:rsidR="00C82062">
        <w:rPr>
          <w:rFonts w:eastAsiaTheme="minorHAnsi"/>
          <w:lang w:eastAsia="en-US"/>
        </w:rPr>
        <w:t>the</w:t>
      </w:r>
      <w:r w:rsidR="00E81654" w:rsidRPr="00785819">
        <w:rPr>
          <w:rFonts w:eastAsiaTheme="minorHAnsi"/>
          <w:lang w:eastAsia="en-US"/>
        </w:rPr>
        <w:t xml:space="preserve"> task of offering constructive advice about both </w:t>
      </w:r>
      <w:r w:rsidR="00E81654">
        <w:rPr>
          <w:rFonts w:eastAsiaTheme="minorHAnsi"/>
          <w:lang w:eastAsia="en-US"/>
        </w:rPr>
        <w:t xml:space="preserve">the </w:t>
      </w:r>
      <w:r w:rsidR="00E81654" w:rsidRPr="00785819">
        <w:rPr>
          <w:rFonts w:eastAsiaTheme="minorHAnsi"/>
          <w:lang w:eastAsia="en-US"/>
        </w:rPr>
        <w:t>constraints they are bound by</w:t>
      </w:r>
      <w:r w:rsidR="00E81654">
        <w:rPr>
          <w:rFonts w:eastAsiaTheme="minorHAnsi"/>
          <w:lang w:eastAsia="en-US"/>
        </w:rPr>
        <w:t>,</w:t>
      </w:r>
      <w:r w:rsidR="00E81654" w:rsidRPr="00785819">
        <w:rPr>
          <w:rFonts w:eastAsiaTheme="minorHAnsi"/>
          <w:lang w:eastAsia="en-US"/>
        </w:rPr>
        <w:t xml:space="preserve"> and</w:t>
      </w:r>
      <w:r w:rsidR="00E81654">
        <w:rPr>
          <w:rFonts w:eastAsiaTheme="minorHAnsi"/>
          <w:lang w:eastAsia="en-US"/>
        </w:rPr>
        <w:t xml:space="preserve"> any</w:t>
      </w:r>
      <w:r w:rsidR="00E81654" w:rsidRPr="00785819">
        <w:rPr>
          <w:rFonts w:eastAsiaTheme="minorHAnsi"/>
          <w:lang w:eastAsia="en-US"/>
        </w:rPr>
        <w:t xml:space="preserve"> possible lawful and proper alternatives they can avail of.</w:t>
      </w:r>
      <w:r w:rsidR="00E81654" w:rsidRPr="00785819">
        <w:rPr>
          <w:rStyle w:val="FootnoteReference"/>
          <w:rFonts w:eastAsiaTheme="minorHAnsi"/>
          <w:lang w:eastAsia="en-US"/>
        </w:rPr>
        <w:footnoteReference w:id="27"/>
      </w:r>
      <w:r w:rsidR="005E0C93">
        <w:rPr>
          <w:rFonts w:eastAsiaTheme="minorHAnsi"/>
          <w:lang w:eastAsia="en-US"/>
        </w:rPr>
        <w:t xml:space="preserve"> </w:t>
      </w:r>
    </w:p>
    <w:p w14:paraId="6E51C9CD" w14:textId="77777777" w:rsidR="00E81654" w:rsidRPr="00785819" w:rsidRDefault="00E81654" w:rsidP="00E81654">
      <w:pPr>
        <w:spacing w:line="360" w:lineRule="auto"/>
        <w:jc w:val="both"/>
      </w:pPr>
    </w:p>
    <w:p w14:paraId="52B7A8EB" w14:textId="737BF337" w:rsidR="00E81654" w:rsidRPr="00785819" w:rsidRDefault="00E81654" w:rsidP="00900F37">
      <w:pPr>
        <w:spacing w:line="360" w:lineRule="auto"/>
        <w:ind w:firstLine="720"/>
        <w:jc w:val="both"/>
        <w:rPr>
          <w:color w:val="000000" w:themeColor="text1"/>
        </w:rPr>
      </w:pPr>
      <w:r>
        <w:t>Successfully walking the constitutional tightrope described by Professor Edwards</w:t>
      </w:r>
      <w:r w:rsidRPr="00785819">
        <w:t xml:space="preserve"> is by no means easy. </w:t>
      </w:r>
      <w:r w:rsidR="007C2EF8">
        <w:t xml:space="preserve">But </w:t>
      </w:r>
      <w:r w:rsidR="005E0C93">
        <w:t xml:space="preserve">the </w:t>
      </w:r>
      <w:r w:rsidR="00C82062">
        <w:t>constitutional culture</w:t>
      </w:r>
      <w:r w:rsidR="005E0C93">
        <w:t xml:space="preserve"> around the office makes it very clear that</w:t>
      </w:r>
      <w:r w:rsidRPr="00785819">
        <w:t xml:space="preserve"> respecting the values of legality and the rule of law requires an A</w:t>
      </w:r>
      <w:r>
        <w:t xml:space="preserve">ttorney </w:t>
      </w:r>
      <w:r w:rsidRPr="00785819">
        <w:t>G</w:t>
      </w:r>
      <w:r>
        <w:t>eneral</w:t>
      </w:r>
      <w:r w:rsidRPr="00785819">
        <w:t xml:space="preserve">, </w:t>
      </w:r>
      <w:r w:rsidRPr="007C2EF8">
        <w:rPr>
          <w:i/>
          <w:iCs/>
        </w:rPr>
        <w:t>at a minimum</w:t>
      </w:r>
      <w:r w:rsidRPr="00785819">
        <w:t>, to not allow partisan bias</w:t>
      </w:r>
      <w:r>
        <w:t xml:space="preserve">, </w:t>
      </w:r>
      <w:r w:rsidRPr="00785819">
        <w:t>party political concerns</w:t>
      </w:r>
      <w:r>
        <w:t>, or pressure from colleagues,</w:t>
      </w:r>
      <w:r w:rsidRPr="00785819">
        <w:t xml:space="preserve"> to obscure good faith attempts to offer </w:t>
      </w:r>
      <w:r>
        <w:t xml:space="preserve">proper </w:t>
      </w:r>
      <w:r w:rsidRPr="00785819">
        <w:t>legal</w:t>
      </w:r>
      <w:r>
        <w:t xml:space="preserve"> advice</w:t>
      </w:r>
      <w:r w:rsidRPr="00785819">
        <w:t xml:space="preserve">, or to taint a conclusion that a particular </w:t>
      </w:r>
      <w:r w:rsidRPr="00785819">
        <w:lastRenderedPageBreak/>
        <w:t xml:space="preserve">decision is in the public interest, or cause them to </w:t>
      </w:r>
      <w:r>
        <w:t>sign-off on the legality of government</w:t>
      </w:r>
      <w:r w:rsidRPr="00785819">
        <w:t xml:space="preserve"> policies under flimsy and strained legal justification.</w:t>
      </w:r>
      <w:r w:rsidR="007E3C4D">
        <w:t xml:space="preserve"> </w:t>
      </w:r>
    </w:p>
    <w:p w14:paraId="6AD82B7E" w14:textId="77777777" w:rsidR="00E81654" w:rsidRPr="00785819" w:rsidRDefault="00E81654" w:rsidP="00E81654">
      <w:pPr>
        <w:spacing w:line="360" w:lineRule="auto"/>
        <w:jc w:val="both"/>
      </w:pPr>
    </w:p>
    <w:p w14:paraId="02095EBD" w14:textId="6080B844" w:rsidR="00E81654" w:rsidRDefault="00E81654" w:rsidP="00E81654">
      <w:pPr>
        <w:spacing w:line="360" w:lineRule="auto"/>
        <w:jc w:val="both"/>
      </w:pPr>
      <w:r w:rsidRPr="00785819">
        <w:t xml:space="preserve">In </w:t>
      </w:r>
      <w:r w:rsidR="005E0C93">
        <w:t xml:space="preserve">the </w:t>
      </w:r>
      <w:r w:rsidRPr="00785819">
        <w:t>UK, an A</w:t>
      </w:r>
      <w:r>
        <w:t xml:space="preserve">ttorney </w:t>
      </w:r>
      <w:r w:rsidRPr="00785819">
        <w:t>G</w:t>
      </w:r>
      <w:r>
        <w:t>eneral</w:t>
      </w:r>
      <w:r w:rsidRPr="00785819">
        <w:t xml:space="preserve"> who is perceived to have descended into partisan decision-making, or succumbed to political pressure, not only risks breaching the constitutional and professional norms that underpin the work of the Office (and</w:t>
      </w:r>
      <w:r>
        <w:t>, more broadly, those that underpin the</w:t>
      </w:r>
      <w:r w:rsidRPr="00785819">
        <w:t xml:space="preserve"> legal profession</w:t>
      </w:r>
      <w:r>
        <w:t xml:space="preserve"> generally</w:t>
      </w:r>
      <w:r w:rsidRPr="00785819">
        <w:t xml:space="preserve">), but the public and parliamentary confidence and credibility </w:t>
      </w:r>
      <w:r>
        <w:t xml:space="preserve">on which </w:t>
      </w:r>
      <w:r w:rsidRPr="00785819">
        <w:t>the office</w:t>
      </w:r>
      <w:r>
        <w:t xml:space="preserve"> depends</w:t>
      </w:r>
      <w:r w:rsidRPr="00785819">
        <w:t>.</w:t>
      </w:r>
      <w:r>
        <w:rPr>
          <w:rStyle w:val="FootnoteReference"/>
        </w:rPr>
        <w:footnoteReference w:id="28"/>
      </w:r>
      <w:r w:rsidRPr="00785819">
        <w:t xml:space="preserve"> In the instances where </w:t>
      </w:r>
      <w:r>
        <w:rPr>
          <w:color w:val="000000" w:themeColor="text1"/>
        </w:rPr>
        <w:t>Attorneys General</w:t>
      </w:r>
      <w:r w:rsidRPr="00785819">
        <w:rPr>
          <w:color w:val="000000" w:themeColor="text1"/>
        </w:rPr>
        <w:t xml:space="preserve"> </w:t>
      </w:r>
      <w:r w:rsidRPr="007E3C4D">
        <w:rPr>
          <w:i/>
          <w:iCs/>
        </w:rPr>
        <w:t>have</w:t>
      </w:r>
      <w:r>
        <w:t xml:space="preserve"> previously</w:t>
      </w:r>
      <w:r w:rsidRPr="00785819">
        <w:t xml:space="preserve"> been </w:t>
      </w:r>
      <w:r>
        <w:t>criticised</w:t>
      </w:r>
      <w:r w:rsidRPr="00785819">
        <w:t xml:space="preserve"> for their advisory or public interest work, it was invariably based on the allegation they permitted partisan political pressure to influence their work. </w:t>
      </w:r>
    </w:p>
    <w:p w14:paraId="14312588" w14:textId="3C799505" w:rsidR="00F34E73" w:rsidRPr="00F34E73" w:rsidRDefault="00F34E73" w:rsidP="00E81654">
      <w:pPr>
        <w:spacing w:line="360" w:lineRule="auto"/>
        <w:jc w:val="both"/>
      </w:pPr>
    </w:p>
    <w:p w14:paraId="2C6C1563" w14:textId="66CFC504" w:rsidR="007C2EF8" w:rsidRPr="00F34E73" w:rsidRDefault="00F34E73" w:rsidP="003349B2">
      <w:pPr>
        <w:spacing w:line="360" w:lineRule="auto"/>
        <w:ind w:firstLine="720"/>
        <w:jc w:val="both"/>
      </w:pPr>
      <w:r w:rsidRPr="00F34E73">
        <w:rPr>
          <w:color w:val="000000" w:themeColor="text1"/>
        </w:rPr>
        <w:t xml:space="preserve">For example, the allegation </w:t>
      </w:r>
      <w:r w:rsidR="004C1EF0">
        <w:rPr>
          <w:color w:val="000000" w:themeColor="text1"/>
        </w:rPr>
        <w:t xml:space="preserve">that </w:t>
      </w:r>
      <w:r w:rsidRPr="00F34E73">
        <w:rPr>
          <w:color w:val="000000" w:themeColor="text1"/>
        </w:rPr>
        <w:t>Attorney General Lord Goldsmith QC succumbed to political pressure to alter his initial advice over the legality of the UK’s involvement in the Iraq War continues to generate deep controversy nearly two decades later.</w:t>
      </w:r>
      <w:r>
        <w:rPr>
          <w:rStyle w:val="FootnoteReference"/>
          <w:color w:val="000000" w:themeColor="text1"/>
        </w:rPr>
        <w:footnoteReference w:id="29"/>
      </w:r>
      <w:r w:rsidRPr="00F34E73">
        <w:rPr>
          <w:color w:val="000000" w:themeColor="text1"/>
        </w:rPr>
        <w:t xml:space="preserve"> Perhaps even more politically explosive in its day was the controversy that brought down the first Labour Government of Ramsay McDonald  in 1926</w:t>
      </w:r>
      <w:r w:rsidR="004C1EF0">
        <w:rPr>
          <w:color w:val="000000" w:themeColor="text1"/>
        </w:rPr>
        <w:t xml:space="preserve"> where a</w:t>
      </w:r>
      <w:r w:rsidRPr="00F34E73">
        <w:rPr>
          <w:color w:val="000000" w:themeColor="text1"/>
        </w:rPr>
        <w:t xml:space="preserve"> large factor in </w:t>
      </w:r>
      <w:r w:rsidR="004C1EF0">
        <w:rPr>
          <w:color w:val="000000" w:themeColor="text1"/>
        </w:rPr>
        <w:t>that</w:t>
      </w:r>
      <w:r w:rsidRPr="00F34E73">
        <w:rPr>
          <w:color w:val="000000" w:themeColor="text1"/>
        </w:rPr>
        <w:t xml:space="preserve"> Government’s collapse was the allegation </w:t>
      </w:r>
      <w:r w:rsidR="004C1EF0">
        <w:rPr>
          <w:color w:val="000000" w:themeColor="text1"/>
        </w:rPr>
        <w:t>that</w:t>
      </w:r>
      <w:r w:rsidRPr="00F34E73">
        <w:rPr>
          <w:color w:val="000000" w:themeColor="text1"/>
        </w:rPr>
        <w:t xml:space="preserve"> Attorney General Patrick Hastings KC had acceded to political pressure from Cabinet colleagues in discontinu</w:t>
      </w:r>
      <w:r w:rsidR="004C1EF0">
        <w:rPr>
          <w:color w:val="000000" w:themeColor="text1"/>
        </w:rPr>
        <w:t>ing</w:t>
      </w:r>
      <w:r w:rsidRPr="00F34E73">
        <w:rPr>
          <w:color w:val="000000" w:themeColor="text1"/>
        </w:rPr>
        <w:t xml:space="preserve"> a prosecution against a communist newspaper editor for incitement to mutiny.</w:t>
      </w:r>
      <w:r>
        <w:rPr>
          <w:rStyle w:val="FootnoteReference"/>
          <w:color w:val="000000" w:themeColor="text1"/>
        </w:rPr>
        <w:footnoteReference w:id="30"/>
      </w:r>
      <w:r w:rsidRPr="00F34E73">
        <w:rPr>
          <w:color w:val="000000" w:themeColor="text1"/>
        </w:rPr>
        <w:t xml:space="preserve"> </w:t>
      </w:r>
      <w:r w:rsidR="007C2EF8" w:rsidRPr="00785819">
        <w:t>The seriousness of these kind of</w:t>
      </w:r>
      <w:r w:rsidR="007C2EF8">
        <w:t xml:space="preserve"> previous</w:t>
      </w:r>
      <w:r w:rsidR="007C2EF8" w:rsidRPr="00785819">
        <w:t xml:space="preserve"> controvers</w:t>
      </w:r>
      <w:r w:rsidR="007C2EF8">
        <w:t>ies</w:t>
      </w:r>
      <w:r w:rsidR="007C2EF8" w:rsidRPr="00785819">
        <w:t xml:space="preserve"> is a measure of how </w:t>
      </w:r>
      <w:r w:rsidR="007C2EF8">
        <w:t>seriously</w:t>
      </w:r>
      <w:r w:rsidR="007C2EF8" w:rsidRPr="00785819">
        <w:t xml:space="preserve"> the norms surrounding the </w:t>
      </w:r>
      <w:r w:rsidR="007C2EF8">
        <w:rPr>
          <w:color w:val="000000" w:themeColor="text1"/>
        </w:rPr>
        <w:t>Attorney General’s</w:t>
      </w:r>
      <w:r w:rsidR="007C2EF8" w:rsidRPr="00785819">
        <w:rPr>
          <w:color w:val="000000" w:themeColor="text1"/>
        </w:rPr>
        <w:t xml:space="preserve"> </w:t>
      </w:r>
      <w:r w:rsidR="007C2EF8" w:rsidRPr="00785819">
        <w:t xml:space="preserve">office </w:t>
      </w:r>
      <w:r w:rsidR="007C2EF8">
        <w:t>are taken.</w:t>
      </w:r>
      <w:r w:rsidR="007C2EF8" w:rsidRPr="00785819">
        <w:t xml:space="preserve"> </w:t>
      </w:r>
    </w:p>
    <w:p w14:paraId="77175E63" w14:textId="77777777" w:rsidR="00E81654" w:rsidRDefault="00E81654" w:rsidP="00D7225D">
      <w:pPr>
        <w:spacing w:line="360" w:lineRule="auto"/>
        <w:jc w:val="both"/>
        <w:rPr>
          <w:b/>
          <w:bCs/>
        </w:rPr>
      </w:pPr>
    </w:p>
    <w:p w14:paraId="302B3B79" w14:textId="278BC62A" w:rsidR="00E81654" w:rsidRPr="00785819" w:rsidRDefault="00E81654" w:rsidP="00900F37">
      <w:pPr>
        <w:spacing w:line="360" w:lineRule="auto"/>
        <w:ind w:firstLine="720"/>
        <w:jc w:val="both"/>
        <w:rPr>
          <w:color w:val="000000" w:themeColor="text1"/>
        </w:rPr>
      </w:pPr>
      <w:r>
        <w:t>With this</w:t>
      </w:r>
      <w:r w:rsidR="00900F37">
        <w:t xml:space="preserve"> constitutional</w:t>
      </w:r>
      <w:r>
        <w:t xml:space="preserve"> context in mind, we can ask: d</w:t>
      </w:r>
      <w:r w:rsidR="003349B2">
        <w:t>id</w:t>
      </w:r>
      <w:r w:rsidRPr="00785819">
        <w:t xml:space="preserve"> </w:t>
      </w:r>
      <w:r>
        <w:t xml:space="preserve">the </w:t>
      </w:r>
      <w:r>
        <w:rPr>
          <w:color w:val="000000" w:themeColor="text1"/>
        </w:rPr>
        <w:t>Attorney General’s</w:t>
      </w:r>
      <w:r w:rsidRPr="00785819">
        <w:rPr>
          <w:color w:val="000000" w:themeColor="text1"/>
        </w:rPr>
        <w:t xml:space="preserve"> </w:t>
      </w:r>
      <w:r>
        <w:t>remarks represent</w:t>
      </w:r>
      <w:r w:rsidRPr="00785819">
        <w:t xml:space="preserve"> a good faith jurisprudential disagreement with the Supreme Court </w:t>
      </w:r>
      <w:r>
        <w:t>designed to</w:t>
      </w:r>
      <w:r w:rsidRPr="00785819">
        <w:t xml:space="preserve"> explain and justify the political and legal legitimacy of the government’s reform initiatives</w:t>
      </w:r>
      <w:r>
        <w:t>?</w:t>
      </w:r>
      <w:r w:rsidRPr="00785819">
        <w:t xml:space="preserve"> Or</w:t>
      </w:r>
      <w:r>
        <w:t>, alternatively, are they</w:t>
      </w:r>
      <w:r w:rsidRPr="00785819">
        <w:t xml:space="preserve"> an example of partisan party politics pressing the A</w:t>
      </w:r>
      <w:r>
        <w:t xml:space="preserve">ttorney </w:t>
      </w:r>
      <w:r w:rsidRPr="00785819">
        <w:t>G</w:t>
      </w:r>
      <w:r>
        <w:t>eneral</w:t>
      </w:r>
      <w:r w:rsidRPr="00785819">
        <w:t xml:space="preserve"> to undermine judicial independence and the rule of law? The former would be an unobjectionable example of the A</w:t>
      </w:r>
      <w:r>
        <w:t xml:space="preserve">ttorney </w:t>
      </w:r>
      <w:r w:rsidRPr="00785819">
        <w:t>G</w:t>
      </w:r>
      <w:r>
        <w:t>eneral</w:t>
      </w:r>
      <w:r w:rsidR="003349B2">
        <w:t xml:space="preserve"> drawing on </w:t>
      </w:r>
      <w:r w:rsidR="004C1EF0">
        <w:t>her</w:t>
      </w:r>
      <w:r w:rsidR="003349B2">
        <w:t xml:space="preserve"> legal expertise to help</w:t>
      </w:r>
      <w:r w:rsidRPr="00785819">
        <w:t xml:space="preserve"> discharg</w:t>
      </w:r>
      <w:r w:rsidR="003349B2">
        <w:t>e</w:t>
      </w:r>
      <w:r w:rsidRPr="00785819">
        <w:t xml:space="preserve"> </w:t>
      </w:r>
      <w:r w:rsidR="004C1EF0">
        <w:t>her</w:t>
      </w:r>
      <w:r w:rsidRPr="00785819">
        <w:t xml:space="preserve"> role </w:t>
      </w:r>
      <w:r w:rsidR="004C1EF0">
        <w:t>in its larger</w:t>
      </w:r>
      <w:r w:rsidRPr="00785819">
        <w:t xml:space="preserve"> minister</w:t>
      </w:r>
      <w:r w:rsidR="004C1EF0">
        <w:t>ial</w:t>
      </w:r>
      <w:r w:rsidRPr="00785819">
        <w:t xml:space="preserve"> and parliamentar</w:t>
      </w:r>
      <w:r w:rsidR="004C1EF0">
        <w:t xml:space="preserve">y </w:t>
      </w:r>
      <w:r w:rsidR="00CC2CFB">
        <w:t>context</w:t>
      </w:r>
      <w:r w:rsidR="00CC2CFB" w:rsidRPr="00785819">
        <w:t>, with</w:t>
      </w:r>
      <w:r w:rsidRPr="00785819">
        <w:t xml:space="preserve"> due respect </w:t>
      </w:r>
      <w:r w:rsidR="00CC2CFB" w:rsidRPr="00785819">
        <w:t xml:space="preserve">for </w:t>
      </w:r>
      <w:r w:rsidR="00CC2CFB">
        <w:t>the</w:t>
      </w:r>
      <w:r w:rsidRPr="00785819">
        <w:t xml:space="preserve"> separation of powers and rule of law. The latter would breach </w:t>
      </w:r>
      <w:r w:rsidR="004C1EF0">
        <w:t>what are generally regarded as</w:t>
      </w:r>
      <w:r w:rsidRPr="00785819">
        <w:t xml:space="preserve"> the</w:t>
      </w:r>
      <w:r w:rsidR="004C1EF0">
        <w:t xml:space="preserve"> constitutional</w:t>
      </w:r>
      <w:r w:rsidRPr="00785819">
        <w:t xml:space="preserve"> norms of the office</w:t>
      </w:r>
      <w:r w:rsidR="004C1EF0">
        <w:t>.</w:t>
      </w:r>
    </w:p>
    <w:p w14:paraId="0595639B" w14:textId="77777777" w:rsidR="00E81654" w:rsidRPr="00785819" w:rsidRDefault="00E81654" w:rsidP="00E81654">
      <w:pPr>
        <w:spacing w:line="360" w:lineRule="auto"/>
        <w:jc w:val="both"/>
        <w:rPr>
          <w:color w:val="000000" w:themeColor="text1"/>
        </w:rPr>
      </w:pPr>
    </w:p>
    <w:p w14:paraId="4F1AF232" w14:textId="4DBA1F0E" w:rsidR="00E81654" w:rsidRPr="00D129EC" w:rsidRDefault="00E81654" w:rsidP="00E81654">
      <w:pPr>
        <w:spacing w:line="360" w:lineRule="auto"/>
        <w:jc w:val="both"/>
        <w:rPr>
          <w:color w:val="000000" w:themeColor="text1"/>
          <w:shd w:val="clear" w:color="auto" w:fill="FFFFFF"/>
        </w:rPr>
      </w:pPr>
      <w:r w:rsidRPr="00785819">
        <w:rPr>
          <w:color w:val="000000" w:themeColor="text1"/>
        </w:rPr>
        <w:t xml:space="preserve">We suggest </w:t>
      </w:r>
      <w:r w:rsidR="00322F01">
        <w:rPr>
          <w:color w:val="000000" w:themeColor="text1"/>
        </w:rPr>
        <w:t xml:space="preserve">that </w:t>
      </w:r>
      <w:r w:rsidRPr="00785819">
        <w:rPr>
          <w:color w:val="000000" w:themeColor="text1"/>
        </w:rPr>
        <w:t xml:space="preserve">a close look at the </w:t>
      </w:r>
      <w:r>
        <w:rPr>
          <w:color w:val="000000" w:themeColor="text1"/>
        </w:rPr>
        <w:t>subject matter</w:t>
      </w:r>
      <w:r w:rsidR="00322F01">
        <w:rPr>
          <w:color w:val="000000" w:themeColor="text1"/>
        </w:rPr>
        <w:t xml:space="preserve"> and text</w:t>
      </w:r>
      <w:r w:rsidRPr="00785819">
        <w:rPr>
          <w:color w:val="000000" w:themeColor="text1"/>
        </w:rPr>
        <w:t xml:space="preserve"> of the speech shows that it comfortably falls on the side of the former. For a start, at several stages the A</w:t>
      </w:r>
      <w:r>
        <w:rPr>
          <w:color w:val="000000" w:themeColor="text1"/>
        </w:rPr>
        <w:t xml:space="preserve">ttorney </w:t>
      </w:r>
      <w:r w:rsidRPr="00785819">
        <w:rPr>
          <w:color w:val="000000" w:themeColor="text1"/>
        </w:rPr>
        <w:t>G</w:t>
      </w:r>
      <w:r>
        <w:rPr>
          <w:color w:val="000000" w:themeColor="text1"/>
        </w:rPr>
        <w:t>eneral</w:t>
      </w:r>
      <w:r w:rsidRPr="00785819">
        <w:rPr>
          <w:color w:val="000000" w:themeColor="text1"/>
        </w:rPr>
        <w:t xml:space="preserve"> was</w:t>
      </w:r>
      <w:r>
        <w:rPr>
          <w:color w:val="000000" w:themeColor="text1"/>
        </w:rPr>
        <w:t xml:space="preserve"> </w:t>
      </w:r>
      <w:r w:rsidRPr="00785819">
        <w:rPr>
          <w:color w:val="000000" w:themeColor="text1"/>
        </w:rPr>
        <w:t xml:space="preserve">careful to reiterate the critical role played by the judiciary in the Constitution. </w:t>
      </w:r>
      <w:r w:rsidRPr="00785819">
        <w:rPr>
          <w:color w:val="000000" w:themeColor="text1"/>
          <w:shd w:val="clear" w:color="auto" w:fill="FFFFFF"/>
        </w:rPr>
        <w:t>Judges, said the A</w:t>
      </w:r>
      <w:r>
        <w:rPr>
          <w:color w:val="000000" w:themeColor="text1"/>
          <w:shd w:val="clear" w:color="auto" w:fill="FFFFFF"/>
        </w:rPr>
        <w:t xml:space="preserve">ttorney </w:t>
      </w:r>
      <w:r w:rsidRPr="00785819">
        <w:rPr>
          <w:color w:val="000000" w:themeColor="text1"/>
          <w:shd w:val="clear" w:color="auto" w:fill="FFFFFF"/>
        </w:rPr>
        <w:t>G</w:t>
      </w:r>
      <w:r>
        <w:rPr>
          <w:color w:val="000000" w:themeColor="text1"/>
          <w:shd w:val="clear" w:color="auto" w:fill="FFFFFF"/>
        </w:rPr>
        <w:t>eneral</w:t>
      </w:r>
      <w:r w:rsidRPr="00785819">
        <w:rPr>
          <w:color w:val="000000" w:themeColor="text1"/>
          <w:shd w:val="clear" w:color="auto" w:fill="FFFFFF"/>
        </w:rPr>
        <w:t>, are “entitled to the greatest respect, and in our system are beyond reproach, and rightly so”.</w:t>
      </w:r>
      <w:r w:rsidRPr="00785819">
        <w:rPr>
          <w:rStyle w:val="FootnoteReference"/>
          <w:color w:val="000000" w:themeColor="text1"/>
          <w:shd w:val="clear" w:color="auto" w:fill="FFFFFF"/>
        </w:rPr>
        <w:footnoteReference w:id="31"/>
      </w:r>
      <w:r w:rsidRPr="00785819">
        <w:rPr>
          <w:color w:val="000000" w:themeColor="text1"/>
          <w:shd w:val="clear" w:color="auto" w:fill="FFFFFF"/>
        </w:rPr>
        <w:t xml:space="preserve"> The A</w:t>
      </w:r>
      <w:r>
        <w:rPr>
          <w:color w:val="000000" w:themeColor="text1"/>
          <w:shd w:val="clear" w:color="auto" w:fill="FFFFFF"/>
        </w:rPr>
        <w:t xml:space="preserve">ttorney </w:t>
      </w:r>
      <w:r w:rsidRPr="00785819">
        <w:rPr>
          <w:color w:val="000000" w:themeColor="text1"/>
          <w:shd w:val="clear" w:color="auto" w:fill="FFFFFF"/>
        </w:rPr>
        <w:t>G</w:t>
      </w:r>
      <w:r>
        <w:rPr>
          <w:color w:val="000000" w:themeColor="text1"/>
          <w:shd w:val="clear" w:color="auto" w:fill="FFFFFF"/>
        </w:rPr>
        <w:t>eneral</w:t>
      </w:r>
      <w:r w:rsidRPr="00785819">
        <w:rPr>
          <w:color w:val="000000" w:themeColor="text1"/>
          <w:shd w:val="clear" w:color="auto" w:fill="FFFFFF"/>
        </w:rPr>
        <w:t xml:space="preserve"> emphatically </w:t>
      </w:r>
      <w:r>
        <w:rPr>
          <w:color w:val="000000" w:themeColor="text1"/>
          <w:shd w:val="clear" w:color="auto" w:fill="FFFFFF"/>
        </w:rPr>
        <w:t>stated</w:t>
      </w:r>
      <w:r w:rsidRPr="00785819">
        <w:rPr>
          <w:color w:val="000000" w:themeColor="text1"/>
          <w:shd w:val="clear" w:color="auto" w:fill="FFFFFF"/>
        </w:rPr>
        <w:t xml:space="preserve"> </w:t>
      </w:r>
      <w:r>
        <w:rPr>
          <w:color w:val="000000" w:themeColor="text1"/>
          <w:shd w:val="clear" w:color="auto" w:fill="FFFFFF"/>
        </w:rPr>
        <w:t xml:space="preserve">“I </w:t>
      </w:r>
      <w:r w:rsidRPr="00785819">
        <w:rPr>
          <w:color w:val="000000" w:themeColor="text1"/>
          <w:shd w:val="clear" w:color="auto" w:fill="FFFFFF"/>
        </w:rPr>
        <w:t>accept their decisions, even if I disagree with them.”</w:t>
      </w:r>
      <w:r w:rsidRPr="00785819">
        <w:rPr>
          <w:rStyle w:val="FootnoteReference"/>
          <w:color w:val="000000" w:themeColor="text1"/>
          <w:shd w:val="clear" w:color="auto" w:fill="FFFFFF"/>
        </w:rPr>
        <w:footnoteReference w:id="32"/>
      </w:r>
      <w:r w:rsidRPr="00785819">
        <w:rPr>
          <w:color w:val="000000" w:themeColor="text1"/>
          <w:shd w:val="clear" w:color="auto" w:fill="FFFFFF"/>
        </w:rPr>
        <w:t xml:space="preserve"> The A</w:t>
      </w:r>
      <w:r>
        <w:rPr>
          <w:color w:val="000000" w:themeColor="text1"/>
          <w:shd w:val="clear" w:color="auto" w:fill="FFFFFF"/>
        </w:rPr>
        <w:t xml:space="preserve">ttorney </w:t>
      </w:r>
      <w:r w:rsidRPr="00785819">
        <w:rPr>
          <w:color w:val="000000" w:themeColor="text1"/>
          <w:shd w:val="clear" w:color="auto" w:fill="FFFFFF"/>
        </w:rPr>
        <w:t>G</w:t>
      </w:r>
      <w:r>
        <w:rPr>
          <w:color w:val="000000" w:themeColor="text1"/>
          <w:shd w:val="clear" w:color="auto" w:fill="FFFFFF"/>
        </w:rPr>
        <w:t>eneral</w:t>
      </w:r>
      <w:r w:rsidRPr="00785819">
        <w:rPr>
          <w:color w:val="000000" w:themeColor="text1"/>
          <w:shd w:val="clear" w:color="auto" w:fill="FFFFFF"/>
        </w:rPr>
        <w:t xml:space="preserve"> also</w:t>
      </w:r>
      <w:r>
        <w:rPr>
          <w:color w:val="000000" w:themeColor="text1"/>
          <w:shd w:val="clear" w:color="auto" w:fill="FFFFFF"/>
        </w:rPr>
        <w:t xml:space="preserve"> correctly</w:t>
      </w:r>
      <w:r w:rsidRPr="00785819">
        <w:rPr>
          <w:color w:val="000000" w:themeColor="text1"/>
          <w:shd w:val="clear" w:color="auto" w:fill="FFFFFF"/>
        </w:rPr>
        <w:t xml:space="preserve"> stressed that “</w:t>
      </w:r>
      <w:r w:rsidRPr="007B3E29">
        <w:rPr>
          <w:color w:val="000000" w:themeColor="text1"/>
          <w:shd w:val="clear" w:color="auto" w:fill="FFFFFF"/>
        </w:rPr>
        <w:t>an independent, apolitical, judiciary is crucial to upholding the Rule of Law.</w:t>
      </w:r>
      <w:r w:rsidRPr="00785819">
        <w:rPr>
          <w:color w:val="000000" w:themeColor="text1"/>
          <w:shd w:val="clear" w:color="auto" w:fill="FFFFFF"/>
        </w:rPr>
        <w:t>”</w:t>
      </w:r>
      <w:r w:rsidRPr="00785819">
        <w:rPr>
          <w:rStyle w:val="FootnoteReference"/>
          <w:color w:val="000000" w:themeColor="text1"/>
          <w:shd w:val="clear" w:color="auto" w:fill="FFFFFF"/>
        </w:rPr>
        <w:footnoteReference w:id="33"/>
      </w:r>
      <w:r w:rsidRPr="00785819">
        <w:rPr>
          <w:color w:val="000000" w:themeColor="text1"/>
          <w:shd w:val="clear" w:color="auto" w:fill="FFFFFF"/>
        </w:rPr>
        <w:t xml:space="preserve"> </w:t>
      </w:r>
      <w:r>
        <w:rPr>
          <w:color w:val="000000" w:themeColor="text1"/>
          <w:shd w:val="clear" w:color="auto" w:fill="FFFFFF"/>
        </w:rPr>
        <w:t>Moreover</w:t>
      </w:r>
      <w:r w:rsidRPr="00785819">
        <w:rPr>
          <w:color w:val="000000" w:themeColor="text1"/>
          <w:shd w:val="clear" w:color="auto" w:fill="FFFFFF"/>
        </w:rPr>
        <w:t xml:space="preserve">, the substance of the speech </w:t>
      </w:r>
      <w:r w:rsidRPr="00785819">
        <w:rPr>
          <w:color w:val="0B0C0C"/>
          <w:shd w:val="clear" w:color="auto" w:fill="FFFFFF"/>
        </w:rPr>
        <w:t>cannot reasonably be read</w:t>
      </w:r>
      <w:r>
        <w:rPr>
          <w:color w:val="0B0C0C"/>
          <w:shd w:val="clear" w:color="auto" w:fill="FFFFFF"/>
        </w:rPr>
        <w:t xml:space="preserve"> as</w:t>
      </w:r>
      <w:r w:rsidRPr="00785819">
        <w:rPr>
          <w:color w:val="0B0C0C"/>
          <w:shd w:val="clear" w:color="auto" w:fill="FFFFFF"/>
        </w:rPr>
        <w:t xml:space="preserve"> anything like </w:t>
      </w:r>
      <w:r>
        <w:rPr>
          <w:color w:val="0B0C0C"/>
          <w:shd w:val="clear" w:color="auto" w:fill="FFFFFF"/>
        </w:rPr>
        <w:t>an</w:t>
      </w:r>
      <w:r w:rsidRPr="00785819">
        <w:rPr>
          <w:color w:val="0B0C0C"/>
          <w:shd w:val="clear" w:color="auto" w:fill="FFFFFF"/>
        </w:rPr>
        <w:t xml:space="preserve"> attack on the judiciary or its constitutional position</w:t>
      </w:r>
      <w:r>
        <w:rPr>
          <w:color w:val="0B0C0C"/>
          <w:shd w:val="clear" w:color="auto" w:fill="FFFFFF"/>
        </w:rPr>
        <w:t>; but</w:t>
      </w:r>
      <w:r w:rsidRPr="00785819">
        <w:rPr>
          <w:color w:val="0B0C0C"/>
          <w:shd w:val="clear" w:color="auto" w:fill="FFFFFF"/>
        </w:rPr>
        <w:t xml:space="preserve"> </w:t>
      </w:r>
      <w:r>
        <w:rPr>
          <w:color w:val="0B0C0C"/>
          <w:shd w:val="clear" w:color="auto" w:fill="FFFFFF"/>
        </w:rPr>
        <w:t>instead reads as a reasoned</w:t>
      </w:r>
      <w:r w:rsidRPr="00785819">
        <w:rPr>
          <w:color w:val="0B0C0C"/>
          <w:shd w:val="clear" w:color="auto" w:fill="FFFFFF"/>
        </w:rPr>
        <w:t xml:space="preserve"> explanation</w:t>
      </w:r>
      <w:r>
        <w:rPr>
          <w:color w:val="0B0C0C"/>
          <w:shd w:val="clear" w:color="auto" w:fill="FFFFFF"/>
        </w:rPr>
        <w:t xml:space="preserve"> and justification</w:t>
      </w:r>
      <w:r w:rsidRPr="00785819">
        <w:rPr>
          <w:color w:val="0B0C0C"/>
          <w:shd w:val="clear" w:color="auto" w:fill="FFFFFF"/>
        </w:rPr>
        <w:t xml:space="preserve"> - steeped in case law and public law scholarship </w:t>
      </w:r>
      <w:r>
        <w:rPr>
          <w:color w:val="0B0C0C"/>
          <w:shd w:val="clear" w:color="auto" w:fill="FFFFFF"/>
        </w:rPr>
        <w:t>–</w:t>
      </w:r>
      <w:r w:rsidRPr="00785819">
        <w:rPr>
          <w:color w:val="0B0C0C"/>
          <w:shd w:val="clear" w:color="auto" w:fill="FFFFFF"/>
        </w:rPr>
        <w:t xml:space="preserve"> </w:t>
      </w:r>
      <w:r>
        <w:rPr>
          <w:color w:val="0B0C0C"/>
          <w:shd w:val="clear" w:color="auto" w:fill="FFFFFF"/>
        </w:rPr>
        <w:t>for</w:t>
      </w:r>
      <w:r w:rsidRPr="00785819">
        <w:rPr>
          <w:color w:val="0B0C0C"/>
          <w:shd w:val="clear" w:color="auto" w:fill="FFFFFF"/>
        </w:rPr>
        <w:t xml:space="preserve"> the legitimacy of the </w:t>
      </w:r>
      <w:r>
        <w:rPr>
          <w:color w:val="0B0C0C"/>
          <w:shd w:val="clear" w:color="auto" w:fill="FFFFFF"/>
        </w:rPr>
        <w:t>executive</w:t>
      </w:r>
      <w:r w:rsidRPr="00785819">
        <w:rPr>
          <w:color w:val="0B0C0C"/>
          <w:shd w:val="clear" w:color="auto" w:fill="FFFFFF"/>
        </w:rPr>
        <w:t xml:space="preserve"> inviting the legislature to intervene where it disagrees with the constitutional propriety of a line of jurisprudence. </w:t>
      </w:r>
    </w:p>
    <w:p w14:paraId="57CA4D8A" w14:textId="77777777" w:rsidR="00E81654" w:rsidRPr="00785819" w:rsidRDefault="00E81654" w:rsidP="00E81654">
      <w:pPr>
        <w:spacing w:line="360" w:lineRule="auto"/>
        <w:jc w:val="both"/>
        <w:rPr>
          <w:color w:val="0B0C0C"/>
          <w:shd w:val="clear" w:color="auto" w:fill="FFFFFF"/>
        </w:rPr>
      </w:pPr>
    </w:p>
    <w:p w14:paraId="070D9E1F" w14:textId="7394A634" w:rsidR="00E81654" w:rsidRDefault="00E81654" w:rsidP="00E81654">
      <w:pPr>
        <w:spacing w:line="360" w:lineRule="auto"/>
        <w:jc w:val="both"/>
      </w:pPr>
      <w:r>
        <w:rPr>
          <w:color w:val="0B0C0C"/>
          <w:shd w:val="clear" w:color="auto" w:fill="FFFFFF"/>
        </w:rPr>
        <w:t>T</w:t>
      </w:r>
      <w:r w:rsidRPr="00785819">
        <w:rPr>
          <w:color w:val="0B0C0C"/>
          <w:shd w:val="clear" w:color="auto" w:fill="FFFFFF"/>
        </w:rPr>
        <w:t>he heart of the speech touched on several complex, often technical</w:t>
      </w:r>
      <w:r>
        <w:rPr>
          <w:color w:val="0B0C0C"/>
          <w:shd w:val="clear" w:color="auto" w:fill="FFFFFF"/>
        </w:rPr>
        <w:t>,</w:t>
      </w:r>
      <w:r w:rsidRPr="00785819">
        <w:rPr>
          <w:color w:val="0B0C0C"/>
          <w:shd w:val="clear" w:color="auto" w:fill="FFFFFF"/>
        </w:rPr>
        <w:t xml:space="preserve"> legal topics central to the</w:t>
      </w:r>
      <w:r>
        <w:rPr>
          <w:color w:val="0B0C0C"/>
          <w:shd w:val="clear" w:color="auto" w:fill="FFFFFF"/>
        </w:rPr>
        <w:t xml:space="preserve"> </w:t>
      </w:r>
      <w:r w:rsidR="00322F01">
        <w:rPr>
          <w:color w:val="0B0C0C"/>
          <w:shd w:val="clear" w:color="auto" w:fill="FFFFFF"/>
        </w:rPr>
        <w:t>constitutional balance</w:t>
      </w:r>
      <w:r>
        <w:rPr>
          <w:color w:val="0B0C0C"/>
          <w:shd w:val="clear" w:color="auto" w:fill="FFFFFF"/>
        </w:rPr>
        <w:t xml:space="preserve"> of the UK</w:t>
      </w:r>
      <w:r w:rsidRPr="00785819">
        <w:rPr>
          <w:color w:val="0B0C0C"/>
          <w:shd w:val="clear" w:color="auto" w:fill="FFFFFF"/>
        </w:rPr>
        <w:t>, including</w:t>
      </w:r>
      <w:r>
        <w:rPr>
          <w:color w:val="0B0C0C"/>
          <w:shd w:val="clear" w:color="auto" w:fill="FFFFFF"/>
        </w:rPr>
        <w:t>:</w:t>
      </w:r>
      <w:r w:rsidRPr="00785819">
        <w:rPr>
          <w:color w:val="0B0C0C"/>
          <w:shd w:val="clear" w:color="auto" w:fill="FFFFFF"/>
        </w:rPr>
        <w:t xml:space="preserve"> </w:t>
      </w:r>
      <w:r w:rsidRPr="00785819">
        <w:t>the appropriate scope of judicial review over prerogative powers</w:t>
      </w:r>
      <w:r>
        <w:t xml:space="preserve"> like prorogation</w:t>
      </w:r>
      <w:r w:rsidRPr="00785819">
        <w:t xml:space="preserve">, the propriety of </w:t>
      </w:r>
      <w:r>
        <w:t xml:space="preserve">more intensive </w:t>
      </w:r>
      <w:r w:rsidRPr="00785819">
        <w:t xml:space="preserve">standards of </w:t>
      </w:r>
      <w:r>
        <w:t xml:space="preserve">judicial </w:t>
      </w:r>
      <w:r w:rsidRPr="00785819">
        <w:t xml:space="preserve">review like proportionality, the cogency of the Supreme Court’s approach to statutory interpretation and ascertaining parliamentary intent, and </w:t>
      </w:r>
      <w:r>
        <w:t>where to draw the conceptual</w:t>
      </w:r>
      <w:r w:rsidRPr="00785819">
        <w:t xml:space="preserve"> line between subject</w:t>
      </w:r>
      <w:r>
        <w:t>-</w:t>
      </w:r>
      <w:r w:rsidRPr="00785819">
        <w:t xml:space="preserve">matter properly subject to </w:t>
      </w:r>
      <w:r w:rsidR="00322F01">
        <w:t>judicial determination</w:t>
      </w:r>
      <w:r w:rsidRPr="00785819">
        <w:t xml:space="preserve"> and </w:t>
      </w:r>
      <w:r>
        <w:t>that which is</w:t>
      </w:r>
      <w:r w:rsidRPr="00785819">
        <w:t xml:space="preserve"> nonjusticiable due to its high-political nature. </w:t>
      </w:r>
      <w:r>
        <w:t>In assessing the propriety of the Attorney General’s remarks, it is important to note that her</w:t>
      </w:r>
      <w:r w:rsidRPr="00785819">
        <w:t xml:space="preserve"> critique of the Supreme Court on these issues, and her own </w:t>
      </w:r>
      <w:r>
        <w:t>proffered</w:t>
      </w:r>
      <w:r w:rsidRPr="00785819">
        <w:t xml:space="preserve"> </w:t>
      </w:r>
      <w:r>
        <w:t>alternatives</w:t>
      </w:r>
      <w:r w:rsidRPr="00785819">
        <w:t xml:space="preserve">, are not eccentric or </w:t>
      </w:r>
      <w:r w:rsidR="00322F01">
        <w:t>extreme</w:t>
      </w:r>
      <w:r w:rsidRPr="00785819">
        <w:t xml:space="preserve"> constitutional positions, but</w:t>
      </w:r>
      <w:r>
        <w:t xml:space="preserve"> views</w:t>
      </w:r>
      <w:r w:rsidRPr="00785819">
        <w:t xml:space="preserve"> shared by many in the</w:t>
      </w:r>
      <w:r>
        <w:t xml:space="preserve"> judiciary,</w:t>
      </w:r>
      <w:r w:rsidRPr="00785819">
        <w:t xml:space="preserve"> legal profession</w:t>
      </w:r>
      <w:r>
        <w:t>,</w:t>
      </w:r>
      <w:r w:rsidRPr="00785819">
        <w:t xml:space="preserve"> and academy.</w:t>
      </w:r>
    </w:p>
    <w:p w14:paraId="3077CFD3" w14:textId="77777777" w:rsidR="00E81654" w:rsidRDefault="00E81654" w:rsidP="00E81654">
      <w:pPr>
        <w:spacing w:line="360" w:lineRule="auto"/>
        <w:jc w:val="both"/>
      </w:pPr>
    </w:p>
    <w:p w14:paraId="7F6C8CD8" w14:textId="5918EFE5" w:rsidR="00E81654" w:rsidRDefault="003349B2" w:rsidP="00E81654">
      <w:pPr>
        <w:spacing w:line="360" w:lineRule="auto"/>
        <w:jc w:val="both"/>
      </w:pPr>
      <w:r>
        <w:t xml:space="preserve">We suggest </w:t>
      </w:r>
      <w:r w:rsidR="00322F01">
        <w:t>that the existence</w:t>
      </w:r>
      <w:r w:rsidR="00E81654" w:rsidRPr="00785819">
        <w:t xml:space="preserve"> of deep and wide disagreement on these questions support</w:t>
      </w:r>
      <w:r w:rsidR="007E3C4D">
        <w:t>s</w:t>
      </w:r>
      <w:r w:rsidR="00E81654" w:rsidRPr="00785819">
        <w:t xml:space="preserve"> the </w:t>
      </w:r>
      <w:r w:rsidR="00E81654">
        <w:t>view</w:t>
      </w:r>
      <w:r w:rsidR="00E81654" w:rsidRPr="00785819">
        <w:t xml:space="preserve"> that what was advanced by </w:t>
      </w:r>
      <w:r w:rsidR="00E81654">
        <w:t>the Attorney’s</w:t>
      </w:r>
      <w:r w:rsidR="00E81654" w:rsidRPr="00785819">
        <w:t xml:space="preserve"> speech was not political in </w:t>
      </w:r>
      <w:r w:rsidR="00E81654">
        <w:t>the</w:t>
      </w:r>
      <w:r w:rsidR="00E81654" w:rsidRPr="00785819">
        <w:t xml:space="preserve"> narrow, inappropriate</w:t>
      </w:r>
      <w:r w:rsidR="00E81654">
        <w:t>,</w:t>
      </w:r>
      <w:r w:rsidR="00E81654" w:rsidRPr="00785819">
        <w:t xml:space="preserve"> partisan sense</w:t>
      </w:r>
      <w:r w:rsidR="00E81654">
        <w:t xml:space="preserve"> of that term</w:t>
      </w:r>
      <w:r w:rsidR="00E81654" w:rsidRPr="00785819">
        <w:t xml:space="preserve">. Instead, the more </w:t>
      </w:r>
      <w:r w:rsidR="00E81654">
        <w:t>natural</w:t>
      </w:r>
      <w:r w:rsidR="00E81654" w:rsidRPr="00785819">
        <w:t xml:space="preserve"> reading is that it was</w:t>
      </w:r>
      <w:r w:rsidR="00E81654">
        <w:t xml:space="preserve"> only political speech in the richer sense of that word – concerning as it did philosophical disagreement about </w:t>
      </w:r>
      <w:r w:rsidR="00E81654" w:rsidRPr="00785819">
        <w:t xml:space="preserve">a contentious line of </w:t>
      </w:r>
      <w:r w:rsidR="00E81654">
        <w:t xml:space="preserve">jurisprudence – of the kind it is entirely appropriate for a constitutional actor with both legal and political dimensions to engage in. </w:t>
      </w:r>
    </w:p>
    <w:p w14:paraId="02642758" w14:textId="77777777" w:rsidR="00E81654" w:rsidRPr="00785819" w:rsidRDefault="00E81654" w:rsidP="00E81654">
      <w:pPr>
        <w:spacing w:line="360" w:lineRule="auto"/>
        <w:jc w:val="both"/>
      </w:pPr>
    </w:p>
    <w:p w14:paraId="57460B99" w14:textId="5E364B8B" w:rsidR="00E81654" w:rsidRDefault="00E81654" w:rsidP="00E81654">
      <w:pPr>
        <w:spacing w:line="360" w:lineRule="auto"/>
        <w:jc w:val="both"/>
      </w:pPr>
      <w:r>
        <w:t xml:space="preserve"> </w:t>
      </w:r>
      <w:r w:rsidR="003349B2">
        <w:tab/>
        <w:t>The</w:t>
      </w:r>
      <w:r>
        <w:t xml:space="preserve"> </w:t>
      </w:r>
      <w:r w:rsidRPr="00785819">
        <w:t>A</w:t>
      </w:r>
      <w:r>
        <w:t xml:space="preserve">ttorney </w:t>
      </w:r>
      <w:r w:rsidRPr="00785819">
        <w:t>G</w:t>
      </w:r>
      <w:r>
        <w:t xml:space="preserve">eneral </w:t>
      </w:r>
      <w:r w:rsidRPr="00785819">
        <w:t xml:space="preserve">has never been considered an apolitical actor in </w:t>
      </w:r>
      <w:r w:rsidRPr="00122721">
        <w:rPr>
          <w:i/>
          <w:iCs/>
        </w:rPr>
        <w:t>this</w:t>
      </w:r>
      <w:r w:rsidRPr="00785819">
        <w:t xml:space="preserve"> </w:t>
      </w:r>
      <w:r w:rsidR="00F34E73">
        <w:t xml:space="preserve">richer </w:t>
      </w:r>
      <w:r>
        <w:t>sense</w:t>
      </w:r>
      <w:r w:rsidRPr="00785819">
        <w:t>. A</w:t>
      </w:r>
      <w:r>
        <w:t xml:space="preserve">ttorneys </w:t>
      </w:r>
      <w:r w:rsidRPr="00785819">
        <w:t>G</w:t>
      </w:r>
      <w:r>
        <w:t>eneral</w:t>
      </w:r>
      <w:r w:rsidRPr="00785819">
        <w:t xml:space="preserve"> must</w:t>
      </w:r>
      <w:r>
        <w:t>,</w:t>
      </w:r>
      <w:r w:rsidRPr="00785819">
        <w:t xml:space="preserve"> of course</w:t>
      </w:r>
      <w:r>
        <w:t>,</w:t>
      </w:r>
      <w:r w:rsidRPr="00785819">
        <w:t xml:space="preserve"> avoid</w:t>
      </w:r>
      <w:r>
        <w:t xml:space="preserve"> political</w:t>
      </w:r>
      <w:r w:rsidRPr="00785819">
        <w:t xml:space="preserve"> partisanship in their public interest </w:t>
      </w:r>
      <w:r>
        <w:t>determinations</w:t>
      </w:r>
      <w:r w:rsidRPr="00785819">
        <w:t xml:space="preserve">, and </w:t>
      </w:r>
      <w:r>
        <w:t>the</w:t>
      </w:r>
      <w:r w:rsidRPr="00785819">
        <w:t xml:space="preserve"> kind of </w:t>
      </w:r>
      <w:r>
        <w:t xml:space="preserve">public </w:t>
      </w:r>
      <w:r w:rsidRPr="00785819">
        <w:t>remarks that would bring the judiciary and Rule of Law into contempt</w:t>
      </w:r>
      <w:r>
        <w:t>. But</w:t>
      </w:r>
      <w:r w:rsidRPr="00785819">
        <w:t xml:space="preserve"> these are entirely distinct from advancing a good-faith constitutional rationale for policy reform mooted by the Government</w:t>
      </w:r>
      <w:r>
        <w:t>, or the legitimacy of the executive inviting Parliament to correct what it views as</w:t>
      </w:r>
      <w:r w:rsidRPr="00785819">
        <w:t xml:space="preserve"> </w:t>
      </w:r>
      <w:r>
        <w:t>an erroneous and constitutionally heterodox</w:t>
      </w:r>
      <w:r w:rsidRPr="00785819">
        <w:t xml:space="preserve"> line of Supreme Court jurisprudence. </w:t>
      </w:r>
    </w:p>
    <w:p w14:paraId="3537C201" w14:textId="77777777" w:rsidR="00E81654" w:rsidRDefault="00E81654" w:rsidP="00E81654">
      <w:pPr>
        <w:spacing w:line="360" w:lineRule="auto"/>
        <w:jc w:val="both"/>
      </w:pPr>
    </w:p>
    <w:p w14:paraId="0A26FC2F" w14:textId="2804F607" w:rsidR="00E81654" w:rsidRPr="003349B2" w:rsidRDefault="00E81654" w:rsidP="003349B2">
      <w:pPr>
        <w:spacing w:line="360" w:lineRule="auto"/>
        <w:jc w:val="both"/>
      </w:pPr>
      <w:r>
        <w:t>It also cannot be overlooked that there are precedents for this kind of political engagement with the jurisprudence of the senior judiciary. Similar respectful, but firm, public remarks voicing concern and disagreement with jurisprudential trends were given during the tenures of the last several Attorneys General.</w:t>
      </w:r>
      <w:r>
        <w:rPr>
          <w:rStyle w:val="FootnoteReference"/>
        </w:rPr>
        <w:footnoteReference w:id="34"/>
      </w:r>
      <w:r>
        <w:t xml:space="preserve"> </w:t>
      </w:r>
      <w:r w:rsidRPr="00F429B3">
        <w:rPr>
          <w:color w:val="000000" w:themeColor="text1"/>
        </w:rPr>
        <w:t xml:space="preserve">In the UK, the principle that </w:t>
      </w:r>
      <w:r>
        <w:rPr>
          <w:color w:val="000000" w:themeColor="text1"/>
        </w:rPr>
        <w:t>judgments</w:t>
      </w:r>
      <w:r w:rsidRPr="00F429B3">
        <w:rPr>
          <w:color w:val="000000" w:themeColor="text1"/>
        </w:rPr>
        <w:t xml:space="preserve"> and trends in judicial thinking are properly debateable has</w:t>
      </w:r>
      <w:r w:rsidRPr="00F429B3">
        <w:rPr>
          <w:color w:val="000000" w:themeColor="text1"/>
          <w:shd w:val="clear" w:color="auto" w:fill="FFFFFF"/>
        </w:rPr>
        <w:t xml:space="preserve"> been, and should always remain, an important contribution to determining where the</w:t>
      </w:r>
      <w:r>
        <w:rPr>
          <w:color w:val="000000" w:themeColor="text1"/>
          <w:shd w:val="clear" w:color="auto" w:fill="FFFFFF"/>
        </w:rPr>
        <w:t xml:space="preserve"> </w:t>
      </w:r>
      <w:r w:rsidRPr="00F429B3">
        <w:rPr>
          <w:color w:val="000000" w:themeColor="text1"/>
          <w:shd w:val="clear" w:color="auto" w:fill="FFFFFF"/>
        </w:rPr>
        <w:t>common good lies. </w:t>
      </w:r>
      <w:r w:rsidR="00F34E73">
        <w:rPr>
          <w:color w:val="000000" w:themeColor="text1"/>
          <w:shd w:val="clear" w:color="auto" w:fill="FFFFFF"/>
        </w:rPr>
        <w:t xml:space="preserve"> </w:t>
      </w:r>
      <w:r w:rsidRPr="00F429B3">
        <w:rPr>
          <w:color w:val="000000" w:themeColor="text1"/>
          <w:shd w:val="clear" w:color="auto" w:fill="FFFFFF"/>
        </w:rPr>
        <w:t xml:space="preserve">Law officers, with their dual political and legal </w:t>
      </w:r>
      <w:r>
        <w:rPr>
          <w:color w:val="000000" w:themeColor="text1"/>
          <w:shd w:val="clear" w:color="auto" w:fill="FFFFFF"/>
        </w:rPr>
        <w:t>roles and ability to grapple with the minutiae of judicial doctrine and legal commentary,</w:t>
      </w:r>
      <w:r w:rsidR="00CC2CFB">
        <w:rPr>
          <w:color w:val="000000" w:themeColor="text1"/>
          <w:shd w:val="clear" w:color="auto" w:fill="FFFFFF"/>
        </w:rPr>
        <w:t xml:space="preserve"> seem to us</w:t>
      </w:r>
      <w:r w:rsidRPr="00F429B3">
        <w:rPr>
          <w:color w:val="000000" w:themeColor="text1"/>
          <w:shd w:val="clear" w:color="auto" w:fill="FFFFFF"/>
        </w:rPr>
        <w:t xml:space="preserve"> </w:t>
      </w:r>
      <w:r w:rsidRPr="00F429B3">
        <w:rPr>
          <w:color w:val="000000" w:themeColor="text1"/>
        </w:rPr>
        <w:t xml:space="preserve">have a useful role to play in these debates. </w:t>
      </w:r>
    </w:p>
    <w:p w14:paraId="14A54C5A" w14:textId="77777777" w:rsidR="00E81654" w:rsidRDefault="00E81654" w:rsidP="00E81654">
      <w:pPr>
        <w:spacing w:line="360" w:lineRule="auto"/>
        <w:jc w:val="both"/>
      </w:pPr>
    </w:p>
    <w:p w14:paraId="246ED1CB" w14:textId="461B12DA" w:rsidR="00E81654" w:rsidRDefault="00E81654" w:rsidP="00E81654">
      <w:pPr>
        <w:spacing w:line="360" w:lineRule="auto"/>
        <w:jc w:val="both"/>
      </w:pPr>
      <w:r w:rsidRPr="00785819">
        <w:t>To disagree</w:t>
      </w:r>
      <w:r w:rsidR="00900F37">
        <w:t xml:space="preserve"> </w:t>
      </w:r>
      <w:r w:rsidRPr="00785819">
        <w:t xml:space="preserve">with </w:t>
      </w:r>
      <w:r>
        <w:t>an aspect (or all)</w:t>
      </w:r>
      <w:r w:rsidRPr="00785819">
        <w:t xml:space="preserve"> of the A</w:t>
      </w:r>
      <w:r>
        <w:t xml:space="preserve">ttorney </w:t>
      </w:r>
      <w:r w:rsidRPr="00785819">
        <w:t>G</w:t>
      </w:r>
      <w:r>
        <w:t>eneral’</w:t>
      </w:r>
      <w:r w:rsidRPr="00785819">
        <w:t xml:space="preserve">s remarks </w:t>
      </w:r>
      <w:r>
        <w:t xml:space="preserve">on </w:t>
      </w:r>
      <w:r w:rsidRPr="00785819">
        <w:t>recent case-law is one thing</w:t>
      </w:r>
      <w:r>
        <w:t>,</w:t>
      </w:r>
      <w:r w:rsidR="005E23E4">
        <w:t xml:space="preserve"> </w:t>
      </w:r>
      <w:r w:rsidRPr="00785819">
        <w:t>and entirely appropriate</w:t>
      </w:r>
      <w:r w:rsidR="005E23E4">
        <w:t>,</w:t>
      </w:r>
      <w:r w:rsidRPr="00785819">
        <w:t xml:space="preserve"> but to </w:t>
      </w:r>
      <w:r>
        <w:t>suggest</w:t>
      </w:r>
      <w:r w:rsidRPr="00785819">
        <w:t xml:space="preserve"> that this kind of engagement with Supreme Court jurisprudence transcends the proper constitutional bounds of the office</w:t>
      </w:r>
      <w:r>
        <w:t xml:space="preserve"> of Attorney General,</w:t>
      </w:r>
      <w:r w:rsidRPr="00785819">
        <w:t xml:space="preserve"> </w:t>
      </w:r>
      <w:r w:rsidR="005E23E4">
        <w:t>seems overblown</w:t>
      </w:r>
      <w:r w:rsidRPr="00785819">
        <w:t xml:space="preserve">. </w:t>
      </w:r>
    </w:p>
    <w:p w14:paraId="36FCBE85" w14:textId="6016D50D" w:rsidR="00036E22" w:rsidRDefault="00036E22" w:rsidP="00D7225D">
      <w:pPr>
        <w:spacing w:line="360" w:lineRule="auto"/>
        <w:jc w:val="both"/>
        <w:rPr>
          <w:b/>
          <w:bCs/>
        </w:rPr>
      </w:pPr>
    </w:p>
    <w:p w14:paraId="66F84277" w14:textId="5D1ABAE7" w:rsidR="005A7BF9" w:rsidRDefault="005A7BF9" w:rsidP="00D7225D">
      <w:pPr>
        <w:spacing w:line="360" w:lineRule="auto"/>
        <w:jc w:val="both"/>
        <w:rPr>
          <w:b/>
          <w:bCs/>
        </w:rPr>
      </w:pPr>
    </w:p>
    <w:p w14:paraId="65810A6E" w14:textId="77777777" w:rsidR="005A7BF9" w:rsidRDefault="005A7BF9" w:rsidP="00D7225D">
      <w:pPr>
        <w:spacing w:line="360" w:lineRule="auto"/>
        <w:jc w:val="both"/>
        <w:rPr>
          <w:b/>
          <w:bCs/>
        </w:rPr>
      </w:pPr>
    </w:p>
    <w:p w14:paraId="4024E718" w14:textId="7F89A5B2" w:rsidR="00036E22" w:rsidRPr="005A7BF9" w:rsidRDefault="00AC2E67" w:rsidP="005A7BF9">
      <w:pPr>
        <w:pStyle w:val="ListParagraph"/>
        <w:numPr>
          <w:ilvl w:val="0"/>
          <w:numId w:val="10"/>
        </w:numPr>
        <w:spacing w:line="360" w:lineRule="auto"/>
        <w:jc w:val="both"/>
        <w:rPr>
          <w:b/>
          <w:bCs/>
        </w:rPr>
      </w:pPr>
      <w:r w:rsidRPr="005A7BF9">
        <w:rPr>
          <w:b/>
          <w:bCs/>
        </w:rPr>
        <w:lastRenderedPageBreak/>
        <w:t>PROPOSED REFORM</w:t>
      </w:r>
      <w:r w:rsidR="008017B7" w:rsidRPr="005A7BF9">
        <w:rPr>
          <w:b/>
          <w:bCs/>
        </w:rPr>
        <w:t xml:space="preserve"> AND</w:t>
      </w:r>
      <w:r w:rsidRPr="005A7BF9">
        <w:rPr>
          <w:b/>
          <w:bCs/>
        </w:rPr>
        <w:t xml:space="preserve"> THE INEVITABILITY OF TRADE-OFFS</w:t>
      </w:r>
    </w:p>
    <w:p w14:paraId="31B0A560" w14:textId="2CB80693" w:rsidR="00666201" w:rsidRPr="007D68A8" w:rsidRDefault="00277CF3" w:rsidP="001D7078">
      <w:pPr>
        <w:spacing w:line="360" w:lineRule="auto"/>
        <w:ind w:firstLine="360"/>
        <w:jc w:val="both"/>
        <w:rPr>
          <w:color w:val="000000" w:themeColor="text1"/>
        </w:rPr>
      </w:pPr>
      <w:r>
        <w:rPr>
          <w:color w:val="000000" w:themeColor="text1"/>
        </w:rPr>
        <w:t xml:space="preserve">Our defence of the Attorney General’s remarks will be </w:t>
      </w:r>
      <w:r w:rsidR="001D7078">
        <w:rPr>
          <w:color w:val="000000" w:themeColor="text1"/>
        </w:rPr>
        <w:t>cold</w:t>
      </w:r>
      <w:r>
        <w:rPr>
          <w:color w:val="000000" w:themeColor="text1"/>
        </w:rPr>
        <w:t xml:space="preserve"> comfort for those whose </w:t>
      </w:r>
      <w:r w:rsidR="001D7078">
        <w:rPr>
          <w:color w:val="000000" w:themeColor="text1"/>
        </w:rPr>
        <w:t>concerns</w:t>
      </w:r>
      <w:r>
        <w:rPr>
          <w:color w:val="000000" w:themeColor="text1"/>
        </w:rPr>
        <w:t xml:space="preserve"> </w:t>
      </w:r>
      <w:r w:rsidR="001D7078">
        <w:rPr>
          <w:color w:val="000000" w:themeColor="text1"/>
        </w:rPr>
        <w:t>are</w:t>
      </w:r>
      <w:r w:rsidR="00F7691C">
        <w:rPr>
          <w:color w:val="000000" w:themeColor="text1"/>
        </w:rPr>
        <w:t xml:space="preserve"> motivated by a broader objection: </w:t>
      </w:r>
      <w:r w:rsidR="007D034B">
        <w:rPr>
          <w:color w:val="000000" w:themeColor="text1"/>
        </w:rPr>
        <w:t>that</w:t>
      </w:r>
      <w:r w:rsidR="00276AAA" w:rsidRPr="007D68A8">
        <w:rPr>
          <w:color w:val="000000" w:themeColor="text1"/>
        </w:rPr>
        <w:t xml:space="preserve"> Attorney General’s role continues to have </w:t>
      </w:r>
      <w:r w:rsidR="00276AAA" w:rsidRPr="007D68A8">
        <w:rPr>
          <w:i/>
          <w:iCs/>
          <w:color w:val="000000" w:themeColor="text1"/>
        </w:rPr>
        <w:t>any</w:t>
      </w:r>
      <w:r w:rsidR="00276AAA" w:rsidRPr="007D68A8">
        <w:rPr>
          <w:color w:val="000000" w:themeColor="text1"/>
        </w:rPr>
        <w:t xml:space="preserve"> kind of political dimension</w:t>
      </w:r>
      <w:r w:rsidR="00F7691C">
        <w:rPr>
          <w:color w:val="000000" w:themeColor="text1"/>
        </w:rPr>
        <w:t xml:space="preserve">. </w:t>
      </w:r>
      <w:r w:rsidR="001D7078">
        <w:rPr>
          <w:color w:val="000000" w:themeColor="text1"/>
        </w:rPr>
        <w:t>Proposals to reform the Office have significant support amongst respected public law commentators</w:t>
      </w:r>
      <w:r w:rsidR="001D7078">
        <w:rPr>
          <w:rStyle w:val="FootnoteReference"/>
          <w:color w:val="000000" w:themeColor="text1"/>
        </w:rPr>
        <w:footnoteReference w:id="35"/>
      </w:r>
      <w:r w:rsidR="001D7078">
        <w:rPr>
          <w:color w:val="000000" w:themeColor="text1"/>
        </w:rPr>
        <w:t xml:space="preserve"> and calls to do so </w:t>
      </w:r>
      <w:r w:rsidR="00276AAA" w:rsidRPr="007D68A8">
        <w:rPr>
          <w:color w:val="000000" w:themeColor="text1"/>
        </w:rPr>
        <w:t>intermittently emerge</w:t>
      </w:r>
      <w:r w:rsidR="00F7691C">
        <w:rPr>
          <w:color w:val="000000" w:themeColor="text1"/>
        </w:rPr>
        <w:t xml:space="preserve"> with</w:t>
      </w:r>
      <w:r w:rsidR="001D7078">
        <w:rPr>
          <w:color w:val="000000" w:themeColor="text1"/>
        </w:rPr>
        <w:t>in political circles</w:t>
      </w:r>
      <w:r w:rsidR="00276AAA" w:rsidRPr="007D68A8">
        <w:rPr>
          <w:color w:val="000000" w:themeColor="text1"/>
        </w:rPr>
        <w:t>. In 2007, for example, the House of Commons Public Administration and Constitutional Affairs Committee strongly advocated reform of the office, on the basis it would be much preferable to have an unelected career civil servant perform the role of Government legal advisor as opposed to a political appointee.</w:t>
      </w:r>
      <w:r w:rsidR="00276AAA" w:rsidRPr="007D68A8">
        <w:rPr>
          <w:rStyle w:val="FootnoteReference"/>
          <w:color w:val="000000" w:themeColor="text1"/>
        </w:rPr>
        <w:footnoteReference w:id="36"/>
      </w:r>
      <w:r w:rsidR="00666201" w:rsidRPr="007D68A8">
        <w:rPr>
          <w:color w:val="000000" w:themeColor="text1"/>
        </w:rPr>
        <w:t xml:space="preserve"> The Committee concluded that ‘On balance we have concluded that legal decisions in prosecutions and the provision of legal advice should rest with someone who is appointed as a career lawyer and who is not a politician or a member of the Government.’</w:t>
      </w:r>
      <w:r w:rsidR="00A72EC7">
        <w:rPr>
          <w:rStyle w:val="FootnoteReference"/>
          <w:color w:val="000000" w:themeColor="text1"/>
        </w:rPr>
        <w:footnoteReference w:id="37"/>
      </w:r>
      <w:r w:rsidR="00666201" w:rsidRPr="007D68A8">
        <w:rPr>
          <w:color w:val="000000" w:themeColor="text1"/>
        </w:rPr>
        <w:t xml:space="preserve"> </w:t>
      </w:r>
    </w:p>
    <w:p w14:paraId="7782166B" w14:textId="77777777" w:rsidR="001064C0" w:rsidRDefault="001064C0" w:rsidP="00276AAA">
      <w:pPr>
        <w:spacing w:line="360" w:lineRule="auto"/>
        <w:jc w:val="both"/>
        <w:rPr>
          <w:color w:val="000000" w:themeColor="text1"/>
        </w:rPr>
      </w:pPr>
    </w:p>
    <w:p w14:paraId="426137D1" w14:textId="60BD739F" w:rsidR="005920FF" w:rsidRPr="00BF7971" w:rsidRDefault="001064C0" w:rsidP="00BF7971">
      <w:pPr>
        <w:spacing w:line="360" w:lineRule="auto"/>
        <w:ind w:firstLine="360"/>
        <w:jc w:val="both"/>
        <w:rPr>
          <w:color w:val="000000" w:themeColor="text1"/>
        </w:rPr>
      </w:pPr>
      <w:r>
        <w:rPr>
          <w:color w:val="000000" w:themeColor="text1"/>
        </w:rPr>
        <w:t xml:space="preserve">We </w:t>
      </w:r>
      <w:r w:rsidR="00D1431B">
        <w:rPr>
          <w:color w:val="000000" w:themeColor="text1"/>
        </w:rPr>
        <w:t xml:space="preserve">do not </w:t>
      </w:r>
      <w:r w:rsidR="00842D11">
        <w:rPr>
          <w:color w:val="000000" w:themeColor="text1"/>
        </w:rPr>
        <w:t>here</w:t>
      </w:r>
      <w:r>
        <w:rPr>
          <w:color w:val="000000" w:themeColor="text1"/>
        </w:rPr>
        <w:t xml:space="preserve"> propose to offer</w:t>
      </w:r>
      <w:r w:rsidR="00D1431B">
        <w:rPr>
          <w:color w:val="000000" w:themeColor="text1"/>
        </w:rPr>
        <w:t xml:space="preserve"> </w:t>
      </w:r>
      <w:r>
        <w:rPr>
          <w:color w:val="000000" w:themeColor="text1"/>
        </w:rPr>
        <w:t>substantive argument</w:t>
      </w:r>
      <w:r w:rsidR="001D7078">
        <w:rPr>
          <w:color w:val="000000" w:themeColor="text1"/>
        </w:rPr>
        <w:t>s</w:t>
      </w:r>
      <w:r>
        <w:rPr>
          <w:color w:val="000000" w:themeColor="text1"/>
        </w:rPr>
        <w:t xml:space="preserve"> for</w:t>
      </w:r>
      <w:r w:rsidR="00884B28">
        <w:rPr>
          <w:color w:val="000000" w:themeColor="text1"/>
        </w:rPr>
        <w:t>,</w:t>
      </w:r>
      <w:r>
        <w:rPr>
          <w:color w:val="000000" w:themeColor="text1"/>
        </w:rPr>
        <w:t xml:space="preserve"> or against</w:t>
      </w:r>
      <w:r w:rsidR="00884B28">
        <w:rPr>
          <w:color w:val="000000" w:themeColor="text1"/>
        </w:rPr>
        <w:t>,</w:t>
      </w:r>
      <w:r w:rsidR="00F7691C">
        <w:rPr>
          <w:color w:val="000000" w:themeColor="text1"/>
        </w:rPr>
        <w:t xml:space="preserve"> replacing the UK’s current model with</w:t>
      </w:r>
      <w:r>
        <w:rPr>
          <w:color w:val="000000" w:themeColor="text1"/>
        </w:rPr>
        <w:t xml:space="preserve"> an apolitical </w:t>
      </w:r>
      <w:r w:rsidR="00495986">
        <w:rPr>
          <w:color w:val="000000" w:themeColor="text1"/>
        </w:rPr>
        <w:t>chief legal advisor</w:t>
      </w:r>
      <w:r w:rsidR="006D77CB">
        <w:rPr>
          <w:color w:val="000000" w:themeColor="text1"/>
        </w:rPr>
        <w:t xml:space="preserve"> drawn from the civil service or </w:t>
      </w:r>
      <w:r w:rsidR="009969F6">
        <w:rPr>
          <w:color w:val="000000" w:themeColor="text1"/>
        </w:rPr>
        <w:t>private practice</w:t>
      </w:r>
      <w:r>
        <w:rPr>
          <w:color w:val="000000" w:themeColor="text1"/>
        </w:rPr>
        <w:t>.</w:t>
      </w:r>
      <w:r w:rsidR="00D1431B">
        <w:rPr>
          <w:color w:val="000000" w:themeColor="text1"/>
        </w:rPr>
        <w:t xml:space="preserve"> </w:t>
      </w:r>
      <w:r>
        <w:rPr>
          <w:color w:val="000000" w:themeColor="text1"/>
        </w:rPr>
        <w:t>Instead,</w:t>
      </w:r>
      <w:r w:rsidR="00D1431B">
        <w:rPr>
          <w:color w:val="000000" w:themeColor="text1"/>
        </w:rPr>
        <w:t xml:space="preserve"> </w:t>
      </w:r>
      <w:r>
        <w:rPr>
          <w:color w:val="000000" w:themeColor="text1"/>
        </w:rPr>
        <w:t xml:space="preserve">we </w:t>
      </w:r>
      <w:r w:rsidR="00842D11">
        <w:rPr>
          <w:color w:val="000000" w:themeColor="text1"/>
        </w:rPr>
        <w:t>want to</w:t>
      </w:r>
      <w:r w:rsidR="001D7078">
        <w:rPr>
          <w:color w:val="000000" w:themeColor="text1"/>
        </w:rPr>
        <w:t xml:space="preserve"> briefly</w:t>
      </w:r>
      <w:r w:rsidR="00D1431B">
        <w:rPr>
          <w:color w:val="000000" w:themeColor="text1"/>
        </w:rPr>
        <w:t xml:space="preserve"> </w:t>
      </w:r>
      <w:r w:rsidR="001D7078">
        <w:rPr>
          <w:color w:val="000000" w:themeColor="text1"/>
        </w:rPr>
        <w:t>note</w:t>
      </w:r>
      <w:r w:rsidR="00D1431B">
        <w:rPr>
          <w:color w:val="000000" w:themeColor="text1"/>
        </w:rPr>
        <w:t xml:space="preserve"> </w:t>
      </w:r>
      <w:r w:rsidR="00BF7971">
        <w:rPr>
          <w:color w:val="000000" w:themeColor="text1"/>
        </w:rPr>
        <w:t>how</w:t>
      </w:r>
      <w:r>
        <w:rPr>
          <w:color w:val="000000" w:themeColor="text1"/>
        </w:rPr>
        <w:t xml:space="preserve"> </w:t>
      </w:r>
      <w:r w:rsidR="00D1431B">
        <w:rPr>
          <w:color w:val="000000" w:themeColor="text1"/>
        </w:rPr>
        <w:t>any proposed reform</w:t>
      </w:r>
      <w:r>
        <w:rPr>
          <w:color w:val="000000" w:themeColor="text1"/>
        </w:rPr>
        <w:t xml:space="preserve"> in this direction</w:t>
      </w:r>
      <w:r w:rsidR="00D1431B">
        <w:rPr>
          <w:color w:val="000000" w:themeColor="text1"/>
        </w:rPr>
        <w:t xml:space="preserve"> </w:t>
      </w:r>
      <w:r w:rsidR="00DB079F">
        <w:rPr>
          <w:color w:val="000000" w:themeColor="text1"/>
        </w:rPr>
        <w:t>would</w:t>
      </w:r>
      <w:r w:rsidR="00D1431B">
        <w:rPr>
          <w:color w:val="000000" w:themeColor="text1"/>
        </w:rPr>
        <w:t xml:space="preserve"> involve very difficult trade-offs</w:t>
      </w:r>
      <w:r w:rsidR="00940933">
        <w:rPr>
          <w:color w:val="000000" w:themeColor="text1"/>
        </w:rPr>
        <w:t>;</w:t>
      </w:r>
      <w:r w:rsidR="001D7078">
        <w:rPr>
          <w:color w:val="000000" w:themeColor="text1"/>
        </w:rPr>
        <w:t xml:space="preserve"> </w:t>
      </w:r>
      <w:r w:rsidR="00BF7971">
        <w:rPr>
          <w:color w:val="000000" w:themeColor="text1"/>
        </w:rPr>
        <w:t>between values and principles like</w:t>
      </w:r>
      <w:r w:rsidR="00DB079F">
        <w:rPr>
          <w:color w:val="000000" w:themeColor="text1"/>
        </w:rPr>
        <w:t xml:space="preserve"> </w:t>
      </w:r>
      <w:r w:rsidR="00271A98">
        <w:rPr>
          <w:color w:val="000000" w:themeColor="text1"/>
          <w:shd w:val="clear" w:color="auto" w:fill="FFFFFF"/>
        </w:rPr>
        <w:t xml:space="preserve">legal </w:t>
      </w:r>
      <w:r w:rsidR="00271A98" w:rsidRPr="00BC4CB2">
        <w:rPr>
          <w:color w:val="000000" w:themeColor="text1"/>
          <w:shd w:val="clear" w:color="auto" w:fill="FFFFFF"/>
        </w:rPr>
        <w:t>expertise</w:t>
      </w:r>
      <w:r w:rsidR="00271A98">
        <w:rPr>
          <w:color w:val="000000" w:themeColor="text1"/>
          <w:shd w:val="clear" w:color="auto" w:fill="FFFFFF"/>
        </w:rPr>
        <w:t>,</w:t>
      </w:r>
      <w:r w:rsidR="00541E83">
        <w:rPr>
          <w:color w:val="000000" w:themeColor="text1"/>
          <w:shd w:val="clear" w:color="auto" w:fill="FFFFFF"/>
        </w:rPr>
        <w:t xml:space="preserve"> concern for the</w:t>
      </w:r>
      <w:r w:rsidR="00271A98">
        <w:rPr>
          <w:color w:val="000000" w:themeColor="text1"/>
          <w:shd w:val="clear" w:color="auto" w:fill="FFFFFF"/>
        </w:rPr>
        <w:t xml:space="preserve"> rule of law</w:t>
      </w:r>
      <w:r w:rsidR="00271A98" w:rsidRPr="00BC4CB2">
        <w:rPr>
          <w:color w:val="000000" w:themeColor="text1"/>
          <w:shd w:val="clear" w:color="auto" w:fill="FFFFFF"/>
        </w:rPr>
        <w:t>, independence</w:t>
      </w:r>
      <w:r w:rsidR="00271A98">
        <w:rPr>
          <w:color w:val="000000" w:themeColor="text1"/>
          <w:shd w:val="clear" w:color="auto" w:fill="FFFFFF"/>
        </w:rPr>
        <w:t xml:space="preserve"> from partisanship</w:t>
      </w:r>
      <w:r w:rsidR="00271A98" w:rsidRPr="00BC4CB2">
        <w:rPr>
          <w:color w:val="000000" w:themeColor="text1"/>
          <w:shd w:val="clear" w:color="auto" w:fill="FFFFFF"/>
        </w:rPr>
        <w:t>,</w:t>
      </w:r>
      <w:r w:rsidR="00271A98">
        <w:rPr>
          <w:color w:val="000000" w:themeColor="text1"/>
          <w:shd w:val="clear" w:color="auto" w:fill="FFFFFF"/>
        </w:rPr>
        <w:t xml:space="preserve"> concern for the</w:t>
      </w:r>
      <w:r w:rsidR="000C4EA8">
        <w:rPr>
          <w:color w:val="000000" w:themeColor="text1"/>
          <w:shd w:val="clear" w:color="auto" w:fill="FFFFFF"/>
        </w:rPr>
        <w:t xml:space="preserve"> government’s ability to implement policy for the</w:t>
      </w:r>
      <w:r w:rsidR="00271A98">
        <w:rPr>
          <w:color w:val="000000" w:themeColor="text1"/>
          <w:shd w:val="clear" w:color="auto" w:fill="FFFFFF"/>
        </w:rPr>
        <w:t xml:space="preserve"> common good, and democratic</w:t>
      </w:r>
      <w:r w:rsidR="00271A98" w:rsidRPr="00BC4CB2">
        <w:rPr>
          <w:color w:val="000000" w:themeColor="text1"/>
          <w:shd w:val="clear" w:color="auto" w:fill="FFFFFF"/>
        </w:rPr>
        <w:t xml:space="preserve"> accountability</w:t>
      </w:r>
      <w:r w:rsidR="001D7078">
        <w:rPr>
          <w:color w:val="000000" w:themeColor="text1"/>
          <w:shd w:val="clear" w:color="auto" w:fill="FFFFFF"/>
        </w:rPr>
        <w:t>.</w:t>
      </w:r>
      <w:r w:rsidR="00BF7971">
        <w:rPr>
          <w:color w:val="000000" w:themeColor="text1"/>
        </w:rPr>
        <w:t xml:space="preserve"> </w:t>
      </w:r>
      <w:r w:rsidR="006634FD">
        <w:rPr>
          <w:color w:val="000000" w:themeColor="text1"/>
        </w:rPr>
        <w:t xml:space="preserve">There is no or one size fits all approach for structuring the work of </w:t>
      </w:r>
      <w:r w:rsidR="00495986">
        <w:rPr>
          <w:color w:val="000000" w:themeColor="text1"/>
        </w:rPr>
        <w:t xml:space="preserve">senior </w:t>
      </w:r>
      <w:r w:rsidR="006634FD">
        <w:rPr>
          <w:color w:val="000000" w:themeColor="text1"/>
        </w:rPr>
        <w:t xml:space="preserve">government legal advisors, </w:t>
      </w:r>
      <w:r w:rsidR="00940933">
        <w:rPr>
          <w:color w:val="000000" w:themeColor="text1"/>
        </w:rPr>
        <w:t>but</w:t>
      </w:r>
      <w:r w:rsidR="003004AC">
        <w:rPr>
          <w:color w:val="000000" w:themeColor="text1"/>
        </w:rPr>
        <w:t xml:space="preserve"> </w:t>
      </w:r>
      <w:r w:rsidR="006634FD">
        <w:rPr>
          <w:color w:val="000000" w:themeColor="text1"/>
        </w:rPr>
        <w:t xml:space="preserve">different </w:t>
      </w:r>
      <w:r>
        <w:rPr>
          <w:color w:val="000000" w:themeColor="text1"/>
        </w:rPr>
        <w:t>models</w:t>
      </w:r>
      <w:r w:rsidR="006634FD">
        <w:rPr>
          <w:color w:val="000000" w:themeColor="text1"/>
        </w:rPr>
        <w:t xml:space="preserve"> each entailing different</w:t>
      </w:r>
      <w:r>
        <w:rPr>
          <w:color w:val="000000" w:themeColor="text1"/>
        </w:rPr>
        <w:t xml:space="preserve"> kinds of</w:t>
      </w:r>
      <w:r w:rsidR="006634FD">
        <w:rPr>
          <w:color w:val="000000" w:themeColor="text1"/>
        </w:rPr>
        <w:t xml:space="preserve"> </w:t>
      </w:r>
      <w:r w:rsidR="00940933">
        <w:rPr>
          <w:color w:val="000000" w:themeColor="text1"/>
        </w:rPr>
        <w:t>advantages</w:t>
      </w:r>
      <w:r w:rsidR="006634FD">
        <w:rPr>
          <w:color w:val="000000" w:themeColor="text1"/>
        </w:rPr>
        <w:t xml:space="preserve"> and risks. </w:t>
      </w:r>
    </w:p>
    <w:p w14:paraId="642A6A07" w14:textId="77777777" w:rsidR="00F406F1" w:rsidRDefault="00F406F1" w:rsidP="00F406F1">
      <w:pPr>
        <w:spacing w:line="360" w:lineRule="auto"/>
        <w:jc w:val="both"/>
        <w:rPr>
          <w:color w:val="000000" w:themeColor="text1"/>
        </w:rPr>
      </w:pPr>
    </w:p>
    <w:p w14:paraId="5B4D411D" w14:textId="12C9E071" w:rsidR="00463826" w:rsidRDefault="00F406F1" w:rsidP="00F406F1">
      <w:pPr>
        <w:spacing w:line="360" w:lineRule="auto"/>
        <w:jc w:val="both"/>
      </w:pPr>
      <w:r w:rsidRPr="00785819">
        <w:rPr>
          <w:color w:val="000000" w:themeColor="text1"/>
        </w:rPr>
        <w:t xml:space="preserve"> </w:t>
      </w:r>
      <w:r>
        <w:rPr>
          <w:color w:val="000000" w:themeColor="text1"/>
        </w:rPr>
        <w:tab/>
      </w:r>
      <w:r>
        <w:t>S</w:t>
      </w:r>
      <w:r w:rsidRPr="00785819">
        <w:t>ome legal systems - like Japan</w:t>
      </w:r>
      <w:r>
        <w:t xml:space="preserve"> and </w:t>
      </w:r>
      <w:r w:rsidRPr="00785819">
        <w:t>Israel</w:t>
      </w:r>
      <w:r>
        <w:t xml:space="preserve"> </w:t>
      </w:r>
      <w:r w:rsidR="00495986">
        <w:t>–</w:t>
      </w:r>
      <w:r w:rsidRPr="00785819">
        <w:t xml:space="preserve"> </w:t>
      </w:r>
      <w:r w:rsidR="00495986">
        <w:t>do opt</w:t>
      </w:r>
      <w:r w:rsidRPr="00785819">
        <w:t xml:space="preserve"> for non-elected </w:t>
      </w:r>
      <w:r>
        <w:t>career lawyers</w:t>
      </w:r>
      <w:r w:rsidRPr="00785819">
        <w:t xml:space="preserve"> to </w:t>
      </w:r>
      <w:r w:rsidR="00495986">
        <w:t>serve as</w:t>
      </w:r>
      <w:r w:rsidR="00875A5D">
        <w:t xml:space="preserve"> chief legal counsel to government</w:t>
      </w:r>
      <w:r w:rsidR="003349B2">
        <w:t>,</w:t>
      </w:r>
      <w:r w:rsidRPr="00785819">
        <w:t xml:space="preserve"> with very high levels of insulation from politics.</w:t>
      </w:r>
      <w:bookmarkStart w:id="6" w:name="_Ref95816884"/>
      <w:r w:rsidRPr="00785819">
        <w:rPr>
          <w:rStyle w:val="FootnoteReference"/>
        </w:rPr>
        <w:footnoteReference w:id="38"/>
      </w:r>
      <w:bookmarkEnd w:id="6"/>
      <w:r w:rsidRPr="00785819">
        <w:t xml:space="preserve"> </w:t>
      </w:r>
      <w:r w:rsidR="00D1735E">
        <w:t>In Japan, t</w:t>
      </w:r>
      <w:r w:rsidR="004B5795" w:rsidRPr="00B06C86">
        <w:t>he C</w:t>
      </w:r>
      <w:r w:rsidR="004B5795">
        <w:t xml:space="preserve">abinet </w:t>
      </w:r>
      <w:r w:rsidR="004B5795" w:rsidRPr="00B06C86">
        <w:t>L</w:t>
      </w:r>
      <w:r w:rsidR="004B5795">
        <w:t xml:space="preserve">egislation </w:t>
      </w:r>
      <w:r w:rsidR="004B5795" w:rsidRPr="00B06C86">
        <w:t>B</w:t>
      </w:r>
      <w:bookmarkStart w:id="7" w:name="_Ref55992365"/>
      <w:r w:rsidR="004B5795">
        <w:t>ureau</w:t>
      </w:r>
      <w:bookmarkEnd w:id="7"/>
      <w:r w:rsidR="004B5795" w:rsidRPr="00B06C86">
        <w:t xml:space="preserve"> is the key advisory organ to the</w:t>
      </w:r>
      <w:r w:rsidR="004B5795">
        <w:t xml:space="preserve"> </w:t>
      </w:r>
      <w:r w:rsidR="004B5795" w:rsidRPr="00B06C86">
        <w:t xml:space="preserve">government over </w:t>
      </w:r>
      <w:r w:rsidR="004B5795" w:rsidRPr="00B06C86">
        <w:lastRenderedPageBreak/>
        <w:t>legal and constitutional affairs</w:t>
      </w:r>
      <w:r w:rsidR="00463826">
        <w:t>. A</w:t>
      </w:r>
      <w:r w:rsidR="00C22520">
        <w:t>n</w:t>
      </w:r>
      <w:r w:rsidR="00463826">
        <w:t xml:space="preserve"> </w:t>
      </w:r>
      <w:r w:rsidR="00875A5D">
        <w:t>autonomous</w:t>
      </w:r>
      <w:r w:rsidR="00463826">
        <w:rPr>
          <w:rStyle w:val="FootnoteReference"/>
        </w:rPr>
        <w:footnoteReference w:id="39"/>
      </w:r>
      <w:r w:rsidR="00463826" w:rsidRPr="00B06C86">
        <w:t xml:space="preserve"> and technocratic</w:t>
      </w:r>
      <w:r w:rsidR="00463826" w:rsidRPr="00B06C86">
        <w:rPr>
          <w:rStyle w:val="NoterefInText"/>
        </w:rPr>
        <w:footnoteReference w:id="40"/>
      </w:r>
      <w:r w:rsidR="00463826">
        <w:t xml:space="preserve"> institution, it</w:t>
      </w:r>
      <w:r w:rsidR="00153228">
        <w:t xml:space="preserve"> </w:t>
      </w:r>
      <w:r w:rsidR="003349B2">
        <w:t xml:space="preserve">is </w:t>
      </w:r>
      <w:r w:rsidR="00463826">
        <w:t>staffed by</w:t>
      </w:r>
      <w:r w:rsidR="000B75AD">
        <w:t xml:space="preserve"> career</w:t>
      </w:r>
      <w:r w:rsidR="00463826">
        <w:t xml:space="preserve"> </w:t>
      </w:r>
      <w:r w:rsidR="000B75AD">
        <w:t>lawyers</w:t>
      </w:r>
      <w:r w:rsidR="0011236F">
        <w:t xml:space="preserve"> appointed on the basis of academic excellence and</w:t>
      </w:r>
      <w:r w:rsidR="00153228">
        <w:t xml:space="preserve"> promoted on the basis of</w:t>
      </w:r>
      <w:r w:rsidR="0011236F">
        <w:t xml:space="preserve"> seniority</w:t>
      </w:r>
      <w:r w:rsidR="00153228">
        <w:t xml:space="preserve">. </w:t>
      </w:r>
      <w:r w:rsidR="00463826">
        <w:t xml:space="preserve">The </w:t>
      </w:r>
      <w:r w:rsidR="003349B2">
        <w:t>Director</w:t>
      </w:r>
      <w:r w:rsidR="000B75AD">
        <w:t xml:space="preserve"> of the </w:t>
      </w:r>
      <w:r w:rsidR="00463826">
        <w:t xml:space="preserve">CLB is </w:t>
      </w:r>
      <w:r w:rsidR="000B75AD">
        <w:t xml:space="preserve">formally nominated by the government, but </w:t>
      </w:r>
      <w:r w:rsidR="00B90037">
        <w:t>by convention</w:t>
      </w:r>
      <w:r w:rsidR="004A7896">
        <w:t xml:space="preserve"> the latter</w:t>
      </w:r>
      <w:r w:rsidR="000B75AD">
        <w:t xml:space="preserve"> will </w:t>
      </w:r>
      <w:r w:rsidR="004A7896">
        <w:t>accede to the former’s internal choice.</w:t>
      </w:r>
      <w:r w:rsidR="001F40E2">
        <w:rPr>
          <w:rStyle w:val="FootnoteReference"/>
        </w:rPr>
        <w:footnoteReference w:id="41"/>
      </w:r>
    </w:p>
    <w:p w14:paraId="66D5D2B5" w14:textId="77777777" w:rsidR="00153228" w:rsidRDefault="00153228" w:rsidP="00153228">
      <w:pPr>
        <w:spacing w:line="360" w:lineRule="auto"/>
        <w:jc w:val="both"/>
      </w:pPr>
    </w:p>
    <w:p w14:paraId="33100F67" w14:textId="1DD1E220" w:rsidR="004B5795" w:rsidRDefault="00D1735E" w:rsidP="00153228">
      <w:pPr>
        <w:spacing w:line="360" w:lineRule="auto"/>
        <w:ind w:firstLine="720"/>
        <w:jc w:val="both"/>
      </w:pPr>
      <w:r>
        <w:t xml:space="preserve">In Israel, </w:t>
      </w:r>
      <w:r w:rsidR="00FD5F19">
        <w:t>the Attorney General</w:t>
      </w:r>
      <w:r w:rsidR="00B90037">
        <w:t xml:space="preserve"> </w:t>
      </w:r>
      <w:r w:rsidR="00FD5F19">
        <w:t>is formally appointed by the Government</w:t>
      </w:r>
      <w:r w:rsidR="00730A3F">
        <w:t xml:space="preserve"> but</w:t>
      </w:r>
      <w:r w:rsidR="004A7896">
        <w:t xml:space="preserve"> the choice is highly fettered. </w:t>
      </w:r>
      <w:r w:rsidR="00730A3F">
        <w:t>The Attorney</w:t>
      </w:r>
      <w:r w:rsidR="004A7896">
        <w:t xml:space="preserve"> can</w:t>
      </w:r>
      <w:r w:rsidR="00730A3F">
        <w:t xml:space="preserve"> only</w:t>
      </w:r>
      <w:r w:rsidR="00FD5F19">
        <w:t xml:space="preserve"> </w:t>
      </w:r>
      <w:r w:rsidR="004A7896">
        <w:t>be</w:t>
      </w:r>
      <w:r w:rsidR="00153228">
        <w:t xml:space="preserve"> chosen from an</w:t>
      </w:r>
      <w:r w:rsidR="00FD5F19">
        <w:t xml:space="preserve"> </w:t>
      </w:r>
      <w:r w:rsidR="00153228">
        <w:t>approved list drawn up</w:t>
      </w:r>
      <w:r w:rsidR="00FD5F19">
        <w:t xml:space="preserve"> by an independent panel</w:t>
      </w:r>
      <w:r w:rsidR="004C586A">
        <w:t>. This panel</w:t>
      </w:r>
      <w:r w:rsidR="00FD5F19">
        <w:t xml:space="preserve"> </w:t>
      </w:r>
      <w:r w:rsidR="007012E7">
        <w:t>consist</w:t>
      </w:r>
      <w:r w:rsidR="004C586A">
        <w:t>s</w:t>
      </w:r>
      <w:r w:rsidR="007012E7">
        <w:t xml:space="preserve"> </w:t>
      </w:r>
      <w:r w:rsidR="00FD5F19">
        <w:t xml:space="preserve">of </w:t>
      </w:r>
      <w:r w:rsidR="007012E7">
        <w:t xml:space="preserve">a </w:t>
      </w:r>
      <w:r w:rsidR="00153228">
        <w:t>former</w:t>
      </w:r>
      <w:r w:rsidR="007012E7">
        <w:t xml:space="preserve"> Supreme Court</w:t>
      </w:r>
      <w:r w:rsidR="00153228">
        <w:t xml:space="preserve"> judge</w:t>
      </w:r>
      <w:r w:rsidR="007012E7">
        <w:t xml:space="preserve"> appointed by the Chief Justice</w:t>
      </w:r>
      <w:r w:rsidR="00153228">
        <w:t xml:space="preserve">, </w:t>
      </w:r>
      <w:r w:rsidR="007012E7">
        <w:t>a former Attorney General appointed by the Government,</w:t>
      </w:r>
      <w:r w:rsidR="00153228">
        <w:t xml:space="preserve"> and</w:t>
      </w:r>
      <w:r w:rsidR="004A7896">
        <w:t xml:space="preserve"> a</w:t>
      </w:r>
      <w:r w:rsidR="00153228">
        <w:t xml:space="preserve"> representative</w:t>
      </w:r>
      <w:r w:rsidR="007012E7">
        <w:t>s appointed</w:t>
      </w:r>
      <w:r w:rsidR="00153228">
        <w:t xml:space="preserve"> </w:t>
      </w:r>
      <w:r w:rsidR="00B90037">
        <w:t>on behalf of</w:t>
      </w:r>
      <w:r w:rsidR="00153228">
        <w:t xml:space="preserve"> the legal academy</w:t>
      </w:r>
      <w:r w:rsidR="007012E7">
        <w:t xml:space="preserve"> and bar association</w:t>
      </w:r>
      <w:r w:rsidR="00FD5F19">
        <w:t xml:space="preserve">. </w:t>
      </w:r>
      <w:r w:rsidR="00153228">
        <w:t>It is</w:t>
      </w:r>
      <w:r w:rsidR="004A7896">
        <w:t xml:space="preserve"> also</w:t>
      </w:r>
      <w:r w:rsidR="00153228">
        <w:t xml:space="preserve"> </w:t>
      </w:r>
      <w:r w:rsidR="00C6280D">
        <w:t>a requirement</w:t>
      </w:r>
      <w:r w:rsidR="00153228">
        <w:t xml:space="preserve"> </w:t>
      </w:r>
      <w:r w:rsidR="00C22520">
        <w:t xml:space="preserve">that </w:t>
      </w:r>
      <w:r w:rsidR="00730A3F">
        <w:t>a</w:t>
      </w:r>
      <w:r w:rsidR="00153228">
        <w:t xml:space="preserve"> candidate </w:t>
      </w:r>
      <w:r w:rsidR="008915DE">
        <w:t>be eligible for</w:t>
      </w:r>
      <w:r w:rsidR="007012E7">
        <w:t xml:space="preserve"> </w:t>
      </w:r>
      <w:r w:rsidR="00153228">
        <w:t xml:space="preserve">appointment to </w:t>
      </w:r>
      <w:r w:rsidR="006D5027">
        <w:t>the Supreme Court.</w:t>
      </w:r>
      <w:r w:rsidR="00F47C9E">
        <w:t xml:space="preserve"> </w:t>
      </w:r>
      <w:r w:rsidR="007012E7">
        <w:t>Upon</w:t>
      </w:r>
      <w:r w:rsidR="00F47C9E">
        <w:t xml:space="preserve"> appoint</w:t>
      </w:r>
      <w:r w:rsidR="00730A3F">
        <w:t>ment</w:t>
      </w:r>
      <w:r w:rsidR="00F47C9E">
        <w:t>, the Attorney General serves a fixed term of 6 years and cannot be removed save</w:t>
      </w:r>
      <w:r w:rsidR="007012E7">
        <w:t xml:space="preserve"> in very limited circumstances.</w:t>
      </w:r>
      <w:bookmarkStart w:id="8" w:name="_Ref95840356"/>
      <w:r w:rsidR="007012E7">
        <w:rPr>
          <w:rStyle w:val="FootnoteReference"/>
        </w:rPr>
        <w:footnoteReference w:id="42"/>
      </w:r>
      <w:bookmarkEnd w:id="8"/>
      <w:r w:rsidR="00F47C9E">
        <w:t xml:space="preserve"> </w:t>
      </w:r>
      <w:r w:rsidR="004A7896">
        <w:t>The</w:t>
      </w:r>
      <w:r w:rsidR="00B90037">
        <w:t xml:space="preserve"> Attorney General</w:t>
      </w:r>
      <w:r w:rsidR="004A7896">
        <w:t xml:space="preserve"> is guardian of the public interest, in charge of State litigation,</w:t>
      </w:r>
      <w:r w:rsidR="00730A3F">
        <w:t xml:space="preserve"> final decision-maker in respect of prosecutions,</w:t>
      </w:r>
      <w:r w:rsidR="004A7896">
        <w:t xml:space="preserve"> and exclusive legal counsel to the government. The Attorney General’s advice</w:t>
      </w:r>
      <w:r w:rsidR="00F47C9E">
        <w:t xml:space="preserve"> on </w:t>
      </w:r>
      <w:r w:rsidR="007C2E4B">
        <w:t>t</w:t>
      </w:r>
      <w:r w:rsidR="00730A3F">
        <w:t>he legality of policy decisions or proposed bills</w:t>
      </w:r>
      <w:r w:rsidR="004A7896">
        <w:t xml:space="preserve"> is </w:t>
      </w:r>
      <w:r w:rsidR="004A7896" w:rsidRPr="00777AFF">
        <w:rPr>
          <w:i/>
          <w:iCs/>
        </w:rPr>
        <w:t>binding</w:t>
      </w:r>
      <w:r w:rsidR="004A7896">
        <w:t xml:space="preserve"> on the government, and the </w:t>
      </w:r>
      <w:r w:rsidR="000E2167">
        <w:t>latter</w:t>
      </w:r>
      <w:r w:rsidR="004A7896">
        <w:t xml:space="preserve"> </w:t>
      </w:r>
      <w:r w:rsidR="004A7896" w:rsidRPr="00777AFF">
        <w:t>cannot</w:t>
      </w:r>
      <w:r w:rsidR="004A7896">
        <w:t xml:space="preserve"> seek advice from any other </w:t>
      </w:r>
      <w:r w:rsidR="00F47C9E">
        <w:t>lawyer</w:t>
      </w:r>
      <w:r w:rsidR="004A7896">
        <w:t xml:space="preserve"> without</w:t>
      </w:r>
      <w:r w:rsidR="00F47C9E">
        <w:t xml:space="preserve"> </w:t>
      </w:r>
      <w:r w:rsidR="000E2167">
        <w:t>the former’s</w:t>
      </w:r>
      <w:r w:rsidR="00777AFF">
        <w:t xml:space="preserve"> </w:t>
      </w:r>
      <w:r w:rsidR="00F47C9E">
        <w:t>prior</w:t>
      </w:r>
      <w:r w:rsidR="004A7896">
        <w:t xml:space="preserve"> consent.</w:t>
      </w:r>
      <w:r w:rsidR="004A7896">
        <w:rPr>
          <w:rStyle w:val="FootnoteReference"/>
        </w:rPr>
        <w:footnoteReference w:id="43"/>
      </w:r>
      <w:r w:rsidR="00F47C9E">
        <w:t xml:space="preserve"> </w:t>
      </w:r>
    </w:p>
    <w:p w14:paraId="7CE70D52" w14:textId="465AE2A4" w:rsidR="004B5795" w:rsidRDefault="004B5795" w:rsidP="00DA6A33">
      <w:pPr>
        <w:spacing w:line="360" w:lineRule="auto"/>
        <w:jc w:val="both"/>
      </w:pPr>
    </w:p>
    <w:p w14:paraId="671383C5" w14:textId="4CCA8E5E" w:rsidR="00153228" w:rsidRDefault="000727B1" w:rsidP="004127BD">
      <w:pPr>
        <w:spacing w:line="360" w:lineRule="auto"/>
        <w:ind w:firstLine="720"/>
        <w:jc w:val="both"/>
      </w:pPr>
      <w:r>
        <w:t>The</w:t>
      </w:r>
      <w:r w:rsidR="00C06A36">
        <w:t xml:space="preserve"> </w:t>
      </w:r>
      <w:r w:rsidR="003E772C">
        <w:t>model</w:t>
      </w:r>
      <w:r w:rsidR="001D5008" w:rsidRPr="00666201">
        <w:t xml:space="preserve"> of apex </w:t>
      </w:r>
      <w:r w:rsidR="003E772C">
        <w:t xml:space="preserve">government legal advisors </w:t>
      </w:r>
      <w:r>
        <w:t>in these systems</w:t>
      </w:r>
      <w:r w:rsidR="001D5008" w:rsidRPr="00666201">
        <w:t xml:space="preserve"> </w:t>
      </w:r>
      <w:r>
        <w:t>is</w:t>
      </w:r>
      <w:r w:rsidR="00941229">
        <w:t>, compared to the UK,</w:t>
      </w:r>
      <w:r w:rsidR="003E772C">
        <w:t xml:space="preserve"> </w:t>
      </w:r>
      <w:r w:rsidR="00941229">
        <w:t>very</w:t>
      </w:r>
      <w:r w:rsidR="003E772C">
        <w:t xml:space="preserve"> apolitical and technocratic.</w:t>
      </w:r>
      <w:r w:rsidR="00941229">
        <w:t xml:space="preserve"> T</w:t>
      </w:r>
      <w:r w:rsidR="00096402">
        <w:t>he</w:t>
      </w:r>
      <w:r w:rsidR="006911AB">
        <w:t xml:space="preserve"> work</w:t>
      </w:r>
      <w:r w:rsidR="006E01BF">
        <w:t xml:space="preserve"> of these lawyers</w:t>
      </w:r>
      <w:r w:rsidR="008915DE">
        <w:t xml:space="preserve"> – </w:t>
      </w:r>
      <w:r w:rsidR="00940933">
        <w:t xml:space="preserve">who are </w:t>
      </w:r>
      <w:r w:rsidR="008915DE">
        <w:t>drawn from the civil service or private practice -</w:t>
      </w:r>
      <w:r w:rsidR="00940933">
        <w:t xml:space="preserve"> also</w:t>
      </w:r>
      <w:r w:rsidR="006E01BF">
        <w:t xml:space="preserve"> </w:t>
      </w:r>
      <w:r w:rsidR="006911AB">
        <w:t xml:space="preserve">tends to </w:t>
      </w:r>
      <w:r w:rsidR="008915DE">
        <w:t>have a</w:t>
      </w:r>
      <w:r w:rsidR="006911AB">
        <w:t xml:space="preserve"> </w:t>
      </w:r>
      <w:r w:rsidR="006E01BF">
        <w:t>large</w:t>
      </w:r>
      <w:r w:rsidR="007D2E80">
        <w:t>r</w:t>
      </w:r>
      <w:r w:rsidR="006911AB">
        <w:t xml:space="preserve"> degree of detachment from the policymaking and political </w:t>
      </w:r>
      <w:r w:rsidR="00940933">
        <w:t>concerns</w:t>
      </w:r>
      <w:r w:rsidR="006911AB">
        <w:t xml:space="preserve"> of the government</w:t>
      </w:r>
      <w:r w:rsidR="005E23E4">
        <w:t>.</w:t>
      </w:r>
      <w:r w:rsidR="004A3BE3">
        <w:rPr>
          <w:rStyle w:val="FootnoteReference"/>
        </w:rPr>
        <w:footnoteReference w:id="44"/>
      </w:r>
      <w:r w:rsidR="001D5008" w:rsidRPr="00666201">
        <w:t xml:space="preserve"> </w:t>
      </w:r>
      <w:r w:rsidR="00A47F5A">
        <w:t xml:space="preserve">This model has several </w:t>
      </w:r>
      <w:r w:rsidR="008915DE">
        <w:t>obvious</w:t>
      </w:r>
      <w:r w:rsidR="00A47F5A">
        <w:t xml:space="preserve"> qualities. </w:t>
      </w:r>
      <w:r w:rsidR="00940933">
        <w:t>For example, o</w:t>
      </w:r>
      <w:r w:rsidR="00153228">
        <w:t>pting for an entirely technocratic and apolitical system</w:t>
      </w:r>
      <w:r w:rsidR="00940933">
        <w:t xml:space="preserve"> </w:t>
      </w:r>
      <w:r w:rsidR="00730A3F">
        <w:t>may act as a</w:t>
      </w:r>
      <w:r w:rsidR="006911AB">
        <w:t xml:space="preserve"> powerful safeguard against</w:t>
      </w:r>
      <w:r w:rsidR="00153228" w:rsidRPr="00666201">
        <w:t xml:space="preserve"> </w:t>
      </w:r>
      <w:r w:rsidR="006911AB">
        <w:t>abuses of</w:t>
      </w:r>
      <w:r w:rsidR="00153228" w:rsidRPr="00666201">
        <w:t xml:space="preserve"> executive authority</w:t>
      </w:r>
      <w:r w:rsidR="00153228">
        <w:t>.</w:t>
      </w:r>
      <w:r w:rsidR="00153228" w:rsidRPr="00666201">
        <w:t xml:space="preserve"> </w:t>
      </w:r>
      <w:r w:rsidR="00153228">
        <w:t>They may also decisively remove any perception</w:t>
      </w:r>
      <w:r w:rsidR="00712714">
        <w:t xml:space="preserve"> the provision of legal advice or public interest functions have been subject</w:t>
      </w:r>
      <w:r w:rsidR="00153228">
        <w:t xml:space="preserve"> </w:t>
      </w:r>
      <w:r w:rsidR="00495986">
        <w:t>the</w:t>
      </w:r>
      <w:r w:rsidR="00153228">
        <w:t xml:space="preserve"> inappropriate politicisation.</w:t>
      </w:r>
      <w:r w:rsidR="00153228" w:rsidRPr="002F62EF">
        <w:t xml:space="preserve"> </w:t>
      </w:r>
      <w:r w:rsidR="00A47F5A">
        <w:t xml:space="preserve">Such qualities are especially important </w:t>
      </w:r>
      <w:r w:rsidR="00C94173">
        <w:t>where</w:t>
      </w:r>
      <w:r w:rsidR="00A47F5A">
        <w:t xml:space="preserve"> building political </w:t>
      </w:r>
      <w:r w:rsidR="00A47F5A">
        <w:lastRenderedPageBreak/>
        <w:t>and popular trust in the legality of government action is of paramount importance.</w:t>
      </w:r>
      <w:r w:rsidR="00A47F5A">
        <w:rPr>
          <w:rStyle w:val="FootnoteReference"/>
        </w:rPr>
        <w:footnoteReference w:id="45"/>
      </w:r>
      <w:r w:rsidR="00C94173">
        <w:t xml:space="preserve"> The point we want to stress </w:t>
      </w:r>
      <w:r w:rsidR="00712714">
        <w:t>here is that</w:t>
      </w:r>
      <w:r w:rsidR="007F7580">
        <w:t xml:space="preserve"> </w:t>
      </w:r>
      <w:r w:rsidR="00C94173">
        <w:t>such</w:t>
      </w:r>
      <w:r w:rsidR="006C7546">
        <w:t xml:space="preserve"> </w:t>
      </w:r>
      <w:r w:rsidR="00C6033E">
        <w:t>qualities</w:t>
      </w:r>
      <w:r w:rsidR="006C7546">
        <w:t xml:space="preserve"> must be </w:t>
      </w:r>
      <w:r w:rsidR="00712714">
        <w:t>balanced</w:t>
      </w:r>
      <w:r w:rsidR="00495986">
        <w:t xml:space="preserve"> </w:t>
      </w:r>
      <w:r w:rsidR="00712714">
        <w:t>against</w:t>
      </w:r>
      <w:r w:rsidR="006C7546">
        <w:t xml:space="preserve"> potential</w:t>
      </w:r>
      <w:r w:rsidR="00153228">
        <w:t xml:space="preserve"> </w:t>
      </w:r>
      <w:r w:rsidR="00495986">
        <w:t>costs</w:t>
      </w:r>
      <w:r w:rsidR="00153228">
        <w:t>.</w:t>
      </w:r>
    </w:p>
    <w:p w14:paraId="6FC92609" w14:textId="77777777" w:rsidR="00F74FA7" w:rsidRDefault="00F74FA7" w:rsidP="00BD6EA4">
      <w:pPr>
        <w:spacing w:line="360" w:lineRule="auto"/>
        <w:jc w:val="both"/>
      </w:pPr>
    </w:p>
    <w:p w14:paraId="0CE1278B" w14:textId="36AFDB55" w:rsidR="00BD6EA4" w:rsidRDefault="006772D1" w:rsidP="00AF4ADF">
      <w:pPr>
        <w:spacing w:line="360" w:lineRule="auto"/>
        <w:ind w:firstLine="720"/>
        <w:jc w:val="both"/>
      </w:pPr>
      <w:r>
        <w:t xml:space="preserve">One of us has written elsewhere that highly technocratic and apolitical bodies like the </w:t>
      </w:r>
      <w:r w:rsidR="00722125">
        <w:t>CLB</w:t>
      </w:r>
      <w:r>
        <w:t xml:space="preserve"> </w:t>
      </w:r>
      <w:r w:rsidR="00CA4D9A">
        <w:t>may</w:t>
      </w:r>
      <w:r>
        <w:t xml:space="preserve"> </w:t>
      </w:r>
      <w:r w:rsidR="00CA4D9A">
        <w:t>tend toward</w:t>
      </w:r>
      <w:r>
        <w:t xml:space="preserve"> conservati</w:t>
      </w:r>
      <w:r w:rsidR="00CA4D9A">
        <w:t>sm</w:t>
      </w:r>
      <w:r>
        <w:t xml:space="preserve"> and cautio</w:t>
      </w:r>
      <w:r w:rsidR="00CA4D9A">
        <w:t>n</w:t>
      </w:r>
      <w:r w:rsidR="006C7546">
        <w:t xml:space="preserve"> when </w:t>
      </w:r>
      <w:r w:rsidR="00730A3F">
        <w:t xml:space="preserve">dispensing </w:t>
      </w:r>
      <w:r w:rsidR="004B5795">
        <w:t xml:space="preserve">legal </w:t>
      </w:r>
      <w:r w:rsidR="00CA4D9A">
        <w:t>advice</w:t>
      </w:r>
      <w:r w:rsidR="006C7546">
        <w:t>.</w:t>
      </w:r>
      <w:r w:rsidR="004B5795">
        <w:t xml:space="preserve"> </w:t>
      </w:r>
      <w:r w:rsidR="00730A3F">
        <w:t>Apex g</w:t>
      </w:r>
      <w:r w:rsidR="006C7546">
        <w:t>overnment l</w:t>
      </w:r>
      <w:r w:rsidR="004B5795">
        <w:t>awyers</w:t>
      </w:r>
      <w:r w:rsidR="006C7546">
        <w:t xml:space="preserve"> </w:t>
      </w:r>
      <w:r w:rsidR="00730A3F">
        <w:t>who lack</w:t>
      </w:r>
      <w:r w:rsidR="008A701B">
        <w:t xml:space="preserve"> </w:t>
      </w:r>
      <w:r w:rsidR="006C7546">
        <w:t xml:space="preserve">political experience might </w:t>
      </w:r>
      <w:r w:rsidR="00CA4D9A">
        <w:t>develop a</w:t>
      </w:r>
      <w:r w:rsidR="006C7546">
        <w:t xml:space="preserve"> risk averse</w:t>
      </w:r>
      <w:r w:rsidR="00826D83">
        <w:t xml:space="preserve"> disposition</w:t>
      </w:r>
      <w:r w:rsidR="008A701B">
        <w:t xml:space="preserve">, </w:t>
      </w:r>
      <w:r w:rsidR="006C7546">
        <w:t>approv</w:t>
      </w:r>
      <w:r w:rsidR="00BA7BB9">
        <w:t>ing</w:t>
      </w:r>
      <w:r w:rsidR="008A701B">
        <w:t xml:space="preserve"> only </w:t>
      </w:r>
      <w:r w:rsidR="00BA7BB9">
        <w:t>those</w:t>
      </w:r>
      <w:r w:rsidR="004B5795" w:rsidRPr="001D5008">
        <w:t xml:space="preserve"> policies</w:t>
      </w:r>
      <w:r w:rsidR="008A701B">
        <w:t xml:space="preserve"> they feel are</w:t>
      </w:r>
      <w:r w:rsidR="004B5795" w:rsidRPr="001D5008">
        <w:t xml:space="preserve"> consistent with the ‘best’ view of the law </w:t>
      </w:r>
      <w:r w:rsidR="006C7546">
        <w:t>they think a</w:t>
      </w:r>
      <w:r w:rsidR="004B5795" w:rsidRPr="001D5008">
        <w:t xml:space="preserve"> </w:t>
      </w:r>
      <w:r w:rsidR="00D1735E">
        <w:t>C</w:t>
      </w:r>
      <w:r w:rsidR="004B5795" w:rsidRPr="001D5008">
        <w:t>ourt might reach</w:t>
      </w:r>
      <w:r w:rsidR="00495986">
        <w:t>. They may</w:t>
      </w:r>
      <w:r w:rsidR="00CA4D9A">
        <w:t xml:space="preserve"> also</w:t>
      </w:r>
      <w:r w:rsidR="008A701B">
        <w:t xml:space="preserve"> generally be less likely to approach legal analysis with </w:t>
      </w:r>
      <w:r w:rsidR="00730A3F">
        <w:t>the same</w:t>
      </w:r>
      <w:r w:rsidR="008A701B">
        <w:t xml:space="preserve"> </w:t>
      </w:r>
      <w:r w:rsidR="00BA7BB9">
        <w:t>inclination</w:t>
      </w:r>
      <w:r w:rsidR="008A701B">
        <w:t xml:space="preserve"> to constructively assist the government implement its policy </w:t>
      </w:r>
      <w:r w:rsidR="00722125">
        <w:t>mandate</w:t>
      </w:r>
      <w:r w:rsidR="00CA4D9A">
        <w:t xml:space="preserve"> while staying within lawful bounds</w:t>
      </w:r>
      <w:r w:rsidR="00495986">
        <w:t>, at least when</w:t>
      </w:r>
      <w:r w:rsidR="00BA7BB9">
        <w:t xml:space="preserve"> compared to</w:t>
      </w:r>
      <w:r w:rsidR="00730A3F">
        <w:t xml:space="preserve"> a lawyer </w:t>
      </w:r>
      <w:r w:rsidR="00722125">
        <w:t>whose office has</w:t>
      </w:r>
      <w:r w:rsidR="00730A3F">
        <w:t xml:space="preserve"> dual legal-political dimensions</w:t>
      </w:r>
      <w:r w:rsidR="008A701B">
        <w:t>.</w:t>
      </w:r>
      <w:r w:rsidR="008D2CAE">
        <w:rPr>
          <w:rStyle w:val="FootnoteReference"/>
        </w:rPr>
        <w:footnoteReference w:id="46"/>
      </w:r>
    </w:p>
    <w:p w14:paraId="5E8CDCAE" w14:textId="77777777" w:rsidR="00BD6EA4" w:rsidRDefault="00BD6EA4" w:rsidP="00AF4ADF">
      <w:pPr>
        <w:spacing w:line="360" w:lineRule="auto"/>
        <w:ind w:firstLine="720"/>
        <w:jc w:val="both"/>
      </w:pPr>
    </w:p>
    <w:p w14:paraId="3B07F0C8" w14:textId="3D94B561" w:rsidR="004B5795" w:rsidRDefault="008A701B" w:rsidP="00AF4ADF">
      <w:pPr>
        <w:spacing w:line="360" w:lineRule="auto"/>
        <w:ind w:firstLine="720"/>
        <w:jc w:val="both"/>
      </w:pPr>
      <w:r w:rsidRPr="006C427D">
        <w:t xml:space="preserve">In some cases, </w:t>
      </w:r>
      <w:r w:rsidR="00AF4ADF">
        <w:t>this kind of</w:t>
      </w:r>
      <w:r w:rsidR="004B5795" w:rsidRPr="006C427D">
        <w:t xml:space="preserve"> ‘constitutionally conservative’ approach to</w:t>
      </w:r>
      <w:r w:rsidR="006D5027" w:rsidRPr="006C427D">
        <w:t xml:space="preserve"> legal advice </w:t>
      </w:r>
      <w:r w:rsidR="004B5795" w:rsidRPr="006C427D">
        <w:t>risks</w:t>
      </w:r>
      <w:r w:rsidR="00D1735E" w:rsidRPr="006C427D">
        <w:t xml:space="preserve"> developing</w:t>
      </w:r>
      <w:r w:rsidR="004B5795" w:rsidRPr="006C427D">
        <w:t xml:space="preserve"> its own pathologies</w:t>
      </w:r>
      <w:r w:rsidR="006D5027" w:rsidRPr="006C427D">
        <w:t xml:space="preserve">. </w:t>
      </w:r>
      <w:r w:rsidR="00FD5F19" w:rsidRPr="006C427D">
        <w:t>It might</w:t>
      </w:r>
      <w:r w:rsidR="006D5027" w:rsidRPr="006C427D">
        <w:t>, for example,</w:t>
      </w:r>
      <w:r w:rsidR="00FD5F19" w:rsidRPr="006C427D">
        <w:t xml:space="preserve"> </w:t>
      </w:r>
      <w:r w:rsidR="004B5795" w:rsidRPr="006C427D">
        <w:t>excessively legalis</w:t>
      </w:r>
      <w:r w:rsidR="006D5027" w:rsidRPr="006C427D">
        <w:t>e</w:t>
      </w:r>
      <w:r w:rsidR="004B5795" w:rsidRPr="006C427D">
        <w:t xml:space="preserve"> the </w:t>
      </w:r>
      <w:r w:rsidR="006D5027" w:rsidRPr="006C427D">
        <w:t xml:space="preserve">democratic </w:t>
      </w:r>
      <w:r w:rsidR="004B5795" w:rsidRPr="006C427D">
        <w:t>policymaking process</w:t>
      </w:r>
      <w:r w:rsidR="0011236F" w:rsidRPr="006C427D">
        <w:t xml:space="preserve">, </w:t>
      </w:r>
      <w:r w:rsidR="00FD5F19" w:rsidRPr="006C427D">
        <w:t>hamstring</w:t>
      </w:r>
      <w:r w:rsidR="0011236F" w:rsidRPr="006C427D">
        <w:t xml:space="preserve"> the political branches from testing the boundaries of the law</w:t>
      </w:r>
      <w:r w:rsidR="006C7546" w:rsidRPr="006C427D">
        <w:t xml:space="preserve"> where it is uncertain</w:t>
      </w:r>
      <w:r w:rsidR="00826D83" w:rsidRPr="006C427D">
        <w:t>, and</w:t>
      </w:r>
      <w:r w:rsidR="000E6A35">
        <w:t>, by privileging legal advice, prevent or impede</w:t>
      </w:r>
      <w:r w:rsidR="006C7546" w:rsidRPr="006C427D">
        <w:t xml:space="preserve"> </w:t>
      </w:r>
      <w:r w:rsidR="00E402D3" w:rsidRPr="006C427D">
        <w:t>good</w:t>
      </w:r>
      <w:r w:rsidR="00402573" w:rsidRPr="006C427D">
        <w:t>-</w:t>
      </w:r>
      <w:r w:rsidR="00E402D3" w:rsidRPr="006C427D">
        <w:t>faith</w:t>
      </w:r>
      <w:r w:rsidR="0011236F" w:rsidRPr="006C427D">
        <w:t xml:space="preserve"> dialogue </w:t>
      </w:r>
      <w:r w:rsidR="00826D83" w:rsidRPr="006C427D">
        <w:t>between the political branches and</w:t>
      </w:r>
      <w:r w:rsidR="0011236F" w:rsidRPr="006C427D">
        <w:t xml:space="preserve"> Courts</w:t>
      </w:r>
      <w:r w:rsidR="00AA1D47" w:rsidRPr="006C427D">
        <w:t xml:space="preserve"> about </w:t>
      </w:r>
      <w:r w:rsidR="000E6A35">
        <w:t>matters</w:t>
      </w:r>
      <w:r w:rsidR="00CC2CFB">
        <w:t xml:space="preserve"> such</w:t>
      </w:r>
      <w:r w:rsidR="000E6A35">
        <w:t xml:space="preserve"> as the content of the law, the extent of constitutionally permissible change</w:t>
      </w:r>
      <w:r w:rsidR="00CC2CFB">
        <w:t>,</w:t>
      </w:r>
      <w:r w:rsidR="000E6A35">
        <w:t xml:space="preserve"> or </w:t>
      </w:r>
      <w:r w:rsidR="00AA1D47" w:rsidRPr="006C427D">
        <w:t>how the law should be</w:t>
      </w:r>
      <w:r w:rsidR="00495986">
        <w:t xml:space="preserve"> best</w:t>
      </w:r>
      <w:r w:rsidR="00AA1D47" w:rsidRPr="006C427D">
        <w:t xml:space="preserve"> interpreted</w:t>
      </w:r>
      <w:r w:rsidR="00FD5F19" w:rsidRPr="006C427D">
        <w:t>.</w:t>
      </w:r>
      <w:r w:rsidR="00FD5F19" w:rsidRPr="006C427D">
        <w:rPr>
          <w:rStyle w:val="FootnoteReference"/>
        </w:rPr>
        <w:footnoteReference w:id="47"/>
      </w:r>
      <w:r w:rsidR="004B5795" w:rsidRPr="006C427D">
        <w:t xml:space="preserve"> </w:t>
      </w:r>
    </w:p>
    <w:p w14:paraId="1038E2A3" w14:textId="715B4B2C" w:rsidR="00BD6EA4" w:rsidRDefault="00BD6EA4" w:rsidP="00AF4ADF">
      <w:pPr>
        <w:spacing w:line="360" w:lineRule="auto"/>
        <w:ind w:firstLine="720"/>
        <w:jc w:val="both"/>
      </w:pPr>
    </w:p>
    <w:p w14:paraId="565FCD85" w14:textId="4C611DB1" w:rsidR="00BD6EA4" w:rsidRPr="006C427D" w:rsidRDefault="00BD6EA4" w:rsidP="00BD6EA4">
      <w:pPr>
        <w:spacing w:line="360" w:lineRule="auto"/>
        <w:ind w:firstLine="720"/>
        <w:jc w:val="both"/>
      </w:pPr>
      <w:r>
        <w:t xml:space="preserve">More generally, there </w:t>
      </w:r>
      <w:r w:rsidR="00BF3FBA">
        <w:t>can be</w:t>
      </w:r>
      <w:r>
        <w:t xml:space="preserve"> democratic costs </w:t>
      </w:r>
      <w:r w:rsidR="00BF3FBA">
        <w:t>that accompany a</w:t>
      </w:r>
      <w:r>
        <w:t xml:space="preserve"> highly technocratic and apolitical model</w:t>
      </w:r>
      <w:r w:rsidR="00BF3FBA">
        <w:t>, given that it</w:t>
      </w:r>
      <w:r>
        <w:t xml:space="preserve"> will inevitably </w:t>
      </w:r>
      <w:r w:rsidR="00BF3FBA">
        <w:t>allow</w:t>
      </w:r>
      <w:r>
        <w:t xml:space="preserve"> unelected legal advisors to wield considerable influence and power over </w:t>
      </w:r>
      <w:r w:rsidR="00BF3FBA">
        <w:t xml:space="preserve">the </w:t>
      </w:r>
      <w:r>
        <w:t>policymaking</w:t>
      </w:r>
      <w:r w:rsidR="00BF3FBA">
        <w:t xml:space="preserve"> process</w:t>
      </w:r>
      <w:r>
        <w:t>. It</w:t>
      </w:r>
      <w:r w:rsidRPr="006C427D">
        <w:t xml:space="preserve"> may </w:t>
      </w:r>
      <w:r>
        <w:t>grant</w:t>
      </w:r>
      <w:r w:rsidRPr="006C427D">
        <w:rPr>
          <w:rFonts w:eastAsiaTheme="minorHAnsi"/>
          <w:lang w:eastAsia="en-US"/>
        </w:rPr>
        <w:t xml:space="preserve"> ‘considerable</w:t>
      </w:r>
      <w:r w:rsidRPr="006C427D">
        <w:t xml:space="preserve"> </w:t>
      </w:r>
      <w:r w:rsidRPr="006C427D">
        <w:rPr>
          <w:rFonts w:eastAsiaTheme="minorHAnsi"/>
          <w:lang w:eastAsia="en-US"/>
        </w:rPr>
        <w:t>and controversial influence over the functions of the elected branches’</w:t>
      </w:r>
      <w:r w:rsidRPr="006C427D">
        <w:rPr>
          <w:rStyle w:val="FootnoteReference"/>
          <w:rFonts w:eastAsiaTheme="minorHAnsi"/>
          <w:lang w:eastAsia="en-US"/>
        </w:rPr>
        <w:footnoteReference w:id="48"/>
      </w:r>
      <w:r>
        <w:rPr>
          <w:rFonts w:eastAsiaTheme="minorHAnsi"/>
          <w:lang w:eastAsia="en-US"/>
        </w:rPr>
        <w:t xml:space="preserve"> to </w:t>
      </w:r>
      <w:r w:rsidR="00BF3FBA">
        <w:rPr>
          <w:rFonts w:eastAsiaTheme="minorHAnsi"/>
          <w:lang w:eastAsia="en-US"/>
        </w:rPr>
        <w:t>officials</w:t>
      </w:r>
      <w:r w:rsidRPr="006C427D">
        <w:rPr>
          <w:rFonts w:eastAsiaTheme="minorHAnsi"/>
          <w:lang w:eastAsia="en-US"/>
        </w:rPr>
        <w:t xml:space="preserve"> who will be</w:t>
      </w:r>
      <w:r w:rsidRPr="006C427D">
        <w:t>, by deliberate design, largely unaccountable for their decisions.</w:t>
      </w:r>
    </w:p>
    <w:p w14:paraId="5C5EC712" w14:textId="33D64913" w:rsidR="004B5795" w:rsidRPr="006C427D" w:rsidRDefault="004B5795" w:rsidP="00FB6D50">
      <w:pPr>
        <w:spacing w:line="360" w:lineRule="auto"/>
        <w:jc w:val="both"/>
      </w:pPr>
    </w:p>
    <w:p w14:paraId="52F4E2E7" w14:textId="17DCA46B" w:rsidR="004F5594" w:rsidRDefault="007C2E4B" w:rsidP="004F5594">
      <w:pPr>
        <w:spacing w:line="360" w:lineRule="auto"/>
        <w:ind w:firstLine="720"/>
        <w:jc w:val="both"/>
      </w:pPr>
      <w:r w:rsidRPr="006C427D">
        <w:t>Of course, none</w:t>
      </w:r>
      <w:r w:rsidR="00277CF3" w:rsidRPr="006C427D">
        <w:t xml:space="preserve"> of the above</w:t>
      </w:r>
      <w:r w:rsidR="00402573" w:rsidRPr="006C427D">
        <w:t xml:space="preserve"> </w:t>
      </w:r>
      <w:r w:rsidR="004F5594">
        <w:t>warrants</w:t>
      </w:r>
      <w:r w:rsidRPr="006C427D">
        <w:t xml:space="preserve"> the conclusion</w:t>
      </w:r>
      <w:r>
        <w:t xml:space="preserve"> </w:t>
      </w:r>
      <w:r w:rsidR="007F7580">
        <w:t>an</w:t>
      </w:r>
      <w:r w:rsidR="00402573">
        <w:t xml:space="preserve"> apolitical and technocratic </w:t>
      </w:r>
      <w:r w:rsidR="00277CF3">
        <w:t>model of apex legal advisor</w:t>
      </w:r>
      <w:r w:rsidR="00402573">
        <w:t xml:space="preserve"> lacks merit</w:t>
      </w:r>
      <w:r w:rsidR="00826D83">
        <w:t xml:space="preserve"> or is inherently less desirable than the status quo</w:t>
      </w:r>
      <w:r w:rsidR="00402573">
        <w:t>.</w:t>
      </w:r>
      <w:r>
        <w:t xml:space="preserve"> Such systems can and do work perfectly well.</w:t>
      </w:r>
      <w:r w:rsidR="00402573">
        <w:t xml:space="preserve"> It is merely to </w:t>
      </w:r>
      <w:r w:rsidR="00495986">
        <w:t>stress</w:t>
      </w:r>
      <w:r w:rsidR="00402573">
        <w:t xml:space="preserve"> that </w:t>
      </w:r>
      <w:r w:rsidR="00495986">
        <w:t>t</w:t>
      </w:r>
      <w:r w:rsidR="00495986" w:rsidRPr="00C97E03">
        <w:t>he</w:t>
      </w:r>
      <w:r w:rsidR="00495986">
        <w:t xml:space="preserve"> rules and norms that </w:t>
      </w:r>
      <w:r w:rsidR="00495986">
        <w:lastRenderedPageBreak/>
        <w:t>govern a</w:t>
      </w:r>
      <w:r w:rsidR="00495986" w:rsidRPr="00C97E03">
        <w:t xml:space="preserve"> </w:t>
      </w:r>
      <w:r w:rsidR="00495986">
        <w:t>government’s</w:t>
      </w:r>
      <w:r w:rsidR="00495986" w:rsidRPr="00C97E03">
        <w:t xml:space="preserve"> appointment of its leading lawyers, and </w:t>
      </w:r>
      <w:r w:rsidR="00495986">
        <w:t>the</w:t>
      </w:r>
      <w:r w:rsidR="00495986" w:rsidRPr="00C97E03">
        <w:t xml:space="preserve"> appointee’s self-understanding of their constitutional role, </w:t>
      </w:r>
      <w:r w:rsidR="00495986">
        <w:t xml:space="preserve">will have serious ramifications for constitutional politics. </w:t>
      </w:r>
    </w:p>
    <w:p w14:paraId="069C5898" w14:textId="77777777" w:rsidR="00C6280D" w:rsidRDefault="00C6280D" w:rsidP="004F5594">
      <w:pPr>
        <w:spacing w:line="360" w:lineRule="auto"/>
        <w:ind w:firstLine="720"/>
        <w:jc w:val="both"/>
      </w:pPr>
    </w:p>
    <w:p w14:paraId="7FC74D80" w14:textId="577723D0" w:rsidR="00F4197F" w:rsidRPr="00785819" w:rsidRDefault="00495986" w:rsidP="004F5594">
      <w:pPr>
        <w:spacing w:line="360" w:lineRule="auto"/>
        <w:ind w:firstLine="720"/>
        <w:jc w:val="both"/>
      </w:pPr>
      <w:r>
        <w:t>A</w:t>
      </w:r>
      <w:r w:rsidR="00402573">
        <w:t xml:space="preserve">ny proposed </w:t>
      </w:r>
      <w:r w:rsidR="007D034B">
        <w:t>alteration in the office of</w:t>
      </w:r>
      <w:r w:rsidR="00AA1D47">
        <w:t xml:space="preserve"> Attorney General in the UK</w:t>
      </w:r>
      <w:r w:rsidR="00402573">
        <w:t xml:space="preserve"> should</w:t>
      </w:r>
      <w:r>
        <w:t xml:space="preserve"> </w:t>
      </w:r>
      <w:r w:rsidR="007D034B">
        <w:t>have to pass through a</w:t>
      </w:r>
      <w:r w:rsidR="00402573">
        <w:t xml:space="preserve"> well-round</w:t>
      </w:r>
      <w:r w:rsidR="00826D83">
        <w:t>ed</w:t>
      </w:r>
      <w:r w:rsidR="00402573">
        <w:t xml:space="preserve"> and </w:t>
      </w:r>
      <w:r w:rsidR="007D034B">
        <w:t>clear-eyed</w:t>
      </w:r>
      <w:r w:rsidR="00402573">
        <w:t xml:space="preserve"> assessment of the potential advantages and </w:t>
      </w:r>
      <w:r w:rsidR="007D034B">
        <w:t xml:space="preserve">observable </w:t>
      </w:r>
      <w:r w:rsidR="00402573">
        <w:t>disadvantages that will accompany any new</w:t>
      </w:r>
      <w:r w:rsidR="00AA1D47">
        <w:t>, technocratic,</w:t>
      </w:r>
      <w:r w:rsidR="00402573">
        <w:t xml:space="preserve"> model</w:t>
      </w:r>
      <w:r w:rsidR="00C6280D">
        <w:t>. We should take pause and ask:</w:t>
      </w:r>
      <w:r w:rsidR="00CC2CFB">
        <w:t xml:space="preserve"> is the health of the Attorney General’s Office so poor such that</w:t>
      </w:r>
      <w:r w:rsidR="00402573">
        <w:t xml:space="preserve"> </w:t>
      </w:r>
      <w:r w:rsidR="0090117E">
        <w:t>a transplanted organ</w:t>
      </w:r>
      <w:r w:rsidR="00CC2CFB">
        <w:t xml:space="preserve"> is</w:t>
      </w:r>
      <w:r w:rsidR="0090117E">
        <w:t xml:space="preserve"> really necessary?</w:t>
      </w:r>
      <w:r w:rsidR="0090117E">
        <w:rPr>
          <w:rStyle w:val="FootnoteReference"/>
        </w:rPr>
        <w:footnoteReference w:id="49"/>
      </w:r>
      <w:r w:rsidR="00402573">
        <w:t xml:space="preserve"> </w:t>
      </w:r>
    </w:p>
    <w:sectPr w:rsidR="00F4197F" w:rsidRPr="0078581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B5DD" w14:textId="77777777" w:rsidR="00EB23FC" w:rsidRDefault="00EB23FC" w:rsidP="000262C1">
      <w:r>
        <w:separator/>
      </w:r>
    </w:p>
  </w:endnote>
  <w:endnote w:type="continuationSeparator" w:id="0">
    <w:p w14:paraId="19574A7C" w14:textId="77777777" w:rsidR="00EB23FC" w:rsidRDefault="00EB23FC" w:rsidP="0002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ew Baskerville">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576848"/>
      <w:docPartObj>
        <w:docPartGallery w:val="Page Numbers (Bottom of Page)"/>
        <w:docPartUnique/>
      </w:docPartObj>
    </w:sdtPr>
    <w:sdtEndPr>
      <w:rPr>
        <w:rStyle w:val="PageNumber"/>
      </w:rPr>
    </w:sdtEndPr>
    <w:sdtContent>
      <w:p w14:paraId="09E14A69" w14:textId="772D814E" w:rsidR="00C67D95" w:rsidRDefault="00C67D95" w:rsidP="00C36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A9129" w14:textId="77777777" w:rsidR="00C67D95" w:rsidRDefault="00C67D95" w:rsidP="00C36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1080"/>
      <w:docPartObj>
        <w:docPartGallery w:val="Page Numbers (Bottom of Page)"/>
        <w:docPartUnique/>
      </w:docPartObj>
    </w:sdtPr>
    <w:sdtEndPr>
      <w:rPr>
        <w:rStyle w:val="PageNumber"/>
      </w:rPr>
    </w:sdtEndPr>
    <w:sdtContent>
      <w:p w14:paraId="4882EAD0" w14:textId="682AD001" w:rsidR="00C67D95" w:rsidRDefault="00C67D95" w:rsidP="00C36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117E">
          <w:rPr>
            <w:rStyle w:val="PageNumber"/>
            <w:noProof/>
          </w:rPr>
          <w:t>12</w:t>
        </w:r>
        <w:r>
          <w:rPr>
            <w:rStyle w:val="PageNumber"/>
          </w:rPr>
          <w:fldChar w:fldCharType="end"/>
        </w:r>
      </w:p>
    </w:sdtContent>
  </w:sdt>
  <w:p w14:paraId="13D652D4" w14:textId="77777777" w:rsidR="00C67D95" w:rsidRDefault="00C67D95" w:rsidP="00C364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05B9" w14:textId="77777777" w:rsidR="00EB23FC" w:rsidRDefault="00EB23FC" w:rsidP="000262C1">
      <w:r>
        <w:separator/>
      </w:r>
    </w:p>
  </w:footnote>
  <w:footnote w:type="continuationSeparator" w:id="0">
    <w:p w14:paraId="4705ECCD" w14:textId="77777777" w:rsidR="00EB23FC" w:rsidRDefault="00EB23FC" w:rsidP="000262C1">
      <w:r>
        <w:continuationSeparator/>
      </w:r>
    </w:p>
  </w:footnote>
  <w:footnote w:id="1">
    <w:p w14:paraId="1E7A2AAF" w14:textId="6665417B" w:rsidR="00F8169E" w:rsidRPr="003A3EB1" w:rsidRDefault="00F8169E"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Lecturer in Law, University of Liverpool School of Law and Social Justice.</w:t>
      </w:r>
    </w:p>
  </w:footnote>
  <w:footnote w:id="2">
    <w:p w14:paraId="549E8AD6" w14:textId="25ED5DF3" w:rsidR="00F8169E" w:rsidRPr="003A3EB1" w:rsidRDefault="00F8169E"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Queens Counsel and former Attorney General of Northern Ireland (2010-2020).</w:t>
      </w:r>
      <w:r w:rsidR="00F23BE8" w:rsidRPr="003A3EB1">
        <w:rPr>
          <w:rFonts w:ascii="Times New Roman" w:hAnsi="Times New Roman" w:cs="Times New Roman"/>
          <w:color w:val="000000" w:themeColor="text1"/>
          <w:sz w:val="20"/>
          <w:szCs w:val="20"/>
        </w:rPr>
        <w:t xml:space="preserve"> This essay is an updated and extended version of a report produced for the think-tank </w:t>
      </w:r>
      <w:r w:rsidR="00F23BE8" w:rsidRPr="003A3EB1">
        <w:rPr>
          <w:rFonts w:ascii="Times New Roman" w:hAnsi="Times New Roman" w:cs="Times New Roman"/>
          <w:i/>
          <w:iCs/>
          <w:color w:val="000000" w:themeColor="text1"/>
          <w:sz w:val="20"/>
          <w:szCs w:val="20"/>
        </w:rPr>
        <w:t>Policy Exchange</w:t>
      </w:r>
      <w:r w:rsidR="00F23BE8" w:rsidRPr="003A3EB1">
        <w:rPr>
          <w:rFonts w:ascii="Times New Roman" w:hAnsi="Times New Roman" w:cs="Times New Roman"/>
          <w:color w:val="000000" w:themeColor="text1"/>
          <w:sz w:val="20"/>
          <w:szCs w:val="20"/>
        </w:rPr>
        <w:t xml:space="preserve">. The report is available here, </w:t>
      </w:r>
      <w:hyperlink r:id="rId1" w:history="1">
        <w:r w:rsidR="00F23BE8" w:rsidRPr="003A3EB1">
          <w:rPr>
            <w:rStyle w:val="Hyperlink"/>
            <w:rFonts w:ascii="Times New Roman" w:hAnsi="Times New Roman" w:cs="Times New Roman"/>
            <w:color w:val="000000" w:themeColor="text1"/>
            <w:sz w:val="20"/>
            <w:szCs w:val="20"/>
          </w:rPr>
          <w:t>https://policyexchange.org.uk/publication/crossing-the-line/</w:t>
        </w:r>
      </w:hyperlink>
      <w:r w:rsidR="00F23BE8" w:rsidRPr="003A3EB1">
        <w:rPr>
          <w:rFonts w:ascii="Times New Roman" w:hAnsi="Times New Roman" w:cs="Times New Roman"/>
          <w:color w:val="000000" w:themeColor="text1"/>
          <w:sz w:val="20"/>
          <w:szCs w:val="20"/>
        </w:rPr>
        <w:t xml:space="preserve">. </w:t>
      </w:r>
    </w:p>
  </w:footnote>
  <w:footnote w:id="3">
    <w:p w14:paraId="301B359E" w14:textId="37512B68" w:rsidR="0062037F" w:rsidRPr="003A3EB1" w:rsidRDefault="0062037F" w:rsidP="003A3EB1">
      <w:pPr>
        <w:pStyle w:val="Default"/>
        <w:jc w:val="both"/>
        <w:rPr>
          <w:rFonts w:ascii="Times New Roman" w:hAnsi="Times New Roman" w:cs="Times New Roman"/>
          <w:color w:val="000000" w:themeColor="text1"/>
          <w:sz w:val="20"/>
          <w:szCs w:val="20"/>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Suella Braverman QC MP, ‘Judicial Review Trends and Forecasts 2021: Accountability and the Constitution</w:t>
      </w:r>
      <w:r w:rsidRPr="003A3EB1">
        <w:rPr>
          <w:rFonts w:ascii="Times New Roman" w:hAnsi="Times New Roman" w:cs="Times New Roman"/>
          <w:b/>
          <w:bCs/>
          <w:color w:val="000000" w:themeColor="text1"/>
          <w:sz w:val="20"/>
          <w:szCs w:val="20"/>
        </w:rPr>
        <w:t xml:space="preserve">’ </w:t>
      </w:r>
      <w:r w:rsidRPr="003A3EB1">
        <w:rPr>
          <w:rFonts w:ascii="Times New Roman" w:hAnsi="Times New Roman" w:cs="Times New Roman"/>
          <w:i/>
          <w:iCs/>
          <w:color w:val="000000" w:themeColor="text1"/>
          <w:sz w:val="20"/>
          <w:szCs w:val="20"/>
        </w:rPr>
        <w:t xml:space="preserve">Public Law Project Conference </w:t>
      </w:r>
      <w:r w:rsidRPr="003A3EB1">
        <w:rPr>
          <w:rFonts w:ascii="Times New Roman" w:hAnsi="Times New Roman" w:cs="Times New Roman"/>
          <w:color w:val="000000" w:themeColor="text1"/>
          <w:sz w:val="20"/>
          <w:szCs w:val="20"/>
        </w:rPr>
        <w:t>(19</w:t>
      </w:r>
      <w:r w:rsidRPr="003A3EB1">
        <w:rPr>
          <w:rFonts w:ascii="Times New Roman" w:hAnsi="Times New Roman" w:cs="Times New Roman"/>
          <w:color w:val="000000" w:themeColor="text1"/>
          <w:sz w:val="20"/>
          <w:szCs w:val="20"/>
          <w:vertAlign w:val="superscript"/>
        </w:rPr>
        <w:t>th</w:t>
      </w:r>
      <w:r w:rsidRPr="003A3EB1">
        <w:rPr>
          <w:rFonts w:ascii="Times New Roman" w:hAnsi="Times New Roman" w:cs="Times New Roman"/>
          <w:color w:val="000000" w:themeColor="text1"/>
          <w:sz w:val="20"/>
          <w:szCs w:val="20"/>
        </w:rPr>
        <w:t xml:space="preserve"> October 2021)</w:t>
      </w:r>
      <w:r w:rsidR="00521345" w:rsidRPr="003A3EB1">
        <w:rPr>
          <w:rFonts w:ascii="Times New Roman" w:hAnsi="Times New Roman" w:cs="Times New Roman"/>
          <w:color w:val="000000" w:themeColor="text1"/>
          <w:sz w:val="20"/>
          <w:szCs w:val="20"/>
        </w:rPr>
        <w:t>.</w:t>
      </w:r>
    </w:p>
  </w:footnote>
  <w:footnote w:id="4">
    <w:p w14:paraId="6B863E9D" w14:textId="336B1866" w:rsidR="00C718C8" w:rsidRPr="003A3EB1" w:rsidRDefault="00C718C8" w:rsidP="003A3EB1">
      <w:pPr>
        <w:shd w:val="clear" w:color="auto" w:fill="FFFFFF"/>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[2020] UKSC 19.</w:t>
      </w:r>
    </w:p>
  </w:footnote>
  <w:footnote w:id="5">
    <w:p w14:paraId="4BF952B8" w14:textId="2E93D247" w:rsidR="00C718C8" w:rsidRPr="003A3EB1" w:rsidRDefault="00C718C8" w:rsidP="003A3EB1">
      <w:pPr>
        <w:shd w:val="clear" w:color="auto" w:fill="FFFFFF"/>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[2017] UKSC 5.</w:t>
      </w:r>
    </w:p>
  </w:footnote>
  <w:footnote w:id="6">
    <w:p w14:paraId="7970FA66" w14:textId="77F6C3BC" w:rsidR="00C718C8" w:rsidRPr="003A3EB1" w:rsidRDefault="00C718C8" w:rsidP="003A3EB1">
      <w:pPr>
        <w:shd w:val="clear" w:color="auto" w:fill="FFFFFF"/>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[2019] UKSC 41.</w:t>
      </w:r>
    </w:p>
  </w:footnote>
  <w:footnote w:id="7">
    <w:p w14:paraId="180BEBDB" w14:textId="50BFEA3F" w:rsidR="00C718C8" w:rsidRPr="003A3EB1" w:rsidRDefault="00C718C8" w:rsidP="003A3EB1">
      <w:pPr>
        <w:shd w:val="clear" w:color="auto" w:fill="FFFFFF"/>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[2015] UKSC 21.</w:t>
      </w:r>
    </w:p>
  </w:footnote>
  <w:footnote w:id="8">
    <w:p w14:paraId="2F549116" w14:textId="6D8A62E7" w:rsidR="00C718C8" w:rsidRPr="003A3EB1" w:rsidRDefault="00C718C8" w:rsidP="003A3EB1">
      <w:pPr>
        <w:shd w:val="clear" w:color="auto" w:fill="FFFFFF"/>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[2017] UKSC 51.</w:t>
      </w:r>
    </w:p>
  </w:footnote>
  <w:footnote w:id="9">
    <w:p w14:paraId="2209B743" w14:textId="5316FE81" w:rsidR="00C718C8" w:rsidRPr="003A3EB1" w:rsidRDefault="00C718C8" w:rsidP="003A3EB1">
      <w:pPr>
        <w:shd w:val="clear" w:color="auto" w:fill="FFFFFF"/>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[2019] UKSC 22.</w:t>
      </w:r>
    </w:p>
  </w:footnote>
  <w:footnote w:id="10">
    <w:p w14:paraId="114BDEBD" w14:textId="4F29948C" w:rsidR="00B8745A" w:rsidRPr="003A3EB1" w:rsidRDefault="00B8745A" w:rsidP="003A3EB1">
      <w:pPr>
        <w:pStyle w:val="Heading2"/>
        <w:jc w:val="both"/>
        <w:rPr>
          <w:rFonts w:ascii="Times New Roman" w:hAnsi="Times New Roman" w:cs="Times New Roman"/>
          <w:color w:val="000000" w:themeColor="text1"/>
          <w:sz w:val="20"/>
          <w:szCs w:val="20"/>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87592B" w:rsidRPr="003A3EB1">
        <w:rPr>
          <w:rFonts w:ascii="Times New Roman" w:hAnsi="Times New Roman" w:cs="Times New Roman"/>
          <w:color w:val="000000" w:themeColor="text1"/>
          <w:sz w:val="20"/>
          <w:szCs w:val="20"/>
        </w:rPr>
        <w:t>Contained in the Judicial Review and Courts Bill 2021–22.</w:t>
      </w:r>
    </w:p>
  </w:footnote>
  <w:footnote w:id="11">
    <w:p w14:paraId="2DB831FC" w14:textId="1F964CC0" w:rsidR="0087592B" w:rsidRPr="003A3EB1" w:rsidRDefault="0087592B"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Braverman (n </w:t>
      </w:r>
      <w:r w:rsidRPr="003A3EB1">
        <w:rPr>
          <w:rFonts w:ascii="Times New Roman" w:hAnsi="Times New Roman" w:cs="Times New Roman"/>
          <w:color w:val="000000" w:themeColor="text1"/>
          <w:sz w:val="20"/>
          <w:szCs w:val="20"/>
        </w:rPr>
        <w:fldChar w:fldCharType="begin"/>
      </w:r>
      <w:r w:rsidRPr="003A3EB1">
        <w:rPr>
          <w:rFonts w:ascii="Times New Roman" w:hAnsi="Times New Roman" w:cs="Times New Roman"/>
          <w:color w:val="000000" w:themeColor="text1"/>
          <w:sz w:val="20"/>
          <w:szCs w:val="20"/>
        </w:rPr>
        <w:instrText xml:space="preserve"> NOTEREF _Ref87952818 \h </w:instrText>
      </w:r>
      <w:r w:rsidR="009A323C" w:rsidRPr="003A3EB1">
        <w:rPr>
          <w:rFonts w:ascii="Times New Roman" w:hAnsi="Times New Roman" w:cs="Times New Roman"/>
          <w:color w:val="000000" w:themeColor="text1"/>
          <w:sz w:val="20"/>
          <w:szCs w:val="20"/>
        </w:rPr>
        <w:instrText xml:space="preserve"> \* MERGEFORMAT </w:instrText>
      </w:r>
      <w:r w:rsidRPr="003A3EB1">
        <w:rPr>
          <w:rFonts w:ascii="Times New Roman" w:hAnsi="Times New Roman" w:cs="Times New Roman"/>
          <w:color w:val="000000" w:themeColor="text1"/>
          <w:sz w:val="20"/>
          <w:szCs w:val="20"/>
        </w:rPr>
      </w:r>
      <w:r w:rsidRPr="003A3EB1">
        <w:rPr>
          <w:rFonts w:ascii="Times New Roman" w:hAnsi="Times New Roman" w:cs="Times New Roman"/>
          <w:color w:val="000000" w:themeColor="text1"/>
          <w:sz w:val="20"/>
          <w:szCs w:val="20"/>
        </w:rPr>
        <w:fldChar w:fldCharType="separate"/>
      </w:r>
      <w:r w:rsidR="008D2CAE" w:rsidRPr="003A3EB1">
        <w:rPr>
          <w:rFonts w:ascii="Times New Roman" w:hAnsi="Times New Roman" w:cs="Times New Roman"/>
          <w:color w:val="000000" w:themeColor="text1"/>
          <w:sz w:val="20"/>
          <w:szCs w:val="20"/>
        </w:rPr>
        <w:t>3</w:t>
      </w:r>
      <w:r w:rsidRPr="003A3EB1">
        <w:rPr>
          <w:rFonts w:ascii="Times New Roman" w:hAnsi="Times New Roman" w:cs="Times New Roman"/>
          <w:color w:val="000000" w:themeColor="text1"/>
          <w:sz w:val="20"/>
          <w:szCs w:val="20"/>
        </w:rPr>
        <w:fldChar w:fldCharType="end"/>
      </w:r>
      <w:r w:rsidRPr="003A3EB1">
        <w:rPr>
          <w:rFonts w:ascii="Times New Roman" w:hAnsi="Times New Roman" w:cs="Times New Roman"/>
          <w:color w:val="000000" w:themeColor="text1"/>
          <w:sz w:val="20"/>
          <w:szCs w:val="20"/>
        </w:rPr>
        <w:t>).</w:t>
      </w:r>
    </w:p>
  </w:footnote>
  <w:footnote w:id="12">
    <w:p w14:paraId="48DEEDB8" w14:textId="433E5D95" w:rsidR="00863793" w:rsidRPr="003A3EB1" w:rsidRDefault="00863793" w:rsidP="003A3EB1">
      <w:pPr>
        <w:pStyle w:val="Heading1"/>
        <w:shd w:val="clear" w:color="auto" w:fill="FFFFFF"/>
        <w:spacing w:before="0" w:line="240" w:lineRule="auto"/>
        <w:jc w:val="both"/>
        <w:rPr>
          <w:rFonts w:ascii="Times New Roman" w:hAnsi="Times New Roman" w:cs="Times New Roman"/>
          <w:color w:val="000000" w:themeColor="text1"/>
          <w:sz w:val="20"/>
          <w:szCs w:val="20"/>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 xml:space="preserve">Mark Elliot, </w:t>
      </w:r>
      <w:r w:rsidR="00ED06EC" w:rsidRPr="003A3EB1">
        <w:rPr>
          <w:rFonts w:ascii="Times New Roman" w:hAnsi="Times New Roman" w:cs="Times New Roman"/>
          <w:color w:val="000000" w:themeColor="text1"/>
          <w:sz w:val="20"/>
          <w:szCs w:val="20"/>
          <w:lang w:val="en-GB"/>
        </w:rPr>
        <w:t>‘</w:t>
      </w:r>
      <w:r w:rsidR="00ED06EC" w:rsidRPr="003A3EB1">
        <w:rPr>
          <w:rFonts w:ascii="Times New Roman" w:hAnsi="Times New Roman" w:cs="Times New Roman"/>
          <w:color w:val="000000" w:themeColor="text1"/>
          <w:sz w:val="20"/>
          <w:szCs w:val="20"/>
        </w:rPr>
        <w:t xml:space="preserve">Response to the Attorney-General’s Public Law Project keynote speech’ (October 20, 2021) </w:t>
      </w:r>
      <w:r w:rsidR="00ED06EC" w:rsidRPr="003A3EB1">
        <w:rPr>
          <w:rFonts w:ascii="Times New Roman" w:hAnsi="Times New Roman" w:cs="Times New Roman"/>
          <w:i/>
          <w:iCs/>
          <w:color w:val="000000" w:themeColor="text1"/>
          <w:sz w:val="20"/>
          <w:szCs w:val="20"/>
        </w:rPr>
        <w:t>Public Law For Everyone</w:t>
      </w:r>
      <w:r w:rsidR="00ED06EC" w:rsidRPr="003A3EB1">
        <w:rPr>
          <w:rFonts w:ascii="Times New Roman" w:hAnsi="Times New Roman" w:cs="Times New Roman"/>
          <w:color w:val="000000" w:themeColor="text1"/>
          <w:sz w:val="20"/>
          <w:szCs w:val="20"/>
        </w:rPr>
        <w:t xml:space="preserve">, </w:t>
      </w:r>
      <w:hyperlink r:id="rId2" w:history="1">
        <w:r w:rsidR="00ED06EC" w:rsidRPr="003A3EB1">
          <w:rPr>
            <w:rStyle w:val="Hyperlink"/>
            <w:rFonts w:ascii="Times New Roman" w:hAnsi="Times New Roman" w:cs="Times New Roman"/>
            <w:color w:val="000000" w:themeColor="text1"/>
            <w:sz w:val="20"/>
            <w:szCs w:val="20"/>
          </w:rPr>
          <w:t>https://publiclawforeveryone.com/2021/10/20/response-to-the-attorney-generals-public-law-project-keynote-speech/</w:t>
        </w:r>
      </w:hyperlink>
      <w:r w:rsidR="00ED06EC" w:rsidRPr="003A3EB1">
        <w:rPr>
          <w:rFonts w:ascii="Times New Roman" w:hAnsi="Times New Roman" w:cs="Times New Roman"/>
          <w:color w:val="000000" w:themeColor="text1"/>
          <w:sz w:val="20"/>
          <w:szCs w:val="20"/>
        </w:rPr>
        <w:t xml:space="preserve">. </w:t>
      </w:r>
    </w:p>
  </w:footnote>
  <w:footnote w:id="13">
    <w:p w14:paraId="5E0EC6A2" w14:textId="0D513B68" w:rsidR="00B23E66" w:rsidRPr="003A3EB1" w:rsidRDefault="00B23E66"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ED06EC" w:rsidRPr="003A3EB1">
        <w:rPr>
          <w:rFonts w:ascii="Times New Roman" w:hAnsi="Times New Roman" w:cs="Times New Roman"/>
          <w:color w:val="000000" w:themeColor="text1"/>
          <w:sz w:val="20"/>
          <w:szCs w:val="20"/>
          <w:lang w:val="en-GB"/>
        </w:rPr>
        <w:t>Joshua Rosenberg QC (hon), ‘</w:t>
      </w:r>
      <w:r w:rsidR="00ED06EC" w:rsidRPr="003A3EB1">
        <w:rPr>
          <w:rFonts w:ascii="Times New Roman" w:hAnsi="Times New Roman" w:cs="Times New Roman"/>
          <w:color w:val="000000" w:themeColor="text1"/>
          <w:sz w:val="20"/>
          <w:szCs w:val="20"/>
        </w:rPr>
        <w:t xml:space="preserve">Back in your box, attorney tells judges: Suella Braverman pushes the constitutional boundaries’ </w:t>
      </w:r>
      <w:r w:rsidR="00ED06EC" w:rsidRPr="003A3EB1">
        <w:rPr>
          <w:rFonts w:ascii="Times New Roman" w:hAnsi="Times New Roman" w:cs="Times New Roman"/>
          <w:i/>
          <w:iCs/>
          <w:color w:val="000000" w:themeColor="text1"/>
          <w:sz w:val="20"/>
          <w:szCs w:val="20"/>
        </w:rPr>
        <w:t xml:space="preserve">A Lawyer Writes </w:t>
      </w:r>
      <w:r w:rsidR="00ED06EC" w:rsidRPr="003A3EB1">
        <w:rPr>
          <w:rFonts w:ascii="Times New Roman" w:hAnsi="Times New Roman" w:cs="Times New Roman"/>
          <w:color w:val="000000" w:themeColor="text1"/>
          <w:sz w:val="20"/>
          <w:szCs w:val="20"/>
        </w:rPr>
        <w:t>(21</w:t>
      </w:r>
      <w:r w:rsidR="00ED06EC" w:rsidRPr="003A3EB1">
        <w:rPr>
          <w:rFonts w:ascii="Times New Roman" w:hAnsi="Times New Roman" w:cs="Times New Roman"/>
          <w:color w:val="000000" w:themeColor="text1"/>
          <w:sz w:val="20"/>
          <w:szCs w:val="20"/>
          <w:vertAlign w:val="superscript"/>
        </w:rPr>
        <w:t>st</w:t>
      </w:r>
      <w:r w:rsidR="00ED06EC" w:rsidRPr="003A3EB1">
        <w:rPr>
          <w:rFonts w:ascii="Times New Roman" w:hAnsi="Times New Roman" w:cs="Times New Roman"/>
          <w:color w:val="000000" w:themeColor="text1"/>
          <w:sz w:val="20"/>
          <w:szCs w:val="20"/>
        </w:rPr>
        <w:t xml:space="preserve"> October 2021), </w:t>
      </w:r>
      <w:hyperlink r:id="rId3" w:history="1">
        <w:r w:rsidR="00ED06EC" w:rsidRPr="003A3EB1">
          <w:rPr>
            <w:rStyle w:val="Hyperlink"/>
            <w:rFonts w:ascii="Times New Roman" w:hAnsi="Times New Roman" w:cs="Times New Roman"/>
            <w:color w:val="000000" w:themeColor="text1"/>
            <w:sz w:val="20"/>
            <w:szCs w:val="20"/>
          </w:rPr>
          <w:t>https://rozenberg.substack.com/p/back-in-your-box-attorney-tells-judges</w:t>
        </w:r>
      </w:hyperlink>
      <w:r w:rsidR="00ED06EC" w:rsidRPr="003A3EB1">
        <w:rPr>
          <w:rFonts w:ascii="Times New Roman" w:hAnsi="Times New Roman" w:cs="Times New Roman"/>
          <w:color w:val="000000" w:themeColor="text1"/>
          <w:sz w:val="20"/>
          <w:szCs w:val="20"/>
        </w:rPr>
        <w:t>.</w:t>
      </w:r>
    </w:p>
  </w:footnote>
  <w:footnote w:id="14">
    <w:p w14:paraId="4FCEB275" w14:textId="75D1C0B6" w:rsidR="00B23E66" w:rsidRPr="003A3EB1" w:rsidRDefault="00B23E66"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hyperlink r:id="rId4" w:history="1">
        <w:r w:rsidRPr="003A3EB1">
          <w:rPr>
            <w:rStyle w:val="Hyperlink"/>
            <w:rFonts w:ascii="Times New Roman" w:hAnsi="Times New Roman" w:cs="Times New Roman"/>
            <w:color w:val="000000" w:themeColor="text1"/>
            <w:sz w:val="20"/>
            <w:szCs w:val="20"/>
          </w:rPr>
          <w:t>https://twitter.com/ProfMarkElliott/status/1451148309167493128</w:t>
        </w:r>
      </w:hyperlink>
      <w:r w:rsidRPr="003A3EB1">
        <w:rPr>
          <w:rFonts w:ascii="Times New Roman" w:hAnsi="Times New Roman" w:cs="Times New Roman"/>
          <w:color w:val="000000" w:themeColor="text1"/>
          <w:sz w:val="20"/>
          <w:szCs w:val="20"/>
        </w:rPr>
        <w:t xml:space="preserve">. </w:t>
      </w:r>
    </w:p>
  </w:footnote>
  <w:footnote w:id="15">
    <w:p w14:paraId="0176433D" w14:textId="2FB5C65C" w:rsidR="0001360C" w:rsidRPr="003A3EB1" w:rsidRDefault="0001360C"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ED06EC" w:rsidRPr="003A3EB1">
        <w:rPr>
          <w:rFonts w:ascii="Times New Roman" w:hAnsi="Times New Roman" w:cs="Times New Roman"/>
          <w:color w:val="000000" w:themeColor="text1"/>
          <w:sz w:val="20"/>
          <w:szCs w:val="20"/>
        </w:rPr>
        <w:t>‘</w:t>
      </w:r>
      <w:r w:rsidR="00ED06EC" w:rsidRPr="003A3EB1">
        <w:rPr>
          <w:rStyle w:val="articleheadline"/>
          <w:rFonts w:ascii="Times New Roman" w:hAnsi="Times New Roman" w:cs="Times New Roman"/>
          <w:color w:val="000000" w:themeColor="text1"/>
          <w:sz w:val="20"/>
          <w:szCs w:val="20"/>
          <w:bdr w:val="none" w:sz="0" w:space="0" w:color="auto" w:frame="1"/>
        </w:rPr>
        <w:t xml:space="preserve">Boris Johnson treats checks and balances with contempt’ </w:t>
      </w:r>
      <w:r w:rsidR="00ED06EC" w:rsidRPr="003A3EB1">
        <w:rPr>
          <w:rStyle w:val="articleheadline"/>
          <w:rFonts w:ascii="Times New Roman" w:hAnsi="Times New Roman" w:cs="Times New Roman"/>
          <w:i/>
          <w:iCs/>
          <w:color w:val="000000" w:themeColor="text1"/>
          <w:sz w:val="20"/>
          <w:szCs w:val="20"/>
          <w:bdr w:val="none" w:sz="0" w:space="0" w:color="auto" w:frame="1"/>
        </w:rPr>
        <w:t xml:space="preserve">The Economist </w:t>
      </w:r>
      <w:r w:rsidR="00ED06EC" w:rsidRPr="003A3EB1">
        <w:rPr>
          <w:rStyle w:val="articleheadline"/>
          <w:rFonts w:ascii="Times New Roman" w:hAnsi="Times New Roman" w:cs="Times New Roman"/>
          <w:color w:val="000000" w:themeColor="text1"/>
          <w:sz w:val="20"/>
          <w:szCs w:val="20"/>
          <w:bdr w:val="none" w:sz="0" w:space="0" w:color="auto" w:frame="1"/>
        </w:rPr>
        <w:t>(6</w:t>
      </w:r>
      <w:r w:rsidR="00ED06EC" w:rsidRPr="003A3EB1">
        <w:rPr>
          <w:rStyle w:val="articleheadline"/>
          <w:rFonts w:ascii="Times New Roman" w:hAnsi="Times New Roman" w:cs="Times New Roman"/>
          <w:color w:val="000000" w:themeColor="text1"/>
          <w:sz w:val="20"/>
          <w:szCs w:val="20"/>
          <w:bdr w:val="none" w:sz="0" w:space="0" w:color="auto" w:frame="1"/>
          <w:vertAlign w:val="superscript"/>
        </w:rPr>
        <w:t>th</w:t>
      </w:r>
      <w:r w:rsidR="00ED06EC" w:rsidRPr="003A3EB1">
        <w:rPr>
          <w:rStyle w:val="articleheadline"/>
          <w:rFonts w:ascii="Times New Roman" w:hAnsi="Times New Roman" w:cs="Times New Roman"/>
          <w:color w:val="000000" w:themeColor="text1"/>
          <w:sz w:val="20"/>
          <w:szCs w:val="20"/>
          <w:bdr w:val="none" w:sz="0" w:space="0" w:color="auto" w:frame="1"/>
        </w:rPr>
        <w:t xml:space="preserve"> November 2021).</w:t>
      </w:r>
    </w:p>
  </w:footnote>
  <w:footnote w:id="16">
    <w:p w14:paraId="1EDCF29C" w14:textId="2C531CF8" w:rsidR="00ED06EC" w:rsidRPr="003A3EB1" w:rsidRDefault="00ED06EC" w:rsidP="003A3EB1">
      <w:pPr>
        <w:pStyle w:val="Heading1"/>
        <w:spacing w:before="0" w:line="240" w:lineRule="auto"/>
        <w:jc w:val="both"/>
        <w:textAlignment w:val="baseline"/>
        <w:rPr>
          <w:rFonts w:ascii="Times New Roman" w:hAnsi="Times New Roman" w:cs="Times New Roman"/>
          <w:color w:val="000000" w:themeColor="text1"/>
          <w:sz w:val="20"/>
          <w:szCs w:val="20"/>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Style w:val="articleheadline"/>
          <w:rFonts w:ascii="Times New Roman" w:hAnsi="Times New Roman" w:cs="Times New Roman"/>
          <w:color w:val="000000" w:themeColor="text1"/>
          <w:sz w:val="20"/>
          <w:szCs w:val="20"/>
          <w:bdr w:val="none" w:sz="0" w:space="0" w:color="auto" w:frame="1"/>
        </w:rPr>
        <w:t xml:space="preserve">‘Judicial independence is under threat in Britain’ </w:t>
      </w:r>
      <w:r w:rsidRPr="003A3EB1">
        <w:rPr>
          <w:rStyle w:val="articleheadline"/>
          <w:rFonts w:ascii="Times New Roman" w:hAnsi="Times New Roman" w:cs="Times New Roman"/>
          <w:i/>
          <w:iCs/>
          <w:color w:val="000000" w:themeColor="text1"/>
          <w:sz w:val="20"/>
          <w:szCs w:val="20"/>
          <w:bdr w:val="none" w:sz="0" w:space="0" w:color="auto" w:frame="1"/>
        </w:rPr>
        <w:t>The Economist</w:t>
      </w:r>
      <w:r w:rsidRPr="003A3EB1">
        <w:rPr>
          <w:rFonts w:ascii="Times New Roman" w:hAnsi="Times New Roman" w:cs="Times New Roman"/>
          <w:color w:val="000000" w:themeColor="text1"/>
          <w:sz w:val="20"/>
          <w:szCs w:val="20"/>
        </w:rPr>
        <w:t xml:space="preserve"> (4</w:t>
      </w:r>
      <w:r w:rsidRPr="003A3EB1">
        <w:rPr>
          <w:rFonts w:ascii="Times New Roman" w:hAnsi="Times New Roman" w:cs="Times New Roman"/>
          <w:color w:val="000000" w:themeColor="text1"/>
          <w:sz w:val="20"/>
          <w:szCs w:val="20"/>
          <w:vertAlign w:val="superscript"/>
        </w:rPr>
        <w:t>th</w:t>
      </w:r>
      <w:r w:rsidRPr="003A3EB1">
        <w:rPr>
          <w:rFonts w:ascii="Times New Roman" w:hAnsi="Times New Roman" w:cs="Times New Roman"/>
          <w:color w:val="000000" w:themeColor="text1"/>
          <w:sz w:val="20"/>
          <w:szCs w:val="20"/>
        </w:rPr>
        <w:t xml:space="preserve"> November 2021).</w:t>
      </w:r>
    </w:p>
  </w:footnote>
  <w:footnote w:id="17">
    <w:p w14:paraId="6A6ACAF1" w14:textId="77777777"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Attributed to Francis Bacon QC. Elwyn Jones QC, ‘The Office of Attorney-General’ 27 </w:t>
      </w:r>
      <w:r w:rsidRPr="003A3EB1">
        <w:rPr>
          <w:rFonts w:ascii="Times New Roman" w:hAnsi="Times New Roman" w:cs="Times New Roman"/>
          <w:i/>
          <w:color w:val="000000" w:themeColor="text1"/>
          <w:sz w:val="20"/>
          <w:szCs w:val="20"/>
        </w:rPr>
        <w:t xml:space="preserve">Cambridge Law Journal </w:t>
      </w:r>
      <w:r w:rsidRPr="003A3EB1">
        <w:rPr>
          <w:rFonts w:ascii="Times New Roman" w:hAnsi="Times New Roman" w:cs="Times New Roman"/>
          <w:color w:val="000000" w:themeColor="text1"/>
          <w:sz w:val="20"/>
          <w:szCs w:val="20"/>
        </w:rPr>
        <w:t>(1969) 43</w:t>
      </w:r>
      <w:r w:rsidRPr="003A3EB1">
        <w:rPr>
          <w:rFonts w:ascii="Times New Roman" w:hAnsi="Times New Roman" w:cs="Times New Roman"/>
          <w:color w:val="000000" w:themeColor="text1"/>
          <w:sz w:val="20"/>
          <w:szCs w:val="20"/>
          <w:lang w:val="en-GB"/>
        </w:rPr>
        <w:t>.</w:t>
      </w:r>
    </w:p>
  </w:footnote>
  <w:footnote w:id="18">
    <w:p w14:paraId="1DF86EC0" w14:textId="77777777"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Attributed to Patrick Hastings QC. Id.</w:t>
      </w:r>
    </w:p>
  </w:footnote>
  <w:footnote w:id="19">
    <w:p w14:paraId="5EBD7525" w14:textId="77777777"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S</w:t>
      </w:r>
      <w:r w:rsidRPr="003A3EB1">
        <w:rPr>
          <w:rFonts w:ascii="Times New Roman" w:hAnsi="Times New Roman" w:cs="Times New Roman"/>
          <w:color w:val="000000" w:themeColor="text1"/>
          <w:sz w:val="20"/>
          <w:szCs w:val="20"/>
          <w:lang w:val="en-GB"/>
        </w:rPr>
        <w:t xml:space="preserve">.S.C. Silkin QC, </w:t>
      </w:r>
      <w:r w:rsidRPr="003A3EB1">
        <w:rPr>
          <w:rFonts w:ascii="Times New Roman" w:hAnsi="Times New Roman" w:cs="Times New Roman"/>
          <w:color w:val="000000" w:themeColor="text1"/>
          <w:sz w:val="20"/>
          <w:szCs w:val="20"/>
        </w:rPr>
        <w:t xml:space="preserve">‘The Functions and Position of the Attorney-General in the United Kingdom’ (1978) 58 </w:t>
      </w:r>
      <w:r w:rsidRPr="003A3EB1">
        <w:rPr>
          <w:rFonts w:ascii="Times New Roman" w:hAnsi="Times New Roman" w:cs="Times New Roman"/>
          <w:i/>
          <w:iCs/>
          <w:color w:val="000000" w:themeColor="text1"/>
          <w:sz w:val="20"/>
          <w:szCs w:val="20"/>
        </w:rPr>
        <w:t xml:space="preserve">The Parliamentarian </w:t>
      </w:r>
      <w:r w:rsidRPr="003A3EB1">
        <w:rPr>
          <w:rFonts w:ascii="Times New Roman" w:hAnsi="Times New Roman" w:cs="Times New Roman"/>
          <w:color w:val="000000" w:themeColor="text1"/>
          <w:sz w:val="20"/>
          <w:szCs w:val="20"/>
        </w:rPr>
        <w:t>149, 158.</w:t>
      </w:r>
    </w:p>
  </w:footnote>
  <w:footnote w:id="20">
    <w:p w14:paraId="2543EB87" w14:textId="77777777" w:rsidR="00E81654" w:rsidRPr="003A3EB1" w:rsidRDefault="00E81654" w:rsidP="003A3EB1">
      <w:pPr>
        <w:autoSpaceDE w:val="0"/>
        <w:autoSpaceDN w:val="0"/>
        <w:adjustRightInd w:val="0"/>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w:t>
      </w:r>
      <w:r w:rsidRPr="003A3EB1">
        <w:rPr>
          <w:rFonts w:eastAsiaTheme="minorHAnsi"/>
          <w:color w:val="000000" w:themeColor="text1"/>
          <w:sz w:val="20"/>
          <w:szCs w:val="20"/>
          <w:lang w:eastAsia="en-US"/>
        </w:rPr>
        <w:t>id., 149.</w:t>
      </w:r>
    </w:p>
  </w:footnote>
  <w:footnote w:id="21">
    <w:p w14:paraId="39AF60C7" w14:textId="3E563430" w:rsidR="00E81654" w:rsidRPr="003A3EB1" w:rsidRDefault="00E81654" w:rsidP="003A3EB1">
      <w:pPr>
        <w:autoSpaceDE w:val="0"/>
        <w:autoSpaceDN w:val="0"/>
        <w:adjustRightInd w:val="0"/>
        <w:jc w:val="both"/>
        <w:rPr>
          <w:rFonts w:eastAsiaTheme="minorHAnsi"/>
          <w:color w:val="000000" w:themeColor="text1"/>
          <w:sz w:val="20"/>
          <w:szCs w:val="20"/>
          <w:lang w:eastAsia="en-US"/>
        </w:rPr>
      </w:pPr>
      <w:r w:rsidRPr="003A3EB1">
        <w:rPr>
          <w:rStyle w:val="FootnoteReference"/>
          <w:color w:val="000000" w:themeColor="text1"/>
          <w:sz w:val="20"/>
          <w:szCs w:val="20"/>
        </w:rPr>
        <w:footnoteRef/>
      </w:r>
      <w:r w:rsidRPr="003A3EB1">
        <w:rPr>
          <w:color w:val="000000" w:themeColor="text1"/>
          <w:sz w:val="20"/>
          <w:szCs w:val="20"/>
        </w:rPr>
        <w:t xml:space="preserve"> For invaluable overview</w:t>
      </w:r>
      <w:r w:rsidR="009A323C" w:rsidRPr="003A3EB1">
        <w:rPr>
          <w:color w:val="000000" w:themeColor="text1"/>
          <w:sz w:val="20"/>
          <w:szCs w:val="20"/>
        </w:rPr>
        <w:t>s</w:t>
      </w:r>
      <w:r w:rsidRPr="003A3EB1">
        <w:rPr>
          <w:color w:val="000000" w:themeColor="text1"/>
          <w:sz w:val="20"/>
          <w:szCs w:val="20"/>
        </w:rPr>
        <w:t xml:space="preserve"> of the work of the Law Officers see Conor McCormick and Graeme Cowie, ‘The Law Officers: A Constitutional and Functional Overview’ HC Library Briefing Paper, No. 08919 (28 May 2020)</w:t>
      </w:r>
      <w:r w:rsidR="009A323C" w:rsidRPr="003A3EB1">
        <w:rPr>
          <w:color w:val="000000" w:themeColor="text1"/>
          <w:sz w:val="20"/>
          <w:szCs w:val="20"/>
        </w:rPr>
        <w:t>; James Hand, ‘</w:t>
      </w:r>
      <w:r w:rsidR="009A323C" w:rsidRPr="003A3EB1">
        <w:rPr>
          <w:rFonts w:eastAsiaTheme="minorHAnsi"/>
          <w:color w:val="000000" w:themeColor="text1"/>
          <w:sz w:val="20"/>
          <w:szCs w:val="20"/>
          <w:lang w:eastAsia="en-US"/>
        </w:rPr>
        <w:t>The Attorney-General, politics and logistics – a fork in the road?</w:t>
      </w:r>
      <w:r w:rsidR="009A323C" w:rsidRPr="003A3EB1">
        <w:rPr>
          <w:color w:val="000000" w:themeColor="text1"/>
          <w:sz w:val="20"/>
          <w:szCs w:val="20"/>
        </w:rPr>
        <w:t>’ (Forthcoming 2021) Legal Studies 1.</w:t>
      </w:r>
    </w:p>
  </w:footnote>
  <w:footnote w:id="22">
    <w:p w14:paraId="749FC406" w14:textId="77777777" w:rsidR="00E81654" w:rsidRPr="003A3EB1" w:rsidRDefault="00E81654" w:rsidP="003A3EB1">
      <w:pPr>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JLJ Edwards, </w:t>
      </w:r>
      <w:r w:rsidRPr="003A3EB1">
        <w:rPr>
          <w:i/>
          <w:iCs/>
          <w:color w:val="000000" w:themeColor="text1"/>
          <w:sz w:val="20"/>
          <w:szCs w:val="20"/>
        </w:rPr>
        <w:t>The Law Officers of the Crown:</w:t>
      </w:r>
      <w:r w:rsidRPr="003A3EB1">
        <w:rPr>
          <w:color w:val="000000" w:themeColor="text1"/>
          <w:sz w:val="20"/>
          <w:szCs w:val="20"/>
        </w:rPr>
        <w:t> </w:t>
      </w:r>
      <w:r w:rsidRPr="003A3EB1">
        <w:rPr>
          <w:i/>
          <w:iCs/>
          <w:color w:val="000000" w:themeColor="text1"/>
          <w:sz w:val="20"/>
          <w:szCs w:val="20"/>
        </w:rPr>
        <w:t>A Study of the Offices of the Attorney-General and Solicitor-General of England with an Account of the Office of the Director of Public Prosecutions of England</w:t>
      </w:r>
      <w:r w:rsidRPr="003A3EB1">
        <w:rPr>
          <w:color w:val="000000" w:themeColor="text1"/>
          <w:sz w:val="20"/>
          <w:szCs w:val="20"/>
        </w:rPr>
        <w:t xml:space="preserve"> (Sweet &amp; Maxwell, 1964) ix; Gabrielle Appleby, </w:t>
      </w:r>
      <w:r w:rsidRPr="003A3EB1">
        <w:rPr>
          <w:i/>
          <w:iCs/>
          <w:color w:val="000000" w:themeColor="text1"/>
          <w:sz w:val="20"/>
          <w:szCs w:val="20"/>
          <w:shd w:val="clear" w:color="auto" w:fill="FFFFFF"/>
        </w:rPr>
        <w:t>The Role of the Solicitor-General: Negotiating Law, Politics and the Public Interest</w:t>
      </w:r>
      <w:r w:rsidRPr="003A3EB1">
        <w:rPr>
          <w:color w:val="000000" w:themeColor="text1"/>
          <w:sz w:val="20"/>
          <w:szCs w:val="20"/>
          <w:shd w:val="clear" w:color="auto" w:fill="FFFFFF"/>
        </w:rPr>
        <w:t> </w:t>
      </w:r>
      <w:r w:rsidRPr="003A3EB1">
        <w:rPr>
          <w:color w:val="000000" w:themeColor="text1"/>
          <w:sz w:val="20"/>
          <w:szCs w:val="20"/>
        </w:rPr>
        <w:t xml:space="preserve">(Hart 2016) 54. </w:t>
      </w:r>
    </w:p>
  </w:footnote>
  <w:footnote w:id="23">
    <w:p w14:paraId="345C1AE0" w14:textId="230A6878" w:rsidR="00E81654" w:rsidRPr="003A3EB1" w:rsidRDefault="00E81654" w:rsidP="003A3EB1">
      <w:pPr>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Conor Casey, ‘The Law Officers: The Relationship between Executive Lawyers and Executive Power in Ireland and the United Kingdom’, in (Oran Doyle, Aileen McHarg, &amp; Jo Murkens eds., 2021) </w:t>
      </w:r>
      <w:r w:rsidRPr="003A3EB1">
        <w:rPr>
          <w:i/>
          <w:iCs/>
          <w:color w:val="000000" w:themeColor="text1"/>
          <w:sz w:val="20"/>
          <w:szCs w:val="20"/>
        </w:rPr>
        <w:t>The Brexit Challenge for Ireland and the United Kingdom: Constitutions Under Pressure</w:t>
      </w:r>
      <w:r w:rsidRPr="003A3EB1">
        <w:rPr>
          <w:color w:val="000000" w:themeColor="text1"/>
          <w:sz w:val="20"/>
          <w:szCs w:val="20"/>
        </w:rPr>
        <w:t xml:space="preserve">; Terence Daintith and Alan Page, </w:t>
      </w:r>
      <w:r w:rsidRPr="003A3EB1">
        <w:rPr>
          <w:i/>
          <w:color w:val="000000" w:themeColor="text1"/>
          <w:sz w:val="20"/>
          <w:szCs w:val="20"/>
        </w:rPr>
        <w:t>The Executive in the Constitution: Structure, Autonomy and Internal Control</w:t>
      </w:r>
      <w:r w:rsidRPr="003A3EB1">
        <w:rPr>
          <w:color w:val="000000" w:themeColor="text1"/>
          <w:sz w:val="20"/>
          <w:szCs w:val="20"/>
        </w:rPr>
        <w:t xml:space="preserve"> (Oxford University Press 1999) 297.</w:t>
      </w:r>
    </w:p>
  </w:footnote>
  <w:footnote w:id="24">
    <w:p w14:paraId="18557CED" w14:textId="77777777" w:rsidR="0003630A" w:rsidRPr="003A3EB1" w:rsidRDefault="0003630A"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 xml:space="preserve">Id. </w:t>
      </w:r>
    </w:p>
  </w:footnote>
  <w:footnote w:id="25">
    <w:p w14:paraId="2FACB0B0" w14:textId="59DEB3AC" w:rsidR="00BB39E1" w:rsidRPr="003A3EB1" w:rsidRDefault="00BB39E1"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Casey (n</w:t>
      </w:r>
      <w:r w:rsidR="00FA0E77" w:rsidRPr="003A3EB1">
        <w:rPr>
          <w:rFonts w:ascii="Times New Roman" w:hAnsi="Times New Roman" w:cs="Times New Roman"/>
          <w:color w:val="000000" w:themeColor="text1"/>
          <w:sz w:val="20"/>
          <w:szCs w:val="20"/>
          <w:lang w:val="en-GB"/>
        </w:rPr>
        <w:t xml:space="preserve"> </w:t>
      </w:r>
      <w:r w:rsidR="00FA0E77" w:rsidRPr="003A3EB1">
        <w:rPr>
          <w:rFonts w:ascii="Times New Roman" w:hAnsi="Times New Roman" w:cs="Times New Roman"/>
          <w:color w:val="000000" w:themeColor="text1"/>
          <w:sz w:val="20"/>
          <w:szCs w:val="20"/>
          <w:lang w:val="en-GB"/>
        </w:rPr>
        <w:fldChar w:fldCharType="begin"/>
      </w:r>
      <w:r w:rsidR="00FA0E77" w:rsidRPr="003A3EB1">
        <w:rPr>
          <w:rFonts w:ascii="Times New Roman" w:hAnsi="Times New Roman" w:cs="Times New Roman"/>
          <w:color w:val="000000" w:themeColor="text1"/>
          <w:sz w:val="20"/>
          <w:szCs w:val="20"/>
          <w:lang w:val="en-GB"/>
        </w:rPr>
        <w:instrText xml:space="preserve"> NOTEREF _Ref95828047 \h </w:instrText>
      </w:r>
      <w:r w:rsidR="003A3EB1" w:rsidRPr="003A3EB1">
        <w:rPr>
          <w:rFonts w:ascii="Times New Roman" w:hAnsi="Times New Roman" w:cs="Times New Roman"/>
          <w:color w:val="000000" w:themeColor="text1"/>
          <w:sz w:val="20"/>
          <w:szCs w:val="20"/>
          <w:lang w:val="en-GB"/>
        </w:rPr>
        <w:instrText xml:space="preserve"> \* MERGEFORMAT </w:instrText>
      </w:r>
      <w:r w:rsidR="00FA0E77" w:rsidRPr="003A3EB1">
        <w:rPr>
          <w:rFonts w:ascii="Times New Roman" w:hAnsi="Times New Roman" w:cs="Times New Roman"/>
          <w:color w:val="000000" w:themeColor="text1"/>
          <w:sz w:val="20"/>
          <w:szCs w:val="20"/>
          <w:lang w:val="en-GB"/>
        </w:rPr>
      </w:r>
      <w:r w:rsidR="00FA0E77" w:rsidRPr="003A3EB1">
        <w:rPr>
          <w:rFonts w:ascii="Times New Roman" w:hAnsi="Times New Roman" w:cs="Times New Roman"/>
          <w:color w:val="000000" w:themeColor="text1"/>
          <w:sz w:val="20"/>
          <w:szCs w:val="20"/>
          <w:lang w:val="en-GB"/>
        </w:rPr>
        <w:fldChar w:fldCharType="separate"/>
      </w:r>
      <w:r w:rsidR="008D2CAE" w:rsidRPr="003A3EB1">
        <w:rPr>
          <w:rFonts w:ascii="Times New Roman" w:hAnsi="Times New Roman" w:cs="Times New Roman"/>
          <w:color w:val="000000" w:themeColor="text1"/>
          <w:sz w:val="20"/>
          <w:szCs w:val="20"/>
          <w:lang w:val="en-GB"/>
        </w:rPr>
        <w:t>23</w:t>
      </w:r>
      <w:r w:rsidR="00FA0E77" w:rsidRPr="003A3EB1">
        <w:rPr>
          <w:rFonts w:ascii="Times New Roman" w:hAnsi="Times New Roman" w:cs="Times New Roman"/>
          <w:color w:val="000000" w:themeColor="text1"/>
          <w:sz w:val="20"/>
          <w:szCs w:val="20"/>
          <w:lang w:val="en-GB"/>
        </w:rPr>
        <w:fldChar w:fldCharType="end"/>
      </w:r>
      <w:r w:rsidRPr="003A3EB1">
        <w:rPr>
          <w:rFonts w:ascii="Times New Roman" w:hAnsi="Times New Roman" w:cs="Times New Roman"/>
          <w:color w:val="000000" w:themeColor="text1"/>
          <w:sz w:val="20"/>
          <w:szCs w:val="20"/>
          <w:lang w:val="en-GB"/>
        </w:rPr>
        <w:t>).</w:t>
      </w:r>
    </w:p>
  </w:footnote>
  <w:footnote w:id="26">
    <w:p w14:paraId="4C7FCE9A" w14:textId="1B165DF1"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7D0463" w:rsidRPr="003A3EB1">
        <w:rPr>
          <w:rFonts w:ascii="Times New Roman" w:hAnsi="Times New Roman" w:cs="Times New Roman"/>
          <w:color w:val="000000" w:themeColor="text1"/>
          <w:sz w:val="20"/>
          <w:szCs w:val="20"/>
        </w:rPr>
        <w:t xml:space="preserve">JLJ </w:t>
      </w:r>
      <w:r w:rsidRPr="003A3EB1">
        <w:rPr>
          <w:rFonts w:ascii="Times New Roman" w:hAnsi="Times New Roman" w:cs="Times New Roman"/>
          <w:color w:val="000000" w:themeColor="text1"/>
          <w:sz w:val="20"/>
          <w:szCs w:val="20"/>
          <w:lang w:val="en-GB"/>
        </w:rPr>
        <w:t xml:space="preserve">Edwards, </w:t>
      </w:r>
      <w:r w:rsidRPr="003A3EB1">
        <w:rPr>
          <w:rFonts w:ascii="Times New Roman" w:hAnsi="Times New Roman" w:cs="Times New Roman"/>
          <w:i/>
          <w:color w:val="000000" w:themeColor="text1"/>
          <w:sz w:val="20"/>
          <w:szCs w:val="20"/>
          <w:lang w:val="en-GB"/>
        </w:rPr>
        <w:t xml:space="preserve">The Attorney-General, Politics and the Public Interest </w:t>
      </w:r>
      <w:r w:rsidRPr="003A3EB1">
        <w:rPr>
          <w:rFonts w:ascii="Times New Roman" w:hAnsi="Times New Roman" w:cs="Times New Roman"/>
          <w:iCs/>
          <w:color w:val="000000" w:themeColor="text1"/>
          <w:sz w:val="20"/>
          <w:szCs w:val="20"/>
          <w:lang w:val="en-GB"/>
        </w:rPr>
        <w:t>(</w:t>
      </w:r>
      <w:r w:rsidR="007D0463" w:rsidRPr="003A3EB1">
        <w:rPr>
          <w:rFonts w:ascii="Times New Roman" w:hAnsi="Times New Roman" w:cs="Times New Roman"/>
          <w:iCs/>
          <w:color w:val="000000" w:themeColor="text1"/>
          <w:sz w:val="20"/>
          <w:szCs w:val="20"/>
          <w:lang w:val="en-GB"/>
        </w:rPr>
        <w:t xml:space="preserve">Sweet &amp; Maxwell 1984) </w:t>
      </w:r>
      <w:r w:rsidRPr="003A3EB1">
        <w:rPr>
          <w:rFonts w:ascii="Times New Roman" w:hAnsi="Times New Roman" w:cs="Times New Roman"/>
          <w:color w:val="000000" w:themeColor="text1"/>
          <w:sz w:val="20"/>
          <w:szCs w:val="20"/>
          <w:lang w:val="en-GB"/>
        </w:rPr>
        <w:t>185.</w:t>
      </w:r>
    </w:p>
  </w:footnote>
  <w:footnote w:id="27">
    <w:p w14:paraId="5E25D1DF" w14:textId="5A9DE61D" w:rsidR="00E81654" w:rsidRPr="003A3EB1" w:rsidRDefault="00E81654" w:rsidP="003A3EB1">
      <w:pPr>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Ben Yong, </w:t>
      </w:r>
      <w:r w:rsidRPr="003A3EB1">
        <w:rPr>
          <w:color w:val="000000" w:themeColor="text1"/>
          <w:sz w:val="20"/>
          <w:szCs w:val="20"/>
          <w:shd w:val="clear" w:color="auto" w:fill="FFFFFF"/>
        </w:rPr>
        <w:t>‘</w:t>
      </w:r>
      <w:r w:rsidRPr="003A3EB1">
        <w:rPr>
          <w:color w:val="000000" w:themeColor="text1"/>
          <w:sz w:val="20"/>
          <w:szCs w:val="20"/>
        </w:rPr>
        <w:t>Risk Management: Government Lawyers and the Provision of Legal Advice within Whitehall</w:t>
      </w:r>
      <w:r w:rsidRPr="003A3EB1">
        <w:rPr>
          <w:color w:val="000000" w:themeColor="text1"/>
          <w:sz w:val="20"/>
          <w:szCs w:val="20"/>
          <w:shd w:val="clear" w:color="auto" w:fill="FFFFFF"/>
        </w:rPr>
        <w:t xml:space="preserve">’ (2013) </w:t>
      </w:r>
      <w:r w:rsidRPr="003A3EB1">
        <w:rPr>
          <w:i/>
          <w:iCs/>
          <w:color w:val="000000" w:themeColor="text1"/>
          <w:sz w:val="20"/>
          <w:szCs w:val="20"/>
          <w:shd w:val="clear" w:color="auto" w:fill="FFFFFF"/>
        </w:rPr>
        <w:t>Constitution Unit/ Constitution Society</w:t>
      </w:r>
      <w:r w:rsidRPr="003A3EB1">
        <w:rPr>
          <w:color w:val="000000" w:themeColor="text1"/>
          <w:sz w:val="20"/>
          <w:szCs w:val="20"/>
          <w:shd w:val="clear" w:color="auto" w:fill="FFFFFF"/>
        </w:rPr>
        <w:t xml:space="preserve"> </w:t>
      </w:r>
      <w:r w:rsidRPr="003A3EB1">
        <w:rPr>
          <w:color w:val="000000" w:themeColor="text1"/>
          <w:sz w:val="20"/>
          <w:szCs w:val="20"/>
        </w:rPr>
        <w:t>61</w:t>
      </w:r>
      <w:r w:rsidR="007D0463" w:rsidRPr="003A3EB1">
        <w:rPr>
          <w:color w:val="000000" w:themeColor="text1"/>
          <w:sz w:val="20"/>
          <w:szCs w:val="20"/>
        </w:rPr>
        <w:t>.</w:t>
      </w:r>
    </w:p>
  </w:footnote>
  <w:footnote w:id="28">
    <w:p w14:paraId="1EB36E23" w14:textId="4F9FA96C"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Casey, (</w:t>
      </w:r>
      <w:r w:rsidR="009A323C" w:rsidRPr="003A3EB1">
        <w:rPr>
          <w:rFonts w:ascii="Times New Roman" w:hAnsi="Times New Roman" w:cs="Times New Roman"/>
          <w:color w:val="000000" w:themeColor="text1"/>
          <w:sz w:val="20"/>
          <w:szCs w:val="20"/>
          <w:lang w:val="en-GB"/>
        </w:rPr>
        <w:t>n</w:t>
      </w:r>
      <w:r w:rsidR="007D0463" w:rsidRPr="003A3EB1">
        <w:rPr>
          <w:rFonts w:ascii="Times New Roman" w:hAnsi="Times New Roman" w:cs="Times New Roman"/>
          <w:color w:val="000000" w:themeColor="text1"/>
          <w:sz w:val="20"/>
          <w:szCs w:val="20"/>
          <w:lang w:val="en-GB"/>
        </w:rPr>
        <w:t xml:space="preserve"> </w:t>
      </w:r>
      <w:r w:rsidR="007D0463" w:rsidRPr="003A3EB1">
        <w:rPr>
          <w:rFonts w:ascii="Times New Roman" w:hAnsi="Times New Roman" w:cs="Times New Roman"/>
          <w:color w:val="000000" w:themeColor="text1"/>
          <w:sz w:val="20"/>
          <w:szCs w:val="20"/>
          <w:lang w:val="en-GB"/>
        </w:rPr>
        <w:fldChar w:fldCharType="begin"/>
      </w:r>
      <w:r w:rsidR="007D0463" w:rsidRPr="003A3EB1">
        <w:rPr>
          <w:rFonts w:ascii="Times New Roman" w:hAnsi="Times New Roman" w:cs="Times New Roman"/>
          <w:color w:val="000000" w:themeColor="text1"/>
          <w:sz w:val="20"/>
          <w:szCs w:val="20"/>
          <w:lang w:val="en-GB"/>
        </w:rPr>
        <w:instrText xml:space="preserve"> NOTEREF _Ref95828047 \h </w:instrText>
      </w:r>
      <w:r w:rsidR="003A3EB1" w:rsidRPr="003A3EB1">
        <w:rPr>
          <w:rFonts w:ascii="Times New Roman" w:hAnsi="Times New Roman" w:cs="Times New Roman"/>
          <w:color w:val="000000" w:themeColor="text1"/>
          <w:sz w:val="20"/>
          <w:szCs w:val="20"/>
          <w:lang w:val="en-GB"/>
        </w:rPr>
        <w:instrText xml:space="preserve"> \* MERGEFORMAT </w:instrText>
      </w:r>
      <w:r w:rsidR="007D0463" w:rsidRPr="003A3EB1">
        <w:rPr>
          <w:rFonts w:ascii="Times New Roman" w:hAnsi="Times New Roman" w:cs="Times New Roman"/>
          <w:color w:val="000000" w:themeColor="text1"/>
          <w:sz w:val="20"/>
          <w:szCs w:val="20"/>
          <w:lang w:val="en-GB"/>
        </w:rPr>
      </w:r>
      <w:r w:rsidR="007D0463" w:rsidRPr="003A3EB1">
        <w:rPr>
          <w:rFonts w:ascii="Times New Roman" w:hAnsi="Times New Roman" w:cs="Times New Roman"/>
          <w:color w:val="000000" w:themeColor="text1"/>
          <w:sz w:val="20"/>
          <w:szCs w:val="20"/>
          <w:lang w:val="en-GB"/>
        </w:rPr>
        <w:fldChar w:fldCharType="separate"/>
      </w:r>
      <w:r w:rsidR="008D2CAE" w:rsidRPr="003A3EB1">
        <w:rPr>
          <w:rFonts w:ascii="Times New Roman" w:hAnsi="Times New Roman" w:cs="Times New Roman"/>
          <w:color w:val="000000" w:themeColor="text1"/>
          <w:sz w:val="20"/>
          <w:szCs w:val="20"/>
          <w:lang w:val="en-GB"/>
        </w:rPr>
        <w:t>23</w:t>
      </w:r>
      <w:r w:rsidR="007D0463" w:rsidRPr="003A3EB1">
        <w:rPr>
          <w:rFonts w:ascii="Times New Roman" w:hAnsi="Times New Roman" w:cs="Times New Roman"/>
          <w:color w:val="000000" w:themeColor="text1"/>
          <w:sz w:val="20"/>
          <w:szCs w:val="20"/>
          <w:lang w:val="en-GB"/>
        </w:rPr>
        <w:fldChar w:fldCharType="end"/>
      </w:r>
      <w:r w:rsidRPr="003A3EB1">
        <w:rPr>
          <w:rFonts w:ascii="Times New Roman" w:hAnsi="Times New Roman" w:cs="Times New Roman"/>
          <w:color w:val="000000" w:themeColor="text1"/>
          <w:sz w:val="20"/>
          <w:szCs w:val="20"/>
          <w:lang w:val="en-GB"/>
        </w:rPr>
        <w:t>).</w:t>
      </w:r>
    </w:p>
  </w:footnote>
  <w:footnote w:id="29">
    <w:p w14:paraId="1908C3CC" w14:textId="4AA64024" w:rsidR="00F34E73" w:rsidRPr="003A3EB1" w:rsidRDefault="00F34E73"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See Robert Verkaik, ‘</w:t>
      </w:r>
      <w:r w:rsidRPr="003A3EB1">
        <w:rPr>
          <w:rFonts w:ascii="Times New Roman" w:hAnsi="Times New Roman" w:cs="Times New Roman"/>
          <w:color w:val="000000" w:themeColor="text1"/>
          <w:sz w:val="20"/>
          <w:szCs w:val="20"/>
        </w:rPr>
        <w:t xml:space="preserve">Goldsmith under pressure from legal profession over impartiality’ (29 April 2005) </w:t>
      </w:r>
      <w:r w:rsidRPr="003A3EB1">
        <w:rPr>
          <w:rFonts w:ascii="Times New Roman" w:hAnsi="Times New Roman" w:cs="Times New Roman"/>
          <w:i/>
          <w:iCs/>
          <w:color w:val="000000" w:themeColor="text1"/>
          <w:sz w:val="20"/>
          <w:szCs w:val="20"/>
        </w:rPr>
        <w:t>The Independent,</w:t>
      </w:r>
      <w:r w:rsidRPr="003A3EB1">
        <w:rPr>
          <w:rFonts w:ascii="Times New Roman" w:hAnsi="Times New Roman" w:cs="Times New Roman"/>
          <w:color w:val="000000" w:themeColor="text1"/>
          <w:sz w:val="20"/>
          <w:szCs w:val="20"/>
        </w:rPr>
        <w:t xml:space="preserve"> </w:t>
      </w:r>
      <w:hyperlink r:id="rId5" w:history="1">
        <w:r w:rsidRPr="003A3EB1">
          <w:rPr>
            <w:rStyle w:val="Hyperlink"/>
            <w:rFonts w:ascii="Times New Roman" w:hAnsi="Times New Roman" w:cs="Times New Roman"/>
            <w:color w:val="000000" w:themeColor="text1"/>
            <w:sz w:val="20"/>
            <w:szCs w:val="20"/>
            <w:u w:val="none"/>
          </w:rPr>
          <w:t>https://www.independent.co.uk/news/uk/crime/goldsmith-under-pressure-from-legal-profession-over-impartiality-3903.html</w:t>
        </w:r>
      </w:hyperlink>
      <w:r w:rsidRPr="003A3EB1">
        <w:rPr>
          <w:rFonts w:ascii="Times New Roman" w:hAnsi="Times New Roman" w:cs="Times New Roman"/>
          <w:color w:val="000000" w:themeColor="text1"/>
          <w:sz w:val="20"/>
          <w:szCs w:val="20"/>
        </w:rPr>
        <w:t>.</w:t>
      </w:r>
    </w:p>
  </w:footnote>
  <w:footnote w:id="30">
    <w:p w14:paraId="0B9377B9" w14:textId="3B336934" w:rsidR="00F34E73" w:rsidRPr="003A3EB1" w:rsidRDefault="00F34E73"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Jones, ‘Office of Attorney General’ (n</w:t>
      </w:r>
      <w:r w:rsidR="005A7BF9" w:rsidRPr="003A3EB1">
        <w:rPr>
          <w:rFonts w:ascii="Times New Roman" w:hAnsi="Times New Roman" w:cs="Times New Roman"/>
          <w:color w:val="000000" w:themeColor="text1"/>
          <w:sz w:val="20"/>
          <w:szCs w:val="20"/>
        </w:rPr>
        <w:fldChar w:fldCharType="begin"/>
      </w:r>
      <w:r w:rsidR="005A7BF9" w:rsidRPr="003A3EB1">
        <w:rPr>
          <w:rFonts w:ascii="Times New Roman" w:hAnsi="Times New Roman" w:cs="Times New Roman"/>
          <w:color w:val="000000" w:themeColor="text1"/>
          <w:sz w:val="20"/>
          <w:szCs w:val="20"/>
        </w:rPr>
        <w:instrText xml:space="preserve"> NOTEREF _Ref97030059 \h </w:instrText>
      </w:r>
      <w:r w:rsidR="003A3EB1" w:rsidRPr="003A3EB1">
        <w:rPr>
          <w:rFonts w:ascii="Times New Roman" w:hAnsi="Times New Roman" w:cs="Times New Roman"/>
          <w:color w:val="000000" w:themeColor="text1"/>
          <w:sz w:val="20"/>
          <w:szCs w:val="20"/>
        </w:rPr>
        <w:instrText xml:space="preserve"> \* MERGEFORMAT </w:instrText>
      </w:r>
      <w:r w:rsidR="005A7BF9" w:rsidRPr="003A3EB1">
        <w:rPr>
          <w:rFonts w:ascii="Times New Roman" w:hAnsi="Times New Roman" w:cs="Times New Roman"/>
          <w:color w:val="000000" w:themeColor="text1"/>
          <w:sz w:val="20"/>
          <w:szCs w:val="20"/>
        </w:rPr>
      </w:r>
      <w:r w:rsidR="005A7BF9" w:rsidRPr="003A3EB1">
        <w:rPr>
          <w:rFonts w:ascii="Times New Roman" w:hAnsi="Times New Roman" w:cs="Times New Roman"/>
          <w:color w:val="000000" w:themeColor="text1"/>
          <w:sz w:val="20"/>
          <w:szCs w:val="20"/>
        </w:rPr>
        <w:fldChar w:fldCharType="separate"/>
      </w:r>
      <w:r w:rsidR="008D2CAE" w:rsidRPr="003A3EB1">
        <w:rPr>
          <w:rFonts w:ascii="Times New Roman" w:hAnsi="Times New Roman" w:cs="Times New Roman"/>
          <w:color w:val="000000" w:themeColor="text1"/>
          <w:sz w:val="20"/>
          <w:szCs w:val="20"/>
        </w:rPr>
        <w:t>17</w:t>
      </w:r>
      <w:r w:rsidR="005A7BF9" w:rsidRPr="003A3EB1">
        <w:rPr>
          <w:rFonts w:ascii="Times New Roman" w:hAnsi="Times New Roman" w:cs="Times New Roman"/>
          <w:color w:val="000000" w:themeColor="text1"/>
          <w:sz w:val="20"/>
          <w:szCs w:val="20"/>
        </w:rPr>
        <w:fldChar w:fldCharType="end"/>
      </w:r>
      <w:r w:rsidRPr="003A3EB1">
        <w:rPr>
          <w:rFonts w:ascii="Times New Roman" w:hAnsi="Times New Roman" w:cs="Times New Roman"/>
          <w:color w:val="000000" w:themeColor="text1"/>
          <w:sz w:val="20"/>
          <w:szCs w:val="20"/>
        </w:rPr>
        <w:t>) 50.</w:t>
      </w:r>
    </w:p>
  </w:footnote>
  <w:footnote w:id="31">
    <w:p w14:paraId="3D045D39" w14:textId="0BEE3268"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Braverman QC MP, ‘Judicial Review’ (n</w:t>
      </w:r>
      <w:r w:rsidRPr="003A3EB1">
        <w:rPr>
          <w:rFonts w:ascii="Times New Roman" w:hAnsi="Times New Roman" w:cs="Times New Roman"/>
          <w:color w:val="000000" w:themeColor="text1"/>
          <w:sz w:val="20"/>
          <w:szCs w:val="20"/>
        </w:rPr>
        <w:fldChar w:fldCharType="begin"/>
      </w:r>
      <w:r w:rsidRPr="003A3EB1">
        <w:rPr>
          <w:rFonts w:ascii="Times New Roman" w:hAnsi="Times New Roman" w:cs="Times New Roman"/>
          <w:color w:val="000000" w:themeColor="text1"/>
          <w:sz w:val="20"/>
          <w:szCs w:val="20"/>
        </w:rPr>
        <w:instrText xml:space="preserve"> NOTEREF _Ref87952818 \h  \* MERGEFORMAT </w:instrText>
      </w:r>
      <w:r w:rsidRPr="003A3EB1">
        <w:rPr>
          <w:rFonts w:ascii="Times New Roman" w:hAnsi="Times New Roman" w:cs="Times New Roman"/>
          <w:color w:val="000000" w:themeColor="text1"/>
          <w:sz w:val="20"/>
          <w:szCs w:val="20"/>
        </w:rPr>
      </w:r>
      <w:r w:rsidRPr="003A3EB1">
        <w:rPr>
          <w:rFonts w:ascii="Times New Roman" w:hAnsi="Times New Roman" w:cs="Times New Roman"/>
          <w:color w:val="000000" w:themeColor="text1"/>
          <w:sz w:val="20"/>
          <w:szCs w:val="20"/>
        </w:rPr>
        <w:fldChar w:fldCharType="separate"/>
      </w:r>
      <w:r w:rsidR="008D2CAE" w:rsidRPr="003A3EB1">
        <w:rPr>
          <w:rFonts w:ascii="Times New Roman" w:hAnsi="Times New Roman" w:cs="Times New Roman"/>
          <w:color w:val="000000" w:themeColor="text1"/>
          <w:sz w:val="20"/>
          <w:szCs w:val="20"/>
        </w:rPr>
        <w:t>3</w:t>
      </w:r>
      <w:r w:rsidRPr="003A3EB1">
        <w:rPr>
          <w:rFonts w:ascii="Times New Roman" w:hAnsi="Times New Roman" w:cs="Times New Roman"/>
          <w:color w:val="000000" w:themeColor="text1"/>
          <w:sz w:val="20"/>
          <w:szCs w:val="20"/>
        </w:rPr>
        <w:fldChar w:fldCharType="end"/>
      </w:r>
      <w:r w:rsidRPr="003A3EB1">
        <w:rPr>
          <w:rFonts w:ascii="Times New Roman" w:hAnsi="Times New Roman" w:cs="Times New Roman"/>
          <w:color w:val="000000" w:themeColor="text1"/>
          <w:sz w:val="20"/>
          <w:szCs w:val="20"/>
        </w:rPr>
        <w:t>).</w:t>
      </w:r>
    </w:p>
  </w:footnote>
  <w:footnote w:id="32">
    <w:p w14:paraId="6B7917AA" w14:textId="77777777"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Id. </w:t>
      </w:r>
    </w:p>
  </w:footnote>
  <w:footnote w:id="33">
    <w:p w14:paraId="1F8DCB4C" w14:textId="77777777" w:rsidR="00E81654" w:rsidRPr="003A3EB1" w:rsidRDefault="00E8165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Id. </w:t>
      </w:r>
    </w:p>
  </w:footnote>
  <w:footnote w:id="34">
    <w:p w14:paraId="1DBCE3E0" w14:textId="77777777" w:rsidR="00E81654" w:rsidRPr="003A3EB1" w:rsidRDefault="00E81654" w:rsidP="003A3EB1">
      <w:pPr>
        <w:pStyle w:val="Heading1"/>
        <w:spacing w:before="0" w:after="300" w:line="240" w:lineRule="auto"/>
        <w:jc w:val="both"/>
        <w:rPr>
          <w:rFonts w:ascii="Times New Roman" w:hAnsi="Times New Roman" w:cs="Times New Roman"/>
          <w:color w:val="000000" w:themeColor="text1"/>
          <w:sz w:val="20"/>
          <w:szCs w:val="20"/>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See Robert Wright and Jane Croft, ‘</w:t>
      </w:r>
      <w:r w:rsidRPr="003A3EB1">
        <w:rPr>
          <w:rStyle w:val="article-classifiergap"/>
          <w:rFonts w:ascii="Times New Roman" w:hAnsi="Times New Roman" w:cs="Times New Roman"/>
          <w:color w:val="000000" w:themeColor="text1"/>
          <w:sz w:val="20"/>
          <w:szCs w:val="20"/>
        </w:rPr>
        <w:t xml:space="preserve">UK attorney-general backs calls to curb judges’ powers’ (12 February 2020) </w:t>
      </w:r>
      <w:r w:rsidRPr="003A3EB1">
        <w:rPr>
          <w:rStyle w:val="article-classifiergap"/>
          <w:rFonts w:ascii="Times New Roman" w:hAnsi="Times New Roman" w:cs="Times New Roman"/>
          <w:i/>
          <w:iCs/>
          <w:color w:val="000000" w:themeColor="text1"/>
          <w:sz w:val="20"/>
          <w:szCs w:val="20"/>
        </w:rPr>
        <w:t>The</w:t>
      </w:r>
      <w:r w:rsidRPr="003A3EB1">
        <w:rPr>
          <w:rStyle w:val="article-classifiergap"/>
          <w:rFonts w:ascii="Times New Roman" w:hAnsi="Times New Roman" w:cs="Times New Roman"/>
          <w:color w:val="000000" w:themeColor="text1"/>
          <w:sz w:val="20"/>
          <w:szCs w:val="20"/>
        </w:rPr>
        <w:t xml:space="preserve"> </w:t>
      </w:r>
      <w:r w:rsidRPr="003A3EB1">
        <w:rPr>
          <w:rStyle w:val="article-classifiergap"/>
          <w:rFonts w:ascii="Times New Roman" w:hAnsi="Times New Roman" w:cs="Times New Roman"/>
          <w:i/>
          <w:iCs/>
          <w:color w:val="000000" w:themeColor="text1"/>
          <w:sz w:val="20"/>
          <w:szCs w:val="20"/>
        </w:rPr>
        <w:t>Financial Times.</w:t>
      </w:r>
      <w:r w:rsidRPr="003A3EB1">
        <w:rPr>
          <w:rStyle w:val="article-classifiergap"/>
          <w:rFonts w:ascii="Times New Roman" w:hAnsi="Times New Roman" w:cs="Times New Roman"/>
          <w:color w:val="000000" w:themeColor="text1"/>
          <w:sz w:val="20"/>
          <w:szCs w:val="20"/>
        </w:rPr>
        <w:t xml:space="preserve"> The </w:t>
      </w:r>
      <w:r w:rsidRPr="003A3EB1">
        <w:rPr>
          <w:rStyle w:val="article-classifiergap"/>
          <w:rFonts w:ascii="Times New Roman" w:hAnsi="Times New Roman" w:cs="Times New Roman"/>
          <w:i/>
          <w:iCs/>
          <w:color w:val="000000" w:themeColor="text1"/>
          <w:sz w:val="20"/>
          <w:szCs w:val="20"/>
        </w:rPr>
        <w:t xml:space="preserve">Financial Times </w:t>
      </w:r>
      <w:r w:rsidRPr="003A3EB1">
        <w:rPr>
          <w:rStyle w:val="article-classifiergap"/>
          <w:rFonts w:ascii="Times New Roman" w:hAnsi="Times New Roman" w:cs="Times New Roman"/>
          <w:color w:val="000000" w:themeColor="text1"/>
          <w:sz w:val="20"/>
          <w:szCs w:val="20"/>
        </w:rPr>
        <w:t xml:space="preserve">article is a report based on Geoffrey Cox QC MP’s extended interview with the </w:t>
      </w:r>
      <w:r w:rsidRPr="003A3EB1">
        <w:rPr>
          <w:rStyle w:val="article-classifiergap"/>
          <w:rFonts w:ascii="Times New Roman" w:hAnsi="Times New Roman" w:cs="Times New Roman"/>
          <w:i/>
          <w:iCs/>
          <w:color w:val="000000" w:themeColor="text1"/>
          <w:sz w:val="20"/>
          <w:szCs w:val="20"/>
        </w:rPr>
        <w:t>Institute for Government</w:t>
      </w:r>
      <w:r w:rsidRPr="003A3EB1">
        <w:rPr>
          <w:rStyle w:val="article-classifiergap"/>
          <w:rFonts w:ascii="Times New Roman" w:hAnsi="Times New Roman" w:cs="Times New Roman"/>
          <w:color w:val="000000" w:themeColor="text1"/>
          <w:sz w:val="20"/>
          <w:szCs w:val="20"/>
        </w:rPr>
        <w:t xml:space="preserve"> think-tank. The headline represents quite an unfair and lop-sided summary of what was an extensive and nuanced hour-long conversation. However, the then Attorney General did make the comments cited in the article about the appropriate balance of power between the Courts and Parliament and mentioned there were legitimate concerns that decisions where increasingly being taken by the former that ought to be reserved to the latter. The full interview is available here: </w:t>
      </w:r>
      <w:hyperlink r:id="rId6" w:history="1">
        <w:r w:rsidRPr="003A3EB1">
          <w:rPr>
            <w:rStyle w:val="Hyperlink"/>
            <w:rFonts w:ascii="Times New Roman" w:hAnsi="Times New Roman" w:cs="Times New Roman"/>
            <w:color w:val="000000" w:themeColor="text1"/>
            <w:sz w:val="20"/>
            <w:szCs w:val="20"/>
          </w:rPr>
          <w:t>https://www.youtube.com/watch?v=N5TzdjkGu2k</w:t>
        </w:r>
      </w:hyperlink>
      <w:r w:rsidRPr="003A3EB1">
        <w:rPr>
          <w:rStyle w:val="article-classifiergap"/>
          <w:rFonts w:ascii="Times New Roman" w:hAnsi="Times New Roman" w:cs="Times New Roman"/>
          <w:color w:val="000000" w:themeColor="text1"/>
          <w:sz w:val="20"/>
          <w:szCs w:val="20"/>
        </w:rPr>
        <w:t xml:space="preserve">. See also </w:t>
      </w:r>
      <w:r w:rsidRPr="003A3EB1">
        <w:rPr>
          <w:rFonts w:ascii="Times New Roman" w:hAnsi="Times New Roman" w:cs="Times New Roman"/>
          <w:color w:val="000000" w:themeColor="text1"/>
          <w:sz w:val="20"/>
          <w:szCs w:val="20"/>
          <w:shd w:val="clear" w:color="auto" w:fill="FFFFFF"/>
        </w:rPr>
        <w:t>Jeremy Wright QC MP, ‘</w:t>
      </w:r>
      <w:r w:rsidRPr="003A3EB1">
        <w:rPr>
          <w:rFonts w:ascii="Times New Roman" w:hAnsi="Times New Roman" w:cs="Times New Roman"/>
          <w:color w:val="000000" w:themeColor="text1"/>
          <w:sz w:val="20"/>
          <w:szCs w:val="20"/>
        </w:rPr>
        <w:t xml:space="preserve">The Attorney General on who should decide what the public interest is’ (8 February, 2016), </w:t>
      </w:r>
      <w:hyperlink r:id="rId7" w:history="1">
        <w:r w:rsidRPr="003A3EB1">
          <w:rPr>
            <w:rStyle w:val="Hyperlink"/>
            <w:rFonts w:ascii="Times New Roman" w:hAnsi="Times New Roman" w:cs="Times New Roman"/>
            <w:color w:val="000000" w:themeColor="text1"/>
            <w:sz w:val="20"/>
            <w:szCs w:val="20"/>
            <w:u w:val="none"/>
          </w:rPr>
          <w:t>https://www.gov.uk/government/speeches/the-attorney-general-on-who-should-decide-what-the-public-interest-is</w:t>
        </w:r>
      </w:hyperlink>
      <w:r w:rsidRPr="003A3EB1">
        <w:rPr>
          <w:rFonts w:ascii="Times New Roman" w:hAnsi="Times New Roman" w:cs="Times New Roman"/>
          <w:color w:val="000000" w:themeColor="text1"/>
          <w:sz w:val="20"/>
          <w:szCs w:val="20"/>
        </w:rPr>
        <w:t>; Dominic Grieve QC MP, ‘European Convention on Human Rights: current challenges’ (24</w:t>
      </w:r>
      <w:r w:rsidRPr="003A3EB1">
        <w:rPr>
          <w:rFonts w:ascii="Times New Roman" w:hAnsi="Times New Roman" w:cs="Times New Roman"/>
          <w:color w:val="000000" w:themeColor="text1"/>
          <w:sz w:val="20"/>
          <w:szCs w:val="20"/>
          <w:vertAlign w:val="superscript"/>
        </w:rPr>
        <w:t>th</w:t>
      </w:r>
      <w:r w:rsidRPr="003A3EB1">
        <w:rPr>
          <w:rFonts w:ascii="Times New Roman" w:hAnsi="Times New Roman" w:cs="Times New Roman"/>
          <w:color w:val="000000" w:themeColor="text1"/>
          <w:sz w:val="20"/>
          <w:szCs w:val="20"/>
        </w:rPr>
        <w:t xml:space="preserve"> October 2011), </w:t>
      </w:r>
      <w:hyperlink r:id="rId8" w:history="1">
        <w:r w:rsidRPr="003A3EB1">
          <w:rPr>
            <w:rStyle w:val="Hyperlink"/>
            <w:rFonts w:ascii="Times New Roman" w:hAnsi="Times New Roman" w:cs="Times New Roman"/>
            <w:color w:val="000000" w:themeColor="text1"/>
            <w:sz w:val="20"/>
            <w:szCs w:val="20"/>
          </w:rPr>
          <w:t>https://www.gov.uk/government/speeches/european-convention-on-human-rights-current-challenges</w:t>
        </w:r>
      </w:hyperlink>
      <w:r w:rsidRPr="003A3EB1">
        <w:rPr>
          <w:rFonts w:ascii="Times New Roman" w:hAnsi="Times New Roman" w:cs="Times New Roman"/>
          <w:color w:val="000000" w:themeColor="text1"/>
          <w:sz w:val="20"/>
          <w:szCs w:val="20"/>
        </w:rPr>
        <w:t xml:space="preserve">. </w:t>
      </w:r>
    </w:p>
  </w:footnote>
  <w:footnote w:id="35">
    <w:p w14:paraId="2DDF975F" w14:textId="2CF1D5DC" w:rsidR="001D7078" w:rsidRPr="003A3EB1" w:rsidRDefault="001D7078" w:rsidP="003A3EB1">
      <w:pPr>
        <w:autoSpaceDE w:val="0"/>
        <w:autoSpaceDN w:val="0"/>
        <w:adjustRightInd w:val="0"/>
        <w:jc w:val="both"/>
        <w:rPr>
          <w:rFonts w:eastAsiaTheme="minorHAnsi"/>
          <w:color w:val="000000" w:themeColor="text1"/>
          <w:sz w:val="20"/>
          <w:szCs w:val="20"/>
          <w:lang w:eastAsia="en-US"/>
        </w:rPr>
      </w:pPr>
      <w:r w:rsidRPr="003A3EB1">
        <w:rPr>
          <w:rStyle w:val="FootnoteReference"/>
          <w:color w:val="000000" w:themeColor="text1"/>
          <w:sz w:val="20"/>
          <w:szCs w:val="20"/>
        </w:rPr>
        <w:footnoteRef/>
      </w:r>
      <w:r w:rsidRPr="003A3EB1">
        <w:rPr>
          <w:color w:val="000000" w:themeColor="text1"/>
          <w:sz w:val="20"/>
          <w:szCs w:val="20"/>
        </w:rPr>
        <w:t xml:space="preserve"> </w:t>
      </w:r>
      <w:r w:rsidR="00F216BE" w:rsidRPr="003A3EB1">
        <w:rPr>
          <w:rFonts w:eastAsiaTheme="minorHAnsi"/>
          <w:color w:val="000000" w:themeColor="text1"/>
          <w:sz w:val="20"/>
          <w:szCs w:val="20"/>
          <w:lang w:eastAsia="en-US"/>
        </w:rPr>
        <w:t>Jeffrey Jowell QC, ‘Politics and the Law: Constitutional Balance or Institutional Confusion’, JUSTICE Tom Sargant Memorial Annual Lecture, (17 October 2006) 11</w:t>
      </w:r>
      <w:r w:rsidR="00F216BE" w:rsidRPr="003A3EB1">
        <w:rPr>
          <w:color w:val="000000" w:themeColor="text1"/>
          <w:sz w:val="20"/>
          <w:szCs w:val="20"/>
        </w:rPr>
        <w:t>;</w:t>
      </w:r>
      <w:r w:rsidRPr="003A3EB1">
        <w:rPr>
          <w:color w:val="000000" w:themeColor="text1"/>
          <w:sz w:val="20"/>
          <w:szCs w:val="20"/>
        </w:rPr>
        <w:t xml:space="preserve"> Hand</w:t>
      </w:r>
      <w:r w:rsidR="00F216BE" w:rsidRPr="003A3EB1">
        <w:rPr>
          <w:color w:val="000000" w:themeColor="text1"/>
          <w:sz w:val="20"/>
          <w:szCs w:val="20"/>
        </w:rPr>
        <w:t xml:space="preserve"> (n </w:t>
      </w:r>
      <w:r w:rsidR="00F216BE" w:rsidRPr="003A3EB1">
        <w:rPr>
          <w:color w:val="000000" w:themeColor="text1"/>
          <w:sz w:val="20"/>
          <w:szCs w:val="20"/>
        </w:rPr>
        <w:fldChar w:fldCharType="begin"/>
      </w:r>
      <w:r w:rsidR="00F216BE" w:rsidRPr="003A3EB1">
        <w:rPr>
          <w:color w:val="000000" w:themeColor="text1"/>
          <w:sz w:val="20"/>
          <w:szCs w:val="20"/>
        </w:rPr>
        <w:instrText xml:space="preserve"> NOTEREF _Ref95832324 \h  \* MERGEFORMAT </w:instrText>
      </w:r>
      <w:r w:rsidR="00F216BE" w:rsidRPr="003A3EB1">
        <w:rPr>
          <w:color w:val="000000" w:themeColor="text1"/>
          <w:sz w:val="20"/>
          <w:szCs w:val="20"/>
        </w:rPr>
      </w:r>
      <w:r w:rsidR="00F216BE" w:rsidRPr="003A3EB1">
        <w:rPr>
          <w:color w:val="000000" w:themeColor="text1"/>
          <w:sz w:val="20"/>
          <w:szCs w:val="20"/>
        </w:rPr>
        <w:fldChar w:fldCharType="separate"/>
      </w:r>
      <w:r w:rsidR="008D2CAE" w:rsidRPr="003A3EB1">
        <w:rPr>
          <w:color w:val="000000" w:themeColor="text1"/>
          <w:sz w:val="20"/>
          <w:szCs w:val="20"/>
        </w:rPr>
        <w:t>21</w:t>
      </w:r>
      <w:r w:rsidR="00F216BE" w:rsidRPr="003A3EB1">
        <w:rPr>
          <w:color w:val="000000" w:themeColor="text1"/>
          <w:sz w:val="20"/>
          <w:szCs w:val="20"/>
        </w:rPr>
        <w:fldChar w:fldCharType="end"/>
      </w:r>
      <w:r w:rsidR="00F216BE" w:rsidRPr="003A3EB1">
        <w:rPr>
          <w:color w:val="000000" w:themeColor="text1"/>
          <w:sz w:val="20"/>
          <w:szCs w:val="20"/>
        </w:rPr>
        <w:t>).</w:t>
      </w:r>
    </w:p>
  </w:footnote>
  <w:footnote w:id="36">
    <w:p w14:paraId="07859715" w14:textId="5B604CE3" w:rsidR="00276AAA" w:rsidRPr="003A3EB1" w:rsidRDefault="00276AAA" w:rsidP="003A3EB1">
      <w:pPr>
        <w:pStyle w:val="p1"/>
        <w:jc w:val="both"/>
        <w:rPr>
          <w:rFonts w:ascii="Times New Roman" w:hAnsi="Times New Roman"/>
          <w:color w:val="000000" w:themeColor="text1"/>
          <w:sz w:val="20"/>
          <w:szCs w:val="20"/>
        </w:rPr>
      </w:pPr>
      <w:r w:rsidRPr="003A3EB1">
        <w:rPr>
          <w:rStyle w:val="FootnoteReference"/>
          <w:rFonts w:ascii="Times New Roman" w:hAnsi="Times New Roman"/>
          <w:color w:val="000000" w:themeColor="text1"/>
          <w:sz w:val="20"/>
          <w:szCs w:val="20"/>
        </w:rPr>
        <w:footnoteRef/>
      </w:r>
      <w:r w:rsidRPr="003A3EB1">
        <w:rPr>
          <w:rFonts w:ascii="Times New Roman" w:hAnsi="Times New Roman"/>
          <w:color w:val="000000" w:themeColor="text1"/>
          <w:sz w:val="20"/>
          <w:szCs w:val="20"/>
        </w:rPr>
        <w:t xml:space="preserve"> House of Commons Public Administration &amp; Constitutional Affairs Committee, </w:t>
      </w:r>
      <w:r w:rsidRPr="003A3EB1">
        <w:rPr>
          <w:rFonts w:ascii="Times New Roman" w:hAnsi="Times New Roman"/>
          <w:i/>
          <w:iCs/>
          <w:color w:val="000000" w:themeColor="text1"/>
          <w:sz w:val="20"/>
          <w:szCs w:val="20"/>
        </w:rPr>
        <w:t>Constitutional Role of the Attorney General</w:t>
      </w:r>
      <w:r w:rsidRPr="003A3EB1">
        <w:rPr>
          <w:rFonts w:ascii="Times New Roman" w:hAnsi="Times New Roman"/>
          <w:color w:val="000000" w:themeColor="text1"/>
          <w:sz w:val="20"/>
          <w:szCs w:val="20"/>
        </w:rPr>
        <w:t xml:space="preserve"> (July 2007) Following the report, the Government engaged in a consultation process over reform to the Attorney General’s office but ultimately decided not to proceed with any substantial reform.</w:t>
      </w:r>
    </w:p>
  </w:footnote>
  <w:footnote w:id="37">
    <w:p w14:paraId="00887240" w14:textId="18729162" w:rsidR="00A72EC7" w:rsidRPr="003A3EB1" w:rsidRDefault="00A72EC7"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9A2555" w:rsidRPr="003A3EB1">
        <w:rPr>
          <w:rFonts w:ascii="Times New Roman" w:hAnsi="Times New Roman" w:cs="Times New Roman"/>
          <w:color w:val="000000" w:themeColor="text1"/>
          <w:sz w:val="20"/>
          <w:szCs w:val="20"/>
          <w:lang w:val="en-GB"/>
        </w:rPr>
        <w:t xml:space="preserve">Id., </w:t>
      </w:r>
      <w:r w:rsidR="009A2555" w:rsidRPr="003A3EB1">
        <w:rPr>
          <w:rFonts w:ascii="Times New Roman" w:hAnsi="Times New Roman" w:cs="Times New Roman"/>
          <w:color w:val="000000" w:themeColor="text1"/>
          <w:sz w:val="20"/>
          <w:szCs w:val="20"/>
        </w:rPr>
        <w:t>22-24.</w:t>
      </w:r>
    </w:p>
  </w:footnote>
  <w:footnote w:id="38">
    <w:p w14:paraId="703846FD" w14:textId="74B09F98" w:rsidR="00F406F1" w:rsidRPr="003A3EB1" w:rsidRDefault="00F406F1" w:rsidP="003A3EB1">
      <w:pPr>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w:t>
      </w:r>
      <w:r w:rsidRPr="003A3EB1">
        <w:rPr>
          <w:rFonts w:eastAsiaTheme="minorHAnsi"/>
          <w:color w:val="000000" w:themeColor="text1"/>
          <w:sz w:val="20"/>
          <w:szCs w:val="20"/>
          <w:lang w:eastAsia="en-US"/>
        </w:rPr>
        <w:t>Michael Asimow and Yoav Dotan,</w:t>
      </w:r>
      <w:r w:rsidRPr="003A3EB1">
        <w:rPr>
          <w:color w:val="000000" w:themeColor="text1"/>
          <w:sz w:val="20"/>
          <w:szCs w:val="20"/>
        </w:rPr>
        <w:t xml:space="preserve"> </w:t>
      </w:r>
      <w:r w:rsidR="009A323C" w:rsidRPr="003A3EB1">
        <w:rPr>
          <w:color w:val="000000" w:themeColor="text1"/>
          <w:sz w:val="20"/>
          <w:szCs w:val="20"/>
        </w:rPr>
        <w:t>‘</w:t>
      </w:r>
      <w:r w:rsidRPr="003A3EB1">
        <w:rPr>
          <w:rFonts w:eastAsiaTheme="minorHAnsi"/>
          <w:color w:val="000000" w:themeColor="text1"/>
          <w:sz w:val="20"/>
          <w:szCs w:val="20"/>
          <w:lang w:eastAsia="en-US"/>
        </w:rPr>
        <w:t>Hired Guns And Ministers Of Justice: The Role Of Government Attorneys In The United States And Israel</w:t>
      </w:r>
      <w:r w:rsidR="009A323C" w:rsidRPr="003A3EB1">
        <w:rPr>
          <w:rFonts w:eastAsiaTheme="minorHAnsi"/>
          <w:color w:val="000000" w:themeColor="text1"/>
          <w:sz w:val="20"/>
          <w:szCs w:val="20"/>
          <w:lang w:eastAsia="en-US"/>
        </w:rPr>
        <w:t>’</w:t>
      </w:r>
      <w:r w:rsidRPr="003A3EB1">
        <w:rPr>
          <w:color w:val="000000" w:themeColor="text1"/>
          <w:sz w:val="20"/>
          <w:szCs w:val="20"/>
        </w:rPr>
        <w:t xml:space="preserve"> (2016) 49 Israel Law Review 3, 12; </w:t>
      </w:r>
      <w:r w:rsidRPr="003A3EB1">
        <w:rPr>
          <w:color w:val="000000" w:themeColor="text1"/>
          <w:sz w:val="20"/>
          <w:szCs w:val="20"/>
          <w:shd w:val="clear" w:color="auto" w:fill="FFFFFF"/>
        </w:rPr>
        <w:t>David Kenny and Conor Casey, ‘Shadow constitutional review: The dark side of pre-enactment political review in Ireland and Japan’ (2020) 18 </w:t>
      </w:r>
      <w:r w:rsidRPr="003A3EB1">
        <w:rPr>
          <w:color w:val="000000" w:themeColor="text1"/>
          <w:sz w:val="20"/>
          <w:szCs w:val="20"/>
          <w:bdr w:val="none" w:sz="0" w:space="0" w:color="auto" w:frame="1"/>
          <w:shd w:val="clear" w:color="auto" w:fill="FFFFFF"/>
        </w:rPr>
        <w:t>International Journal of Constitutional Law</w:t>
      </w:r>
      <w:r w:rsidRPr="003A3EB1">
        <w:rPr>
          <w:color w:val="000000" w:themeColor="text1"/>
          <w:sz w:val="20"/>
          <w:szCs w:val="20"/>
          <w:shd w:val="clear" w:color="auto" w:fill="FFFFFF"/>
        </w:rPr>
        <w:t xml:space="preserve"> 51</w:t>
      </w:r>
      <w:r w:rsidR="00FA0E77" w:rsidRPr="003A3EB1">
        <w:rPr>
          <w:color w:val="000000" w:themeColor="text1"/>
          <w:sz w:val="20"/>
          <w:szCs w:val="20"/>
          <w:shd w:val="clear" w:color="auto" w:fill="FFFFFF"/>
        </w:rPr>
        <w:t xml:space="preserve">, </w:t>
      </w:r>
      <w:r w:rsidR="00936EE6" w:rsidRPr="003A3EB1">
        <w:rPr>
          <w:color w:val="000000" w:themeColor="text1"/>
          <w:sz w:val="20"/>
          <w:szCs w:val="20"/>
          <w:shd w:val="clear" w:color="auto" w:fill="FFFFFF"/>
        </w:rPr>
        <w:t>59-60.</w:t>
      </w:r>
    </w:p>
  </w:footnote>
  <w:footnote w:id="39">
    <w:p w14:paraId="5045B895" w14:textId="33911F7B" w:rsidR="00463826" w:rsidRPr="003A3EB1" w:rsidRDefault="00463826" w:rsidP="003A3EB1">
      <w:pPr>
        <w:autoSpaceDE w:val="0"/>
        <w:autoSpaceDN w:val="0"/>
        <w:adjustRightInd w:val="0"/>
        <w:jc w:val="both"/>
        <w:rPr>
          <w:color w:val="000000" w:themeColor="text1"/>
          <w:sz w:val="20"/>
          <w:szCs w:val="20"/>
        </w:rPr>
      </w:pPr>
      <w:r w:rsidRPr="003A3EB1">
        <w:rPr>
          <w:rStyle w:val="FootnoteReference"/>
          <w:color w:val="000000" w:themeColor="text1"/>
          <w:sz w:val="20"/>
          <w:szCs w:val="20"/>
        </w:rPr>
        <w:footnoteRef/>
      </w:r>
      <w:r w:rsidRPr="003A3EB1">
        <w:rPr>
          <w:color w:val="000000" w:themeColor="text1"/>
          <w:sz w:val="20"/>
          <w:szCs w:val="20"/>
        </w:rPr>
        <w:t xml:space="preserve"> Navraj Singh Ghaleigh, </w:t>
      </w:r>
      <w:r w:rsidR="00765684" w:rsidRPr="003A3EB1">
        <w:rPr>
          <w:color w:val="000000" w:themeColor="text1"/>
          <w:sz w:val="20"/>
          <w:szCs w:val="20"/>
        </w:rPr>
        <w:t>‘</w:t>
      </w:r>
      <w:r w:rsidRPr="003A3EB1">
        <w:rPr>
          <w:color w:val="000000" w:themeColor="text1"/>
          <w:sz w:val="20"/>
          <w:szCs w:val="20"/>
        </w:rPr>
        <w:t>Neither Legal Nor Political? Bureaucratic Constitutionalism in Japanese Law</w:t>
      </w:r>
      <w:r w:rsidR="00765684" w:rsidRPr="003A3EB1">
        <w:rPr>
          <w:color w:val="000000" w:themeColor="text1"/>
          <w:sz w:val="20"/>
          <w:szCs w:val="20"/>
        </w:rPr>
        <w:t>’ (2015)</w:t>
      </w:r>
      <w:r w:rsidRPr="003A3EB1">
        <w:rPr>
          <w:color w:val="000000" w:themeColor="text1"/>
          <w:sz w:val="20"/>
          <w:szCs w:val="20"/>
        </w:rPr>
        <w:t xml:space="preserve"> 26 K.L.J., 193</w:t>
      </w:r>
      <w:r w:rsidR="00765684" w:rsidRPr="003A3EB1">
        <w:rPr>
          <w:color w:val="000000" w:themeColor="text1"/>
          <w:sz w:val="20"/>
          <w:szCs w:val="20"/>
        </w:rPr>
        <w:t>,</w:t>
      </w:r>
      <w:r w:rsidRPr="003A3EB1">
        <w:rPr>
          <w:color w:val="000000" w:themeColor="text1"/>
          <w:sz w:val="20"/>
          <w:szCs w:val="20"/>
        </w:rPr>
        <w:t xml:space="preserve"> 205.</w:t>
      </w:r>
    </w:p>
  </w:footnote>
  <w:footnote w:id="40">
    <w:p w14:paraId="1DC6FF14" w14:textId="6399ABAC" w:rsidR="00463826" w:rsidRPr="003A3EB1" w:rsidRDefault="00463826" w:rsidP="003A3EB1">
      <w:pPr>
        <w:pStyle w:val="FootNote"/>
        <w:spacing w:line="240" w:lineRule="auto"/>
        <w:rPr>
          <w:rFonts w:ascii="Times New Roman" w:hAnsi="Times New Roman"/>
          <w:color w:val="000000" w:themeColor="text1"/>
          <w:sz w:val="20"/>
        </w:rPr>
      </w:pPr>
      <w:r w:rsidRPr="003A3EB1">
        <w:rPr>
          <w:rStyle w:val="NoterefInNote"/>
          <w:rFonts w:ascii="Times New Roman" w:hAnsi="Times New Roman"/>
          <w:color w:val="000000" w:themeColor="text1"/>
          <w:sz w:val="20"/>
          <w:szCs w:val="20"/>
        </w:rPr>
        <w:footnoteRef/>
      </w:r>
      <w:r w:rsidRPr="003A3EB1">
        <w:rPr>
          <w:rFonts w:ascii="Times New Roman" w:hAnsi="Times New Roman"/>
          <w:color w:val="000000" w:themeColor="text1"/>
          <w:sz w:val="20"/>
        </w:rPr>
        <w:t xml:space="preserve"> </w:t>
      </w:r>
      <w:r w:rsidRPr="003A3EB1">
        <w:rPr>
          <w:rFonts w:ascii="Times New Roman" w:hAnsi="Times New Roman"/>
          <w:color w:val="000000" w:themeColor="text1"/>
          <w:sz w:val="20"/>
        </w:rPr>
        <w:tab/>
        <w:t xml:space="preserve">Mamoru Seki, </w:t>
      </w:r>
      <w:r w:rsidR="00765684" w:rsidRPr="003A3EB1">
        <w:rPr>
          <w:rFonts w:ascii="Times New Roman" w:hAnsi="Times New Roman"/>
          <w:color w:val="000000" w:themeColor="text1"/>
          <w:sz w:val="20"/>
        </w:rPr>
        <w:t>‘</w:t>
      </w:r>
      <w:r w:rsidRPr="003A3EB1">
        <w:rPr>
          <w:rFonts w:ascii="Times New Roman" w:hAnsi="Times New Roman"/>
          <w:iCs/>
          <w:color w:val="000000" w:themeColor="text1"/>
          <w:sz w:val="20"/>
        </w:rPr>
        <w:t>The Drafting Process for Cabinet Bills</w:t>
      </w:r>
      <w:r w:rsidR="00765684" w:rsidRPr="003A3EB1">
        <w:rPr>
          <w:rFonts w:ascii="Times New Roman" w:hAnsi="Times New Roman"/>
          <w:color w:val="000000" w:themeColor="text1"/>
          <w:sz w:val="20"/>
        </w:rPr>
        <w:t>’ (1986)</w:t>
      </w:r>
      <w:r w:rsidRPr="003A3EB1">
        <w:rPr>
          <w:rFonts w:ascii="Times New Roman" w:hAnsi="Times New Roman"/>
          <w:color w:val="000000" w:themeColor="text1"/>
          <w:sz w:val="20"/>
        </w:rPr>
        <w:t xml:space="preserve"> 19 </w:t>
      </w:r>
      <w:r w:rsidRPr="003A3EB1">
        <w:rPr>
          <w:rFonts w:ascii="Times New Roman" w:hAnsi="Times New Roman"/>
          <w:smallCaps/>
          <w:color w:val="000000" w:themeColor="text1"/>
          <w:sz w:val="20"/>
        </w:rPr>
        <w:t>L. Japan</w:t>
      </w:r>
      <w:r w:rsidRPr="003A3EB1">
        <w:rPr>
          <w:rFonts w:ascii="Times New Roman" w:hAnsi="Times New Roman"/>
          <w:color w:val="000000" w:themeColor="text1"/>
          <w:sz w:val="20"/>
        </w:rPr>
        <w:t xml:space="preserve"> 168, 183.</w:t>
      </w:r>
    </w:p>
  </w:footnote>
  <w:footnote w:id="41">
    <w:p w14:paraId="65B407FF" w14:textId="798324CB" w:rsidR="001F40E2" w:rsidRPr="003A3EB1" w:rsidRDefault="001F40E2"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Conor Casey, ‘Political Executive Control of the Administrative State: How Much is Too Much?’ (2021) 81 Maryland Law Review 257, 263.</w:t>
      </w:r>
    </w:p>
  </w:footnote>
  <w:footnote w:id="42">
    <w:p w14:paraId="54C52F49" w14:textId="3795598C" w:rsidR="007012E7" w:rsidRPr="003A3EB1" w:rsidRDefault="007012E7"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167677" w:rsidRPr="003A3EB1">
        <w:rPr>
          <w:rFonts w:ascii="Times New Roman" w:hAnsi="Times New Roman" w:cs="Times New Roman"/>
          <w:color w:val="000000" w:themeColor="text1"/>
          <w:sz w:val="20"/>
          <w:szCs w:val="20"/>
        </w:rPr>
        <w:t xml:space="preserve">Aviad Bakshi, ‘Legal Advisers and the Government: Analysis and Recommendations’ (2016) Kohelet Policy Forum </w:t>
      </w:r>
      <w:r w:rsidRPr="003A3EB1">
        <w:rPr>
          <w:rFonts w:ascii="Times New Roman" w:hAnsi="Times New Roman" w:cs="Times New Roman"/>
          <w:color w:val="000000" w:themeColor="text1"/>
          <w:sz w:val="20"/>
          <w:szCs w:val="20"/>
          <w:lang w:val="en-GB"/>
        </w:rPr>
        <w:t>17.</w:t>
      </w:r>
    </w:p>
  </w:footnote>
  <w:footnote w:id="43">
    <w:p w14:paraId="65E076F5" w14:textId="421422B6" w:rsidR="004A7896" w:rsidRPr="003A3EB1" w:rsidRDefault="004A7896" w:rsidP="003A3EB1">
      <w:pPr>
        <w:autoSpaceDE w:val="0"/>
        <w:autoSpaceDN w:val="0"/>
        <w:adjustRightInd w:val="0"/>
        <w:jc w:val="both"/>
        <w:rPr>
          <w:rFonts w:eastAsiaTheme="minorHAnsi"/>
          <w:color w:val="000000" w:themeColor="text1"/>
          <w:sz w:val="20"/>
          <w:szCs w:val="20"/>
          <w:lang w:eastAsia="en-US"/>
        </w:rPr>
      </w:pPr>
      <w:r w:rsidRPr="003A3EB1">
        <w:rPr>
          <w:rStyle w:val="FootnoteReference"/>
          <w:color w:val="000000" w:themeColor="text1"/>
          <w:sz w:val="20"/>
          <w:szCs w:val="20"/>
        </w:rPr>
        <w:footnoteRef/>
      </w:r>
      <w:r w:rsidRPr="003A3EB1">
        <w:rPr>
          <w:color w:val="000000" w:themeColor="text1"/>
          <w:sz w:val="20"/>
          <w:szCs w:val="20"/>
        </w:rPr>
        <w:t xml:space="preserve"> </w:t>
      </w:r>
      <w:r w:rsidR="00A47C90" w:rsidRPr="003A3EB1">
        <w:rPr>
          <w:color w:val="000000" w:themeColor="text1"/>
          <w:sz w:val="20"/>
          <w:szCs w:val="20"/>
        </w:rPr>
        <w:t>Elyakim Rubinstein, ‘</w:t>
      </w:r>
      <w:r w:rsidR="00A47C90" w:rsidRPr="003A3EB1">
        <w:rPr>
          <w:rFonts w:eastAsiaTheme="minorHAnsi"/>
          <w:color w:val="000000" w:themeColor="text1"/>
          <w:sz w:val="20"/>
          <w:szCs w:val="20"/>
          <w:lang w:eastAsia="en-US"/>
        </w:rPr>
        <w:t>The Attorney General in Israel: A Delicate Balance of Powers and Responsibilities in a Jewish and Democratic State’ (2005) 11 Israel Affairs</w:t>
      </w:r>
      <w:r w:rsidR="00A47C90" w:rsidRPr="003A3EB1">
        <w:rPr>
          <w:color w:val="000000" w:themeColor="text1"/>
          <w:sz w:val="20"/>
          <w:szCs w:val="20"/>
        </w:rPr>
        <w:t xml:space="preserve"> 417, </w:t>
      </w:r>
      <w:r w:rsidRPr="003A3EB1">
        <w:rPr>
          <w:color w:val="000000" w:themeColor="text1"/>
          <w:sz w:val="20"/>
          <w:szCs w:val="20"/>
        </w:rPr>
        <w:t>422.</w:t>
      </w:r>
    </w:p>
  </w:footnote>
  <w:footnote w:id="44">
    <w:p w14:paraId="11C48385" w14:textId="3E57C8FB" w:rsidR="004A3BE3" w:rsidRPr="003A3EB1" w:rsidRDefault="004A3BE3"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00F77FE2" w:rsidRPr="003A3EB1">
        <w:rPr>
          <w:rFonts w:ascii="Times New Roman" w:hAnsi="Times New Roman" w:cs="Times New Roman"/>
          <w:color w:val="000000" w:themeColor="text1"/>
          <w:sz w:val="20"/>
          <w:szCs w:val="20"/>
        </w:rPr>
        <w:t xml:space="preserve">Kenny and Casey, ‘Shadow Constitutional Review’ (n </w:t>
      </w:r>
      <w:r w:rsidR="00F77FE2" w:rsidRPr="003A3EB1">
        <w:rPr>
          <w:rFonts w:ascii="Times New Roman" w:hAnsi="Times New Roman" w:cs="Times New Roman"/>
          <w:color w:val="000000" w:themeColor="text1"/>
          <w:sz w:val="20"/>
          <w:szCs w:val="20"/>
        </w:rPr>
        <w:fldChar w:fldCharType="begin"/>
      </w:r>
      <w:r w:rsidR="00F77FE2" w:rsidRPr="003A3EB1">
        <w:rPr>
          <w:rFonts w:ascii="Times New Roman" w:hAnsi="Times New Roman" w:cs="Times New Roman"/>
          <w:color w:val="000000" w:themeColor="text1"/>
          <w:sz w:val="20"/>
          <w:szCs w:val="20"/>
        </w:rPr>
        <w:instrText xml:space="preserve"> NOTEREF _Ref95816884 \h </w:instrText>
      </w:r>
      <w:r w:rsidR="003A3EB1" w:rsidRPr="003A3EB1">
        <w:rPr>
          <w:rFonts w:ascii="Times New Roman" w:hAnsi="Times New Roman" w:cs="Times New Roman"/>
          <w:color w:val="000000" w:themeColor="text1"/>
          <w:sz w:val="20"/>
          <w:szCs w:val="20"/>
        </w:rPr>
        <w:instrText xml:space="preserve"> \* MERGEFORMAT </w:instrText>
      </w:r>
      <w:r w:rsidR="00F77FE2" w:rsidRPr="003A3EB1">
        <w:rPr>
          <w:rFonts w:ascii="Times New Roman" w:hAnsi="Times New Roman" w:cs="Times New Roman"/>
          <w:color w:val="000000" w:themeColor="text1"/>
          <w:sz w:val="20"/>
          <w:szCs w:val="20"/>
        </w:rPr>
      </w:r>
      <w:r w:rsidR="00F77FE2" w:rsidRPr="003A3EB1">
        <w:rPr>
          <w:rFonts w:ascii="Times New Roman" w:hAnsi="Times New Roman" w:cs="Times New Roman"/>
          <w:color w:val="000000" w:themeColor="text1"/>
          <w:sz w:val="20"/>
          <w:szCs w:val="20"/>
        </w:rPr>
        <w:fldChar w:fldCharType="separate"/>
      </w:r>
      <w:r w:rsidR="008D2CAE" w:rsidRPr="003A3EB1">
        <w:rPr>
          <w:rFonts w:ascii="Times New Roman" w:hAnsi="Times New Roman" w:cs="Times New Roman"/>
          <w:color w:val="000000" w:themeColor="text1"/>
          <w:sz w:val="20"/>
          <w:szCs w:val="20"/>
        </w:rPr>
        <w:t>38</w:t>
      </w:r>
      <w:r w:rsidR="00F77FE2" w:rsidRPr="003A3EB1">
        <w:rPr>
          <w:rFonts w:ascii="Times New Roman" w:hAnsi="Times New Roman" w:cs="Times New Roman"/>
          <w:color w:val="000000" w:themeColor="text1"/>
          <w:sz w:val="20"/>
          <w:szCs w:val="20"/>
        </w:rPr>
        <w:fldChar w:fldCharType="end"/>
      </w:r>
      <w:r w:rsidR="00F77FE2" w:rsidRPr="003A3EB1">
        <w:rPr>
          <w:rFonts w:ascii="Times New Roman" w:hAnsi="Times New Roman" w:cs="Times New Roman"/>
          <w:color w:val="000000" w:themeColor="text1"/>
          <w:sz w:val="20"/>
          <w:szCs w:val="20"/>
        </w:rPr>
        <w:t>) 60.</w:t>
      </w:r>
    </w:p>
  </w:footnote>
  <w:footnote w:id="45">
    <w:p w14:paraId="25E210B9" w14:textId="5863A2A5" w:rsidR="00A47F5A" w:rsidRPr="003A3EB1" w:rsidRDefault="00A47F5A"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 xml:space="preserve">Like politically divided communities </w:t>
      </w:r>
      <w:r w:rsidR="00712714" w:rsidRPr="003A3EB1">
        <w:rPr>
          <w:rFonts w:ascii="Times New Roman" w:hAnsi="Times New Roman" w:cs="Times New Roman"/>
          <w:color w:val="000000" w:themeColor="text1"/>
          <w:sz w:val="20"/>
          <w:szCs w:val="20"/>
          <w:lang w:val="en-GB"/>
        </w:rPr>
        <w:t>such as</w:t>
      </w:r>
      <w:r w:rsidRPr="003A3EB1">
        <w:rPr>
          <w:rFonts w:ascii="Times New Roman" w:hAnsi="Times New Roman" w:cs="Times New Roman"/>
          <w:color w:val="000000" w:themeColor="text1"/>
          <w:sz w:val="20"/>
          <w:szCs w:val="20"/>
          <w:lang w:val="en-GB"/>
        </w:rPr>
        <w:t xml:space="preserve"> Northern Ireland.</w:t>
      </w:r>
    </w:p>
  </w:footnote>
  <w:footnote w:id="46">
    <w:p w14:paraId="137E275F" w14:textId="2D3972D9" w:rsidR="008D2CAE" w:rsidRPr="003A3EB1" w:rsidRDefault="008D2CAE"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Conor Casey and David Kenny, ‘The Gatekeepers: Executive Lawyers and Executive Power in Comparative Perspective’ (Forthcoming 2022) International Journal of Constitutional Law</w:t>
      </w:r>
      <w:r w:rsidR="00196B2F" w:rsidRPr="003A3EB1">
        <w:rPr>
          <w:rFonts w:ascii="Times New Roman" w:hAnsi="Times New Roman" w:cs="Times New Roman"/>
          <w:color w:val="000000" w:themeColor="text1"/>
          <w:sz w:val="20"/>
          <w:szCs w:val="20"/>
          <w:lang w:val="en-GB"/>
        </w:rPr>
        <w:t xml:space="preserve"> 1, 31-32.</w:t>
      </w:r>
    </w:p>
  </w:footnote>
  <w:footnote w:id="47">
    <w:p w14:paraId="2236568A" w14:textId="48C61DE6" w:rsidR="00FD5F19" w:rsidRPr="003A3EB1" w:rsidRDefault="00FD5F19" w:rsidP="003A3EB1">
      <w:pPr>
        <w:autoSpaceDE w:val="0"/>
        <w:autoSpaceDN w:val="0"/>
        <w:adjustRightInd w:val="0"/>
        <w:jc w:val="both"/>
        <w:rPr>
          <w:rFonts w:eastAsiaTheme="minorHAnsi"/>
          <w:color w:val="000000" w:themeColor="text1"/>
          <w:sz w:val="20"/>
          <w:szCs w:val="20"/>
          <w:lang w:eastAsia="en-US"/>
        </w:rPr>
      </w:pPr>
      <w:r w:rsidRPr="003A3EB1">
        <w:rPr>
          <w:rStyle w:val="FootnoteReference"/>
          <w:color w:val="000000" w:themeColor="text1"/>
          <w:sz w:val="20"/>
          <w:szCs w:val="20"/>
        </w:rPr>
        <w:footnoteRef/>
      </w:r>
      <w:r w:rsidRPr="003A3EB1">
        <w:rPr>
          <w:color w:val="000000" w:themeColor="text1"/>
          <w:sz w:val="20"/>
          <w:szCs w:val="20"/>
        </w:rPr>
        <w:t xml:space="preserve"> Gabrielle Appleby and Anna Olijnyk, ‘Executive Policy Development and Constitutional Norms: Practice and Perceptions’ (202</w:t>
      </w:r>
      <w:r w:rsidR="003A3EB1" w:rsidRPr="003A3EB1">
        <w:rPr>
          <w:color w:val="000000" w:themeColor="text1"/>
          <w:sz w:val="20"/>
          <w:szCs w:val="20"/>
        </w:rPr>
        <w:t>0</w:t>
      </w:r>
      <w:r w:rsidRPr="003A3EB1">
        <w:rPr>
          <w:color w:val="000000" w:themeColor="text1"/>
          <w:sz w:val="20"/>
          <w:szCs w:val="20"/>
        </w:rPr>
        <w:t>)</w:t>
      </w:r>
      <w:r w:rsidR="003A3EB1" w:rsidRPr="003A3EB1">
        <w:rPr>
          <w:color w:val="000000" w:themeColor="text1"/>
          <w:sz w:val="20"/>
          <w:szCs w:val="20"/>
        </w:rPr>
        <w:t xml:space="preserve"> 18</w:t>
      </w:r>
      <w:r w:rsidRPr="003A3EB1">
        <w:rPr>
          <w:color w:val="000000" w:themeColor="text1"/>
          <w:sz w:val="20"/>
          <w:szCs w:val="20"/>
        </w:rPr>
        <w:t xml:space="preserve"> International Journal of Constitutional Law</w:t>
      </w:r>
      <w:r w:rsidR="003A3EB1" w:rsidRPr="003A3EB1">
        <w:rPr>
          <w:color w:val="000000" w:themeColor="text1"/>
          <w:sz w:val="20"/>
          <w:szCs w:val="20"/>
        </w:rPr>
        <w:t xml:space="preserve"> 1136-1165</w:t>
      </w:r>
      <w:r w:rsidR="006D77CB" w:rsidRPr="003A3EB1">
        <w:rPr>
          <w:color w:val="000000" w:themeColor="text1"/>
          <w:sz w:val="20"/>
          <w:szCs w:val="20"/>
        </w:rPr>
        <w:t>; Conor Casey and Eoin Daly, ‘</w:t>
      </w:r>
      <w:r w:rsidR="006D77CB" w:rsidRPr="003A3EB1">
        <w:rPr>
          <w:rFonts w:eastAsiaTheme="minorHAnsi"/>
          <w:color w:val="000000" w:themeColor="text1"/>
          <w:sz w:val="20"/>
          <w:szCs w:val="20"/>
          <w:lang w:eastAsia="en-US"/>
        </w:rPr>
        <w:t>Political Constitutionalism under a Culture of Legalism:</w:t>
      </w:r>
      <w:r w:rsidR="005C4F8A" w:rsidRPr="003A3EB1">
        <w:rPr>
          <w:rFonts w:eastAsiaTheme="minorHAnsi"/>
          <w:color w:val="000000" w:themeColor="text1"/>
          <w:sz w:val="20"/>
          <w:szCs w:val="20"/>
          <w:lang w:eastAsia="en-US"/>
        </w:rPr>
        <w:t xml:space="preserve"> </w:t>
      </w:r>
      <w:r w:rsidR="006D77CB" w:rsidRPr="003A3EB1">
        <w:rPr>
          <w:rFonts w:eastAsiaTheme="minorHAnsi"/>
          <w:color w:val="000000" w:themeColor="text1"/>
          <w:sz w:val="20"/>
          <w:szCs w:val="20"/>
          <w:lang w:eastAsia="en-US"/>
        </w:rPr>
        <w:t>Case Studies from Ireland</w:t>
      </w:r>
      <w:r w:rsidR="006D77CB" w:rsidRPr="003A3EB1">
        <w:rPr>
          <w:color w:val="000000" w:themeColor="text1"/>
          <w:sz w:val="20"/>
          <w:szCs w:val="20"/>
        </w:rPr>
        <w:t>’</w:t>
      </w:r>
      <w:r w:rsidR="006E3872" w:rsidRPr="003A3EB1">
        <w:rPr>
          <w:color w:val="000000" w:themeColor="text1"/>
          <w:sz w:val="20"/>
          <w:szCs w:val="20"/>
        </w:rPr>
        <w:t xml:space="preserve"> </w:t>
      </w:r>
      <w:r w:rsidR="00C869DF" w:rsidRPr="003A3EB1">
        <w:rPr>
          <w:color w:val="000000" w:themeColor="text1"/>
          <w:sz w:val="20"/>
          <w:szCs w:val="20"/>
        </w:rPr>
        <w:t>(2021)</w:t>
      </w:r>
      <w:r w:rsidR="005C4F8A" w:rsidRPr="003A3EB1">
        <w:rPr>
          <w:color w:val="000000" w:themeColor="text1"/>
          <w:sz w:val="20"/>
          <w:szCs w:val="20"/>
        </w:rPr>
        <w:t xml:space="preserve"> </w:t>
      </w:r>
      <w:r w:rsidR="00C869DF" w:rsidRPr="003A3EB1">
        <w:rPr>
          <w:color w:val="000000" w:themeColor="text1"/>
          <w:sz w:val="20"/>
          <w:szCs w:val="20"/>
        </w:rPr>
        <w:t>17 European Constitutional Law Review</w:t>
      </w:r>
      <w:r w:rsidR="006D77CB" w:rsidRPr="003A3EB1">
        <w:rPr>
          <w:color w:val="000000" w:themeColor="text1"/>
          <w:sz w:val="20"/>
          <w:szCs w:val="20"/>
        </w:rPr>
        <w:t xml:space="preserve"> </w:t>
      </w:r>
      <w:r w:rsidR="006E3872" w:rsidRPr="003A3EB1">
        <w:rPr>
          <w:color w:val="000000" w:themeColor="text1"/>
          <w:sz w:val="20"/>
          <w:szCs w:val="20"/>
        </w:rPr>
        <w:t xml:space="preserve">202, </w:t>
      </w:r>
      <w:r w:rsidR="006D77CB" w:rsidRPr="003A3EB1">
        <w:rPr>
          <w:color w:val="000000" w:themeColor="text1"/>
          <w:sz w:val="20"/>
          <w:szCs w:val="20"/>
        </w:rPr>
        <w:t>221-224</w:t>
      </w:r>
      <w:r w:rsidR="005C3BEE" w:rsidRPr="003A3EB1">
        <w:rPr>
          <w:color w:val="000000" w:themeColor="text1"/>
          <w:sz w:val="20"/>
          <w:szCs w:val="20"/>
        </w:rPr>
        <w:t xml:space="preserve">; </w:t>
      </w:r>
      <w:r w:rsidR="00C07331" w:rsidRPr="003A3EB1">
        <w:rPr>
          <w:color w:val="000000" w:themeColor="text1"/>
          <w:sz w:val="20"/>
          <w:szCs w:val="20"/>
        </w:rPr>
        <w:t>Aviad Bakshi, ‘Legal Advisers and the Government</w:t>
      </w:r>
      <w:r w:rsidR="00E370C6" w:rsidRPr="003A3EB1">
        <w:rPr>
          <w:color w:val="000000" w:themeColor="text1"/>
          <w:sz w:val="20"/>
          <w:szCs w:val="20"/>
        </w:rPr>
        <w:t xml:space="preserve">’ (n </w:t>
      </w:r>
      <w:r w:rsidR="00E370C6" w:rsidRPr="003A3EB1">
        <w:rPr>
          <w:color w:val="000000" w:themeColor="text1"/>
          <w:sz w:val="20"/>
          <w:szCs w:val="20"/>
        </w:rPr>
        <w:fldChar w:fldCharType="begin"/>
      </w:r>
      <w:r w:rsidR="00E370C6" w:rsidRPr="003A3EB1">
        <w:rPr>
          <w:color w:val="000000" w:themeColor="text1"/>
          <w:sz w:val="20"/>
          <w:szCs w:val="20"/>
        </w:rPr>
        <w:instrText xml:space="preserve"> NOTEREF _Ref95840356 \h </w:instrText>
      </w:r>
      <w:r w:rsidR="003A3EB1" w:rsidRPr="003A3EB1">
        <w:rPr>
          <w:color w:val="000000" w:themeColor="text1"/>
          <w:sz w:val="20"/>
          <w:szCs w:val="20"/>
        </w:rPr>
        <w:instrText xml:space="preserve"> \* MERGEFORMAT </w:instrText>
      </w:r>
      <w:r w:rsidR="00E370C6" w:rsidRPr="003A3EB1">
        <w:rPr>
          <w:color w:val="000000" w:themeColor="text1"/>
          <w:sz w:val="20"/>
          <w:szCs w:val="20"/>
        </w:rPr>
      </w:r>
      <w:r w:rsidR="00E370C6" w:rsidRPr="003A3EB1">
        <w:rPr>
          <w:color w:val="000000" w:themeColor="text1"/>
          <w:sz w:val="20"/>
          <w:szCs w:val="20"/>
        </w:rPr>
        <w:fldChar w:fldCharType="separate"/>
      </w:r>
      <w:r w:rsidR="008D2CAE" w:rsidRPr="003A3EB1">
        <w:rPr>
          <w:color w:val="000000" w:themeColor="text1"/>
          <w:sz w:val="20"/>
          <w:szCs w:val="20"/>
        </w:rPr>
        <w:t>42</w:t>
      </w:r>
      <w:r w:rsidR="00E370C6" w:rsidRPr="003A3EB1">
        <w:rPr>
          <w:color w:val="000000" w:themeColor="text1"/>
          <w:sz w:val="20"/>
          <w:szCs w:val="20"/>
        </w:rPr>
        <w:fldChar w:fldCharType="end"/>
      </w:r>
      <w:r w:rsidR="00E370C6" w:rsidRPr="003A3EB1">
        <w:rPr>
          <w:color w:val="000000" w:themeColor="text1"/>
          <w:sz w:val="20"/>
          <w:szCs w:val="20"/>
        </w:rPr>
        <w:t xml:space="preserve">) </w:t>
      </w:r>
      <w:r w:rsidR="005C3BEE" w:rsidRPr="003A3EB1">
        <w:rPr>
          <w:color w:val="000000" w:themeColor="text1"/>
          <w:sz w:val="20"/>
          <w:szCs w:val="20"/>
        </w:rPr>
        <w:t>34.</w:t>
      </w:r>
    </w:p>
  </w:footnote>
  <w:footnote w:id="48">
    <w:p w14:paraId="544D5568" w14:textId="0B151504" w:rsidR="00BD6EA4" w:rsidRPr="003A3EB1" w:rsidRDefault="00BD6EA4" w:rsidP="003A3EB1">
      <w:pPr>
        <w:pStyle w:val="FootnoteText"/>
        <w:jc w:val="both"/>
        <w:rPr>
          <w:rFonts w:ascii="Times New Roman" w:hAnsi="Times New Roman" w:cs="Times New Roman"/>
          <w:color w:val="000000" w:themeColor="text1"/>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Casey and Kenny (n </w:t>
      </w:r>
      <w:r w:rsidRPr="003A3EB1">
        <w:rPr>
          <w:rFonts w:ascii="Times New Roman" w:hAnsi="Times New Roman" w:cs="Times New Roman"/>
          <w:color w:val="000000" w:themeColor="text1"/>
          <w:sz w:val="20"/>
          <w:szCs w:val="20"/>
        </w:rPr>
        <w:fldChar w:fldCharType="begin"/>
      </w:r>
      <w:r w:rsidRPr="003A3EB1">
        <w:rPr>
          <w:rFonts w:ascii="Times New Roman" w:hAnsi="Times New Roman" w:cs="Times New Roman"/>
          <w:color w:val="000000" w:themeColor="text1"/>
          <w:sz w:val="20"/>
          <w:szCs w:val="20"/>
        </w:rPr>
        <w:instrText xml:space="preserve"> NOTEREF _Ref95816884 \h  \* MERGEFORMAT </w:instrText>
      </w:r>
      <w:r w:rsidRPr="003A3EB1">
        <w:rPr>
          <w:rFonts w:ascii="Times New Roman" w:hAnsi="Times New Roman" w:cs="Times New Roman"/>
          <w:color w:val="000000" w:themeColor="text1"/>
          <w:sz w:val="20"/>
          <w:szCs w:val="20"/>
        </w:rPr>
      </w:r>
      <w:r w:rsidRPr="003A3EB1">
        <w:rPr>
          <w:rFonts w:ascii="Times New Roman" w:hAnsi="Times New Roman" w:cs="Times New Roman"/>
          <w:color w:val="000000" w:themeColor="text1"/>
          <w:sz w:val="20"/>
          <w:szCs w:val="20"/>
        </w:rPr>
        <w:fldChar w:fldCharType="separate"/>
      </w:r>
      <w:r w:rsidR="008D2CAE" w:rsidRPr="003A3EB1">
        <w:rPr>
          <w:rFonts w:ascii="Times New Roman" w:hAnsi="Times New Roman" w:cs="Times New Roman"/>
          <w:color w:val="000000" w:themeColor="text1"/>
          <w:sz w:val="20"/>
          <w:szCs w:val="20"/>
        </w:rPr>
        <w:t>38</w:t>
      </w:r>
      <w:r w:rsidRPr="003A3EB1">
        <w:rPr>
          <w:rFonts w:ascii="Times New Roman" w:hAnsi="Times New Roman" w:cs="Times New Roman"/>
          <w:color w:val="000000" w:themeColor="text1"/>
          <w:sz w:val="20"/>
          <w:szCs w:val="20"/>
        </w:rPr>
        <w:fldChar w:fldCharType="end"/>
      </w:r>
      <w:r w:rsidRPr="003A3EB1">
        <w:rPr>
          <w:rFonts w:ascii="Times New Roman" w:hAnsi="Times New Roman" w:cs="Times New Roman"/>
          <w:color w:val="000000" w:themeColor="text1"/>
          <w:sz w:val="20"/>
          <w:szCs w:val="20"/>
        </w:rPr>
        <w:t xml:space="preserve">) </w:t>
      </w:r>
      <w:r w:rsidRPr="003A3EB1">
        <w:rPr>
          <w:rFonts w:ascii="Times New Roman" w:hAnsi="Times New Roman" w:cs="Times New Roman"/>
          <w:color w:val="000000" w:themeColor="text1"/>
          <w:sz w:val="20"/>
          <w:szCs w:val="20"/>
          <w:lang w:val="en-GB"/>
        </w:rPr>
        <w:t>63.</w:t>
      </w:r>
    </w:p>
  </w:footnote>
  <w:footnote w:id="49">
    <w:p w14:paraId="2E9C8B0F" w14:textId="3C1395B6" w:rsidR="0090117E" w:rsidRPr="00C6280D" w:rsidRDefault="0090117E" w:rsidP="003A3EB1">
      <w:pPr>
        <w:pStyle w:val="FootnoteText"/>
        <w:jc w:val="both"/>
        <w:rPr>
          <w:rFonts w:ascii="Times New Roman" w:hAnsi="Times New Roman" w:cs="Times New Roman"/>
          <w:sz w:val="20"/>
          <w:szCs w:val="20"/>
          <w:lang w:val="en-GB"/>
        </w:rPr>
      </w:pPr>
      <w:r w:rsidRPr="003A3EB1">
        <w:rPr>
          <w:rStyle w:val="FootnoteReference"/>
          <w:rFonts w:ascii="Times New Roman" w:hAnsi="Times New Roman" w:cs="Times New Roman"/>
          <w:color w:val="000000" w:themeColor="text1"/>
          <w:sz w:val="20"/>
          <w:szCs w:val="20"/>
        </w:rPr>
        <w:footnoteRef/>
      </w:r>
      <w:r w:rsidRPr="003A3EB1">
        <w:rPr>
          <w:rFonts w:ascii="Times New Roman" w:hAnsi="Times New Roman" w:cs="Times New Roman"/>
          <w:color w:val="000000" w:themeColor="text1"/>
          <w:sz w:val="20"/>
          <w:szCs w:val="20"/>
        </w:rPr>
        <w:t xml:space="preserve"> See, </w:t>
      </w:r>
      <w:r w:rsidR="00C6280D" w:rsidRPr="003A3EB1">
        <w:rPr>
          <w:rFonts w:ascii="Times New Roman" w:hAnsi="Times New Roman" w:cs="Times New Roman"/>
          <w:color w:val="000000" w:themeColor="text1"/>
          <w:sz w:val="20"/>
          <w:szCs w:val="20"/>
        </w:rPr>
        <w:t>for provocative</w:t>
      </w:r>
      <w:r w:rsidRPr="003A3EB1">
        <w:rPr>
          <w:rFonts w:ascii="Times New Roman" w:hAnsi="Times New Roman" w:cs="Times New Roman"/>
          <w:color w:val="000000" w:themeColor="text1"/>
          <w:sz w:val="20"/>
          <w:szCs w:val="20"/>
        </w:rPr>
        <w:t xml:space="preserve"> private law examples, Alan Watson </w:t>
      </w:r>
      <w:r w:rsidRPr="003A3EB1">
        <w:rPr>
          <w:rFonts w:ascii="Times New Roman" w:hAnsi="Times New Roman" w:cs="Times New Roman"/>
          <w:i/>
          <w:color w:val="000000" w:themeColor="text1"/>
          <w:sz w:val="20"/>
          <w:szCs w:val="20"/>
        </w:rPr>
        <w:t>Legal Transplants</w:t>
      </w:r>
      <w:r w:rsidRPr="003A3EB1">
        <w:rPr>
          <w:rFonts w:ascii="Times New Roman" w:hAnsi="Times New Roman" w:cs="Times New Roman"/>
          <w:color w:val="000000" w:themeColor="text1"/>
          <w:sz w:val="20"/>
          <w:szCs w:val="20"/>
        </w:rPr>
        <w:t xml:space="preserve"> (</w:t>
      </w:r>
      <w:r w:rsidR="00C6280D" w:rsidRPr="003A3EB1">
        <w:rPr>
          <w:rFonts w:ascii="Times New Roman" w:hAnsi="Times New Roman" w:cs="Times New Roman"/>
          <w:color w:val="000000" w:themeColor="text1"/>
          <w:sz w:val="20"/>
          <w:szCs w:val="20"/>
        </w:rPr>
        <w:t>Edinburgh</w:t>
      </w:r>
      <w:r w:rsidRPr="003A3EB1">
        <w:rPr>
          <w:rFonts w:ascii="Times New Roman" w:hAnsi="Times New Roman" w:cs="Times New Roman"/>
          <w:color w:val="000000" w:themeColor="text1"/>
          <w:sz w:val="20"/>
          <w:szCs w:val="20"/>
        </w:rPr>
        <w:t>, 1974)</w:t>
      </w:r>
      <w:r w:rsidR="00C6280D" w:rsidRPr="003A3EB1">
        <w:rPr>
          <w:rFonts w:ascii="Times New Roman" w:hAnsi="Times New Roman" w:cs="Times New Roman"/>
          <w:color w:val="000000" w:themeColor="text1"/>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9912" w14:textId="7EC49613" w:rsidR="00E66C45" w:rsidRPr="005A7BF9" w:rsidRDefault="005A7BF9" w:rsidP="005A7BF9">
    <w:pPr>
      <w:pStyle w:val="Header"/>
      <w:jc w:val="both"/>
      <w:rPr>
        <w:b/>
        <w:bCs/>
      </w:rPr>
    </w:pPr>
    <w:r w:rsidRPr="005A7BF9">
      <w:rPr>
        <w:b/>
        <w:bCs/>
      </w:rPr>
      <w:t>(Forthcoming 2022) Edinburgh Law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A62"/>
    <w:multiLevelType w:val="hybridMultilevel"/>
    <w:tmpl w:val="CD0C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B0E"/>
    <w:multiLevelType w:val="multilevel"/>
    <w:tmpl w:val="1BAA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87451"/>
    <w:multiLevelType w:val="hybridMultilevel"/>
    <w:tmpl w:val="2F44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37CF"/>
    <w:multiLevelType w:val="multilevel"/>
    <w:tmpl w:val="632A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25033"/>
    <w:multiLevelType w:val="hybridMultilevel"/>
    <w:tmpl w:val="FE9892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E0FDF"/>
    <w:multiLevelType w:val="hybridMultilevel"/>
    <w:tmpl w:val="FE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515FD"/>
    <w:multiLevelType w:val="hybridMultilevel"/>
    <w:tmpl w:val="C86455A0"/>
    <w:lvl w:ilvl="0" w:tplc="DBD04140">
      <w:start w:val="1"/>
      <w:numFmt w:val="upperRoman"/>
      <w:lvlText w:val="%1."/>
      <w:lvlJc w:val="left"/>
      <w:pPr>
        <w:ind w:left="1080" w:hanging="72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65C43"/>
    <w:multiLevelType w:val="multilevel"/>
    <w:tmpl w:val="7F90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017E9"/>
    <w:multiLevelType w:val="hybridMultilevel"/>
    <w:tmpl w:val="8D625066"/>
    <w:lvl w:ilvl="0" w:tplc="43769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43DE8"/>
    <w:multiLevelType w:val="hybridMultilevel"/>
    <w:tmpl w:val="F8824B40"/>
    <w:lvl w:ilvl="0" w:tplc="49A23E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9"/>
  </w:num>
  <w:num w:numId="6">
    <w:abstractNumId w:val="3"/>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C1"/>
    <w:rsid w:val="000118EC"/>
    <w:rsid w:val="00011AA1"/>
    <w:rsid w:val="0001360C"/>
    <w:rsid w:val="00015015"/>
    <w:rsid w:val="00023D26"/>
    <w:rsid w:val="000262C1"/>
    <w:rsid w:val="00032045"/>
    <w:rsid w:val="0003630A"/>
    <w:rsid w:val="00036E22"/>
    <w:rsid w:val="000375A2"/>
    <w:rsid w:val="000473ED"/>
    <w:rsid w:val="00053CC5"/>
    <w:rsid w:val="0005602D"/>
    <w:rsid w:val="0006299E"/>
    <w:rsid w:val="0006437F"/>
    <w:rsid w:val="00066CB9"/>
    <w:rsid w:val="00071337"/>
    <w:rsid w:val="000727B1"/>
    <w:rsid w:val="00077223"/>
    <w:rsid w:val="00077FC0"/>
    <w:rsid w:val="000921B1"/>
    <w:rsid w:val="00096402"/>
    <w:rsid w:val="00097224"/>
    <w:rsid w:val="000B75AD"/>
    <w:rsid w:val="000C3FDA"/>
    <w:rsid w:val="000C4EA8"/>
    <w:rsid w:val="000D3A98"/>
    <w:rsid w:val="000E2167"/>
    <w:rsid w:val="000E2633"/>
    <w:rsid w:val="000E50D1"/>
    <w:rsid w:val="000E6A35"/>
    <w:rsid w:val="001064C0"/>
    <w:rsid w:val="0011236F"/>
    <w:rsid w:val="0011747D"/>
    <w:rsid w:val="00122721"/>
    <w:rsid w:val="00123927"/>
    <w:rsid w:val="00123B34"/>
    <w:rsid w:val="00126CD1"/>
    <w:rsid w:val="00144764"/>
    <w:rsid w:val="00147722"/>
    <w:rsid w:val="0015251F"/>
    <w:rsid w:val="00153228"/>
    <w:rsid w:val="00154690"/>
    <w:rsid w:val="00167677"/>
    <w:rsid w:val="00170B29"/>
    <w:rsid w:val="00173B5F"/>
    <w:rsid w:val="001820E9"/>
    <w:rsid w:val="001831C7"/>
    <w:rsid w:val="00196B2F"/>
    <w:rsid w:val="001977F8"/>
    <w:rsid w:val="001A4630"/>
    <w:rsid w:val="001A6894"/>
    <w:rsid w:val="001C66AA"/>
    <w:rsid w:val="001D3BF3"/>
    <w:rsid w:val="001D5008"/>
    <w:rsid w:val="001D7078"/>
    <w:rsid w:val="001E53F1"/>
    <w:rsid w:val="001E58C4"/>
    <w:rsid w:val="001F1156"/>
    <w:rsid w:val="001F1769"/>
    <w:rsid w:val="001F1EFC"/>
    <w:rsid w:val="001F40E2"/>
    <w:rsid w:val="00201039"/>
    <w:rsid w:val="00214BE4"/>
    <w:rsid w:val="00217256"/>
    <w:rsid w:val="00217F1D"/>
    <w:rsid w:val="00221317"/>
    <w:rsid w:val="002256C6"/>
    <w:rsid w:val="0023289F"/>
    <w:rsid w:val="002340CE"/>
    <w:rsid w:val="002404DF"/>
    <w:rsid w:val="0024555B"/>
    <w:rsid w:val="0024621D"/>
    <w:rsid w:val="0025437B"/>
    <w:rsid w:val="002633DD"/>
    <w:rsid w:val="002718F6"/>
    <w:rsid w:val="00271A98"/>
    <w:rsid w:val="00272002"/>
    <w:rsid w:val="00272F73"/>
    <w:rsid w:val="00275755"/>
    <w:rsid w:val="00276AAA"/>
    <w:rsid w:val="00277CF3"/>
    <w:rsid w:val="002A4041"/>
    <w:rsid w:val="002D27C8"/>
    <w:rsid w:val="002D5470"/>
    <w:rsid w:val="002E1229"/>
    <w:rsid w:val="002E3C62"/>
    <w:rsid w:val="002E5D5D"/>
    <w:rsid w:val="002F62EF"/>
    <w:rsid w:val="003004AC"/>
    <w:rsid w:val="00311BB7"/>
    <w:rsid w:val="003148C8"/>
    <w:rsid w:val="003176DF"/>
    <w:rsid w:val="00322F01"/>
    <w:rsid w:val="00333D17"/>
    <w:rsid w:val="003349B2"/>
    <w:rsid w:val="00337F8A"/>
    <w:rsid w:val="00344828"/>
    <w:rsid w:val="00353689"/>
    <w:rsid w:val="003602AD"/>
    <w:rsid w:val="00362E07"/>
    <w:rsid w:val="00365FD4"/>
    <w:rsid w:val="0037577A"/>
    <w:rsid w:val="00376D69"/>
    <w:rsid w:val="003841BA"/>
    <w:rsid w:val="00391AB6"/>
    <w:rsid w:val="00394F37"/>
    <w:rsid w:val="003A0B62"/>
    <w:rsid w:val="003A3EB1"/>
    <w:rsid w:val="003A56C3"/>
    <w:rsid w:val="003B6253"/>
    <w:rsid w:val="003B62BC"/>
    <w:rsid w:val="003C0731"/>
    <w:rsid w:val="003D2CC3"/>
    <w:rsid w:val="003E246F"/>
    <w:rsid w:val="003E772C"/>
    <w:rsid w:val="003F1420"/>
    <w:rsid w:val="003F3C25"/>
    <w:rsid w:val="003F5F3C"/>
    <w:rsid w:val="00402573"/>
    <w:rsid w:val="00406B40"/>
    <w:rsid w:val="00411CC7"/>
    <w:rsid w:val="004127BD"/>
    <w:rsid w:val="00412BBC"/>
    <w:rsid w:val="0043644C"/>
    <w:rsid w:val="004433FB"/>
    <w:rsid w:val="00446FB3"/>
    <w:rsid w:val="00457383"/>
    <w:rsid w:val="00463826"/>
    <w:rsid w:val="00472D9D"/>
    <w:rsid w:val="004827EC"/>
    <w:rsid w:val="00486910"/>
    <w:rsid w:val="004902A1"/>
    <w:rsid w:val="00492B06"/>
    <w:rsid w:val="00495986"/>
    <w:rsid w:val="00497B24"/>
    <w:rsid w:val="004A3BE3"/>
    <w:rsid w:val="004A7896"/>
    <w:rsid w:val="004A795D"/>
    <w:rsid w:val="004B3384"/>
    <w:rsid w:val="004B4CA2"/>
    <w:rsid w:val="004B5795"/>
    <w:rsid w:val="004C1EF0"/>
    <w:rsid w:val="004C5832"/>
    <w:rsid w:val="004C586A"/>
    <w:rsid w:val="004D5F06"/>
    <w:rsid w:val="004E1C99"/>
    <w:rsid w:val="004E6F67"/>
    <w:rsid w:val="004F1CB4"/>
    <w:rsid w:val="004F5594"/>
    <w:rsid w:val="00514EFD"/>
    <w:rsid w:val="00521345"/>
    <w:rsid w:val="005353E4"/>
    <w:rsid w:val="00535BEC"/>
    <w:rsid w:val="00537B1A"/>
    <w:rsid w:val="00537C21"/>
    <w:rsid w:val="00541E83"/>
    <w:rsid w:val="00546A5A"/>
    <w:rsid w:val="00552B29"/>
    <w:rsid w:val="005541E5"/>
    <w:rsid w:val="00557C22"/>
    <w:rsid w:val="00571804"/>
    <w:rsid w:val="005808A4"/>
    <w:rsid w:val="00591242"/>
    <w:rsid w:val="00591358"/>
    <w:rsid w:val="00591581"/>
    <w:rsid w:val="005920FF"/>
    <w:rsid w:val="005A4A5B"/>
    <w:rsid w:val="005A5697"/>
    <w:rsid w:val="005A7BF9"/>
    <w:rsid w:val="005B4645"/>
    <w:rsid w:val="005B5EFD"/>
    <w:rsid w:val="005C3BEE"/>
    <w:rsid w:val="005C4F8A"/>
    <w:rsid w:val="005D306F"/>
    <w:rsid w:val="005D43F3"/>
    <w:rsid w:val="005E0C93"/>
    <w:rsid w:val="005E23E4"/>
    <w:rsid w:val="005E5BB9"/>
    <w:rsid w:val="005E5D0D"/>
    <w:rsid w:val="005F1CDD"/>
    <w:rsid w:val="00600871"/>
    <w:rsid w:val="00606961"/>
    <w:rsid w:val="006070DC"/>
    <w:rsid w:val="0061614C"/>
    <w:rsid w:val="0062037F"/>
    <w:rsid w:val="00621ACD"/>
    <w:rsid w:val="00654DB8"/>
    <w:rsid w:val="00656ED2"/>
    <w:rsid w:val="006634FD"/>
    <w:rsid w:val="00666201"/>
    <w:rsid w:val="00675D8A"/>
    <w:rsid w:val="006772D1"/>
    <w:rsid w:val="00677A3D"/>
    <w:rsid w:val="00680FCE"/>
    <w:rsid w:val="00684CAF"/>
    <w:rsid w:val="006911AB"/>
    <w:rsid w:val="00694B31"/>
    <w:rsid w:val="0069748B"/>
    <w:rsid w:val="006B1E14"/>
    <w:rsid w:val="006C2C52"/>
    <w:rsid w:val="006C427D"/>
    <w:rsid w:val="006C5A39"/>
    <w:rsid w:val="006C7546"/>
    <w:rsid w:val="006D5027"/>
    <w:rsid w:val="006D77CB"/>
    <w:rsid w:val="006E01BF"/>
    <w:rsid w:val="006E0F5F"/>
    <w:rsid w:val="006E3872"/>
    <w:rsid w:val="006F01E4"/>
    <w:rsid w:val="006F50BB"/>
    <w:rsid w:val="00700A49"/>
    <w:rsid w:val="007012E7"/>
    <w:rsid w:val="0070468A"/>
    <w:rsid w:val="00704B5D"/>
    <w:rsid w:val="00705D2D"/>
    <w:rsid w:val="00712714"/>
    <w:rsid w:val="00717A4D"/>
    <w:rsid w:val="00721688"/>
    <w:rsid w:val="00722125"/>
    <w:rsid w:val="00723E57"/>
    <w:rsid w:val="00730A3F"/>
    <w:rsid w:val="007318DA"/>
    <w:rsid w:val="00740E22"/>
    <w:rsid w:val="00763934"/>
    <w:rsid w:val="00765684"/>
    <w:rsid w:val="007676A9"/>
    <w:rsid w:val="00770382"/>
    <w:rsid w:val="00772F03"/>
    <w:rsid w:val="00772F76"/>
    <w:rsid w:val="00777AFF"/>
    <w:rsid w:val="0078354A"/>
    <w:rsid w:val="0078533E"/>
    <w:rsid w:val="00785819"/>
    <w:rsid w:val="0079091D"/>
    <w:rsid w:val="00791218"/>
    <w:rsid w:val="0079169C"/>
    <w:rsid w:val="007A7451"/>
    <w:rsid w:val="007B37F4"/>
    <w:rsid w:val="007B3E29"/>
    <w:rsid w:val="007C2E4B"/>
    <w:rsid w:val="007C2EF8"/>
    <w:rsid w:val="007C48C1"/>
    <w:rsid w:val="007D034B"/>
    <w:rsid w:val="007D0463"/>
    <w:rsid w:val="007D2E80"/>
    <w:rsid w:val="007D68A8"/>
    <w:rsid w:val="007E2579"/>
    <w:rsid w:val="007E3C4D"/>
    <w:rsid w:val="007E707F"/>
    <w:rsid w:val="007F7580"/>
    <w:rsid w:val="008017B7"/>
    <w:rsid w:val="008246E2"/>
    <w:rsid w:val="00826D83"/>
    <w:rsid w:val="0083228C"/>
    <w:rsid w:val="00842D11"/>
    <w:rsid w:val="008440B8"/>
    <w:rsid w:val="0085261F"/>
    <w:rsid w:val="00863793"/>
    <w:rsid w:val="00875184"/>
    <w:rsid w:val="0087592B"/>
    <w:rsid w:val="00875A5D"/>
    <w:rsid w:val="00876C22"/>
    <w:rsid w:val="00877D93"/>
    <w:rsid w:val="00877E5D"/>
    <w:rsid w:val="00884B28"/>
    <w:rsid w:val="008915DE"/>
    <w:rsid w:val="00894379"/>
    <w:rsid w:val="008A0FFD"/>
    <w:rsid w:val="008A701B"/>
    <w:rsid w:val="008B4F45"/>
    <w:rsid w:val="008C20FE"/>
    <w:rsid w:val="008C330B"/>
    <w:rsid w:val="008D2CAE"/>
    <w:rsid w:val="008E4CE8"/>
    <w:rsid w:val="008F3516"/>
    <w:rsid w:val="008F663F"/>
    <w:rsid w:val="00900F37"/>
    <w:rsid w:val="0090117E"/>
    <w:rsid w:val="00901F14"/>
    <w:rsid w:val="00902AB5"/>
    <w:rsid w:val="00903991"/>
    <w:rsid w:val="00910922"/>
    <w:rsid w:val="009161AC"/>
    <w:rsid w:val="00930D78"/>
    <w:rsid w:val="00936EE6"/>
    <w:rsid w:val="00940808"/>
    <w:rsid w:val="00940933"/>
    <w:rsid w:val="00941229"/>
    <w:rsid w:val="0094613B"/>
    <w:rsid w:val="00954E95"/>
    <w:rsid w:val="0095615A"/>
    <w:rsid w:val="00956743"/>
    <w:rsid w:val="00963651"/>
    <w:rsid w:val="009657AF"/>
    <w:rsid w:val="009700AA"/>
    <w:rsid w:val="009817C0"/>
    <w:rsid w:val="0099078A"/>
    <w:rsid w:val="009965AA"/>
    <w:rsid w:val="009969F6"/>
    <w:rsid w:val="009A19C4"/>
    <w:rsid w:val="009A2555"/>
    <w:rsid w:val="009A323C"/>
    <w:rsid w:val="009A4074"/>
    <w:rsid w:val="009A4499"/>
    <w:rsid w:val="009A4F99"/>
    <w:rsid w:val="009A6542"/>
    <w:rsid w:val="009B1D62"/>
    <w:rsid w:val="009D0B8B"/>
    <w:rsid w:val="009D5EB7"/>
    <w:rsid w:val="009D6871"/>
    <w:rsid w:val="009E6E0E"/>
    <w:rsid w:val="009F0B8C"/>
    <w:rsid w:val="009F772D"/>
    <w:rsid w:val="009F7A3D"/>
    <w:rsid w:val="00A257B3"/>
    <w:rsid w:val="00A41D44"/>
    <w:rsid w:val="00A4755E"/>
    <w:rsid w:val="00A47C90"/>
    <w:rsid w:val="00A47F5A"/>
    <w:rsid w:val="00A562FD"/>
    <w:rsid w:val="00A62E29"/>
    <w:rsid w:val="00A64ECB"/>
    <w:rsid w:val="00A72EC7"/>
    <w:rsid w:val="00A91F1F"/>
    <w:rsid w:val="00AA1D47"/>
    <w:rsid w:val="00AC0132"/>
    <w:rsid w:val="00AC155F"/>
    <w:rsid w:val="00AC1EDA"/>
    <w:rsid w:val="00AC2837"/>
    <w:rsid w:val="00AC2E67"/>
    <w:rsid w:val="00AD0B21"/>
    <w:rsid w:val="00AD3BB4"/>
    <w:rsid w:val="00AF4ADF"/>
    <w:rsid w:val="00B0069F"/>
    <w:rsid w:val="00B07641"/>
    <w:rsid w:val="00B1028C"/>
    <w:rsid w:val="00B23E66"/>
    <w:rsid w:val="00B24190"/>
    <w:rsid w:val="00B26762"/>
    <w:rsid w:val="00B2712A"/>
    <w:rsid w:val="00B32829"/>
    <w:rsid w:val="00B6316D"/>
    <w:rsid w:val="00B704D9"/>
    <w:rsid w:val="00B70B76"/>
    <w:rsid w:val="00B70BEB"/>
    <w:rsid w:val="00B74238"/>
    <w:rsid w:val="00B77E77"/>
    <w:rsid w:val="00B8745A"/>
    <w:rsid w:val="00B90037"/>
    <w:rsid w:val="00B97DCC"/>
    <w:rsid w:val="00BA7BB9"/>
    <w:rsid w:val="00BB39E1"/>
    <w:rsid w:val="00BC21C6"/>
    <w:rsid w:val="00BC4CB2"/>
    <w:rsid w:val="00BD6EA4"/>
    <w:rsid w:val="00BE08F0"/>
    <w:rsid w:val="00BE7FA7"/>
    <w:rsid w:val="00BF15E9"/>
    <w:rsid w:val="00BF2E0C"/>
    <w:rsid w:val="00BF3FBA"/>
    <w:rsid w:val="00BF7971"/>
    <w:rsid w:val="00C030D7"/>
    <w:rsid w:val="00C06A36"/>
    <w:rsid w:val="00C07331"/>
    <w:rsid w:val="00C11390"/>
    <w:rsid w:val="00C13165"/>
    <w:rsid w:val="00C156C7"/>
    <w:rsid w:val="00C22520"/>
    <w:rsid w:val="00C22728"/>
    <w:rsid w:val="00C3471C"/>
    <w:rsid w:val="00C364BA"/>
    <w:rsid w:val="00C377EB"/>
    <w:rsid w:val="00C46B9B"/>
    <w:rsid w:val="00C55F51"/>
    <w:rsid w:val="00C6033E"/>
    <w:rsid w:val="00C6280D"/>
    <w:rsid w:val="00C67D95"/>
    <w:rsid w:val="00C718C8"/>
    <w:rsid w:val="00C82062"/>
    <w:rsid w:val="00C869DF"/>
    <w:rsid w:val="00C94173"/>
    <w:rsid w:val="00CA02A8"/>
    <w:rsid w:val="00CA0E32"/>
    <w:rsid w:val="00CA2F9D"/>
    <w:rsid w:val="00CA4D9A"/>
    <w:rsid w:val="00CA594F"/>
    <w:rsid w:val="00CB4AD4"/>
    <w:rsid w:val="00CC1B39"/>
    <w:rsid w:val="00CC2CFB"/>
    <w:rsid w:val="00CC68AA"/>
    <w:rsid w:val="00CE3C3F"/>
    <w:rsid w:val="00CE71F5"/>
    <w:rsid w:val="00CF167C"/>
    <w:rsid w:val="00CF31E3"/>
    <w:rsid w:val="00CF443E"/>
    <w:rsid w:val="00D05F99"/>
    <w:rsid w:val="00D129EC"/>
    <w:rsid w:val="00D1431B"/>
    <w:rsid w:val="00D14733"/>
    <w:rsid w:val="00D14E16"/>
    <w:rsid w:val="00D1735E"/>
    <w:rsid w:val="00D26F7E"/>
    <w:rsid w:val="00D30257"/>
    <w:rsid w:val="00D306C6"/>
    <w:rsid w:val="00D52C22"/>
    <w:rsid w:val="00D67457"/>
    <w:rsid w:val="00D7225D"/>
    <w:rsid w:val="00D7796C"/>
    <w:rsid w:val="00D843B3"/>
    <w:rsid w:val="00D86ADE"/>
    <w:rsid w:val="00D86BD6"/>
    <w:rsid w:val="00D87BBC"/>
    <w:rsid w:val="00D90AFA"/>
    <w:rsid w:val="00D91E1D"/>
    <w:rsid w:val="00DA3A7B"/>
    <w:rsid w:val="00DA6A33"/>
    <w:rsid w:val="00DB079F"/>
    <w:rsid w:val="00DB2F01"/>
    <w:rsid w:val="00DB323B"/>
    <w:rsid w:val="00DD110A"/>
    <w:rsid w:val="00DD184D"/>
    <w:rsid w:val="00DD406F"/>
    <w:rsid w:val="00DF4CB7"/>
    <w:rsid w:val="00DF5C2A"/>
    <w:rsid w:val="00E163BB"/>
    <w:rsid w:val="00E221B1"/>
    <w:rsid w:val="00E230B9"/>
    <w:rsid w:val="00E23279"/>
    <w:rsid w:val="00E253A7"/>
    <w:rsid w:val="00E26C37"/>
    <w:rsid w:val="00E30003"/>
    <w:rsid w:val="00E31840"/>
    <w:rsid w:val="00E3313E"/>
    <w:rsid w:val="00E370C6"/>
    <w:rsid w:val="00E402D3"/>
    <w:rsid w:val="00E41454"/>
    <w:rsid w:val="00E4475D"/>
    <w:rsid w:val="00E45569"/>
    <w:rsid w:val="00E50E57"/>
    <w:rsid w:val="00E52C65"/>
    <w:rsid w:val="00E53249"/>
    <w:rsid w:val="00E66C45"/>
    <w:rsid w:val="00E70345"/>
    <w:rsid w:val="00E75243"/>
    <w:rsid w:val="00E80713"/>
    <w:rsid w:val="00E81654"/>
    <w:rsid w:val="00E8468F"/>
    <w:rsid w:val="00E95451"/>
    <w:rsid w:val="00EA3ECE"/>
    <w:rsid w:val="00EA6AFA"/>
    <w:rsid w:val="00EB027B"/>
    <w:rsid w:val="00EB0A54"/>
    <w:rsid w:val="00EB23FC"/>
    <w:rsid w:val="00ED06EC"/>
    <w:rsid w:val="00EE4A61"/>
    <w:rsid w:val="00EF3CD7"/>
    <w:rsid w:val="00F01BB6"/>
    <w:rsid w:val="00F01D22"/>
    <w:rsid w:val="00F116B6"/>
    <w:rsid w:val="00F13F0B"/>
    <w:rsid w:val="00F1417B"/>
    <w:rsid w:val="00F216BE"/>
    <w:rsid w:val="00F23BE8"/>
    <w:rsid w:val="00F34E73"/>
    <w:rsid w:val="00F37D99"/>
    <w:rsid w:val="00F406F1"/>
    <w:rsid w:val="00F4197F"/>
    <w:rsid w:val="00F41D5B"/>
    <w:rsid w:val="00F47C9E"/>
    <w:rsid w:val="00F56193"/>
    <w:rsid w:val="00F73180"/>
    <w:rsid w:val="00F74FA7"/>
    <w:rsid w:val="00F7691C"/>
    <w:rsid w:val="00F76DF2"/>
    <w:rsid w:val="00F77FE2"/>
    <w:rsid w:val="00F804E3"/>
    <w:rsid w:val="00F8169E"/>
    <w:rsid w:val="00F86DAF"/>
    <w:rsid w:val="00FA0564"/>
    <w:rsid w:val="00FA0E77"/>
    <w:rsid w:val="00FA5783"/>
    <w:rsid w:val="00FB06C7"/>
    <w:rsid w:val="00FB6D50"/>
    <w:rsid w:val="00FC60DF"/>
    <w:rsid w:val="00FD2AC9"/>
    <w:rsid w:val="00FD398C"/>
    <w:rsid w:val="00FD5F19"/>
    <w:rsid w:val="00FE1991"/>
    <w:rsid w:val="00FE2572"/>
    <w:rsid w:val="00FE6E43"/>
    <w:rsid w:val="00FF4590"/>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792B"/>
  <w15:docId w15:val="{8035F386-92F2-344B-8FB6-75F0B4F3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9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262C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9A40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69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
    <w:basedOn w:val="Normal"/>
    <w:link w:val="FootnoteTextChar"/>
    <w:uiPriority w:val="99"/>
    <w:unhideWhenUsed/>
    <w:qFormat/>
    <w:rsid w:val="000262C1"/>
    <w:rPr>
      <w:rFonts w:asciiTheme="minorHAnsi" w:eastAsiaTheme="minorHAnsi" w:hAnsiTheme="minorHAnsi" w:cstheme="minorBidi"/>
      <w:lang w:val="en-US" w:eastAsia="en-US"/>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
    <w:basedOn w:val="DefaultParagraphFont"/>
    <w:link w:val="FootnoteText"/>
    <w:uiPriority w:val="99"/>
    <w:rsid w:val="000262C1"/>
    <w:rPr>
      <w:lang w:val="en-US"/>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0262C1"/>
    <w:rPr>
      <w:vertAlign w:val="superscript"/>
    </w:rPr>
  </w:style>
  <w:style w:type="character" w:customStyle="1" w:styleId="Heading1Char">
    <w:name w:val="Heading 1 Char"/>
    <w:basedOn w:val="DefaultParagraphFont"/>
    <w:link w:val="Heading1"/>
    <w:uiPriority w:val="9"/>
    <w:rsid w:val="000262C1"/>
    <w:rPr>
      <w:rFonts w:asciiTheme="majorHAnsi" w:eastAsiaTheme="majorEastAsia" w:hAnsiTheme="majorHAnsi" w:cstheme="majorBidi"/>
      <w:color w:val="2F5496" w:themeColor="accent1" w:themeShade="BF"/>
      <w:sz w:val="32"/>
      <w:szCs w:val="32"/>
      <w:lang w:val="en-US"/>
    </w:rPr>
  </w:style>
  <w:style w:type="paragraph" w:customStyle="1" w:styleId="p1">
    <w:name w:val="p1"/>
    <w:basedOn w:val="Normal"/>
    <w:rsid w:val="000262C1"/>
    <w:rPr>
      <w:rFonts w:ascii="Times" w:eastAsiaTheme="minorHAnsi" w:hAnsi="Times"/>
      <w:sz w:val="14"/>
      <w:szCs w:val="14"/>
      <w:lang w:val="en-US" w:eastAsia="en-US"/>
    </w:rPr>
  </w:style>
  <w:style w:type="paragraph" w:styleId="ListParagraph">
    <w:name w:val="List Paragraph"/>
    <w:basedOn w:val="Normal"/>
    <w:uiPriority w:val="34"/>
    <w:qFormat/>
    <w:rsid w:val="000473ED"/>
    <w:pPr>
      <w:ind w:left="720"/>
      <w:contextualSpacing/>
    </w:pPr>
  </w:style>
  <w:style w:type="character" w:styleId="Hyperlink">
    <w:name w:val="Hyperlink"/>
    <w:basedOn w:val="DefaultParagraphFont"/>
    <w:uiPriority w:val="99"/>
    <w:unhideWhenUsed/>
    <w:rsid w:val="00606961"/>
    <w:rPr>
      <w:color w:val="0563C1" w:themeColor="hyperlink"/>
      <w:u w:val="single"/>
    </w:rPr>
  </w:style>
  <w:style w:type="character" w:customStyle="1" w:styleId="UnresolvedMention1">
    <w:name w:val="Unresolved Mention1"/>
    <w:basedOn w:val="DefaultParagraphFont"/>
    <w:uiPriority w:val="99"/>
    <w:semiHidden/>
    <w:unhideWhenUsed/>
    <w:rsid w:val="00606961"/>
    <w:rPr>
      <w:color w:val="605E5C"/>
      <w:shd w:val="clear" w:color="auto" w:fill="E1DFDD"/>
    </w:rPr>
  </w:style>
  <w:style w:type="character" w:customStyle="1" w:styleId="articleheadline">
    <w:name w:val="article__headline"/>
    <w:basedOn w:val="DefaultParagraphFont"/>
    <w:rsid w:val="00606961"/>
  </w:style>
  <w:style w:type="character" w:customStyle="1" w:styleId="Heading3Char">
    <w:name w:val="Heading 3 Char"/>
    <w:basedOn w:val="DefaultParagraphFont"/>
    <w:link w:val="Heading3"/>
    <w:uiPriority w:val="9"/>
    <w:rsid w:val="00606961"/>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semiHidden/>
    <w:unhideWhenUsed/>
    <w:rsid w:val="007B3E29"/>
    <w:pPr>
      <w:spacing w:before="100" w:beforeAutospacing="1" w:after="100" w:afterAutospacing="1"/>
    </w:pPr>
  </w:style>
  <w:style w:type="paragraph" w:styleId="Header">
    <w:name w:val="header"/>
    <w:basedOn w:val="Normal"/>
    <w:link w:val="HeaderChar"/>
    <w:uiPriority w:val="99"/>
    <w:unhideWhenUsed/>
    <w:rsid w:val="00E66C45"/>
    <w:pPr>
      <w:tabs>
        <w:tab w:val="center" w:pos="4513"/>
        <w:tab w:val="right" w:pos="9026"/>
      </w:tabs>
    </w:pPr>
  </w:style>
  <w:style w:type="character" w:customStyle="1" w:styleId="HeaderChar">
    <w:name w:val="Header Char"/>
    <w:basedOn w:val="DefaultParagraphFont"/>
    <w:link w:val="Header"/>
    <w:uiPriority w:val="99"/>
    <w:rsid w:val="00E66C45"/>
    <w:rPr>
      <w:rFonts w:ascii="Times New Roman" w:eastAsia="Times New Roman" w:hAnsi="Times New Roman" w:cs="Times New Roman"/>
      <w:lang w:eastAsia="en-GB"/>
    </w:rPr>
  </w:style>
  <w:style w:type="paragraph" w:styleId="Footer">
    <w:name w:val="footer"/>
    <w:basedOn w:val="Normal"/>
    <w:link w:val="FooterChar"/>
    <w:uiPriority w:val="99"/>
    <w:unhideWhenUsed/>
    <w:rsid w:val="00E66C45"/>
    <w:pPr>
      <w:tabs>
        <w:tab w:val="center" w:pos="4513"/>
        <w:tab w:val="right" w:pos="9026"/>
      </w:tabs>
    </w:pPr>
  </w:style>
  <w:style w:type="character" w:customStyle="1" w:styleId="FooterChar">
    <w:name w:val="Footer Char"/>
    <w:basedOn w:val="DefaultParagraphFont"/>
    <w:link w:val="Footer"/>
    <w:uiPriority w:val="99"/>
    <w:rsid w:val="00E66C45"/>
    <w:rPr>
      <w:rFonts w:ascii="Times New Roman" w:eastAsia="Times New Roman" w:hAnsi="Times New Roman" w:cs="Times New Roman"/>
      <w:lang w:eastAsia="en-GB"/>
    </w:rPr>
  </w:style>
  <w:style w:type="paragraph" w:customStyle="1" w:styleId="Default">
    <w:name w:val="Default"/>
    <w:rsid w:val="00126CD1"/>
    <w:pPr>
      <w:autoSpaceDE w:val="0"/>
      <w:autoSpaceDN w:val="0"/>
      <w:adjustRightInd w:val="0"/>
    </w:pPr>
    <w:rPr>
      <w:rFonts w:ascii="Helvetica" w:hAnsi="Helvetica" w:cs="Helvetica"/>
      <w:color w:val="000000"/>
    </w:rPr>
  </w:style>
  <w:style w:type="character" w:styleId="CommentReference">
    <w:name w:val="annotation reference"/>
    <w:basedOn w:val="DefaultParagraphFont"/>
    <w:semiHidden/>
    <w:unhideWhenUsed/>
    <w:rsid w:val="005A5697"/>
    <w:rPr>
      <w:sz w:val="16"/>
      <w:szCs w:val="16"/>
    </w:rPr>
  </w:style>
  <w:style w:type="paragraph" w:styleId="CommentText">
    <w:name w:val="annotation text"/>
    <w:basedOn w:val="Normal"/>
    <w:link w:val="CommentTextChar"/>
    <w:unhideWhenUsed/>
    <w:rsid w:val="005A5697"/>
    <w:rPr>
      <w:sz w:val="20"/>
      <w:szCs w:val="20"/>
    </w:rPr>
  </w:style>
  <w:style w:type="character" w:customStyle="1" w:styleId="CommentTextChar">
    <w:name w:val="Comment Text Char"/>
    <w:basedOn w:val="DefaultParagraphFont"/>
    <w:link w:val="CommentText"/>
    <w:rsid w:val="005A56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5697"/>
    <w:rPr>
      <w:b/>
      <w:bCs/>
    </w:rPr>
  </w:style>
  <w:style w:type="character" w:customStyle="1" w:styleId="CommentSubjectChar">
    <w:name w:val="Comment Subject Char"/>
    <w:basedOn w:val="CommentTextChar"/>
    <w:link w:val="CommentSubject"/>
    <w:uiPriority w:val="99"/>
    <w:semiHidden/>
    <w:rsid w:val="005A569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A5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97"/>
    <w:rPr>
      <w:rFonts w:ascii="Segoe UI" w:eastAsia="Times New Roman" w:hAnsi="Segoe UI" w:cs="Segoe UI"/>
      <w:sz w:val="18"/>
      <w:szCs w:val="18"/>
      <w:lang w:eastAsia="en-GB"/>
    </w:rPr>
  </w:style>
  <w:style w:type="paragraph" w:styleId="Revision">
    <w:name w:val="Revision"/>
    <w:hidden/>
    <w:uiPriority w:val="99"/>
    <w:semiHidden/>
    <w:rsid w:val="00217F1D"/>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B23E66"/>
    <w:rPr>
      <w:color w:val="605E5C"/>
      <w:shd w:val="clear" w:color="auto" w:fill="E1DFDD"/>
    </w:rPr>
  </w:style>
  <w:style w:type="character" w:customStyle="1" w:styleId="author">
    <w:name w:val="author"/>
    <w:basedOn w:val="DefaultParagraphFont"/>
    <w:rsid w:val="00D87BBC"/>
  </w:style>
  <w:style w:type="character" w:customStyle="1" w:styleId="firstname">
    <w:name w:val="firstname"/>
    <w:basedOn w:val="DefaultParagraphFont"/>
    <w:rsid w:val="00D87BBC"/>
  </w:style>
  <w:style w:type="character" w:customStyle="1" w:styleId="surname">
    <w:name w:val="surname"/>
    <w:basedOn w:val="DefaultParagraphFont"/>
    <w:rsid w:val="00D87BBC"/>
  </w:style>
  <w:style w:type="character" w:customStyle="1" w:styleId="italic">
    <w:name w:val="italic"/>
    <w:basedOn w:val="DefaultParagraphFont"/>
    <w:rsid w:val="00D87BBC"/>
  </w:style>
  <w:style w:type="character" w:customStyle="1" w:styleId="publishername">
    <w:name w:val="publishername"/>
    <w:basedOn w:val="DefaultParagraphFont"/>
    <w:rsid w:val="00D87BBC"/>
  </w:style>
  <w:style w:type="character" w:customStyle="1" w:styleId="pubdate">
    <w:name w:val="pubdate"/>
    <w:basedOn w:val="DefaultParagraphFont"/>
    <w:rsid w:val="00D87BBC"/>
  </w:style>
  <w:style w:type="character" w:styleId="Emphasis">
    <w:name w:val="Emphasis"/>
    <w:basedOn w:val="DefaultParagraphFont"/>
    <w:uiPriority w:val="20"/>
    <w:qFormat/>
    <w:rsid w:val="00D87BBC"/>
    <w:rPr>
      <w:i/>
      <w:iCs/>
    </w:rPr>
  </w:style>
  <w:style w:type="character" w:customStyle="1" w:styleId="article-classifiergap">
    <w:name w:val="article-classifier__gap"/>
    <w:basedOn w:val="DefaultParagraphFont"/>
    <w:rsid w:val="003B62BC"/>
  </w:style>
  <w:style w:type="character" w:styleId="FollowedHyperlink">
    <w:name w:val="FollowedHyperlink"/>
    <w:basedOn w:val="DefaultParagraphFont"/>
    <w:uiPriority w:val="99"/>
    <w:semiHidden/>
    <w:unhideWhenUsed/>
    <w:rsid w:val="00E30003"/>
    <w:rPr>
      <w:color w:val="954F72" w:themeColor="followedHyperlink"/>
      <w:u w:val="single"/>
    </w:rPr>
  </w:style>
  <w:style w:type="character" w:customStyle="1" w:styleId="Heading2Char">
    <w:name w:val="Heading 2 Char"/>
    <w:basedOn w:val="DefaultParagraphFont"/>
    <w:link w:val="Heading2"/>
    <w:uiPriority w:val="9"/>
    <w:rsid w:val="009A4074"/>
    <w:rPr>
      <w:rFonts w:asciiTheme="majorHAnsi" w:eastAsiaTheme="majorEastAsia" w:hAnsiTheme="majorHAnsi" w:cstheme="majorBidi"/>
      <w:color w:val="2F5496" w:themeColor="accent1" w:themeShade="BF"/>
      <w:sz w:val="26"/>
      <w:szCs w:val="26"/>
      <w:lang w:eastAsia="en-GB"/>
    </w:rPr>
  </w:style>
  <w:style w:type="character" w:styleId="PageNumber">
    <w:name w:val="page number"/>
    <w:basedOn w:val="DefaultParagraphFont"/>
    <w:uiPriority w:val="99"/>
    <w:semiHidden/>
    <w:unhideWhenUsed/>
    <w:rsid w:val="00C67D95"/>
  </w:style>
  <w:style w:type="paragraph" w:customStyle="1" w:styleId="0103ParaFirst">
    <w:name w:val="01.03 ParaFirst"/>
    <w:basedOn w:val="Normal"/>
    <w:next w:val="Normal"/>
    <w:qFormat/>
    <w:rsid w:val="00666201"/>
    <w:pPr>
      <w:spacing w:before="360" w:line="560" w:lineRule="exact"/>
    </w:pPr>
    <w:rPr>
      <w:rFonts w:ascii="Cambria Math" w:hAnsi="Cambria Math"/>
      <w:szCs w:val="20"/>
      <w:lang w:val="en-US" w:eastAsia="en-US"/>
    </w:rPr>
  </w:style>
  <w:style w:type="character" w:customStyle="1" w:styleId="0908FNMarker">
    <w:name w:val="09.08 FNMarker"/>
    <w:rsid w:val="00666201"/>
    <w:rPr>
      <w:bdr w:val="none" w:sz="0" w:space="0" w:color="auto"/>
      <w:shd w:val="clear" w:color="auto" w:fill="663300"/>
      <w:vertAlign w:val="superscript"/>
    </w:rPr>
  </w:style>
  <w:style w:type="paragraph" w:customStyle="1" w:styleId="0401FN">
    <w:name w:val="04.01 FN"/>
    <w:basedOn w:val="Normal"/>
    <w:qFormat/>
    <w:rsid w:val="00666201"/>
    <w:pPr>
      <w:spacing w:line="360" w:lineRule="exact"/>
      <w:ind w:firstLine="720"/>
    </w:pPr>
    <w:rPr>
      <w:rFonts w:ascii="Cambria Math" w:hAnsi="Cambria Math"/>
      <w:color w:val="663300"/>
      <w:szCs w:val="20"/>
      <w:lang w:val="en-US" w:eastAsia="en-US"/>
    </w:rPr>
  </w:style>
  <w:style w:type="character" w:customStyle="1" w:styleId="1410RefSurname">
    <w:name w:val="14.10 RefSurname"/>
    <w:qFormat/>
    <w:rsid w:val="00666201"/>
    <w:rPr>
      <w:bdr w:val="none" w:sz="0" w:space="0" w:color="auto"/>
      <w:shd w:val="clear" w:color="auto" w:fill="FF7C80"/>
      <w:lang w:val="en-GB"/>
    </w:rPr>
  </w:style>
  <w:style w:type="character" w:customStyle="1" w:styleId="1411RefForename">
    <w:name w:val="14.11 RefForename"/>
    <w:qFormat/>
    <w:rsid w:val="00666201"/>
    <w:rPr>
      <w:bdr w:val="none" w:sz="0" w:space="0" w:color="auto"/>
      <w:shd w:val="clear" w:color="auto" w:fill="00FF00"/>
      <w:lang w:val="en-GB"/>
    </w:rPr>
  </w:style>
  <w:style w:type="character" w:customStyle="1" w:styleId="1414RefDate">
    <w:name w:val="14.14 RefDate"/>
    <w:qFormat/>
    <w:rsid w:val="00666201"/>
    <w:rPr>
      <w:bdr w:val="none" w:sz="0" w:space="0" w:color="auto"/>
      <w:shd w:val="clear" w:color="auto" w:fill="FBFF8C"/>
      <w:lang w:val="en-GB"/>
    </w:rPr>
  </w:style>
  <w:style w:type="character" w:customStyle="1" w:styleId="1417RefArticleTitle">
    <w:name w:val="14.17 RefArticleTitle"/>
    <w:qFormat/>
    <w:rsid w:val="00666201"/>
    <w:rPr>
      <w:bdr w:val="none" w:sz="0" w:space="0" w:color="auto"/>
      <w:shd w:val="clear" w:color="auto" w:fill="D5F2FE"/>
      <w:lang w:val="en-GB"/>
    </w:rPr>
  </w:style>
  <w:style w:type="character" w:customStyle="1" w:styleId="1418RefJournalTitle">
    <w:name w:val="14.18 RefJournalTitle"/>
    <w:qFormat/>
    <w:rsid w:val="00666201"/>
    <w:rPr>
      <w:i/>
      <w:bdr w:val="none" w:sz="0" w:space="0" w:color="auto"/>
      <w:shd w:val="clear" w:color="auto" w:fill="ADD8E6"/>
      <w:lang w:val="en-GB"/>
    </w:rPr>
  </w:style>
  <w:style w:type="character" w:customStyle="1" w:styleId="1421RefVolume">
    <w:name w:val="14.21 RefVolume"/>
    <w:qFormat/>
    <w:rsid w:val="00666201"/>
    <w:rPr>
      <w:bdr w:val="none" w:sz="0" w:space="0" w:color="auto"/>
      <w:shd w:val="clear" w:color="auto" w:fill="AD9B9B"/>
      <w:lang w:val="en-GB"/>
    </w:rPr>
  </w:style>
  <w:style w:type="character" w:customStyle="1" w:styleId="1423RefExtent">
    <w:name w:val="14.23 RefExtent"/>
    <w:qFormat/>
    <w:rsid w:val="00666201"/>
    <w:rPr>
      <w:bdr w:val="none" w:sz="0" w:space="0" w:color="auto"/>
      <w:shd w:val="clear" w:color="auto" w:fill="CCCACA"/>
      <w:lang w:val="en-GB"/>
    </w:rPr>
  </w:style>
  <w:style w:type="paragraph" w:customStyle="1" w:styleId="0101Para">
    <w:name w:val="01.01 Para"/>
    <w:basedOn w:val="Normal"/>
    <w:qFormat/>
    <w:rsid w:val="00666201"/>
    <w:pPr>
      <w:spacing w:line="560" w:lineRule="exact"/>
      <w:ind w:firstLine="720"/>
    </w:pPr>
    <w:rPr>
      <w:rFonts w:ascii="Cambria Math" w:hAnsi="Cambria Math"/>
      <w:szCs w:val="20"/>
      <w:lang w:eastAsia="en-US"/>
    </w:rPr>
  </w:style>
  <w:style w:type="paragraph" w:customStyle="1" w:styleId="FootNote">
    <w:name w:val="_FootNote"/>
    <w:basedOn w:val="Normal"/>
    <w:link w:val="FootNoteChar"/>
    <w:qFormat/>
    <w:rsid w:val="001D5008"/>
    <w:pPr>
      <w:suppressLineNumbers/>
      <w:tabs>
        <w:tab w:val="right" w:pos="480"/>
        <w:tab w:val="left" w:pos="560"/>
      </w:tabs>
      <w:spacing w:before="20" w:line="200" w:lineRule="exact"/>
      <w:jc w:val="both"/>
    </w:pPr>
    <w:rPr>
      <w:rFonts w:ascii="New Baskerville" w:hAnsi="New Baskerville"/>
      <w:sz w:val="17"/>
      <w:szCs w:val="20"/>
      <w:lang w:val="en-US" w:eastAsia="en-US"/>
    </w:rPr>
  </w:style>
  <w:style w:type="character" w:customStyle="1" w:styleId="FootNoteChar">
    <w:name w:val="_FootNote Char"/>
    <w:basedOn w:val="DefaultParagraphFont"/>
    <w:link w:val="FootNote"/>
    <w:rsid w:val="001D5008"/>
    <w:rPr>
      <w:rFonts w:ascii="New Baskerville" w:eastAsia="Times New Roman" w:hAnsi="New Baskerville" w:cs="Times New Roman"/>
      <w:sz w:val="17"/>
      <w:szCs w:val="20"/>
      <w:lang w:val="en-US"/>
    </w:rPr>
  </w:style>
  <w:style w:type="character" w:customStyle="1" w:styleId="NoterefInText">
    <w:name w:val="_NoterefInText"/>
    <w:basedOn w:val="DefaultParagraphFont"/>
    <w:qFormat/>
    <w:rsid w:val="001D5008"/>
    <w:rPr>
      <w:rFonts w:ascii="New Baskerville" w:hAnsi="New Baskerville"/>
      <w:dstrike w:val="0"/>
      <w:spacing w:val="0"/>
      <w:w w:val="100"/>
      <w:position w:val="0"/>
      <w:sz w:val="22"/>
      <w:szCs w:val="26"/>
      <w:vertAlign w:val="superscript"/>
    </w:rPr>
  </w:style>
  <w:style w:type="character" w:customStyle="1" w:styleId="NoterefInNote">
    <w:name w:val="_NoterefInNote"/>
    <w:basedOn w:val="DefaultParagraphFont"/>
    <w:qFormat/>
    <w:rsid w:val="001D5008"/>
    <w:rPr>
      <w:rFonts w:ascii="New Baskerville" w:hAnsi="New Baskerville"/>
      <w:dstrike w:val="0"/>
      <w:sz w:val="17"/>
      <w:szCs w:val="17"/>
      <w:vertAlign w:val="baseline"/>
    </w:rPr>
  </w:style>
  <w:style w:type="character" w:customStyle="1" w:styleId="UnresolvedMention3">
    <w:name w:val="Unresolved Mention3"/>
    <w:basedOn w:val="DefaultParagraphFont"/>
    <w:uiPriority w:val="99"/>
    <w:semiHidden/>
    <w:unhideWhenUsed/>
    <w:rsid w:val="00F2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841">
      <w:bodyDiv w:val="1"/>
      <w:marLeft w:val="0"/>
      <w:marRight w:val="0"/>
      <w:marTop w:val="0"/>
      <w:marBottom w:val="0"/>
      <w:divBdr>
        <w:top w:val="none" w:sz="0" w:space="0" w:color="auto"/>
        <w:left w:val="none" w:sz="0" w:space="0" w:color="auto"/>
        <w:bottom w:val="none" w:sz="0" w:space="0" w:color="auto"/>
        <w:right w:val="none" w:sz="0" w:space="0" w:color="auto"/>
      </w:divBdr>
    </w:div>
    <w:div w:id="52316881">
      <w:bodyDiv w:val="1"/>
      <w:marLeft w:val="0"/>
      <w:marRight w:val="0"/>
      <w:marTop w:val="0"/>
      <w:marBottom w:val="0"/>
      <w:divBdr>
        <w:top w:val="none" w:sz="0" w:space="0" w:color="auto"/>
        <w:left w:val="none" w:sz="0" w:space="0" w:color="auto"/>
        <w:bottom w:val="none" w:sz="0" w:space="0" w:color="auto"/>
        <w:right w:val="none" w:sz="0" w:space="0" w:color="auto"/>
      </w:divBdr>
    </w:div>
    <w:div w:id="69011953">
      <w:bodyDiv w:val="1"/>
      <w:marLeft w:val="0"/>
      <w:marRight w:val="0"/>
      <w:marTop w:val="0"/>
      <w:marBottom w:val="0"/>
      <w:divBdr>
        <w:top w:val="none" w:sz="0" w:space="0" w:color="auto"/>
        <w:left w:val="none" w:sz="0" w:space="0" w:color="auto"/>
        <w:bottom w:val="none" w:sz="0" w:space="0" w:color="auto"/>
        <w:right w:val="none" w:sz="0" w:space="0" w:color="auto"/>
      </w:divBdr>
    </w:div>
    <w:div w:id="191499766">
      <w:bodyDiv w:val="1"/>
      <w:marLeft w:val="0"/>
      <w:marRight w:val="0"/>
      <w:marTop w:val="0"/>
      <w:marBottom w:val="0"/>
      <w:divBdr>
        <w:top w:val="none" w:sz="0" w:space="0" w:color="auto"/>
        <w:left w:val="none" w:sz="0" w:space="0" w:color="auto"/>
        <w:bottom w:val="none" w:sz="0" w:space="0" w:color="auto"/>
        <w:right w:val="none" w:sz="0" w:space="0" w:color="auto"/>
      </w:divBdr>
    </w:div>
    <w:div w:id="212733744">
      <w:bodyDiv w:val="1"/>
      <w:marLeft w:val="0"/>
      <w:marRight w:val="0"/>
      <w:marTop w:val="0"/>
      <w:marBottom w:val="0"/>
      <w:divBdr>
        <w:top w:val="none" w:sz="0" w:space="0" w:color="auto"/>
        <w:left w:val="none" w:sz="0" w:space="0" w:color="auto"/>
        <w:bottom w:val="none" w:sz="0" w:space="0" w:color="auto"/>
        <w:right w:val="none" w:sz="0" w:space="0" w:color="auto"/>
      </w:divBdr>
    </w:div>
    <w:div w:id="292642466">
      <w:bodyDiv w:val="1"/>
      <w:marLeft w:val="0"/>
      <w:marRight w:val="0"/>
      <w:marTop w:val="0"/>
      <w:marBottom w:val="0"/>
      <w:divBdr>
        <w:top w:val="none" w:sz="0" w:space="0" w:color="auto"/>
        <w:left w:val="none" w:sz="0" w:space="0" w:color="auto"/>
        <w:bottom w:val="none" w:sz="0" w:space="0" w:color="auto"/>
        <w:right w:val="none" w:sz="0" w:space="0" w:color="auto"/>
      </w:divBdr>
    </w:div>
    <w:div w:id="356855139">
      <w:bodyDiv w:val="1"/>
      <w:marLeft w:val="0"/>
      <w:marRight w:val="0"/>
      <w:marTop w:val="0"/>
      <w:marBottom w:val="0"/>
      <w:divBdr>
        <w:top w:val="none" w:sz="0" w:space="0" w:color="auto"/>
        <w:left w:val="none" w:sz="0" w:space="0" w:color="auto"/>
        <w:bottom w:val="none" w:sz="0" w:space="0" w:color="auto"/>
        <w:right w:val="none" w:sz="0" w:space="0" w:color="auto"/>
      </w:divBdr>
    </w:div>
    <w:div w:id="475145395">
      <w:bodyDiv w:val="1"/>
      <w:marLeft w:val="0"/>
      <w:marRight w:val="0"/>
      <w:marTop w:val="0"/>
      <w:marBottom w:val="0"/>
      <w:divBdr>
        <w:top w:val="none" w:sz="0" w:space="0" w:color="auto"/>
        <w:left w:val="none" w:sz="0" w:space="0" w:color="auto"/>
        <w:bottom w:val="none" w:sz="0" w:space="0" w:color="auto"/>
        <w:right w:val="none" w:sz="0" w:space="0" w:color="auto"/>
      </w:divBdr>
    </w:div>
    <w:div w:id="506016560">
      <w:bodyDiv w:val="1"/>
      <w:marLeft w:val="0"/>
      <w:marRight w:val="0"/>
      <w:marTop w:val="0"/>
      <w:marBottom w:val="0"/>
      <w:divBdr>
        <w:top w:val="none" w:sz="0" w:space="0" w:color="auto"/>
        <w:left w:val="none" w:sz="0" w:space="0" w:color="auto"/>
        <w:bottom w:val="none" w:sz="0" w:space="0" w:color="auto"/>
        <w:right w:val="none" w:sz="0" w:space="0" w:color="auto"/>
      </w:divBdr>
    </w:div>
    <w:div w:id="518355219">
      <w:bodyDiv w:val="1"/>
      <w:marLeft w:val="0"/>
      <w:marRight w:val="0"/>
      <w:marTop w:val="0"/>
      <w:marBottom w:val="0"/>
      <w:divBdr>
        <w:top w:val="none" w:sz="0" w:space="0" w:color="auto"/>
        <w:left w:val="none" w:sz="0" w:space="0" w:color="auto"/>
        <w:bottom w:val="none" w:sz="0" w:space="0" w:color="auto"/>
        <w:right w:val="none" w:sz="0" w:space="0" w:color="auto"/>
      </w:divBdr>
    </w:div>
    <w:div w:id="677540729">
      <w:bodyDiv w:val="1"/>
      <w:marLeft w:val="0"/>
      <w:marRight w:val="0"/>
      <w:marTop w:val="0"/>
      <w:marBottom w:val="0"/>
      <w:divBdr>
        <w:top w:val="none" w:sz="0" w:space="0" w:color="auto"/>
        <w:left w:val="none" w:sz="0" w:space="0" w:color="auto"/>
        <w:bottom w:val="none" w:sz="0" w:space="0" w:color="auto"/>
        <w:right w:val="none" w:sz="0" w:space="0" w:color="auto"/>
      </w:divBdr>
    </w:div>
    <w:div w:id="687605436">
      <w:bodyDiv w:val="1"/>
      <w:marLeft w:val="0"/>
      <w:marRight w:val="0"/>
      <w:marTop w:val="0"/>
      <w:marBottom w:val="0"/>
      <w:divBdr>
        <w:top w:val="none" w:sz="0" w:space="0" w:color="auto"/>
        <w:left w:val="none" w:sz="0" w:space="0" w:color="auto"/>
        <w:bottom w:val="none" w:sz="0" w:space="0" w:color="auto"/>
        <w:right w:val="none" w:sz="0" w:space="0" w:color="auto"/>
      </w:divBdr>
      <w:divsChild>
        <w:div w:id="1115490156">
          <w:marLeft w:val="0"/>
          <w:marRight w:val="0"/>
          <w:marTop w:val="0"/>
          <w:marBottom w:val="0"/>
          <w:divBdr>
            <w:top w:val="none" w:sz="0" w:space="0" w:color="auto"/>
            <w:left w:val="none" w:sz="0" w:space="0" w:color="auto"/>
            <w:bottom w:val="none" w:sz="0" w:space="0" w:color="auto"/>
            <w:right w:val="none" w:sz="0" w:space="0" w:color="auto"/>
          </w:divBdr>
        </w:div>
        <w:div w:id="1006134273">
          <w:marLeft w:val="0"/>
          <w:marRight w:val="0"/>
          <w:marTop w:val="0"/>
          <w:marBottom w:val="0"/>
          <w:divBdr>
            <w:top w:val="none" w:sz="0" w:space="0" w:color="auto"/>
            <w:left w:val="none" w:sz="0" w:space="0" w:color="auto"/>
            <w:bottom w:val="none" w:sz="0" w:space="0" w:color="auto"/>
            <w:right w:val="none" w:sz="0" w:space="0" w:color="auto"/>
          </w:divBdr>
        </w:div>
      </w:divsChild>
    </w:div>
    <w:div w:id="726340120">
      <w:bodyDiv w:val="1"/>
      <w:marLeft w:val="0"/>
      <w:marRight w:val="0"/>
      <w:marTop w:val="0"/>
      <w:marBottom w:val="0"/>
      <w:divBdr>
        <w:top w:val="none" w:sz="0" w:space="0" w:color="auto"/>
        <w:left w:val="none" w:sz="0" w:space="0" w:color="auto"/>
        <w:bottom w:val="none" w:sz="0" w:space="0" w:color="auto"/>
        <w:right w:val="none" w:sz="0" w:space="0" w:color="auto"/>
      </w:divBdr>
    </w:div>
    <w:div w:id="845218576">
      <w:bodyDiv w:val="1"/>
      <w:marLeft w:val="0"/>
      <w:marRight w:val="0"/>
      <w:marTop w:val="0"/>
      <w:marBottom w:val="0"/>
      <w:divBdr>
        <w:top w:val="none" w:sz="0" w:space="0" w:color="auto"/>
        <w:left w:val="none" w:sz="0" w:space="0" w:color="auto"/>
        <w:bottom w:val="none" w:sz="0" w:space="0" w:color="auto"/>
        <w:right w:val="none" w:sz="0" w:space="0" w:color="auto"/>
      </w:divBdr>
    </w:div>
    <w:div w:id="903488553">
      <w:bodyDiv w:val="1"/>
      <w:marLeft w:val="0"/>
      <w:marRight w:val="0"/>
      <w:marTop w:val="0"/>
      <w:marBottom w:val="0"/>
      <w:divBdr>
        <w:top w:val="none" w:sz="0" w:space="0" w:color="auto"/>
        <w:left w:val="none" w:sz="0" w:space="0" w:color="auto"/>
        <w:bottom w:val="none" w:sz="0" w:space="0" w:color="auto"/>
        <w:right w:val="none" w:sz="0" w:space="0" w:color="auto"/>
      </w:divBdr>
    </w:div>
    <w:div w:id="911768592">
      <w:bodyDiv w:val="1"/>
      <w:marLeft w:val="0"/>
      <w:marRight w:val="0"/>
      <w:marTop w:val="0"/>
      <w:marBottom w:val="0"/>
      <w:divBdr>
        <w:top w:val="none" w:sz="0" w:space="0" w:color="auto"/>
        <w:left w:val="none" w:sz="0" w:space="0" w:color="auto"/>
        <w:bottom w:val="none" w:sz="0" w:space="0" w:color="auto"/>
        <w:right w:val="none" w:sz="0" w:space="0" w:color="auto"/>
      </w:divBdr>
    </w:div>
    <w:div w:id="914052127">
      <w:bodyDiv w:val="1"/>
      <w:marLeft w:val="0"/>
      <w:marRight w:val="0"/>
      <w:marTop w:val="0"/>
      <w:marBottom w:val="0"/>
      <w:divBdr>
        <w:top w:val="none" w:sz="0" w:space="0" w:color="auto"/>
        <w:left w:val="none" w:sz="0" w:space="0" w:color="auto"/>
        <w:bottom w:val="none" w:sz="0" w:space="0" w:color="auto"/>
        <w:right w:val="none" w:sz="0" w:space="0" w:color="auto"/>
      </w:divBdr>
    </w:div>
    <w:div w:id="919366343">
      <w:bodyDiv w:val="1"/>
      <w:marLeft w:val="0"/>
      <w:marRight w:val="0"/>
      <w:marTop w:val="0"/>
      <w:marBottom w:val="0"/>
      <w:divBdr>
        <w:top w:val="none" w:sz="0" w:space="0" w:color="auto"/>
        <w:left w:val="none" w:sz="0" w:space="0" w:color="auto"/>
        <w:bottom w:val="none" w:sz="0" w:space="0" w:color="auto"/>
        <w:right w:val="none" w:sz="0" w:space="0" w:color="auto"/>
      </w:divBdr>
    </w:div>
    <w:div w:id="969896361">
      <w:bodyDiv w:val="1"/>
      <w:marLeft w:val="0"/>
      <w:marRight w:val="0"/>
      <w:marTop w:val="0"/>
      <w:marBottom w:val="0"/>
      <w:divBdr>
        <w:top w:val="none" w:sz="0" w:space="0" w:color="auto"/>
        <w:left w:val="none" w:sz="0" w:space="0" w:color="auto"/>
        <w:bottom w:val="none" w:sz="0" w:space="0" w:color="auto"/>
        <w:right w:val="none" w:sz="0" w:space="0" w:color="auto"/>
      </w:divBdr>
    </w:div>
    <w:div w:id="1111777822">
      <w:bodyDiv w:val="1"/>
      <w:marLeft w:val="0"/>
      <w:marRight w:val="0"/>
      <w:marTop w:val="0"/>
      <w:marBottom w:val="0"/>
      <w:divBdr>
        <w:top w:val="none" w:sz="0" w:space="0" w:color="auto"/>
        <w:left w:val="none" w:sz="0" w:space="0" w:color="auto"/>
        <w:bottom w:val="none" w:sz="0" w:space="0" w:color="auto"/>
        <w:right w:val="none" w:sz="0" w:space="0" w:color="auto"/>
      </w:divBdr>
    </w:div>
    <w:div w:id="1180780246">
      <w:bodyDiv w:val="1"/>
      <w:marLeft w:val="0"/>
      <w:marRight w:val="0"/>
      <w:marTop w:val="0"/>
      <w:marBottom w:val="0"/>
      <w:divBdr>
        <w:top w:val="none" w:sz="0" w:space="0" w:color="auto"/>
        <w:left w:val="none" w:sz="0" w:space="0" w:color="auto"/>
        <w:bottom w:val="none" w:sz="0" w:space="0" w:color="auto"/>
        <w:right w:val="none" w:sz="0" w:space="0" w:color="auto"/>
      </w:divBdr>
    </w:div>
    <w:div w:id="1247960822">
      <w:bodyDiv w:val="1"/>
      <w:marLeft w:val="0"/>
      <w:marRight w:val="0"/>
      <w:marTop w:val="0"/>
      <w:marBottom w:val="0"/>
      <w:divBdr>
        <w:top w:val="none" w:sz="0" w:space="0" w:color="auto"/>
        <w:left w:val="none" w:sz="0" w:space="0" w:color="auto"/>
        <w:bottom w:val="none" w:sz="0" w:space="0" w:color="auto"/>
        <w:right w:val="none" w:sz="0" w:space="0" w:color="auto"/>
      </w:divBdr>
    </w:div>
    <w:div w:id="1290938118">
      <w:bodyDiv w:val="1"/>
      <w:marLeft w:val="0"/>
      <w:marRight w:val="0"/>
      <w:marTop w:val="0"/>
      <w:marBottom w:val="0"/>
      <w:divBdr>
        <w:top w:val="none" w:sz="0" w:space="0" w:color="auto"/>
        <w:left w:val="none" w:sz="0" w:space="0" w:color="auto"/>
        <w:bottom w:val="none" w:sz="0" w:space="0" w:color="auto"/>
        <w:right w:val="none" w:sz="0" w:space="0" w:color="auto"/>
      </w:divBdr>
    </w:div>
    <w:div w:id="1314406122">
      <w:bodyDiv w:val="1"/>
      <w:marLeft w:val="0"/>
      <w:marRight w:val="0"/>
      <w:marTop w:val="0"/>
      <w:marBottom w:val="0"/>
      <w:divBdr>
        <w:top w:val="none" w:sz="0" w:space="0" w:color="auto"/>
        <w:left w:val="none" w:sz="0" w:space="0" w:color="auto"/>
        <w:bottom w:val="none" w:sz="0" w:space="0" w:color="auto"/>
        <w:right w:val="none" w:sz="0" w:space="0" w:color="auto"/>
      </w:divBdr>
    </w:div>
    <w:div w:id="1316225055">
      <w:bodyDiv w:val="1"/>
      <w:marLeft w:val="0"/>
      <w:marRight w:val="0"/>
      <w:marTop w:val="0"/>
      <w:marBottom w:val="0"/>
      <w:divBdr>
        <w:top w:val="none" w:sz="0" w:space="0" w:color="auto"/>
        <w:left w:val="none" w:sz="0" w:space="0" w:color="auto"/>
        <w:bottom w:val="none" w:sz="0" w:space="0" w:color="auto"/>
        <w:right w:val="none" w:sz="0" w:space="0" w:color="auto"/>
      </w:divBdr>
    </w:div>
    <w:div w:id="1402563175">
      <w:bodyDiv w:val="1"/>
      <w:marLeft w:val="0"/>
      <w:marRight w:val="0"/>
      <w:marTop w:val="0"/>
      <w:marBottom w:val="0"/>
      <w:divBdr>
        <w:top w:val="none" w:sz="0" w:space="0" w:color="auto"/>
        <w:left w:val="none" w:sz="0" w:space="0" w:color="auto"/>
        <w:bottom w:val="none" w:sz="0" w:space="0" w:color="auto"/>
        <w:right w:val="none" w:sz="0" w:space="0" w:color="auto"/>
      </w:divBdr>
    </w:div>
    <w:div w:id="1419131917">
      <w:bodyDiv w:val="1"/>
      <w:marLeft w:val="0"/>
      <w:marRight w:val="0"/>
      <w:marTop w:val="0"/>
      <w:marBottom w:val="0"/>
      <w:divBdr>
        <w:top w:val="none" w:sz="0" w:space="0" w:color="auto"/>
        <w:left w:val="none" w:sz="0" w:space="0" w:color="auto"/>
        <w:bottom w:val="none" w:sz="0" w:space="0" w:color="auto"/>
        <w:right w:val="none" w:sz="0" w:space="0" w:color="auto"/>
      </w:divBdr>
    </w:div>
    <w:div w:id="1426803130">
      <w:bodyDiv w:val="1"/>
      <w:marLeft w:val="0"/>
      <w:marRight w:val="0"/>
      <w:marTop w:val="0"/>
      <w:marBottom w:val="0"/>
      <w:divBdr>
        <w:top w:val="none" w:sz="0" w:space="0" w:color="auto"/>
        <w:left w:val="none" w:sz="0" w:space="0" w:color="auto"/>
        <w:bottom w:val="none" w:sz="0" w:space="0" w:color="auto"/>
        <w:right w:val="none" w:sz="0" w:space="0" w:color="auto"/>
      </w:divBdr>
    </w:div>
    <w:div w:id="1496149837">
      <w:bodyDiv w:val="1"/>
      <w:marLeft w:val="0"/>
      <w:marRight w:val="0"/>
      <w:marTop w:val="0"/>
      <w:marBottom w:val="0"/>
      <w:divBdr>
        <w:top w:val="none" w:sz="0" w:space="0" w:color="auto"/>
        <w:left w:val="none" w:sz="0" w:space="0" w:color="auto"/>
        <w:bottom w:val="none" w:sz="0" w:space="0" w:color="auto"/>
        <w:right w:val="none" w:sz="0" w:space="0" w:color="auto"/>
      </w:divBdr>
    </w:div>
    <w:div w:id="1521895857">
      <w:bodyDiv w:val="1"/>
      <w:marLeft w:val="0"/>
      <w:marRight w:val="0"/>
      <w:marTop w:val="0"/>
      <w:marBottom w:val="0"/>
      <w:divBdr>
        <w:top w:val="none" w:sz="0" w:space="0" w:color="auto"/>
        <w:left w:val="none" w:sz="0" w:space="0" w:color="auto"/>
        <w:bottom w:val="none" w:sz="0" w:space="0" w:color="auto"/>
        <w:right w:val="none" w:sz="0" w:space="0" w:color="auto"/>
      </w:divBdr>
    </w:div>
    <w:div w:id="1609384182">
      <w:bodyDiv w:val="1"/>
      <w:marLeft w:val="0"/>
      <w:marRight w:val="0"/>
      <w:marTop w:val="0"/>
      <w:marBottom w:val="0"/>
      <w:divBdr>
        <w:top w:val="none" w:sz="0" w:space="0" w:color="auto"/>
        <w:left w:val="none" w:sz="0" w:space="0" w:color="auto"/>
        <w:bottom w:val="none" w:sz="0" w:space="0" w:color="auto"/>
        <w:right w:val="none" w:sz="0" w:space="0" w:color="auto"/>
      </w:divBdr>
    </w:div>
    <w:div w:id="1751534691">
      <w:bodyDiv w:val="1"/>
      <w:marLeft w:val="0"/>
      <w:marRight w:val="0"/>
      <w:marTop w:val="0"/>
      <w:marBottom w:val="0"/>
      <w:divBdr>
        <w:top w:val="none" w:sz="0" w:space="0" w:color="auto"/>
        <w:left w:val="none" w:sz="0" w:space="0" w:color="auto"/>
        <w:bottom w:val="none" w:sz="0" w:space="0" w:color="auto"/>
        <w:right w:val="none" w:sz="0" w:space="0" w:color="auto"/>
      </w:divBdr>
    </w:div>
    <w:div w:id="1760559465">
      <w:bodyDiv w:val="1"/>
      <w:marLeft w:val="0"/>
      <w:marRight w:val="0"/>
      <w:marTop w:val="0"/>
      <w:marBottom w:val="0"/>
      <w:divBdr>
        <w:top w:val="none" w:sz="0" w:space="0" w:color="auto"/>
        <w:left w:val="none" w:sz="0" w:space="0" w:color="auto"/>
        <w:bottom w:val="none" w:sz="0" w:space="0" w:color="auto"/>
        <w:right w:val="none" w:sz="0" w:space="0" w:color="auto"/>
      </w:divBdr>
    </w:div>
    <w:div w:id="1821114542">
      <w:bodyDiv w:val="1"/>
      <w:marLeft w:val="0"/>
      <w:marRight w:val="0"/>
      <w:marTop w:val="0"/>
      <w:marBottom w:val="0"/>
      <w:divBdr>
        <w:top w:val="none" w:sz="0" w:space="0" w:color="auto"/>
        <w:left w:val="none" w:sz="0" w:space="0" w:color="auto"/>
        <w:bottom w:val="none" w:sz="0" w:space="0" w:color="auto"/>
        <w:right w:val="none" w:sz="0" w:space="0" w:color="auto"/>
      </w:divBdr>
    </w:div>
    <w:div w:id="1875263010">
      <w:bodyDiv w:val="1"/>
      <w:marLeft w:val="0"/>
      <w:marRight w:val="0"/>
      <w:marTop w:val="0"/>
      <w:marBottom w:val="0"/>
      <w:divBdr>
        <w:top w:val="none" w:sz="0" w:space="0" w:color="auto"/>
        <w:left w:val="none" w:sz="0" w:space="0" w:color="auto"/>
        <w:bottom w:val="none" w:sz="0" w:space="0" w:color="auto"/>
        <w:right w:val="none" w:sz="0" w:space="0" w:color="auto"/>
      </w:divBdr>
    </w:div>
    <w:div w:id="1935742950">
      <w:bodyDiv w:val="1"/>
      <w:marLeft w:val="0"/>
      <w:marRight w:val="0"/>
      <w:marTop w:val="0"/>
      <w:marBottom w:val="0"/>
      <w:divBdr>
        <w:top w:val="none" w:sz="0" w:space="0" w:color="auto"/>
        <w:left w:val="none" w:sz="0" w:space="0" w:color="auto"/>
        <w:bottom w:val="none" w:sz="0" w:space="0" w:color="auto"/>
        <w:right w:val="none" w:sz="0" w:space="0" w:color="auto"/>
      </w:divBdr>
    </w:div>
    <w:div w:id="1962108310">
      <w:bodyDiv w:val="1"/>
      <w:marLeft w:val="0"/>
      <w:marRight w:val="0"/>
      <w:marTop w:val="0"/>
      <w:marBottom w:val="0"/>
      <w:divBdr>
        <w:top w:val="none" w:sz="0" w:space="0" w:color="auto"/>
        <w:left w:val="none" w:sz="0" w:space="0" w:color="auto"/>
        <w:bottom w:val="none" w:sz="0" w:space="0" w:color="auto"/>
        <w:right w:val="none" w:sz="0" w:space="0" w:color="auto"/>
      </w:divBdr>
    </w:div>
    <w:div w:id="1962764437">
      <w:bodyDiv w:val="1"/>
      <w:marLeft w:val="0"/>
      <w:marRight w:val="0"/>
      <w:marTop w:val="0"/>
      <w:marBottom w:val="0"/>
      <w:divBdr>
        <w:top w:val="none" w:sz="0" w:space="0" w:color="auto"/>
        <w:left w:val="none" w:sz="0" w:space="0" w:color="auto"/>
        <w:bottom w:val="none" w:sz="0" w:space="0" w:color="auto"/>
        <w:right w:val="none" w:sz="0" w:space="0" w:color="auto"/>
      </w:divBdr>
    </w:div>
    <w:div w:id="1987664080">
      <w:bodyDiv w:val="1"/>
      <w:marLeft w:val="0"/>
      <w:marRight w:val="0"/>
      <w:marTop w:val="0"/>
      <w:marBottom w:val="0"/>
      <w:divBdr>
        <w:top w:val="none" w:sz="0" w:space="0" w:color="auto"/>
        <w:left w:val="none" w:sz="0" w:space="0" w:color="auto"/>
        <w:bottom w:val="none" w:sz="0" w:space="0" w:color="auto"/>
        <w:right w:val="none" w:sz="0" w:space="0" w:color="auto"/>
      </w:divBdr>
    </w:div>
    <w:div w:id="20345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peeches/european-convention-on-human-rights-current-challenges" TargetMode="External"/><Relationship Id="rId3" Type="http://schemas.openxmlformats.org/officeDocument/2006/relationships/hyperlink" Target="https://rozenberg.substack.com/p/back-in-your-box-attorney-tells-judges" TargetMode="External"/><Relationship Id="rId7" Type="http://schemas.openxmlformats.org/officeDocument/2006/relationships/hyperlink" Target="https://www.gov.uk/government/speeches/the-attorney-general-on-who-should-decide-what-the-public-interest-is" TargetMode="External"/><Relationship Id="rId2" Type="http://schemas.openxmlformats.org/officeDocument/2006/relationships/hyperlink" Target="https://publiclawforeveryone.com/2021/10/20/response-to-the-attorney-generals-public-law-project-keynote-speech/" TargetMode="External"/><Relationship Id="rId1" Type="http://schemas.openxmlformats.org/officeDocument/2006/relationships/hyperlink" Target="https://policyexchange.org.uk/publication/crossing-the-line/" TargetMode="External"/><Relationship Id="rId6" Type="http://schemas.openxmlformats.org/officeDocument/2006/relationships/hyperlink" Target="https://www.youtube.com/watch?v=N5TzdjkGu2k" TargetMode="External"/><Relationship Id="rId5" Type="http://schemas.openxmlformats.org/officeDocument/2006/relationships/hyperlink" Target="https://www.independent.co.uk/news/uk/crime/goldsmith-under-pressure-from-legal-profession-over-impartiality-3903.html" TargetMode="External"/><Relationship Id="rId4" Type="http://schemas.openxmlformats.org/officeDocument/2006/relationships/hyperlink" Target="https://twitter.com/ProfMarkElliott/status/1451148309167493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7993-FF47-468E-8B67-5CE92D54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3600</Words>
  <Characters>19981</Characters>
  <Application>Microsoft Office Word</Application>
  <DocSecurity>0</DocSecurity>
  <Lines>312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Casey</dc:creator>
  <cp:lastModifiedBy>Casey, Conor</cp:lastModifiedBy>
  <cp:revision>4</cp:revision>
  <cp:lastPrinted>2022-03-01T14:24:00Z</cp:lastPrinted>
  <dcterms:created xsi:type="dcterms:W3CDTF">2022-03-01T14:42:00Z</dcterms:created>
  <dcterms:modified xsi:type="dcterms:W3CDTF">2022-03-03T14:33:00Z</dcterms:modified>
</cp:coreProperties>
</file>