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DC477" w14:textId="77777777" w:rsidR="004062D6" w:rsidRPr="00547138" w:rsidRDefault="004062D6" w:rsidP="004062D6">
      <w:pPr>
        <w:rPr>
          <w:rFonts w:cstheme="minorHAnsi"/>
          <w:b/>
          <w:bCs/>
          <w:color w:val="000000" w:themeColor="text1"/>
          <w:lang w:eastAsia="en-US"/>
        </w:rPr>
      </w:pPr>
      <w:r>
        <w:rPr>
          <w:rFonts w:cstheme="minorHAnsi"/>
          <w:b/>
          <w:bCs/>
          <w:color w:val="000000" w:themeColor="text1"/>
          <w:lang w:eastAsia="en-US"/>
        </w:rPr>
        <w:t xml:space="preserve">The </w:t>
      </w:r>
      <w:r w:rsidRPr="00547138">
        <w:rPr>
          <w:rFonts w:cstheme="minorHAnsi"/>
          <w:b/>
          <w:bCs/>
          <w:color w:val="000000" w:themeColor="text1"/>
          <w:lang w:eastAsia="en-US"/>
        </w:rPr>
        <w:t>Value of Core in Mature Field Development – Examples from the UK North Sea</w:t>
      </w:r>
    </w:p>
    <w:p w14:paraId="7DE6C578" w14:textId="77777777" w:rsidR="004062D6" w:rsidRPr="00547138" w:rsidRDefault="004062D6" w:rsidP="004062D6">
      <w:pPr>
        <w:rPr>
          <w:rFonts w:cstheme="minorHAnsi"/>
          <w:i/>
          <w:iCs/>
          <w:color w:val="000000" w:themeColor="text1"/>
          <w:lang w:eastAsia="en-US"/>
        </w:rPr>
      </w:pPr>
    </w:p>
    <w:p w14:paraId="19328E4C" w14:textId="27E94E4F" w:rsidR="004062D6" w:rsidRPr="00547138" w:rsidRDefault="004062D6" w:rsidP="004062D6">
      <w:pPr>
        <w:rPr>
          <w:rFonts w:cstheme="minorHAnsi"/>
          <w:i/>
          <w:iCs/>
          <w:color w:val="000000" w:themeColor="text1"/>
          <w:lang w:eastAsia="en-US"/>
        </w:rPr>
      </w:pPr>
      <w:r w:rsidRPr="00547138">
        <w:rPr>
          <w:rFonts w:cstheme="minorHAnsi"/>
          <w:i/>
          <w:iCs/>
          <w:color w:val="000000" w:themeColor="text1"/>
          <w:lang w:eastAsia="en-US"/>
        </w:rPr>
        <w:t>S. Kelly</w:t>
      </w:r>
      <w:r w:rsidR="00873225" w:rsidRPr="00873225">
        <w:rPr>
          <w:rFonts w:cstheme="minorHAnsi"/>
          <w:i/>
          <w:iCs/>
          <w:color w:val="000000" w:themeColor="text1"/>
          <w:vertAlign w:val="superscript"/>
          <w:lang w:eastAsia="en-US"/>
        </w:rPr>
        <w:t>1</w:t>
      </w:r>
      <w:r w:rsidRPr="00547138">
        <w:rPr>
          <w:rFonts w:cstheme="minorHAnsi"/>
          <w:i/>
          <w:iCs/>
          <w:color w:val="000000" w:themeColor="text1"/>
          <w:lang w:eastAsia="en-US"/>
        </w:rPr>
        <w:t>, R. H. Worden</w:t>
      </w:r>
      <w:r w:rsidR="00873225" w:rsidRPr="00873225">
        <w:rPr>
          <w:rFonts w:cstheme="minorHAnsi"/>
          <w:i/>
          <w:iCs/>
          <w:color w:val="000000" w:themeColor="text1"/>
          <w:vertAlign w:val="superscript"/>
          <w:lang w:eastAsia="en-US"/>
        </w:rPr>
        <w:t>2</w:t>
      </w:r>
      <w:r w:rsidR="00873225">
        <w:rPr>
          <w:rFonts w:cstheme="minorHAnsi"/>
          <w:i/>
          <w:iCs/>
          <w:color w:val="000000" w:themeColor="text1"/>
          <w:lang w:eastAsia="en-US"/>
        </w:rPr>
        <w:t xml:space="preserve"> &amp; P. Mc Ardle</w:t>
      </w:r>
      <w:r w:rsidR="00873225" w:rsidRPr="00873225">
        <w:rPr>
          <w:rFonts w:cstheme="minorHAnsi"/>
          <w:i/>
          <w:iCs/>
          <w:color w:val="000000" w:themeColor="text1"/>
          <w:vertAlign w:val="superscript"/>
          <w:lang w:eastAsia="en-US"/>
        </w:rPr>
        <w:t>1</w:t>
      </w:r>
      <w:r w:rsidR="00C21B7D">
        <w:rPr>
          <w:rFonts w:cstheme="minorHAnsi"/>
          <w:i/>
          <w:iCs/>
          <w:color w:val="000000" w:themeColor="text1"/>
          <w:vertAlign w:val="superscript"/>
          <w:lang w:eastAsia="en-US"/>
        </w:rPr>
        <w:t>*</w:t>
      </w:r>
    </w:p>
    <w:p w14:paraId="4389BD45" w14:textId="77777777" w:rsidR="004062D6" w:rsidRDefault="004062D6" w:rsidP="004062D6">
      <w:pPr>
        <w:rPr>
          <w:rFonts w:cstheme="minorHAnsi"/>
          <w:color w:val="000000" w:themeColor="text1"/>
          <w:lang w:eastAsia="en-US"/>
        </w:rPr>
      </w:pPr>
    </w:p>
    <w:p w14:paraId="162EDABC" w14:textId="0D9A3D06" w:rsidR="00873225" w:rsidRDefault="00873225" w:rsidP="004062D6">
      <w:pPr>
        <w:rPr>
          <w:rFonts w:cstheme="minorHAnsi"/>
          <w:i/>
          <w:iCs/>
          <w:color w:val="000000" w:themeColor="text1"/>
          <w:lang w:eastAsia="en-US"/>
        </w:rPr>
      </w:pPr>
      <w:r w:rsidRPr="00873225">
        <w:rPr>
          <w:rFonts w:cstheme="minorHAnsi"/>
          <w:i/>
          <w:iCs/>
          <w:color w:val="000000" w:themeColor="text1"/>
          <w:vertAlign w:val="superscript"/>
          <w:lang w:eastAsia="en-US"/>
        </w:rPr>
        <w:t>1</w:t>
      </w:r>
      <w:r>
        <w:rPr>
          <w:rFonts w:cstheme="minorHAnsi"/>
          <w:i/>
          <w:iCs/>
          <w:color w:val="000000" w:themeColor="text1"/>
          <w:vertAlign w:val="superscript"/>
          <w:lang w:eastAsia="en-US"/>
        </w:rPr>
        <w:t xml:space="preserve"> </w:t>
      </w:r>
      <w:r>
        <w:rPr>
          <w:rFonts w:cstheme="minorHAnsi"/>
          <w:i/>
          <w:iCs/>
          <w:color w:val="000000" w:themeColor="text1"/>
          <w:lang w:eastAsia="en-US"/>
        </w:rPr>
        <w:t xml:space="preserve">EnQuest PLC, </w:t>
      </w:r>
      <w:r w:rsidRPr="00873225">
        <w:rPr>
          <w:rFonts w:cstheme="minorHAnsi"/>
          <w:i/>
          <w:iCs/>
          <w:color w:val="000000" w:themeColor="text1"/>
          <w:vertAlign w:val="superscript"/>
          <w:lang w:eastAsia="en-US"/>
        </w:rPr>
        <w:t>2</w:t>
      </w:r>
      <w:r>
        <w:rPr>
          <w:rFonts w:cstheme="minorHAnsi"/>
          <w:i/>
          <w:iCs/>
          <w:color w:val="000000" w:themeColor="text1"/>
          <w:lang w:eastAsia="en-US"/>
        </w:rPr>
        <w:t>University of Liverpool</w:t>
      </w:r>
    </w:p>
    <w:p w14:paraId="7123CBCC" w14:textId="6E8E2B59" w:rsidR="00C21B7D" w:rsidRPr="00873225" w:rsidRDefault="00C21B7D" w:rsidP="004062D6">
      <w:pPr>
        <w:rPr>
          <w:rFonts w:cstheme="minorHAnsi"/>
          <w:color w:val="000000" w:themeColor="text1"/>
          <w:lang w:eastAsia="en-US"/>
        </w:rPr>
      </w:pPr>
      <w:r w:rsidRPr="00C21B7D">
        <w:rPr>
          <w:rFonts w:cstheme="minorHAnsi"/>
          <w:i/>
          <w:iCs/>
          <w:color w:val="000000" w:themeColor="text1"/>
          <w:vertAlign w:val="superscript"/>
          <w:lang w:eastAsia="en-US"/>
        </w:rPr>
        <w:t>*</w:t>
      </w:r>
      <w:r w:rsidR="00242E04">
        <w:rPr>
          <w:rFonts w:cstheme="minorHAnsi"/>
          <w:i/>
          <w:iCs/>
          <w:color w:val="000000" w:themeColor="text1"/>
          <w:lang w:eastAsia="en-US"/>
        </w:rPr>
        <w:t>Present address:</w:t>
      </w:r>
      <w:r>
        <w:rPr>
          <w:rFonts w:cstheme="minorHAnsi"/>
          <w:i/>
          <w:iCs/>
          <w:color w:val="000000" w:themeColor="text1"/>
          <w:lang w:eastAsia="en-US"/>
        </w:rPr>
        <w:t xml:space="preserve"> University of Manchester</w:t>
      </w:r>
    </w:p>
    <w:p w14:paraId="1E8A0988" w14:textId="77777777" w:rsidR="00873225" w:rsidRPr="00547138" w:rsidRDefault="00873225" w:rsidP="004062D6">
      <w:pPr>
        <w:rPr>
          <w:rFonts w:cstheme="minorHAnsi"/>
          <w:color w:val="000000" w:themeColor="text1"/>
          <w:lang w:eastAsia="en-US"/>
        </w:rPr>
      </w:pPr>
    </w:p>
    <w:p w14:paraId="309C78D4" w14:textId="3FC7F33B" w:rsidR="004062D6" w:rsidRDefault="004062D6" w:rsidP="004062D6">
      <w:pPr>
        <w:rPr>
          <w:rFonts w:cstheme="minorHAnsi"/>
          <w:bCs/>
          <w:color w:val="000000" w:themeColor="text1"/>
          <w:lang w:eastAsia="en-US"/>
        </w:rPr>
      </w:pPr>
      <w:r w:rsidRPr="00547138">
        <w:rPr>
          <w:rFonts w:cstheme="minorHAnsi"/>
          <w:bCs/>
          <w:color w:val="000000" w:themeColor="text1"/>
          <w:lang w:eastAsia="en-US"/>
        </w:rPr>
        <w:t>Core</w:t>
      </w:r>
      <w:r w:rsidR="004121B1">
        <w:rPr>
          <w:rFonts w:cstheme="minorHAnsi"/>
          <w:bCs/>
          <w:color w:val="000000" w:themeColor="text1"/>
          <w:lang w:eastAsia="en-US"/>
        </w:rPr>
        <w:t>-</w:t>
      </w:r>
      <w:r w:rsidRPr="00547138">
        <w:rPr>
          <w:rFonts w:cstheme="minorHAnsi"/>
          <w:bCs/>
          <w:color w:val="000000" w:themeColor="text1"/>
          <w:lang w:eastAsia="en-US"/>
        </w:rPr>
        <w:t>based studies have had material impact</w:t>
      </w:r>
      <w:r w:rsidR="004121B1">
        <w:rPr>
          <w:rFonts w:cstheme="minorHAnsi"/>
          <w:bCs/>
          <w:color w:val="000000" w:themeColor="text1"/>
          <w:lang w:eastAsia="en-US"/>
        </w:rPr>
        <w:t>s</w:t>
      </w:r>
      <w:r w:rsidRPr="00547138">
        <w:rPr>
          <w:rFonts w:cstheme="minorHAnsi"/>
          <w:bCs/>
          <w:color w:val="000000" w:themeColor="text1"/>
          <w:lang w:eastAsia="en-US"/>
        </w:rPr>
        <w:t xml:space="preserve"> on the understanding of </w:t>
      </w:r>
      <w:proofErr w:type="gramStart"/>
      <w:r w:rsidRPr="00547138">
        <w:rPr>
          <w:rFonts w:cstheme="minorHAnsi"/>
          <w:bCs/>
          <w:color w:val="000000" w:themeColor="text1"/>
          <w:lang w:eastAsia="en-US"/>
        </w:rPr>
        <w:t>a number of</w:t>
      </w:r>
      <w:proofErr w:type="gramEnd"/>
      <w:r w:rsidRPr="00547138">
        <w:rPr>
          <w:rFonts w:cstheme="minorHAnsi"/>
          <w:bCs/>
          <w:color w:val="000000" w:themeColor="text1"/>
          <w:lang w:eastAsia="en-US"/>
        </w:rPr>
        <w:t xml:space="preserve"> late-life</w:t>
      </w:r>
      <w:r w:rsidR="004121B1">
        <w:rPr>
          <w:rFonts w:cstheme="minorHAnsi"/>
          <w:bCs/>
          <w:color w:val="000000" w:themeColor="text1"/>
          <w:lang w:eastAsia="en-US"/>
        </w:rPr>
        <w:t>,</w:t>
      </w:r>
      <w:r w:rsidRPr="00547138">
        <w:rPr>
          <w:rFonts w:cstheme="minorHAnsi"/>
          <w:bCs/>
          <w:color w:val="000000" w:themeColor="text1"/>
          <w:lang w:eastAsia="en-US"/>
        </w:rPr>
        <w:t xml:space="preserve"> mature </w:t>
      </w:r>
      <w:r w:rsidR="00497F5B">
        <w:rPr>
          <w:rFonts w:cstheme="minorHAnsi"/>
          <w:bCs/>
          <w:color w:val="000000" w:themeColor="text1"/>
          <w:lang w:eastAsia="en-US"/>
        </w:rPr>
        <w:t>North Sea Brent Group hydrocarbon reservoirs</w:t>
      </w:r>
      <w:r w:rsidR="00873225">
        <w:rPr>
          <w:rFonts w:cstheme="minorHAnsi"/>
          <w:bCs/>
          <w:color w:val="000000" w:themeColor="text1"/>
          <w:lang w:eastAsia="en-US"/>
        </w:rPr>
        <w:t xml:space="preserve">.  </w:t>
      </w:r>
      <w:r w:rsidR="00497F5B">
        <w:rPr>
          <w:rFonts w:cstheme="minorHAnsi"/>
          <w:bCs/>
          <w:color w:val="000000" w:themeColor="text1"/>
          <w:lang w:eastAsia="en-US"/>
        </w:rPr>
        <w:t xml:space="preserve">These studies </w:t>
      </w:r>
      <w:r w:rsidRPr="00547138">
        <w:rPr>
          <w:rFonts w:cstheme="minorHAnsi"/>
          <w:bCs/>
          <w:color w:val="000000" w:themeColor="text1"/>
          <w:lang w:eastAsia="en-US"/>
        </w:rPr>
        <w:t>have included sedimentological, diagenetic and reservoir quality focused evaluations of core</w:t>
      </w:r>
      <w:r w:rsidR="006379A9">
        <w:rPr>
          <w:rFonts w:cstheme="minorHAnsi"/>
          <w:bCs/>
          <w:color w:val="000000" w:themeColor="text1"/>
          <w:lang w:eastAsia="en-US"/>
        </w:rPr>
        <w:t xml:space="preserve">.  The primary objective of the studies has been to </w:t>
      </w:r>
      <w:r w:rsidRPr="00547138">
        <w:rPr>
          <w:rFonts w:cstheme="minorHAnsi"/>
          <w:bCs/>
          <w:color w:val="000000" w:themeColor="text1"/>
          <w:lang w:eastAsia="en-US"/>
        </w:rPr>
        <w:t>improv</w:t>
      </w:r>
      <w:r w:rsidR="006379A9">
        <w:rPr>
          <w:rFonts w:cstheme="minorHAnsi"/>
          <w:bCs/>
          <w:color w:val="000000" w:themeColor="text1"/>
          <w:lang w:eastAsia="en-US"/>
        </w:rPr>
        <w:t>e</w:t>
      </w:r>
      <w:r w:rsidRPr="00547138">
        <w:rPr>
          <w:rFonts w:cstheme="minorHAnsi"/>
          <w:bCs/>
          <w:color w:val="000000" w:themeColor="text1"/>
          <w:lang w:eastAsia="en-US"/>
        </w:rPr>
        <w:t xml:space="preserve"> conceptual </w:t>
      </w:r>
      <w:r w:rsidR="006379A9">
        <w:rPr>
          <w:rFonts w:cstheme="minorHAnsi"/>
          <w:bCs/>
          <w:color w:val="000000" w:themeColor="text1"/>
          <w:lang w:eastAsia="en-US"/>
        </w:rPr>
        <w:t xml:space="preserve">and qualitative </w:t>
      </w:r>
      <w:r w:rsidRPr="00547138">
        <w:rPr>
          <w:rFonts w:cstheme="minorHAnsi"/>
          <w:bCs/>
          <w:color w:val="000000" w:themeColor="text1"/>
          <w:lang w:eastAsia="en-US"/>
        </w:rPr>
        <w:t xml:space="preserve">models that can be utilized in reservoir modelling </w:t>
      </w:r>
      <w:proofErr w:type="gramStart"/>
      <w:r w:rsidRPr="00547138">
        <w:rPr>
          <w:rFonts w:cstheme="minorHAnsi"/>
          <w:bCs/>
          <w:color w:val="000000" w:themeColor="text1"/>
          <w:lang w:eastAsia="en-US"/>
        </w:rPr>
        <w:t xml:space="preserve">and </w:t>
      </w:r>
      <w:r w:rsidR="006379A9">
        <w:rPr>
          <w:rFonts w:cstheme="minorHAnsi"/>
          <w:bCs/>
          <w:color w:val="000000" w:themeColor="text1"/>
          <w:lang w:eastAsia="en-US"/>
        </w:rPr>
        <w:t>also</w:t>
      </w:r>
      <w:proofErr w:type="gramEnd"/>
      <w:r w:rsidR="006379A9">
        <w:rPr>
          <w:rFonts w:cstheme="minorHAnsi"/>
          <w:bCs/>
          <w:color w:val="000000" w:themeColor="text1"/>
          <w:lang w:eastAsia="en-US"/>
        </w:rPr>
        <w:t xml:space="preserve"> for </w:t>
      </w:r>
      <w:r w:rsidRPr="00547138">
        <w:rPr>
          <w:rFonts w:cstheme="minorHAnsi"/>
          <w:bCs/>
          <w:color w:val="000000" w:themeColor="text1"/>
          <w:lang w:eastAsia="en-US"/>
        </w:rPr>
        <w:t>infill</w:t>
      </w:r>
      <w:r w:rsidR="00754F2E">
        <w:rPr>
          <w:rFonts w:cstheme="minorHAnsi"/>
          <w:bCs/>
          <w:color w:val="000000" w:themeColor="text1"/>
          <w:lang w:eastAsia="en-US"/>
        </w:rPr>
        <w:t xml:space="preserve"> drilling</w:t>
      </w:r>
      <w:r w:rsidRPr="00547138">
        <w:rPr>
          <w:rFonts w:cstheme="minorHAnsi"/>
          <w:bCs/>
          <w:color w:val="000000" w:themeColor="text1"/>
          <w:lang w:eastAsia="en-US"/>
        </w:rPr>
        <w:t xml:space="preserve"> and </w:t>
      </w:r>
      <w:r w:rsidR="00754F2E">
        <w:rPr>
          <w:rFonts w:cstheme="minorHAnsi"/>
          <w:bCs/>
          <w:color w:val="000000" w:themeColor="text1"/>
          <w:lang w:eastAsia="en-US"/>
        </w:rPr>
        <w:t xml:space="preserve">well </w:t>
      </w:r>
      <w:r w:rsidRPr="00547138">
        <w:rPr>
          <w:rFonts w:cstheme="minorHAnsi"/>
          <w:bCs/>
          <w:color w:val="000000" w:themeColor="text1"/>
          <w:lang w:eastAsia="en-US"/>
        </w:rPr>
        <w:t xml:space="preserve">workover evaluations.  Most of these studies have been undertaken on old core samples collected in the 1980s and 1990s.  </w:t>
      </w:r>
    </w:p>
    <w:p w14:paraId="7DD42F5C" w14:textId="77777777" w:rsidR="00115CB5" w:rsidRPr="00547138" w:rsidRDefault="00115CB5" w:rsidP="004062D6">
      <w:pPr>
        <w:rPr>
          <w:rFonts w:cstheme="minorHAnsi"/>
          <w:bCs/>
          <w:color w:val="000000" w:themeColor="text1"/>
          <w:lang w:eastAsia="en-US"/>
        </w:rPr>
      </w:pPr>
    </w:p>
    <w:p w14:paraId="42CC08C1" w14:textId="6C9AABCF" w:rsidR="00C21B7D" w:rsidRDefault="00497F5B" w:rsidP="00497F5B">
      <w:pPr>
        <w:rPr>
          <w:rFonts w:cstheme="minorHAnsi"/>
          <w:bCs/>
          <w:color w:val="000000" w:themeColor="text1"/>
          <w:lang w:eastAsia="en-US"/>
        </w:rPr>
      </w:pPr>
      <w:r>
        <w:rPr>
          <w:rFonts w:cstheme="minorHAnsi"/>
          <w:bCs/>
          <w:color w:val="000000" w:themeColor="text1"/>
          <w:lang w:eastAsia="en-US"/>
        </w:rPr>
        <w:t xml:space="preserve">Two case studies are described </w:t>
      </w:r>
      <w:r w:rsidR="006379A9">
        <w:rPr>
          <w:rFonts w:cstheme="minorHAnsi"/>
          <w:bCs/>
          <w:color w:val="000000" w:themeColor="text1"/>
          <w:lang w:eastAsia="en-US"/>
        </w:rPr>
        <w:t xml:space="preserve">here </w:t>
      </w:r>
      <w:r>
        <w:rPr>
          <w:rFonts w:cstheme="minorHAnsi"/>
          <w:bCs/>
          <w:color w:val="000000" w:themeColor="text1"/>
          <w:lang w:eastAsia="en-US"/>
        </w:rPr>
        <w:t xml:space="preserve">that provide examples of the utility of core in mature fields. (1) Heather Field </w:t>
      </w:r>
      <w:r w:rsidR="006379A9">
        <w:rPr>
          <w:rFonts w:cstheme="minorHAnsi"/>
          <w:bCs/>
          <w:color w:val="000000" w:themeColor="text1"/>
          <w:lang w:eastAsia="en-US"/>
        </w:rPr>
        <w:t>c</w:t>
      </w:r>
      <w:r>
        <w:rPr>
          <w:rFonts w:cstheme="minorHAnsi"/>
          <w:bCs/>
          <w:color w:val="000000" w:themeColor="text1"/>
          <w:lang w:eastAsia="en-US"/>
        </w:rPr>
        <w:t xml:space="preserve">alcite: </w:t>
      </w:r>
      <w:r w:rsidR="004062D6" w:rsidRPr="00547138">
        <w:rPr>
          <w:rFonts w:cstheme="minorHAnsi"/>
          <w:bCs/>
          <w:color w:val="000000" w:themeColor="text1"/>
          <w:lang w:eastAsia="en-US"/>
        </w:rPr>
        <w:t xml:space="preserve"> </w:t>
      </w:r>
      <w:r>
        <w:rPr>
          <w:rFonts w:cstheme="minorHAnsi"/>
          <w:bCs/>
          <w:color w:val="000000" w:themeColor="text1"/>
          <w:lang w:eastAsia="en-US"/>
        </w:rPr>
        <w:t xml:space="preserve">to quantitatively assess the </w:t>
      </w:r>
      <w:r w:rsidR="004062D6" w:rsidRPr="00547138">
        <w:rPr>
          <w:rFonts w:cstheme="minorHAnsi"/>
          <w:bCs/>
          <w:color w:val="000000" w:themeColor="text1"/>
          <w:lang w:eastAsia="en-US"/>
        </w:rPr>
        <w:t xml:space="preserve">distribution of calcite cements and their impact </w:t>
      </w:r>
      <w:r w:rsidR="00C21B7D">
        <w:rPr>
          <w:rFonts w:cstheme="minorHAnsi"/>
          <w:bCs/>
          <w:color w:val="000000" w:themeColor="text1"/>
          <w:lang w:eastAsia="en-US"/>
        </w:rPr>
        <w:t>on</w:t>
      </w:r>
      <w:r w:rsidR="004062D6" w:rsidRPr="00547138">
        <w:rPr>
          <w:rFonts w:cstheme="minorHAnsi"/>
          <w:bCs/>
          <w:color w:val="000000" w:themeColor="text1"/>
          <w:lang w:eastAsia="en-US"/>
        </w:rPr>
        <w:t xml:space="preserve"> </w:t>
      </w:r>
      <w:r w:rsidR="00C21B7D">
        <w:rPr>
          <w:rFonts w:cstheme="minorHAnsi"/>
          <w:bCs/>
          <w:color w:val="000000" w:themeColor="text1"/>
          <w:lang w:eastAsia="en-US"/>
        </w:rPr>
        <w:t xml:space="preserve">hydrocarbon volumes and </w:t>
      </w:r>
      <w:r w:rsidR="004062D6" w:rsidRPr="00547138">
        <w:rPr>
          <w:rFonts w:cstheme="minorHAnsi"/>
          <w:bCs/>
          <w:color w:val="000000" w:themeColor="text1"/>
          <w:lang w:eastAsia="en-US"/>
        </w:rPr>
        <w:t>reservoir quality d</w:t>
      </w:r>
      <w:r>
        <w:rPr>
          <w:rFonts w:cstheme="minorHAnsi"/>
          <w:bCs/>
          <w:color w:val="000000" w:themeColor="text1"/>
          <w:lang w:eastAsia="en-US"/>
        </w:rPr>
        <w:t xml:space="preserve">istribution in Brent reservoirs.  (2) Thistle Field Etive Formation </w:t>
      </w:r>
      <w:r w:rsidR="00797752">
        <w:rPr>
          <w:rFonts w:cstheme="minorHAnsi"/>
          <w:bCs/>
          <w:color w:val="000000" w:themeColor="text1"/>
          <w:lang w:eastAsia="en-US"/>
        </w:rPr>
        <w:t xml:space="preserve">barriers </w:t>
      </w:r>
      <w:r>
        <w:rPr>
          <w:rFonts w:cstheme="minorHAnsi"/>
          <w:bCs/>
          <w:color w:val="000000" w:themeColor="text1"/>
          <w:lang w:eastAsia="en-US"/>
        </w:rPr>
        <w:t xml:space="preserve">and </w:t>
      </w:r>
      <w:r w:rsidR="00797752">
        <w:rPr>
          <w:rFonts w:cstheme="minorHAnsi"/>
          <w:bCs/>
          <w:color w:val="000000" w:themeColor="text1"/>
          <w:lang w:eastAsia="en-US"/>
        </w:rPr>
        <w:t>baffles</w:t>
      </w:r>
      <w:r>
        <w:rPr>
          <w:rFonts w:cstheme="minorHAnsi"/>
          <w:bCs/>
          <w:color w:val="000000" w:themeColor="text1"/>
          <w:lang w:eastAsia="en-US"/>
        </w:rPr>
        <w:t xml:space="preserve">: to </w:t>
      </w:r>
      <w:r w:rsidR="00797752">
        <w:rPr>
          <w:rFonts w:cstheme="minorHAnsi"/>
          <w:bCs/>
          <w:color w:val="000000" w:themeColor="text1"/>
          <w:lang w:eastAsia="en-US"/>
        </w:rPr>
        <w:t xml:space="preserve">characterise </w:t>
      </w:r>
      <w:r>
        <w:rPr>
          <w:rFonts w:cstheme="minorHAnsi"/>
          <w:bCs/>
          <w:color w:val="000000" w:themeColor="text1"/>
          <w:lang w:eastAsia="en-US"/>
        </w:rPr>
        <w:t xml:space="preserve">and describe the origin and </w:t>
      </w:r>
      <w:r w:rsidR="00F67C0B">
        <w:rPr>
          <w:rFonts w:cstheme="minorHAnsi"/>
          <w:bCs/>
          <w:color w:val="000000" w:themeColor="text1"/>
          <w:lang w:eastAsia="en-US"/>
        </w:rPr>
        <w:t>distribution</w:t>
      </w:r>
      <w:r>
        <w:rPr>
          <w:rFonts w:cstheme="minorHAnsi"/>
          <w:bCs/>
          <w:color w:val="000000" w:themeColor="text1"/>
          <w:lang w:eastAsia="en-US"/>
        </w:rPr>
        <w:t xml:space="preserve"> of </w:t>
      </w:r>
      <w:r w:rsidR="004062D6" w:rsidRPr="00547138">
        <w:rPr>
          <w:rFonts w:cstheme="minorHAnsi"/>
          <w:bCs/>
          <w:color w:val="000000" w:themeColor="text1"/>
          <w:lang w:eastAsia="en-US"/>
        </w:rPr>
        <w:t xml:space="preserve">low-permeability </w:t>
      </w:r>
      <w:r w:rsidR="00E1508E">
        <w:rPr>
          <w:rFonts w:cstheme="minorHAnsi"/>
          <w:bCs/>
          <w:color w:val="000000" w:themeColor="text1"/>
          <w:lang w:eastAsia="en-US"/>
        </w:rPr>
        <w:t>intervals</w:t>
      </w:r>
      <w:r w:rsidR="004062D6" w:rsidRPr="00547138">
        <w:rPr>
          <w:rFonts w:cstheme="minorHAnsi"/>
          <w:bCs/>
          <w:color w:val="000000" w:themeColor="text1"/>
          <w:lang w:eastAsia="en-US"/>
        </w:rPr>
        <w:t xml:space="preserve"> with</w:t>
      </w:r>
      <w:r w:rsidR="004062D6">
        <w:rPr>
          <w:rFonts w:cstheme="minorHAnsi"/>
          <w:bCs/>
          <w:color w:val="000000" w:themeColor="text1"/>
          <w:lang w:eastAsia="en-US"/>
        </w:rPr>
        <w:t>in</w:t>
      </w:r>
      <w:r>
        <w:rPr>
          <w:rFonts w:cstheme="minorHAnsi"/>
          <w:bCs/>
          <w:color w:val="000000" w:themeColor="text1"/>
          <w:lang w:eastAsia="en-US"/>
        </w:rPr>
        <w:t xml:space="preserve"> the Etive Formation</w:t>
      </w:r>
      <w:r w:rsidR="00E1508E">
        <w:rPr>
          <w:rFonts w:cstheme="minorHAnsi"/>
          <w:bCs/>
          <w:color w:val="000000" w:themeColor="text1"/>
          <w:lang w:eastAsia="en-US"/>
        </w:rPr>
        <w:t xml:space="preserve"> reservoir</w:t>
      </w:r>
      <w:r w:rsidR="004062D6">
        <w:rPr>
          <w:rFonts w:cstheme="minorHAnsi"/>
          <w:bCs/>
          <w:color w:val="000000" w:themeColor="text1"/>
          <w:lang w:eastAsia="en-US"/>
        </w:rPr>
        <w:t>.</w:t>
      </w:r>
      <w:r>
        <w:rPr>
          <w:rFonts w:cstheme="minorHAnsi"/>
          <w:bCs/>
          <w:color w:val="000000" w:themeColor="text1"/>
          <w:lang w:eastAsia="en-US"/>
        </w:rPr>
        <w:t xml:space="preserve">  </w:t>
      </w:r>
    </w:p>
    <w:p w14:paraId="3B459DD4" w14:textId="77777777" w:rsidR="00C21B7D" w:rsidRDefault="00C21B7D" w:rsidP="00497F5B">
      <w:pPr>
        <w:rPr>
          <w:rFonts w:cstheme="minorHAnsi"/>
          <w:bCs/>
          <w:color w:val="000000" w:themeColor="text1"/>
          <w:lang w:eastAsia="en-US"/>
        </w:rPr>
      </w:pPr>
    </w:p>
    <w:p w14:paraId="5029CE2A" w14:textId="4C65CF80" w:rsidR="00497F5B" w:rsidRPr="00547138" w:rsidRDefault="00797752" w:rsidP="00497F5B">
      <w:pPr>
        <w:rPr>
          <w:rFonts w:cstheme="minorHAnsi"/>
          <w:bCs/>
          <w:color w:val="000000" w:themeColor="text1"/>
          <w:lang w:eastAsia="en-US"/>
        </w:rPr>
      </w:pPr>
      <w:r>
        <w:rPr>
          <w:rFonts w:cstheme="minorHAnsi"/>
          <w:bCs/>
          <w:color w:val="000000" w:themeColor="text1"/>
          <w:lang w:eastAsia="en-US"/>
        </w:rPr>
        <w:t>T</w:t>
      </w:r>
      <w:r w:rsidR="00497F5B">
        <w:rPr>
          <w:rFonts w:cstheme="minorHAnsi"/>
          <w:bCs/>
          <w:color w:val="000000" w:themeColor="text1"/>
          <w:lang w:eastAsia="en-US"/>
        </w:rPr>
        <w:t xml:space="preserve">hese </w:t>
      </w:r>
      <w:r>
        <w:rPr>
          <w:rFonts w:cstheme="minorHAnsi"/>
          <w:bCs/>
          <w:color w:val="000000" w:themeColor="text1"/>
          <w:lang w:eastAsia="en-US"/>
        </w:rPr>
        <w:t xml:space="preserve">two </w:t>
      </w:r>
      <w:r w:rsidR="00497F5B">
        <w:rPr>
          <w:rFonts w:cstheme="minorHAnsi"/>
          <w:bCs/>
          <w:color w:val="000000" w:themeColor="text1"/>
          <w:lang w:eastAsia="en-US"/>
        </w:rPr>
        <w:t xml:space="preserve">studies used a wide </w:t>
      </w:r>
      <w:r w:rsidR="00497F5B" w:rsidRPr="00547138">
        <w:rPr>
          <w:rFonts w:cstheme="minorHAnsi"/>
          <w:bCs/>
          <w:color w:val="000000" w:themeColor="text1"/>
          <w:lang w:eastAsia="en-US"/>
        </w:rPr>
        <w:t xml:space="preserve">variety of core-based techniques including core logging and description, optical microscopy and </w:t>
      </w:r>
      <w:proofErr w:type="spellStart"/>
      <w:r w:rsidR="00497F5B" w:rsidRPr="00547138">
        <w:rPr>
          <w:rFonts w:cstheme="minorHAnsi"/>
          <w:bCs/>
          <w:color w:val="000000" w:themeColor="text1"/>
          <w:lang w:eastAsia="en-US"/>
        </w:rPr>
        <w:t>petrographic</w:t>
      </w:r>
      <w:r w:rsidR="003C1618">
        <w:rPr>
          <w:rFonts w:cstheme="minorHAnsi"/>
          <w:bCs/>
          <w:color w:val="000000" w:themeColor="text1"/>
          <w:lang w:eastAsia="en-US"/>
        </w:rPr>
        <w:t>al</w:t>
      </w:r>
      <w:proofErr w:type="spellEnd"/>
      <w:r w:rsidR="00497F5B" w:rsidRPr="00547138">
        <w:rPr>
          <w:rFonts w:cstheme="minorHAnsi"/>
          <w:bCs/>
          <w:color w:val="000000" w:themeColor="text1"/>
          <w:lang w:eastAsia="en-US"/>
        </w:rPr>
        <w:t xml:space="preserve"> studies, isotope analyses, XRD and SEM-EDS (QEMSCAN)-based mineralogy, portable-XRF, </w:t>
      </w:r>
      <w:proofErr w:type="spellStart"/>
      <w:r w:rsidR="00497F5B" w:rsidRPr="00547138">
        <w:rPr>
          <w:rFonts w:cstheme="minorHAnsi"/>
          <w:bCs/>
          <w:color w:val="000000" w:themeColor="text1"/>
          <w:lang w:eastAsia="en-US"/>
        </w:rPr>
        <w:t>NDTr</w:t>
      </w:r>
      <w:proofErr w:type="spellEnd"/>
      <w:r w:rsidR="00497F5B" w:rsidRPr="00547138">
        <w:rPr>
          <w:rFonts w:cstheme="minorHAnsi"/>
          <w:bCs/>
          <w:color w:val="000000" w:themeColor="text1"/>
          <w:lang w:eastAsia="en-US"/>
        </w:rPr>
        <w:t xml:space="preserve"> and NDT geochemical analysis, as well as image analysis of grain size and texture.</w:t>
      </w:r>
      <w:r w:rsidR="00497F5B">
        <w:rPr>
          <w:rFonts w:cstheme="minorHAnsi"/>
          <w:bCs/>
          <w:color w:val="000000" w:themeColor="text1"/>
          <w:lang w:eastAsia="en-US"/>
        </w:rPr>
        <w:t xml:space="preserve">  </w:t>
      </w:r>
      <w:r w:rsidR="00F67C0B">
        <w:rPr>
          <w:rFonts w:cstheme="minorHAnsi"/>
          <w:bCs/>
          <w:color w:val="000000" w:themeColor="text1"/>
          <w:lang w:eastAsia="en-US"/>
        </w:rPr>
        <w:t>Th</w:t>
      </w:r>
      <w:r>
        <w:rPr>
          <w:rFonts w:cstheme="minorHAnsi"/>
          <w:bCs/>
          <w:color w:val="000000" w:themeColor="text1"/>
          <w:lang w:eastAsia="en-US"/>
        </w:rPr>
        <w:t>ese</w:t>
      </w:r>
      <w:r w:rsidR="00F67C0B">
        <w:rPr>
          <w:rFonts w:cstheme="minorHAnsi"/>
          <w:bCs/>
          <w:color w:val="000000" w:themeColor="text1"/>
          <w:lang w:eastAsia="en-US"/>
        </w:rPr>
        <w:t xml:space="preserve"> data </w:t>
      </w:r>
      <w:r>
        <w:rPr>
          <w:rFonts w:cstheme="minorHAnsi"/>
          <w:bCs/>
          <w:color w:val="000000" w:themeColor="text1"/>
          <w:lang w:eastAsia="en-US"/>
        </w:rPr>
        <w:t xml:space="preserve">were </w:t>
      </w:r>
      <w:r w:rsidR="00F67C0B">
        <w:rPr>
          <w:rFonts w:cstheme="minorHAnsi"/>
          <w:bCs/>
          <w:color w:val="000000" w:themeColor="text1"/>
          <w:lang w:eastAsia="en-US"/>
        </w:rPr>
        <w:t>then integrated with</w:t>
      </w:r>
      <w:r w:rsidR="00497F5B">
        <w:rPr>
          <w:rFonts w:cstheme="minorHAnsi"/>
          <w:bCs/>
          <w:color w:val="000000" w:themeColor="text1"/>
          <w:lang w:eastAsia="en-US"/>
        </w:rPr>
        <w:t xml:space="preserve"> other subsurface datasets</w:t>
      </w:r>
      <w:r>
        <w:rPr>
          <w:rFonts w:cstheme="minorHAnsi"/>
          <w:bCs/>
          <w:color w:val="000000" w:themeColor="text1"/>
          <w:lang w:eastAsia="en-US"/>
        </w:rPr>
        <w:t>,</w:t>
      </w:r>
      <w:r w:rsidR="00497F5B">
        <w:rPr>
          <w:rFonts w:cstheme="minorHAnsi"/>
          <w:bCs/>
          <w:color w:val="000000" w:themeColor="text1"/>
          <w:lang w:eastAsia="en-US"/>
        </w:rPr>
        <w:t xml:space="preserve"> such as well log</w:t>
      </w:r>
      <w:r w:rsidR="006379A9">
        <w:rPr>
          <w:rFonts w:cstheme="minorHAnsi"/>
          <w:bCs/>
          <w:color w:val="000000" w:themeColor="text1"/>
          <w:lang w:eastAsia="en-US"/>
        </w:rPr>
        <w:t xml:space="preserve">, </w:t>
      </w:r>
      <w:r w:rsidR="00497F5B">
        <w:rPr>
          <w:rFonts w:cstheme="minorHAnsi"/>
          <w:bCs/>
          <w:color w:val="000000" w:themeColor="text1"/>
          <w:lang w:eastAsia="en-US"/>
        </w:rPr>
        <w:t>seismic data</w:t>
      </w:r>
      <w:r w:rsidR="006379A9">
        <w:rPr>
          <w:rFonts w:cstheme="minorHAnsi"/>
          <w:bCs/>
          <w:color w:val="000000" w:themeColor="text1"/>
          <w:lang w:eastAsia="en-US"/>
        </w:rPr>
        <w:t xml:space="preserve"> and well performance data</w:t>
      </w:r>
      <w:r>
        <w:rPr>
          <w:rFonts w:cstheme="minorHAnsi"/>
          <w:bCs/>
          <w:color w:val="000000" w:themeColor="text1"/>
          <w:lang w:eastAsia="en-US"/>
        </w:rPr>
        <w:t>,</w:t>
      </w:r>
      <w:r w:rsidR="00497F5B">
        <w:rPr>
          <w:rFonts w:cstheme="minorHAnsi"/>
          <w:bCs/>
          <w:color w:val="000000" w:themeColor="text1"/>
          <w:lang w:eastAsia="en-US"/>
        </w:rPr>
        <w:t xml:space="preserve"> </w:t>
      </w:r>
      <w:proofErr w:type="gramStart"/>
      <w:r w:rsidR="00497F5B">
        <w:rPr>
          <w:rFonts w:cstheme="minorHAnsi"/>
          <w:bCs/>
          <w:color w:val="000000" w:themeColor="text1"/>
          <w:lang w:eastAsia="en-US"/>
        </w:rPr>
        <w:t>in order to</w:t>
      </w:r>
      <w:proofErr w:type="gramEnd"/>
      <w:r w:rsidR="00497F5B">
        <w:rPr>
          <w:rFonts w:cstheme="minorHAnsi"/>
          <w:bCs/>
          <w:color w:val="000000" w:themeColor="text1"/>
          <w:lang w:eastAsia="en-US"/>
        </w:rPr>
        <w:t xml:space="preserve"> address the specific </w:t>
      </w:r>
      <w:r w:rsidR="00C76C7A">
        <w:rPr>
          <w:rFonts w:cstheme="minorHAnsi"/>
          <w:bCs/>
          <w:color w:val="000000" w:themeColor="text1"/>
          <w:lang w:eastAsia="en-US"/>
        </w:rPr>
        <w:t xml:space="preserve">reservoir </w:t>
      </w:r>
      <w:r w:rsidR="00497F5B">
        <w:rPr>
          <w:rFonts w:cstheme="minorHAnsi"/>
          <w:bCs/>
          <w:color w:val="000000" w:themeColor="text1"/>
          <w:lang w:eastAsia="en-US"/>
        </w:rPr>
        <w:t>challenge.</w:t>
      </w:r>
      <w:r w:rsidR="00497F5B" w:rsidRPr="00547138">
        <w:rPr>
          <w:rFonts w:cstheme="minorHAnsi"/>
          <w:bCs/>
          <w:color w:val="000000" w:themeColor="text1"/>
          <w:lang w:eastAsia="en-US"/>
        </w:rPr>
        <w:t xml:space="preserve">  </w:t>
      </w:r>
    </w:p>
    <w:p w14:paraId="6ED6F0E7" w14:textId="77777777" w:rsidR="004062D6" w:rsidRPr="00547138" w:rsidRDefault="004062D6" w:rsidP="004062D6">
      <w:pPr>
        <w:rPr>
          <w:rFonts w:cstheme="minorHAnsi"/>
          <w:bCs/>
          <w:color w:val="000000" w:themeColor="text1"/>
          <w:lang w:eastAsia="en-US"/>
        </w:rPr>
      </w:pPr>
    </w:p>
    <w:p w14:paraId="46E4D158" w14:textId="78D643CE" w:rsidR="004062D6" w:rsidRPr="00547138" w:rsidRDefault="004062D6" w:rsidP="004062D6">
      <w:pPr>
        <w:rPr>
          <w:rFonts w:cstheme="minorHAnsi"/>
          <w:bCs/>
          <w:color w:val="000000" w:themeColor="text1"/>
          <w:lang w:eastAsia="en-US"/>
        </w:rPr>
      </w:pPr>
      <w:r w:rsidRPr="00547138">
        <w:rPr>
          <w:rFonts w:cstheme="minorHAnsi"/>
          <w:bCs/>
          <w:color w:val="000000" w:themeColor="text1"/>
          <w:lang w:eastAsia="en-US"/>
        </w:rPr>
        <w:t>These new and focussed reappraisals of core demonstrate the dual value of core-based studies</w:t>
      </w:r>
      <w:r w:rsidR="003C1618">
        <w:rPr>
          <w:rFonts w:cstheme="minorHAnsi"/>
          <w:bCs/>
          <w:color w:val="000000" w:themeColor="text1"/>
          <w:lang w:eastAsia="en-US"/>
        </w:rPr>
        <w:t>,</w:t>
      </w:r>
      <w:r w:rsidRPr="00547138">
        <w:rPr>
          <w:rFonts w:cstheme="minorHAnsi"/>
          <w:bCs/>
          <w:color w:val="000000" w:themeColor="text1"/>
          <w:lang w:eastAsia="en-US"/>
        </w:rPr>
        <w:t xml:space="preserve"> </w:t>
      </w:r>
      <w:r>
        <w:rPr>
          <w:rFonts w:cstheme="minorHAnsi"/>
          <w:bCs/>
          <w:color w:val="000000" w:themeColor="text1"/>
          <w:lang w:eastAsia="en-US"/>
        </w:rPr>
        <w:t>which can</w:t>
      </w:r>
      <w:r w:rsidRPr="00547138">
        <w:rPr>
          <w:rFonts w:cstheme="minorHAnsi"/>
          <w:bCs/>
          <w:color w:val="000000" w:themeColor="text1"/>
          <w:lang w:eastAsia="en-US"/>
        </w:rPr>
        <w:t xml:space="preserve">: </w:t>
      </w:r>
    </w:p>
    <w:p w14:paraId="533FE786" w14:textId="1C49E3B7" w:rsidR="004062D6" w:rsidRPr="00547138" w:rsidRDefault="00873225" w:rsidP="004062D6">
      <w:pPr>
        <w:pStyle w:val="ListParagraph"/>
        <w:numPr>
          <w:ilvl w:val="0"/>
          <w:numId w:val="2"/>
        </w:numPr>
        <w:rPr>
          <w:rFonts w:cstheme="minorHAnsi"/>
          <w:bCs/>
          <w:color w:val="000000" w:themeColor="text1"/>
          <w:lang w:eastAsia="en-US"/>
        </w:rPr>
      </w:pPr>
      <w:r>
        <w:rPr>
          <w:rFonts w:cstheme="minorHAnsi"/>
          <w:bCs/>
          <w:color w:val="000000" w:themeColor="text1"/>
          <w:lang w:eastAsia="en-US"/>
        </w:rPr>
        <w:t>I</w:t>
      </w:r>
      <w:r w:rsidR="004062D6" w:rsidRPr="00547138">
        <w:rPr>
          <w:rFonts w:cstheme="minorHAnsi"/>
          <w:bCs/>
          <w:color w:val="000000" w:themeColor="text1"/>
          <w:lang w:eastAsia="en-US"/>
        </w:rPr>
        <w:t xml:space="preserve">mprove the understanding of producing hydrocarbon reservoirs, leading to improved productivity and </w:t>
      </w:r>
      <w:r w:rsidR="004D2409">
        <w:rPr>
          <w:rFonts w:cstheme="minorHAnsi"/>
          <w:bCs/>
          <w:color w:val="000000" w:themeColor="text1"/>
          <w:lang w:eastAsia="en-US"/>
        </w:rPr>
        <w:t>recovery.</w:t>
      </w:r>
      <w:r w:rsidR="00782885">
        <w:rPr>
          <w:rFonts w:cstheme="minorHAnsi"/>
          <w:bCs/>
          <w:color w:val="000000" w:themeColor="text1"/>
          <w:lang w:eastAsia="en-US"/>
        </w:rPr>
        <w:t xml:space="preserve">  Core is a full </w:t>
      </w:r>
      <w:r w:rsidR="003C6ECC">
        <w:rPr>
          <w:rFonts w:cstheme="minorHAnsi"/>
          <w:bCs/>
          <w:color w:val="000000" w:themeColor="text1"/>
          <w:lang w:eastAsia="en-US"/>
        </w:rPr>
        <w:t xml:space="preserve">asset </w:t>
      </w:r>
      <w:r w:rsidR="00782885">
        <w:rPr>
          <w:rFonts w:cstheme="minorHAnsi"/>
          <w:bCs/>
          <w:color w:val="000000" w:themeColor="text1"/>
          <w:lang w:eastAsia="en-US"/>
        </w:rPr>
        <w:t>life</w:t>
      </w:r>
      <w:r w:rsidR="003C6ECC">
        <w:rPr>
          <w:rFonts w:cstheme="minorHAnsi"/>
          <w:bCs/>
          <w:color w:val="000000" w:themeColor="text1"/>
          <w:lang w:eastAsia="en-US"/>
        </w:rPr>
        <w:t>-</w:t>
      </w:r>
      <w:r w:rsidR="00782885">
        <w:rPr>
          <w:rFonts w:cstheme="minorHAnsi"/>
          <w:bCs/>
          <w:color w:val="000000" w:themeColor="text1"/>
          <w:lang w:eastAsia="en-US"/>
        </w:rPr>
        <w:t>cy</w:t>
      </w:r>
      <w:r w:rsidR="003C6ECC">
        <w:rPr>
          <w:rFonts w:cstheme="minorHAnsi"/>
          <w:bCs/>
          <w:color w:val="000000" w:themeColor="text1"/>
          <w:lang w:eastAsia="en-US"/>
        </w:rPr>
        <w:t>c</w:t>
      </w:r>
      <w:r w:rsidR="00782885">
        <w:rPr>
          <w:rFonts w:cstheme="minorHAnsi"/>
          <w:bCs/>
          <w:color w:val="000000" w:themeColor="text1"/>
          <w:lang w:eastAsia="en-US"/>
        </w:rPr>
        <w:t xml:space="preserve">le resource and provides critical </w:t>
      </w:r>
      <w:r w:rsidR="00782885">
        <w:rPr>
          <w:rFonts w:cstheme="minorHAnsi"/>
          <w:bCs/>
          <w:color w:val="000000" w:themeColor="text1"/>
          <w:lang w:eastAsia="en-US"/>
        </w:rPr>
        <w:lastRenderedPageBreak/>
        <w:t>insight at all stage of field maturity as production behaviour changes and alternative development strategies are considered.</w:t>
      </w:r>
    </w:p>
    <w:p w14:paraId="55A1CF41" w14:textId="68646ED9" w:rsidR="004062D6" w:rsidRPr="00547138" w:rsidRDefault="00873225" w:rsidP="004062D6">
      <w:pPr>
        <w:pStyle w:val="ListParagraph"/>
        <w:numPr>
          <w:ilvl w:val="0"/>
          <w:numId w:val="2"/>
        </w:numPr>
        <w:rPr>
          <w:rFonts w:cstheme="minorHAnsi"/>
          <w:bCs/>
          <w:color w:val="000000" w:themeColor="text1"/>
          <w:lang w:eastAsia="en-US"/>
        </w:rPr>
      </w:pPr>
      <w:r>
        <w:rPr>
          <w:rFonts w:cstheme="minorHAnsi"/>
          <w:bCs/>
          <w:color w:val="000000" w:themeColor="text1"/>
          <w:lang w:eastAsia="en-US"/>
        </w:rPr>
        <w:t>F</w:t>
      </w:r>
      <w:r w:rsidR="004062D6" w:rsidRPr="00547138">
        <w:rPr>
          <w:rFonts w:cstheme="minorHAnsi"/>
          <w:bCs/>
          <w:color w:val="000000" w:themeColor="text1"/>
          <w:lang w:eastAsia="en-US"/>
        </w:rPr>
        <w:t xml:space="preserve">urther our general knowledge and understanding of clastic sedimentology and diagenesis using rich and diverse </w:t>
      </w:r>
      <w:r w:rsidR="00782885" w:rsidRPr="00547138">
        <w:rPr>
          <w:rFonts w:cstheme="minorHAnsi"/>
          <w:bCs/>
          <w:color w:val="000000" w:themeColor="text1"/>
          <w:lang w:eastAsia="en-US"/>
        </w:rPr>
        <w:t>core-based</w:t>
      </w:r>
      <w:r w:rsidR="004062D6" w:rsidRPr="00547138">
        <w:rPr>
          <w:rFonts w:cstheme="minorHAnsi"/>
          <w:bCs/>
          <w:color w:val="000000" w:themeColor="text1"/>
          <w:lang w:eastAsia="en-US"/>
        </w:rPr>
        <w:t xml:space="preserve"> datasets backed up by substantial </w:t>
      </w:r>
      <w:r w:rsidR="004D2409">
        <w:rPr>
          <w:rFonts w:cstheme="minorHAnsi"/>
          <w:bCs/>
          <w:color w:val="000000" w:themeColor="text1"/>
          <w:lang w:eastAsia="en-US"/>
        </w:rPr>
        <w:t>well log</w:t>
      </w:r>
      <w:r w:rsidR="004062D6" w:rsidRPr="00547138">
        <w:rPr>
          <w:rFonts w:cstheme="minorHAnsi"/>
          <w:bCs/>
          <w:color w:val="000000" w:themeColor="text1"/>
          <w:lang w:eastAsia="en-US"/>
        </w:rPr>
        <w:t xml:space="preserve"> and seismic datasets.</w:t>
      </w:r>
    </w:p>
    <w:p w14:paraId="3B98C6B5" w14:textId="77777777" w:rsidR="004062D6" w:rsidRPr="00547138" w:rsidRDefault="004062D6" w:rsidP="004062D6">
      <w:pPr>
        <w:rPr>
          <w:rFonts w:cstheme="minorHAnsi"/>
          <w:color w:val="000000" w:themeColor="text1"/>
        </w:rPr>
      </w:pPr>
    </w:p>
    <w:p w14:paraId="6F0BDC47" w14:textId="77777777" w:rsidR="004062D6" w:rsidRPr="00547138" w:rsidRDefault="004062D6" w:rsidP="004062D6">
      <w:pPr>
        <w:rPr>
          <w:rFonts w:cstheme="minorHAnsi"/>
          <w:color w:val="000000" w:themeColor="text1"/>
        </w:rPr>
      </w:pPr>
    </w:p>
    <w:p w14:paraId="350E776B" w14:textId="77777777" w:rsidR="004062D6" w:rsidRPr="005B26B9" w:rsidRDefault="004062D6" w:rsidP="004062D6">
      <w:pPr>
        <w:pStyle w:val="Heading1"/>
        <w:rPr>
          <w:b w:val="0"/>
        </w:rPr>
      </w:pPr>
      <w:r w:rsidRPr="00547138">
        <w:t>Introduction</w:t>
      </w:r>
    </w:p>
    <w:p w14:paraId="070825CE" w14:textId="5AF14BC6" w:rsidR="004062D6" w:rsidRDefault="004062D6" w:rsidP="004062D6">
      <w:r w:rsidRPr="00547138">
        <w:t>A significant proportion of the world’s daily oil production comes from mature fields, possibly as much as two-thirds (</w:t>
      </w:r>
      <w:r w:rsidRPr="00873225">
        <w:rPr>
          <w:i/>
        </w:rPr>
        <w:t>https://petrowiki.spe.org/Mature_fields</w:t>
      </w:r>
      <w:r w:rsidRPr="00547138">
        <w:t xml:space="preserve">).  There is no formal definition of </w:t>
      </w:r>
      <w:r w:rsidR="00873225">
        <w:t>maturity,</w:t>
      </w:r>
      <w:r w:rsidRPr="00547138">
        <w:t xml:space="preserve"> but generally fields are considered mature if they have produced more than 50% of their established proved plus probable resource </w:t>
      </w:r>
      <w:r w:rsidR="002F6574" w:rsidRPr="00547138">
        <w:t>estimates</w:t>
      </w:r>
      <w:r w:rsidR="002F6574">
        <w:t xml:space="preserve"> or</w:t>
      </w:r>
      <w:r w:rsidRPr="00547138">
        <w:t xml:space="preserve"> have produced for more than 25 years.</w:t>
      </w:r>
      <w:r>
        <w:t xml:space="preserve">  </w:t>
      </w:r>
    </w:p>
    <w:p w14:paraId="5E9F12D2" w14:textId="77777777" w:rsidR="004062D6" w:rsidRDefault="004062D6" w:rsidP="004062D6"/>
    <w:p w14:paraId="17A1EAF7" w14:textId="6E249902" w:rsidR="004062D6" w:rsidRDefault="004062D6" w:rsidP="004062D6">
      <w:r>
        <w:t xml:space="preserve">In general, production from mature fields will be in a decline phase.  </w:t>
      </w:r>
      <w:r w:rsidRPr="00547138">
        <w:t>Operating mature and late-life oil and gas assets requires maximising economic production</w:t>
      </w:r>
      <w:r>
        <w:t xml:space="preserve"> </w:t>
      </w:r>
      <w:r w:rsidR="00C21B7D">
        <w:t xml:space="preserve">up </w:t>
      </w:r>
      <w:r>
        <w:t>until the point at which operation is no longer economic</w:t>
      </w:r>
      <w:r w:rsidRPr="00547138">
        <w:t>.</w:t>
      </w:r>
      <w:r>
        <w:t xml:space="preserve">  Activities</w:t>
      </w:r>
      <w:r w:rsidR="004035D2">
        <w:t>,</w:t>
      </w:r>
      <w:r>
        <w:t xml:space="preserve"> such as improving production efficiency, Enhance</w:t>
      </w:r>
      <w:r w:rsidR="004035D2">
        <w:t>d</w:t>
      </w:r>
      <w:r>
        <w:t xml:space="preserve"> Oil Recovery</w:t>
      </w:r>
      <w:r w:rsidR="004035D2">
        <w:t xml:space="preserve"> (EOR</w:t>
      </w:r>
      <w:r>
        <w:t>), well and reservoir management, waterflood optimisation, well intervention and infill drilling</w:t>
      </w:r>
      <w:r w:rsidR="004035D2">
        <w:t>,</w:t>
      </w:r>
      <w:r>
        <w:t xml:space="preserve"> are important to protect base production but also </w:t>
      </w:r>
      <w:r w:rsidR="004035D2">
        <w:t xml:space="preserve">to </w:t>
      </w:r>
      <w:r>
        <w:t xml:space="preserve">extend </w:t>
      </w:r>
      <w:r w:rsidR="00873225">
        <w:t xml:space="preserve">oil </w:t>
      </w:r>
      <w:r>
        <w:t>field life.</w:t>
      </w:r>
    </w:p>
    <w:p w14:paraId="39BFD60E" w14:textId="77777777" w:rsidR="004062D6" w:rsidRDefault="004062D6" w:rsidP="004062D6"/>
    <w:p w14:paraId="0F83A623" w14:textId="77777777" w:rsidR="004062D6" w:rsidRDefault="004062D6" w:rsidP="004062D6">
      <w:pPr>
        <w:pStyle w:val="Heading1"/>
      </w:pPr>
      <w:r>
        <w:t>Subsurface Challenges of Mature Fields</w:t>
      </w:r>
    </w:p>
    <w:p w14:paraId="48895864" w14:textId="5A55A9B7" w:rsidR="004062D6" w:rsidRDefault="004062D6" w:rsidP="004062D6">
      <w:r>
        <w:t xml:space="preserve">Mature oil fields that have been in production for </w:t>
      </w:r>
      <w:r w:rsidR="00C21B7D">
        <w:t>25+ years</w:t>
      </w:r>
      <w:r>
        <w:t xml:space="preserve"> have specific subsurface challenges that are relevant when trying to improve productivity and maximiz</w:t>
      </w:r>
      <w:r w:rsidR="00E1508E">
        <w:t>e</w:t>
      </w:r>
      <w:r>
        <w:t xml:space="preserve"> economic recovery.</w:t>
      </w:r>
      <w:r w:rsidR="00873225">
        <w:t xml:space="preserve">  </w:t>
      </w:r>
      <w:r>
        <w:t>These include:</w:t>
      </w:r>
      <w:r w:rsidR="005C1597">
        <w:t xml:space="preserve"> (1) subsurface data q</w:t>
      </w:r>
      <w:r>
        <w:t>uality</w:t>
      </w:r>
      <w:r w:rsidR="005C1597">
        <w:t>, and (2) reservoir modelling accuracy and predictability.</w:t>
      </w:r>
    </w:p>
    <w:p w14:paraId="5810DFB3" w14:textId="49262629" w:rsidR="005C1597" w:rsidRDefault="005C1597" w:rsidP="004062D6"/>
    <w:p w14:paraId="5792BF53" w14:textId="7D5252EA" w:rsidR="00782885" w:rsidRDefault="00782885" w:rsidP="00782885">
      <w:pPr>
        <w:pStyle w:val="Heading2"/>
      </w:pPr>
      <w:r>
        <w:t>Data Quality</w:t>
      </w:r>
    </w:p>
    <w:p w14:paraId="1A62BB09" w14:textId="4928452B" w:rsidR="004062D6" w:rsidRDefault="004062D6" w:rsidP="004062D6">
      <w:r>
        <w:t>Subsurface data</w:t>
      </w:r>
      <w:r w:rsidR="005C1597">
        <w:t>sets</w:t>
      </w:r>
      <w:r>
        <w:t xml:space="preserve"> from mature fields, e.g.</w:t>
      </w:r>
      <w:r w:rsidR="0015011C">
        <w:t>,</w:t>
      </w:r>
      <w:r>
        <w:t xml:space="preserve"> core, wireli</w:t>
      </w:r>
      <w:r w:rsidR="005C1597">
        <w:t>ne/LWD logs, production logs, are</w:t>
      </w:r>
      <w:r>
        <w:t xml:space="preserve"> </w:t>
      </w:r>
      <w:r w:rsidR="0015011C">
        <w:t xml:space="preserve">typically </w:t>
      </w:r>
      <w:r>
        <w:t xml:space="preserve">highly variable in </w:t>
      </w:r>
      <w:r w:rsidR="0015011C">
        <w:t xml:space="preserve">terms of </w:t>
      </w:r>
      <w:r w:rsidR="005C1597">
        <w:t xml:space="preserve">both </w:t>
      </w:r>
      <w:r>
        <w:t xml:space="preserve">vintage and quality.  </w:t>
      </w:r>
      <w:r w:rsidR="005C1597">
        <w:t>C</w:t>
      </w:r>
      <w:r>
        <w:t xml:space="preserve">ore is </w:t>
      </w:r>
      <w:r w:rsidR="005C1597">
        <w:t xml:space="preserve">generally </w:t>
      </w:r>
      <w:r>
        <w:t xml:space="preserve">only taken in </w:t>
      </w:r>
      <w:r>
        <w:lastRenderedPageBreak/>
        <w:t xml:space="preserve">the </w:t>
      </w:r>
      <w:r w:rsidR="00873225">
        <w:t xml:space="preserve">early </w:t>
      </w:r>
      <w:r>
        <w:t>exploration/appraisal/pre-production phases and may be variable in terms of preservation and current condition.  Log data may also vary</w:t>
      </w:r>
      <w:r w:rsidR="000E4159">
        <w:t xml:space="preserve"> significantly</w:t>
      </w:r>
      <w:r>
        <w:t xml:space="preserve"> in vintage</w:t>
      </w:r>
      <w:r w:rsidR="003C6ECC">
        <w:t xml:space="preserve"> (</w:t>
      </w:r>
      <w:proofErr w:type="gramStart"/>
      <w:r w:rsidR="003C6ECC">
        <w:t>e.g.</w:t>
      </w:r>
      <w:proofErr w:type="gramEnd"/>
      <w:r w:rsidR="003C6ECC">
        <w:t xml:space="preserve"> different generations of logging tools)</w:t>
      </w:r>
      <w:r>
        <w:t xml:space="preserve"> </w:t>
      </w:r>
      <w:r w:rsidR="005C1597">
        <w:t xml:space="preserve">that impacts </w:t>
      </w:r>
      <w:r>
        <w:t>resolution or quality</w:t>
      </w:r>
      <w:r w:rsidR="00E1508E">
        <w:t xml:space="preserve"> and may introduce bias in parts of datasets</w:t>
      </w:r>
      <w:r>
        <w:t>.</w:t>
      </w:r>
    </w:p>
    <w:p w14:paraId="58ADF60D" w14:textId="14CF8784" w:rsidR="004062D6" w:rsidRDefault="004062D6" w:rsidP="004062D6"/>
    <w:p w14:paraId="788E9244" w14:textId="3882A9F7" w:rsidR="000E4159" w:rsidRDefault="000E4159" w:rsidP="000E4159">
      <w:pPr>
        <w:pStyle w:val="Heading2"/>
      </w:pPr>
      <w:r>
        <w:t>Reservoir Modelling</w:t>
      </w:r>
    </w:p>
    <w:p w14:paraId="24C529E4" w14:textId="4EF41BAA" w:rsidR="005C1597" w:rsidRDefault="005C1597" w:rsidP="005C1597">
      <w:r>
        <w:t xml:space="preserve">Potentially costly activities to maintain or improve mature oil field productivity are often based on </w:t>
      </w:r>
      <w:r w:rsidR="00C217FF">
        <w:t xml:space="preserve">assessments supported by </w:t>
      </w:r>
      <w:r>
        <w:t xml:space="preserve">reservoir models or analytical studies that attempt to describe and predict reservoir performance and behaviour.  This type of evaluation </w:t>
      </w:r>
      <w:r w:rsidR="00E1508E">
        <w:t>relies</w:t>
      </w:r>
      <w:r>
        <w:t xml:space="preserve"> on a </w:t>
      </w:r>
      <w:r w:rsidR="00896285">
        <w:t>robust</w:t>
      </w:r>
      <w:r>
        <w:t xml:space="preserve"> description and understanding of the reservoir, e.g.</w:t>
      </w:r>
      <w:r w:rsidR="0015011C">
        <w:t>,</w:t>
      </w:r>
      <w:r>
        <w:t xml:space="preserve"> </w:t>
      </w:r>
      <w:r w:rsidR="00896285">
        <w:t xml:space="preserve">the distribution and </w:t>
      </w:r>
      <w:r>
        <w:t xml:space="preserve">architecture of </w:t>
      </w:r>
      <w:r w:rsidR="00896285">
        <w:t xml:space="preserve">key </w:t>
      </w:r>
      <w:r>
        <w:t xml:space="preserve">flow units and </w:t>
      </w:r>
      <w:r w:rsidR="00896285">
        <w:t xml:space="preserve">potential </w:t>
      </w:r>
      <w:r>
        <w:t>barriers or baffles.</w:t>
      </w:r>
      <w:r w:rsidR="000E4159">
        <w:t xml:space="preserve">  In addition, such studies require </w:t>
      </w:r>
      <w:r w:rsidR="00C217FF">
        <w:t>reliable</w:t>
      </w:r>
      <w:r w:rsidR="000E4159">
        <w:t xml:space="preserve"> input data related to reservoir quality and flow (</w:t>
      </w:r>
      <w:proofErr w:type="gramStart"/>
      <w:r w:rsidR="000E4159">
        <w:t>e.g.</w:t>
      </w:r>
      <w:proofErr w:type="gramEnd"/>
      <w:r w:rsidR="000E4159">
        <w:t xml:space="preserve"> porosity, permeability and relative permeability) that are derived from, or calibrated to</w:t>
      </w:r>
      <w:r w:rsidR="003C1618">
        <w:t>,</w:t>
      </w:r>
      <w:r w:rsidR="000E4159">
        <w:t xml:space="preserve"> core data.</w:t>
      </w:r>
    </w:p>
    <w:p w14:paraId="3AE4C926" w14:textId="5A43D55D" w:rsidR="005C1597" w:rsidRDefault="005C1597" w:rsidP="004062D6"/>
    <w:p w14:paraId="3374D3F1" w14:textId="44DB5B90" w:rsidR="00C03756" w:rsidRDefault="00E85984" w:rsidP="004062D6">
      <w:r>
        <w:t>Reservoir model simulation</w:t>
      </w:r>
      <w:r w:rsidR="004062D6">
        <w:t xml:space="preserve"> of </w:t>
      </w:r>
      <w:r w:rsidR="000E4159">
        <w:t xml:space="preserve">large </w:t>
      </w:r>
      <w:r w:rsidR="004062D6">
        <w:t xml:space="preserve">mature fields is </w:t>
      </w:r>
      <w:r w:rsidR="0015011C">
        <w:t xml:space="preserve">typically </w:t>
      </w:r>
      <w:r w:rsidR="004062D6">
        <w:t xml:space="preserve">challenging due to </w:t>
      </w:r>
      <w:r w:rsidR="005C1597">
        <w:t xml:space="preserve">a combination of </w:t>
      </w:r>
      <w:r w:rsidR="004062D6">
        <w:t xml:space="preserve">field size and reservoir complexity.  History matching </w:t>
      </w:r>
      <w:r w:rsidR="009911C2">
        <w:t xml:space="preserve">or calibrating </w:t>
      </w:r>
      <w:r w:rsidR="004062D6">
        <w:t xml:space="preserve">these models through dynamic simulation is also made difficult by the nature of the long periods of </w:t>
      </w:r>
      <w:r w:rsidR="001F05CF">
        <w:t xml:space="preserve">complex </w:t>
      </w:r>
      <w:r w:rsidR="004062D6">
        <w:t xml:space="preserve">production and </w:t>
      </w:r>
      <w:r w:rsidR="001F05CF">
        <w:t xml:space="preserve">associated </w:t>
      </w:r>
      <w:r w:rsidR="004062D6">
        <w:t xml:space="preserve">production </w:t>
      </w:r>
      <w:r w:rsidR="00C03756">
        <w:t xml:space="preserve">and reservoir surveillance </w:t>
      </w:r>
      <w:r w:rsidR="004062D6">
        <w:t xml:space="preserve">datasets often required to match </w:t>
      </w:r>
      <w:r w:rsidR="00C40498">
        <w:t>against</w:t>
      </w:r>
      <w:r w:rsidR="004062D6">
        <w:t>, e.g.</w:t>
      </w:r>
      <w:r w:rsidR="0015011C">
        <w:t>,</w:t>
      </w:r>
      <w:r w:rsidR="004062D6">
        <w:t xml:space="preserve"> rates </w:t>
      </w:r>
      <w:r w:rsidR="0015011C">
        <w:t xml:space="preserve">and </w:t>
      </w:r>
      <w:r w:rsidR="004062D6">
        <w:t xml:space="preserve">totals for the main phases (water, </w:t>
      </w:r>
      <w:proofErr w:type="gramStart"/>
      <w:r w:rsidR="004062D6">
        <w:t>oil</w:t>
      </w:r>
      <w:proofErr w:type="gramEnd"/>
      <w:r w:rsidR="004062D6">
        <w:t xml:space="preserve"> and gas), pressure data (RFT data, gauge data, bottom</w:t>
      </w:r>
      <w:r w:rsidR="00873225">
        <w:t>-</w:t>
      </w:r>
      <w:r w:rsidR="004062D6">
        <w:t>hole pressures) and production logs (PLTs, saturations).</w:t>
      </w:r>
      <w:r w:rsidR="00C03756">
        <w:t xml:space="preserve">  These datasets may have issues related to accuracy (</w:t>
      </w:r>
      <w:proofErr w:type="gramStart"/>
      <w:r w:rsidR="00C03756">
        <w:t>e.g.</w:t>
      </w:r>
      <w:proofErr w:type="gramEnd"/>
      <w:r w:rsidR="00C03756">
        <w:t xml:space="preserve"> production or injection allocation</w:t>
      </w:r>
      <w:r w:rsidR="00E1508E">
        <w:t>, well tests</w:t>
      </w:r>
      <w:r w:rsidR="00C03756">
        <w:t xml:space="preserve">), frequency (e.g. production logging), or </w:t>
      </w:r>
      <w:r w:rsidR="009911C2">
        <w:t xml:space="preserve">the </w:t>
      </w:r>
      <w:r w:rsidR="00C03756">
        <w:t xml:space="preserve">reliability </w:t>
      </w:r>
      <w:r w:rsidR="009911C2">
        <w:t>and</w:t>
      </w:r>
      <w:r w:rsidR="00C03756">
        <w:t xml:space="preserve"> </w:t>
      </w:r>
      <w:r w:rsidR="009911C2">
        <w:t>duration</w:t>
      </w:r>
      <w:r w:rsidR="00C03756">
        <w:t xml:space="preserve"> of measurement recording instruments (e.g. downhole gauges).</w:t>
      </w:r>
    </w:p>
    <w:p w14:paraId="54CB0B98" w14:textId="77777777" w:rsidR="00C03756" w:rsidRDefault="00C03756" w:rsidP="004062D6"/>
    <w:p w14:paraId="76058EEB" w14:textId="65410407" w:rsidR="004062D6" w:rsidRDefault="004062D6" w:rsidP="004062D6">
      <w:r>
        <w:t xml:space="preserve">The accuracy and predictability of these models is important as the potential production increment of any additional proposed activity (infill drilling or </w:t>
      </w:r>
      <w:proofErr w:type="spellStart"/>
      <w:r>
        <w:t>sidetracking</w:t>
      </w:r>
      <w:proofErr w:type="spellEnd"/>
      <w:r>
        <w:t xml:space="preserve">, well workover </w:t>
      </w:r>
      <w:r w:rsidRPr="003C1618">
        <w:rPr>
          <w:i/>
          <w:iCs/>
        </w:rPr>
        <w:t>etc</w:t>
      </w:r>
      <w:r>
        <w:t xml:space="preserve">.) can be relatively small compared to overall field size.  The size of </w:t>
      </w:r>
      <w:r w:rsidR="00C86AB1">
        <w:t xml:space="preserve">incremental volumes of such </w:t>
      </w:r>
      <w:r>
        <w:t xml:space="preserve">targets may often be at a similar scale to, or smaller than, the uncertainty or error of a single reservoir model prediction case.  This challenge is facilitated if </w:t>
      </w:r>
      <w:r w:rsidR="005C1597">
        <w:t xml:space="preserve">the simulation model can be calibrated to </w:t>
      </w:r>
      <w:r>
        <w:t>recent reliable production data (e.g.</w:t>
      </w:r>
      <w:r w:rsidR="0015011C">
        <w:t>,</w:t>
      </w:r>
      <w:r>
        <w:t xml:space="preserve"> </w:t>
      </w:r>
      <w:proofErr w:type="gramStart"/>
      <w:r>
        <w:t>reliable</w:t>
      </w:r>
      <w:proofErr w:type="gramEnd"/>
      <w:r>
        <w:t xml:space="preserve"> and frequent well tests) and recent </w:t>
      </w:r>
      <w:r>
        <w:lastRenderedPageBreak/>
        <w:t xml:space="preserve">production log </w:t>
      </w:r>
      <w:r w:rsidR="00C03756">
        <w:t xml:space="preserve">and surveillance </w:t>
      </w:r>
      <w:r>
        <w:t>data</w:t>
      </w:r>
      <w:r w:rsidR="00C03756">
        <w:t xml:space="preserve"> (including 4D seismic)</w:t>
      </w:r>
      <w:r>
        <w:t xml:space="preserve"> </w:t>
      </w:r>
      <w:r w:rsidR="0015011C">
        <w:t xml:space="preserve">are </w:t>
      </w:r>
      <w:r>
        <w:t xml:space="preserve">available for the </w:t>
      </w:r>
      <w:r w:rsidR="0015011C">
        <w:t xml:space="preserve">part </w:t>
      </w:r>
      <w:r>
        <w:t xml:space="preserve">of the field </w:t>
      </w:r>
      <w:r w:rsidR="00E1508E">
        <w:t xml:space="preserve">or reservoir </w:t>
      </w:r>
      <w:r>
        <w:t>being evaluated.</w:t>
      </w:r>
    </w:p>
    <w:p w14:paraId="4E48BE96" w14:textId="77777777" w:rsidR="004062D6" w:rsidRDefault="004062D6" w:rsidP="004062D6"/>
    <w:p w14:paraId="57C46C03" w14:textId="77777777" w:rsidR="004062D6" w:rsidRDefault="004062D6" w:rsidP="004062D6">
      <w:pPr>
        <w:pStyle w:val="Heading1"/>
      </w:pPr>
      <w:r>
        <w:t>Value of Core-Based Studies</w:t>
      </w:r>
    </w:p>
    <w:p w14:paraId="2570A208" w14:textId="13D9C3F1" w:rsidR="001F05CF" w:rsidRDefault="004062D6" w:rsidP="004062D6">
      <w:r>
        <w:t xml:space="preserve">One of the key data types that underpins both conceptual understanding and reservoir behaviour is core material.  The evaluation, analysis and interpretation of core allows geoscientists to evaluate and understand reservoir sedimentology and </w:t>
      </w:r>
      <w:r w:rsidR="006111D4">
        <w:t xml:space="preserve">reservoir quality </w:t>
      </w:r>
      <w:r>
        <w:t xml:space="preserve">using a wide variety of techniques and data types, such </w:t>
      </w:r>
      <w:r w:rsidR="00C40498">
        <w:t xml:space="preserve">as core description, mineralogy, </w:t>
      </w:r>
      <w:r>
        <w:t>m</w:t>
      </w:r>
      <w:r w:rsidR="00C40498">
        <w:t>icroscopy</w:t>
      </w:r>
      <w:r w:rsidR="006111D4">
        <w:t>, geochemistry</w:t>
      </w:r>
      <w:r w:rsidR="00C40498">
        <w:t xml:space="preserve"> and petrophysical analysis</w:t>
      </w:r>
      <w:r>
        <w:t xml:space="preserve"> (Fi</w:t>
      </w:r>
      <w:r w:rsidR="001F05CF">
        <w:t>g</w:t>
      </w:r>
      <w:r w:rsidR="00BB2D7F">
        <w:t>.</w:t>
      </w:r>
      <w:r w:rsidR="00C40498">
        <w:t xml:space="preserve"> 1). </w:t>
      </w:r>
    </w:p>
    <w:p w14:paraId="6D04D8CE" w14:textId="77777777" w:rsidR="001F05CF" w:rsidRDefault="001F05CF" w:rsidP="004062D6"/>
    <w:p w14:paraId="6DFE571C" w14:textId="1A4AEBDD" w:rsidR="004062D6" w:rsidRDefault="004062D6" w:rsidP="004062D6">
      <w:r>
        <w:t>Core provides critical insight</w:t>
      </w:r>
      <w:r w:rsidR="006111D4">
        <w:t>s in</w:t>
      </w:r>
      <w:r>
        <w:t xml:space="preserve">to reservoir </w:t>
      </w:r>
      <w:r w:rsidR="00C21B7D">
        <w:t xml:space="preserve">character, </w:t>
      </w:r>
      <w:proofErr w:type="gramStart"/>
      <w:r>
        <w:t>architecture</w:t>
      </w:r>
      <w:proofErr w:type="gramEnd"/>
      <w:r>
        <w:t xml:space="preserve"> and heterogeneity, often not obtainable by any other means.  These type of data and information provide </w:t>
      </w:r>
      <w:r w:rsidR="00E42316">
        <w:t xml:space="preserve">critical information on </w:t>
      </w:r>
      <w:r>
        <w:t xml:space="preserve">how reservoirs are likely </w:t>
      </w:r>
      <w:r w:rsidR="006111D4">
        <w:t xml:space="preserve">to </w:t>
      </w:r>
      <w:r>
        <w:t>perform under production conditions</w:t>
      </w:r>
      <w:r w:rsidR="009911C2">
        <w:t xml:space="preserve"> and recovery processes</w:t>
      </w:r>
      <w:r>
        <w:t xml:space="preserve">, </w:t>
      </w:r>
      <w:r w:rsidR="0094198D">
        <w:t xml:space="preserve">e.g., </w:t>
      </w:r>
      <w:r>
        <w:t xml:space="preserve">depletion, </w:t>
      </w:r>
      <w:proofErr w:type="gramStart"/>
      <w:r>
        <w:t>drainage</w:t>
      </w:r>
      <w:proofErr w:type="gramEnd"/>
      <w:r>
        <w:t xml:space="preserve"> and injection.</w:t>
      </w:r>
    </w:p>
    <w:p w14:paraId="5160CC2D" w14:textId="77777777" w:rsidR="004062D6" w:rsidRDefault="004062D6" w:rsidP="004062D6"/>
    <w:p w14:paraId="0985AFB2" w14:textId="45454830" w:rsidR="004062D6" w:rsidRDefault="004062D6" w:rsidP="004062D6">
      <w:r>
        <w:t xml:space="preserve">In the following sections, two case studies are presented </w:t>
      </w:r>
      <w:r w:rsidR="00C40498">
        <w:t>that</w:t>
      </w:r>
      <w:r>
        <w:t xml:space="preserve"> demonstrate why core is a key part of the subsurface evaluation of mature fields.  The examples show how problem solving, risk assessment and predictability are all aided by integrating core</w:t>
      </w:r>
      <w:r w:rsidR="006111D4">
        <w:t>-</w:t>
      </w:r>
      <w:r>
        <w:t xml:space="preserve">based evaluations with other critical datasets, </w:t>
      </w:r>
      <w:r w:rsidR="0094198D">
        <w:t xml:space="preserve">e.g., </w:t>
      </w:r>
      <w:r>
        <w:t xml:space="preserve">wireline log, seismic </w:t>
      </w:r>
      <w:proofErr w:type="gramStart"/>
      <w:r>
        <w:t>surveys</w:t>
      </w:r>
      <w:proofErr w:type="gramEnd"/>
      <w:r>
        <w:t xml:space="preserve"> and production history.</w:t>
      </w:r>
    </w:p>
    <w:p w14:paraId="68B1EEDE" w14:textId="77777777" w:rsidR="004062D6" w:rsidRDefault="004062D6" w:rsidP="004062D6"/>
    <w:p w14:paraId="783C745E" w14:textId="6816F434" w:rsidR="004062D6" w:rsidRDefault="004062D6" w:rsidP="004062D6">
      <w:r>
        <w:t xml:space="preserve">The two case studies are taken from the Middle Jurassic Brent Group in </w:t>
      </w:r>
      <w:r w:rsidR="003C1618">
        <w:t xml:space="preserve">the </w:t>
      </w:r>
      <w:r>
        <w:t xml:space="preserve">Heather and Thistle </w:t>
      </w:r>
      <w:r w:rsidR="003C1618">
        <w:t>F</w:t>
      </w:r>
      <w:r>
        <w:t xml:space="preserve">ields </w:t>
      </w:r>
      <w:r w:rsidR="00352AA4">
        <w:t>in the UK North Sea (Fig.</w:t>
      </w:r>
      <w:r w:rsidR="00C40498">
        <w:t xml:space="preserve"> 2).</w:t>
      </w:r>
      <w:r w:rsidR="00695A5C">
        <w:t xml:space="preserve">  </w:t>
      </w:r>
      <w:r w:rsidR="009D2CE0">
        <w:t xml:space="preserve">This work also utilizes numerous other core-based stratigraphical, </w:t>
      </w:r>
      <w:proofErr w:type="gramStart"/>
      <w:r w:rsidR="009D2CE0">
        <w:t>sedimentological</w:t>
      </w:r>
      <w:proofErr w:type="gramEnd"/>
      <w:r w:rsidR="009D2CE0">
        <w:t xml:space="preserve"> and diagenetic studies </w:t>
      </w:r>
      <w:r w:rsidR="00695A5C">
        <w:t>of</w:t>
      </w:r>
      <w:r w:rsidR="009D2CE0">
        <w:t xml:space="preserve"> the Brent Group across the UK and Norwegian sectors of the North Sea (Giles </w:t>
      </w:r>
      <w:r w:rsidR="009D2CE0" w:rsidRPr="00E85984">
        <w:rPr>
          <w:i/>
          <w:iCs/>
        </w:rPr>
        <w:t>et al.</w:t>
      </w:r>
      <w:r w:rsidR="009D2CE0">
        <w:t xml:space="preserve"> 1992</w:t>
      </w:r>
      <w:r w:rsidR="00E85984">
        <w:t>;</w:t>
      </w:r>
      <w:r w:rsidR="009D2CE0">
        <w:t xml:space="preserve"> </w:t>
      </w:r>
      <w:proofErr w:type="spellStart"/>
      <w:r w:rsidR="009D2CE0" w:rsidRPr="009D2CE0">
        <w:t>Bjørlykke</w:t>
      </w:r>
      <w:proofErr w:type="spellEnd"/>
      <w:r w:rsidR="009D2CE0">
        <w:t xml:space="preserve"> </w:t>
      </w:r>
      <w:r w:rsidR="009D2CE0" w:rsidRPr="003C1618">
        <w:rPr>
          <w:i/>
          <w:iCs/>
        </w:rPr>
        <w:t>et al.</w:t>
      </w:r>
      <w:r w:rsidR="009D2CE0">
        <w:t xml:space="preserve"> 1992</w:t>
      </w:r>
      <w:r w:rsidR="00E85984">
        <w:t>;</w:t>
      </w:r>
      <w:r w:rsidR="009D2CE0">
        <w:t xml:space="preserve"> </w:t>
      </w:r>
      <w:r w:rsidR="00735886">
        <w:t>Mort</w:t>
      </w:r>
      <w:r w:rsidR="00E85984">
        <w:t>o</w:t>
      </w:r>
      <w:r w:rsidR="00735886">
        <w:t>n, 1992</w:t>
      </w:r>
      <w:r w:rsidR="00E85984">
        <w:t>;</w:t>
      </w:r>
      <w:r w:rsidR="00735886">
        <w:t xml:space="preserve"> </w:t>
      </w:r>
      <w:r w:rsidR="009D2CE0">
        <w:t xml:space="preserve">McAulay </w:t>
      </w:r>
      <w:r w:rsidR="009D2CE0" w:rsidRPr="00E85984">
        <w:rPr>
          <w:i/>
          <w:iCs/>
        </w:rPr>
        <w:t>et al.</w:t>
      </w:r>
      <w:r w:rsidR="009D2CE0">
        <w:t xml:space="preserve"> 1994</w:t>
      </w:r>
      <w:r w:rsidR="00E85984">
        <w:t>;</w:t>
      </w:r>
      <w:r w:rsidR="009D2CE0">
        <w:t xml:space="preserve"> Prosser </w:t>
      </w:r>
      <w:r w:rsidR="009D2CE0" w:rsidRPr="00E85984">
        <w:rPr>
          <w:i/>
          <w:iCs/>
        </w:rPr>
        <w:t>et al.</w:t>
      </w:r>
      <w:r w:rsidR="009D2CE0">
        <w:t xml:space="preserve"> 1994</w:t>
      </w:r>
      <w:r w:rsidR="00E85984">
        <w:t>;</w:t>
      </w:r>
      <w:r w:rsidR="009D2CE0">
        <w:t xml:space="preserve"> </w:t>
      </w:r>
      <w:r w:rsidR="00735886">
        <w:t>Reynolds, 1995</w:t>
      </w:r>
      <w:r w:rsidR="00E85984">
        <w:t>;</w:t>
      </w:r>
      <w:r w:rsidR="00735886">
        <w:t xml:space="preserve"> </w:t>
      </w:r>
      <w:r w:rsidR="009D2CE0">
        <w:t>Ramm, 2000</w:t>
      </w:r>
      <w:r w:rsidR="00E85984">
        <w:t>;</w:t>
      </w:r>
      <w:r w:rsidR="009D2CE0">
        <w:t xml:space="preserve"> Morris </w:t>
      </w:r>
      <w:r w:rsidR="009D2CE0" w:rsidRPr="00E85984">
        <w:rPr>
          <w:i/>
          <w:iCs/>
        </w:rPr>
        <w:t>et al.</w:t>
      </w:r>
      <w:r w:rsidR="009D2CE0">
        <w:t xml:space="preserve"> 2003</w:t>
      </w:r>
      <w:r w:rsidR="00E85984">
        <w:t>;</w:t>
      </w:r>
      <w:r w:rsidR="009D2CE0">
        <w:t xml:space="preserve"> Hampson </w:t>
      </w:r>
      <w:r w:rsidR="009D2CE0" w:rsidRPr="00E85984">
        <w:rPr>
          <w:i/>
          <w:iCs/>
        </w:rPr>
        <w:t>et al.</w:t>
      </w:r>
      <w:r w:rsidR="009D2CE0">
        <w:t xml:space="preserve"> 2004</w:t>
      </w:r>
      <w:r w:rsidR="00E85984">
        <w:t>;</w:t>
      </w:r>
      <w:r w:rsidR="009D2CE0">
        <w:t xml:space="preserve"> </w:t>
      </w:r>
      <w:proofErr w:type="spellStart"/>
      <w:r w:rsidR="009D2CE0">
        <w:t>Clauer</w:t>
      </w:r>
      <w:proofErr w:type="spellEnd"/>
      <w:r w:rsidR="009D2CE0">
        <w:t xml:space="preserve"> &amp; </w:t>
      </w:r>
      <w:proofErr w:type="spellStart"/>
      <w:r w:rsidR="009D2CE0">
        <w:t>Liewig</w:t>
      </w:r>
      <w:proofErr w:type="spellEnd"/>
      <w:r w:rsidR="009D2CE0">
        <w:t>, 2013).</w:t>
      </w:r>
      <w:r w:rsidR="00320296">
        <w:t xml:space="preserve">  These regional and local studies </w:t>
      </w:r>
      <w:r w:rsidR="009010D6">
        <w:t xml:space="preserve">based largely on core data </w:t>
      </w:r>
      <w:r w:rsidR="00320296">
        <w:t xml:space="preserve">provide important context </w:t>
      </w:r>
      <w:r w:rsidR="003C6ECC">
        <w:t xml:space="preserve">and framework </w:t>
      </w:r>
      <w:r w:rsidR="00320296">
        <w:t>to reservoir description and interpretation at a field scale.</w:t>
      </w:r>
    </w:p>
    <w:p w14:paraId="42493FBF" w14:textId="77777777" w:rsidR="004062D6" w:rsidRPr="00352AA4" w:rsidRDefault="004062D6" w:rsidP="00352AA4">
      <w:pPr>
        <w:pStyle w:val="Heading1"/>
      </w:pPr>
      <w:r w:rsidRPr="00352AA4">
        <w:lastRenderedPageBreak/>
        <w:t>Case Study 1: Heather Brent Calcite Cement</w:t>
      </w:r>
    </w:p>
    <w:p w14:paraId="0F1F5722" w14:textId="75973F5A" w:rsidR="002114BA" w:rsidRDefault="004062D6" w:rsidP="004062D6">
      <w:r>
        <w:t xml:space="preserve">The Heather </w:t>
      </w:r>
      <w:r w:rsidR="003C1618">
        <w:t>O</w:t>
      </w:r>
      <w:r>
        <w:t xml:space="preserve">il </w:t>
      </w:r>
      <w:r w:rsidR="003C1618">
        <w:t>F</w:t>
      </w:r>
      <w:r>
        <w:t xml:space="preserve">ield </w:t>
      </w:r>
      <w:proofErr w:type="gramStart"/>
      <w:r>
        <w:t xml:space="preserve">is </w:t>
      </w:r>
      <w:r w:rsidRPr="004D0E9F">
        <w:t>located in</w:t>
      </w:r>
      <w:proofErr w:type="gramEnd"/>
      <w:r w:rsidRPr="004D0E9F">
        <w:t xml:space="preserve"> Block 2/5 in the Northern North Sea</w:t>
      </w:r>
      <w:r w:rsidR="001F05CF">
        <w:t xml:space="preserve"> (Fig</w:t>
      </w:r>
      <w:r w:rsidR="00E85984">
        <w:t>.</w:t>
      </w:r>
      <w:r w:rsidR="001F05CF">
        <w:t xml:space="preserve"> 2)</w:t>
      </w:r>
      <w:r w:rsidR="00E42316">
        <w:t xml:space="preserve"> (Kay, 2003)</w:t>
      </w:r>
      <w:r w:rsidRPr="004D0E9F">
        <w:t xml:space="preserve">. Oil </w:t>
      </w:r>
      <w:r>
        <w:t>was</w:t>
      </w:r>
      <w:r w:rsidRPr="004D0E9F">
        <w:t xml:space="preserve"> produced from </w:t>
      </w:r>
      <w:r w:rsidR="001F05CF">
        <w:t xml:space="preserve">reservoir </w:t>
      </w:r>
      <w:r w:rsidRPr="004D0E9F">
        <w:t>sandstones of t</w:t>
      </w:r>
      <w:r>
        <w:t>he Brent Group</w:t>
      </w:r>
      <w:r w:rsidR="002114BA">
        <w:t xml:space="preserve">.  </w:t>
      </w:r>
      <w:r w:rsidRPr="004D0E9F">
        <w:t xml:space="preserve">The field </w:t>
      </w:r>
      <w:r>
        <w:t>was discovered in 1973 with first oil pro</w:t>
      </w:r>
      <w:r w:rsidR="001F05CF">
        <w:t>duced in 1978</w:t>
      </w:r>
      <w:r w:rsidR="002114BA">
        <w:t xml:space="preserve"> and</w:t>
      </w:r>
      <w:r>
        <w:t xml:space="preserve"> produced 130 MMSTB out of</w:t>
      </w:r>
      <w:r w:rsidRPr="004D0E9F">
        <w:t xml:space="preserve"> </w:t>
      </w:r>
      <w:r>
        <w:t>a STOIIP</w:t>
      </w:r>
      <w:r w:rsidRPr="004D0E9F">
        <w:t xml:space="preserve"> volume </w:t>
      </w:r>
      <w:r>
        <w:t>estimated to be</w:t>
      </w:r>
      <w:r w:rsidRPr="004D0E9F">
        <w:t xml:space="preserve"> </w:t>
      </w:r>
      <w:r>
        <w:t>approximately 580</w:t>
      </w:r>
      <w:r w:rsidRPr="004D0E9F">
        <w:t xml:space="preserve"> MMSTB.</w:t>
      </w:r>
      <w:r w:rsidR="002114BA">
        <w:t xml:space="preserve">  The Heather </w:t>
      </w:r>
      <w:r w:rsidR="00320296">
        <w:t>F</w:t>
      </w:r>
      <w:r w:rsidR="002114BA">
        <w:t xml:space="preserve">ield is </w:t>
      </w:r>
      <w:r w:rsidR="00320296">
        <w:t>currently</w:t>
      </w:r>
      <w:r w:rsidR="002114BA">
        <w:t xml:space="preserve"> </w:t>
      </w:r>
      <w:proofErr w:type="gramStart"/>
      <w:r w:rsidR="002114BA">
        <w:t>shut-in</w:t>
      </w:r>
      <w:proofErr w:type="gramEnd"/>
      <w:r w:rsidR="002114BA">
        <w:t xml:space="preserve"> and the process of </w:t>
      </w:r>
      <w:r w:rsidR="009911C2">
        <w:t xml:space="preserve">field </w:t>
      </w:r>
      <w:r w:rsidR="002114BA">
        <w:t>decommissioning started in 2020.</w:t>
      </w:r>
    </w:p>
    <w:p w14:paraId="405E7789" w14:textId="77777777" w:rsidR="002114BA" w:rsidRDefault="002114BA" w:rsidP="004062D6"/>
    <w:p w14:paraId="031CA7DA" w14:textId="29AC3DB4" w:rsidR="004062D6" w:rsidRDefault="004062D6" w:rsidP="004062D6">
      <w:r>
        <w:t xml:space="preserve">The relatively low recovery factor (c.20-25%) compared to other Brent province fields is due to the locally poor reservoir </w:t>
      </w:r>
      <w:r w:rsidR="002F426D">
        <w:t xml:space="preserve">quality observed in the field.  </w:t>
      </w:r>
      <w:r>
        <w:t xml:space="preserve">Much of this </w:t>
      </w:r>
      <w:r w:rsidR="006111D4">
        <w:t>poor</w:t>
      </w:r>
      <w:r>
        <w:t xml:space="preserve"> reservoir quality is caused b</w:t>
      </w:r>
      <w:r w:rsidR="002F426D">
        <w:t xml:space="preserve">y pore-filling calcite cement.  </w:t>
      </w:r>
      <w:r>
        <w:t xml:space="preserve">A </w:t>
      </w:r>
      <w:r w:rsidR="00352AA4">
        <w:t xml:space="preserve">recent </w:t>
      </w:r>
      <w:r>
        <w:t>de</w:t>
      </w:r>
      <w:r w:rsidR="001F05CF">
        <w:t>tailed de</w:t>
      </w:r>
      <w:r>
        <w:t>scription of the habitat and possible origins of the calcite cement</w:t>
      </w:r>
      <w:r w:rsidR="001F05CF">
        <w:t xml:space="preserve"> in Heather</w:t>
      </w:r>
      <w:r>
        <w:t xml:space="preserve"> </w:t>
      </w:r>
      <w:r w:rsidR="006111D4">
        <w:t>wa</w:t>
      </w:r>
      <w:r>
        <w:t xml:space="preserve">s given by Worden </w:t>
      </w:r>
      <w:r w:rsidRPr="00DA3EEE">
        <w:rPr>
          <w:i/>
          <w:iCs/>
        </w:rPr>
        <w:t>et al.</w:t>
      </w:r>
      <w:r>
        <w:t xml:space="preserve"> </w:t>
      </w:r>
      <w:r w:rsidR="002114BA">
        <w:t>(</w:t>
      </w:r>
      <w:r>
        <w:t>2020</w:t>
      </w:r>
      <w:r w:rsidR="002114BA">
        <w:t>)</w:t>
      </w:r>
      <w:r>
        <w:t>.</w:t>
      </w:r>
    </w:p>
    <w:p w14:paraId="7D600AF1" w14:textId="77777777" w:rsidR="004062D6" w:rsidRDefault="004062D6" w:rsidP="004062D6"/>
    <w:p w14:paraId="6890BAF5" w14:textId="77777777" w:rsidR="004062D6" w:rsidRPr="00352AA4" w:rsidRDefault="004062D6" w:rsidP="00352AA4">
      <w:pPr>
        <w:pStyle w:val="Heading2"/>
      </w:pPr>
      <w:r w:rsidRPr="00352AA4">
        <w:t>Study Objective</w:t>
      </w:r>
      <w:r w:rsidR="00171213">
        <w:t xml:space="preserve"> and Methods</w:t>
      </w:r>
    </w:p>
    <w:p w14:paraId="13614011" w14:textId="4FC7ECB8" w:rsidR="004062D6" w:rsidRDefault="004062D6" w:rsidP="004062D6">
      <w:r>
        <w:t>Prior to cessation of production, an integrated subsurface study was completed</w:t>
      </w:r>
      <w:r w:rsidR="006111D4">
        <w:t>,</w:t>
      </w:r>
      <w:r>
        <w:t xml:space="preserve"> during 2013-2016</w:t>
      </w:r>
      <w:r w:rsidR="006111D4">
        <w:t>,</w:t>
      </w:r>
      <w:r>
        <w:t xml:space="preserve"> to evaluate potential areas of </w:t>
      </w:r>
      <w:proofErr w:type="spellStart"/>
      <w:r>
        <w:t>unswept</w:t>
      </w:r>
      <w:proofErr w:type="spellEnd"/>
      <w:r>
        <w:t xml:space="preserve"> oil that would support infill drilling, thereby increasing oil production and potentially extending field life.  A key part of the geoscience work was to provide a risk assessment of the distribution of calcite in potential infill target areas.</w:t>
      </w:r>
    </w:p>
    <w:p w14:paraId="14E397B5" w14:textId="77777777" w:rsidR="00171213" w:rsidRDefault="00171213" w:rsidP="004062D6"/>
    <w:p w14:paraId="7A3FB1D3" w14:textId="70B0C52A" w:rsidR="004062D6" w:rsidRDefault="00545CE3" w:rsidP="004062D6">
      <w:r>
        <w:t xml:space="preserve">The cement is locally pervasive and is recognized at a variety of scales using </w:t>
      </w:r>
      <w:r w:rsidRPr="006B6F9C">
        <w:t xml:space="preserve">core, logs </w:t>
      </w:r>
      <w:r w:rsidR="00DF0AB9">
        <w:t>and</w:t>
      </w:r>
      <w:r w:rsidR="00DF0AB9" w:rsidRPr="006B6F9C">
        <w:t xml:space="preserve"> </w:t>
      </w:r>
      <w:r w:rsidRPr="006B6F9C">
        <w:t>seismic</w:t>
      </w:r>
      <w:r>
        <w:t xml:space="preserve"> (Fig. 3).  </w:t>
      </w:r>
      <w:r w:rsidR="004062D6">
        <w:t xml:space="preserve">A range of techniques and approaches at various scales was </w:t>
      </w:r>
      <w:r w:rsidR="00DF0AB9">
        <w:t xml:space="preserve">used </w:t>
      </w:r>
      <w:proofErr w:type="gramStart"/>
      <w:r w:rsidR="004062D6">
        <w:t>in order to</w:t>
      </w:r>
      <w:proofErr w:type="gramEnd"/>
      <w:r w:rsidR="004062D6">
        <w:t xml:space="preserve"> assess the timing and origin of the calcite cement, including </w:t>
      </w:r>
      <w:r w:rsidR="00171213">
        <w:t xml:space="preserve">core description, </w:t>
      </w:r>
      <w:r w:rsidR="004062D6">
        <w:t xml:space="preserve">microscopy </w:t>
      </w:r>
      <w:r w:rsidR="003C1618">
        <w:t>and</w:t>
      </w:r>
      <w:r w:rsidR="004062D6">
        <w:t xml:space="preserve"> petrography, fluid inclusion analysis and </w:t>
      </w:r>
      <w:proofErr w:type="spellStart"/>
      <w:r w:rsidR="004062D6">
        <w:t>microthermometry</w:t>
      </w:r>
      <w:proofErr w:type="spellEnd"/>
      <w:r w:rsidR="004062D6">
        <w:t xml:space="preserve"> (Worden </w:t>
      </w:r>
      <w:r w:rsidR="004062D6" w:rsidRPr="00DA3EEE">
        <w:rPr>
          <w:i/>
          <w:iCs/>
        </w:rPr>
        <w:t>et al.</w:t>
      </w:r>
      <w:r w:rsidR="002114BA">
        <w:t xml:space="preserve"> </w:t>
      </w:r>
      <w:r w:rsidR="004062D6">
        <w:t xml:space="preserve">2020) </w:t>
      </w:r>
      <w:r w:rsidR="00352AA4">
        <w:t>(Fig.</w:t>
      </w:r>
      <w:r w:rsidR="004062D6">
        <w:t xml:space="preserve"> 4</w:t>
      </w:r>
      <w:r w:rsidR="00352AA4">
        <w:t>)</w:t>
      </w:r>
      <w:r w:rsidR="004062D6">
        <w:t xml:space="preserve">.  </w:t>
      </w:r>
    </w:p>
    <w:p w14:paraId="7895D8E5" w14:textId="77777777" w:rsidR="004062D6" w:rsidRDefault="004062D6" w:rsidP="004062D6"/>
    <w:p w14:paraId="27AEC31A" w14:textId="77777777" w:rsidR="004062D6" w:rsidRDefault="004062D6" w:rsidP="004062D6">
      <w:r>
        <w:t xml:space="preserve">Evidence </w:t>
      </w:r>
      <w:r w:rsidRPr="008B5768">
        <w:t>for</w:t>
      </w:r>
      <w:r w:rsidR="001F05CF">
        <w:t xml:space="preserve"> </w:t>
      </w:r>
      <w:r w:rsidRPr="008B5768">
        <w:t xml:space="preserve">the late growth of calcite towards maximum burial and </w:t>
      </w:r>
      <w:r>
        <w:t>contemporaneous with the</w:t>
      </w:r>
      <w:r w:rsidRPr="008B5768">
        <w:t xml:space="preserve"> onset of oil-fill includes:</w:t>
      </w:r>
    </w:p>
    <w:p w14:paraId="767F844C" w14:textId="77777777" w:rsidR="005E7655" w:rsidRPr="008B5768" w:rsidRDefault="005E7655" w:rsidP="004062D6"/>
    <w:p w14:paraId="15035F3C" w14:textId="77777777" w:rsidR="004062D6" w:rsidRPr="008B5768" w:rsidRDefault="004062D6" w:rsidP="004062D6">
      <w:pPr>
        <w:pStyle w:val="ListParagraph"/>
        <w:numPr>
          <w:ilvl w:val="0"/>
          <w:numId w:val="4"/>
        </w:numPr>
      </w:pPr>
      <w:r w:rsidRPr="008B5768">
        <w:t>Calcite growth after quartz cement</w:t>
      </w:r>
    </w:p>
    <w:p w14:paraId="3D692B95" w14:textId="107882EB" w:rsidR="004062D6" w:rsidRPr="008B5768" w:rsidRDefault="00DF0AB9" w:rsidP="004062D6">
      <w:pPr>
        <w:pStyle w:val="ListParagraph"/>
        <w:numPr>
          <w:ilvl w:val="0"/>
          <w:numId w:val="4"/>
        </w:numPr>
      </w:pPr>
      <w:r>
        <w:t>Relatively h</w:t>
      </w:r>
      <w:r w:rsidR="004062D6" w:rsidRPr="008B5768">
        <w:t>igh aqueous fluid inclusion homogeni</w:t>
      </w:r>
      <w:r w:rsidR="00AF4837">
        <w:t>s</w:t>
      </w:r>
      <w:r w:rsidR="004062D6" w:rsidRPr="008B5768">
        <w:t>ation temperatures</w:t>
      </w:r>
    </w:p>
    <w:p w14:paraId="06B9C21B" w14:textId="77777777" w:rsidR="004062D6" w:rsidRDefault="004062D6" w:rsidP="004062D6">
      <w:pPr>
        <w:pStyle w:val="ListParagraph"/>
        <w:numPr>
          <w:ilvl w:val="0"/>
          <w:numId w:val="4"/>
        </w:numPr>
      </w:pPr>
      <w:r w:rsidRPr="008B5768">
        <w:t>Presence of oil-filled primary inclusions within calcite.</w:t>
      </w:r>
    </w:p>
    <w:p w14:paraId="1F584A85" w14:textId="77777777" w:rsidR="004062D6" w:rsidRDefault="004062D6" w:rsidP="004062D6"/>
    <w:p w14:paraId="192F9973" w14:textId="6A89E55C" w:rsidR="00171213" w:rsidRDefault="004062D6" w:rsidP="004062D6">
      <w:r>
        <w:lastRenderedPageBreak/>
        <w:t xml:space="preserve">In addition to the </w:t>
      </w:r>
      <w:proofErr w:type="spellStart"/>
      <w:r>
        <w:t>petrographic</w:t>
      </w:r>
      <w:r w:rsidR="003C1618">
        <w:t>al</w:t>
      </w:r>
      <w:proofErr w:type="spellEnd"/>
      <w:r>
        <w:t xml:space="preserve"> and diagenetic work, a detailed study was conducted using mineralogy data and wireline response </w:t>
      </w:r>
      <w:proofErr w:type="gramStart"/>
      <w:r>
        <w:t>in order to</w:t>
      </w:r>
      <w:proofErr w:type="gramEnd"/>
      <w:r>
        <w:t xml:space="preserve"> quantitatively assess the impact of calcite on acoustic impedance (AI) as estimated from well log data (calculated from sonic and density logs).  The calculated</w:t>
      </w:r>
      <w:r w:rsidR="00DF0AB9">
        <w:t>,</w:t>
      </w:r>
      <w:r>
        <w:t xml:space="preserve"> log</w:t>
      </w:r>
      <w:r w:rsidR="00DF0AB9">
        <w:t>-</w:t>
      </w:r>
      <w:r>
        <w:t xml:space="preserve">derived AI </w:t>
      </w:r>
      <w:r w:rsidR="00DF0AB9">
        <w:t xml:space="preserve">values from depths </w:t>
      </w:r>
      <w:r>
        <w:t xml:space="preserve">at </w:t>
      </w:r>
      <w:r w:rsidR="00DF0AB9">
        <w:t xml:space="preserve">which samples were collected for </w:t>
      </w:r>
      <w:r>
        <w:t xml:space="preserve">mineralogy </w:t>
      </w:r>
      <w:r w:rsidR="00DF0AB9">
        <w:t>analysis</w:t>
      </w:r>
      <w:r>
        <w:t xml:space="preserve"> </w:t>
      </w:r>
      <w:r w:rsidR="00DF0AB9">
        <w:t xml:space="preserve">helped </w:t>
      </w:r>
      <w:r>
        <w:t>calibrate the wireline log and seismic data with AI progressively increasing with increasing volumes of calcite cement in otherwise clean (low clay content) sandstones.  At AI levels of around c.32,000 ft</w:t>
      </w:r>
      <w:r w:rsidR="00B81C5B">
        <w:t>.s</w:t>
      </w:r>
      <w:r w:rsidRPr="00524E27">
        <w:rPr>
          <w:vertAlign w:val="superscript"/>
        </w:rPr>
        <w:t>-1</w:t>
      </w:r>
      <w:r>
        <w:t>.gcm</w:t>
      </w:r>
      <w:r w:rsidRPr="00524E27">
        <w:rPr>
          <w:vertAlign w:val="superscript"/>
        </w:rPr>
        <w:t>-3</w:t>
      </w:r>
      <w:r>
        <w:t>, calcite levels of c. 5-10% by volume are predicted for sandstones.  With gradually increasing AI up to values of 43,000 ft</w:t>
      </w:r>
      <w:r w:rsidR="00B81C5B">
        <w:t>.s</w:t>
      </w:r>
      <w:r w:rsidRPr="00524E27">
        <w:rPr>
          <w:vertAlign w:val="superscript"/>
        </w:rPr>
        <w:t>-1</w:t>
      </w:r>
      <w:r>
        <w:t>.gcm</w:t>
      </w:r>
      <w:r w:rsidRPr="00524E27">
        <w:rPr>
          <w:vertAlign w:val="superscript"/>
        </w:rPr>
        <w:t>-3</w:t>
      </w:r>
      <w:r>
        <w:t xml:space="preserve"> the correlation predicts calcite </w:t>
      </w:r>
      <w:r w:rsidR="00545CE3">
        <w:t xml:space="preserve">content </w:t>
      </w:r>
      <w:r>
        <w:t xml:space="preserve">increasing progressively up to values </w:t>
      </w:r>
      <w:r w:rsidR="0091210A">
        <w:t>of 40% or more by volume (Fig.</w:t>
      </w:r>
      <w:r>
        <w:t xml:space="preserve"> 5)</w:t>
      </w:r>
      <w:r w:rsidR="00320296">
        <w:t>.</w:t>
      </w:r>
      <w:r w:rsidR="009010D6">
        <w:t xml:space="preserve">  These large calcite volume values are thought to partly reflect the displacive and potentially corrosive nature of calcite cement.  </w:t>
      </w:r>
      <w:r w:rsidR="00C269BE">
        <w:t>Rare</w:t>
      </w:r>
      <w:r w:rsidR="00320296">
        <w:t xml:space="preserve"> </w:t>
      </w:r>
      <w:r w:rsidR="00515906">
        <w:t xml:space="preserve">samples from </w:t>
      </w:r>
      <w:r w:rsidR="00320296">
        <w:t xml:space="preserve">nodular cements </w:t>
      </w:r>
      <w:r w:rsidR="00823A91">
        <w:t xml:space="preserve">and fracture fills </w:t>
      </w:r>
      <w:r w:rsidR="00320296">
        <w:t>are also observed with extremely high calcite content (</w:t>
      </w:r>
      <w:r w:rsidR="00823A91">
        <w:t xml:space="preserve">&gt;70%) but these are localized extremes and thought not to be </w:t>
      </w:r>
      <w:r w:rsidR="009911C2">
        <w:t xml:space="preserve">generally </w:t>
      </w:r>
      <w:r w:rsidR="00823A91">
        <w:t>applicable to larger rock volumes such as those sampled by logs and seismic data</w:t>
      </w:r>
      <w:r>
        <w:t>.</w:t>
      </w:r>
      <w:r w:rsidR="00171213">
        <w:t xml:space="preserve">  This </w:t>
      </w:r>
      <w:r w:rsidR="00823A91">
        <w:t xml:space="preserve">comparative </w:t>
      </w:r>
      <w:r w:rsidR="00171213">
        <w:t xml:space="preserve">analytical work provides a comparison </w:t>
      </w:r>
      <w:r w:rsidR="00545CE3">
        <w:t xml:space="preserve">and calibration </w:t>
      </w:r>
      <w:r w:rsidR="00171213">
        <w:t>of observed cement content against log and seismic response</w:t>
      </w:r>
      <w:r w:rsidR="0091210A">
        <w:t xml:space="preserve"> at a well, </w:t>
      </w:r>
      <w:r w:rsidR="00545CE3">
        <w:t>while acknowledging</w:t>
      </w:r>
      <w:r w:rsidR="0091210A">
        <w:t xml:space="preserve"> issues such as scale and resolution of </w:t>
      </w:r>
      <w:r w:rsidR="00545CE3">
        <w:t xml:space="preserve">the </w:t>
      </w:r>
      <w:r w:rsidR="0091210A">
        <w:t>different data types</w:t>
      </w:r>
      <w:r w:rsidR="009911C2">
        <w:t xml:space="preserve"> evaluated</w:t>
      </w:r>
      <w:r w:rsidR="00171213">
        <w:t>.</w:t>
      </w:r>
    </w:p>
    <w:p w14:paraId="521E8F0B" w14:textId="77777777" w:rsidR="004062D6" w:rsidRDefault="004062D6" w:rsidP="004062D6"/>
    <w:p w14:paraId="796270A9" w14:textId="77777777" w:rsidR="004062D6" w:rsidRPr="00E16DD2" w:rsidRDefault="004062D6" w:rsidP="00171213">
      <w:pPr>
        <w:pStyle w:val="Heading2"/>
      </w:pPr>
      <w:r w:rsidRPr="00E16DD2">
        <w:t>Study Results</w:t>
      </w:r>
    </w:p>
    <w:p w14:paraId="5088F12A" w14:textId="4730E5A5" w:rsidR="00171213" w:rsidRDefault="00171213" w:rsidP="004062D6">
      <w:r>
        <w:t xml:space="preserve">The detailed work by Worden </w:t>
      </w:r>
      <w:r w:rsidRPr="00DA3EEE">
        <w:rPr>
          <w:i/>
          <w:iCs/>
        </w:rPr>
        <w:t>et al.</w:t>
      </w:r>
      <w:r>
        <w:t xml:space="preserve"> (2020) highlighted several key characteristics of the calcite cement.  The distribution of calcite cement is uneven across the field with progressively more cement observed moving down-dip</w:t>
      </w:r>
      <w:r w:rsidR="00DF0AB9">
        <w:t>,</w:t>
      </w:r>
      <w:r>
        <w:t xml:space="preserve"> away from the structural crest of the field.  The calcite cement a</w:t>
      </w:r>
      <w:r w:rsidRPr="006B6F9C">
        <w:t xml:space="preserve">ppears </w:t>
      </w:r>
      <w:r w:rsidR="00DF0AB9">
        <w:t xml:space="preserve">to be </w:t>
      </w:r>
      <w:r w:rsidRPr="006B6F9C">
        <w:t>partly</w:t>
      </w:r>
      <w:r>
        <w:t xml:space="preserve"> </w:t>
      </w:r>
      <w:r w:rsidRPr="006B6F9C">
        <w:t>stratabound (</w:t>
      </w:r>
      <w:r w:rsidR="009911C2">
        <w:t xml:space="preserve">originally </w:t>
      </w:r>
      <w:r w:rsidRPr="006B6F9C">
        <w:t>flow-unit related)</w:t>
      </w:r>
      <w:r>
        <w:t xml:space="preserve"> and </w:t>
      </w:r>
      <w:r w:rsidR="00DF0AB9">
        <w:t>locally</w:t>
      </w:r>
      <w:r w:rsidR="00DF0AB9" w:rsidRPr="006B6F9C">
        <w:t xml:space="preserve"> </w:t>
      </w:r>
      <w:r w:rsidRPr="006B6F9C">
        <w:t>impairs</w:t>
      </w:r>
      <w:r>
        <w:t xml:space="preserve"> what would have </w:t>
      </w:r>
      <w:r w:rsidR="00515906">
        <w:t>originally been</w:t>
      </w:r>
      <w:r w:rsidR="000B5472">
        <w:t xml:space="preserve"> the </w:t>
      </w:r>
      <w:r w:rsidRPr="006B6F9C">
        <w:t>most porous/permeable intervals</w:t>
      </w:r>
      <w:r>
        <w:t>, judging from primary sandstone texture and grain</w:t>
      </w:r>
      <w:r w:rsidR="00C269BE">
        <w:t xml:space="preserve"> </w:t>
      </w:r>
      <w:r>
        <w:t xml:space="preserve">size.  These core-based studies provided a critical understanding of the calcite cement and </w:t>
      </w:r>
      <w:r w:rsidR="00DF0AB9">
        <w:t>its</w:t>
      </w:r>
      <w:r>
        <w:t xml:space="preserve"> variable distribution across the field.</w:t>
      </w:r>
    </w:p>
    <w:p w14:paraId="3098B625" w14:textId="77777777" w:rsidR="00171213" w:rsidRDefault="00171213" w:rsidP="004062D6"/>
    <w:p w14:paraId="6D9073C5" w14:textId="64ADA31C" w:rsidR="004062D6" w:rsidRDefault="004062D6" w:rsidP="004062D6">
      <w:r>
        <w:t xml:space="preserve">The core-based petrography and </w:t>
      </w:r>
      <w:proofErr w:type="gramStart"/>
      <w:r>
        <w:t>mineralogy based</w:t>
      </w:r>
      <w:proofErr w:type="gramEnd"/>
      <w:r>
        <w:t xml:space="preserve"> evaluations, including the AI calibration, were integrated with a seismic acoustic impedance volume derived from inversion and further calibrated to wells.  Seismic acoustic impedance derived amplitudes over the Brent interval were co-kriged with well data to produce a map of estimated cumulative calcite </w:t>
      </w:r>
      <w:r w:rsidR="0091210A">
        <w:lastRenderedPageBreak/>
        <w:t>thickness (Fig.</w:t>
      </w:r>
      <w:r>
        <w:t xml:space="preserve"> 6A).  The calcite thickness map was then simplified to create a calcite risk map for the Brent reservoir with Low-Medium-High-Very </w:t>
      </w:r>
      <w:proofErr w:type="gramStart"/>
      <w:r>
        <w:t>High risk</w:t>
      </w:r>
      <w:proofErr w:type="gramEnd"/>
      <w:r>
        <w:t xml:space="preserve"> categories based on estimates of thickness of calcite cemented reservoir (Fig</w:t>
      </w:r>
      <w:r w:rsidR="008A635C">
        <w:t>.</w:t>
      </w:r>
      <w:r>
        <w:t xml:space="preserve"> 6B).  In addition</w:t>
      </w:r>
      <w:r w:rsidR="00545CE3">
        <w:t>, the</w:t>
      </w:r>
      <w:r>
        <w:t xml:space="preserve"> location of high impedance anomalies within the 3D inversion volume </w:t>
      </w:r>
      <w:proofErr w:type="gramStart"/>
      <w:r>
        <w:t>indicate</w:t>
      </w:r>
      <w:proofErr w:type="gramEnd"/>
      <w:r>
        <w:t xml:space="preserve"> </w:t>
      </w:r>
      <w:r w:rsidR="005E7655">
        <w:t>the approximate</w:t>
      </w:r>
      <w:r>
        <w:t xml:space="preserve"> stratigraphic</w:t>
      </w:r>
      <w:r w:rsidR="00C269BE">
        <w:t>al</w:t>
      </w:r>
      <w:r>
        <w:t xml:space="preserve"> position of the calcite cemented intervals, at least in terms of Lower Brent (Broom, Rannoch &amp; Etive) and Upper Brent (Ness &amp; Tarbert).  </w:t>
      </w:r>
      <w:r w:rsidR="00545CE3">
        <w:t xml:space="preserve">Moving away from the largely calcite-free crestal area of the field, </w:t>
      </w:r>
      <w:r>
        <w:t xml:space="preserve">calcite </w:t>
      </w:r>
      <w:r w:rsidR="00545CE3">
        <w:t xml:space="preserve">typically </w:t>
      </w:r>
      <w:r>
        <w:t>develops first within the deeper Broom and Rannoch Formations and then with increasing levels of cementation</w:t>
      </w:r>
      <w:r w:rsidR="005E7655">
        <w:t>,</w:t>
      </w:r>
      <w:r>
        <w:t xml:space="preserve"> the Etive and Upper Brent become </w:t>
      </w:r>
      <w:r w:rsidR="005E7655">
        <w:t xml:space="preserve">more </w:t>
      </w:r>
      <w:r>
        <w:t>cemented</w:t>
      </w:r>
      <w:r w:rsidR="005E7655">
        <w:t xml:space="preserve"> in deeper structural locations</w:t>
      </w:r>
      <w:r>
        <w:t>.</w:t>
      </w:r>
    </w:p>
    <w:p w14:paraId="59B62D99" w14:textId="77777777" w:rsidR="004062D6" w:rsidRDefault="004062D6" w:rsidP="004062D6"/>
    <w:p w14:paraId="3D00291D" w14:textId="6026B94C" w:rsidR="004062D6" w:rsidRDefault="005E7655" w:rsidP="004062D6">
      <w:r>
        <w:t>The</w:t>
      </w:r>
      <w:r w:rsidR="004062D6">
        <w:t xml:space="preserve"> calcite cement risk map was then then used to assess a structurally</w:t>
      </w:r>
      <w:r w:rsidR="004E0AAA">
        <w:t xml:space="preserve"> </w:t>
      </w:r>
      <w:r w:rsidR="004062D6">
        <w:t xml:space="preserve">defined H67 infill target close </w:t>
      </w:r>
      <w:r w:rsidR="00DF0AB9">
        <w:t xml:space="preserve">to </w:t>
      </w:r>
      <w:r w:rsidR="004062D6">
        <w:t>the crest of the field (Fig</w:t>
      </w:r>
      <w:r w:rsidR="00545CE3">
        <w:t>.</w:t>
      </w:r>
      <w:r w:rsidR="004062D6">
        <w:t xml:space="preserve"> 6A).  The H67 target area is located at the edge of a crestal fault block</w:t>
      </w:r>
      <w:r w:rsidR="00DF0AB9">
        <w:t>,</w:t>
      </w:r>
      <w:r w:rsidR="004062D6">
        <w:t xml:space="preserve"> with wells </w:t>
      </w:r>
      <w:proofErr w:type="spellStart"/>
      <w:r w:rsidR="004062D6">
        <w:t>updip</w:t>
      </w:r>
      <w:proofErr w:type="spellEnd"/>
      <w:r w:rsidR="004062D6">
        <w:t xml:space="preserve"> typically exhibiting little or no calcite cement in the Brent reservoir.  However, wells downdip of the target vary in terms of thickness of calcite cemented reservoir, ranging from 11 to 90 ft.  </w:t>
      </w:r>
      <w:r w:rsidR="00545CE3">
        <w:t xml:space="preserve">Mapping indicated that </w:t>
      </w:r>
      <w:r w:rsidR="004E0AAA">
        <w:t>the H67</w:t>
      </w:r>
      <w:r w:rsidR="004062D6">
        <w:t xml:space="preserve"> target area appeared to be at the edge of the more extensive areas of cementation, </w:t>
      </w:r>
      <w:r>
        <w:t xml:space="preserve">just </w:t>
      </w:r>
      <w:proofErr w:type="spellStart"/>
      <w:r w:rsidR="004062D6">
        <w:t>updip</w:t>
      </w:r>
      <w:proofErr w:type="spellEnd"/>
      <w:r w:rsidR="004062D6">
        <w:t xml:space="preserve"> of the main “diagenetic front” of calcite cement.  However, given its proximity to the apparent edge of the front, a </w:t>
      </w:r>
      <w:r w:rsidR="00545CE3">
        <w:t>relatively low</w:t>
      </w:r>
      <w:r w:rsidR="004062D6">
        <w:t xml:space="preserve"> volume of calcite cementation was predicted (Low Risk category with &lt;30ft predicted) and the additional qualitative prediction that the bulk of </w:t>
      </w:r>
      <w:r w:rsidR="004E0AAA">
        <w:t xml:space="preserve">any </w:t>
      </w:r>
      <w:r w:rsidR="004062D6">
        <w:t>calcite</w:t>
      </w:r>
      <w:r w:rsidR="004E0AAA">
        <w:t xml:space="preserve"> cement</w:t>
      </w:r>
      <w:r w:rsidR="004062D6">
        <w:t xml:space="preserve"> would </w:t>
      </w:r>
      <w:proofErr w:type="gramStart"/>
      <w:r w:rsidR="004062D6">
        <w:t>be located in</w:t>
      </w:r>
      <w:proofErr w:type="gramEnd"/>
      <w:r w:rsidR="004062D6">
        <w:t xml:space="preserve"> the Lower Brent</w:t>
      </w:r>
      <w:r>
        <w:t xml:space="preserve"> (mainly Broom and Rannoch</w:t>
      </w:r>
      <w:r w:rsidR="00C21B7D">
        <w:t>)</w:t>
      </w:r>
      <w:r w:rsidR="004062D6">
        <w:t>.</w:t>
      </w:r>
    </w:p>
    <w:p w14:paraId="4A3611E7" w14:textId="77777777" w:rsidR="004062D6" w:rsidRDefault="004062D6" w:rsidP="004062D6"/>
    <w:p w14:paraId="1759B8FE" w14:textId="4029F5F1" w:rsidR="004062D6" w:rsidRPr="00E16DD2" w:rsidRDefault="00782885" w:rsidP="00171213">
      <w:pPr>
        <w:pStyle w:val="Heading2"/>
      </w:pPr>
      <w:r>
        <w:t xml:space="preserve">Heather </w:t>
      </w:r>
      <w:r w:rsidR="004062D6" w:rsidRPr="00E16DD2">
        <w:t>Study Impact and Value</w:t>
      </w:r>
    </w:p>
    <w:p w14:paraId="681A953A" w14:textId="583BBC01" w:rsidR="004062D6" w:rsidRDefault="004062D6" w:rsidP="004062D6">
      <w:r>
        <w:t xml:space="preserve">The H67 well was drilled and completed in December 2017-January 2018.  The well results largely confirmed the pre-drill prognosis with significant remaining </w:t>
      </w:r>
      <w:proofErr w:type="spellStart"/>
      <w:r>
        <w:t>unswept</w:t>
      </w:r>
      <w:proofErr w:type="spellEnd"/>
      <w:r>
        <w:t xml:space="preserve"> oil logged and generally very good reservoir properties across most of the </w:t>
      </w:r>
      <w:r w:rsidR="00545CE3">
        <w:t>Brent intervals (Fig.</w:t>
      </w:r>
      <w:r>
        <w:t xml:space="preserve"> 6C).  Approximately 36 ft of calcite cement</w:t>
      </w:r>
      <w:r w:rsidR="005E7655">
        <w:t>ed</w:t>
      </w:r>
      <w:r>
        <w:t xml:space="preserve"> reservoir was recorded, mostly in the Broom &amp; Rannoch Formations.  This was a little more than the pre-drill </w:t>
      </w:r>
      <w:proofErr w:type="gramStart"/>
      <w:r>
        <w:t>estimate</w:t>
      </w:r>
      <w:proofErr w:type="gramEnd"/>
      <w:r>
        <w:t xml:space="preserve"> but the well also found a slightly thicker Brent interval </w:t>
      </w:r>
      <w:r w:rsidR="004E0AAA">
        <w:t>than prognosed,</w:t>
      </w:r>
      <w:r>
        <w:t xml:space="preserve"> so </w:t>
      </w:r>
      <w:r w:rsidR="004E0AAA">
        <w:t xml:space="preserve">overall </w:t>
      </w:r>
      <w:r>
        <w:t xml:space="preserve">the prediction was reasonably accurate and </w:t>
      </w:r>
      <w:r w:rsidR="00545CE3">
        <w:t>confirmed that</w:t>
      </w:r>
      <w:r>
        <w:t xml:space="preserve"> there was sufficient high</w:t>
      </w:r>
      <w:r w:rsidR="00C269BE">
        <w:t>-</w:t>
      </w:r>
      <w:r>
        <w:t xml:space="preserve">quality sandstone </w:t>
      </w:r>
      <w:r w:rsidR="00527D85">
        <w:t xml:space="preserve">to justify </w:t>
      </w:r>
      <w:r>
        <w:t xml:space="preserve">completing the well and </w:t>
      </w:r>
      <w:r w:rsidR="00C73909">
        <w:t>bringing</w:t>
      </w:r>
      <w:r w:rsidR="00527D85">
        <w:t xml:space="preserve"> </w:t>
      </w:r>
      <w:r>
        <w:t xml:space="preserve">on-line.  The well was perforated and flowed at </w:t>
      </w:r>
      <w:r w:rsidR="00545CE3">
        <w:t xml:space="preserve">several thousands of </w:t>
      </w:r>
      <w:r w:rsidR="00545CE3">
        <w:lastRenderedPageBreak/>
        <w:t>barrels of oil per day</w:t>
      </w:r>
      <w:r>
        <w:t xml:space="preserve"> before slowly declining due to progressive water breakthrough</w:t>
      </w:r>
      <w:r w:rsidR="00C86AB1">
        <w:t xml:space="preserve"> (</w:t>
      </w:r>
      <w:r>
        <w:t xml:space="preserve">that </w:t>
      </w:r>
      <w:r w:rsidR="00527D85">
        <w:t>had been</w:t>
      </w:r>
      <w:r>
        <w:t xml:space="preserve"> predicted by dynamic reservoir modelling</w:t>
      </w:r>
      <w:r w:rsidR="00C73909">
        <w:t xml:space="preserve"> incorporating the calcite prediction</w:t>
      </w:r>
      <w:r w:rsidR="00C86AB1">
        <w:t>)</w:t>
      </w:r>
      <w:r>
        <w:t>.</w:t>
      </w:r>
    </w:p>
    <w:p w14:paraId="5EDBD1AC" w14:textId="77777777" w:rsidR="004062D6" w:rsidRDefault="004062D6" w:rsidP="004062D6"/>
    <w:p w14:paraId="4B5970EF" w14:textId="01AE367F" w:rsidR="007C2B45" w:rsidRDefault="004062D6" w:rsidP="004062D6">
      <w:r>
        <w:t>A key success factor in the delivery of the H67 infill well was the</w:t>
      </w:r>
      <w:r w:rsidR="00542394">
        <w:t xml:space="preserve"> reliability of the</w:t>
      </w:r>
      <w:r>
        <w:t xml:space="preserve"> calcite risk map that accurately predicted good reservoir quality and low volumes of cement for the main Brent reservoir units at the well location, especially the Etive, Ness and Tarbert </w:t>
      </w:r>
      <w:r w:rsidR="00C269BE">
        <w:t>F</w:t>
      </w:r>
      <w:r>
        <w:t xml:space="preserve">ormations as these were the main </w:t>
      </w:r>
      <w:r w:rsidR="00542394">
        <w:t xml:space="preserve">infill </w:t>
      </w:r>
      <w:r>
        <w:t xml:space="preserve">target intervals from reservoir </w:t>
      </w:r>
      <w:r w:rsidR="005E7655">
        <w:t>simulation</w:t>
      </w:r>
      <w:r>
        <w:t xml:space="preserve"> studies.</w:t>
      </w:r>
    </w:p>
    <w:p w14:paraId="755804AB" w14:textId="77777777" w:rsidR="007C2B45" w:rsidRDefault="007C2B45" w:rsidP="004062D6"/>
    <w:p w14:paraId="32079A23" w14:textId="29DB5E13" w:rsidR="004062D6" w:rsidRDefault="00D94699" w:rsidP="004062D6">
      <w:r>
        <w:t xml:space="preserve">Core data </w:t>
      </w:r>
      <w:r w:rsidR="00DA3EEE">
        <w:t xml:space="preserve">was key in this study as it </w:t>
      </w:r>
      <w:r>
        <w:t xml:space="preserve">allowed the identification of the late-stage calcite and provided a qualitative model of the diagenetic cements that </w:t>
      </w:r>
      <w:r w:rsidR="00DA3EEE">
        <w:t>validated</w:t>
      </w:r>
      <w:r>
        <w:t xml:space="preserve"> the calcite mapping methodology.</w:t>
      </w:r>
      <w:r w:rsidR="009010D6">
        <w:t xml:space="preserve">  </w:t>
      </w:r>
      <w:r w:rsidR="004E0AAA">
        <w:t xml:space="preserve">Simulation studies of reservoir models </w:t>
      </w:r>
      <w:r w:rsidR="00C73909">
        <w:t xml:space="preserve">conditioned with acoustic impedance data to account for 3D cement distribution </w:t>
      </w:r>
      <w:r w:rsidR="004062D6">
        <w:t xml:space="preserve">were </w:t>
      </w:r>
      <w:r w:rsidR="00542394">
        <w:t xml:space="preserve">also </w:t>
      </w:r>
      <w:r w:rsidR="004062D6">
        <w:t xml:space="preserve">able to </w:t>
      </w:r>
      <w:r w:rsidR="005E7655">
        <w:t>evaluate</w:t>
      </w:r>
      <w:r w:rsidR="004062D6">
        <w:t xml:space="preserve"> other risk factors such as </w:t>
      </w:r>
      <w:r w:rsidR="004E0AAA">
        <w:t xml:space="preserve">prior </w:t>
      </w:r>
      <w:r w:rsidR="004062D6">
        <w:t>sweep and water injection</w:t>
      </w:r>
      <w:r w:rsidR="004E0AAA">
        <w:t xml:space="preserve"> support</w:t>
      </w:r>
      <w:r w:rsidR="004062D6">
        <w:t>.</w:t>
      </w:r>
      <w:r w:rsidR="00DA3EEE">
        <w:t xml:space="preserve">  </w:t>
      </w:r>
      <w:r w:rsidR="004062D6">
        <w:t>Consequently</w:t>
      </w:r>
      <w:r>
        <w:t>,</w:t>
      </w:r>
      <w:r w:rsidR="004062D6">
        <w:t xml:space="preserve"> a</w:t>
      </w:r>
      <w:r w:rsidR="00542394">
        <w:t xml:space="preserve"> </w:t>
      </w:r>
      <w:r w:rsidR="005E7655">
        <w:t>late</w:t>
      </w:r>
      <w:r w:rsidR="000E6A25">
        <w:t>-</w:t>
      </w:r>
      <w:r w:rsidR="005E7655">
        <w:t>field life</w:t>
      </w:r>
      <w:r w:rsidR="004062D6">
        <w:t xml:space="preserve"> multi-million pound well </w:t>
      </w:r>
      <w:proofErr w:type="spellStart"/>
      <w:r>
        <w:t>sidetrack</w:t>
      </w:r>
      <w:proofErr w:type="spellEnd"/>
      <w:r>
        <w:t xml:space="preserve"> </w:t>
      </w:r>
      <w:r w:rsidR="004062D6">
        <w:t xml:space="preserve">was confidently executed and delivered </w:t>
      </w:r>
      <w:r w:rsidR="00DA3EEE">
        <w:t xml:space="preserve">production </w:t>
      </w:r>
      <w:r w:rsidR="004062D6">
        <w:t>within expectations.</w:t>
      </w:r>
    </w:p>
    <w:p w14:paraId="68B104B5" w14:textId="77777777" w:rsidR="004062D6" w:rsidRDefault="004062D6" w:rsidP="004062D6"/>
    <w:p w14:paraId="6A0E8558" w14:textId="77777777" w:rsidR="004062D6" w:rsidRDefault="004062D6" w:rsidP="004062D6">
      <w:pPr>
        <w:pStyle w:val="Heading1"/>
      </w:pPr>
      <w:r>
        <w:t>Case Study 2: Thistle Etive Baffles</w:t>
      </w:r>
    </w:p>
    <w:p w14:paraId="4A1E68E5" w14:textId="284F57F2" w:rsidR="004062D6" w:rsidRDefault="004062D6" w:rsidP="004062D6">
      <w:r>
        <w:t xml:space="preserve">The </w:t>
      </w:r>
      <w:r w:rsidRPr="00EB60AD">
        <w:t xml:space="preserve">Thistle </w:t>
      </w:r>
      <w:r w:rsidR="00C269BE">
        <w:t>O</w:t>
      </w:r>
      <w:r w:rsidRPr="00EB60AD">
        <w:t xml:space="preserve">il </w:t>
      </w:r>
      <w:r w:rsidR="00C269BE">
        <w:t>F</w:t>
      </w:r>
      <w:r w:rsidRPr="00EB60AD">
        <w:t xml:space="preserve">ield is a </w:t>
      </w:r>
      <w:r>
        <w:t>giant</w:t>
      </w:r>
      <w:r w:rsidRPr="00EB60AD">
        <w:t xml:space="preserve"> oil field in the Northern </w:t>
      </w:r>
      <w:r>
        <w:t xml:space="preserve">North Sea. The field was </w:t>
      </w:r>
      <w:r w:rsidRPr="00EB60AD">
        <w:t>discovered in 1972</w:t>
      </w:r>
      <w:r>
        <w:t xml:space="preserve"> and ha</w:t>
      </w:r>
      <w:r w:rsidR="006379A9">
        <w:t>d</w:t>
      </w:r>
      <w:r>
        <w:t xml:space="preserve"> an estimated STOIIP of c.770 MMBLS of which 430 MMBBLS </w:t>
      </w:r>
      <w:r w:rsidR="006379A9">
        <w:t>was</w:t>
      </w:r>
      <w:r>
        <w:t xml:space="preserve"> produced prior to cessation of production in 2020.  Ten successful late-life infill wells were drilled in the period 2010-2015</w:t>
      </w:r>
      <w:r w:rsidR="000E6A25">
        <w:t>,</w:t>
      </w:r>
      <w:r>
        <w:t xml:space="preserve"> and </w:t>
      </w:r>
      <w:r w:rsidR="000E6A25">
        <w:t xml:space="preserve">these </w:t>
      </w:r>
      <w:r w:rsidR="00D94699">
        <w:t>were</w:t>
      </w:r>
      <w:r>
        <w:t xml:space="preserve"> followed</w:t>
      </w:r>
      <w:r w:rsidR="000E6A25">
        <w:t>,</w:t>
      </w:r>
      <w:r w:rsidR="005E7655">
        <w:t xml:space="preserve"> in 2016-2017</w:t>
      </w:r>
      <w:r w:rsidR="000E6A25">
        <w:t>,</w:t>
      </w:r>
      <w:r>
        <w:t xml:space="preserve"> by a well work campaign designed to improve production and identify additional </w:t>
      </w:r>
      <w:r w:rsidR="005E7655">
        <w:t xml:space="preserve">production </w:t>
      </w:r>
      <w:r>
        <w:t>opportunities.  The field is currently being decommissioned.</w:t>
      </w:r>
    </w:p>
    <w:p w14:paraId="0BAAF090" w14:textId="77777777" w:rsidR="004062D6" w:rsidRDefault="004062D6" w:rsidP="004062D6"/>
    <w:p w14:paraId="37DB6FD9" w14:textId="77777777" w:rsidR="004062D6" w:rsidRPr="00E16DD2" w:rsidRDefault="004062D6" w:rsidP="00542394">
      <w:pPr>
        <w:pStyle w:val="Heading2"/>
      </w:pPr>
      <w:r w:rsidRPr="00E16DD2">
        <w:t>Study Objective</w:t>
      </w:r>
    </w:p>
    <w:p w14:paraId="785E9FC3" w14:textId="45C43305" w:rsidR="004062D6" w:rsidRDefault="004062D6" w:rsidP="004062D6">
      <w:r>
        <w:t>During the 2010 drilling campaign and subsequent well work campaign</w:t>
      </w:r>
      <w:r w:rsidR="000E6A25">
        <w:t>,</w:t>
      </w:r>
      <w:r>
        <w:t xml:space="preserve"> differential sweep patterns within the Etive Formation were identified.  Specifically</w:t>
      </w:r>
      <w:r w:rsidR="005E7655">
        <w:t>,</w:t>
      </w:r>
      <w:r>
        <w:t xml:space="preserve"> a variety of types of flow barriers or baffles were </w:t>
      </w:r>
      <w:r w:rsidR="00F872E0">
        <w:t>observed</w:t>
      </w:r>
      <w:r>
        <w:t xml:space="preserve"> in production logs </w:t>
      </w:r>
      <w:r w:rsidR="00F872E0">
        <w:t>that</w:t>
      </w:r>
      <w:r>
        <w:t xml:space="preserve"> indicated zones of bypassed or </w:t>
      </w:r>
      <w:proofErr w:type="spellStart"/>
      <w:r>
        <w:t>unswept</w:t>
      </w:r>
      <w:proofErr w:type="spellEnd"/>
      <w:r>
        <w:t xml:space="preserve"> oil locally within the Etive</w:t>
      </w:r>
      <w:r w:rsidR="00C86AB1">
        <w:t xml:space="preserve">.  These </w:t>
      </w:r>
      <w:proofErr w:type="spellStart"/>
      <w:r w:rsidR="00C86AB1">
        <w:t>unswept</w:t>
      </w:r>
      <w:proofErr w:type="spellEnd"/>
      <w:r w:rsidR="00C86AB1">
        <w:t xml:space="preserve"> intervals</w:t>
      </w:r>
      <w:r>
        <w:t xml:space="preserve"> could be potentially exploited by combinations of </w:t>
      </w:r>
      <w:r w:rsidR="00F872E0">
        <w:t xml:space="preserve">intervention activities such as </w:t>
      </w:r>
      <w:r>
        <w:t xml:space="preserve">water </w:t>
      </w:r>
      <w:proofErr w:type="gramStart"/>
      <w:r>
        <w:t>shut-offs</w:t>
      </w:r>
      <w:proofErr w:type="gramEnd"/>
      <w:r>
        <w:t xml:space="preserve"> and additional perforations.  The objective</w:t>
      </w:r>
      <w:r w:rsidR="005E7655">
        <w:t>s</w:t>
      </w:r>
      <w:r>
        <w:t xml:space="preserve"> of the integrated studies </w:t>
      </w:r>
      <w:r w:rsidR="005E7655">
        <w:t>were</w:t>
      </w:r>
      <w:r>
        <w:t xml:space="preserve"> to characterise the different baffle types and </w:t>
      </w:r>
      <w:r>
        <w:lastRenderedPageBreak/>
        <w:t xml:space="preserve">determine their likely geometry and extent </w:t>
      </w:r>
      <w:r w:rsidR="000E6A25">
        <w:t>to</w:t>
      </w:r>
      <w:r>
        <w:t xml:space="preserve"> assess </w:t>
      </w:r>
      <w:r w:rsidR="00F872E0">
        <w:t>potential locations and volumes of by-passed or undrained oil</w:t>
      </w:r>
      <w:r>
        <w:t>.</w:t>
      </w:r>
    </w:p>
    <w:p w14:paraId="6123E410" w14:textId="77777777" w:rsidR="004062D6" w:rsidRDefault="004062D6" w:rsidP="004062D6"/>
    <w:p w14:paraId="38F12D21" w14:textId="13674201" w:rsidR="004062D6" w:rsidRPr="005E7655" w:rsidRDefault="004062D6" w:rsidP="00542394">
      <w:pPr>
        <w:pStyle w:val="Heading2"/>
      </w:pPr>
      <w:r w:rsidRPr="005E7655">
        <w:t>Study Methods</w:t>
      </w:r>
      <w:r w:rsidR="00C269BE">
        <w:t xml:space="preserve"> and</w:t>
      </w:r>
      <w:r w:rsidRPr="005E7655">
        <w:t xml:space="preserve"> Results</w:t>
      </w:r>
    </w:p>
    <w:p w14:paraId="175D135F" w14:textId="0E3F20BF" w:rsidR="004062D6" w:rsidRDefault="004062D6" w:rsidP="004062D6">
      <w:r>
        <w:t xml:space="preserve">A range of conventional core description and sedimentology studies were supplemented by </w:t>
      </w:r>
      <w:proofErr w:type="spellStart"/>
      <w:r>
        <w:t>petrographic</w:t>
      </w:r>
      <w:r w:rsidR="00C269BE">
        <w:t>al</w:t>
      </w:r>
      <w:proofErr w:type="spellEnd"/>
      <w:r>
        <w:t xml:space="preserve"> and mineralogical studies </w:t>
      </w:r>
      <w:proofErr w:type="gramStart"/>
      <w:r>
        <w:t>in order to</w:t>
      </w:r>
      <w:proofErr w:type="gramEnd"/>
      <w:r>
        <w:t xml:space="preserve"> evaluate the baffles and provide an improved understanding of the</w:t>
      </w:r>
      <w:r w:rsidR="00D94699">
        <w:t>ir</w:t>
      </w:r>
      <w:r>
        <w:t xml:space="preserve"> distribution and dynamic impact that could support additional well work.</w:t>
      </w:r>
    </w:p>
    <w:p w14:paraId="68BCE8D1" w14:textId="77777777" w:rsidR="004062D6" w:rsidRDefault="004062D6" w:rsidP="004062D6"/>
    <w:p w14:paraId="323C9ACE" w14:textId="16A3E5A1" w:rsidR="004062D6" w:rsidRDefault="004062D6" w:rsidP="004062D6">
      <w:r>
        <w:t xml:space="preserve">Conventional core description (undertaken by Lomond Associates) provided detailed </w:t>
      </w:r>
      <w:r w:rsidR="000E6A25">
        <w:t>sedimentary logs</w:t>
      </w:r>
      <w:r>
        <w:t xml:space="preserve"> of all available cores from the zone of interest (mainly </w:t>
      </w:r>
      <w:r w:rsidR="000E6A25">
        <w:t xml:space="preserve">the </w:t>
      </w:r>
      <w:r>
        <w:t>Etive</w:t>
      </w:r>
      <w:r w:rsidR="0091540F">
        <w:t xml:space="preserve"> Formation</w:t>
      </w:r>
      <w:r>
        <w:t xml:space="preserve">).  This sedimentological work indicated that the Etive Formation in Thistle can be subdivided into </w:t>
      </w:r>
      <w:r w:rsidR="0091540F">
        <w:t>two intervals</w:t>
      </w:r>
      <w:r>
        <w:t xml:space="preserve">: </w:t>
      </w:r>
    </w:p>
    <w:p w14:paraId="5A0B947F" w14:textId="77777777" w:rsidR="00CB7EBD" w:rsidRDefault="00CB7EBD" w:rsidP="004062D6"/>
    <w:p w14:paraId="1819EF48" w14:textId="77777777" w:rsidR="0091540F" w:rsidRPr="0063608E" w:rsidRDefault="004062D6" w:rsidP="004062D6">
      <w:pPr>
        <w:pStyle w:val="ListParagraph"/>
        <w:numPr>
          <w:ilvl w:val="0"/>
          <w:numId w:val="5"/>
        </w:numPr>
        <w:rPr>
          <w:i/>
          <w:iCs/>
        </w:rPr>
      </w:pPr>
      <w:r w:rsidRPr="0063608E">
        <w:rPr>
          <w:i/>
          <w:iCs/>
        </w:rPr>
        <w:t xml:space="preserve">Lower Etive </w:t>
      </w:r>
    </w:p>
    <w:p w14:paraId="094CA6CE" w14:textId="695CE7C2" w:rsidR="004062D6" w:rsidRPr="00D56263" w:rsidRDefault="0091540F" w:rsidP="0091540F">
      <w:pPr>
        <w:ind w:left="720"/>
      </w:pPr>
      <w:r>
        <w:t>D</w:t>
      </w:r>
      <w:r w:rsidR="004062D6" w:rsidRPr="00D56263">
        <w:t xml:space="preserve">ominated by </w:t>
      </w:r>
      <w:r w:rsidR="008A52BC">
        <w:t>fine to medium</w:t>
      </w:r>
      <w:r>
        <w:t>-</w:t>
      </w:r>
      <w:r w:rsidR="008A52BC">
        <w:t>grained</w:t>
      </w:r>
      <w:r w:rsidR="00CB7EBD">
        <w:t>, locally coarse</w:t>
      </w:r>
      <w:r w:rsidR="00C269BE">
        <w:t>-</w:t>
      </w:r>
      <w:r w:rsidR="00CB7EBD">
        <w:t>grained,</w:t>
      </w:r>
      <w:r w:rsidR="008A52BC">
        <w:t xml:space="preserve"> </w:t>
      </w:r>
      <w:r w:rsidR="004062D6" w:rsidRPr="00D56263">
        <w:t>cross-bedded sandstone</w:t>
      </w:r>
      <w:r w:rsidR="00C269BE">
        <w:t>,</w:t>
      </w:r>
      <w:r w:rsidR="00DA3EEE">
        <w:t xml:space="preserve"> which has been i</w:t>
      </w:r>
      <w:r w:rsidR="00EC5278">
        <w:t xml:space="preserve">nterpreted as </w:t>
      </w:r>
      <w:r w:rsidR="004062D6" w:rsidRPr="00D56263">
        <w:t>fluvial or fluvio-estuarine channels</w:t>
      </w:r>
      <w:r w:rsidR="00F872E0">
        <w:t>, possibly related to a large-</w:t>
      </w:r>
      <w:r w:rsidR="005E7655">
        <w:t>scale incised valley</w:t>
      </w:r>
      <w:r w:rsidR="00F872E0">
        <w:t>.</w:t>
      </w:r>
      <w:r w:rsidR="006E4B98">
        <w:t xml:space="preserve">  Although no str</w:t>
      </w:r>
      <w:r w:rsidR="00DA3EEE">
        <w:t>o</w:t>
      </w:r>
      <w:r w:rsidR="006E4B98">
        <w:t xml:space="preserve">ng tidal indicators were identified, it is possible that the channels </w:t>
      </w:r>
      <w:r w:rsidR="00DA3EEE">
        <w:t>may have been</w:t>
      </w:r>
      <w:r w:rsidR="006E4B98">
        <w:t xml:space="preserve"> influenced by coastal processes.</w:t>
      </w:r>
    </w:p>
    <w:p w14:paraId="51B51171" w14:textId="77777777" w:rsidR="0091540F" w:rsidRPr="0063608E" w:rsidRDefault="004062D6" w:rsidP="004062D6">
      <w:pPr>
        <w:pStyle w:val="ListParagraph"/>
        <w:numPr>
          <w:ilvl w:val="0"/>
          <w:numId w:val="5"/>
        </w:numPr>
        <w:rPr>
          <w:i/>
          <w:iCs/>
        </w:rPr>
      </w:pPr>
      <w:r w:rsidRPr="0063608E">
        <w:rPr>
          <w:i/>
          <w:iCs/>
        </w:rPr>
        <w:t>Upper Etive</w:t>
      </w:r>
    </w:p>
    <w:p w14:paraId="5CA7D811" w14:textId="6644744A" w:rsidR="004062D6" w:rsidRDefault="0091540F" w:rsidP="0091540F">
      <w:pPr>
        <w:ind w:left="720"/>
      </w:pPr>
      <w:r>
        <w:t>P</w:t>
      </w:r>
      <w:r w:rsidR="004062D6" w:rsidRPr="00D56263">
        <w:t xml:space="preserve">redominantly massive to weakly bedded </w:t>
      </w:r>
      <w:r w:rsidR="00CB7EBD">
        <w:t>fine</w:t>
      </w:r>
      <w:r>
        <w:t>-</w:t>
      </w:r>
      <w:r w:rsidR="00CB7EBD">
        <w:t xml:space="preserve">grained </w:t>
      </w:r>
      <w:r w:rsidR="004062D6" w:rsidRPr="00D56263">
        <w:t>sandstone, locally heterolithic with thin coals and carbonaceous shales</w:t>
      </w:r>
      <w:r>
        <w:t xml:space="preserve">.  </w:t>
      </w:r>
      <w:r w:rsidR="00C9759C">
        <w:t>The Upper Etive is i</w:t>
      </w:r>
      <w:r>
        <w:t xml:space="preserve">nterpreted as </w:t>
      </w:r>
      <w:r w:rsidR="00C9759C">
        <w:t xml:space="preserve">representing </w:t>
      </w:r>
      <w:r w:rsidR="006E4B98">
        <w:t xml:space="preserve">tidal </w:t>
      </w:r>
      <w:r w:rsidR="004062D6" w:rsidRPr="00D56263">
        <w:t>sandflat</w:t>
      </w:r>
      <w:r w:rsidR="006E4B98">
        <w:t xml:space="preserve">, </w:t>
      </w:r>
      <w:r w:rsidR="004062D6" w:rsidRPr="00D56263">
        <w:t>barrier</w:t>
      </w:r>
      <w:r w:rsidR="00C9759C">
        <w:t xml:space="preserve"> complex</w:t>
      </w:r>
      <w:r w:rsidR="004062D6" w:rsidRPr="00D56263">
        <w:t>, back-</w:t>
      </w:r>
      <w:proofErr w:type="gramStart"/>
      <w:r w:rsidR="004062D6" w:rsidRPr="00D56263">
        <w:t>barrier</w:t>
      </w:r>
      <w:proofErr w:type="gramEnd"/>
      <w:r>
        <w:t xml:space="preserve"> and</w:t>
      </w:r>
      <w:r w:rsidR="004062D6" w:rsidRPr="00D56263">
        <w:t xml:space="preserve"> marsh</w:t>
      </w:r>
      <w:r w:rsidR="00C9759C">
        <w:t xml:space="preserve"> environments</w:t>
      </w:r>
      <w:r w:rsidR="00F872E0">
        <w:t>.</w:t>
      </w:r>
    </w:p>
    <w:p w14:paraId="2E18FCF6" w14:textId="77777777" w:rsidR="004062D6" w:rsidRDefault="004062D6" w:rsidP="004062D6">
      <w:pPr>
        <w:pStyle w:val="ListParagraph"/>
      </w:pPr>
    </w:p>
    <w:p w14:paraId="2DEC3143" w14:textId="2C33FFDA" w:rsidR="006E4B98" w:rsidRDefault="004062D6" w:rsidP="004062D6">
      <w:r>
        <w:t xml:space="preserve">This subdivision of the Etive in Thistle is </w:t>
      </w:r>
      <w:r w:rsidR="00CB7EBD">
        <w:t>significant (</w:t>
      </w:r>
      <w:proofErr w:type="spellStart"/>
      <w:r w:rsidR="00CB7EBD">
        <w:t>Peveraro</w:t>
      </w:r>
      <w:proofErr w:type="spellEnd"/>
      <w:r w:rsidR="00CB7EBD">
        <w:t xml:space="preserve"> &amp; Russell, 1984)</w:t>
      </w:r>
      <w:r>
        <w:t xml:space="preserve"> </w:t>
      </w:r>
      <w:r w:rsidR="000E6A25">
        <w:t xml:space="preserve">as it </w:t>
      </w:r>
      <w:r>
        <w:t xml:space="preserve">indicates a switch from dominantly fluvial to a more coastal setting during the </w:t>
      </w:r>
      <w:r w:rsidR="000E6A25">
        <w:t xml:space="preserve">deposition of the </w:t>
      </w:r>
      <w:r>
        <w:t>Etive</w:t>
      </w:r>
      <w:r w:rsidR="000E6A25">
        <w:t xml:space="preserve"> Formation</w:t>
      </w:r>
      <w:r>
        <w:t>.  A detailed discussion of Etive sedimentology is beyond the scope of this study but the general setting and stratigraphic subdivision has been noted elsewhere</w:t>
      </w:r>
      <w:r w:rsidR="00C86AB1">
        <w:t>, as summarized by Olsen &amp; Steel (2000)</w:t>
      </w:r>
      <w:r>
        <w:t>.  However, more generally across the Brent province</w:t>
      </w:r>
      <w:r w:rsidR="005C0D1E">
        <w:t>,</w:t>
      </w:r>
      <w:r>
        <w:t xml:space="preserve"> widely different interpretation</w:t>
      </w:r>
      <w:r w:rsidR="006E4B98">
        <w:t>s</w:t>
      </w:r>
      <w:r>
        <w:t xml:space="preserve"> of the Etive Formation </w:t>
      </w:r>
      <w:r w:rsidR="008518BD">
        <w:t xml:space="preserve">interval </w:t>
      </w:r>
      <w:r>
        <w:t xml:space="preserve">have been made, ranging from shoreface or </w:t>
      </w:r>
      <w:r>
        <w:lastRenderedPageBreak/>
        <w:t>foreshore to barrier complexes, tidal or estuarine channels and fluvial channel deposits (</w:t>
      </w:r>
      <w:r w:rsidR="0094198D">
        <w:t xml:space="preserve">e.g., </w:t>
      </w:r>
      <w:r w:rsidR="00066800">
        <w:t xml:space="preserve">Olsen &amp; Steel, 2000; </w:t>
      </w:r>
      <w:r>
        <w:t xml:space="preserve">Hampson </w:t>
      </w:r>
      <w:r w:rsidR="00C73909" w:rsidRPr="00C269BE">
        <w:rPr>
          <w:i/>
          <w:iCs/>
        </w:rPr>
        <w:t>et al</w:t>
      </w:r>
      <w:r w:rsidR="00C269BE" w:rsidRPr="00C269BE">
        <w:rPr>
          <w:i/>
          <w:iCs/>
        </w:rPr>
        <w:t>.</w:t>
      </w:r>
      <w:r w:rsidR="00C73909">
        <w:t xml:space="preserve"> 2004; Went </w:t>
      </w:r>
      <w:r w:rsidR="00C73909" w:rsidRPr="00DA3EEE">
        <w:rPr>
          <w:i/>
          <w:iCs/>
        </w:rPr>
        <w:t>et al.</w:t>
      </w:r>
      <w:r w:rsidR="00C73909">
        <w:t xml:space="preserve"> 2013).  </w:t>
      </w:r>
      <w:r w:rsidR="006E4B98">
        <w:t xml:space="preserve">The Etive Formation is a lithostratigraphic unit and </w:t>
      </w:r>
      <w:r w:rsidR="00702180">
        <w:t>its</w:t>
      </w:r>
      <w:r w:rsidR="006E4B98">
        <w:t xml:space="preserve"> inherent </w:t>
      </w:r>
      <w:r w:rsidR="003339EA">
        <w:t>diachronous</w:t>
      </w:r>
      <w:r w:rsidR="006E4B98">
        <w:t xml:space="preserve"> </w:t>
      </w:r>
      <w:r w:rsidR="00702180">
        <w:t>evolution</w:t>
      </w:r>
      <w:r w:rsidR="006E4B98">
        <w:t xml:space="preserve"> </w:t>
      </w:r>
      <w:r w:rsidR="00702180">
        <w:t>will likely have resulted in a range of depositional settings across the Brent system.</w:t>
      </w:r>
    </w:p>
    <w:p w14:paraId="56859BC0" w14:textId="77777777" w:rsidR="006E4B98" w:rsidRDefault="006E4B98" w:rsidP="004062D6"/>
    <w:p w14:paraId="0FAD3BB7" w14:textId="592AB599" w:rsidR="004062D6" w:rsidRDefault="004062D6" w:rsidP="004062D6">
      <w:r>
        <w:t xml:space="preserve">The sedimentological context and probable origin of the Etive Formation baffles in Thistle </w:t>
      </w:r>
      <w:r w:rsidR="005C0D1E">
        <w:t xml:space="preserve">are </w:t>
      </w:r>
      <w:r>
        <w:t>discussed below.</w:t>
      </w:r>
    </w:p>
    <w:p w14:paraId="03D8A6DD" w14:textId="77777777" w:rsidR="004062D6" w:rsidRDefault="004062D6" w:rsidP="004062D6"/>
    <w:p w14:paraId="2986156C" w14:textId="53C1BFA5" w:rsidR="004062D6" w:rsidRDefault="000647D8" w:rsidP="004062D6">
      <w:r>
        <w:t>T</w:t>
      </w:r>
      <w:r w:rsidR="00DA3EEE">
        <w:t>hree</w:t>
      </w:r>
      <w:r w:rsidR="004062D6" w:rsidRPr="005C5283">
        <w:t xml:space="preserve"> types of intra-Etive baffle</w:t>
      </w:r>
      <w:r w:rsidR="004062D6">
        <w:t xml:space="preserve"> were</w:t>
      </w:r>
      <w:r w:rsidR="004062D6" w:rsidRPr="005C5283">
        <w:t xml:space="preserve"> ide</w:t>
      </w:r>
      <w:r w:rsidR="004062D6">
        <w:t>ntified from core and log data:</w:t>
      </w:r>
    </w:p>
    <w:p w14:paraId="17F09F5D" w14:textId="77777777" w:rsidR="005E7655" w:rsidRPr="005C5283" w:rsidRDefault="005E7655" w:rsidP="004062D6"/>
    <w:p w14:paraId="051E5F12" w14:textId="77777777" w:rsidR="004062D6" w:rsidRPr="005C5283" w:rsidRDefault="004062D6" w:rsidP="004062D6">
      <w:pPr>
        <w:pStyle w:val="ListParagraph"/>
        <w:numPr>
          <w:ilvl w:val="0"/>
          <w:numId w:val="10"/>
        </w:numPr>
      </w:pPr>
      <w:r w:rsidRPr="005C5283">
        <w:t>Thin carbonaceous</w:t>
      </w:r>
      <w:r w:rsidR="00016290">
        <w:t xml:space="preserve"> or coaly</w:t>
      </w:r>
      <w:r w:rsidRPr="005C5283">
        <w:t xml:space="preserve"> mudstones</w:t>
      </w:r>
    </w:p>
    <w:p w14:paraId="7931F66C" w14:textId="53E2E392" w:rsidR="004062D6" w:rsidRPr="005C5283" w:rsidRDefault="004062D6" w:rsidP="004062D6">
      <w:pPr>
        <w:pStyle w:val="ListParagraph"/>
        <w:numPr>
          <w:ilvl w:val="0"/>
          <w:numId w:val="10"/>
        </w:numPr>
      </w:pPr>
      <w:r w:rsidRPr="005C5283">
        <w:t xml:space="preserve">Low </w:t>
      </w:r>
      <w:r w:rsidR="000647D8">
        <w:t xml:space="preserve">reservoir </w:t>
      </w:r>
      <w:r w:rsidRPr="005C5283">
        <w:t>quality</w:t>
      </w:r>
      <w:r w:rsidR="005C0D1E">
        <w:t>,</w:t>
      </w:r>
      <w:r w:rsidRPr="005C5283">
        <w:t xml:space="preserve"> kaolinite-cemented sandstones</w:t>
      </w:r>
    </w:p>
    <w:p w14:paraId="0CC798FB" w14:textId="77777777" w:rsidR="004062D6" w:rsidRPr="005C5283" w:rsidRDefault="004062D6" w:rsidP="004062D6">
      <w:pPr>
        <w:pStyle w:val="ListParagraph"/>
        <w:numPr>
          <w:ilvl w:val="0"/>
          <w:numId w:val="10"/>
        </w:numPr>
      </w:pPr>
      <w:r w:rsidRPr="005C5283">
        <w:t>Calcite-cemented sandstones</w:t>
      </w:r>
    </w:p>
    <w:p w14:paraId="60447F84" w14:textId="77777777" w:rsidR="004062D6" w:rsidRPr="005C5283" w:rsidRDefault="004062D6" w:rsidP="004062D6"/>
    <w:p w14:paraId="50F62070" w14:textId="03FE5C02" w:rsidR="003339EA" w:rsidRDefault="003339EA" w:rsidP="004062D6">
      <w:r>
        <w:t xml:space="preserve">Only the first two types are discussed in detail here.  The </w:t>
      </w:r>
      <w:r w:rsidR="00DA3EEE">
        <w:t xml:space="preserve">Type C baffles, </w:t>
      </w:r>
      <w:r>
        <w:t>calcite-cemented sandstones</w:t>
      </w:r>
      <w:r w:rsidR="00DA3EEE">
        <w:t xml:space="preserve">, </w:t>
      </w:r>
      <w:r>
        <w:t>are highly localized and thought not to significantly impact reservoir performance</w:t>
      </w:r>
      <w:r w:rsidR="0063608E">
        <w:t xml:space="preserve"> due to their limited lateral extent</w:t>
      </w:r>
      <w:r>
        <w:t>.</w:t>
      </w:r>
    </w:p>
    <w:p w14:paraId="01D8A655" w14:textId="77777777" w:rsidR="003339EA" w:rsidRDefault="003339EA" w:rsidP="004062D6"/>
    <w:p w14:paraId="3EDCDCD8" w14:textId="74EB5ADA" w:rsidR="004062D6" w:rsidRDefault="00C73909" w:rsidP="004062D6">
      <w:r>
        <w:t>Each of the</w:t>
      </w:r>
      <w:r w:rsidR="003339EA">
        <w:t xml:space="preserve"> A and B</w:t>
      </w:r>
      <w:r w:rsidR="004062D6">
        <w:t xml:space="preserve"> b</w:t>
      </w:r>
      <w:r w:rsidR="004062D6" w:rsidRPr="005C5283">
        <w:t>affle</w:t>
      </w:r>
      <w:r w:rsidR="003339EA">
        <w:t xml:space="preserve"> types</w:t>
      </w:r>
      <w:r w:rsidR="004062D6" w:rsidRPr="005C5283">
        <w:t xml:space="preserve"> </w:t>
      </w:r>
      <w:r>
        <w:t>ha</w:t>
      </w:r>
      <w:r w:rsidR="00BB2D7F">
        <w:t>ve</w:t>
      </w:r>
      <w:r>
        <w:t xml:space="preserve"> </w:t>
      </w:r>
      <w:proofErr w:type="gramStart"/>
      <w:r>
        <w:t>particular spatial</w:t>
      </w:r>
      <w:proofErr w:type="gramEnd"/>
      <w:r>
        <w:t xml:space="preserve"> and stratigraphic</w:t>
      </w:r>
      <w:r w:rsidR="00C269BE">
        <w:t>al</w:t>
      </w:r>
      <w:r w:rsidR="00BB2D7F">
        <w:t xml:space="preserve"> characteristic</w:t>
      </w:r>
      <w:r w:rsidR="00BD1B82">
        <w:t>s</w:t>
      </w:r>
      <w:r>
        <w:t xml:space="preserve">, with many wells </w:t>
      </w:r>
      <w:r w:rsidR="003339EA">
        <w:t>recording</w:t>
      </w:r>
      <w:r>
        <w:t xml:space="preserve"> one or more examples of the various types.  They </w:t>
      </w:r>
      <w:r w:rsidR="004062D6" w:rsidRPr="005C5283">
        <w:t>beh</w:t>
      </w:r>
      <w:r w:rsidR="000647D8">
        <w:t>ave as locally significant flow</w:t>
      </w:r>
      <w:r w:rsidR="004062D6" w:rsidRPr="005C5283">
        <w:t xml:space="preserve"> </w:t>
      </w:r>
      <w:r w:rsidR="00C9759C">
        <w:t xml:space="preserve">unit </w:t>
      </w:r>
      <w:r w:rsidR="004062D6" w:rsidRPr="005C5283">
        <w:t>boundaries</w:t>
      </w:r>
      <w:r w:rsidR="004062D6">
        <w:t xml:space="preserve"> and are </w:t>
      </w:r>
      <w:r w:rsidR="00A21FC3">
        <w:t>rarely</w:t>
      </w:r>
      <w:r w:rsidR="004062D6">
        <w:t xml:space="preserve"> associated with minor </w:t>
      </w:r>
      <w:r w:rsidR="00D37D1E">
        <w:t>repeat formation tester (</w:t>
      </w:r>
      <w:r w:rsidR="004062D6" w:rsidRPr="005C5283">
        <w:t>RFT</w:t>
      </w:r>
      <w:r w:rsidR="00D37D1E">
        <w:t>)</w:t>
      </w:r>
      <w:r w:rsidR="004062D6" w:rsidRPr="005C5283">
        <w:t xml:space="preserve"> pressure breaks</w:t>
      </w:r>
      <w:r w:rsidR="004062D6">
        <w:t>.  The discrete</w:t>
      </w:r>
      <w:r w:rsidR="004062D6" w:rsidRPr="005C5283">
        <w:t xml:space="preserve"> flow units </w:t>
      </w:r>
      <w:r w:rsidR="00C9759C">
        <w:t>defined by these types of barrier or baffles can</w:t>
      </w:r>
      <w:r w:rsidR="005C0D1E" w:rsidRPr="005C5283">
        <w:t xml:space="preserve"> </w:t>
      </w:r>
      <w:r w:rsidR="004062D6" w:rsidRPr="005C5283">
        <w:t>strongl</w:t>
      </w:r>
      <w:r w:rsidR="004062D6">
        <w:t>y influence</w:t>
      </w:r>
      <w:r w:rsidR="003339EA">
        <w:t xml:space="preserve"> </w:t>
      </w:r>
      <w:r w:rsidR="000645D1">
        <w:t xml:space="preserve">local sweep and </w:t>
      </w:r>
      <w:r w:rsidR="003339EA">
        <w:t>wellbore</w:t>
      </w:r>
      <w:r w:rsidR="004062D6">
        <w:t xml:space="preserve"> inflow type/volume</w:t>
      </w:r>
      <w:r w:rsidR="005C0D1E">
        <w:t>,</w:t>
      </w:r>
      <w:r w:rsidR="004062D6">
        <w:t xml:space="preserve"> as observed in production logging</w:t>
      </w:r>
      <w:r w:rsidR="00D37D1E">
        <w:t xml:space="preserve"> tool</w:t>
      </w:r>
      <w:r w:rsidR="004062D6">
        <w:t xml:space="preserve"> </w:t>
      </w:r>
      <w:r w:rsidR="00D37D1E">
        <w:t>(</w:t>
      </w:r>
      <w:r w:rsidR="004062D6">
        <w:t>PLT</w:t>
      </w:r>
      <w:r w:rsidR="00D37D1E">
        <w:t>)</w:t>
      </w:r>
      <w:r w:rsidR="005E7655">
        <w:t xml:space="preserve"> runs</w:t>
      </w:r>
      <w:r w:rsidR="00074CF4">
        <w:t xml:space="preserve"> that measure total flow rates and allow the proportions of fluid types (oil, water) to be estimated</w:t>
      </w:r>
      <w:r w:rsidR="004062D6">
        <w:t>.</w:t>
      </w:r>
    </w:p>
    <w:p w14:paraId="3A1127E8" w14:textId="77777777" w:rsidR="004062D6" w:rsidRDefault="004062D6" w:rsidP="004062D6"/>
    <w:p w14:paraId="3F34B62A" w14:textId="0B266097" w:rsidR="004062D6" w:rsidRDefault="004062D6" w:rsidP="004062D6">
      <w:r>
        <w:t xml:space="preserve">An example of intra-Etive baffles from well 211/18-A07 is shown in Figure 7.  The baffles exhibit </w:t>
      </w:r>
      <w:r w:rsidR="00074CF4">
        <w:t>several</w:t>
      </w:r>
      <w:r>
        <w:t xml:space="preserve"> </w:t>
      </w:r>
      <w:r w:rsidR="00074CF4">
        <w:t xml:space="preserve">petrophysical </w:t>
      </w:r>
      <w:r>
        <w:t>recognition criteria:</w:t>
      </w:r>
    </w:p>
    <w:p w14:paraId="643D3CA7" w14:textId="77777777" w:rsidR="00FF739E" w:rsidRDefault="00FF739E" w:rsidP="004062D6"/>
    <w:p w14:paraId="1C4CB2E1" w14:textId="5A543E12" w:rsidR="004062D6" w:rsidRDefault="004062D6" w:rsidP="004062D6">
      <w:pPr>
        <w:pStyle w:val="ListParagraph"/>
        <w:numPr>
          <w:ilvl w:val="0"/>
          <w:numId w:val="9"/>
        </w:numPr>
      </w:pPr>
      <w:r>
        <w:t xml:space="preserve">Slightly increased </w:t>
      </w:r>
      <w:r w:rsidR="005C0D1E">
        <w:t xml:space="preserve">gamma ray </w:t>
      </w:r>
      <w:r>
        <w:t>and increased calculate</w:t>
      </w:r>
      <w:r w:rsidR="00074CF4">
        <w:t>d</w:t>
      </w:r>
      <w:r>
        <w:t xml:space="preserve"> V-Shale – both indicating more clay or shale</w:t>
      </w:r>
      <w:r w:rsidR="005C0D1E">
        <w:t>.</w:t>
      </w:r>
    </w:p>
    <w:p w14:paraId="45771DE8" w14:textId="074AF2E2" w:rsidR="004062D6" w:rsidRDefault="004062D6" w:rsidP="004062D6">
      <w:pPr>
        <w:pStyle w:val="ListParagraph"/>
        <w:numPr>
          <w:ilvl w:val="0"/>
          <w:numId w:val="9"/>
        </w:numPr>
      </w:pPr>
      <w:r>
        <w:t>Neutron-</w:t>
      </w:r>
      <w:r w:rsidR="005C0D1E">
        <w:t xml:space="preserve">density </w:t>
      </w:r>
      <w:r>
        <w:t>negative cross-over indicating reduced porosity and higher density</w:t>
      </w:r>
      <w:r w:rsidR="005C0D1E">
        <w:t>.</w:t>
      </w:r>
    </w:p>
    <w:p w14:paraId="05C321A8" w14:textId="0C18D675" w:rsidR="004062D6" w:rsidRDefault="004062D6" w:rsidP="004062D6">
      <w:pPr>
        <w:pStyle w:val="ListParagraph"/>
        <w:numPr>
          <w:ilvl w:val="0"/>
          <w:numId w:val="9"/>
        </w:numPr>
      </w:pPr>
      <w:r>
        <w:lastRenderedPageBreak/>
        <w:t>Significantly reduced permeability and porosity</w:t>
      </w:r>
      <w:r w:rsidR="00C86AB1">
        <w:t xml:space="preserve"> as</w:t>
      </w:r>
      <w:r>
        <w:t xml:space="preserve"> measure</w:t>
      </w:r>
      <w:r w:rsidR="005C0D1E">
        <w:t>d</w:t>
      </w:r>
      <w:r>
        <w:t xml:space="preserve"> from core data and log-derived estimates</w:t>
      </w:r>
      <w:r w:rsidR="005C0D1E">
        <w:t>.</w:t>
      </w:r>
    </w:p>
    <w:p w14:paraId="29EECB60" w14:textId="51647E2C" w:rsidR="004062D6" w:rsidRDefault="004062D6" w:rsidP="004062D6">
      <w:pPr>
        <w:pStyle w:val="ListParagraph"/>
        <w:numPr>
          <w:ilvl w:val="0"/>
          <w:numId w:val="9"/>
        </w:numPr>
      </w:pPr>
      <w:r>
        <w:t>Increased calculated water saturation (based on resistivity logs)</w:t>
      </w:r>
      <w:r w:rsidR="005C0D1E">
        <w:t>.</w:t>
      </w:r>
    </w:p>
    <w:p w14:paraId="48FCF532" w14:textId="77777777" w:rsidR="00FF739E" w:rsidRDefault="00FF739E" w:rsidP="004062D6"/>
    <w:p w14:paraId="2B575868" w14:textId="77777777" w:rsidR="004062D6" w:rsidRDefault="004062D6" w:rsidP="004062D6">
      <w:r>
        <w:t xml:space="preserve">These criteria are similar for the first two types of </w:t>
      </w:r>
      <w:proofErr w:type="gramStart"/>
      <w:r>
        <w:t>baffle</w:t>
      </w:r>
      <w:proofErr w:type="gramEnd"/>
      <w:r>
        <w:t xml:space="preserve"> identified above, i.e. carbonaceous mudstones and kaolinite cemented sandstones with some minor but important differences.  The carbonaceous mudstones generally exhibit a higher gamma-ray response (due to higher shale/mud content) and slightly higher density.</w:t>
      </w:r>
    </w:p>
    <w:p w14:paraId="50E74E12" w14:textId="77777777" w:rsidR="004062D6" w:rsidRDefault="004062D6" w:rsidP="004062D6"/>
    <w:p w14:paraId="54AADC88" w14:textId="77777777" w:rsidR="004062D6" w:rsidRPr="00E16DD2" w:rsidRDefault="004062D6" w:rsidP="00016290">
      <w:pPr>
        <w:pStyle w:val="Heading2"/>
      </w:pPr>
      <w:r w:rsidRPr="00E16DD2">
        <w:t xml:space="preserve">Baffle Type A </w:t>
      </w:r>
    </w:p>
    <w:p w14:paraId="39DB3F00" w14:textId="1706B7DC" w:rsidR="004062D6" w:rsidRDefault="004062D6" w:rsidP="004062D6">
      <w:r>
        <w:t xml:space="preserve">These are relatively thin (&lt;50 cm) carbonaceous mudstones, </w:t>
      </w:r>
      <w:proofErr w:type="gramStart"/>
      <w:r>
        <w:t>siltstones</w:t>
      </w:r>
      <w:proofErr w:type="gramEnd"/>
      <w:r>
        <w:t xml:space="preserve"> and coals with </w:t>
      </w:r>
      <w:r w:rsidR="00A21FC3">
        <w:t>rare</w:t>
      </w:r>
      <w:r>
        <w:t xml:space="preserve"> minor thin sandstone interbeds</w:t>
      </w:r>
      <w:r w:rsidR="000645D1">
        <w:t xml:space="preserve"> and carbonate nodular cements</w:t>
      </w:r>
      <w:r>
        <w:t>.  Local evidence of root</w:t>
      </w:r>
      <w:r w:rsidR="005C0D1E">
        <w:t>s</w:t>
      </w:r>
      <w:r>
        <w:t xml:space="preserve"> and bioturbation </w:t>
      </w:r>
      <w:r w:rsidR="00D37D1E">
        <w:t xml:space="preserve">is </w:t>
      </w:r>
      <w:r w:rsidR="005C0D1E">
        <w:t>present</w:t>
      </w:r>
      <w:r>
        <w:t xml:space="preserve">.  Overall, this facies </w:t>
      </w:r>
      <w:proofErr w:type="gramStart"/>
      <w:r>
        <w:t>is</w:t>
      </w:r>
      <w:proofErr w:type="gramEnd"/>
      <w:r>
        <w:t xml:space="preserve"> interpreted as </w:t>
      </w:r>
      <w:r w:rsidR="00DA3EEE">
        <w:t>having been</w:t>
      </w:r>
      <w:r w:rsidR="00074CF4">
        <w:t xml:space="preserve"> deposited in </w:t>
      </w:r>
      <w:r>
        <w:t>emergent, vegetated</w:t>
      </w:r>
      <w:r w:rsidR="005C0D1E">
        <w:t>,</w:t>
      </w:r>
      <w:r>
        <w:t xml:space="preserve"> back</w:t>
      </w:r>
      <w:r w:rsidR="005C0D1E">
        <w:t>-</w:t>
      </w:r>
      <w:r>
        <w:t>barrier areas</w:t>
      </w:r>
      <w:r w:rsidR="005C0D1E">
        <w:t>,</w:t>
      </w:r>
      <w:r>
        <w:t xml:space="preserve"> or low</w:t>
      </w:r>
      <w:r w:rsidR="00A21FC3">
        <w:t>-</w:t>
      </w:r>
      <w:r>
        <w:t>energy, protected, shallow lagoon/bay deposits within an overall coastal setting.  These types of baffle/</w:t>
      </w:r>
      <w:proofErr w:type="gramStart"/>
      <w:r>
        <w:t>barrier</w:t>
      </w:r>
      <w:proofErr w:type="gramEnd"/>
      <w:r>
        <w:t xml:space="preserve"> are generally more common within the Upper Etive.</w:t>
      </w:r>
    </w:p>
    <w:p w14:paraId="108A881C" w14:textId="77777777" w:rsidR="004062D6" w:rsidRDefault="004062D6" w:rsidP="004062D6"/>
    <w:p w14:paraId="2D94621B" w14:textId="77777777" w:rsidR="004062D6" w:rsidRPr="00E16DD2" w:rsidRDefault="004062D6" w:rsidP="00016290">
      <w:pPr>
        <w:pStyle w:val="Heading2"/>
      </w:pPr>
      <w:r w:rsidRPr="00E16DD2">
        <w:t>Baffle Type B</w:t>
      </w:r>
    </w:p>
    <w:p w14:paraId="308467AC" w14:textId="3E2B8AA7" w:rsidR="00FF739E" w:rsidRDefault="004062D6" w:rsidP="004062D6">
      <w:r>
        <w:t xml:space="preserve">These types of </w:t>
      </w:r>
      <w:proofErr w:type="gramStart"/>
      <w:r>
        <w:t>baffle</w:t>
      </w:r>
      <w:proofErr w:type="gramEnd"/>
      <w:r>
        <w:t xml:space="preserve"> </w:t>
      </w:r>
      <w:r w:rsidR="00FF739E">
        <w:t>comprise sandstone intervals</w:t>
      </w:r>
      <w:r w:rsidR="002369E9">
        <w:t>,</w:t>
      </w:r>
      <w:r w:rsidR="00FF739E">
        <w:t xml:space="preserve"> typically </w:t>
      </w:r>
      <w:r>
        <w:t>5-50 cm</w:t>
      </w:r>
      <w:r w:rsidR="00FF739E">
        <w:t xml:space="preserve"> thick</w:t>
      </w:r>
      <w:r>
        <w:t>.  The units have sharp or gradational boundaries with adjacent sandstones and are generally structureless to weakly bedded</w:t>
      </w:r>
      <w:r w:rsidR="00FF739E">
        <w:t xml:space="preserve"> or laminated with faint planar or </w:t>
      </w:r>
      <w:proofErr w:type="spellStart"/>
      <w:r w:rsidR="00FF739E">
        <w:t>subhorizontal</w:t>
      </w:r>
      <w:proofErr w:type="spellEnd"/>
      <w:r w:rsidR="00FF739E">
        <w:t xml:space="preserve"> </w:t>
      </w:r>
      <w:r w:rsidR="002A1999">
        <w:t xml:space="preserve">to low-angle </w:t>
      </w:r>
      <w:r w:rsidR="00FF739E">
        <w:t>lamination</w:t>
      </w:r>
      <w:r>
        <w:t>, moderately well sorted</w:t>
      </w:r>
      <w:r w:rsidR="00A21FC3">
        <w:t>,</w:t>
      </w:r>
      <w:r>
        <w:t xml:space="preserve"> fine</w:t>
      </w:r>
      <w:r w:rsidR="00A21FC3">
        <w:t>-grained</w:t>
      </w:r>
      <w:r>
        <w:t xml:space="preserve"> sandstones, and </w:t>
      </w:r>
      <w:r w:rsidR="00A21FC3">
        <w:t>rarely</w:t>
      </w:r>
      <w:r>
        <w:t xml:space="preserve"> with roots observed.</w:t>
      </w:r>
      <w:r w:rsidR="00FF739E">
        <w:t xml:space="preserve">  Sedimentary structures are somewhat obscured by unusually large volumes of clay relative to surrounding sandstones.</w:t>
      </w:r>
    </w:p>
    <w:p w14:paraId="6289FE5C" w14:textId="77777777" w:rsidR="00755FB0" w:rsidRDefault="00755FB0" w:rsidP="00755FB0"/>
    <w:p w14:paraId="2AEB28F5" w14:textId="2370EDAD" w:rsidR="00FF739E" w:rsidRDefault="00755FB0" w:rsidP="004062D6">
      <w:r>
        <w:t xml:space="preserve">Type B baffle intervals are </w:t>
      </w:r>
      <w:r w:rsidR="002369E9">
        <w:t xml:space="preserve">usually </w:t>
      </w:r>
      <w:r>
        <w:t>light in colour</w:t>
      </w:r>
      <w:r w:rsidR="002369E9">
        <w:t>,</w:t>
      </w:r>
      <w:r>
        <w:t xml:space="preserve"> grading </w:t>
      </w:r>
      <w:r w:rsidR="00D448B8">
        <w:t>from</w:t>
      </w:r>
      <w:r>
        <w:t xml:space="preserve"> light grey</w:t>
      </w:r>
      <w:r w:rsidR="00D448B8">
        <w:t xml:space="preserve"> or brown</w:t>
      </w:r>
      <w:r>
        <w:t xml:space="preserve"> towards white with conspicuous amounts of apparently mostly intergranular white clay clearly visible with a hand lens or binocular microscope. </w:t>
      </w:r>
    </w:p>
    <w:p w14:paraId="5464BCDB" w14:textId="77777777" w:rsidR="00673F5F" w:rsidRDefault="00673F5F" w:rsidP="004062D6"/>
    <w:p w14:paraId="3E5ADAD1" w14:textId="36C23B2B" w:rsidR="00673F5F" w:rsidRDefault="00673F5F" w:rsidP="004062D6">
      <w:r>
        <w:t xml:space="preserve">An example of the log response and mineralogy of a Type B baffle from well A07 is illustrated in Figure 8.  As with the Type A baffles, these relatively thin intervals are indicated by a minor </w:t>
      </w:r>
      <w:r>
        <w:lastRenderedPageBreak/>
        <w:t xml:space="preserve">increase in overall gamma-ray response and interpreted V-shale as well as a negative neutron/density crossover and a reduced porosity and permeability as measured from core plugs.  </w:t>
      </w:r>
    </w:p>
    <w:p w14:paraId="1A8F1925" w14:textId="77777777" w:rsidR="00755FB0" w:rsidRDefault="00755FB0" w:rsidP="004062D6"/>
    <w:p w14:paraId="7EC4679F" w14:textId="45CDE9C2" w:rsidR="008A52BC" w:rsidRDefault="004062D6" w:rsidP="008A52BC">
      <w:r>
        <w:t>Heavy mineral laminae are often conspicuous</w:t>
      </w:r>
      <w:r w:rsidR="00FF739E">
        <w:t xml:space="preserve"> in Type B intervals</w:t>
      </w:r>
      <w:r>
        <w:t>.  The sandstones are typically slightly finer grained than adjacent sandstone lithofacies and</w:t>
      </w:r>
      <w:r w:rsidR="00BB2D7F">
        <w:t xml:space="preserve"> </w:t>
      </w:r>
      <w:r>
        <w:t>exhibit a weaker hydrocarbon staining in core (Fig</w:t>
      </w:r>
      <w:r w:rsidR="00673F5F">
        <w:t>s</w:t>
      </w:r>
      <w:r w:rsidR="00DA3EEE">
        <w:t>. 8</w:t>
      </w:r>
      <w:r w:rsidR="00673F5F">
        <w:t xml:space="preserve"> &amp; 9</w:t>
      </w:r>
      <w:r>
        <w:t xml:space="preserve">).  </w:t>
      </w:r>
      <w:r w:rsidR="008A52BC">
        <w:t>The heavy mineral concentrations associated with Type B intervals also impart a high density/ high gamma peak on logs (</w:t>
      </w:r>
      <w:proofErr w:type="spellStart"/>
      <w:r w:rsidR="008A52BC">
        <w:t>Peveraro</w:t>
      </w:r>
      <w:proofErr w:type="spellEnd"/>
      <w:r w:rsidR="008A52BC">
        <w:t xml:space="preserve"> &amp; Russell 1984; Tansell, 2018)</w:t>
      </w:r>
      <w:r w:rsidR="00D37D1E">
        <w:t>.  Type B baffle types are</w:t>
      </w:r>
      <w:r w:rsidR="008A52BC">
        <w:t xml:space="preserve"> </w:t>
      </w:r>
      <w:r w:rsidR="002369E9">
        <w:t xml:space="preserve">typically </w:t>
      </w:r>
      <w:r w:rsidR="008A52BC">
        <w:t>observed near the middle of the Etive Formation</w:t>
      </w:r>
      <w:r w:rsidR="00D37D1E">
        <w:t xml:space="preserve"> and often appear to coincide with the Lower to Upper Etive change of facies type described above</w:t>
      </w:r>
      <w:r w:rsidR="008A52BC">
        <w:t>.</w:t>
      </w:r>
    </w:p>
    <w:p w14:paraId="4FC82E08" w14:textId="77777777" w:rsidR="008A52BC" w:rsidRDefault="008A52BC" w:rsidP="004062D6"/>
    <w:p w14:paraId="4D9AB8B4" w14:textId="13D5A5FD" w:rsidR="009E6915" w:rsidRDefault="004062D6" w:rsidP="004062D6">
      <w:r>
        <w:t xml:space="preserve">These intervals are interpreted as possible </w:t>
      </w:r>
      <w:r w:rsidR="00074CF4">
        <w:t>beach</w:t>
      </w:r>
      <w:r w:rsidR="00D448B8">
        <w:t xml:space="preserve">, </w:t>
      </w:r>
      <w:proofErr w:type="gramStart"/>
      <w:r w:rsidR="00D448B8">
        <w:t>foreshore</w:t>
      </w:r>
      <w:proofErr w:type="gramEnd"/>
      <w:r>
        <w:t xml:space="preserve"> </w:t>
      </w:r>
      <w:r w:rsidR="009010D6">
        <w:t xml:space="preserve">or swash bar </w:t>
      </w:r>
      <w:r>
        <w:t xml:space="preserve">deposits, primarily of relatively high energy, </w:t>
      </w:r>
      <w:proofErr w:type="spellStart"/>
      <w:r w:rsidR="00755FB0">
        <w:t>waterlain</w:t>
      </w:r>
      <w:proofErr w:type="spellEnd"/>
      <w:r>
        <w:t>, and subsequently locally vegetated</w:t>
      </w:r>
      <w:r w:rsidR="00074CF4">
        <w:t>, possibly associated with a barrier complex</w:t>
      </w:r>
      <w:r>
        <w:t>.</w:t>
      </w:r>
      <w:r w:rsidR="009010D6">
        <w:t xml:space="preserve">  </w:t>
      </w:r>
      <w:r>
        <w:t xml:space="preserve">The heavy mineral laminae </w:t>
      </w:r>
      <w:r w:rsidR="00C86AB1">
        <w:t xml:space="preserve">probably </w:t>
      </w:r>
      <w:r>
        <w:t xml:space="preserve">reflect winnowing and concentration on an active </w:t>
      </w:r>
      <w:r w:rsidR="00FF739E">
        <w:t xml:space="preserve">subaqueous substrate or </w:t>
      </w:r>
      <w:r>
        <w:t>surface</w:t>
      </w:r>
      <w:r w:rsidR="00C86AB1">
        <w:t xml:space="preserve">.  Possible </w:t>
      </w:r>
      <w:proofErr w:type="gramStart"/>
      <w:r w:rsidR="00C86AB1">
        <w:t>modern day</w:t>
      </w:r>
      <w:proofErr w:type="gramEnd"/>
      <w:r w:rsidR="00C86AB1">
        <w:t xml:space="preserve"> analogues are </w:t>
      </w:r>
      <w:r>
        <w:t>beach placers that are characterized by concentrations of mixtures of dense minerals such as siderite, magnetite, ilmenite</w:t>
      </w:r>
      <w:r w:rsidR="00755FB0">
        <w:t>,</w:t>
      </w:r>
      <w:r>
        <w:t xml:space="preserve"> monazite, rutile, and zircon.</w:t>
      </w:r>
      <w:r w:rsidR="009E6915">
        <w:t xml:space="preserve">  Giles </w:t>
      </w:r>
      <w:r w:rsidR="009E6915" w:rsidRPr="003E747E">
        <w:rPr>
          <w:i/>
          <w:iCs/>
        </w:rPr>
        <w:t>et al.</w:t>
      </w:r>
      <w:r w:rsidR="009E6915">
        <w:t xml:space="preserve"> 1992 (p.320) </w:t>
      </w:r>
      <w:r w:rsidR="00673F5F">
        <w:t xml:space="preserve">and Morton, 1992 (p.229) </w:t>
      </w:r>
      <w:r w:rsidR="009E6915">
        <w:t>observe</w:t>
      </w:r>
      <w:r w:rsidR="002369E9">
        <w:t>d</w:t>
      </w:r>
      <w:r w:rsidR="009E6915">
        <w:t xml:space="preserve"> that heavy minerals in Brent reservoirs </w:t>
      </w:r>
      <w:r w:rsidR="002369E9">
        <w:t xml:space="preserve">are </w:t>
      </w:r>
      <w:r w:rsidR="009E6915">
        <w:t>strongly grain size dependent.</w:t>
      </w:r>
      <w:r w:rsidR="00D448B8">
        <w:t xml:space="preserve">  </w:t>
      </w:r>
      <w:r w:rsidR="009E6915">
        <w:t xml:space="preserve">Hampson </w:t>
      </w:r>
      <w:r w:rsidR="009E6915" w:rsidRPr="003E747E">
        <w:rPr>
          <w:i/>
          <w:iCs/>
        </w:rPr>
        <w:t>et al.</w:t>
      </w:r>
      <w:r w:rsidR="009E6915">
        <w:t xml:space="preserve"> 2004 (p.471) suggest</w:t>
      </w:r>
      <w:r w:rsidR="002369E9">
        <w:t>ed</w:t>
      </w:r>
      <w:r w:rsidR="009E6915">
        <w:t xml:space="preserve"> that concentration of heavy minerals within Brent Group sandstones are diagnostic of wave-dominated foreshore deposits.</w:t>
      </w:r>
      <w:r w:rsidR="00673F5F">
        <w:t xml:space="preserve">  Morton (1992) suggests that for the longshore sediment transport was an important factor in the distribution </w:t>
      </w:r>
      <w:r w:rsidR="009C7B6F">
        <w:t xml:space="preserve">and provenance </w:t>
      </w:r>
      <w:r w:rsidR="00673F5F">
        <w:t>of heavy minerals in the Etive.</w:t>
      </w:r>
    </w:p>
    <w:p w14:paraId="43ACBC63" w14:textId="77777777" w:rsidR="009E6915" w:rsidRDefault="009E6915" w:rsidP="004062D6"/>
    <w:p w14:paraId="54C40A7D" w14:textId="73DF196D" w:rsidR="004062D6" w:rsidRDefault="004062D6" w:rsidP="004062D6">
      <w:r>
        <w:t xml:space="preserve">The white clay </w:t>
      </w:r>
      <w:r w:rsidR="00673F5F">
        <w:t xml:space="preserve">in Type B baffles </w:t>
      </w:r>
      <w:r w:rsidR="002369E9">
        <w:t>wa</w:t>
      </w:r>
      <w:r>
        <w:t>s identified</w:t>
      </w:r>
      <w:r w:rsidR="002369E9">
        <w:t>,</w:t>
      </w:r>
      <w:r>
        <w:t xml:space="preserve"> by various methods</w:t>
      </w:r>
      <w:r w:rsidR="002369E9">
        <w:t>,</w:t>
      </w:r>
      <w:r>
        <w:t xml:space="preserve"> as </w:t>
      </w:r>
      <w:r w:rsidR="002369E9">
        <w:t>pre</w:t>
      </w:r>
      <w:r>
        <w:t>dominantly kaolinite</w:t>
      </w:r>
      <w:r w:rsidR="002369E9">
        <w:t>,</w:t>
      </w:r>
      <w:r>
        <w:t xml:space="preserve"> which impart</w:t>
      </w:r>
      <w:r w:rsidR="00FF739E">
        <w:t>s</w:t>
      </w:r>
      <w:r>
        <w:t xml:space="preserve"> the distinctive light colour to the </w:t>
      </w:r>
      <w:r w:rsidR="00FF739E">
        <w:t xml:space="preserve">baffle </w:t>
      </w:r>
      <w:r>
        <w:t xml:space="preserve">intervals.  The kaolinite is interpreted </w:t>
      </w:r>
      <w:r w:rsidR="002369E9">
        <w:t xml:space="preserve">to be </w:t>
      </w:r>
      <w:r>
        <w:t xml:space="preserve">diagenetic and </w:t>
      </w:r>
      <w:r w:rsidR="002369E9">
        <w:t xml:space="preserve">is </w:t>
      </w:r>
      <w:r>
        <w:t xml:space="preserve">likely to reflect the </w:t>
      </w:r>
      <w:r w:rsidR="002369E9">
        <w:t xml:space="preserve">alteration </w:t>
      </w:r>
      <w:r>
        <w:t xml:space="preserve">of </w:t>
      </w:r>
      <w:r w:rsidR="002369E9">
        <w:t xml:space="preserve">detrital </w:t>
      </w:r>
      <w:r>
        <w:t>minerals such as feldspar</w:t>
      </w:r>
      <w:r w:rsidR="00755FB0" w:rsidRPr="00755FB0">
        <w:t xml:space="preserve"> </w:t>
      </w:r>
      <w:r w:rsidR="00755FB0">
        <w:t>(Lawan et al. 2021)</w:t>
      </w:r>
      <w:r w:rsidR="00A21FC3">
        <w:t xml:space="preserve"> (Fig. 10)</w:t>
      </w:r>
      <w:r>
        <w:t>.</w:t>
      </w:r>
    </w:p>
    <w:p w14:paraId="7FD34628" w14:textId="77777777" w:rsidR="004062D6" w:rsidRDefault="004062D6" w:rsidP="004062D6"/>
    <w:p w14:paraId="67376A2F" w14:textId="25C92F88" w:rsidR="004062D6" w:rsidRDefault="004062D6" w:rsidP="004062D6">
      <w:r>
        <w:t xml:space="preserve">The visual observation of heavy minerals is supported by XRF analysis which indicates anomalously high </w:t>
      </w:r>
      <w:r w:rsidR="002369E9">
        <w:t xml:space="preserve">concentrations </w:t>
      </w:r>
      <w:r>
        <w:t xml:space="preserve">of Zr, Fe and Ti in addition to elevated </w:t>
      </w:r>
      <w:r w:rsidR="002369E9">
        <w:t xml:space="preserve">concentrations </w:t>
      </w:r>
      <w:r>
        <w:t xml:space="preserve">of </w:t>
      </w:r>
      <w:r>
        <w:lastRenderedPageBreak/>
        <w:t>aluminium</w:t>
      </w:r>
      <w:r w:rsidR="00410951">
        <w:t xml:space="preserve"> (Figs. </w:t>
      </w:r>
      <w:r w:rsidR="00A21FC3">
        <w:t>8</w:t>
      </w:r>
      <w:r w:rsidR="00410951">
        <w:t xml:space="preserve"> &amp; 10)</w:t>
      </w:r>
      <w:r>
        <w:t xml:space="preserve">.  Microscopy and mineralogy </w:t>
      </w:r>
      <w:r w:rsidR="002369E9">
        <w:t xml:space="preserve">analysis </w:t>
      </w:r>
      <w:r>
        <w:t xml:space="preserve">confirm high concentrations of siderite, </w:t>
      </w:r>
      <w:proofErr w:type="gramStart"/>
      <w:r>
        <w:t>zircon</w:t>
      </w:r>
      <w:proofErr w:type="gramEnd"/>
      <w:r>
        <w:t xml:space="preserve"> and rutile (</w:t>
      </w:r>
      <w:r w:rsidR="00410951">
        <w:t>Fig.11</w:t>
      </w:r>
      <w:r>
        <w:t>).</w:t>
      </w:r>
    </w:p>
    <w:p w14:paraId="53F17E71" w14:textId="77777777" w:rsidR="00727A62" w:rsidRDefault="00727A62" w:rsidP="004062D6"/>
    <w:p w14:paraId="728C8812" w14:textId="27114E13" w:rsidR="00363A0A" w:rsidRDefault="00363A0A" w:rsidP="00363A0A">
      <w:r>
        <w:t xml:space="preserve">Siderite is one of the earliest authigenic minerals to develop within the Brent Group sandstones </w:t>
      </w:r>
      <w:r w:rsidR="003E747E">
        <w:t>(</w:t>
      </w:r>
      <w:r>
        <w:t xml:space="preserve">Wilkinson </w:t>
      </w:r>
      <w:r w:rsidRPr="003E747E">
        <w:rPr>
          <w:i/>
          <w:iCs/>
        </w:rPr>
        <w:t>et al.</w:t>
      </w:r>
      <w:r>
        <w:t xml:space="preserve"> 2000</w:t>
      </w:r>
      <w:r w:rsidR="00F1599F">
        <w:t>)</w:t>
      </w:r>
      <w:r>
        <w:t xml:space="preserve">.  </w:t>
      </w:r>
      <w:r w:rsidR="00727A62">
        <w:t>The obser</w:t>
      </w:r>
      <w:r w:rsidR="00861FA2">
        <w:t xml:space="preserve">ved association of locally abundant siderite and kaolinite in Thistle Brent reservoirs has been discussed by Lawan </w:t>
      </w:r>
      <w:r w:rsidR="00861FA2" w:rsidRPr="003E747E">
        <w:rPr>
          <w:i/>
          <w:iCs/>
        </w:rPr>
        <w:t>et al</w:t>
      </w:r>
      <w:r w:rsidR="00755FB0" w:rsidRPr="003E747E">
        <w:rPr>
          <w:i/>
          <w:iCs/>
        </w:rPr>
        <w:t>.</w:t>
      </w:r>
      <w:r w:rsidR="00861FA2">
        <w:t xml:space="preserve"> (2021) and may reflect the eogenetic-</w:t>
      </w:r>
      <w:proofErr w:type="spellStart"/>
      <w:r w:rsidR="00861FA2">
        <w:t>mesogenetic</w:t>
      </w:r>
      <w:proofErr w:type="spellEnd"/>
      <w:r w:rsidR="00861FA2">
        <w:t xml:space="preserve"> breakdown of minerals such as biotite and K-feldspar</w:t>
      </w:r>
      <w:r w:rsidR="004D3A06">
        <w:t>,</w:t>
      </w:r>
      <w:r w:rsidR="00861FA2">
        <w:t xml:space="preserve"> probably in association with acid porewaters, possibly meteoric in origin.</w:t>
      </w:r>
      <w:r>
        <w:t xml:space="preserve">  Wilkinson </w:t>
      </w:r>
      <w:r w:rsidRPr="00A21FC3">
        <w:rPr>
          <w:i/>
          <w:iCs/>
        </w:rPr>
        <w:t>et al.</w:t>
      </w:r>
      <w:r>
        <w:t xml:space="preserve"> (2000) further suggest</w:t>
      </w:r>
      <w:r w:rsidR="004D3A06">
        <w:t>ed</w:t>
      </w:r>
      <w:r>
        <w:t xml:space="preserve"> that siderite precipitation </w:t>
      </w:r>
      <w:r w:rsidR="004D3A06">
        <w:t>wa</w:t>
      </w:r>
      <w:r>
        <w:t xml:space="preserve">s strongly controlled by microbial activity within the sediment during </w:t>
      </w:r>
      <w:r w:rsidR="00711CA2">
        <w:t>groundwater flux</w:t>
      </w:r>
      <w:r>
        <w:t xml:space="preserve">. </w:t>
      </w:r>
      <w:r w:rsidR="00861FA2">
        <w:t xml:space="preserve">  </w:t>
      </w:r>
    </w:p>
    <w:p w14:paraId="144CFE46" w14:textId="77777777" w:rsidR="00363A0A" w:rsidRDefault="00363A0A" w:rsidP="00363A0A"/>
    <w:p w14:paraId="68C36DE9" w14:textId="5800ABB3" w:rsidR="00861FA2" w:rsidRDefault="00861FA2" w:rsidP="00363A0A">
      <w:proofErr w:type="gramStart"/>
      <w:r>
        <w:t>Thus</w:t>
      </w:r>
      <w:proofErr w:type="gramEnd"/>
      <w:r>
        <w:t xml:space="preserve"> the siderite and kaolinite may reflect the originally high concentrations of </w:t>
      </w:r>
      <w:r w:rsidR="00755FB0">
        <w:t xml:space="preserve">relatively unstable phases such as </w:t>
      </w:r>
      <w:r>
        <w:t xml:space="preserve">mica and feldspar associated with the heavy minerals such as zircon and rutile that are relatively stable to </w:t>
      </w:r>
      <w:r w:rsidR="00711CA2">
        <w:t xml:space="preserve">early </w:t>
      </w:r>
      <w:r>
        <w:t>diagenetic processes and therefore survived.  Winnowing on a foreshore or beach would allow primary concentration of these minerals</w:t>
      </w:r>
      <w:r w:rsidR="004D3A06">
        <w:t>,</w:t>
      </w:r>
      <w:r>
        <w:t xml:space="preserve"> in a similar manner to the formation of modern placer deposits.</w:t>
      </w:r>
      <w:r w:rsidR="00B9041E">
        <w:t xml:space="preserve">  Subsequent burial and flushing by acidic porewaters then caused the </w:t>
      </w:r>
      <w:r w:rsidR="00360ADE">
        <w:t xml:space="preserve">weathering, </w:t>
      </w:r>
      <w:proofErr w:type="gramStart"/>
      <w:r w:rsidR="00B9041E">
        <w:t>breakdown</w:t>
      </w:r>
      <w:proofErr w:type="gramEnd"/>
      <w:r w:rsidR="00B9041E">
        <w:t xml:space="preserve"> and alteration of the less stable minerals (</w:t>
      </w:r>
      <w:r w:rsidR="0094198D">
        <w:t xml:space="preserve">e.g., </w:t>
      </w:r>
      <w:r w:rsidR="00B9041E">
        <w:t xml:space="preserve">mica and </w:t>
      </w:r>
      <w:r w:rsidR="004D3A06">
        <w:t>K</w:t>
      </w:r>
      <w:r w:rsidR="00B9041E">
        <w:t>-felds</w:t>
      </w:r>
      <w:r w:rsidR="004D3A06">
        <w:t>p</w:t>
      </w:r>
      <w:r w:rsidR="00B9041E">
        <w:t>ar)</w:t>
      </w:r>
      <w:r w:rsidR="005E71D6">
        <w:t xml:space="preserve"> leading to kaolinite precipitation (</w:t>
      </w:r>
      <w:r w:rsidR="005E71D6" w:rsidRPr="005E71D6">
        <w:rPr>
          <w:rFonts w:cstheme="minorHAnsi"/>
          <w:color w:val="000000" w:themeColor="text1"/>
        </w:rPr>
        <w:t>Churchman</w:t>
      </w:r>
      <w:r w:rsidR="005E71D6">
        <w:rPr>
          <w:rFonts w:cstheme="minorHAnsi"/>
          <w:color w:val="000000" w:themeColor="text1"/>
        </w:rPr>
        <w:t xml:space="preserve"> </w:t>
      </w:r>
      <w:r w:rsidR="005E71D6" w:rsidRPr="005E71D6">
        <w:rPr>
          <w:rFonts w:cstheme="minorHAnsi"/>
          <w:color w:val="000000" w:themeColor="text1"/>
        </w:rPr>
        <w:t>&amp; Lowe</w:t>
      </w:r>
      <w:r w:rsidR="005E71D6">
        <w:rPr>
          <w:rFonts w:cstheme="minorHAnsi"/>
          <w:color w:val="000000" w:themeColor="text1"/>
        </w:rPr>
        <w:t xml:space="preserve"> </w:t>
      </w:r>
      <w:r w:rsidR="005E71D6" w:rsidRPr="005E71D6">
        <w:rPr>
          <w:rFonts w:cstheme="minorHAnsi"/>
          <w:color w:val="000000" w:themeColor="text1"/>
        </w:rPr>
        <w:t>2012</w:t>
      </w:r>
      <w:r w:rsidR="005E71D6">
        <w:rPr>
          <w:rFonts w:cstheme="minorHAnsi"/>
          <w:color w:val="000000" w:themeColor="text1"/>
        </w:rPr>
        <w:t>)</w:t>
      </w:r>
      <w:r w:rsidR="00B9041E">
        <w:t>.</w:t>
      </w:r>
      <w:r w:rsidR="00410951">
        <w:t xml:space="preserve">  The breakdown of feldspar as the source of the kaolinite observed in Type B baffles is also suggested by the inverse relationship of K-feldspar to kaolinite determined from QEMSCAN analysis (Fig. 10).</w:t>
      </w:r>
    </w:p>
    <w:p w14:paraId="2C5C8379" w14:textId="77777777" w:rsidR="00861FA2" w:rsidRDefault="00861FA2" w:rsidP="00B11906"/>
    <w:p w14:paraId="742C8E26" w14:textId="76019010" w:rsidR="005F55EF" w:rsidRDefault="00861FA2" w:rsidP="00B11906">
      <w:r>
        <w:t xml:space="preserve">These observations and interpretations of Type B baffles provides more complete context to a discussion of </w:t>
      </w:r>
      <w:r w:rsidR="00755FB0">
        <w:t xml:space="preserve">the probable </w:t>
      </w:r>
      <w:r>
        <w:t xml:space="preserve">extent and geometry of these baffles.  This is supplemented by the observation that </w:t>
      </w:r>
      <w:r w:rsidR="00B9041E">
        <w:t xml:space="preserve">Type B baffles are </w:t>
      </w:r>
      <w:proofErr w:type="gramStart"/>
      <w:r w:rsidR="00B9041E">
        <w:t xml:space="preserve">most commonly </w:t>
      </w:r>
      <w:r w:rsidR="00360ADE">
        <w:t>observed</w:t>
      </w:r>
      <w:proofErr w:type="gramEnd"/>
      <w:r w:rsidR="00360ADE">
        <w:t xml:space="preserve"> at,</w:t>
      </w:r>
      <w:r w:rsidR="00B9041E">
        <w:t xml:space="preserve"> or close to the Lower/Upper</w:t>
      </w:r>
      <w:r w:rsidR="00755FB0">
        <w:t xml:space="preserve"> Etive</w:t>
      </w:r>
      <w:r w:rsidR="00B9041E">
        <w:t xml:space="preserve"> boundary and </w:t>
      </w:r>
      <w:r w:rsidR="004D3A06">
        <w:t xml:space="preserve">typically </w:t>
      </w:r>
      <w:r w:rsidR="00B9041E">
        <w:t xml:space="preserve">actually appear to define this </w:t>
      </w:r>
      <w:r w:rsidR="00F1599F">
        <w:t xml:space="preserve">facies </w:t>
      </w:r>
      <w:r w:rsidR="00B9041E">
        <w:t xml:space="preserve">interface or transition.  </w:t>
      </w:r>
      <w:proofErr w:type="gramStart"/>
      <w:r w:rsidR="00B9041E">
        <w:t>Thus</w:t>
      </w:r>
      <w:proofErr w:type="gramEnd"/>
      <w:r w:rsidR="00B9041E">
        <w:t xml:space="preserve"> there appears to be a temporal or stratigraphic</w:t>
      </w:r>
      <w:r w:rsidR="00A21FC3">
        <w:t>al</w:t>
      </w:r>
      <w:r w:rsidR="00B9041E">
        <w:t xml:space="preserve"> context to these baffles and they </w:t>
      </w:r>
      <w:r w:rsidR="00755FB0">
        <w:t>possibly</w:t>
      </w:r>
      <w:r w:rsidR="00B9041E">
        <w:t xml:space="preserve"> </w:t>
      </w:r>
      <w:r w:rsidR="00F1599F">
        <w:t xml:space="preserve">represent </w:t>
      </w:r>
      <w:r w:rsidR="00B9041E">
        <w:t xml:space="preserve">some type of transgressive/regressive </w:t>
      </w:r>
      <w:r w:rsidR="00F1599F">
        <w:t>stratal surface</w:t>
      </w:r>
      <w:r w:rsidR="00B9041E">
        <w:t xml:space="preserve"> associated </w:t>
      </w:r>
      <w:r w:rsidR="009C7B6F">
        <w:t xml:space="preserve">with </w:t>
      </w:r>
      <w:r w:rsidR="000A5EF3">
        <w:t xml:space="preserve">subaqueous </w:t>
      </w:r>
      <w:r w:rsidR="00190F8C">
        <w:t xml:space="preserve">winnowing and </w:t>
      </w:r>
      <w:r w:rsidR="00B9041E">
        <w:t xml:space="preserve">sorting of </w:t>
      </w:r>
      <w:r w:rsidR="000A5EF3">
        <w:t xml:space="preserve">a </w:t>
      </w:r>
      <w:r w:rsidR="00B9041E">
        <w:t>sand</w:t>
      </w:r>
      <w:r w:rsidR="000A5EF3">
        <w:t>y substrate</w:t>
      </w:r>
      <w:r w:rsidR="004D3A06">
        <w:t>,</w:t>
      </w:r>
      <w:r w:rsidR="000A5EF3">
        <w:t xml:space="preserve"> </w:t>
      </w:r>
      <w:r w:rsidR="004D3A06">
        <w:t>on</w:t>
      </w:r>
      <w:r w:rsidR="000A5EF3">
        <w:t xml:space="preserve"> a beach or </w:t>
      </w:r>
      <w:r w:rsidR="00360ADE">
        <w:t>foreshore</w:t>
      </w:r>
      <w:r w:rsidR="00190F8C">
        <w:t>.</w:t>
      </w:r>
      <w:r w:rsidR="00755FB0">
        <w:t xml:space="preserve">  The </w:t>
      </w:r>
      <w:r w:rsidR="00A21FC3">
        <w:t>rare</w:t>
      </w:r>
      <w:r w:rsidR="00755FB0">
        <w:t xml:space="preserve"> </w:t>
      </w:r>
      <w:r w:rsidR="00F1599F">
        <w:t xml:space="preserve">indications of potential </w:t>
      </w:r>
      <w:proofErr w:type="spellStart"/>
      <w:r w:rsidR="00755FB0">
        <w:t>rootleting</w:t>
      </w:r>
      <w:proofErr w:type="spellEnd"/>
      <w:r w:rsidR="00755FB0">
        <w:t xml:space="preserve"> also suggests </w:t>
      </w:r>
      <w:r w:rsidR="009C7B6F">
        <w:t xml:space="preserve">local </w:t>
      </w:r>
      <w:r w:rsidR="00755FB0">
        <w:t xml:space="preserve">subaerial exposure </w:t>
      </w:r>
      <w:r w:rsidR="004D3A06">
        <w:t xml:space="preserve">which </w:t>
      </w:r>
      <w:r w:rsidR="00755FB0">
        <w:t xml:space="preserve">would allow ingress of meteoric fluids that may </w:t>
      </w:r>
      <w:r w:rsidR="004D3A06">
        <w:t xml:space="preserve">have </w:t>
      </w:r>
      <w:r w:rsidR="00755FB0">
        <w:t>be</w:t>
      </w:r>
      <w:r w:rsidR="004D3A06">
        <w:t>en</w:t>
      </w:r>
      <w:r w:rsidR="00755FB0">
        <w:t xml:space="preserve"> important for early mineral breakdown and diagenesis.</w:t>
      </w:r>
      <w:r w:rsidR="00B9041E">
        <w:t xml:space="preserve"> </w:t>
      </w:r>
    </w:p>
    <w:p w14:paraId="6C5635CC" w14:textId="77777777" w:rsidR="005F55EF" w:rsidRDefault="005F55EF" w:rsidP="00B11906"/>
    <w:p w14:paraId="425AC5D3" w14:textId="51181CD7" w:rsidR="003F44B8" w:rsidRDefault="00782885" w:rsidP="00016290">
      <w:pPr>
        <w:pStyle w:val="Heading2"/>
      </w:pPr>
      <w:r>
        <w:t xml:space="preserve">Thistle </w:t>
      </w:r>
      <w:r w:rsidR="003F44B8">
        <w:t xml:space="preserve">Study </w:t>
      </w:r>
      <w:r w:rsidR="003F44B8" w:rsidRPr="005F55EF">
        <w:t>Impact &amp; Value</w:t>
      </w:r>
    </w:p>
    <w:p w14:paraId="2F640D17" w14:textId="1A2F6A50" w:rsidR="000A5EF3" w:rsidRDefault="005F55EF" w:rsidP="005F55EF">
      <w:r w:rsidRPr="005F55EF">
        <w:t xml:space="preserve">Several distinct intra-Etive baffle/barrier types </w:t>
      </w:r>
      <w:r w:rsidR="003F44B8">
        <w:t xml:space="preserve">have been </w:t>
      </w:r>
      <w:r w:rsidRPr="005F55EF">
        <w:t>identified</w:t>
      </w:r>
      <w:r w:rsidR="003F44B8">
        <w:t>.  These baffles and barriers have a locally significant role i</w:t>
      </w:r>
      <w:r w:rsidR="000A5EF3">
        <w:t>n</w:t>
      </w:r>
      <w:r w:rsidR="003F44B8">
        <w:t xml:space="preserve"> defining flow subunits with</w:t>
      </w:r>
      <w:r w:rsidR="00360ADE">
        <w:t>in</w:t>
      </w:r>
      <w:r w:rsidR="003F44B8">
        <w:t xml:space="preserve"> the Etive which is one of the </w:t>
      </w:r>
      <w:r w:rsidR="000A5EF3">
        <w:t xml:space="preserve">main </w:t>
      </w:r>
      <w:r w:rsidR="003F44B8">
        <w:t xml:space="preserve">contributing </w:t>
      </w:r>
      <w:r w:rsidR="00755FB0">
        <w:t xml:space="preserve">reservoir </w:t>
      </w:r>
      <w:r w:rsidR="003F44B8">
        <w:t>intervals to Thistle production</w:t>
      </w:r>
      <w:r w:rsidR="000A5EF3">
        <w:t>.  Confirmation of the</w:t>
      </w:r>
      <w:r w:rsidR="000647D8">
        <w:t xml:space="preserve"> baffle or barrier type</w:t>
      </w:r>
      <w:r w:rsidR="000A5EF3">
        <w:t xml:space="preserve"> and correlation to nearby wells can </w:t>
      </w:r>
      <w:r w:rsidR="000647D8">
        <w:t xml:space="preserve">significantly </w:t>
      </w:r>
      <w:r w:rsidR="000A5EF3">
        <w:t xml:space="preserve">inform workover decisions such as water </w:t>
      </w:r>
      <w:proofErr w:type="gramStart"/>
      <w:r w:rsidR="000A5EF3">
        <w:t>shut-offs</w:t>
      </w:r>
      <w:proofErr w:type="gramEnd"/>
      <w:r w:rsidR="000A5EF3">
        <w:t xml:space="preserve"> and additional perforations designed to improve well productivity.</w:t>
      </w:r>
    </w:p>
    <w:p w14:paraId="2C56F23D" w14:textId="29439969" w:rsidR="000A5EF3" w:rsidRDefault="000A5EF3" w:rsidP="005F55EF"/>
    <w:p w14:paraId="21611615" w14:textId="0355DB7C" w:rsidR="009850C8" w:rsidRDefault="009850C8" w:rsidP="005F55EF">
      <w:r>
        <w:t xml:space="preserve">The baffle </w:t>
      </w:r>
      <w:r w:rsidR="00E634A1">
        <w:t>and</w:t>
      </w:r>
      <w:r>
        <w:t xml:space="preserve"> barrier </w:t>
      </w:r>
      <w:proofErr w:type="gramStart"/>
      <w:r>
        <w:t>types</w:t>
      </w:r>
      <w:proofErr w:type="gramEnd"/>
      <w:r>
        <w:t xml:space="preserve"> sedimentological characteristics define their likely extents and geometries.  The Type A thin organic shales and mudstones observed in the Upper Etive appear to correlate locally at, or close to, inter-well spacing (e.g., distances of 500-1500 m).  It appears difficult to correlate individual units across more than 2500 m which gives an impression of their scale relative to structural fault blocks and</w:t>
      </w:r>
      <w:r w:rsidRPr="005F55EF">
        <w:t xml:space="preserve"> </w:t>
      </w:r>
      <w:r>
        <w:t>likely drainage areas which are important to consider when estimating volumes and likely sweep areas.</w:t>
      </w:r>
      <w:r w:rsidR="005D18C5">
        <w:t xml:space="preserve">  The core</w:t>
      </w:r>
      <w:r w:rsidR="003950D5">
        <w:t>-</w:t>
      </w:r>
      <w:r w:rsidR="005D18C5">
        <w:t xml:space="preserve">based interpretation of Type </w:t>
      </w:r>
      <w:r w:rsidR="00C63BEB">
        <w:t>A</w:t>
      </w:r>
      <w:r w:rsidR="005D18C5">
        <w:t xml:space="preserve"> barriers supports the relatively localized distribution as </w:t>
      </w:r>
      <w:r w:rsidR="003950D5">
        <w:t xml:space="preserve">low-energy </w:t>
      </w:r>
      <w:r w:rsidR="005D18C5">
        <w:t>temporary waterlogged and vegetated areas such as marsh type areas</w:t>
      </w:r>
      <w:r w:rsidR="003950D5">
        <w:t>.</w:t>
      </w:r>
    </w:p>
    <w:p w14:paraId="393E6208" w14:textId="77777777" w:rsidR="009850C8" w:rsidRDefault="009850C8" w:rsidP="005F55EF"/>
    <w:p w14:paraId="1F1702AF" w14:textId="5BC1369C" w:rsidR="009850C8" w:rsidRDefault="00BB2D7F" w:rsidP="005F55EF">
      <w:r>
        <w:t xml:space="preserve">A good example of impact of the Type A baffle, and their local impact, is illustrated in Figure </w:t>
      </w:r>
      <w:r w:rsidR="00410951">
        <w:t>12</w:t>
      </w:r>
      <w:r>
        <w:t xml:space="preserve">.  The example is taken from well A61 which had a PLT run in 2016 to assess potential water shut-off opportunities.  </w:t>
      </w:r>
      <w:r w:rsidRPr="00B11906">
        <w:t>On 100% open choke</w:t>
      </w:r>
      <w:r>
        <w:t>,</w:t>
      </w:r>
      <w:r w:rsidRPr="00B11906">
        <w:t xml:space="preserve"> the 2016 A61 PLT shows that most of the water in the well is coming from </w:t>
      </w:r>
      <w:r>
        <w:t>below a barrier</w:t>
      </w:r>
      <w:r w:rsidRPr="00B11906">
        <w:t xml:space="preserve"> </w:t>
      </w:r>
      <w:r>
        <w:t>while</w:t>
      </w:r>
      <w:r w:rsidRPr="00B11906">
        <w:t xml:space="preserve"> most of the oil </w:t>
      </w:r>
      <w:r>
        <w:t xml:space="preserve">is produced from immediately above the barrier.  </w:t>
      </w:r>
      <w:r w:rsidRPr="00B11906">
        <w:t>This all occurs wi</w:t>
      </w:r>
      <w:r>
        <w:t xml:space="preserve">thin a single original perforation interval.  The barrier can be clearly identified from density image log </w:t>
      </w:r>
      <w:proofErr w:type="gramStart"/>
      <w:r>
        <w:t>and also</w:t>
      </w:r>
      <w:proofErr w:type="gramEnd"/>
      <w:r>
        <w:t xml:space="preserve"> neutron/density logs and estimated porosity logs</w:t>
      </w:r>
      <w:r w:rsidRPr="00B11906">
        <w:t>.</w:t>
      </w:r>
    </w:p>
    <w:p w14:paraId="6F9068CC" w14:textId="77777777" w:rsidR="003950D5" w:rsidRDefault="003950D5" w:rsidP="005F55EF"/>
    <w:p w14:paraId="37B272B8" w14:textId="4E9E8A7D" w:rsidR="00BB2D7F" w:rsidRDefault="00BB2D7F" w:rsidP="005F55EF">
      <w:r>
        <w:t>Based on the PLT and an understanding of the geological and dynamic context of the barrier it was decided to set a plug</w:t>
      </w:r>
      <w:r w:rsidRPr="00B11906">
        <w:t xml:space="preserve"> to shut off </w:t>
      </w:r>
      <w:r>
        <w:t xml:space="preserve">the </w:t>
      </w:r>
      <w:r w:rsidRPr="00B11906">
        <w:t xml:space="preserve">lower part of </w:t>
      </w:r>
      <w:r>
        <w:t xml:space="preserve">the </w:t>
      </w:r>
      <w:r w:rsidRPr="00B11906">
        <w:t>Etive perf</w:t>
      </w:r>
      <w:r>
        <w:t xml:space="preserve">oration interval and thereby decrease the </w:t>
      </w:r>
      <w:proofErr w:type="spellStart"/>
      <w:r>
        <w:t>watercut</w:t>
      </w:r>
      <w:proofErr w:type="spellEnd"/>
      <w:r>
        <w:t xml:space="preserve"> of the well.  This was done and a p</w:t>
      </w:r>
      <w:r w:rsidRPr="00B11906">
        <w:t xml:space="preserve">roduction gain </w:t>
      </w:r>
      <w:r>
        <w:t xml:space="preserve">of </w:t>
      </w:r>
      <w:r w:rsidRPr="00E634A1">
        <w:rPr>
          <w:i/>
          <w:iCs/>
        </w:rPr>
        <w:t>c.</w:t>
      </w:r>
      <w:r w:rsidRPr="00B11906">
        <w:t xml:space="preserve">1000 </w:t>
      </w:r>
      <w:proofErr w:type="spellStart"/>
      <w:r w:rsidRPr="00B11906">
        <w:t>bopd</w:t>
      </w:r>
      <w:proofErr w:type="spellEnd"/>
      <w:r>
        <w:t xml:space="preserve"> was achieved at relatively low cost.</w:t>
      </w:r>
      <w:r w:rsidR="00601F27">
        <w:t xml:space="preserve">  Although the shut-off would have been completed solely </w:t>
      </w:r>
      <w:proofErr w:type="gramStart"/>
      <w:r w:rsidR="00601F27">
        <w:t>on the basis of</w:t>
      </w:r>
      <w:proofErr w:type="gramEnd"/>
      <w:r w:rsidR="00601F27">
        <w:t xml:space="preserve"> the PLT without the information provided by core, the core data gave </w:t>
      </w:r>
      <w:r w:rsidR="00601F27">
        <w:lastRenderedPageBreak/>
        <w:t>additional support and confidence that the operation would yield positive results by providing an explanation of the behaviour of the different flow units</w:t>
      </w:r>
      <w:r w:rsidR="009C7B6F">
        <w:t xml:space="preserve"> observed</w:t>
      </w:r>
      <w:r w:rsidR="00601F27">
        <w:t xml:space="preserve">. </w:t>
      </w:r>
    </w:p>
    <w:p w14:paraId="7C515687" w14:textId="77777777" w:rsidR="00BB2D7F" w:rsidRDefault="00BB2D7F" w:rsidP="005F55EF"/>
    <w:p w14:paraId="0DBA2248" w14:textId="0FD1CEAF" w:rsidR="00917746" w:rsidRDefault="000A5EF3" w:rsidP="005F55EF">
      <w:r>
        <w:t>The main occurrence of Type B baffle/barrier appear</w:t>
      </w:r>
      <w:r w:rsidR="00E634A1">
        <w:t>s</w:t>
      </w:r>
      <w:r>
        <w:t xml:space="preserve"> to define the Lower/Upper Etive transition and represents some type of disconformity or </w:t>
      </w:r>
      <w:r w:rsidR="00C63BEB">
        <w:t>stratal surface</w:t>
      </w:r>
      <w:r>
        <w:t>.  As such</w:t>
      </w:r>
      <w:r w:rsidR="004D3A06">
        <w:t>,</w:t>
      </w:r>
      <w:r>
        <w:t xml:space="preserve"> the </w:t>
      </w:r>
      <w:r w:rsidR="00917746">
        <w:t xml:space="preserve">barrier/baffle appears to </w:t>
      </w:r>
      <w:r w:rsidR="004D3A06">
        <w:t xml:space="preserve">extend across most of the </w:t>
      </w:r>
      <w:r w:rsidR="00917746">
        <w:t xml:space="preserve">field and </w:t>
      </w:r>
      <w:r w:rsidR="00C86AB1">
        <w:t xml:space="preserve">locally </w:t>
      </w:r>
      <w:r w:rsidR="00917746">
        <w:t>explain</w:t>
      </w:r>
      <w:r w:rsidR="004D3A06">
        <w:t>s</w:t>
      </w:r>
      <w:r w:rsidR="00917746">
        <w:t xml:space="preserve"> </w:t>
      </w:r>
      <w:r w:rsidR="00C86AB1">
        <w:t>the differential sweep patterns observed in the Lower and Upp</w:t>
      </w:r>
      <w:r w:rsidR="006E6779">
        <w:t>er</w:t>
      </w:r>
      <w:r w:rsidR="00C86AB1">
        <w:t xml:space="preserve"> Etive.</w:t>
      </w:r>
      <w:r w:rsidR="000647D8">
        <w:t xml:space="preserve">  The Lower Etive is composed almost exclusively of high permeability cross-bedded sandstones of fluvial or incised valley origin that often act as high permeability thief zones and are typically well swept.  The more variable sweep patterns in the Upper Etive reflect</w:t>
      </w:r>
      <w:r w:rsidR="003950D5">
        <w:t>s</w:t>
      </w:r>
      <w:r w:rsidR="000647D8">
        <w:t xml:space="preserve"> the local presence </w:t>
      </w:r>
      <w:r w:rsidR="003950D5">
        <w:t>of</w:t>
      </w:r>
      <w:r w:rsidR="000647D8">
        <w:t xml:space="preserve"> Type</w:t>
      </w:r>
      <w:r w:rsidR="00BB2D7F">
        <w:t xml:space="preserve"> A</w:t>
      </w:r>
      <w:r w:rsidR="000647D8">
        <w:t xml:space="preserve"> baffles and </w:t>
      </w:r>
      <w:r w:rsidR="003950D5">
        <w:t xml:space="preserve">generally </w:t>
      </w:r>
      <w:r w:rsidR="00782885">
        <w:t>increased reservoir</w:t>
      </w:r>
      <w:r w:rsidR="000647D8">
        <w:t xml:space="preserve"> heterogeneity, reflecting </w:t>
      </w:r>
      <w:r w:rsidR="003950D5">
        <w:t>more varied</w:t>
      </w:r>
      <w:r w:rsidR="000647D8">
        <w:t xml:space="preserve"> depositional </w:t>
      </w:r>
      <w:r w:rsidR="003950D5">
        <w:t>environment types overall</w:t>
      </w:r>
      <w:r w:rsidR="000647D8">
        <w:t>.</w:t>
      </w:r>
    </w:p>
    <w:p w14:paraId="38C1D22A" w14:textId="77777777" w:rsidR="00917746" w:rsidRDefault="00917746" w:rsidP="005F55EF"/>
    <w:p w14:paraId="7EF28736" w14:textId="4439E3FD" w:rsidR="00AC6757" w:rsidRDefault="00917746" w:rsidP="005F55EF">
      <w:r>
        <w:t>The stratigraphic</w:t>
      </w:r>
      <w:r w:rsidR="00E634A1">
        <w:t>al</w:t>
      </w:r>
      <w:r>
        <w:t xml:space="preserve"> and spatial distribution characteristics of the two </w:t>
      </w:r>
      <w:r w:rsidR="00F63300">
        <w:t xml:space="preserve">different </w:t>
      </w:r>
      <w:r>
        <w:t xml:space="preserve">types of intra-Etive barrier </w:t>
      </w:r>
      <w:r w:rsidR="00F63300">
        <w:t xml:space="preserve">evaluated </w:t>
      </w:r>
      <w:r>
        <w:t>are illustrated in Figure 13.</w:t>
      </w:r>
      <w:r w:rsidR="00C76C7A">
        <w:t xml:space="preserve">  </w:t>
      </w:r>
      <w:r w:rsidR="009D2CE0">
        <w:t>The</w:t>
      </w:r>
      <w:r w:rsidR="00F63300">
        <w:t xml:space="preserve"> </w:t>
      </w:r>
      <w:r w:rsidR="00C86AB1">
        <w:t xml:space="preserve">evaluation of </w:t>
      </w:r>
      <w:r w:rsidR="009D2CE0">
        <w:t xml:space="preserve">Etive </w:t>
      </w:r>
      <w:r w:rsidR="00C86AB1">
        <w:t>baffles and barriers was</w:t>
      </w:r>
      <w:r w:rsidR="004D3A06">
        <w:t xml:space="preserve"> </w:t>
      </w:r>
      <w:r w:rsidR="00F63300">
        <w:t xml:space="preserve">extended across the other 60 plus wells across </w:t>
      </w:r>
      <w:r w:rsidR="003950D5">
        <w:t>Thistle</w:t>
      </w:r>
      <w:r w:rsidR="00F63300">
        <w:t xml:space="preserve"> to provide a detailed description of the distribution and character of likely flow baffles and barriers with</w:t>
      </w:r>
      <w:r w:rsidR="009D2CE0">
        <w:t xml:space="preserve">in the Etive.  </w:t>
      </w:r>
      <w:r w:rsidR="00F63300">
        <w:t xml:space="preserve">This interpretive dataset </w:t>
      </w:r>
      <w:r w:rsidR="00755FB0">
        <w:t>was then</w:t>
      </w:r>
      <w:r w:rsidR="00F63300">
        <w:t xml:space="preserve"> incorporated in</w:t>
      </w:r>
      <w:r w:rsidR="00E97CDD">
        <w:t>to</w:t>
      </w:r>
      <w:r w:rsidR="00F63300">
        <w:t xml:space="preserve"> reservoir models and simulation studies designed to assist in the identification </w:t>
      </w:r>
      <w:r w:rsidR="00FF739E">
        <w:t xml:space="preserve">and evaluation </w:t>
      </w:r>
      <w:r w:rsidR="00F63300">
        <w:t xml:space="preserve">of </w:t>
      </w:r>
      <w:r w:rsidR="003950D5">
        <w:t xml:space="preserve">potential </w:t>
      </w:r>
      <w:r w:rsidR="00F63300">
        <w:t>intervention and infill opportunities at a local target scale.</w:t>
      </w:r>
    </w:p>
    <w:p w14:paraId="05BE4AF8" w14:textId="77777777" w:rsidR="00AC6757" w:rsidRDefault="00AC6757" w:rsidP="005F55EF"/>
    <w:p w14:paraId="5D48CC14" w14:textId="3B32067D" w:rsidR="003950D5" w:rsidRDefault="003950D5" w:rsidP="005F55EF">
      <w:r>
        <w:t>The core data provided a robust basis for assisting in the interpretation of production logging runs and gave additional confidence in any plug</w:t>
      </w:r>
      <w:r w:rsidR="00AC6757">
        <w:t>-setting</w:t>
      </w:r>
      <w:r>
        <w:t xml:space="preserve"> or perforation activities actioned as a result.</w:t>
      </w:r>
      <w:r w:rsidR="00C63BEB">
        <w:t xml:space="preserve">  This included recognition of the barrier type and likely geometrical extent</w:t>
      </w:r>
      <w:r w:rsidR="00AC6757">
        <w:t xml:space="preserve"> as well as an explanation of flow unit behaviour</w:t>
      </w:r>
      <w:r w:rsidR="00C63BEB">
        <w:t>.</w:t>
      </w:r>
      <w:r w:rsidR="00AC6757">
        <w:t xml:space="preserve">  In addition, core data </w:t>
      </w:r>
      <w:r w:rsidR="00B74763">
        <w:t>calibrated to wireline logs</w:t>
      </w:r>
      <w:r w:rsidR="00AC6757">
        <w:t xml:space="preserve"> provides recognition criteria to identify additional potential opportunities in the active well stock.</w:t>
      </w:r>
    </w:p>
    <w:p w14:paraId="1C03430E" w14:textId="77777777" w:rsidR="00917746" w:rsidRDefault="00917746" w:rsidP="005F55EF"/>
    <w:p w14:paraId="443022F6" w14:textId="77777777" w:rsidR="00917746" w:rsidRPr="00016290" w:rsidRDefault="00917746" w:rsidP="00016290">
      <w:pPr>
        <w:pStyle w:val="Heading1"/>
      </w:pPr>
      <w:r w:rsidRPr="00016290">
        <w:t>Summary</w:t>
      </w:r>
    </w:p>
    <w:p w14:paraId="05BA1E06" w14:textId="7D8BC2C7" w:rsidR="00F63300" w:rsidRDefault="00917746" w:rsidP="005F55EF">
      <w:r>
        <w:t>These Heather and Thistle examples demonstrate the impact of core</w:t>
      </w:r>
      <w:r w:rsidR="005F55EF" w:rsidRPr="005F55EF">
        <w:t xml:space="preserve"> datasets in developing our understanding of critical</w:t>
      </w:r>
      <w:r w:rsidR="00E97CDD">
        <w:t>,</w:t>
      </w:r>
      <w:r w:rsidR="005F55EF" w:rsidRPr="005F55EF">
        <w:t xml:space="preserve"> but </w:t>
      </w:r>
      <w:r>
        <w:t xml:space="preserve">often </w:t>
      </w:r>
      <w:r w:rsidR="005F55EF" w:rsidRPr="005F55EF">
        <w:t xml:space="preserve">subtle </w:t>
      </w:r>
      <w:r>
        <w:t>or complex</w:t>
      </w:r>
      <w:r w:rsidR="00E97CDD">
        <w:t>,</w:t>
      </w:r>
      <w:r>
        <w:t xml:space="preserve"> </w:t>
      </w:r>
      <w:r w:rsidR="005F55EF" w:rsidRPr="005F55EF">
        <w:t>component</w:t>
      </w:r>
      <w:r>
        <w:t>s</w:t>
      </w:r>
      <w:r w:rsidR="005F55EF" w:rsidRPr="005F55EF">
        <w:t xml:space="preserve"> of the Brent reservoir </w:t>
      </w:r>
      <w:r>
        <w:lastRenderedPageBreak/>
        <w:t xml:space="preserve">quality and </w:t>
      </w:r>
      <w:r w:rsidR="005F55EF" w:rsidRPr="005F55EF">
        <w:t>architecture</w:t>
      </w:r>
      <w:r>
        <w:t>.  Late field life decisions such a</w:t>
      </w:r>
      <w:r w:rsidR="00E97CDD">
        <w:t>s</w:t>
      </w:r>
      <w:r>
        <w:t xml:space="preserve"> well workovers and possible infill drilling depend on a high level of confidence </w:t>
      </w:r>
      <w:r w:rsidR="00FF739E">
        <w:t>to justify</w:t>
      </w:r>
      <w:r>
        <w:t xml:space="preserve"> costly intervention activities designed to improve productivity and extent field life.</w:t>
      </w:r>
    </w:p>
    <w:p w14:paraId="501E79CF" w14:textId="77777777" w:rsidR="005D459C" w:rsidRDefault="005D459C" w:rsidP="005F55EF"/>
    <w:p w14:paraId="58EBD379" w14:textId="77777777" w:rsidR="00C77EB9" w:rsidRDefault="00F63300" w:rsidP="005F55EF">
      <w:r>
        <w:t>The overall workflow and impact of core-based studies</w:t>
      </w:r>
      <w:r w:rsidR="00E97CDD">
        <w:t>,</w:t>
      </w:r>
      <w:r>
        <w:t xml:space="preserve"> such as those described</w:t>
      </w:r>
      <w:r w:rsidR="00E97CDD">
        <w:t>,</w:t>
      </w:r>
      <w:r>
        <w:t xml:space="preserve"> is schematically illustrated in Figure 14.  Integration of core data and related studies</w:t>
      </w:r>
      <w:r w:rsidR="00E97CDD">
        <w:t>,</w:t>
      </w:r>
      <w:r>
        <w:t xml:space="preserve"> such </w:t>
      </w:r>
      <w:r w:rsidR="00E97CDD">
        <w:t xml:space="preserve">as </w:t>
      </w:r>
      <w:r>
        <w:t>sedimentological and diagenetic evaluations</w:t>
      </w:r>
      <w:r w:rsidR="00E97CDD">
        <w:t>,</w:t>
      </w:r>
      <w:r>
        <w:t xml:space="preserve"> can be integrated with other data sets</w:t>
      </w:r>
      <w:r w:rsidR="00E97CDD">
        <w:t>,</w:t>
      </w:r>
      <w:r>
        <w:t xml:space="preserve"> such as seismic data (</w:t>
      </w:r>
      <w:r w:rsidR="0094198D">
        <w:t xml:space="preserve">e.g., </w:t>
      </w:r>
      <w:r>
        <w:t>Heather) and production data (</w:t>
      </w:r>
      <w:r w:rsidR="0094198D">
        <w:t xml:space="preserve">e.g., </w:t>
      </w:r>
      <w:r>
        <w:t>Thistle)</w:t>
      </w:r>
      <w:r w:rsidR="00E97CDD">
        <w:t>,</w:t>
      </w:r>
      <w:r>
        <w:t xml:space="preserve"> to improve our geological understanding and develop predictive models that assist in identifying opportunities to improve production and ultimate recovery.  </w:t>
      </w:r>
    </w:p>
    <w:p w14:paraId="675F00A0" w14:textId="77777777" w:rsidR="00C77EB9" w:rsidRDefault="00C77EB9" w:rsidP="005F55EF"/>
    <w:p w14:paraId="3C33EBCB" w14:textId="62C3435C" w:rsidR="005D459C" w:rsidRDefault="00F63300" w:rsidP="005F55EF">
      <w:r>
        <w:t xml:space="preserve">The observations and </w:t>
      </w:r>
      <w:r w:rsidR="008E7F01">
        <w:t xml:space="preserve">interpretations </w:t>
      </w:r>
      <w:r w:rsidR="00C77EB9">
        <w:t xml:space="preserve">from core-based studies </w:t>
      </w:r>
      <w:r w:rsidR="008E7F01">
        <w:t xml:space="preserve">help </w:t>
      </w:r>
      <w:r w:rsidR="00E97CDD">
        <w:t xml:space="preserve">to </w:t>
      </w:r>
      <w:r w:rsidR="008E7F01">
        <w:t>de</w:t>
      </w:r>
      <w:r w:rsidR="005D459C">
        <w:t>-</w:t>
      </w:r>
      <w:r w:rsidR="008E7F01">
        <w:t>risk and assess costly</w:t>
      </w:r>
      <w:r w:rsidR="00E97CDD">
        <w:t>,</w:t>
      </w:r>
      <w:r w:rsidR="008E7F01">
        <w:t xml:space="preserve"> but potentially beneficial</w:t>
      </w:r>
      <w:r w:rsidR="00E97CDD">
        <w:t>,</w:t>
      </w:r>
      <w:r w:rsidR="008E7F01">
        <w:t xml:space="preserve"> activities</w:t>
      </w:r>
      <w:r w:rsidR="00861FA2">
        <w:t xml:space="preserve"> </w:t>
      </w:r>
      <w:r w:rsidR="008E7F01">
        <w:t xml:space="preserve">such as infill drilling and well interventions.  Given the relatively high capital expenditure </w:t>
      </w:r>
      <w:r w:rsidR="005D459C">
        <w:t>of such activities, core</w:t>
      </w:r>
      <w:r w:rsidR="003950D5">
        <w:t>-</w:t>
      </w:r>
      <w:r w:rsidR="005D459C">
        <w:t>based studies represent extremely good return value with relatively little additional capital outlay.  The main cost is</w:t>
      </w:r>
      <w:r w:rsidR="00E97CDD">
        <w:t>, of course,</w:t>
      </w:r>
      <w:r w:rsidR="005D459C">
        <w:t xml:space="preserve"> the </w:t>
      </w:r>
      <w:r w:rsidR="00483E27">
        <w:t xml:space="preserve">original drilling and </w:t>
      </w:r>
      <w:r w:rsidR="005D459C">
        <w:t xml:space="preserve">taking of </w:t>
      </w:r>
      <w:r w:rsidR="00E97CDD">
        <w:t xml:space="preserve">the </w:t>
      </w:r>
      <w:r w:rsidR="005D459C">
        <w:t>core in the first instance</w:t>
      </w:r>
      <w:r w:rsidR="00E97CDD">
        <w:t>,</w:t>
      </w:r>
      <w:r w:rsidR="005D459C">
        <w:t xml:space="preserve"> which is </w:t>
      </w:r>
      <w:r w:rsidR="00FF739E">
        <w:t>generally</w:t>
      </w:r>
      <w:r w:rsidR="005D459C">
        <w:t xml:space="preserve"> only done relatively early in field life</w:t>
      </w:r>
      <w:r w:rsidR="00FF739E">
        <w:t xml:space="preserve"> and effectively represents sunk historical cost</w:t>
      </w:r>
      <w:r w:rsidR="005D459C">
        <w:t>.</w:t>
      </w:r>
      <w:r w:rsidR="00C77EB9">
        <w:t xml:space="preserve">  In terms of decision making, core related information and insight provides additional confidence to geoscientists and petroleum engineers when evaluating complex and expensive activities.</w:t>
      </w:r>
    </w:p>
    <w:p w14:paraId="2EE98C4F" w14:textId="77777777" w:rsidR="005D459C" w:rsidRDefault="005D459C" w:rsidP="005F55EF"/>
    <w:p w14:paraId="50B88A11" w14:textId="36B44B0F" w:rsidR="00727A62" w:rsidRDefault="005D459C" w:rsidP="005F55EF">
      <w:r>
        <w:t xml:space="preserve">The additional dual benefit of these </w:t>
      </w:r>
      <w:r w:rsidR="00C76C7A">
        <w:t xml:space="preserve">core-based </w:t>
      </w:r>
      <w:r>
        <w:t>studies is that they also contribute to the wider science and understandin</w:t>
      </w:r>
      <w:r w:rsidR="00FF739E">
        <w:t>g of subsurface reservoirs that</w:t>
      </w:r>
      <w:r>
        <w:t xml:space="preserve"> has a</w:t>
      </w:r>
      <w:r w:rsidR="00E97CDD">
        <w:t>n</w:t>
      </w:r>
      <w:r>
        <w:t xml:space="preserve"> </w:t>
      </w:r>
      <w:r w:rsidR="00E97CDD">
        <w:t xml:space="preserve">impact </w:t>
      </w:r>
      <w:r>
        <w:t>broader than just the hydrocarbon extraction industry</w:t>
      </w:r>
      <w:r w:rsidR="00E97CDD">
        <w:t xml:space="preserve"> as there is</w:t>
      </w:r>
      <w:r>
        <w:t xml:space="preserve"> relevance to aquifer resources and potential storage activities such as underground CO</w:t>
      </w:r>
      <w:r w:rsidRPr="00735886">
        <w:rPr>
          <w:vertAlign w:val="subscript"/>
        </w:rPr>
        <w:t>2</w:t>
      </w:r>
      <w:r>
        <w:t xml:space="preserve"> sequestration.</w:t>
      </w:r>
    </w:p>
    <w:p w14:paraId="52958012" w14:textId="77777777" w:rsidR="004D3AF5" w:rsidRDefault="004D3AF5" w:rsidP="00547138"/>
    <w:p w14:paraId="4C5F20D5" w14:textId="77777777" w:rsidR="00FF739E" w:rsidRPr="00D06A4A" w:rsidRDefault="00D06A4A" w:rsidP="00547138">
      <w:pPr>
        <w:rPr>
          <w:b/>
        </w:rPr>
      </w:pPr>
      <w:r>
        <w:rPr>
          <w:b/>
        </w:rPr>
        <w:t>A</w:t>
      </w:r>
      <w:r w:rsidRPr="00D06A4A">
        <w:rPr>
          <w:b/>
        </w:rPr>
        <w:t>cknowledgements</w:t>
      </w:r>
    </w:p>
    <w:p w14:paraId="787B739A" w14:textId="25BB7872" w:rsidR="00FF739E" w:rsidRPr="00D06A4A" w:rsidRDefault="00D06A4A" w:rsidP="00FF739E">
      <w:r>
        <w:t>Special</w:t>
      </w:r>
      <w:r w:rsidR="00FF739E" w:rsidRPr="00FF739E">
        <w:t xml:space="preserve"> thanks to Live</w:t>
      </w:r>
      <w:r>
        <w:t xml:space="preserve">rpool University Staff </w:t>
      </w:r>
      <w:r w:rsidR="001E3ECC">
        <w:t>and</w:t>
      </w:r>
      <w:r>
        <w:t xml:space="preserve"> MSc Students: </w:t>
      </w:r>
      <w:r w:rsidR="00FF739E" w:rsidRPr="00FF739E">
        <w:t>Dinfa Barshep, Mayra Gamboa, Glenn Morrall</w:t>
      </w:r>
      <w:r w:rsidR="001045B3">
        <w:t>, Regian Sunaryo, Clare Tansell and</w:t>
      </w:r>
      <w:r w:rsidR="00FF739E" w:rsidRPr="00FF739E">
        <w:t xml:space="preserve"> James Utley</w:t>
      </w:r>
      <w:r w:rsidR="001045B3">
        <w:t>.  T</w:t>
      </w:r>
      <w:r>
        <w:t>he study work by students and staff provided a rich and diverse data set that enabled much of the subsequent evaluations.</w:t>
      </w:r>
      <w:r w:rsidR="00C77EB9">
        <w:t xml:space="preserve">  T</w:t>
      </w:r>
      <w:r>
        <w:t xml:space="preserve">hese studies </w:t>
      </w:r>
      <w:r w:rsidR="00C77EB9">
        <w:t xml:space="preserve">also </w:t>
      </w:r>
      <w:r>
        <w:t xml:space="preserve">greatly benefitted from the contributions and guidance from </w:t>
      </w:r>
      <w:r w:rsidR="00FF739E" w:rsidRPr="00FF739E">
        <w:t xml:space="preserve">Andy </w:t>
      </w:r>
      <w:proofErr w:type="spellStart"/>
      <w:r w:rsidR="00FF739E" w:rsidRPr="00FF739E">
        <w:t>Thickpenny</w:t>
      </w:r>
      <w:proofErr w:type="spellEnd"/>
      <w:r w:rsidR="00FF739E" w:rsidRPr="00FF739E">
        <w:t xml:space="preserve"> </w:t>
      </w:r>
      <w:r w:rsidR="001E3ECC">
        <w:t>and</w:t>
      </w:r>
      <w:r w:rsidR="00FF739E" w:rsidRPr="00FF739E">
        <w:t xml:space="preserve"> Ken Russell (Lomond Associates)</w:t>
      </w:r>
      <w:r>
        <w:t>.</w:t>
      </w:r>
      <w:r w:rsidR="003950D5">
        <w:t xml:space="preserve">  Reviewers </w:t>
      </w:r>
      <w:r w:rsidR="00C77EB9">
        <w:t xml:space="preserve">and editor </w:t>
      </w:r>
      <w:r w:rsidR="00C77EB9" w:rsidRPr="00FF739E">
        <w:t>Mike Ashton (Ashton Consulting</w:t>
      </w:r>
      <w:r w:rsidR="00C77EB9">
        <w:t xml:space="preserve">) </w:t>
      </w:r>
      <w:r w:rsidR="003950D5">
        <w:t xml:space="preserve">are </w:t>
      </w:r>
      <w:r w:rsidR="000645D1">
        <w:t>especially</w:t>
      </w:r>
      <w:r w:rsidR="003950D5">
        <w:t xml:space="preserve"> thanked for their constructive feedback and suggestions</w:t>
      </w:r>
      <w:r w:rsidR="00C77EB9">
        <w:t xml:space="preserve"> </w:t>
      </w:r>
      <w:r w:rsidR="00C77EB9">
        <w:lastRenderedPageBreak/>
        <w:t>that greatly improved the manuscript</w:t>
      </w:r>
      <w:r w:rsidR="003950D5">
        <w:t xml:space="preserve">.  </w:t>
      </w:r>
      <w:r>
        <w:t xml:space="preserve">However, all conclusions are </w:t>
      </w:r>
      <w:r w:rsidR="00BF761E">
        <w:t>solely</w:t>
      </w:r>
      <w:r w:rsidR="001045B3">
        <w:t xml:space="preserve"> </w:t>
      </w:r>
      <w:r>
        <w:t>those of the</w:t>
      </w:r>
      <w:r w:rsidR="00FF739E">
        <w:t xml:space="preserve"> </w:t>
      </w:r>
      <w:r>
        <w:t>authors.</w:t>
      </w:r>
    </w:p>
    <w:p w14:paraId="330ECE30" w14:textId="77777777" w:rsidR="00A86F19" w:rsidRDefault="00A86F19" w:rsidP="00547138">
      <w:pPr>
        <w:rPr>
          <w:rFonts w:cstheme="minorHAnsi"/>
          <w:color w:val="000000" w:themeColor="text1"/>
        </w:rPr>
      </w:pPr>
    </w:p>
    <w:p w14:paraId="5A08C900" w14:textId="77777777" w:rsidR="00E12E0F" w:rsidRDefault="00E12E0F" w:rsidP="00E12E0F">
      <w:pPr>
        <w:rPr>
          <w:rFonts w:cstheme="minorHAnsi"/>
          <w:color w:val="000000" w:themeColor="text1"/>
        </w:rPr>
      </w:pPr>
      <w:r w:rsidRPr="00E12E0F">
        <w:rPr>
          <w:rFonts w:cstheme="minorHAnsi"/>
          <w:b/>
          <w:color w:val="000000" w:themeColor="text1"/>
        </w:rPr>
        <w:t>Funding</w:t>
      </w:r>
      <w:r w:rsidRPr="00E12E0F">
        <w:rPr>
          <w:rFonts w:cstheme="minorHAnsi"/>
          <w:color w:val="000000" w:themeColor="text1"/>
        </w:rPr>
        <w:t xml:space="preserve"> </w:t>
      </w:r>
    </w:p>
    <w:p w14:paraId="1E13DC5E" w14:textId="761CDB93" w:rsidR="00E12E0F" w:rsidRDefault="00E12E0F" w:rsidP="00E12E0F">
      <w:pPr>
        <w:rPr>
          <w:rFonts w:cstheme="minorHAnsi"/>
          <w:color w:val="000000" w:themeColor="text1"/>
        </w:rPr>
      </w:pPr>
      <w:r w:rsidRPr="00E12E0F">
        <w:rPr>
          <w:rFonts w:cstheme="minorHAnsi"/>
          <w:color w:val="000000" w:themeColor="text1"/>
        </w:rPr>
        <w:t xml:space="preserve">This research </w:t>
      </w:r>
      <w:r>
        <w:rPr>
          <w:rFonts w:cstheme="minorHAnsi"/>
          <w:color w:val="000000" w:themeColor="text1"/>
        </w:rPr>
        <w:t xml:space="preserve">received no specific grant from </w:t>
      </w:r>
      <w:r w:rsidRPr="00E12E0F">
        <w:rPr>
          <w:rFonts w:cstheme="minorHAnsi"/>
          <w:color w:val="000000" w:themeColor="text1"/>
        </w:rPr>
        <w:t>any funding agency in the public, commercial, or not-for</w:t>
      </w:r>
      <w:r w:rsidR="001E3ECC">
        <w:rPr>
          <w:rFonts w:cstheme="minorHAnsi"/>
          <w:color w:val="000000" w:themeColor="text1"/>
        </w:rPr>
        <w:t>-</w:t>
      </w:r>
      <w:r>
        <w:rPr>
          <w:rFonts w:cstheme="minorHAnsi"/>
          <w:color w:val="000000" w:themeColor="text1"/>
        </w:rPr>
        <w:t xml:space="preserve">profit </w:t>
      </w:r>
      <w:r w:rsidRPr="00E12E0F">
        <w:rPr>
          <w:rFonts w:cstheme="minorHAnsi"/>
          <w:color w:val="000000" w:themeColor="text1"/>
        </w:rPr>
        <w:t>sectors.</w:t>
      </w:r>
    </w:p>
    <w:p w14:paraId="7AF9D40B" w14:textId="77777777" w:rsidR="00E12E0F" w:rsidRDefault="00E12E0F" w:rsidP="00E12E0F">
      <w:pPr>
        <w:rPr>
          <w:rFonts w:cstheme="minorHAnsi"/>
          <w:color w:val="000000" w:themeColor="text1"/>
        </w:rPr>
      </w:pPr>
    </w:p>
    <w:p w14:paraId="5D48984A" w14:textId="77777777" w:rsidR="00E12E0F" w:rsidRDefault="00E12E0F" w:rsidP="00E12E0F">
      <w:pPr>
        <w:rPr>
          <w:rFonts w:cstheme="minorHAnsi"/>
          <w:b/>
          <w:color w:val="000000" w:themeColor="text1"/>
        </w:rPr>
      </w:pPr>
      <w:r w:rsidRPr="00E12E0F">
        <w:rPr>
          <w:rFonts w:cstheme="minorHAnsi"/>
          <w:b/>
          <w:color w:val="000000" w:themeColor="text1"/>
        </w:rPr>
        <w:t>Author contributions</w:t>
      </w:r>
    </w:p>
    <w:p w14:paraId="3223FBAF" w14:textId="77777777" w:rsidR="006111D4" w:rsidRDefault="00E12E0F" w:rsidP="00C726B2">
      <w:r>
        <w:t xml:space="preserve">SK:  </w:t>
      </w:r>
      <w:r w:rsidRPr="00E12E0F">
        <w:t>Writing</w:t>
      </w:r>
      <w:r>
        <w:t xml:space="preserve"> – </w:t>
      </w:r>
      <w:r w:rsidR="00C726B2">
        <w:t xml:space="preserve">Conceptualization (Equal), </w:t>
      </w:r>
      <w:r>
        <w:t>Original Draft (Lead)</w:t>
      </w:r>
      <w:r w:rsidR="00C726B2">
        <w:t xml:space="preserve"> – Review &amp; editing (Lead). </w:t>
      </w:r>
    </w:p>
    <w:p w14:paraId="71CB3500" w14:textId="77777777" w:rsidR="006111D4" w:rsidRDefault="00C726B2" w:rsidP="00C726B2">
      <w:r>
        <w:t xml:space="preserve">RHW: Conceptualization (Lead), Writing – Original Draft (Supporting), Review &amp; Editing (Equal). </w:t>
      </w:r>
    </w:p>
    <w:p w14:paraId="4507371C" w14:textId="2D640972" w:rsidR="00E12E0F" w:rsidRPr="00E12E0F" w:rsidRDefault="00C726B2" w:rsidP="00C726B2">
      <w:r>
        <w:t>PMA: Conceptualization (Equal), Writing – Original Draft (Supporting), Review &amp; Editing (Equal).</w:t>
      </w:r>
    </w:p>
    <w:p w14:paraId="40D9FA0C" w14:textId="77777777" w:rsidR="00A86F19" w:rsidRDefault="00A86F19" w:rsidP="00547138">
      <w:pPr>
        <w:rPr>
          <w:rFonts w:cstheme="minorHAnsi"/>
          <w:color w:val="000000" w:themeColor="text1"/>
        </w:rPr>
      </w:pPr>
    </w:p>
    <w:p w14:paraId="055A8624" w14:textId="77777777" w:rsidR="0094619C" w:rsidRDefault="0094619C" w:rsidP="00547138">
      <w:pPr>
        <w:rPr>
          <w:rFonts w:cstheme="minorHAnsi"/>
          <w:color w:val="000000" w:themeColor="text1"/>
        </w:rPr>
      </w:pPr>
    </w:p>
    <w:p w14:paraId="7CD8B624" w14:textId="77777777" w:rsidR="00A86F19" w:rsidRPr="00D06A4A" w:rsidRDefault="00A86F19" w:rsidP="00547138">
      <w:pPr>
        <w:rPr>
          <w:rFonts w:cstheme="minorHAnsi"/>
          <w:b/>
          <w:color w:val="000000" w:themeColor="text1"/>
        </w:rPr>
      </w:pPr>
      <w:r w:rsidRPr="00D06A4A">
        <w:rPr>
          <w:rFonts w:cstheme="minorHAnsi"/>
          <w:b/>
          <w:color w:val="000000" w:themeColor="text1"/>
        </w:rPr>
        <w:t>References</w:t>
      </w:r>
    </w:p>
    <w:p w14:paraId="369C4F79" w14:textId="77777777" w:rsidR="00024556" w:rsidRDefault="00695A5C" w:rsidP="009D2CE0">
      <w:proofErr w:type="spellStart"/>
      <w:r>
        <w:t>Bjørlykke</w:t>
      </w:r>
      <w:proofErr w:type="spellEnd"/>
      <w:r>
        <w:t xml:space="preserve">, K., </w:t>
      </w:r>
      <w:proofErr w:type="spellStart"/>
      <w:r>
        <w:t>Nedkvitne</w:t>
      </w:r>
      <w:proofErr w:type="spellEnd"/>
      <w:r>
        <w:t>, T., Ramm, M.</w:t>
      </w:r>
      <w:r w:rsidR="00901AFD">
        <w:t xml:space="preserve"> and</w:t>
      </w:r>
      <w:r>
        <w:t xml:space="preserve"> </w:t>
      </w:r>
      <w:proofErr w:type="spellStart"/>
      <w:r>
        <w:t>Saigal</w:t>
      </w:r>
      <w:proofErr w:type="spellEnd"/>
      <w:r>
        <w:t>, G., 1992. Diagenetic processes in the Brent Group (Middle Jurassic) reservoirs of the North Sea: an overview</w:t>
      </w:r>
      <w:r w:rsidR="00E52CB6">
        <w:t>.</w:t>
      </w:r>
      <w:r w:rsidR="004E3C54">
        <w:t xml:space="preserve"> </w:t>
      </w:r>
      <w:r w:rsidR="00E52CB6">
        <w:t>I</w:t>
      </w:r>
      <w:r>
        <w:t xml:space="preserve">n: Morton, A.C., Haszeldine, R.S., Giles, M.R. </w:t>
      </w:r>
      <w:r w:rsidR="00901AFD">
        <w:t xml:space="preserve">and </w:t>
      </w:r>
      <w:r>
        <w:t>Brown, S. (</w:t>
      </w:r>
      <w:r w:rsidR="005E6109">
        <w:t>eds</w:t>
      </w:r>
      <w:r>
        <w:t xml:space="preserve">) </w:t>
      </w:r>
      <w:r w:rsidRPr="00901AFD">
        <w:rPr>
          <w:i/>
          <w:iCs/>
        </w:rPr>
        <w:t>Geology of the Brent Group</w:t>
      </w:r>
      <w:r>
        <w:t xml:space="preserve">. </w:t>
      </w:r>
      <w:r w:rsidRPr="00E52CB6">
        <w:rPr>
          <w:i/>
          <w:iCs/>
        </w:rPr>
        <w:t>Geological Society, London,</w:t>
      </w:r>
      <w:r w:rsidR="00901AFD" w:rsidRPr="00E52CB6">
        <w:rPr>
          <w:i/>
          <w:iCs/>
        </w:rPr>
        <w:t xml:space="preserve"> Special Publications</w:t>
      </w:r>
      <w:r w:rsidR="00901AFD">
        <w:t xml:space="preserve">, </w:t>
      </w:r>
      <w:r w:rsidR="00901AFD" w:rsidRPr="00E52CB6">
        <w:rPr>
          <w:b/>
          <w:bCs/>
        </w:rPr>
        <w:t>61</w:t>
      </w:r>
      <w:r w:rsidR="00E52CB6">
        <w:t>,</w:t>
      </w:r>
      <w:r>
        <w:t xml:space="preserve"> 263-287.</w:t>
      </w:r>
    </w:p>
    <w:p w14:paraId="48A19F41" w14:textId="77777777" w:rsidR="00695A5C" w:rsidRDefault="00695A5C" w:rsidP="00695A5C"/>
    <w:p w14:paraId="47A46F4E" w14:textId="77777777" w:rsidR="00024556" w:rsidRDefault="00695A5C" w:rsidP="00695A5C">
      <w:proofErr w:type="spellStart"/>
      <w:r>
        <w:t>Clauer</w:t>
      </w:r>
      <w:proofErr w:type="spellEnd"/>
      <w:r>
        <w:t>, N.</w:t>
      </w:r>
      <w:r w:rsidR="00E52CB6">
        <w:t xml:space="preserve"> and</w:t>
      </w:r>
      <w:r>
        <w:t xml:space="preserve"> </w:t>
      </w:r>
      <w:proofErr w:type="spellStart"/>
      <w:r>
        <w:t>Liewig</w:t>
      </w:r>
      <w:proofErr w:type="spellEnd"/>
      <w:r>
        <w:t xml:space="preserve">, N., 2013. Episodic and simultaneous </w:t>
      </w:r>
      <w:proofErr w:type="spellStart"/>
      <w:r>
        <w:t>illitisation</w:t>
      </w:r>
      <w:proofErr w:type="spellEnd"/>
      <w:r>
        <w:t xml:space="preserve"> in oil-bearing Brent Group and Fulmar Formation sandstone from the northern and southern North Sea based on illite K-Ar dating. </w:t>
      </w:r>
      <w:r w:rsidR="00E52CB6" w:rsidRPr="00E52CB6">
        <w:rPr>
          <w:i/>
          <w:iCs/>
        </w:rPr>
        <w:t>AAPG</w:t>
      </w:r>
      <w:r w:rsidRPr="00E52CB6">
        <w:rPr>
          <w:i/>
          <w:iCs/>
        </w:rPr>
        <w:t xml:space="preserve"> Bulletin</w:t>
      </w:r>
      <w:r w:rsidR="00E52CB6">
        <w:t>,</w:t>
      </w:r>
      <w:r>
        <w:t xml:space="preserve"> </w:t>
      </w:r>
      <w:r w:rsidRPr="00E52CB6">
        <w:rPr>
          <w:b/>
          <w:bCs/>
        </w:rPr>
        <w:t>97</w:t>
      </w:r>
      <w:r>
        <w:t>, 2149-2171.</w:t>
      </w:r>
    </w:p>
    <w:p w14:paraId="75CA6A58" w14:textId="77777777" w:rsidR="00C77EB9" w:rsidRDefault="00C77EB9" w:rsidP="00695A5C">
      <w:pPr>
        <w:rPr>
          <w:rFonts w:cstheme="minorHAnsi"/>
          <w:color w:val="000000" w:themeColor="text1"/>
        </w:rPr>
      </w:pPr>
    </w:p>
    <w:p w14:paraId="102E6603" w14:textId="77777777" w:rsidR="00024556" w:rsidRDefault="005E71D6" w:rsidP="00695A5C">
      <w:pPr>
        <w:rPr>
          <w:rFonts w:cstheme="minorHAnsi"/>
          <w:color w:val="000000" w:themeColor="text1"/>
        </w:rPr>
      </w:pPr>
      <w:r w:rsidRPr="005E71D6">
        <w:rPr>
          <w:rFonts w:cstheme="minorHAnsi"/>
          <w:color w:val="000000" w:themeColor="text1"/>
        </w:rPr>
        <w:t xml:space="preserve">Churchman, G. J., </w:t>
      </w:r>
      <w:r w:rsidR="00E52CB6">
        <w:rPr>
          <w:rFonts w:cstheme="minorHAnsi"/>
          <w:color w:val="000000" w:themeColor="text1"/>
        </w:rPr>
        <w:t>and</w:t>
      </w:r>
      <w:r w:rsidRPr="005E71D6">
        <w:rPr>
          <w:rFonts w:cstheme="minorHAnsi"/>
          <w:color w:val="000000" w:themeColor="text1"/>
        </w:rPr>
        <w:t xml:space="preserve"> Lowe, D. J. 2012. Alteration, formation, and occurrence of minerals in soils. In</w:t>
      </w:r>
      <w:r>
        <w:rPr>
          <w:rFonts w:cstheme="minorHAnsi"/>
          <w:color w:val="000000" w:themeColor="text1"/>
        </w:rPr>
        <w:t>:</w:t>
      </w:r>
      <w:r w:rsidRPr="005E71D6">
        <w:rPr>
          <w:rFonts w:cstheme="minorHAnsi"/>
          <w:color w:val="000000" w:themeColor="text1"/>
        </w:rPr>
        <w:t xml:space="preserve"> Huang,</w:t>
      </w:r>
      <w:r>
        <w:rPr>
          <w:rFonts w:cstheme="minorHAnsi"/>
          <w:color w:val="000000" w:themeColor="text1"/>
        </w:rPr>
        <w:t xml:space="preserve"> P.M.,</w:t>
      </w:r>
      <w:r w:rsidRPr="005E71D6">
        <w:rPr>
          <w:rFonts w:cstheme="minorHAnsi"/>
          <w:color w:val="000000" w:themeColor="text1"/>
        </w:rPr>
        <w:t xml:space="preserve"> Li,</w:t>
      </w:r>
      <w:r>
        <w:rPr>
          <w:rFonts w:cstheme="minorHAnsi"/>
          <w:color w:val="000000" w:themeColor="text1"/>
        </w:rPr>
        <w:t xml:space="preserve"> Y. </w:t>
      </w:r>
      <w:r w:rsidR="00E52CB6">
        <w:rPr>
          <w:rFonts w:cstheme="minorHAnsi"/>
          <w:color w:val="000000" w:themeColor="text1"/>
        </w:rPr>
        <w:t>and</w:t>
      </w:r>
      <w:r w:rsidRPr="005E71D6">
        <w:rPr>
          <w:rFonts w:cstheme="minorHAnsi"/>
          <w:color w:val="000000" w:themeColor="text1"/>
        </w:rPr>
        <w:t xml:space="preserve"> Sumner</w:t>
      </w:r>
      <w:r>
        <w:rPr>
          <w:rFonts w:cstheme="minorHAnsi"/>
          <w:color w:val="000000" w:themeColor="text1"/>
        </w:rPr>
        <w:t xml:space="preserve">, M.E. (eds) </w:t>
      </w:r>
      <w:r w:rsidRPr="00E52CB6">
        <w:rPr>
          <w:rFonts w:cstheme="minorHAnsi"/>
          <w:i/>
          <w:iCs/>
          <w:color w:val="000000" w:themeColor="text1"/>
        </w:rPr>
        <w:t>Handbook of Soil Sciences: Properties and Processes</w:t>
      </w:r>
      <w:r w:rsidR="00E52CB6">
        <w:rPr>
          <w:rFonts w:cstheme="minorHAnsi"/>
          <w:color w:val="000000" w:themeColor="text1"/>
        </w:rPr>
        <w:t>.</w:t>
      </w:r>
      <w:r w:rsidRPr="005E71D6">
        <w:rPr>
          <w:rFonts w:cstheme="minorHAnsi"/>
          <w:color w:val="000000" w:themeColor="text1"/>
        </w:rPr>
        <w:t xml:space="preserve"> </w:t>
      </w:r>
      <w:r w:rsidR="00E52CB6" w:rsidRPr="005E71D6">
        <w:rPr>
          <w:rFonts w:cstheme="minorHAnsi"/>
          <w:color w:val="000000" w:themeColor="text1"/>
        </w:rPr>
        <w:t>CRC Press</w:t>
      </w:r>
      <w:r w:rsidR="00E52CB6">
        <w:rPr>
          <w:rFonts w:cstheme="minorHAnsi"/>
          <w:color w:val="000000" w:themeColor="text1"/>
        </w:rPr>
        <w:t xml:space="preserve">, </w:t>
      </w:r>
      <w:r w:rsidRPr="005E71D6">
        <w:rPr>
          <w:rFonts w:cstheme="minorHAnsi"/>
          <w:color w:val="000000" w:themeColor="text1"/>
        </w:rPr>
        <w:t>1–72.</w:t>
      </w:r>
    </w:p>
    <w:p w14:paraId="258F9E4F" w14:textId="77777777" w:rsidR="005E71D6" w:rsidRPr="005E71D6" w:rsidRDefault="005E71D6" w:rsidP="00695A5C">
      <w:pPr>
        <w:rPr>
          <w:rFonts w:cstheme="minorHAnsi"/>
          <w:color w:val="000000" w:themeColor="text1"/>
        </w:rPr>
      </w:pPr>
    </w:p>
    <w:p w14:paraId="194F3140" w14:textId="77777777" w:rsidR="00024556" w:rsidRDefault="009D2CE0" w:rsidP="009D2CE0">
      <w:pPr>
        <w:rPr>
          <w:rFonts w:cstheme="minorHAnsi"/>
          <w:color w:val="000000" w:themeColor="text1"/>
        </w:rPr>
      </w:pPr>
      <w:r w:rsidRPr="00363A0A">
        <w:rPr>
          <w:rFonts w:cstheme="minorHAnsi"/>
          <w:color w:val="000000" w:themeColor="text1"/>
        </w:rPr>
        <w:t>Giles</w:t>
      </w:r>
      <w:r>
        <w:rPr>
          <w:rFonts w:cstheme="minorHAnsi"/>
          <w:color w:val="000000" w:themeColor="text1"/>
        </w:rPr>
        <w:t xml:space="preserve">, M. R., </w:t>
      </w:r>
      <w:r w:rsidRPr="00363A0A">
        <w:rPr>
          <w:rFonts w:cstheme="minorHAnsi"/>
          <w:color w:val="000000" w:themeColor="text1"/>
        </w:rPr>
        <w:t>Stevenson</w:t>
      </w:r>
      <w:r>
        <w:rPr>
          <w:rFonts w:cstheme="minorHAnsi"/>
          <w:color w:val="000000" w:themeColor="text1"/>
        </w:rPr>
        <w:t>, S.</w:t>
      </w:r>
      <w:r w:rsidRPr="00363A0A">
        <w:rPr>
          <w:rFonts w:cstheme="minorHAnsi"/>
          <w:color w:val="000000" w:themeColor="text1"/>
        </w:rPr>
        <w:t>, Martin</w:t>
      </w:r>
      <w:r>
        <w:rPr>
          <w:rFonts w:cstheme="minorHAnsi"/>
          <w:color w:val="000000" w:themeColor="text1"/>
        </w:rPr>
        <w:t>, S. V.</w:t>
      </w:r>
      <w:r w:rsidRPr="00363A0A">
        <w:rPr>
          <w:rFonts w:cstheme="minorHAnsi"/>
          <w:color w:val="000000" w:themeColor="text1"/>
        </w:rPr>
        <w:t>, Cannon</w:t>
      </w:r>
      <w:r>
        <w:rPr>
          <w:rFonts w:cstheme="minorHAnsi"/>
          <w:color w:val="000000" w:themeColor="text1"/>
        </w:rPr>
        <w:t>, S. J. C.</w:t>
      </w:r>
      <w:r w:rsidRPr="00363A0A">
        <w:rPr>
          <w:rFonts w:cstheme="minorHAnsi"/>
          <w:color w:val="000000" w:themeColor="text1"/>
        </w:rPr>
        <w:t>, Hamilton</w:t>
      </w:r>
      <w:r>
        <w:rPr>
          <w:rFonts w:cstheme="minorHAnsi"/>
          <w:color w:val="000000" w:themeColor="text1"/>
        </w:rPr>
        <w:t xml:space="preserve">, P. J., </w:t>
      </w:r>
      <w:r w:rsidRPr="00363A0A">
        <w:rPr>
          <w:rFonts w:cstheme="minorHAnsi"/>
          <w:color w:val="000000" w:themeColor="text1"/>
        </w:rPr>
        <w:t>Marshall</w:t>
      </w:r>
      <w:r>
        <w:rPr>
          <w:rFonts w:cstheme="minorHAnsi"/>
          <w:color w:val="000000" w:themeColor="text1"/>
        </w:rPr>
        <w:t xml:space="preserve">, </w:t>
      </w:r>
      <w:r w:rsidRPr="00363A0A">
        <w:rPr>
          <w:rFonts w:cstheme="minorHAnsi"/>
          <w:color w:val="000000" w:themeColor="text1"/>
        </w:rPr>
        <w:t xml:space="preserve">J. D. </w:t>
      </w:r>
      <w:r w:rsidR="00E52CB6">
        <w:rPr>
          <w:rFonts w:cstheme="minorHAnsi"/>
          <w:color w:val="000000" w:themeColor="text1"/>
        </w:rPr>
        <w:t>and</w:t>
      </w:r>
      <w:r w:rsidRPr="00363A0A">
        <w:rPr>
          <w:rFonts w:cstheme="minorHAnsi"/>
          <w:color w:val="000000" w:themeColor="text1"/>
        </w:rPr>
        <w:t xml:space="preserve"> Samways</w:t>
      </w:r>
      <w:r>
        <w:rPr>
          <w:rFonts w:cstheme="minorHAnsi"/>
          <w:color w:val="000000" w:themeColor="text1"/>
        </w:rPr>
        <w:t xml:space="preserve">, G. M. 1992.  </w:t>
      </w:r>
      <w:r w:rsidRPr="00363A0A">
        <w:rPr>
          <w:rFonts w:cstheme="minorHAnsi"/>
          <w:color w:val="000000" w:themeColor="text1"/>
        </w:rPr>
        <w:t>The reservoir properties and</w:t>
      </w:r>
      <w:r>
        <w:rPr>
          <w:rFonts w:cstheme="minorHAnsi"/>
          <w:color w:val="000000" w:themeColor="text1"/>
        </w:rPr>
        <w:t xml:space="preserve"> diagenesis of the Brent Group: </w:t>
      </w:r>
      <w:r w:rsidRPr="00363A0A">
        <w:rPr>
          <w:rFonts w:cstheme="minorHAnsi"/>
          <w:color w:val="000000" w:themeColor="text1"/>
        </w:rPr>
        <w:t xml:space="preserve">a regional </w:t>
      </w:r>
      <w:r w:rsidRPr="00363A0A">
        <w:rPr>
          <w:rFonts w:cstheme="minorHAnsi"/>
          <w:color w:val="000000" w:themeColor="text1"/>
        </w:rPr>
        <w:lastRenderedPageBreak/>
        <w:t>perspective</w:t>
      </w:r>
      <w:r>
        <w:rPr>
          <w:rFonts w:cstheme="minorHAnsi"/>
          <w:color w:val="000000" w:themeColor="text1"/>
        </w:rPr>
        <w:t xml:space="preserve">.  </w:t>
      </w:r>
      <w:r w:rsidR="00E52CB6">
        <w:t xml:space="preserve">In: Morton, A.C., Haszeldine, R.S., Giles, M.R. and Brown, S. (eds) </w:t>
      </w:r>
      <w:r w:rsidR="00E52CB6" w:rsidRPr="00901AFD">
        <w:rPr>
          <w:i/>
          <w:iCs/>
        </w:rPr>
        <w:t>Geology of the Brent Group</w:t>
      </w:r>
      <w:r w:rsidR="00E52CB6">
        <w:t xml:space="preserve">. </w:t>
      </w:r>
      <w:r w:rsidR="00E52CB6" w:rsidRPr="00E52CB6">
        <w:rPr>
          <w:i/>
          <w:iCs/>
        </w:rPr>
        <w:t>Geological Society, London, Special Publications</w:t>
      </w:r>
      <w:r w:rsidR="00E52CB6">
        <w:t xml:space="preserve">, </w:t>
      </w:r>
      <w:r w:rsidR="00E52CB6" w:rsidRPr="00E52CB6">
        <w:rPr>
          <w:b/>
          <w:bCs/>
        </w:rPr>
        <w:t>61</w:t>
      </w:r>
      <w:r w:rsidR="00E52CB6">
        <w:t>,</w:t>
      </w:r>
      <w:r>
        <w:rPr>
          <w:rFonts w:cstheme="minorHAnsi"/>
          <w:color w:val="000000" w:themeColor="text1"/>
        </w:rPr>
        <w:t xml:space="preserve"> </w:t>
      </w:r>
      <w:r w:rsidRPr="00363A0A">
        <w:rPr>
          <w:rFonts w:cstheme="minorHAnsi"/>
          <w:color w:val="000000" w:themeColor="text1"/>
        </w:rPr>
        <w:t>289-327.</w:t>
      </w:r>
    </w:p>
    <w:p w14:paraId="2EE1E048" w14:textId="77777777" w:rsidR="00024556" w:rsidRDefault="00024556" w:rsidP="009D2CE0">
      <w:pPr>
        <w:rPr>
          <w:sz w:val="27"/>
          <w:szCs w:val="27"/>
          <w:shd w:val="clear" w:color="auto" w:fill="FFFFFF"/>
        </w:rPr>
      </w:pPr>
    </w:p>
    <w:p w14:paraId="6AF5FB57" w14:textId="0CB07850" w:rsidR="00D11E30" w:rsidRDefault="00D11E30" w:rsidP="009D2CE0">
      <w:proofErr w:type="spellStart"/>
      <w:r w:rsidRPr="00D11E30">
        <w:rPr>
          <w:rFonts w:cstheme="minorHAnsi"/>
          <w:color w:val="000000" w:themeColor="text1"/>
        </w:rPr>
        <w:t>Glasmann</w:t>
      </w:r>
      <w:proofErr w:type="spellEnd"/>
      <w:r w:rsidRPr="00D11E30">
        <w:rPr>
          <w:rFonts w:cstheme="minorHAnsi"/>
          <w:color w:val="000000" w:themeColor="text1"/>
        </w:rPr>
        <w:t>, J.R. 1992.  The fate of feldspar in Brent Group reservoirs, North Sea: a regional synthesis of diagenesis in shallow, intermediate, and deep burial environments</w:t>
      </w:r>
      <w:r>
        <w:rPr>
          <w:rFonts w:cstheme="minorHAnsi"/>
          <w:color w:val="000000" w:themeColor="text1"/>
        </w:rPr>
        <w:t>.</w:t>
      </w:r>
      <w:r>
        <w:rPr>
          <w:sz w:val="27"/>
          <w:szCs w:val="27"/>
          <w:shd w:val="clear" w:color="auto" w:fill="FFFFFF"/>
        </w:rPr>
        <w:t xml:space="preserve"> </w:t>
      </w:r>
      <w:r>
        <w:t xml:space="preserve">In: Morton, A.C., Haszeldine, R.S., Giles, M.R. and Brown, S. (eds) </w:t>
      </w:r>
      <w:r w:rsidRPr="00901AFD">
        <w:rPr>
          <w:i/>
          <w:iCs/>
        </w:rPr>
        <w:t>Geology of the Brent Group</w:t>
      </w:r>
      <w:r>
        <w:t xml:space="preserve">. </w:t>
      </w:r>
      <w:r w:rsidRPr="00E52CB6">
        <w:rPr>
          <w:i/>
          <w:iCs/>
        </w:rPr>
        <w:t>Geological Society, London, Special Publications</w:t>
      </w:r>
      <w:r>
        <w:t xml:space="preserve">, </w:t>
      </w:r>
      <w:r w:rsidRPr="00E52CB6">
        <w:rPr>
          <w:b/>
          <w:bCs/>
        </w:rPr>
        <w:t>61</w:t>
      </w:r>
      <w:r w:rsidRPr="00D11E30">
        <w:t xml:space="preserve">, </w:t>
      </w:r>
      <w:r w:rsidR="00A228D7">
        <w:t>329-350</w:t>
      </w:r>
    </w:p>
    <w:p w14:paraId="6A6B02D1" w14:textId="77777777" w:rsidR="00024556" w:rsidRDefault="00024556" w:rsidP="005C5283">
      <w:pPr>
        <w:rPr>
          <w:rFonts w:cstheme="minorHAnsi"/>
          <w:color w:val="000000" w:themeColor="text1"/>
        </w:rPr>
      </w:pPr>
    </w:p>
    <w:p w14:paraId="6C0AC10F" w14:textId="4B9615D5" w:rsidR="009D2CE0" w:rsidRDefault="00C726B2" w:rsidP="009D2CE0">
      <w:r w:rsidRPr="00C726B2">
        <w:rPr>
          <w:rFonts w:cstheme="minorHAnsi"/>
          <w:color w:val="000000" w:themeColor="text1"/>
        </w:rPr>
        <w:t xml:space="preserve">Hampson, G.J., Sixsmith, P.J. </w:t>
      </w:r>
      <w:r w:rsidR="00E52CB6">
        <w:rPr>
          <w:rFonts w:cstheme="minorHAnsi"/>
          <w:color w:val="000000" w:themeColor="text1"/>
        </w:rPr>
        <w:t>and</w:t>
      </w:r>
      <w:r w:rsidRPr="00C726B2">
        <w:rPr>
          <w:rFonts w:cstheme="minorHAnsi"/>
          <w:color w:val="000000" w:themeColor="text1"/>
        </w:rPr>
        <w:t xml:space="preserve"> Johnson</w:t>
      </w:r>
      <w:r>
        <w:rPr>
          <w:rFonts w:cstheme="minorHAnsi"/>
          <w:color w:val="000000" w:themeColor="text1"/>
        </w:rPr>
        <w:t xml:space="preserve">, H.D. 2004. A sedimentological </w:t>
      </w:r>
      <w:r w:rsidRPr="00C726B2">
        <w:rPr>
          <w:rFonts w:cstheme="minorHAnsi"/>
          <w:color w:val="000000" w:themeColor="text1"/>
        </w:rPr>
        <w:t>approach to refining reservoir archi</w:t>
      </w:r>
      <w:r>
        <w:rPr>
          <w:rFonts w:cstheme="minorHAnsi"/>
          <w:color w:val="000000" w:themeColor="text1"/>
        </w:rPr>
        <w:t xml:space="preserve">tecture in a mature hydrocarbon </w:t>
      </w:r>
      <w:r w:rsidRPr="00C726B2">
        <w:rPr>
          <w:rFonts w:cstheme="minorHAnsi"/>
          <w:color w:val="000000" w:themeColor="text1"/>
        </w:rPr>
        <w:t xml:space="preserve">province: The Brent Province, UK </w:t>
      </w:r>
      <w:r>
        <w:rPr>
          <w:rFonts w:cstheme="minorHAnsi"/>
          <w:color w:val="000000" w:themeColor="text1"/>
        </w:rPr>
        <w:t xml:space="preserve">North Sea. </w:t>
      </w:r>
      <w:r w:rsidRPr="00E52CB6">
        <w:rPr>
          <w:rFonts w:cstheme="minorHAnsi"/>
          <w:i/>
          <w:iCs/>
          <w:color w:val="000000" w:themeColor="text1"/>
        </w:rPr>
        <w:t>Marine and Petroleum Geology</w:t>
      </w:r>
      <w:r w:rsidRPr="00C726B2">
        <w:rPr>
          <w:rFonts w:cstheme="minorHAnsi"/>
          <w:color w:val="000000" w:themeColor="text1"/>
        </w:rPr>
        <w:t xml:space="preserve">, </w:t>
      </w:r>
      <w:r w:rsidRPr="00E52CB6">
        <w:rPr>
          <w:rFonts w:cstheme="minorHAnsi"/>
          <w:b/>
          <w:bCs/>
          <w:color w:val="000000" w:themeColor="text1"/>
        </w:rPr>
        <w:t>21</w:t>
      </w:r>
      <w:r w:rsidRPr="00C726B2">
        <w:rPr>
          <w:rFonts w:cstheme="minorHAnsi"/>
          <w:color w:val="000000" w:themeColor="text1"/>
        </w:rPr>
        <w:t>, 457–484.</w:t>
      </w:r>
      <w:r w:rsidR="00E52CB6">
        <w:rPr>
          <w:rFonts w:cstheme="minorHAnsi"/>
          <w:color w:val="000000" w:themeColor="text1"/>
        </w:rPr>
        <w:t xml:space="preserve">  </w:t>
      </w:r>
    </w:p>
    <w:p w14:paraId="57D05728" w14:textId="77777777" w:rsidR="00024556" w:rsidRDefault="00024556" w:rsidP="009D2CE0">
      <w:pPr>
        <w:rPr>
          <w:rFonts w:cstheme="minorHAnsi"/>
          <w:color w:val="000000" w:themeColor="text1"/>
        </w:rPr>
      </w:pPr>
    </w:p>
    <w:p w14:paraId="43BB056C" w14:textId="77777777" w:rsidR="00E52CB6" w:rsidRDefault="009D2CE0" w:rsidP="005C5283">
      <w:pPr>
        <w:rPr>
          <w:rFonts w:cstheme="minorHAnsi"/>
          <w:color w:val="000000" w:themeColor="text1"/>
        </w:rPr>
      </w:pPr>
      <w:r>
        <w:rPr>
          <w:rFonts w:cstheme="minorHAnsi"/>
          <w:color w:val="000000" w:themeColor="text1"/>
        </w:rPr>
        <w:t xml:space="preserve">Kay, S. 2003.  </w:t>
      </w:r>
      <w:r w:rsidRPr="009E6915">
        <w:rPr>
          <w:rFonts w:cstheme="minorHAnsi"/>
          <w:color w:val="000000" w:themeColor="text1"/>
        </w:rPr>
        <w:t>The Heather Field, Block 2/5, UK North Sea</w:t>
      </w:r>
      <w:r>
        <w:rPr>
          <w:rFonts w:cstheme="minorHAnsi"/>
          <w:color w:val="000000" w:themeColor="text1"/>
        </w:rPr>
        <w:t>.  2003. I</w:t>
      </w:r>
      <w:r w:rsidR="00DD28DB">
        <w:rPr>
          <w:rFonts w:cstheme="minorHAnsi"/>
          <w:color w:val="000000" w:themeColor="text1"/>
        </w:rPr>
        <w:t>n</w:t>
      </w:r>
      <w:r>
        <w:rPr>
          <w:rFonts w:cstheme="minorHAnsi"/>
          <w:color w:val="000000" w:themeColor="text1"/>
        </w:rPr>
        <w:t xml:space="preserve">: </w:t>
      </w:r>
      <w:proofErr w:type="spellStart"/>
      <w:r w:rsidRPr="009E6915">
        <w:rPr>
          <w:rFonts w:cstheme="minorHAnsi"/>
          <w:color w:val="000000" w:themeColor="text1"/>
        </w:rPr>
        <w:t>G</w:t>
      </w:r>
      <w:r w:rsidR="00DD28DB">
        <w:rPr>
          <w:rFonts w:cstheme="minorHAnsi"/>
          <w:color w:val="000000" w:themeColor="text1"/>
        </w:rPr>
        <w:t>luyas</w:t>
      </w:r>
      <w:proofErr w:type="spellEnd"/>
      <w:r w:rsidRPr="009E6915">
        <w:rPr>
          <w:rFonts w:cstheme="minorHAnsi"/>
          <w:color w:val="000000" w:themeColor="text1"/>
        </w:rPr>
        <w:t xml:space="preserve">, J. G. </w:t>
      </w:r>
      <w:r w:rsidR="00E52CB6">
        <w:rPr>
          <w:rFonts w:cstheme="minorHAnsi"/>
          <w:color w:val="000000" w:themeColor="text1"/>
        </w:rPr>
        <w:t>and</w:t>
      </w:r>
      <w:r w:rsidRPr="009E6915">
        <w:rPr>
          <w:rFonts w:cstheme="minorHAnsi"/>
          <w:color w:val="000000" w:themeColor="text1"/>
        </w:rPr>
        <w:t xml:space="preserve"> H</w:t>
      </w:r>
      <w:r w:rsidR="00DD28DB">
        <w:rPr>
          <w:rFonts w:cstheme="minorHAnsi"/>
          <w:color w:val="000000" w:themeColor="text1"/>
        </w:rPr>
        <w:t>ichens</w:t>
      </w:r>
      <w:r w:rsidRPr="009E6915">
        <w:rPr>
          <w:rFonts w:cstheme="minorHAnsi"/>
          <w:color w:val="000000" w:themeColor="text1"/>
        </w:rPr>
        <w:t xml:space="preserve">, H. M. (eds) </w:t>
      </w:r>
      <w:r w:rsidRPr="00E52CB6">
        <w:rPr>
          <w:rFonts w:cstheme="minorHAnsi"/>
          <w:i/>
          <w:iCs/>
          <w:color w:val="000000" w:themeColor="text1"/>
        </w:rPr>
        <w:t>United Kingdom Oil and Gas Fields, Commemorative Millennium Volume</w:t>
      </w:r>
      <w:r w:rsidRPr="009E6915">
        <w:rPr>
          <w:rFonts w:cstheme="minorHAnsi"/>
          <w:color w:val="000000" w:themeColor="text1"/>
        </w:rPr>
        <w:t xml:space="preserve">. </w:t>
      </w:r>
      <w:r w:rsidRPr="00E52CB6">
        <w:rPr>
          <w:rFonts w:cstheme="minorHAnsi"/>
          <w:i/>
          <w:iCs/>
          <w:color w:val="000000" w:themeColor="text1"/>
        </w:rPr>
        <w:t>Geological Society, London, Memoir</w:t>
      </w:r>
      <w:r w:rsidRPr="009E6915">
        <w:rPr>
          <w:rFonts w:cstheme="minorHAnsi"/>
          <w:color w:val="000000" w:themeColor="text1"/>
        </w:rPr>
        <w:t xml:space="preserve">, </w:t>
      </w:r>
      <w:r w:rsidRPr="00E52CB6">
        <w:rPr>
          <w:rFonts w:cstheme="minorHAnsi"/>
          <w:b/>
          <w:bCs/>
          <w:color w:val="000000" w:themeColor="text1"/>
        </w:rPr>
        <w:t>20</w:t>
      </w:r>
      <w:r w:rsidRPr="009E6915">
        <w:rPr>
          <w:rFonts w:cstheme="minorHAnsi"/>
          <w:color w:val="000000" w:themeColor="text1"/>
        </w:rPr>
        <w:t>, 291-304.</w:t>
      </w:r>
    </w:p>
    <w:p w14:paraId="56378420" w14:textId="77777777" w:rsidR="009D2CE0" w:rsidRDefault="009D2CE0" w:rsidP="005C5283">
      <w:pPr>
        <w:rPr>
          <w:rFonts w:cstheme="minorHAnsi"/>
          <w:color w:val="000000" w:themeColor="text1"/>
        </w:rPr>
      </w:pPr>
    </w:p>
    <w:p w14:paraId="24139493" w14:textId="77777777" w:rsidR="00024556" w:rsidRDefault="005C5283" w:rsidP="005C5283">
      <w:pPr>
        <w:rPr>
          <w:rFonts w:cstheme="minorHAnsi"/>
          <w:color w:val="000000" w:themeColor="text1"/>
        </w:rPr>
      </w:pPr>
      <w:r w:rsidRPr="005C5283">
        <w:rPr>
          <w:rFonts w:cstheme="minorHAnsi"/>
          <w:color w:val="000000" w:themeColor="text1"/>
        </w:rPr>
        <w:t>Lawan,</w:t>
      </w:r>
      <w:r w:rsidR="0094619C">
        <w:rPr>
          <w:rFonts w:cstheme="minorHAnsi"/>
          <w:color w:val="000000" w:themeColor="text1"/>
        </w:rPr>
        <w:t xml:space="preserve"> A., </w:t>
      </w:r>
      <w:r w:rsidRPr="005C5283">
        <w:rPr>
          <w:rFonts w:cstheme="minorHAnsi"/>
          <w:color w:val="000000" w:themeColor="text1"/>
        </w:rPr>
        <w:t xml:space="preserve">Worden, </w:t>
      </w:r>
      <w:r w:rsidR="0094619C">
        <w:rPr>
          <w:rFonts w:cstheme="minorHAnsi"/>
          <w:color w:val="000000" w:themeColor="text1"/>
        </w:rPr>
        <w:t xml:space="preserve">R.H., </w:t>
      </w:r>
      <w:r w:rsidRPr="005C5283">
        <w:rPr>
          <w:rFonts w:cstheme="minorHAnsi"/>
          <w:color w:val="000000" w:themeColor="text1"/>
        </w:rPr>
        <w:t>Utley,</w:t>
      </w:r>
      <w:r w:rsidR="0094619C">
        <w:rPr>
          <w:rFonts w:cstheme="minorHAnsi"/>
          <w:color w:val="000000" w:themeColor="text1"/>
        </w:rPr>
        <w:t xml:space="preserve"> J.E.P </w:t>
      </w:r>
      <w:r w:rsidR="00E52CB6">
        <w:rPr>
          <w:rFonts w:cstheme="minorHAnsi"/>
          <w:color w:val="000000" w:themeColor="text1"/>
        </w:rPr>
        <w:t>and</w:t>
      </w:r>
      <w:r w:rsidR="0094619C">
        <w:rPr>
          <w:rFonts w:cstheme="minorHAnsi"/>
          <w:color w:val="000000" w:themeColor="text1"/>
        </w:rPr>
        <w:t xml:space="preserve"> </w:t>
      </w:r>
      <w:r w:rsidRPr="005C5283">
        <w:rPr>
          <w:rFonts w:cstheme="minorHAnsi"/>
          <w:color w:val="000000" w:themeColor="text1"/>
        </w:rPr>
        <w:t>Crowley</w:t>
      </w:r>
      <w:r w:rsidR="0094619C">
        <w:rPr>
          <w:rFonts w:cstheme="minorHAnsi"/>
          <w:color w:val="000000" w:themeColor="text1"/>
        </w:rPr>
        <w:t>, S</w:t>
      </w:r>
      <w:r w:rsidRPr="005C5283">
        <w:rPr>
          <w:rFonts w:cstheme="minorHAnsi"/>
          <w:color w:val="000000" w:themeColor="text1"/>
        </w:rPr>
        <w:t>. 2021</w:t>
      </w:r>
      <w:r w:rsidR="00E344CD">
        <w:rPr>
          <w:rFonts w:cstheme="minorHAnsi"/>
          <w:color w:val="000000" w:themeColor="text1"/>
        </w:rPr>
        <w:t xml:space="preserve">.  </w:t>
      </w:r>
      <w:r w:rsidR="00A86F19" w:rsidRPr="00A86F19">
        <w:rPr>
          <w:rFonts w:cstheme="minorHAnsi"/>
          <w:color w:val="000000" w:themeColor="text1"/>
        </w:rPr>
        <w:t>Sedimentological and diagenetic controls on the reservoir quality of marginal marine sandstones buried to moderate depths and temperature</w:t>
      </w:r>
      <w:r>
        <w:rPr>
          <w:rFonts w:cstheme="minorHAnsi"/>
          <w:color w:val="000000" w:themeColor="text1"/>
        </w:rPr>
        <w:t>s: Brent Province, UK North Sea</w:t>
      </w:r>
      <w:r w:rsidR="00483E27">
        <w:rPr>
          <w:rFonts w:cstheme="minorHAnsi"/>
          <w:color w:val="000000" w:themeColor="text1"/>
        </w:rPr>
        <w:t xml:space="preserve">. </w:t>
      </w:r>
      <w:r w:rsidR="00483E27" w:rsidRPr="00E52CB6">
        <w:rPr>
          <w:rFonts w:cstheme="minorHAnsi"/>
          <w:i/>
          <w:iCs/>
          <w:color w:val="000000" w:themeColor="text1"/>
        </w:rPr>
        <w:t>Marine and Petroleum Geology</w:t>
      </w:r>
      <w:r w:rsidR="00483E27">
        <w:rPr>
          <w:rFonts w:cstheme="minorHAnsi"/>
          <w:color w:val="000000" w:themeColor="text1"/>
        </w:rPr>
        <w:t xml:space="preserve">, </w:t>
      </w:r>
      <w:r w:rsidR="00483E27" w:rsidRPr="00E52CB6">
        <w:rPr>
          <w:rFonts w:cstheme="minorHAnsi"/>
          <w:b/>
          <w:bCs/>
          <w:color w:val="000000" w:themeColor="text1"/>
        </w:rPr>
        <w:t>128</w:t>
      </w:r>
      <w:r w:rsidR="00483E27">
        <w:rPr>
          <w:rFonts w:cstheme="minorHAnsi"/>
          <w:color w:val="000000" w:themeColor="text1"/>
        </w:rPr>
        <w:t>, 1-30.</w:t>
      </w:r>
      <w:r w:rsidR="00E52CB6">
        <w:rPr>
          <w:rFonts w:cstheme="minorHAnsi"/>
          <w:color w:val="000000" w:themeColor="text1"/>
        </w:rPr>
        <w:t xml:space="preserve"> </w:t>
      </w:r>
    </w:p>
    <w:p w14:paraId="2E349ECB" w14:textId="77777777" w:rsidR="00695A5C" w:rsidRDefault="00695A5C" w:rsidP="00695A5C"/>
    <w:p w14:paraId="33BC9F39" w14:textId="62D5D985" w:rsidR="00695A5C" w:rsidRDefault="00695A5C" w:rsidP="00695A5C">
      <w:r>
        <w:t xml:space="preserve">McAulay, G.E., Burley, S.D., </w:t>
      </w:r>
      <w:proofErr w:type="spellStart"/>
      <w:r>
        <w:t>Fallick</w:t>
      </w:r>
      <w:proofErr w:type="spellEnd"/>
      <w:r>
        <w:t xml:space="preserve">, A.E. </w:t>
      </w:r>
      <w:r w:rsidR="00E52CB6">
        <w:t xml:space="preserve">and </w:t>
      </w:r>
      <w:r>
        <w:t xml:space="preserve">Kusznir, N.J. 1994. </w:t>
      </w:r>
      <w:proofErr w:type="spellStart"/>
      <w:r>
        <w:t>Palaeohydrodynamic</w:t>
      </w:r>
      <w:proofErr w:type="spellEnd"/>
      <w:r>
        <w:t xml:space="preserve"> fluid flow regimes during diagenesis of the Brent Group in the Hutton-NW Hutton reservoirs - constraints from oxygen isotope studies of authigenic kaolinite and reverse flexural modelling. </w:t>
      </w:r>
      <w:r w:rsidR="005E6109">
        <w:t xml:space="preserve"> </w:t>
      </w:r>
      <w:r w:rsidRPr="00E52CB6">
        <w:rPr>
          <w:i/>
          <w:iCs/>
        </w:rPr>
        <w:t>Clay Minerals</w:t>
      </w:r>
      <w:r w:rsidR="005E6109">
        <w:t>,</w:t>
      </w:r>
      <w:r>
        <w:t xml:space="preserve"> </w:t>
      </w:r>
      <w:r w:rsidRPr="00E52CB6">
        <w:rPr>
          <w:b/>
          <w:bCs/>
        </w:rPr>
        <w:t>29</w:t>
      </w:r>
      <w:r>
        <w:t>, 609-626.</w:t>
      </w:r>
    </w:p>
    <w:p w14:paraId="1F2CC3B1" w14:textId="77777777" w:rsidR="00695A5C" w:rsidRDefault="00695A5C" w:rsidP="00695A5C"/>
    <w:p w14:paraId="0C9D0D10" w14:textId="77777777" w:rsidR="00024556" w:rsidRDefault="00695A5C" w:rsidP="00695A5C">
      <w:r>
        <w:t xml:space="preserve">Morris, J.E., Hampson, G.J. </w:t>
      </w:r>
      <w:r w:rsidR="009F60EE">
        <w:t xml:space="preserve">and </w:t>
      </w:r>
      <w:r>
        <w:t xml:space="preserve">Maxwell, G., 2003. Controls on facies architecture in the Brent Group, Strathspey Field, UK North Sea: implications for reservoir characterization. </w:t>
      </w:r>
      <w:r w:rsidRPr="00E52CB6">
        <w:rPr>
          <w:i/>
          <w:iCs/>
        </w:rPr>
        <w:t>Petroleum Geoscience</w:t>
      </w:r>
      <w:r w:rsidR="00E52CB6">
        <w:t>,</w:t>
      </w:r>
      <w:r>
        <w:t xml:space="preserve"> </w:t>
      </w:r>
      <w:r w:rsidRPr="00E52CB6">
        <w:rPr>
          <w:b/>
          <w:bCs/>
        </w:rPr>
        <w:t>9</w:t>
      </w:r>
      <w:r>
        <w:t>, 209-220.</w:t>
      </w:r>
    </w:p>
    <w:p w14:paraId="2F5D6D3E" w14:textId="5D37D068" w:rsidR="00695A5C" w:rsidRDefault="00695A5C" w:rsidP="00066800">
      <w:pPr>
        <w:rPr>
          <w:rFonts w:cstheme="minorHAnsi"/>
          <w:color w:val="000000" w:themeColor="text1"/>
        </w:rPr>
      </w:pPr>
    </w:p>
    <w:p w14:paraId="3958035B" w14:textId="77777777" w:rsidR="00EE0609" w:rsidRDefault="00066800" w:rsidP="00066800">
      <w:pPr>
        <w:rPr>
          <w:rFonts w:cstheme="minorHAnsi"/>
          <w:color w:val="000000" w:themeColor="text1"/>
        </w:rPr>
      </w:pPr>
      <w:r>
        <w:rPr>
          <w:rFonts w:cstheme="minorHAnsi"/>
          <w:color w:val="000000" w:themeColor="text1"/>
        </w:rPr>
        <w:lastRenderedPageBreak/>
        <w:t xml:space="preserve">Morton </w:t>
      </w:r>
      <w:r w:rsidRPr="00066800">
        <w:rPr>
          <w:rFonts w:cstheme="minorHAnsi"/>
          <w:color w:val="000000" w:themeColor="text1"/>
        </w:rPr>
        <w:t>A. C. 1992. Provenance of Brent Group sandstones: heavy miner</w:t>
      </w:r>
      <w:r w:rsidR="00A554B3">
        <w:rPr>
          <w:rFonts w:cstheme="minorHAnsi"/>
          <w:color w:val="000000" w:themeColor="text1"/>
        </w:rPr>
        <w:t xml:space="preserve">al constraints. </w:t>
      </w:r>
      <w:r w:rsidR="00E52CB6">
        <w:t xml:space="preserve">In: Morton, A.C., Haszeldine, R.S., Giles, M.R., and Brown, S. (eds) </w:t>
      </w:r>
      <w:r w:rsidR="00E52CB6" w:rsidRPr="00901AFD">
        <w:rPr>
          <w:i/>
          <w:iCs/>
        </w:rPr>
        <w:t>Geology of the Brent Group</w:t>
      </w:r>
      <w:r w:rsidR="00E52CB6">
        <w:t xml:space="preserve">. </w:t>
      </w:r>
      <w:r w:rsidR="00E52CB6" w:rsidRPr="00E52CB6">
        <w:rPr>
          <w:i/>
          <w:iCs/>
        </w:rPr>
        <w:t>Geological Society, London, Special Publications</w:t>
      </w:r>
      <w:r w:rsidR="00E52CB6">
        <w:t xml:space="preserve">, </w:t>
      </w:r>
      <w:r w:rsidR="00E52CB6" w:rsidRPr="00E52CB6">
        <w:rPr>
          <w:b/>
          <w:bCs/>
        </w:rPr>
        <w:t>61</w:t>
      </w:r>
      <w:r w:rsidR="00E52CB6">
        <w:t>,</w:t>
      </w:r>
      <w:r w:rsidRPr="00066800">
        <w:rPr>
          <w:rFonts w:cstheme="minorHAnsi"/>
          <w:color w:val="000000" w:themeColor="text1"/>
        </w:rPr>
        <w:t xml:space="preserve"> 227-244</w:t>
      </w:r>
      <w:r w:rsidR="00A554B3">
        <w:rPr>
          <w:rFonts w:cstheme="minorHAnsi"/>
          <w:color w:val="000000" w:themeColor="text1"/>
        </w:rPr>
        <w:t>.</w:t>
      </w:r>
    </w:p>
    <w:p w14:paraId="68C48EEF" w14:textId="77777777" w:rsidR="00A554B3" w:rsidRDefault="00A554B3" w:rsidP="00066800">
      <w:pPr>
        <w:rPr>
          <w:rFonts w:cstheme="minorHAnsi"/>
          <w:color w:val="000000" w:themeColor="text1"/>
        </w:rPr>
      </w:pPr>
    </w:p>
    <w:p w14:paraId="3940BD6B" w14:textId="77777777" w:rsidR="00024556" w:rsidRDefault="001045B3" w:rsidP="001045B3">
      <w:pPr>
        <w:rPr>
          <w:rFonts w:cstheme="minorHAnsi"/>
          <w:color w:val="000000" w:themeColor="text1"/>
        </w:rPr>
      </w:pPr>
      <w:r>
        <w:rPr>
          <w:rFonts w:cstheme="minorHAnsi"/>
          <w:color w:val="000000" w:themeColor="text1"/>
        </w:rPr>
        <w:t>Olsen, T.R</w:t>
      </w:r>
      <w:r w:rsidR="00901AFD">
        <w:rPr>
          <w:rFonts w:cstheme="minorHAnsi"/>
          <w:color w:val="000000" w:themeColor="text1"/>
        </w:rPr>
        <w:t>.</w:t>
      </w:r>
      <w:r>
        <w:rPr>
          <w:rFonts w:cstheme="minorHAnsi"/>
          <w:color w:val="000000" w:themeColor="text1"/>
        </w:rPr>
        <w:t xml:space="preserve"> </w:t>
      </w:r>
      <w:r w:rsidR="00B92DF7">
        <w:rPr>
          <w:rFonts w:cstheme="minorHAnsi"/>
          <w:color w:val="000000" w:themeColor="text1"/>
        </w:rPr>
        <w:t>and</w:t>
      </w:r>
      <w:r>
        <w:rPr>
          <w:rFonts w:cstheme="minorHAnsi"/>
          <w:color w:val="000000" w:themeColor="text1"/>
        </w:rPr>
        <w:t xml:space="preserve"> Steel,</w:t>
      </w:r>
      <w:r w:rsidRPr="00066800">
        <w:rPr>
          <w:rFonts w:cstheme="minorHAnsi"/>
          <w:color w:val="000000" w:themeColor="text1"/>
        </w:rPr>
        <w:t xml:space="preserve"> </w:t>
      </w:r>
      <w:r>
        <w:rPr>
          <w:rFonts w:cstheme="minorHAnsi"/>
          <w:color w:val="000000" w:themeColor="text1"/>
        </w:rPr>
        <w:t xml:space="preserve">R.J. </w:t>
      </w:r>
      <w:r w:rsidRPr="00066800">
        <w:rPr>
          <w:rFonts w:cstheme="minorHAnsi"/>
          <w:color w:val="000000" w:themeColor="text1"/>
        </w:rPr>
        <w:t>2</w:t>
      </w:r>
      <w:r>
        <w:rPr>
          <w:rFonts w:cstheme="minorHAnsi"/>
          <w:color w:val="000000" w:themeColor="text1"/>
        </w:rPr>
        <w:t xml:space="preserve">000. </w:t>
      </w:r>
      <w:r w:rsidRPr="00066800">
        <w:rPr>
          <w:rFonts w:cstheme="minorHAnsi"/>
          <w:color w:val="000000" w:themeColor="text1"/>
        </w:rPr>
        <w:t>The significance of the Etive Formation in the development of the Brent system: distinction of normal and forced regressions</w:t>
      </w:r>
      <w:r>
        <w:rPr>
          <w:rFonts w:cstheme="minorHAnsi"/>
          <w:color w:val="000000" w:themeColor="text1"/>
        </w:rPr>
        <w:t>.</w:t>
      </w:r>
      <w:r w:rsidRPr="00066800">
        <w:rPr>
          <w:rFonts w:cstheme="minorHAnsi"/>
          <w:color w:val="000000" w:themeColor="text1"/>
        </w:rPr>
        <w:t xml:space="preserve"> </w:t>
      </w:r>
      <w:r w:rsidR="005E6109">
        <w:rPr>
          <w:rFonts w:cstheme="minorHAnsi"/>
          <w:color w:val="000000" w:themeColor="text1"/>
        </w:rPr>
        <w:t>In</w:t>
      </w:r>
      <w:r w:rsidRPr="00066800">
        <w:rPr>
          <w:rFonts w:cstheme="minorHAnsi"/>
          <w:color w:val="000000" w:themeColor="text1"/>
        </w:rPr>
        <w:t>: H</w:t>
      </w:r>
      <w:r w:rsidR="009D2CE0">
        <w:rPr>
          <w:rFonts w:cstheme="minorHAnsi"/>
          <w:color w:val="000000" w:themeColor="text1"/>
        </w:rPr>
        <w:t>unt</w:t>
      </w:r>
      <w:r w:rsidRPr="00066800">
        <w:rPr>
          <w:rFonts w:cstheme="minorHAnsi"/>
          <w:color w:val="000000" w:themeColor="text1"/>
        </w:rPr>
        <w:t xml:space="preserve">, D. &amp; </w:t>
      </w:r>
      <w:proofErr w:type="spellStart"/>
      <w:r w:rsidRPr="00066800">
        <w:rPr>
          <w:rFonts w:cstheme="minorHAnsi"/>
          <w:color w:val="000000" w:themeColor="text1"/>
        </w:rPr>
        <w:t>G</w:t>
      </w:r>
      <w:r w:rsidR="009D2CE0">
        <w:rPr>
          <w:rFonts w:cstheme="minorHAnsi"/>
          <w:color w:val="000000" w:themeColor="text1"/>
        </w:rPr>
        <w:t>awthorpe</w:t>
      </w:r>
      <w:proofErr w:type="spellEnd"/>
      <w:r w:rsidRPr="00066800">
        <w:rPr>
          <w:rFonts w:cstheme="minorHAnsi"/>
          <w:color w:val="000000" w:themeColor="text1"/>
        </w:rPr>
        <w:t xml:space="preserve">, R. L. (eds) </w:t>
      </w:r>
      <w:r w:rsidRPr="00216BAB">
        <w:rPr>
          <w:rFonts w:cstheme="minorHAnsi"/>
          <w:i/>
          <w:iCs/>
          <w:color w:val="000000" w:themeColor="text1"/>
        </w:rPr>
        <w:t>Sedimentary Responses to Forced Regressions.</w:t>
      </w:r>
      <w:r>
        <w:rPr>
          <w:rFonts w:cstheme="minorHAnsi"/>
          <w:color w:val="000000" w:themeColor="text1"/>
        </w:rPr>
        <w:t xml:space="preserve"> </w:t>
      </w:r>
      <w:r w:rsidR="004070C2" w:rsidRPr="00E52CB6">
        <w:rPr>
          <w:i/>
          <w:iCs/>
        </w:rPr>
        <w:t>Geological Society, London, Special Publications</w:t>
      </w:r>
      <w:r>
        <w:rPr>
          <w:rFonts w:cstheme="minorHAnsi"/>
          <w:color w:val="000000" w:themeColor="text1"/>
        </w:rPr>
        <w:t xml:space="preserve">, </w:t>
      </w:r>
      <w:r w:rsidRPr="004070C2">
        <w:rPr>
          <w:rFonts w:cstheme="minorHAnsi"/>
          <w:b/>
          <w:bCs/>
          <w:color w:val="000000" w:themeColor="text1"/>
        </w:rPr>
        <w:t>172</w:t>
      </w:r>
      <w:r>
        <w:rPr>
          <w:rFonts w:cstheme="minorHAnsi"/>
          <w:color w:val="000000" w:themeColor="text1"/>
        </w:rPr>
        <w:t>, 91-112.</w:t>
      </w:r>
      <w:r w:rsidR="00EE0609">
        <w:rPr>
          <w:rFonts w:cstheme="minorHAnsi"/>
          <w:color w:val="000000" w:themeColor="text1"/>
        </w:rPr>
        <w:t xml:space="preserve"> </w:t>
      </w:r>
    </w:p>
    <w:p w14:paraId="172601A2" w14:textId="77777777" w:rsidR="001045B3" w:rsidRDefault="001045B3" w:rsidP="00066800">
      <w:pPr>
        <w:rPr>
          <w:rFonts w:cstheme="minorHAnsi"/>
          <w:color w:val="000000" w:themeColor="text1"/>
        </w:rPr>
      </w:pPr>
    </w:p>
    <w:p w14:paraId="281971DB" w14:textId="4EA7A6D4" w:rsidR="00483E27" w:rsidRDefault="00483E27" w:rsidP="00483E27">
      <w:pPr>
        <w:rPr>
          <w:rFonts w:cstheme="minorHAnsi"/>
          <w:color w:val="000000" w:themeColor="text1"/>
        </w:rPr>
      </w:pPr>
      <w:proofErr w:type="spellStart"/>
      <w:r w:rsidRPr="00066800">
        <w:rPr>
          <w:rFonts w:cstheme="minorHAnsi"/>
          <w:color w:val="000000" w:themeColor="text1"/>
        </w:rPr>
        <w:t>P</w:t>
      </w:r>
      <w:r>
        <w:rPr>
          <w:rFonts w:cstheme="minorHAnsi"/>
          <w:color w:val="000000" w:themeColor="text1"/>
        </w:rPr>
        <w:t>everaro</w:t>
      </w:r>
      <w:proofErr w:type="spellEnd"/>
      <w:r w:rsidRPr="00066800">
        <w:rPr>
          <w:rFonts w:cstheme="minorHAnsi"/>
          <w:color w:val="000000" w:themeColor="text1"/>
        </w:rPr>
        <w:t xml:space="preserve">, R. C. A. </w:t>
      </w:r>
      <w:r w:rsidR="00EE0609">
        <w:rPr>
          <w:rFonts w:cstheme="minorHAnsi"/>
          <w:color w:val="000000" w:themeColor="text1"/>
        </w:rPr>
        <w:t>and</w:t>
      </w:r>
      <w:r w:rsidRPr="00066800">
        <w:rPr>
          <w:rFonts w:cstheme="minorHAnsi"/>
          <w:color w:val="000000" w:themeColor="text1"/>
        </w:rPr>
        <w:t xml:space="preserve"> </w:t>
      </w:r>
      <w:r>
        <w:rPr>
          <w:rFonts w:cstheme="minorHAnsi"/>
          <w:color w:val="000000" w:themeColor="text1"/>
        </w:rPr>
        <w:t>Russell</w:t>
      </w:r>
      <w:r w:rsidRPr="00066800">
        <w:rPr>
          <w:rFonts w:cstheme="minorHAnsi"/>
          <w:color w:val="000000" w:themeColor="text1"/>
        </w:rPr>
        <w:t>, K. J. 1984. Inter</w:t>
      </w:r>
      <w:r>
        <w:rPr>
          <w:rFonts w:cstheme="minorHAnsi"/>
          <w:color w:val="000000" w:themeColor="text1"/>
        </w:rPr>
        <w:t>pre</w:t>
      </w:r>
      <w:r w:rsidRPr="00066800">
        <w:rPr>
          <w:rFonts w:cstheme="minorHAnsi"/>
          <w:color w:val="000000" w:themeColor="text1"/>
        </w:rPr>
        <w:t>tation of wireli</w:t>
      </w:r>
      <w:r>
        <w:rPr>
          <w:rFonts w:cstheme="minorHAnsi"/>
          <w:color w:val="000000" w:themeColor="text1"/>
        </w:rPr>
        <w:t>ne log and core data from a mid-</w:t>
      </w:r>
      <w:r w:rsidRPr="00066800">
        <w:rPr>
          <w:rFonts w:cstheme="minorHAnsi"/>
          <w:color w:val="000000" w:themeColor="text1"/>
        </w:rPr>
        <w:t>Jurassic sand/shal</w:t>
      </w:r>
      <w:r>
        <w:rPr>
          <w:rFonts w:cstheme="minorHAnsi"/>
          <w:color w:val="000000" w:themeColor="text1"/>
        </w:rPr>
        <w:t xml:space="preserve">e sequence. </w:t>
      </w:r>
      <w:r w:rsidRPr="007D2003">
        <w:rPr>
          <w:rFonts w:cstheme="minorHAnsi"/>
          <w:i/>
          <w:iCs/>
          <w:color w:val="000000" w:themeColor="text1"/>
        </w:rPr>
        <w:t>Clay Minerals</w:t>
      </w:r>
      <w:r>
        <w:rPr>
          <w:rFonts w:cstheme="minorHAnsi"/>
          <w:color w:val="000000" w:themeColor="text1"/>
        </w:rPr>
        <w:t xml:space="preserve">, </w:t>
      </w:r>
      <w:r w:rsidRPr="00EE0609">
        <w:rPr>
          <w:rFonts w:cstheme="minorHAnsi"/>
          <w:b/>
          <w:bCs/>
          <w:color w:val="000000" w:themeColor="text1"/>
        </w:rPr>
        <w:t>19</w:t>
      </w:r>
      <w:r>
        <w:rPr>
          <w:rFonts w:cstheme="minorHAnsi"/>
          <w:color w:val="000000" w:themeColor="text1"/>
        </w:rPr>
        <w:t xml:space="preserve">, </w:t>
      </w:r>
      <w:r w:rsidRPr="00066800">
        <w:rPr>
          <w:rFonts w:cstheme="minorHAnsi"/>
          <w:color w:val="000000" w:themeColor="text1"/>
        </w:rPr>
        <w:t>483-505.</w:t>
      </w:r>
    </w:p>
    <w:p w14:paraId="503D8F1F" w14:textId="285FA208" w:rsidR="00483E27" w:rsidRDefault="00483E27" w:rsidP="00066800">
      <w:pPr>
        <w:rPr>
          <w:rFonts w:cstheme="minorHAnsi"/>
          <w:color w:val="000000" w:themeColor="text1"/>
        </w:rPr>
      </w:pPr>
    </w:p>
    <w:p w14:paraId="30C77E8B" w14:textId="62907EBA" w:rsidR="00695A5C" w:rsidRDefault="00695A5C" w:rsidP="00695A5C">
      <w:r>
        <w:t xml:space="preserve">Prosser, D.J., </w:t>
      </w:r>
      <w:proofErr w:type="spellStart"/>
      <w:r>
        <w:t>Fallick</w:t>
      </w:r>
      <w:proofErr w:type="spellEnd"/>
      <w:r>
        <w:t xml:space="preserve">, A.E., Daws, </w:t>
      </w:r>
      <w:proofErr w:type="gramStart"/>
      <w:r>
        <w:t>J.A.</w:t>
      </w:r>
      <w:proofErr w:type="gramEnd"/>
      <w:r>
        <w:t xml:space="preserve"> </w:t>
      </w:r>
      <w:r w:rsidR="00EE0609">
        <w:t xml:space="preserve">and </w:t>
      </w:r>
      <w:r>
        <w:t xml:space="preserve">Williams, B.P.J., 1994. Geochemistry and diagenesis of stratabound calcite cement layers within the Rannoch Formation of the Brent Group, Murchison Field, North Viking Graben (Northern North Sea) - Reply. </w:t>
      </w:r>
      <w:r w:rsidRPr="00EE0609">
        <w:rPr>
          <w:i/>
          <w:iCs/>
        </w:rPr>
        <w:t>Sedimentary Geology</w:t>
      </w:r>
      <w:r w:rsidR="005E6109">
        <w:t>,</w:t>
      </w:r>
      <w:r>
        <w:t xml:space="preserve"> </w:t>
      </w:r>
      <w:r w:rsidRPr="00EE0609">
        <w:rPr>
          <w:b/>
          <w:bCs/>
        </w:rPr>
        <w:t>93</w:t>
      </w:r>
      <w:r>
        <w:t>, 143-147.</w:t>
      </w:r>
    </w:p>
    <w:p w14:paraId="12A03D62" w14:textId="20F419E8" w:rsidR="00695A5C" w:rsidRDefault="00695A5C" w:rsidP="00066800">
      <w:pPr>
        <w:rPr>
          <w:rFonts w:cstheme="minorHAnsi"/>
          <w:color w:val="000000" w:themeColor="text1"/>
        </w:rPr>
      </w:pPr>
    </w:p>
    <w:p w14:paraId="464B27D6" w14:textId="5A6553CE" w:rsidR="00695A5C" w:rsidRDefault="00695A5C" w:rsidP="00695A5C">
      <w:r>
        <w:t xml:space="preserve">Ramm, M., 2000. Reservoir quality and its relationship to facies and provenance in Middle to Upper Jurassic sequences, </w:t>
      </w:r>
      <w:proofErr w:type="spellStart"/>
      <w:r>
        <w:t>northeastern</w:t>
      </w:r>
      <w:proofErr w:type="spellEnd"/>
      <w:r>
        <w:t xml:space="preserve"> North Sea. </w:t>
      </w:r>
      <w:r w:rsidRPr="00EE0609">
        <w:rPr>
          <w:i/>
          <w:iCs/>
        </w:rPr>
        <w:t>Clay Minerals</w:t>
      </w:r>
      <w:r w:rsidR="005E6109">
        <w:t>,</w:t>
      </w:r>
      <w:r>
        <w:t xml:space="preserve"> </w:t>
      </w:r>
      <w:r w:rsidRPr="00EE0609">
        <w:rPr>
          <w:b/>
          <w:bCs/>
        </w:rPr>
        <w:t>35</w:t>
      </w:r>
      <w:r>
        <w:t>, 77-94.</w:t>
      </w:r>
    </w:p>
    <w:p w14:paraId="1256A491" w14:textId="77777777" w:rsidR="00695A5C" w:rsidRDefault="00695A5C" w:rsidP="00066800">
      <w:pPr>
        <w:rPr>
          <w:rFonts w:cstheme="minorHAnsi"/>
          <w:color w:val="000000" w:themeColor="text1"/>
        </w:rPr>
      </w:pPr>
    </w:p>
    <w:p w14:paraId="64A87818" w14:textId="29CCEE13" w:rsidR="001045B3" w:rsidRDefault="001045B3" w:rsidP="001045B3">
      <w:pPr>
        <w:rPr>
          <w:rFonts w:cstheme="minorHAnsi"/>
          <w:color w:val="000000" w:themeColor="text1"/>
        </w:rPr>
      </w:pPr>
      <w:r w:rsidRPr="00066800">
        <w:rPr>
          <w:rFonts w:cstheme="minorHAnsi"/>
          <w:color w:val="000000" w:themeColor="text1"/>
        </w:rPr>
        <w:t>R</w:t>
      </w:r>
      <w:r>
        <w:rPr>
          <w:rFonts w:cstheme="minorHAnsi"/>
          <w:color w:val="000000" w:themeColor="text1"/>
        </w:rPr>
        <w:t>eynolds</w:t>
      </w:r>
      <w:r w:rsidRPr="00066800">
        <w:rPr>
          <w:rFonts w:cstheme="minorHAnsi"/>
          <w:color w:val="000000" w:themeColor="text1"/>
        </w:rPr>
        <w:t>, A. D. 19</w:t>
      </w:r>
      <w:r>
        <w:rPr>
          <w:rFonts w:cstheme="minorHAnsi"/>
          <w:color w:val="000000" w:themeColor="text1"/>
        </w:rPr>
        <w:t xml:space="preserve">95. Sedimentology and sequence </w:t>
      </w:r>
      <w:r w:rsidRPr="00066800">
        <w:rPr>
          <w:rFonts w:cstheme="minorHAnsi"/>
          <w:color w:val="000000" w:themeColor="text1"/>
        </w:rPr>
        <w:t>stratigraphy of the Th</w:t>
      </w:r>
      <w:r>
        <w:rPr>
          <w:rFonts w:cstheme="minorHAnsi"/>
          <w:color w:val="000000" w:themeColor="text1"/>
        </w:rPr>
        <w:t>istle field. In: Steel, R. J., Felt, V</w:t>
      </w:r>
      <w:r w:rsidRPr="00066800">
        <w:rPr>
          <w:rFonts w:cstheme="minorHAnsi"/>
          <w:color w:val="000000" w:themeColor="text1"/>
        </w:rPr>
        <w:t>. L., J</w:t>
      </w:r>
      <w:r>
        <w:rPr>
          <w:rFonts w:cstheme="minorHAnsi"/>
          <w:color w:val="000000" w:themeColor="text1"/>
        </w:rPr>
        <w:t>ohannessen</w:t>
      </w:r>
      <w:r w:rsidRPr="00066800">
        <w:rPr>
          <w:rFonts w:cstheme="minorHAnsi"/>
          <w:color w:val="000000" w:themeColor="text1"/>
        </w:rPr>
        <w:t xml:space="preserve">, E. P. </w:t>
      </w:r>
      <w:r w:rsidR="00EE0609">
        <w:rPr>
          <w:rFonts w:cstheme="minorHAnsi"/>
          <w:color w:val="000000" w:themeColor="text1"/>
        </w:rPr>
        <w:t>and</w:t>
      </w:r>
      <w:r w:rsidRPr="00066800">
        <w:rPr>
          <w:rFonts w:cstheme="minorHAnsi"/>
          <w:color w:val="000000" w:themeColor="text1"/>
        </w:rPr>
        <w:t xml:space="preserve"> M</w:t>
      </w:r>
      <w:r>
        <w:rPr>
          <w:rFonts w:cstheme="minorHAnsi"/>
          <w:color w:val="000000" w:themeColor="text1"/>
        </w:rPr>
        <w:t xml:space="preserve">athieu, C. </w:t>
      </w:r>
      <w:r w:rsidRPr="00066800">
        <w:rPr>
          <w:rFonts w:cstheme="minorHAnsi"/>
          <w:color w:val="000000" w:themeColor="text1"/>
        </w:rPr>
        <w:t>(eds) Sequence</w:t>
      </w:r>
      <w:r>
        <w:rPr>
          <w:rFonts w:cstheme="minorHAnsi"/>
          <w:color w:val="000000" w:themeColor="text1"/>
        </w:rPr>
        <w:t xml:space="preserve"> stratigraphy on the Northwest </w:t>
      </w:r>
      <w:r w:rsidRPr="00066800">
        <w:rPr>
          <w:rFonts w:cstheme="minorHAnsi"/>
          <w:color w:val="000000" w:themeColor="text1"/>
        </w:rPr>
        <w:t>European Margi</w:t>
      </w:r>
      <w:r>
        <w:rPr>
          <w:rFonts w:cstheme="minorHAnsi"/>
          <w:color w:val="000000" w:themeColor="text1"/>
        </w:rPr>
        <w:t xml:space="preserve">n. </w:t>
      </w:r>
      <w:r w:rsidRPr="00EE0609">
        <w:rPr>
          <w:rFonts w:cstheme="minorHAnsi"/>
          <w:i/>
          <w:iCs/>
          <w:color w:val="000000" w:themeColor="text1"/>
        </w:rPr>
        <w:t>Norwegian Petroleum Society Special Publications</w:t>
      </w:r>
      <w:r w:rsidRPr="00066800">
        <w:rPr>
          <w:rFonts w:cstheme="minorHAnsi"/>
          <w:color w:val="000000" w:themeColor="text1"/>
        </w:rPr>
        <w:t xml:space="preserve">, </w:t>
      </w:r>
      <w:r w:rsidRPr="00EE0609">
        <w:rPr>
          <w:rFonts w:cstheme="minorHAnsi"/>
          <w:b/>
          <w:bCs/>
          <w:color w:val="000000" w:themeColor="text1"/>
        </w:rPr>
        <w:t>5</w:t>
      </w:r>
      <w:r w:rsidRPr="00066800">
        <w:rPr>
          <w:rFonts w:cstheme="minorHAnsi"/>
          <w:color w:val="000000" w:themeColor="text1"/>
        </w:rPr>
        <w:t>, 257-271.</w:t>
      </w:r>
    </w:p>
    <w:p w14:paraId="53BA6C8A" w14:textId="77777777" w:rsidR="00066800" w:rsidRDefault="00066800" w:rsidP="00066800">
      <w:pPr>
        <w:rPr>
          <w:rFonts w:cstheme="minorHAnsi"/>
          <w:color w:val="000000" w:themeColor="text1"/>
        </w:rPr>
      </w:pPr>
    </w:p>
    <w:p w14:paraId="31E2D655" w14:textId="2B41D978" w:rsidR="00E16DD2" w:rsidRDefault="001045B3" w:rsidP="00066E40">
      <w:pPr>
        <w:rPr>
          <w:rFonts w:cstheme="minorHAnsi"/>
          <w:color w:val="000000" w:themeColor="text1"/>
        </w:rPr>
      </w:pPr>
      <w:r>
        <w:rPr>
          <w:rFonts w:cstheme="minorHAnsi"/>
          <w:color w:val="000000" w:themeColor="text1"/>
        </w:rPr>
        <w:t>Tansell, C.</w:t>
      </w:r>
      <w:r w:rsidR="00E344CD">
        <w:rPr>
          <w:rFonts w:cstheme="minorHAnsi"/>
          <w:color w:val="000000" w:themeColor="text1"/>
        </w:rPr>
        <w:t xml:space="preserve"> </w:t>
      </w:r>
      <w:r w:rsidR="00E16DD2">
        <w:rPr>
          <w:rFonts w:cstheme="minorHAnsi"/>
          <w:color w:val="000000" w:themeColor="text1"/>
        </w:rPr>
        <w:t>2018.</w:t>
      </w:r>
      <w:r w:rsidR="00E344CD">
        <w:rPr>
          <w:rFonts w:cstheme="minorHAnsi"/>
          <w:color w:val="000000" w:themeColor="text1"/>
        </w:rPr>
        <w:t xml:space="preserve"> </w:t>
      </w:r>
      <w:r w:rsidR="00E16DD2" w:rsidRPr="00E16DD2">
        <w:rPr>
          <w:rFonts w:cstheme="minorHAnsi"/>
          <w:color w:val="000000" w:themeColor="text1"/>
        </w:rPr>
        <w:t xml:space="preserve">The Etive Anomaly – understanding the chemistry, </w:t>
      </w:r>
      <w:proofErr w:type="gramStart"/>
      <w:r w:rsidR="00E16DD2" w:rsidRPr="00E16DD2">
        <w:rPr>
          <w:rFonts w:cstheme="minorHAnsi"/>
          <w:color w:val="000000" w:themeColor="text1"/>
        </w:rPr>
        <w:t>mineralogy</w:t>
      </w:r>
      <w:proofErr w:type="gramEnd"/>
      <w:r w:rsidR="00E16DD2" w:rsidRPr="00E16DD2">
        <w:rPr>
          <w:rFonts w:cstheme="minorHAnsi"/>
          <w:color w:val="000000" w:themeColor="text1"/>
        </w:rPr>
        <w:t xml:space="preserve"> and sedimentology of a low-permeability horizon across the Thistle and Deveron Fields, UK North Sea</w:t>
      </w:r>
      <w:r w:rsidR="00E16DD2">
        <w:rPr>
          <w:rFonts w:cstheme="minorHAnsi"/>
          <w:color w:val="000000" w:themeColor="text1"/>
        </w:rPr>
        <w:t xml:space="preserve">.  </w:t>
      </w:r>
      <w:r w:rsidR="00E16DD2" w:rsidRPr="00EE0609">
        <w:rPr>
          <w:rFonts w:cstheme="minorHAnsi"/>
          <w:i/>
          <w:iCs/>
          <w:color w:val="000000" w:themeColor="text1"/>
        </w:rPr>
        <w:t>MSc Petroleum Reservoir Geoscience</w:t>
      </w:r>
      <w:r w:rsidR="00EE0609" w:rsidRPr="00EE0609">
        <w:rPr>
          <w:rFonts w:cstheme="minorHAnsi"/>
          <w:i/>
          <w:iCs/>
          <w:color w:val="000000" w:themeColor="text1"/>
        </w:rPr>
        <w:t xml:space="preserve"> (</w:t>
      </w:r>
      <w:r w:rsidR="00E16DD2" w:rsidRPr="00EE0609">
        <w:rPr>
          <w:rFonts w:cstheme="minorHAnsi"/>
          <w:i/>
          <w:iCs/>
          <w:color w:val="000000" w:themeColor="text1"/>
        </w:rPr>
        <w:t>University of Liverpool</w:t>
      </w:r>
      <w:r w:rsidR="00EE0609" w:rsidRPr="00EE0609">
        <w:rPr>
          <w:rFonts w:cstheme="minorHAnsi"/>
          <w:i/>
          <w:iCs/>
          <w:color w:val="000000" w:themeColor="text1"/>
        </w:rPr>
        <w:t>)</w:t>
      </w:r>
      <w:r w:rsidR="003950D5">
        <w:rPr>
          <w:rFonts w:cstheme="minorHAnsi"/>
          <w:color w:val="000000" w:themeColor="text1"/>
        </w:rPr>
        <w:t>.</w:t>
      </w:r>
    </w:p>
    <w:p w14:paraId="42DD9963" w14:textId="77777777" w:rsidR="0039504C" w:rsidRDefault="0039504C" w:rsidP="00711CA2">
      <w:pPr>
        <w:rPr>
          <w:rFonts w:cstheme="minorHAnsi"/>
          <w:color w:val="000000" w:themeColor="text1"/>
        </w:rPr>
      </w:pPr>
    </w:p>
    <w:p w14:paraId="00A0E3A7" w14:textId="77777777" w:rsidR="00024556" w:rsidRDefault="00483E27" w:rsidP="00483E27">
      <w:pPr>
        <w:rPr>
          <w:rFonts w:cstheme="minorHAnsi"/>
          <w:color w:val="000000" w:themeColor="text1"/>
        </w:rPr>
      </w:pPr>
      <w:r w:rsidRPr="00A86F19">
        <w:rPr>
          <w:rFonts w:cstheme="minorHAnsi"/>
          <w:color w:val="000000" w:themeColor="text1"/>
        </w:rPr>
        <w:t>Went,</w:t>
      </w:r>
      <w:r>
        <w:rPr>
          <w:rFonts w:cstheme="minorHAnsi"/>
          <w:color w:val="000000" w:themeColor="text1"/>
        </w:rPr>
        <w:t xml:space="preserve"> D.J, </w:t>
      </w:r>
      <w:r w:rsidRPr="00A86F19">
        <w:rPr>
          <w:rFonts w:cstheme="minorHAnsi"/>
          <w:color w:val="000000" w:themeColor="text1"/>
        </w:rPr>
        <w:t>H</w:t>
      </w:r>
      <w:r>
        <w:rPr>
          <w:rFonts w:cstheme="minorHAnsi"/>
          <w:color w:val="000000" w:themeColor="text1"/>
        </w:rPr>
        <w:t xml:space="preserve">amilton, R.V., Platt, N.H. </w:t>
      </w:r>
      <w:r w:rsidR="00EE0609">
        <w:rPr>
          <w:rFonts w:cstheme="minorHAnsi"/>
          <w:color w:val="000000" w:themeColor="text1"/>
        </w:rPr>
        <w:t>and</w:t>
      </w:r>
      <w:r>
        <w:rPr>
          <w:rFonts w:cstheme="minorHAnsi"/>
          <w:color w:val="000000" w:themeColor="text1"/>
        </w:rPr>
        <w:t xml:space="preserve"> Underhill, J.R.  </w:t>
      </w:r>
      <w:r w:rsidRPr="00A86F19">
        <w:rPr>
          <w:rFonts w:cstheme="minorHAnsi"/>
          <w:color w:val="000000" w:themeColor="text1"/>
        </w:rPr>
        <w:t>2013</w:t>
      </w:r>
      <w:r>
        <w:rPr>
          <w:rFonts w:cstheme="minorHAnsi"/>
          <w:color w:val="000000" w:themeColor="text1"/>
        </w:rPr>
        <w:t xml:space="preserve">.  </w:t>
      </w:r>
      <w:r w:rsidRPr="00A86F19">
        <w:rPr>
          <w:rFonts w:cstheme="minorHAnsi"/>
          <w:color w:val="000000" w:themeColor="text1"/>
        </w:rPr>
        <w:t xml:space="preserve">Role of forced regression in controlling Brent Group reservoir architecture and </w:t>
      </w:r>
      <w:proofErr w:type="spellStart"/>
      <w:r w:rsidRPr="00A86F19">
        <w:rPr>
          <w:rFonts w:cstheme="minorHAnsi"/>
          <w:color w:val="000000" w:themeColor="text1"/>
        </w:rPr>
        <w:t>prospect</w:t>
      </w:r>
      <w:r>
        <w:rPr>
          <w:rFonts w:cstheme="minorHAnsi"/>
          <w:color w:val="000000" w:themeColor="text1"/>
        </w:rPr>
        <w:t>ivity</w:t>
      </w:r>
      <w:proofErr w:type="spellEnd"/>
      <w:r>
        <w:rPr>
          <w:rFonts w:cstheme="minorHAnsi"/>
          <w:color w:val="000000" w:themeColor="text1"/>
        </w:rPr>
        <w:t xml:space="preserve"> in the northern North Sea.  </w:t>
      </w:r>
      <w:r w:rsidRPr="00EE0609">
        <w:rPr>
          <w:rFonts w:cstheme="minorHAnsi"/>
          <w:i/>
          <w:iCs/>
          <w:color w:val="000000" w:themeColor="text1"/>
        </w:rPr>
        <w:t>Petroleum Geoscience</w:t>
      </w:r>
      <w:r>
        <w:rPr>
          <w:rFonts w:cstheme="minorHAnsi"/>
          <w:color w:val="000000" w:themeColor="text1"/>
        </w:rPr>
        <w:t xml:space="preserve">, </w:t>
      </w:r>
      <w:r w:rsidRPr="00EE0609">
        <w:rPr>
          <w:rFonts w:cstheme="minorHAnsi"/>
          <w:b/>
          <w:bCs/>
          <w:color w:val="000000" w:themeColor="text1"/>
        </w:rPr>
        <w:t>19</w:t>
      </w:r>
      <w:r>
        <w:rPr>
          <w:rFonts w:cstheme="minorHAnsi"/>
          <w:color w:val="000000" w:themeColor="text1"/>
        </w:rPr>
        <w:t xml:space="preserve">, 2013, </w:t>
      </w:r>
      <w:r w:rsidRPr="00C726B2">
        <w:rPr>
          <w:rFonts w:cstheme="minorHAnsi"/>
          <w:color w:val="000000" w:themeColor="text1"/>
        </w:rPr>
        <w:t>307–328</w:t>
      </w:r>
      <w:r>
        <w:rPr>
          <w:rFonts w:cstheme="minorHAnsi"/>
          <w:color w:val="000000" w:themeColor="text1"/>
        </w:rPr>
        <w:t>.</w:t>
      </w:r>
      <w:r w:rsidR="00EE0609">
        <w:rPr>
          <w:rFonts w:cstheme="minorHAnsi"/>
          <w:color w:val="000000" w:themeColor="text1"/>
        </w:rPr>
        <w:t xml:space="preserve"> </w:t>
      </w:r>
    </w:p>
    <w:p w14:paraId="1F8495FF" w14:textId="77777777" w:rsidR="00483E27" w:rsidRDefault="00483E27" w:rsidP="00711CA2">
      <w:pPr>
        <w:rPr>
          <w:rFonts w:cstheme="minorHAnsi"/>
          <w:color w:val="000000" w:themeColor="text1"/>
        </w:rPr>
      </w:pPr>
    </w:p>
    <w:p w14:paraId="3C7B087E" w14:textId="3251A607" w:rsidR="00711CA2" w:rsidRDefault="0039504C" w:rsidP="00711CA2">
      <w:pPr>
        <w:rPr>
          <w:rFonts w:cstheme="minorHAnsi"/>
          <w:color w:val="000000" w:themeColor="text1"/>
        </w:rPr>
      </w:pPr>
      <w:r w:rsidRPr="00711CA2">
        <w:rPr>
          <w:rFonts w:cstheme="minorHAnsi"/>
          <w:color w:val="000000" w:themeColor="text1"/>
        </w:rPr>
        <w:lastRenderedPageBreak/>
        <w:t>Wilkinson,</w:t>
      </w:r>
      <w:r>
        <w:rPr>
          <w:rFonts w:cstheme="minorHAnsi"/>
          <w:color w:val="000000" w:themeColor="text1"/>
        </w:rPr>
        <w:t xml:space="preserve"> M., </w:t>
      </w:r>
      <w:r w:rsidRPr="00711CA2">
        <w:rPr>
          <w:rFonts w:cstheme="minorHAnsi"/>
          <w:color w:val="000000" w:themeColor="text1"/>
        </w:rPr>
        <w:t>Haszeldine,</w:t>
      </w:r>
      <w:r>
        <w:rPr>
          <w:rFonts w:cstheme="minorHAnsi"/>
          <w:color w:val="000000" w:themeColor="text1"/>
        </w:rPr>
        <w:t xml:space="preserve"> R.</w:t>
      </w:r>
      <w:r w:rsidRPr="00711CA2">
        <w:rPr>
          <w:rFonts w:cstheme="minorHAnsi"/>
          <w:color w:val="000000" w:themeColor="text1"/>
        </w:rPr>
        <w:t xml:space="preserve"> </w:t>
      </w:r>
      <w:r>
        <w:rPr>
          <w:rFonts w:cstheme="minorHAnsi"/>
          <w:color w:val="000000" w:themeColor="text1"/>
        </w:rPr>
        <w:t xml:space="preserve">&amp; </w:t>
      </w:r>
      <w:proofErr w:type="spellStart"/>
      <w:r>
        <w:rPr>
          <w:rFonts w:cstheme="minorHAnsi"/>
          <w:color w:val="000000" w:themeColor="text1"/>
        </w:rPr>
        <w:t>Fallick</w:t>
      </w:r>
      <w:proofErr w:type="spellEnd"/>
      <w:r>
        <w:rPr>
          <w:rFonts w:cstheme="minorHAnsi"/>
          <w:color w:val="000000" w:themeColor="text1"/>
        </w:rPr>
        <w:t xml:space="preserve">, A.E. </w:t>
      </w:r>
      <w:r w:rsidR="00EE0609">
        <w:rPr>
          <w:rFonts w:cstheme="minorHAnsi"/>
          <w:color w:val="000000" w:themeColor="text1"/>
        </w:rPr>
        <w:t>and</w:t>
      </w:r>
      <w:r>
        <w:rPr>
          <w:rFonts w:cstheme="minorHAnsi"/>
          <w:color w:val="000000" w:themeColor="text1"/>
        </w:rPr>
        <w:t xml:space="preserve"> Osborne., M. 2000. </w:t>
      </w:r>
      <w:r w:rsidR="00711CA2" w:rsidRPr="00711CA2">
        <w:rPr>
          <w:rFonts w:cstheme="minorHAnsi"/>
          <w:color w:val="000000" w:themeColor="text1"/>
        </w:rPr>
        <w:t xml:space="preserve">Siderite zonation within the Brent Group: microbial influence or aquifer </w:t>
      </w:r>
      <w:proofErr w:type="gramStart"/>
      <w:r w:rsidR="00711CA2" w:rsidRPr="00711CA2">
        <w:rPr>
          <w:rFonts w:cstheme="minorHAnsi"/>
          <w:color w:val="000000" w:themeColor="text1"/>
        </w:rPr>
        <w:t>flow?</w:t>
      </w:r>
      <w:r>
        <w:rPr>
          <w:rFonts w:cstheme="minorHAnsi"/>
          <w:color w:val="000000" w:themeColor="text1"/>
        </w:rPr>
        <w:t>.</w:t>
      </w:r>
      <w:proofErr w:type="gramEnd"/>
      <w:r>
        <w:rPr>
          <w:rFonts w:cstheme="minorHAnsi"/>
          <w:color w:val="000000" w:themeColor="text1"/>
        </w:rPr>
        <w:t xml:space="preserve"> </w:t>
      </w:r>
      <w:r w:rsidR="00711CA2" w:rsidRPr="00EE0609">
        <w:rPr>
          <w:rFonts w:cstheme="minorHAnsi"/>
          <w:i/>
          <w:iCs/>
          <w:color w:val="000000" w:themeColor="text1"/>
        </w:rPr>
        <w:t>Clay Minerals</w:t>
      </w:r>
      <w:r>
        <w:rPr>
          <w:rFonts w:cstheme="minorHAnsi"/>
          <w:color w:val="000000" w:themeColor="text1"/>
        </w:rPr>
        <w:t xml:space="preserve">, </w:t>
      </w:r>
      <w:r w:rsidR="00711CA2" w:rsidRPr="00EE0609">
        <w:rPr>
          <w:rFonts w:cstheme="minorHAnsi"/>
          <w:b/>
          <w:bCs/>
          <w:color w:val="000000" w:themeColor="text1"/>
        </w:rPr>
        <w:t>35</w:t>
      </w:r>
      <w:r w:rsidR="00711CA2">
        <w:rPr>
          <w:rFonts w:cstheme="minorHAnsi"/>
          <w:color w:val="000000" w:themeColor="text1"/>
        </w:rPr>
        <w:t>, 107-</w:t>
      </w:r>
      <w:r w:rsidR="00711CA2" w:rsidRPr="00711CA2">
        <w:rPr>
          <w:rFonts w:cstheme="minorHAnsi"/>
          <w:color w:val="000000" w:themeColor="text1"/>
        </w:rPr>
        <w:t>117</w:t>
      </w:r>
      <w:r>
        <w:rPr>
          <w:rFonts w:cstheme="minorHAnsi"/>
          <w:color w:val="000000" w:themeColor="text1"/>
        </w:rPr>
        <w:t>.</w:t>
      </w:r>
    </w:p>
    <w:p w14:paraId="71A73578" w14:textId="77777777" w:rsidR="00066800" w:rsidRDefault="00066800" w:rsidP="00711CA2">
      <w:pPr>
        <w:rPr>
          <w:rFonts w:cstheme="minorHAnsi"/>
          <w:color w:val="000000" w:themeColor="text1"/>
        </w:rPr>
      </w:pPr>
    </w:p>
    <w:p w14:paraId="36BB2412" w14:textId="0A88E49A" w:rsidR="001045B3" w:rsidRPr="001045B3" w:rsidRDefault="001045B3" w:rsidP="001045B3">
      <w:pPr>
        <w:rPr>
          <w:color w:val="0000FF"/>
          <w:sz w:val="27"/>
          <w:szCs w:val="27"/>
          <w:u w:val="single"/>
          <w:shd w:val="clear" w:color="auto" w:fill="FFFFFF"/>
        </w:rPr>
      </w:pPr>
      <w:r w:rsidRPr="00483E27">
        <w:rPr>
          <w:rFonts w:cstheme="minorHAnsi"/>
          <w:color w:val="000000" w:themeColor="text1"/>
        </w:rPr>
        <w:t>Worden, R.H., Morrall, G., Kelly, S., Mc Ardle</w:t>
      </w:r>
      <w:r w:rsidR="00B92DF7">
        <w:rPr>
          <w:rFonts w:cstheme="minorHAnsi"/>
          <w:color w:val="000000" w:themeColor="text1"/>
        </w:rPr>
        <w:t>, P. and</w:t>
      </w:r>
      <w:r w:rsidRPr="00483E27">
        <w:rPr>
          <w:rFonts w:cstheme="minorHAnsi"/>
          <w:color w:val="000000" w:themeColor="text1"/>
        </w:rPr>
        <w:t xml:space="preserve"> Barshep</w:t>
      </w:r>
      <w:r>
        <w:rPr>
          <w:rFonts w:cstheme="minorHAnsi"/>
          <w:color w:val="000000" w:themeColor="text1"/>
        </w:rPr>
        <w:t>, D.V. 20</w:t>
      </w:r>
      <w:r w:rsidR="00E85984">
        <w:rPr>
          <w:rFonts w:cstheme="minorHAnsi"/>
          <w:color w:val="000000" w:themeColor="text1"/>
        </w:rPr>
        <w:t>20</w:t>
      </w:r>
      <w:r>
        <w:rPr>
          <w:rFonts w:cstheme="minorHAnsi"/>
          <w:color w:val="000000" w:themeColor="text1"/>
        </w:rPr>
        <w:t xml:space="preserve">. A renewed look at </w:t>
      </w:r>
      <w:r w:rsidRPr="00483E27">
        <w:rPr>
          <w:rFonts w:cstheme="minorHAnsi"/>
          <w:color w:val="000000" w:themeColor="text1"/>
        </w:rPr>
        <w:t xml:space="preserve">calcite cement in marine-deltaic sandstones: the </w:t>
      </w:r>
      <w:r>
        <w:rPr>
          <w:rFonts w:cstheme="minorHAnsi"/>
          <w:color w:val="000000" w:themeColor="text1"/>
        </w:rPr>
        <w:t xml:space="preserve">brent reservoir, heather field, northern North </w:t>
      </w:r>
      <w:r w:rsidR="005E6109">
        <w:rPr>
          <w:rFonts w:cstheme="minorHAnsi"/>
          <w:color w:val="000000" w:themeColor="text1"/>
        </w:rPr>
        <w:t>S</w:t>
      </w:r>
      <w:r>
        <w:rPr>
          <w:rFonts w:cstheme="minorHAnsi"/>
          <w:color w:val="000000" w:themeColor="text1"/>
        </w:rPr>
        <w:t xml:space="preserve">ea, </w:t>
      </w:r>
      <w:r w:rsidRPr="00483E27">
        <w:rPr>
          <w:rFonts w:cstheme="minorHAnsi"/>
          <w:color w:val="000000" w:themeColor="text1"/>
        </w:rPr>
        <w:t>UK. In: Dowey, P.J., Osborne, M.J.</w:t>
      </w:r>
      <w:r w:rsidR="00216BAB">
        <w:rPr>
          <w:rFonts w:cstheme="minorHAnsi"/>
          <w:color w:val="000000" w:themeColor="text1"/>
        </w:rPr>
        <w:t xml:space="preserve"> and</w:t>
      </w:r>
      <w:r w:rsidRPr="00483E27">
        <w:rPr>
          <w:rFonts w:cstheme="minorHAnsi"/>
          <w:color w:val="000000" w:themeColor="text1"/>
        </w:rPr>
        <w:t xml:space="preserve"> Volk, H. (</w:t>
      </w:r>
      <w:r w:rsidR="003950D5">
        <w:rPr>
          <w:rFonts w:cstheme="minorHAnsi"/>
          <w:color w:val="000000" w:themeColor="text1"/>
        </w:rPr>
        <w:t>e</w:t>
      </w:r>
      <w:r>
        <w:rPr>
          <w:rFonts w:cstheme="minorHAnsi"/>
          <w:color w:val="000000" w:themeColor="text1"/>
        </w:rPr>
        <w:t xml:space="preserve">ds) </w:t>
      </w:r>
      <w:r w:rsidRPr="00216BAB">
        <w:rPr>
          <w:rFonts w:cstheme="minorHAnsi"/>
          <w:i/>
          <w:iCs/>
          <w:color w:val="000000" w:themeColor="text1"/>
        </w:rPr>
        <w:t>Application of Analytical Techniques to Petroleum Systems. Geological Society, London, Special Publications</w:t>
      </w:r>
      <w:r w:rsidRPr="0039504C">
        <w:rPr>
          <w:rFonts w:cstheme="minorHAnsi"/>
          <w:color w:val="000000" w:themeColor="text1"/>
        </w:rPr>
        <w:t>,</w:t>
      </w:r>
      <w:r>
        <w:rPr>
          <w:rFonts w:cstheme="minorHAnsi"/>
          <w:color w:val="000000" w:themeColor="text1"/>
        </w:rPr>
        <w:t xml:space="preserve"> </w:t>
      </w:r>
      <w:r w:rsidRPr="00216BAB">
        <w:rPr>
          <w:rFonts w:cstheme="minorHAnsi"/>
          <w:b/>
          <w:bCs/>
          <w:color w:val="000000" w:themeColor="text1"/>
        </w:rPr>
        <w:t>484</w:t>
      </w:r>
      <w:r w:rsidRPr="00483E27">
        <w:rPr>
          <w:rFonts w:cstheme="minorHAnsi"/>
          <w:color w:val="000000" w:themeColor="text1"/>
        </w:rPr>
        <w:t xml:space="preserve">, </w:t>
      </w:r>
      <w:r w:rsidR="00216BAB">
        <w:rPr>
          <w:rFonts w:cstheme="minorHAnsi"/>
          <w:color w:val="000000" w:themeColor="text1"/>
        </w:rPr>
        <w:t>305-335</w:t>
      </w:r>
      <w:r w:rsidRPr="00483E27">
        <w:rPr>
          <w:rFonts w:cstheme="minorHAnsi"/>
          <w:color w:val="000000" w:themeColor="text1"/>
        </w:rPr>
        <w:t>.</w:t>
      </w:r>
    </w:p>
    <w:p w14:paraId="3C2C4500" w14:textId="3416EC9C" w:rsidR="001045B3" w:rsidRDefault="001045B3" w:rsidP="001045B3"/>
    <w:p w14:paraId="7453C726" w14:textId="03EF41C1" w:rsidR="00024556" w:rsidRDefault="00024556">
      <w:pPr>
        <w:spacing w:after="160" w:line="259" w:lineRule="auto"/>
        <w:jc w:val="left"/>
      </w:pPr>
      <w:r>
        <w:br w:type="page"/>
      </w:r>
    </w:p>
    <w:p w14:paraId="29D6ACAB" w14:textId="2E715ACE" w:rsidR="009D2CE0" w:rsidRPr="00695A5C" w:rsidRDefault="00695A5C" w:rsidP="001045B3">
      <w:pPr>
        <w:rPr>
          <w:rFonts w:cstheme="minorHAnsi"/>
          <w:b/>
          <w:color w:val="000000" w:themeColor="text1"/>
        </w:rPr>
      </w:pPr>
      <w:r>
        <w:rPr>
          <w:rFonts w:cstheme="minorHAnsi"/>
          <w:b/>
          <w:color w:val="000000" w:themeColor="text1"/>
        </w:rPr>
        <w:lastRenderedPageBreak/>
        <w:t>Figure Captions</w:t>
      </w:r>
    </w:p>
    <w:p w14:paraId="095FD291" w14:textId="77777777" w:rsidR="001045B3" w:rsidRDefault="001045B3" w:rsidP="001045B3"/>
    <w:p w14:paraId="3C1DB5AE" w14:textId="0CDB966C" w:rsidR="001045B3" w:rsidRDefault="001045B3" w:rsidP="001045B3">
      <w:r w:rsidRPr="00886EC8">
        <w:rPr>
          <w:b/>
        </w:rPr>
        <w:t>Figure 1</w:t>
      </w:r>
      <w:r>
        <w:rPr>
          <w:b/>
        </w:rPr>
        <w:t xml:space="preserve">.  </w:t>
      </w:r>
      <w:r>
        <w:t>Illustration of the various methods (</w:t>
      </w:r>
      <w:r w:rsidR="0094198D">
        <w:t xml:space="preserve">e.g., </w:t>
      </w:r>
      <w:r>
        <w:t>core description and microscopy-mineralogy) that can be used to evaluate core at a range of different scales and the additional data (</w:t>
      </w:r>
      <w:r w:rsidR="0094198D">
        <w:t xml:space="preserve">e.g., </w:t>
      </w:r>
      <w:r>
        <w:t>well log data) that can be integrated with core observations and measurements.</w:t>
      </w:r>
    </w:p>
    <w:p w14:paraId="5ACFA61B" w14:textId="77777777" w:rsidR="001045B3" w:rsidRDefault="001045B3" w:rsidP="001045B3"/>
    <w:p w14:paraId="6B24481A" w14:textId="45AE50CC" w:rsidR="001045B3" w:rsidRPr="00C1475A" w:rsidRDefault="001045B3" w:rsidP="001045B3">
      <w:r w:rsidRPr="00886EC8">
        <w:rPr>
          <w:b/>
        </w:rPr>
        <w:t>Figure 2</w:t>
      </w:r>
      <w:r>
        <w:rPr>
          <w:b/>
        </w:rPr>
        <w:t xml:space="preserve">.  </w:t>
      </w:r>
      <w:r>
        <w:t>Location of the Heather and Thistle Fields, Northern UK North Sea.</w:t>
      </w:r>
      <w:r w:rsidR="00B92DF7">
        <w:t xml:space="preserve"> Green polygons: oils and gas fields, red lines: pipelines.</w:t>
      </w:r>
    </w:p>
    <w:p w14:paraId="69EEF5AB" w14:textId="77777777" w:rsidR="001045B3" w:rsidRDefault="001045B3" w:rsidP="001045B3"/>
    <w:p w14:paraId="466247F4" w14:textId="77777777" w:rsidR="00B92DF7" w:rsidRDefault="003A4B45" w:rsidP="001045B3">
      <w:r w:rsidRPr="003A4B45">
        <w:rPr>
          <w:b/>
        </w:rPr>
        <w:t>Figure 3</w:t>
      </w:r>
      <w:r>
        <w:t>.</w:t>
      </w:r>
    </w:p>
    <w:p w14:paraId="1DFE8EDD" w14:textId="45C2E542" w:rsidR="00B92DF7" w:rsidRDefault="003A4B45" w:rsidP="001045B3">
      <w:r w:rsidRPr="00242E04">
        <w:rPr>
          <w:b/>
        </w:rPr>
        <w:t>A.</w:t>
      </w:r>
      <w:r>
        <w:t xml:space="preserve">  Photomicrograph of Brent Group sandstone Heather Field, indicating </w:t>
      </w:r>
      <w:r w:rsidR="00216BAB">
        <w:t xml:space="preserve">the </w:t>
      </w:r>
      <w:r>
        <w:t>distribution of pore-filling calcite cement (stained pink</w:t>
      </w:r>
      <w:r w:rsidR="008267C9">
        <w:t xml:space="preserve"> - C</w:t>
      </w:r>
      <w:r>
        <w:t>), quartz (</w:t>
      </w:r>
      <w:r w:rsidR="008267C9">
        <w:t>Q</w:t>
      </w:r>
      <w:r>
        <w:t>) and K-feldspar (stained yellow</w:t>
      </w:r>
      <w:r w:rsidR="008267C9">
        <w:t xml:space="preserve"> - F</w:t>
      </w:r>
      <w:r>
        <w:t xml:space="preserve">).  </w:t>
      </w:r>
    </w:p>
    <w:p w14:paraId="39232C00" w14:textId="77777777" w:rsidR="00B92DF7" w:rsidRDefault="003A4B45" w:rsidP="001045B3">
      <w:r w:rsidRPr="00242E04">
        <w:rPr>
          <w:b/>
        </w:rPr>
        <w:t>B.</w:t>
      </w:r>
      <w:r>
        <w:t xml:space="preserve">  Section through </w:t>
      </w:r>
      <w:r w:rsidR="008267C9">
        <w:t xml:space="preserve">the </w:t>
      </w:r>
      <w:r>
        <w:t xml:space="preserve">acoustic impedance seismic volume illustrating typical traverse from </w:t>
      </w:r>
      <w:proofErr w:type="spellStart"/>
      <w:r>
        <w:t>updip</w:t>
      </w:r>
      <w:proofErr w:type="spellEnd"/>
      <w:r>
        <w:t xml:space="preserve"> (right) shallow wells with little or no calcite and relatively low impedance, through to downdip wells (left) with more common calcite cement and higher impedance.  </w:t>
      </w:r>
    </w:p>
    <w:p w14:paraId="0F539470" w14:textId="49BB7FD0" w:rsidR="004801FC" w:rsidRDefault="003A4B45" w:rsidP="001045B3">
      <w:r w:rsidRPr="00242E04">
        <w:rPr>
          <w:b/>
        </w:rPr>
        <w:t>C.</w:t>
      </w:r>
      <w:r>
        <w:t xml:space="preserve">  Core example of calcite cement (grey) distribution within otherwise oil-stained porous sandstone (brown) Brent Group Sandstones – Broom Formation, well </w:t>
      </w:r>
      <w:r w:rsidR="003874C7">
        <w:t>2/5-</w:t>
      </w:r>
      <w:r>
        <w:t>H1.</w:t>
      </w:r>
    </w:p>
    <w:p w14:paraId="14725512" w14:textId="77777777" w:rsidR="003A4B45" w:rsidRDefault="003A4B45" w:rsidP="001045B3"/>
    <w:p w14:paraId="11D21D81" w14:textId="77777777" w:rsidR="00B92DF7" w:rsidRDefault="003A4B45" w:rsidP="001045B3">
      <w:r w:rsidRPr="003874C7">
        <w:rPr>
          <w:b/>
        </w:rPr>
        <w:t>Figure 4.</w:t>
      </w:r>
      <w:r>
        <w:t xml:space="preserve">  Examples of methods used to evaluate calcite cements in </w:t>
      </w:r>
      <w:r w:rsidR="008267C9">
        <w:t xml:space="preserve">the </w:t>
      </w:r>
      <w:r>
        <w:t>Heather</w:t>
      </w:r>
      <w:r w:rsidR="008267C9">
        <w:t xml:space="preserve"> Field</w:t>
      </w:r>
      <w:r w:rsidR="00242E04">
        <w:t xml:space="preserve"> (Worden </w:t>
      </w:r>
      <w:r w:rsidR="00242E04" w:rsidRPr="009861FE">
        <w:rPr>
          <w:i/>
          <w:iCs/>
        </w:rPr>
        <w:t>et al.</w:t>
      </w:r>
      <w:r w:rsidR="00242E04">
        <w:t xml:space="preserve"> 2020)</w:t>
      </w:r>
      <w:r>
        <w:t xml:space="preserve">. </w:t>
      </w:r>
    </w:p>
    <w:p w14:paraId="1D782B80" w14:textId="77777777" w:rsidR="00B92DF7" w:rsidRDefault="003A4B45" w:rsidP="001045B3">
      <w:r w:rsidRPr="00242E04">
        <w:rPr>
          <w:b/>
        </w:rPr>
        <w:t>A.</w:t>
      </w:r>
      <w:r>
        <w:t xml:space="preserve">  Plane-pol</w:t>
      </w:r>
      <w:r w:rsidR="003874C7">
        <w:t>a</w:t>
      </w:r>
      <w:r>
        <w:t>rized light thin-section photomicrograph illustrating corrosion and embayment of detrital quartz grains (white</w:t>
      </w:r>
      <w:r w:rsidR="00AF4837">
        <w:t xml:space="preserve"> - Q</w:t>
      </w:r>
      <w:r>
        <w:t>) and pore-filling calcite cement (stained pink</w:t>
      </w:r>
      <w:r w:rsidR="00AF4837">
        <w:t xml:space="preserve"> - C</w:t>
      </w:r>
      <w:r>
        <w:t>)</w:t>
      </w:r>
      <w:r w:rsidR="003874C7">
        <w:t>.</w:t>
      </w:r>
    </w:p>
    <w:p w14:paraId="36321E78" w14:textId="77777777" w:rsidR="00B92DF7" w:rsidRDefault="003874C7" w:rsidP="001045B3">
      <w:r w:rsidRPr="00242E04">
        <w:rPr>
          <w:b/>
        </w:rPr>
        <w:t>B.</w:t>
      </w:r>
      <w:r>
        <w:t xml:space="preserve"> </w:t>
      </w:r>
      <w:proofErr w:type="spellStart"/>
      <w:r w:rsidRPr="003874C7">
        <w:t>Cathodoluminscence</w:t>
      </w:r>
      <w:proofErr w:type="spellEnd"/>
      <w:r w:rsidRPr="003874C7">
        <w:t xml:space="preserve"> photomicrograph showing bright yellow luminescing poikilotopic calcite cement</w:t>
      </w:r>
      <w:r>
        <w:t>.</w:t>
      </w:r>
    </w:p>
    <w:p w14:paraId="2CBAA574" w14:textId="77777777" w:rsidR="00B92DF7" w:rsidRDefault="003874C7" w:rsidP="001045B3">
      <w:r w:rsidRPr="00242E04">
        <w:rPr>
          <w:b/>
        </w:rPr>
        <w:t>C.</w:t>
      </w:r>
      <w:r>
        <w:t xml:space="preserve">  Thin-section image</w:t>
      </w:r>
      <w:r w:rsidRPr="003874C7">
        <w:t xml:space="preserve"> of aqueous primary </w:t>
      </w:r>
      <w:proofErr w:type="gramStart"/>
      <w:r w:rsidRPr="003874C7">
        <w:t>two phase</w:t>
      </w:r>
      <w:proofErr w:type="gramEnd"/>
      <w:r w:rsidRPr="003874C7">
        <w:t xml:space="preserve"> fluid inclusions (AFI) in non-ferroan calcite (PC)</w:t>
      </w:r>
      <w:r w:rsidR="00AF4837">
        <w:t>,</w:t>
      </w:r>
      <w:r w:rsidRPr="003874C7">
        <w:t xml:space="preserve"> </w:t>
      </w:r>
      <w:r w:rsidR="00AF4837">
        <w:t xml:space="preserve">well </w:t>
      </w:r>
      <w:r w:rsidRPr="003874C7">
        <w:t>2/5-H1</w:t>
      </w:r>
      <w:r>
        <w:t>.</w:t>
      </w:r>
    </w:p>
    <w:p w14:paraId="4435BAF8" w14:textId="77777777" w:rsidR="00B92DF7" w:rsidRDefault="00242E04" w:rsidP="001045B3">
      <w:r w:rsidRPr="00242E04">
        <w:rPr>
          <w:b/>
        </w:rPr>
        <w:t>D.</w:t>
      </w:r>
      <w:r>
        <w:t xml:space="preserve">  </w:t>
      </w:r>
      <w:r w:rsidR="003874C7">
        <w:t>Thin-section image</w:t>
      </w:r>
      <w:r w:rsidR="003874C7" w:rsidRPr="003874C7">
        <w:t xml:space="preserve"> of oil fluid inclusions (OI) in calcite ce</w:t>
      </w:r>
      <w:r>
        <w:t>ment</w:t>
      </w:r>
      <w:r w:rsidR="00AF4837">
        <w:t>, well</w:t>
      </w:r>
      <w:r>
        <w:t xml:space="preserve"> 2/5-2</w:t>
      </w:r>
      <w:r w:rsidR="00AF4837">
        <w:t>,</w:t>
      </w:r>
      <w:r>
        <w:t xml:space="preserve"> </w:t>
      </w:r>
      <w:r w:rsidR="003874C7" w:rsidRPr="003874C7">
        <w:t xml:space="preserve">showing white/blue fluorescence under UV light. Their presence suggests that calcite cement grew </w:t>
      </w:r>
      <w:r w:rsidR="003874C7">
        <w:t>d</w:t>
      </w:r>
      <w:r w:rsidR="003874C7" w:rsidRPr="003874C7">
        <w:t>uring oil emplacement</w:t>
      </w:r>
      <w:r w:rsidR="003874C7">
        <w:t>.</w:t>
      </w:r>
    </w:p>
    <w:p w14:paraId="013658DA" w14:textId="74A049A2" w:rsidR="003A4B45" w:rsidRDefault="003874C7" w:rsidP="001045B3">
      <w:r w:rsidRPr="00242E04">
        <w:rPr>
          <w:b/>
        </w:rPr>
        <w:t>E.</w:t>
      </w:r>
      <w:r>
        <w:t xml:space="preserve"> </w:t>
      </w:r>
      <w:r w:rsidRPr="003874C7">
        <w:t>Histogram of two-phase aqueous inclusion homogenisation temperatures</w:t>
      </w:r>
      <w:r w:rsidR="00AF4837">
        <w:t xml:space="preserve"> (</w:t>
      </w:r>
      <w:r w:rsidRPr="003874C7">
        <w:t>Th</w:t>
      </w:r>
      <w:r w:rsidR="00AF4837">
        <w:t>)</w:t>
      </w:r>
      <w:r w:rsidRPr="003874C7">
        <w:t xml:space="preserve"> in the calcite cement of the Brent Group sandstones in the Heather Field. n=93 represents the number of fluid inclusion homogeni</w:t>
      </w:r>
      <w:r w:rsidR="00AF4837">
        <w:t>s</w:t>
      </w:r>
      <w:r w:rsidRPr="003874C7">
        <w:t>ati</w:t>
      </w:r>
      <w:r>
        <w:t xml:space="preserve">on temperature values measured.  </w:t>
      </w:r>
      <w:r w:rsidRPr="003874C7">
        <w:t xml:space="preserve">The average Th value is 90.4°C </w:t>
      </w:r>
      <w:r w:rsidRPr="003874C7">
        <w:lastRenderedPageBreak/>
        <w:t>with a range between 49.2°C and 168.2°C. The average Th value is 87.1°C when homogenisation temperatures above the maximum burial temperature are discounted.</w:t>
      </w:r>
    </w:p>
    <w:p w14:paraId="1CFB5759" w14:textId="77777777" w:rsidR="003874C7" w:rsidRDefault="003874C7" w:rsidP="001045B3"/>
    <w:p w14:paraId="7152B4FE" w14:textId="734ACFBF" w:rsidR="003874C7" w:rsidRDefault="003874C7" w:rsidP="001045B3">
      <w:r w:rsidRPr="003874C7">
        <w:rPr>
          <w:b/>
        </w:rPr>
        <w:t>Figure 5.</w:t>
      </w:r>
      <w:r>
        <w:t xml:space="preserve">  The acoustic impedance (AI) and mineralogy response of 34 samples analysed from 4 wells in the Heather Field (2/5-H1, 2/5-H2, 2/5-H18 and 2/5-2).  The AI increases with increasing calcite cement content</w:t>
      </w:r>
      <w:r w:rsidR="00AF4837">
        <w:t>, especially when calcite content exceeds 10</w:t>
      </w:r>
      <w:r w:rsidR="009C6608">
        <w:t>% by volume</w:t>
      </w:r>
      <w:r>
        <w:t>.</w:t>
      </w:r>
      <w:r w:rsidR="009A52E5">
        <w:t xml:space="preserve">  </w:t>
      </w:r>
      <w:r w:rsidR="00823A91">
        <w:t xml:space="preserve">While this comparative analysis illustrates the relationship between calcite cement </w:t>
      </w:r>
      <w:r w:rsidR="00AF4837">
        <w:t>content</w:t>
      </w:r>
      <w:r w:rsidR="00823A91">
        <w:t xml:space="preserve"> and acoustic impedance, the different scales and resolution of the data types prevent precise quantitative evaluation.</w:t>
      </w:r>
    </w:p>
    <w:p w14:paraId="0CF65A71" w14:textId="77777777" w:rsidR="00F437F7" w:rsidRDefault="00F437F7" w:rsidP="001045B3"/>
    <w:p w14:paraId="61F85AF8" w14:textId="77777777" w:rsidR="00F437F7" w:rsidRDefault="00F437F7" w:rsidP="001045B3">
      <w:r w:rsidRPr="00F437F7">
        <w:rPr>
          <w:b/>
        </w:rPr>
        <w:t>Figure 6.</w:t>
      </w:r>
      <w:r>
        <w:t xml:space="preserve"> </w:t>
      </w:r>
    </w:p>
    <w:p w14:paraId="0FC6C599" w14:textId="0306DD31" w:rsidR="00F437F7" w:rsidRDefault="00F437F7" w:rsidP="001045B3">
      <w:r w:rsidRPr="00F5304F">
        <w:rPr>
          <w:b/>
        </w:rPr>
        <w:t>6A:</w:t>
      </w:r>
      <w:r>
        <w:t xml:space="preserve">  Calcite Thickness Map for the Brent Group interval in H67 target area of </w:t>
      </w:r>
      <w:r w:rsidR="009861FE">
        <w:t xml:space="preserve">the </w:t>
      </w:r>
      <w:r>
        <w:t xml:space="preserve">Heather </w:t>
      </w:r>
      <w:r w:rsidR="009861FE">
        <w:t>F</w:t>
      </w:r>
      <w:r>
        <w:t xml:space="preserve">ield.  Colour scale indicates estimated </w:t>
      </w:r>
      <w:r w:rsidR="00B544BB">
        <w:t xml:space="preserve">calcite cemented interval total </w:t>
      </w:r>
      <w:r>
        <w:t>thickness derived from seismic impedance co-kriged with well data.</w:t>
      </w:r>
      <w:r w:rsidR="009A52E5">
        <w:t xml:space="preserve">  Structure contours are at 20 ft intervals</w:t>
      </w:r>
      <w:r w:rsidR="00A6786F">
        <w:t xml:space="preserve">.  </w:t>
      </w:r>
      <w:r w:rsidR="009A52E5">
        <w:t>The calibration to the wells does</w:t>
      </w:r>
      <w:r w:rsidR="00731AC0">
        <w:t xml:space="preserve"> (“well-tie”)</w:t>
      </w:r>
      <w:r w:rsidR="009A52E5">
        <w:t xml:space="preserve"> result in </w:t>
      </w:r>
      <w:r w:rsidR="00B544BB">
        <w:t xml:space="preserve">a </w:t>
      </w:r>
      <w:r w:rsidR="009A52E5">
        <w:t>local residual bulls-eye type</w:t>
      </w:r>
      <w:r w:rsidR="00731AC0">
        <w:t xml:space="preserve"> appearance in co-kriged output which indicates potential uncertainty in local prediction of calcite cement content</w:t>
      </w:r>
      <w:r w:rsidR="00B544BB">
        <w:t xml:space="preserve">.  However, </w:t>
      </w:r>
      <w:r w:rsidR="00731AC0">
        <w:t xml:space="preserve">overall trends are </w:t>
      </w:r>
      <w:r w:rsidR="00B544BB">
        <w:t xml:space="preserve">indicated, especially </w:t>
      </w:r>
      <w:proofErr w:type="gramStart"/>
      <w:r w:rsidR="00B544BB">
        <w:t>in the area of</w:t>
      </w:r>
      <w:proofErr w:type="gramEnd"/>
      <w:r w:rsidR="00B544BB">
        <w:t xml:space="preserve"> H67 location (indicated by white arrow)</w:t>
      </w:r>
      <w:r>
        <w:t>.</w:t>
      </w:r>
    </w:p>
    <w:p w14:paraId="57972877" w14:textId="6DB202CF" w:rsidR="00F437F7" w:rsidRDefault="00F5304F" w:rsidP="001045B3">
      <w:r w:rsidRPr="00F5304F">
        <w:rPr>
          <w:b/>
        </w:rPr>
        <w:t>6B:</w:t>
      </w:r>
      <w:r w:rsidR="00F437F7">
        <w:t xml:space="preserve">  Heather Brent Group </w:t>
      </w:r>
      <w:r>
        <w:t xml:space="preserve">Calcite Risk Map </w:t>
      </w:r>
      <w:r w:rsidR="00F437F7">
        <w:t>- simplified map illustrated in Figure 6A.  Categorisation of calcite risk based on estimated cumulative thickness of calcite cemented reservoir.</w:t>
      </w:r>
      <w:r w:rsidR="00DB0DAA">
        <w:t xml:space="preserve">  Structure contours are at 100 ft intervals.  </w:t>
      </w:r>
      <w:r w:rsidR="00F437F7">
        <w:t>Location of H67 target indicated</w:t>
      </w:r>
      <w:r w:rsidR="00B544BB">
        <w:t xml:space="preserve"> by white arrow</w:t>
      </w:r>
      <w:r w:rsidR="00F437F7">
        <w:t>.</w:t>
      </w:r>
    </w:p>
    <w:p w14:paraId="5CF84BAC" w14:textId="1835E5FA" w:rsidR="00F437F7" w:rsidRDefault="00F5304F" w:rsidP="001045B3">
      <w:r w:rsidRPr="00F5304F">
        <w:rPr>
          <w:b/>
        </w:rPr>
        <w:t>6C:</w:t>
      </w:r>
      <w:r w:rsidR="00F437F7">
        <w:t xml:space="preserve">  CPI log from well H67 illustrating </w:t>
      </w:r>
      <w:r w:rsidR="00DB0DAA">
        <w:t xml:space="preserve">the </w:t>
      </w:r>
      <w:r w:rsidR="00F437F7">
        <w:t xml:space="preserve">localized development of calcite cement, </w:t>
      </w:r>
      <w:r w:rsidR="00DB0DAA">
        <w:t xml:space="preserve">which is </w:t>
      </w:r>
      <w:r w:rsidR="00F437F7">
        <w:t xml:space="preserve">mainly developed in </w:t>
      </w:r>
      <w:r w:rsidR="00DB0DAA">
        <w:t xml:space="preserve">the </w:t>
      </w:r>
      <w:r w:rsidR="00F437F7">
        <w:t xml:space="preserve">Lower Brent intervals (Broom-Rannoch and Etive) and relatively little in </w:t>
      </w:r>
      <w:r w:rsidR="00DB0DAA">
        <w:t xml:space="preserve">the </w:t>
      </w:r>
      <w:r w:rsidR="00F437F7">
        <w:t>Upper Brent (Ness and Tarbert).  Overall</w:t>
      </w:r>
      <w:r w:rsidR="004E3C54">
        <w:t>,</w:t>
      </w:r>
      <w:r w:rsidR="00F437F7">
        <w:t xml:space="preserve"> </w:t>
      </w:r>
      <w:r w:rsidR="00DB0DAA">
        <w:t xml:space="preserve">the </w:t>
      </w:r>
      <w:r w:rsidR="00F437F7">
        <w:t>properties</w:t>
      </w:r>
      <w:r w:rsidR="00DB0DAA">
        <w:t xml:space="preserve"> </w:t>
      </w:r>
      <w:r w:rsidR="00F437F7">
        <w:t xml:space="preserve">and calcite cement content </w:t>
      </w:r>
      <w:r w:rsidR="00DB0DAA">
        <w:t xml:space="preserve">are </w:t>
      </w:r>
      <w:r w:rsidR="00F437F7">
        <w:t>in line with pre-drill prognosis.</w:t>
      </w:r>
      <w:r w:rsidR="00DB0DAA">
        <w:t xml:space="preserve"> GR: Gamma Ray, VSH: Estimated shale volume, RHOB: density and NPHI: Neutron porosity. Calcite Flag: Yellow – calcite absent; Red – calcite cement.</w:t>
      </w:r>
    </w:p>
    <w:p w14:paraId="3C7BFBA6" w14:textId="77777777" w:rsidR="00F437F7" w:rsidRDefault="00F437F7" w:rsidP="001045B3"/>
    <w:p w14:paraId="7B71D3F0" w14:textId="497EC23A" w:rsidR="00F437F7" w:rsidRDefault="00F437F7" w:rsidP="001045B3">
      <w:r w:rsidRPr="0026727D">
        <w:rPr>
          <w:b/>
        </w:rPr>
        <w:t>Figure 7.</w:t>
      </w:r>
      <w:r>
        <w:t xml:space="preserve">  Well logs from well 211/18-A07 in </w:t>
      </w:r>
      <w:r w:rsidR="009861FE">
        <w:t xml:space="preserve">the </w:t>
      </w:r>
      <w:r>
        <w:t xml:space="preserve">Thistle </w:t>
      </w:r>
      <w:r w:rsidR="00DB0DAA">
        <w:t>F</w:t>
      </w:r>
      <w:r>
        <w:t>ield illustrating</w:t>
      </w:r>
      <w:r w:rsidR="00DB0DAA">
        <w:t xml:space="preserve"> the</w:t>
      </w:r>
      <w:r>
        <w:t xml:space="preserve"> </w:t>
      </w:r>
      <w:r w:rsidR="0026727D">
        <w:t xml:space="preserve">typical expression of baffles in </w:t>
      </w:r>
      <w:r w:rsidR="00DB0DAA">
        <w:t xml:space="preserve">the </w:t>
      </w:r>
      <w:r w:rsidR="0026727D">
        <w:t xml:space="preserve">Etive Formation.  Baffles and barriers generally show slightly higher gamma-ray and density values </w:t>
      </w:r>
      <w:proofErr w:type="gramStart"/>
      <w:r w:rsidR="0026727D">
        <w:t>and also</w:t>
      </w:r>
      <w:proofErr w:type="gramEnd"/>
      <w:r w:rsidR="0026727D">
        <w:t xml:space="preserve"> reduced estimated porosity, together with lower permeability and porosity measured where core available.  Upper and Lower Etive subdivisions illustrated.</w:t>
      </w:r>
      <w:r w:rsidR="004268CB">
        <w:t xml:space="preserve"> </w:t>
      </w:r>
      <w:r w:rsidR="004268CB">
        <w:lastRenderedPageBreak/>
        <w:t>GR: Gamma Ray, VSH: Estimated shale volume, NPHI: Neutron porosity, RHOB: density, PHIE: Porosity (effective), K: permeability and SWE: water saturation (blue).</w:t>
      </w:r>
    </w:p>
    <w:p w14:paraId="7DB0E7CF" w14:textId="77777777" w:rsidR="004801FC" w:rsidRDefault="004801FC" w:rsidP="001045B3"/>
    <w:p w14:paraId="06B9DD60" w14:textId="63D99806" w:rsidR="004801FC" w:rsidRDefault="004801FC" w:rsidP="004801FC">
      <w:r w:rsidRPr="006713BD">
        <w:rPr>
          <w:b/>
        </w:rPr>
        <w:t xml:space="preserve">Figure </w:t>
      </w:r>
      <w:r w:rsidR="004268CB">
        <w:rPr>
          <w:b/>
        </w:rPr>
        <w:t>8</w:t>
      </w:r>
      <w:r>
        <w:rPr>
          <w:b/>
        </w:rPr>
        <w:t xml:space="preserve">.  </w:t>
      </w:r>
      <w:r>
        <w:t>C</w:t>
      </w:r>
      <w:r w:rsidRPr="006311F8">
        <w:t xml:space="preserve">ombined log of well 211/18-A07, showing sedimentology, gamma ray, bulk density and XRF data for zirconium, iron, </w:t>
      </w:r>
      <w:proofErr w:type="gramStart"/>
      <w:r w:rsidRPr="006311F8">
        <w:t>titanium</w:t>
      </w:r>
      <w:proofErr w:type="gramEnd"/>
      <w:r w:rsidRPr="006311F8">
        <w:t xml:space="preserve"> and aluminium plotted against </w:t>
      </w:r>
      <w:r w:rsidR="001842FC">
        <w:t xml:space="preserve">log </w:t>
      </w:r>
      <w:r w:rsidRPr="006311F8">
        <w:t>depth</w:t>
      </w:r>
      <w:r w:rsidR="00242E04">
        <w:t xml:space="preserve"> (Tansell, 20</w:t>
      </w:r>
      <w:r w:rsidR="009A52E5">
        <w:t>18</w:t>
      </w:r>
      <w:r w:rsidR="00242E04">
        <w:t>)</w:t>
      </w:r>
      <w:r w:rsidRPr="006311F8">
        <w:t xml:space="preserve">. This allows correlation between wireline and XRF data, implying that the anomaly in the wireline is due to the baffle mineralogy. This </w:t>
      </w:r>
      <w:r w:rsidR="001842FC">
        <w:t xml:space="preserve">anomaly also corresponds to </w:t>
      </w:r>
      <w:r w:rsidRPr="006311F8">
        <w:t>a slight decrease in grain size as seen in the sedimentolog</w:t>
      </w:r>
      <w:r w:rsidR="001842FC">
        <w:t>ical log</w:t>
      </w:r>
      <w:r w:rsidRPr="006311F8">
        <w:t>.</w:t>
      </w:r>
      <w:r w:rsidR="002A1999">
        <w:t xml:space="preserve">  GR: Gamma Ray, VSH: Estimated shale volume, NPHI: Neutron porosity, RHOB: density, Por: porosity, Perm: permeability and Sw: water saturation (blue).</w:t>
      </w:r>
    </w:p>
    <w:p w14:paraId="236E5204" w14:textId="77777777" w:rsidR="00F5304F" w:rsidRDefault="00F5304F" w:rsidP="004801FC"/>
    <w:p w14:paraId="5A4D2863" w14:textId="22708FAB" w:rsidR="004801FC" w:rsidRDefault="004801FC" w:rsidP="004801FC">
      <w:r w:rsidRPr="00E66530">
        <w:rPr>
          <w:b/>
        </w:rPr>
        <w:t xml:space="preserve">Figure </w:t>
      </w:r>
      <w:r w:rsidR="001842FC">
        <w:rPr>
          <w:b/>
        </w:rPr>
        <w:t>9</w:t>
      </w:r>
      <w:r>
        <w:t xml:space="preserve">.  </w:t>
      </w:r>
      <w:r w:rsidRPr="006311F8">
        <w:t>A detailed sedimentary log of a 63ft section of well 211/18-A07 from 9380-9443ft</w:t>
      </w:r>
      <w:r w:rsidR="001842FC">
        <w:t xml:space="preserve"> (core depth</w:t>
      </w:r>
      <w:r w:rsidR="00A510C0">
        <w:t>s</w:t>
      </w:r>
      <w:r w:rsidR="001842FC">
        <w:t>)</w:t>
      </w:r>
      <w:r w:rsidRPr="006311F8">
        <w:t xml:space="preserve">, showing relative staining, key sedimentary </w:t>
      </w:r>
      <w:proofErr w:type="gramStart"/>
      <w:r w:rsidRPr="006311F8">
        <w:t>features</w:t>
      </w:r>
      <w:proofErr w:type="gramEnd"/>
      <w:r w:rsidRPr="006311F8">
        <w:t xml:space="preserve"> and descriptions of the three distinct facies</w:t>
      </w:r>
      <w:r w:rsidR="00242E04">
        <w:t xml:space="preserve"> </w:t>
      </w:r>
      <w:r w:rsidR="00083377">
        <w:t xml:space="preserve">observed </w:t>
      </w:r>
      <w:r w:rsidR="00242E04">
        <w:t>(Tansell, 20</w:t>
      </w:r>
      <w:r w:rsidR="009A52E5">
        <w:t>18</w:t>
      </w:r>
      <w:r w:rsidR="00242E04">
        <w:t>).</w:t>
      </w:r>
      <w:r w:rsidR="001842FC">
        <w:t xml:space="preserve">  Note there is a core shift of c.10ft relative </w:t>
      </w:r>
      <w:r w:rsidR="009861FE">
        <w:t xml:space="preserve">to </w:t>
      </w:r>
      <w:r w:rsidR="001842FC">
        <w:t>log depth</w:t>
      </w:r>
      <w:r w:rsidR="00083377">
        <w:t xml:space="preserve"> as used in Figure 8.</w:t>
      </w:r>
      <w:r w:rsidR="001842FC">
        <w:t xml:space="preserve"> </w:t>
      </w:r>
      <w:r w:rsidR="00242E04">
        <w:t xml:space="preserve"> </w:t>
      </w:r>
    </w:p>
    <w:p w14:paraId="0215DC33" w14:textId="77777777" w:rsidR="001842FC" w:rsidRDefault="001842FC" w:rsidP="004801FC"/>
    <w:p w14:paraId="6976AAAA" w14:textId="77777777" w:rsidR="00B92DF7" w:rsidRDefault="001842FC" w:rsidP="001842FC">
      <w:r w:rsidRPr="00255010">
        <w:rPr>
          <w:b/>
        </w:rPr>
        <w:t>Figure 1</w:t>
      </w:r>
      <w:r>
        <w:rPr>
          <w:b/>
        </w:rPr>
        <w:t>0</w:t>
      </w:r>
      <w:r w:rsidRPr="00255010">
        <w:rPr>
          <w:b/>
        </w:rPr>
        <w:t>.</w:t>
      </w:r>
      <w:r>
        <w:t xml:space="preserve"> </w:t>
      </w:r>
    </w:p>
    <w:p w14:paraId="6010754D" w14:textId="77777777" w:rsidR="00B92DF7" w:rsidRDefault="00A510C0" w:rsidP="001842FC">
      <w:r w:rsidRPr="00A510C0">
        <w:rPr>
          <w:b/>
          <w:bCs/>
        </w:rPr>
        <w:t>A</w:t>
      </w:r>
      <w:r w:rsidR="00083377">
        <w:t xml:space="preserve">: </w:t>
      </w:r>
      <w:r w:rsidR="001842FC">
        <w:t>Cross-plot of calculated porosity against kaolinite volume % using QEMSCAN</w:t>
      </w:r>
      <w:r w:rsidR="00083377">
        <w:t xml:space="preserve"> data, which illustrates</w:t>
      </w:r>
      <w:r w:rsidR="001842FC">
        <w:t xml:space="preserve"> </w:t>
      </w:r>
      <w:r w:rsidR="00083377">
        <w:t xml:space="preserve">a </w:t>
      </w:r>
      <w:r w:rsidR="001842FC">
        <w:t>strongly inverse relationship, indicating that kaolinite is largely pore-filling, as well as locally replacive</w:t>
      </w:r>
      <w:r>
        <w:t xml:space="preserve"> (data from </w:t>
      </w:r>
      <w:r w:rsidRPr="0026727D">
        <w:t>211/18-</w:t>
      </w:r>
      <w:r>
        <w:t>A07, A33, A31, A44 and A47)</w:t>
      </w:r>
      <w:r w:rsidR="001842FC">
        <w:t>.</w:t>
      </w:r>
    </w:p>
    <w:p w14:paraId="4BD5CDBA" w14:textId="77777777" w:rsidR="00B92DF7" w:rsidRDefault="00083377" w:rsidP="001842FC">
      <w:r w:rsidRPr="00A510C0">
        <w:rPr>
          <w:b/>
          <w:bCs/>
        </w:rPr>
        <w:t>B</w:t>
      </w:r>
      <w:r>
        <w:t xml:space="preserve">: </w:t>
      </w:r>
      <w:r w:rsidR="001842FC">
        <w:t xml:space="preserve">Cross-plot of K-feldspar volume % against kaolinite volume % indicating a generally negative relationship, supporting the interpretation that much of the kaolinite has been locally derived from the dissolution of </w:t>
      </w:r>
      <w:r>
        <w:t>K</w:t>
      </w:r>
      <w:r w:rsidR="001842FC">
        <w:t>-feldspar</w:t>
      </w:r>
      <w:r w:rsidR="00A510C0">
        <w:t xml:space="preserve"> (well data as in A)</w:t>
      </w:r>
      <w:r w:rsidR="001842FC">
        <w:t>.</w:t>
      </w:r>
    </w:p>
    <w:p w14:paraId="3ABFD53C" w14:textId="77777777" w:rsidR="00B92DF7" w:rsidRDefault="00A510C0" w:rsidP="001842FC">
      <w:r w:rsidRPr="00A510C0">
        <w:rPr>
          <w:b/>
          <w:bCs/>
        </w:rPr>
        <w:t>C</w:t>
      </w:r>
      <w:r>
        <w:t xml:space="preserve">: </w:t>
      </w:r>
      <w:r w:rsidR="001842FC">
        <w:t>XRF plot illustrating the high Al, Ti and Fe concentrations observed in the baffle zones reflecting high concentrations of kaolinite and heavy minerals, and siderite</w:t>
      </w:r>
      <w:r>
        <w:t xml:space="preserve"> – well </w:t>
      </w:r>
      <w:r w:rsidRPr="0026727D">
        <w:t>211/18-</w:t>
      </w:r>
      <w:r>
        <w:t>A07 (9403-9412</w:t>
      </w:r>
      <w:r w:rsidR="004E3C54">
        <w:t>ft</w:t>
      </w:r>
      <w:r>
        <w:t xml:space="preserve"> – depth shifted to log depth)</w:t>
      </w:r>
      <w:r w:rsidR="001842FC">
        <w:t>.</w:t>
      </w:r>
    </w:p>
    <w:p w14:paraId="6CD3262B" w14:textId="5DCDC9B4" w:rsidR="001842FC" w:rsidRDefault="00A510C0" w:rsidP="001842FC">
      <w:r w:rsidRPr="00A510C0">
        <w:rPr>
          <w:b/>
          <w:bCs/>
        </w:rPr>
        <w:t>D</w:t>
      </w:r>
      <w:r>
        <w:t xml:space="preserve">: Detail of core photograph of </w:t>
      </w:r>
      <w:r w:rsidRPr="0026727D">
        <w:t>211/18-</w:t>
      </w:r>
      <w:r>
        <w:t>A07 baffle interval illustrating planar lamination to low-angle lamination and light colour indicating low hydrocarbon staining.</w:t>
      </w:r>
    </w:p>
    <w:p w14:paraId="5D133C00" w14:textId="77777777" w:rsidR="0026727D" w:rsidRDefault="0026727D" w:rsidP="004801FC"/>
    <w:p w14:paraId="62379D7E" w14:textId="02CE2D28" w:rsidR="004801FC" w:rsidRDefault="0026727D" w:rsidP="001045B3">
      <w:r w:rsidRPr="00255010">
        <w:rPr>
          <w:b/>
        </w:rPr>
        <w:t xml:space="preserve">Figure </w:t>
      </w:r>
      <w:r w:rsidR="00255010" w:rsidRPr="00255010">
        <w:rPr>
          <w:b/>
        </w:rPr>
        <w:t>11.</w:t>
      </w:r>
      <w:r w:rsidRPr="0026727D">
        <w:t xml:space="preserve"> QEMSCAN images showing </w:t>
      </w:r>
      <w:r w:rsidR="00255010">
        <w:t xml:space="preserve">A. </w:t>
      </w:r>
      <w:r w:rsidRPr="0026727D">
        <w:t xml:space="preserve">bulk </w:t>
      </w:r>
      <w:r w:rsidR="00255010">
        <w:t>reservoir</w:t>
      </w:r>
      <w:r w:rsidRPr="0026727D">
        <w:t xml:space="preserve"> and </w:t>
      </w:r>
      <w:r w:rsidR="00255010">
        <w:t xml:space="preserve">B. </w:t>
      </w:r>
      <w:r w:rsidRPr="0026727D">
        <w:t xml:space="preserve">baffle </w:t>
      </w:r>
      <w:r>
        <w:t>min</w:t>
      </w:r>
      <w:r w:rsidRPr="0026727D">
        <w:t xml:space="preserve">eralogy 211/18-A07 </w:t>
      </w:r>
      <w:r w:rsidR="00242E04">
        <w:t>(Tansell, 20</w:t>
      </w:r>
      <w:r w:rsidR="009A52E5">
        <w:t>18</w:t>
      </w:r>
      <w:r w:rsidR="00242E04">
        <w:t>)</w:t>
      </w:r>
      <w:r>
        <w:t>.</w:t>
      </w:r>
      <w:r w:rsidR="00F5304F">
        <w:t xml:space="preserve">  </w:t>
      </w:r>
      <w:r w:rsidR="00255010">
        <w:t xml:space="preserve">Above the baffle (A) there is high porosity and low concentrations of kaolinite.  </w:t>
      </w:r>
      <w:r w:rsidR="00255010">
        <w:lastRenderedPageBreak/>
        <w:t>Baffle lithology sample (B) indicate</w:t>
      </w:r>
      <w:r w:rsidR="009A52E5">
        <w:t>s</w:t>
      </w:r>
      <w:r w:rsidR="00255010">
        <w:t xml:space="preserve"> a high volume of kaolinite cement and heavy mineral concentrations or laminae.</w:t>
      </w:r>
    </w:p>
    <w:p w14:paraId="04F20D38" w14:textId="54F1E07B" w:rsidR="004268CB" w:rsidRDefault="004268CB" w:rsidP="001045B3"/>
    <w:p w14:paraId="5321E5D9" w14:textId="3C81316F" w:rsidR="00A510C0" w:rsidRDefault="004268CB" w:rsidP="00A510C0">
      <w:r w:rsidRPr="0026727D">
        <w:rPr>
          <w:b/>
        </w:rPr>
        <w:t xml:space="preserve">Figure </w:t>
      </w:r>
      <w:r w:rsidR="001842FC">
        <w:rPr>
          <w:b/>
        </w:rPr>
        <w:t>12</w:t>
      </w:r>
      <w:r w:rsidRPr="0026727D">
        <w:rPr>
          <w:b/>
        </w:rPr>
        <w:t>.</w:t>
      </w:r>
      <w:r>
        <w:t xml:space="preserve">  Production logging tool (PLT) data from well </w:t>
      </w:r>
      <w:r w:rsidR="001842FC">
        <w:t>211/18-</w:t>
      </w:r>
      <w:r>
        <w:t xml:space="preserve">A61 illustrating </w:t>
      </w:r>
      <w:r w:rsidR="001842FC">
        <w:t xml:space="preserve">the </w:t>
      </w:r>
      <w:r>
        <w:t>estimated well inflow contributions of oil and water</w:t>
      </w:r>
      <w:r w:rsidR="009861FE">
        <w:t xml:space="preserve"> (data from Schlumberger)</w:t>
      </w:r>
      <w:r>
        <w:t xml:space="preserve">.  </w:t>
      </w:r>
      <w:r w:rsidR="001842FC">
        <w:t>The b</w:t>
      </w:r>
      <w:r>
        <w:t xml:space="preserve">affle indicates </w:t>
      </w:r>
      <w:r w:rsidR="001842FC">
        <w:t xml:space="preserve">the </w:t>
      </w:r>
      <w:r>
        <w:t>boundary between mixed oil and water inflow above and predominantly water below</w:t>
      </w:r>
      <w:r w:rsidR="001842FC">
        <w:t>.</w:t>
      </w:r>
      <w:r w:rsidR="00A510C0" w:rsidRPr="00A510C0">
        <w:t xml:space="preserve"> </w:t>
      </w:r>
      <w:r w:rsidR="00A510C0">
        <w:t>GR: Gamma Ray, NPHI: Neutron porosity, RHOB: density, PHIE: Porosity (effective), K: permeability and SWE: water saturation (blue).</w:t>
      </w:r>
    </w:p>
    <w:p w14:paraId="7C67DC8A" w14:textId="77777777" w:rsidR="00255010" w:rsidRDefault="00255010" w:rsidP="001045B3"/>
    <w:p w14:paraId="3784897A" w14:textId="2B8B9FDF" w:rsidR="00255010" w:rsidRDefault="005C60A5" w:rsidP="001045B3">
      <w:r w:rsidRPr="005C60A5">
        <w:rPr>
          <w:b/>
        </w:rPr>
        <w:t>Figure 13.</w:t>
      </w:r>
      <w:r>
        <w:t xml:space="preserve">  </w:t>
      </w:r>
      <w:r w:rsidR="00255010">
        <w:t>Schematic well log panel illustrating the stratigraphic and spatial distribution of the diffe</w:t>
      </w:r>
      <w:r>
        <w:t>re</w:t>
      </w:r>
      <w:r w:rsidR="00255010">
        <w:t>nt baffle types observe</w:t>
      </w:r>
      <w:r>
        <w:t xml:space="preserve">d within the Etive Formation in </w:t>
      </w:r>
      <w:r w:rsidR="00A510C0">
        <w:t xml:space="preserve">the </w:t>
      </w:r>
      <w:r>
        <w:t>Thistle</w:t>
      </w:r>
      <w:r w:rsidR="00A510C0">
        <w:t xml:space="preserve"> Field</w:t>
      </w:r>
      <w:r w:rsidR="00D21CFE">
        <w:t>.</w:t>
      </w:r>
      <w:r w:rsidR="00F5304F">
        <w:t xml:space="preserve">  Type A baffles – carbonaceous mudstones and thin coals, are generally only observed in the Upper Etive and are relatively limited in extent.  Type B baffles </w:t>
      </w:r>
      <w:r w:rsidR="006C22A8">
        <w:t>– kaolinite cemented sandstones, are mainly developed at the Lower-Upper boundary of the Etive and are more continuous, reflecting a significant change in depositional conditions across the field.</w:t>
      </w:r>
      <w:r w:rsidR="00242E04">
        <w:t xml:space="preserve">  Core facies description and correlation from Lomond Associates Report</w:t>
      </w:r>
      <w:r w:rsidR="00242E04" w:rsidRPr="006311F8">
        <w:t>.</w:t>
      </w:r>
    </w:p>
    <w:p w14:paraId="729AE429" w14:textId="77777777" w:rsidR="006C22A8" w:rsidRDefault="006C22A8" w:rsidP="001045B3"/>
    <w:p w14:paraId="3B2FE6BD" w14:textId="4D711B69" w:rsidR="006C22A8" w:rsidRPr="00D3786D" w:rsidRDefault="006C22A8" w:rsidP="001045B3">
      <w:r w:rsidRPr="00C35700">
        <w:rPr>
          <w:b/>
        </w:rPr>
        <w:t>Figure 14.</w:t>
      </w:r>
      <w:r>
        <w:t xml:space="preserve">  </w:t>
      </w:r>
      <w:r w:rsidR="004E3C54">
        <w:t>A s</w:t>
      </w:r>
      <w:r>
        <w:t xml:space="preserve">chematic </w:t>
      </w:r>
      <w:r w:rsidR="00C35700">
        <w:t xml:space="preserve">flow diagram illustrating the integration of core-based data and </w:t>
      </w:r>
      <w:r w:rsidR="004E3C54">
        <w:t xml:space="preserve">associated </w:t>
      </w:r>
      <w:r w:rsidR="00C35700">
        <w:t>interpretation</w:t>
      </w:r>
      <w:r w:rsidR="004E3C54">
        <w:t>s</w:t>
      </w:r>
      <w:r w:rsidR="00C35700">
        <w:t xml:space="preserve"> in the general subsurface workflow from developing geological understanding</w:t>
      </w:r>
      <w:r w:rsidR="009861FE">
        <w:t xml:space="preserve"> to</w:t>
      </w:r>
      <w:r w:rsidR="00C35700">
        <w:t xml:space="preserve"> model building through to problem solving and decision making. </w:t>
      </w:r>
    </w:p>
    <w:p w14:paraId="37B3C597" w14:textId="77777777" w:rsidR="001045B3" w:rsidRDefault="001045B3" w:rsidP="001045B3">
      <w:pPr>
        <w:rPr>
          <w:b/>
        </w:rPr>
      </w:pPr>
    </w:p>
    <w:p w14:paraId="06AFFF09" w14:textId="77777777" w:rsidR="001045B3" w:rsidRDefault="001045B3" w:rsidP="001045B3">
      <w:pPr>
        <w:rPr>
          <w:b/>
        </w:rPr>
      </w:pPr>
    </w:p>
    <w:p w14:paraId="28D7B332" w14:textId="77777777" w:rsidR="001045B3" w:rsidRDefault="001045B3" w:rsidP="001045B3">
      <w:pPr>
        <w:rPr>
          <w:b/>
        </w:rPr>
      </w:pPr>
    </w:p>
    <w:p w14:paraId="76023E1B" w14:textId="77777777" w:rsidR="001045B3" w:rsidRDefault="001045B3" w:rsidP="001045B3"/>
    <w:p w14:paraId="67E0DCEA" w14:textId="14DD7611" w:rsidR="00137372" w:rsidRDefault="00137372">
      <w:pPr>
        <w:spacing w:after="160" w:line="259" w:lineRule="auto"/>
        <w:jc w:val="left"/>
        <w:rPr>
          <w:rFonts w:cstheme="minorHAnsi"/>
          <w:color w:val="000000" w:themeColor="text1"/>
        </w:rPr>
      </w:pPr>
      <w:r>
        <w:rPr>
          <w:noProof/>
        </w:rPr>
        <w:lastRenderedPageBreak/>
        <w:drawing>
          <wp:inline distT="0" distB="0" distL="0" distR="0" wp14:anchorId="0F073482" wp14:editId="43789D98">
            <wp:extent cx="6115050" cy="475615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6"/>
                    <a:srcRect l="24762" t="20386" r="28872" b="15502"/>
                    <a:stretch/>
                  </pic:blipFill>
                  <pic:spPr bwMode="auto">
                    <a:xfrm>
                      <a:off x="0" y="0"/>
                      <a:ext cx="6124445" cy="4763457"/>
                    </a:xfrm>
                    <a:prstGeom prst="rect">
                      <a:avLst/>
                    </a:prstGeom>
                    <a:ln>
                      <a:noFill/>
                    </a:ln>
                    <a:extLst>
                      <a:ext uri="{53640926-AAD7-44D8-BBD7-CCE9431645EC}">
                        <a14:shadowObscured xmlns:a14="http://schemas.microsoft.com/office/drawing/2010/main"/>
                      </a:ext>
                    </a:extLst>
                  </pic:spPr>
                </pic:pic>
              </a:graphicData>
            </a:graphic>
          </wp:inline>
        </w:drawing>
      </w:r>
    </w:p>
    <w:p w14:paraId="4F1593CF" w14:textId="28FC088D" w:rsidR="00FB2A53" w:rsidRDefault="00FB2A53">
      <w:pPr>
        <w:spacing w:after="160" w:line="259" w:lineRule="auto"/>
        <w:jc w:val="left"/>
        <w:rPr>
          <w:rFonts w:cstheme="minorHAnsi"/>
          <w:color w:val="000000" w:themeColor="text1"/>
        </w:rPr>
      </w:pPr>
      <w:r>
        <w:rPr>
          <w:rFonts w:cstheme="minorHAnsi"/>
          <w:color w:val="000000" w:themeColor="text1"/>
        </w:rPr>
        <w:br w:type="page"/>
      </w:r>
    </w:p>
    <w:p w14:paraId="4D1A4FF7" w14:textId="0FFF37A9" w:rsidR="001045B3" w:rsidRDefault="00137372" w:rsidP="00711CA2">
      <w:pPr>
        <w:rPr>
          <w:rFonts w:cstheme="minorHAnsi"/>
          <w:color w:val="000000" w:themeColor="text1"/>
        </w:rPr>
      </w:pPr>
      <w:r w:rsidRPr="00137372">
        <w:rPr>
          <w:noProof/>
        </w:rPr>
        <w:lastRenderedPageBreak/>
        <w:drawing>
          <wp:inline distT="0" distB="0" distL="0" distR="0" wp14:anchorId="4D070E9C" wp14:editId="6441BA3F">
            <wp:extent cx="5633742" cy="5133975"/>
            <wp:effectExtent l="0" t="0" r="508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7"/>
                    <a:srcRect l="19942" t="20091" r="38843" b="13137"/>
                    <a:stretch/>
                  </pic:blipFill>
                  <pic:spPr bwMode="auto">
                    <a:xfrm>
                      <a:off x="0" y="0"/>
                      <a:ext cx="5647662" cy="5146660"/>
                    </a:xfrm>
                    <a:prstGeom prst="rect">
                      <a:avLst/>
                    </a:prstGeom>
                    <a:ln>
                      <a:noFill/>
                    </a:ln>
                    <a:extLst>
                      <a:ext uri="{53640926-AAD7-44D8-BBD7-CCE9431645EC}">
                        <a14:shadowObscured xmlns:a14="http://schemas.microsoft.com/office/drawing/2010/main"/>
                      </a:ext>
                    </a:extLst>
                  </pic:spPr>
                </pic:pic>
              </a:graphicData>
            </a:graphic>
          </wp:inline>
        </w:drawing>
      </w:r>
    </w:p>
    <w:p w14:paraId="4942ABA2" w14:textId="1DBF4F0E" w:rsidR="00FB2A53" w:rsidRDefault="00FB2A53">
      <w:pPr>
        <w:spacing w:after="160" w:line="259" w:lineRule="auto"/>
        <w:jc w:val="left"/>
        <w:rPr>
          <w:rFonts w:cstheme="minorHAnsi"/>
          <w:color w:val="000000" w:themeColor="text1"/>
        </w:rPr>
      </w:pPr>
      <w:r>
        <w:rPr>
          <w:rFonts w:cstheme="minorHAnsi"/>
          <w:color w:val="000000" w:themeColor="text1"/>
        </w:rPr>
        <w:br w:type="page"/>
      </w:r>
    </w:p>
    <w:p w14:paraId="29D2F032" w14:textId="6FE996B2" w:rsidR="00FB2A53" w:rsidRDefault="00137372" w:rsidP="00FB2A53">
      <w:pPr>
        <w:rPr>
          <w:rFonts w:cstheme="minorHAnsi"/>
          <w:color w:val="000000" w:themeColor="text1"/>
        </w:rPr>
      </w:pPr>
      <w:r>
        <w:rPr>
          <w:noProof/>
        </w:rPr>
        <w:lastRenderedPageBreak/>
        <w:drawing>
          <wp:inline distT="0" distB="0" distL="0" distR="0" wp14:anchorId="6F470DDE" wp14:editId="1CF7AF14">
            <wp:extent cx="5942359" cy="3931920"/>
            <wp:effectExtent l="0" t="0" r="127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8"/>
                    <a:srcRect l="20441" t="21862" r="24053" b="12843"/>
                    <a:stretch/>
                  </pic:blipFill>
                  <pic:spPr bwMode="auto">
                    <a:xfrm>
                      <a:off x="0" y="0"/>
                      <a:ext cx="5951640" cy="3938061"/>
                    </a:xfrm>
                    <a:prstGeom prst="rect">
                      <a:avLst/>
                    </a:prstGeom>
                    <a:ln>
                      <a:noFill/>
                    </a:ln>
                    <a:extLst>
                      <a:ext uri="{53640926-AAD7-44D8-BBD7-CCE9431645EC}">
                        <a14:shadowObscured xmlns:a14="http://schemas.microsoft.com/office/drawing/2010/main"/>
                      </a:ext>
                    </a:extLst>
                  </pic:spPr>
                </pic:pic>
              </a:graphicData>
            </a:graphic>
          </wp:inline>
        </w:drawing>
      </w:r>
    </w:p>
    <w:p w14:paraId="1C557F2A"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16FC2F4C" w14:textId="1BADA46B" w:rsidR="00FB2A53" w:rsidRDefault="00137372" w:rsidP="00FB2A53">
      <w:pPr>
        <w:rPr>
          <w:rFonts w:cstheme="minorHAnsi"/>
          <w:color w:val="000000" w:themeColor="text1"/>
        </w:rPr>
      </w:pPr>
      <w:r>
        <w:rPr>
          <w:noProof/>
        </w:rPr>
        <w:lastRenderedPageBreak/>
        <w:drawing>
          <wp:inline distT="0" distB="0" distL="0" distR="0" wp14:anchorId="6F895BBC" wp14:editId="4E2E08A0">
            <wp:extent cx="6139543" cy="54144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9"/>
                    <a:srcRect l="27421" t="20681" r="30368" b="13138"/>
                    <a:stretch/>
                  </pic:blipFill>
                  <pic:spPr bwMode="auto">
                    <a:xfrm>
                      <a:off x="0" y="0"/>
                      <a:ext cx="6155364" cy="5428352"/>
                    </a:xfrm>
                    <a:prstGeom prst="rect">
                      <a:avLst/>
                    </a:prstGeom>
                    <a:ln>
                      <a:noFill/>
                    </a:ln>
                    <a:extLst>
                      <a:ext uri="{53640926-AAD7-44D8-BBD7-CCE9431645EC}">
                        <a14:shadowObscured xmlns:a14="http://schemas.microsoft.com/office/drawing/2010/main"/>
                      </a:ext>
                    </a:extLst>
                  </pic:spPr>
                </pic:pic>
              </a:graphicData>
            </a:graphic>
          </wp:inline>
        </w:drawing>
      </w:r>
    </w:p>
    <w:p w14:paraId="63AF438F"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55BFB3B1" w14:textId="20EEC841" w:rsidR="00FB2A53" w:rsidRDefault="00137372" w:rsidP="00FB2A53">
      <w:pPr>
        <w:rPr>
          <w:rFonts w:cstheme="minorHAnsi"/>
          <w:color w:val="000000" w:themeColor="text1"/>
        </w:rPr>
      </w:pPr>
      <w:r>
        <w:rPr>
          <w:noProof/>
        </w:rPr>
        <w:lastRenderedPageBreak/>
        <w:drawing>
          <wp:inline distT="0" distB="0" distL="0" distR="0" wp14:anchorId="03851C64" wp14:editId="64CC12D6">
            <wp:extent cx="6169650" cy="4258491"/>
            <wp:effectExtent l="0" t="0" r="3175" b="889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10"/>
                    <a:srcRect l="22103" t="21272" r="24928" b="13729"/>
                    <a:stretch/>
                  </pic:blipFill>
                  <pic:spPr bwMode="auto">
                    <a:xfrm>
                      <a:off x="0" y="0"/>
                      <a:ext cx="6179125" cy="4265031"/>
                    </a:xfrm>
                    <a:prstGeom prst="rect">
                      <a:avLst/>
                    </a:prstGeom>
                    <a:ln>
                      <a:noFill/>
                    </a:ln>
                    <a:extLst>
                      <a:ext uri="{53640926-AAD7-44D8-BBD7-CCE9431645EC}">
                        <a14:shadowObscured xmlns:a14="http://schemas.microsoft.com/office/drawing/2010/main"/>
                      </a:ext>
                    </a:extLst>
                  </pic:spPr>
                </pic:pic>
              </a:graphicData>
            </a:graphic>
          </wp:inline>
        </w:drawing>
      </w:r>
    </w:p>
    <w:p w14:paraId="365D78F9"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3AF6C2F9" w14:textId="39578174" w:rsidR="00FB2A53" w:rsidRDefault="00137372" w:rsidP="00FB2A53">
      <w:pPr>
        <w:rPr>
          <w:rFonts w:cstheme="minorHAnsi"/>
          <w:color w:val="000000" w:themeColor="text1"/>
        </w:rPr>
      </w:pPr>
      <w:r>
        <w:rPr>
          <w:noProof/>
        </w:rPr>
        <w:lastRenderedPageBreak/>
        <w:drawing>
          <wp:inline distT="0" distB="0" distL="0" distR="0" wp14:anchorId="03F8CDBB" wp14:editId="14C1291D">
            <wp:extent cx="5721531" cy="3687576"/>
            <wp:effectExtent l="0" t="0" r="0" b="82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1"/>
                    <a:srcRect l="19610" t="20386" r="22889" b="13729"/>
                    <a:stretch/>
                  </pic:blipFill>
                  <pic:spPr bwMode="auto">
                    <a:xfrm>
                      <a:off x="0" y="0"/>
                      <a:ext cx="5734650" cy="3696031"/>
                    </a:xfrm>
                    <a:prstGeom prst="rect">
                      <a:avLst/>
                    </a:prstGeom>
                    <a:ln>
                      <a:noFill/>
                    </a:ln>
                    <a:extLst>
                      <a:ext uri="{53640926-AAD7-44D8-BBD7-CCE9431645EC}">
                        <a14:shadowObscured xmlns:a14="http://schemas.microsoft.com/office/drawing/2010/main"/>
                      </a:ext>
                    </a:extLst>
                  </pic:spPr>
                </pic:pic>
              </a:graphicData>
            </a:graphic>
          </wp:inline>
        </w:drawing>
      </w:r>
    </w:p>
    <w:p w14:paraId="6D0E1010" w14:textId="4D62683E" w:rsidR="00137372" w:rsidRDefault="00137372" w:rsidP="00FB2A53">
      <w:pPr>
        <w:rPr>
          <w:rFonts w:cstheme="minorHAnsi"/>
          <w:color w:val="000000" w:themeColor="text1"/>
        </w:rPr>
      </w:pPr>
    </w:p>
    <w:p w14:paraId="5345FD98" w14:textId="35D2AB6E" w:rsidR="00137372" w:rsidRDefault="00137372" w:rsidP="00FB2A53">
      <w:pPr>
        <w:rPr>
          <w:rFonts w:cstheme="minorHAnsi"/>
          <w:color w:val="000000" w:themeColor="text1"/>
        </w:rPr>
      </w:pPr>
      <w:r>
        <w:rPr>
          <w:noProof/>
        </w:rPr>
        <w:drawing>
          <wp:inline distT="0" distB="0" distL="0" distR="0" wp14:anchorId="6E077B64" wp14:editId="44DBC00A">
            <wp:extent cx="5852160" cy="4039067"/>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2"/>
                    <a:srcRect l="19942" t="19204" r="25881" b="14319"/>
                    <a:stretch/>
                  </pic:blipFill>
                  <pic:spPr bwMode="auto">
                    <a:xfrm>
                      <a:off x="0" y="0"/>
                      <a:ext cx="5867785" cy="4049851"/>
                    </a:xfrm>
                    <a:prstGeom prst="rect">
                      <a:avLst/>
                    </a:prstGeom>
                    <a:ln>
                      <a:noFill/>
                    </a:ln>
                    <a:extLst>
                      <a:ext uri="{53640926-AAD7-44D8-BBD7-CCE9431645EC}">
                        <a14:shadowObscured xmlns:a14="http://schemas.microsoft.com/office/drawing/2010/main"/>
                      </a:ext>
                    </a:extLst>
                  </pic:spPr>
                </pic:pic>
              </a:graphicData>
            </a:graphic>
          </wp:inline>
        </w:drawing>
      </w:r>
    </w:p>
    <w:p w14:paraId="27A28E1E"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2232EF90" w14:textId="426569FD" w:rsidR="00FB2A53" w:rsidRDefault="00137372" w:rsidP="00FB2A53">
      <w:pPr>
        <w:rPr>
          <w:rFonts w:cstheme="minorHAnsi"/>
          <w:color w:val="000000" w:themeColor="text1"/>
        </w:rPr>
      </w:pPr>
      <w:r>
        <w:rPr>
          <w:noProof/>
        </w:rPr>
        <w:lastRenderedPageBreak/>
        <w:drawing>
          <wp:inline distT="0" distB="0" distL="0" distR="0" wp14:anchorId="479FEE38" wp14:editId="77EA18C0">
            <wp:extent cx="6048103" cy="7213623"/>
            <wp:effectExtent l="0" t="0" r="0" b="635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3"/>
                    <a:srcRect l="32406" t="19795" r="35686" b="12547"/>
                    <a:stretch/>
                  </pic:blipFill>
                  <pic:spPr bwMode="auto">
                    <a:xfrm>
                      <a:off x="0" y="0"/>
                      <a:ext cx="6053643" cy="7220231"/>
                    </a:xfrm>
                    <a:prstGeom prst="rect">
                      <a:avLst/>
                    </a:prstGeom>
                    <a:ln>
                      <a:noFill/>
                    </a:ln>
                    <a:extLst>
                      <a:ext uri="{53640926-AAD7-44D8-BBD7-CCE9431645EC}">
                        <a14:shadowObscured xmlns:a14="http://schemas.microsoft.com/office/drawing/2010/main"/>
                      </a:ext>
                    </a:extLst>
                  </pic:spPr>
                </pic:pic>
              </a:graphicData>
            </a:graphic>
          </wp:inline>
        </w:drawing>
      </w:r>
    </w:p>
    <w:p w14:paraId="171D38EA"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571D1511" w14:textId="0932E6EF" w:rsidR="00FB2A53" w:rsidRDefault="00137372" w:rsidP="00FB2A53">
      <w:pPr>
        <w:rPr>
          <w:rFonts w:cstheme="minorHAnsi"/>
          <w:color w:val="000000" w:themeColor="text1"/>
        </w:rPr>
      </w:pPr>
      <w:r>
        <w:rPr>
          <w:noProof/>
        </w:rPr>
        <w:lastRenderedPageBreak/>
        <w:drawing>
          <wp:inline distT="0" distB="0" distL="0" distR="0" wp14:anchorId="00D22496" wp14:editId="476121F5">
            <wp:extent cx="6181297" cy="5617029"/>
            <wp:effectExtent l="0" t="0" r="0" b="317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rotWithShape="1">
                    <a:blip r:embed="rId14"/>
                    <a:srcRect l="28086" t="20682" r="31863" b="14615"/>
                    <a:stretch/>
                  </pic:blipFill>
                  <pic:spPr bwMode="auto">
                    <a:xfrm>
                      <a:off x="0" y="0"/>
                      <a:ext cx="6187193" cy="5622386"/>
                    </a:xfrm>
                    <a:prstGeom prst="rect">
                      <a:avLst/>
                    </a:prstGeom>
                    <a:ln>
                      <a:noFill/>
                    </a:ln>
                    <a:extLst>
                      <a:ext uri="{53640926-AAD7-44D8-BBD7-CCE9431645EC}">
                        <a14:shadowObscured xmlns:a14="http://schemas.microsoft.com/office/drawing/2010/main"/>
                      </a:ext>
                    </a:extLst>
                  </pic:spPr>
                </pic:pic>
              </a:graphicData>
            </a:graphic>
          </wp:inline>
        </w:drawing>
      </w:r>
    </w:p>
    <w:p w14:paraId="11BDFF86"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4100830F" w14:textId="3D26B78C" w:rsidR="00FB2A53" w:rsidRDefault="00137372" w:rsidP="00FB2A53">
      <w:pPr>
        <w:rPr>
          <w:rFonts w:cstheme="minorHAnsi"/>
          <w:color w:val="000000" w:themeColor="text1"/>
        </w:rPr>
      </w:pPr>
      <w:r>
        <w:rPr>
          <w:noProof/>
        </w:rPr>
        <w:lastRenderedPageBreak/>
        <w:drawing>
          <wp:inline distT="0" distB="0" distL="0" distR="0" wp14:anchorId="115C5792" wp14:editId="5A15F412">
            <wp:extent cx="6438113" cy="5630091"/>
            <wp:effectExtent l="0" t="0" r="1270" b="889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rotWithShape="1">
                    <a:blip r:embed="rId15"/>
                    <a:srcRect l="28418" t="21272" r="30534" b="14911"/>
                    <a:stretch/>
                  </pic:blipFill>
                  <pic:spPr bwMode="auto">
                    <a:xfrm>
                      <a:off x="0" y="0"/>
                      <a:ext cx="6451488" cy="5641787"/>
                    </a:xfrm>
                    <a:prstGeom prst="rect">
                      <a:avLst/>
                    </a:prstGeom>
                    <a:ln>
                      <a:noFill/>
                    </a:ln>
                    <a:extLst>
                      <a:ext uri="{53640926-AAD7-44D8-BBD7-CCE9431645EC}">
                        <a14:shadowObscured xmlns:a14="http://schemas.microsoft.com/office/drawing/2010/main"/>
                      </a:ext>
                    </a:extLst>
                  </pic:spPr>
                </pic:pic>
              </a:graphicData>
            </a:graphic>
          </wp:inline>
        </w:drawing>
      </w:r>
    </w:p>
    <w:p w14:paraId="4BB0A5F3"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52DB2A67" w14:textId="46830A39" w:rsidR="00FB2A53" w:rsidRDefault="00137372" w:rsidP="00FB2A53">
      <w:pPr>
        <w:rPr>
          <w:rFonts w:cstheme="minorHAnsi"/>
          <w:color w:val="000000" w:themeColor="text1"/>
        </w:rPr>
      </w:pPr>
      <w:r>
        <w:rPr>
          <w:noProof/>
        </w:rPr>
        <w:lastRenderedPageBreak/>
        <w:drawing>
          <wp:inline distT="0" distB="0" distL="0" distR="0" wp14:anchorId="2C2BFDC8" wp14:editId="35E4FABD">
            <wp:extent cx="6021977" cy="7708131"/>
            <wp:effectExtent l="0" t="0" r="0" b="762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16"/>
                    <a:srcRect l="33570" t="20386" r="37347" b="13433"/>
                    <a:stretch/>
                  </pic:blipFill>
                  <pic:spPr bwMode="auto">
                    <a:xfrm>
                      <a:off x="0" y="0"/>
                      <a:ext cx="6037859" cy="7728459"/>
                    </a:xfrm>
                    <a:prstGeom prst="rect">
                      <a:avLst/>
                    </a:prstGeom>
                    <a:ln>
                      <a:noFill/>
                    </a:ln>
                    <a:extLst>
                      <a:ext uri="{53640926-AAD7-44D8-BBD7-CCE9431645EC}">
                        <a14:shadowObscured xmlns:a14="http://schemas.microsoft.com/office/drawing/2010/main"/>
                      </a:ext>
                    </a:extLst>
                  </pic:spPr>
                </pic:pic>
              </a:graphicData>
            </a:graphic>
          </wp:inline>
        </w:drawing>
      </w:r>
    </w:p>
    <w:p w14:paraId="3CF68410"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58354110" w14:textId="0BB4B6DA" w:rsidR="00FB2A53" w:rsidRDefault="00821F05" w:rsidP="00FB2A53">
      <w:pPr>
        <w:rPr>
          <w:rFonts w:cstheme="minorHAnsi"/>
          <w:color w:val="000000" w:themeColor="text1"/>
        </w:rPr>
      </w:pPr>
      <w:r>
        <w:rPr>
          <w:noProof/>
        </w:rPr>
        <w:lastRenderedPageBreak/>
        <w:drawing>
          <wp:inline distT="0" distB="0" distL="0" distR="0" wp14:anchorId="2ED78344" wp14:editId="306AFE54">
            <wp:extent cx="6166254" cy="6675120"/>
            <wp:effectExtent l="0" t="0" r="6350" b="0"/>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rotWithShape="1">
                    <a:blip r:embed="rId17"/>
                    <a:srcRect l="31575" t="20682" r="34190" b="13433"/>
                    <a:stretch/>
                  </pic:blipFill>
                  <pic:spPr bwMode="auto">
                    <a:xfrm>
                      <a:off x="0" y="0"/>
                      <a:ext cx="6179180" cy="6689113"/>
                    </a:xfrm>
                    <a:prstGeom prst="rect">
                      <a:avLst/>
                    </a:prstGeom>
                    <a:ln>
                      <a:noFill/>
                    </a:ln>
                    <a:extLst>
                      <a:ext uri="{53640926-AAD7-44D8-BBD7-CCE9431645EC}">
                        <a14:shadowObscured xmlns:a14="http://schemas.microsoft.com/office/drawing/2010/main"/>
                      </a:ext>
                    </a:extLst>
                  </pic:spPr>
                </pic:pic>
              </a:graphicData>
            </a:graphic>
          </wp:inline>
        </w:drawing>
      </w:r>
    </w:p>
    <w:p w14:paraId="0E0DE832"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4691706C" w14:textId="7E48F007" w:rsidR="00FB2A53" w:rsidRDefault="00821F05" w:rsidP="00FB2A53">
      <w:pPr>
        <w:rPr>
          <w:rFonts w:cstheme="minorHAnsi"/>
          <w:color w:val="000000" w:themeColor="text1"/>
        </w:rPr>
      </w:pPr>
      <w:r>
        <w:rPr>
          <w:noProof/>
        </w:rPr>
        <w:lastRenderedPageBreak/>
        <w:drawing>
          <wp:inline distT="0" distB="0" distL="0" distR="0" wp14:anchorId="4F2D4403" wp14:editId="5AB53F61">
            <wp:extent cx="6248275" cy="3814354"/>
            <wp:effectExtent l="0" t="0" r="63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8"/>
                    <a:srcRect l="20274" t="22454" r="22557" b="15501"/>
                    <a:stretch/>
                  </pic:blipFill>
                  <pic:spPr bwMode="auto">
                    <a:xfrm>
                      <a:off x="0" y="0"/>
                      <a:ext cx="6259150" cy="3820993"/>
                    </a:xfrm>
                    <a:prstGeom prst="rect">
                      <a:avLst/>
                    </a:prstGeom>
                    <a:ln>
                      <a:noFill/>
                    </a:ln>
                    <a:extLst>
                      <a:ext uri="{53640926-AAD7-44D8-BBD7-CCE9431645EC}">
                        <a14:shadowObscured xmlns:a14="http://schemas.microsoft.com/office/drawing/2010/main"/>
                      </a:ext>
                    </a:extLst>
                  </pic:spPr>
                </pic:pic>
              </a:graphicData>
            </a:graphic>
          </wp:inline>
        </w:drawing>
      </w:r>
    </w:p>
    <w:p w14:paraId="5492CA28"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1E624217" w14:textId="2DCB1665" w:rsidR="00FB2A53" w:rsidRDefault="00821F05" w:rsidP="00FB2A53">
      <w:pPr>
        <w:rPr>
          <w:rFonts w:cstheme="minorHAnsi"/>
          <w:color w:val="000000" w:themeColor="text1"/>
        </w:rPr>
      </w:pPr>
      <w:r>
        <w:rPr>
          <w:noProof/>
        </w:rPr>
        <w:lastRenderedPageBreak/>
        <w:drawing>
          <wp:inline distT="0" distB="0" distL="0" distR="0" wp14:anchorId="6326E46D" wp14:editId="6316116E">
            <wp:extent cx="6214214" cy="4323806"/>
            <wp:effectExtent l="0" t="0" r="0" b="63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19"/>
                    <a:srcRect l="19942" t="19500" r="28706" b="16978"/>
                    <a:stretch/>
                  </pic:blipFill>
                  <pic:spPr bwMode="auto">
                    <a:xfrm>
                      <a:off x="0" y="0"/>
                      <a:ext cx="6222998" cy="4329918"/>
                    </a:xfrm>
                    <a:prstGeom prst="rect">
                      <a:avLst/>
                    </a:prstGeom>
                    <a:ln>
                      <a:noFill/>
                    </a:ln>
                    <a:extLst>
                      <a:ext uri="{53640926-AAD7-44D8-BBD7-CCE9431645EC}">
                        <a14:shadowObscured xmlns:a14="http://schemas.microsoft.com/office/drawing/2010/main"/>
                      </a:ext>
                    </a:extLst>
                  </pic:spPr>
                </pic:pic>
              </a:graphicData>
            </a:graphic>
          </wp:inline>
        </w:drawing>
      </w:r>
    </w:p>
    <w:p w14:paraId="3A8E32DD"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7C421F33" w14:textId="5DAF9AB1" w:rsidR="00FB2A53" w:rsidRDefault="00821F05" w:rsidP="00FB2A53">
      <w:pPr>
        <w:rPr>
          <w:rFonts w:cstheme="minorHAnsi"/>
          <w:color w:val="000000" w:themeColor="text1"/>
        </w:rPr>
      </w:pPr>
      <w:r>
        <w:rPr>
          <w:noProof/>
        </w:rPr>
        <w:lastRenderedPageBreak/>
        <w:drawing>
          <wp:inline distT="0" distB="0" distL="0" distR="0" wp14:anchorId="34CE6B51" wp14:editId="3C8A24D6">
            <wp:extent cx="6296621" cy="2965269"/>
            <wp:effectExtent l="0" t="0" r="0" b="6985"/>
            <wp:docPr id="15" name="Picture 1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diagram&#10;&#10;Description automatically generated"/>
                    <pic:cNvPicPr/>
                  </pic:nvPicPr>
                  <pic:blipFill rotWithShape="1">
                    <a:blip r:embed="rId20"/>
                    <a:srcRect l="19942" t="20682" r="22889" b="31456"/>
                    <a:stretch/>
                  </pic:blipFill>
                  <pic:spPr bwMode="auto">
                    <a:xfrm>
                      <a:off x="0" y="0"/>
                      <a:ext cx="6303449" cy="2968484"/>
                    </a:xfrm>
                    <a:prstGeom prst="rect">
                      <a:avLst/>
                    </a:prstGeom>
                    <a:ln>
                      <a:noFill/>
                    </a:ln>
                    <a:extLst>
                      <a:ext uri="{53640926-AAD7-44D8-BBD7-CCE9431645EC}">
                        <a14:shadowObscured xmlns:a14="http://schemas.microsoft.com/office/drawing/2010/main"/>
                      </a:ext>
                    </a:extLst>
                  </pic:spPr>
                </pic:pic>
              </a:graphicData>
            </a:graphic>
          </wp:inline>
        </w:drawing>
      </w:r>
    </w:p>
    <w:p w14:paraId="0FB3DC58" w14:textId="77777777" w:rsidR="00FB2A53" w:rsidRDefault="00FB2A53" w:rsidP="00FB2A53">
      <w:pPr>
        <w:spacing w:after="160" w:line="259" w:lineRule="auto"/>
        <w:jc w:val="left"/>
        <w:rPr>
          <w:rFonts w:cstheme="minorHAnsi"/>
          <w:color w:val="000000" w:themeColor="text1"/>
        </w:rPr>
      </w:pPr>
      <w:r>
        <w:rPr>
          <w:rFonts w:cstheme="minorHAnsi"/>
          <w:color w:val="000000" w:themeColor="text1"/>
        </w:rPr>
        <w:br w:type="page"/>
      </w:r>
    </w:p>
    <w:p w14:paraId="0218D658" w14:textId="4B74728B" w:rsidR="00FB2A53" w:rsidRDefault="00821F05" w:rsidP="00FB2A53">
      <w:pPr>
        <w:rPr>
          <w:rFonts w:cstheme="minorHAnsi"/>
          <w:color w:val="000000" w:themeColor="text1"/>
        </w:rPr>
      </w:pPr>
      <w:r>
        <w:rPr>
          <w:noProof/>
        </w:rPr>
        <w:lastRenderedPageBreak/>
        <w:drawing>
          <wp:inline distT="0" distB="0" distL="0" distR="0" wp14:anchorId="4D5B1B2F" wp14:editId="46F6C4F8">
            <wp:extent cx="6322332" cy="3805291"/>
            <wp:effectExtent l="0" t="0" r="2540" b="5080"/>
            <wp:docPr id="16" name="Picture 1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with medium confidence"/>
                    <pic:cNvPicPr/>
                  </pic:nvPicPr>
                  <pic:blipFill rotWithShape="1">
                    <a:blip r:embed="rId21"/>
                    <a:srcRect l="19610" t="25409" r="27376" b="17865"/>
                    <a:stretch/>
                  </pic:blipFill>
                  <pic:spPr bwMode="auto">
                    <a:xfrm>
                      <a:off x="0" y="0"/>
                      <a:ext cx="6343915" cy="3818281"/>
                    </a:xfrm>
                    <a:prstGeom prst="rect">
                      <a:avLst/>
                    </a:prstGeom>
                    <a:ln>
                      <a:noFill/>
                    </a:ln>
                    <a:extLst>
                      <a:ext uri="{53640926-AAD7-44D8-BBD7-CCE9431645EC}">
                        <a14:shadowObscured xmlns:a14="http://schemas.microsoft.com/office/drawing/2010/main"/>
                      </a:ext>
                    </a:extLst>
                  </pic:spPr>
                </pic:pic>
              </a:graphicData>
            </a:graphic>
          </wp:inline>
        </w:drawing>
      </w:r>
    </w:p>
    <w:p w14:paraId="0DE38E31" w14:textId="413AE31E" w:rsidR="00FB2A53" w:rsidRDefault="00FB2A53" w:rsidP="00FB2A53">
      <w:pPr>
        <w:spacing w:after="160" w:line="259" w:lineRule="auto"/>
        <w:jc w:val="left"/>
        <w:rPr>
          <w:rFonts w:cstheme="minorHAnsi"/>
          <w:color w:val="000000" w:themeColor="text1"/>
        </w:rPr>
      </w:pPr>
    </w:p>
    <w:sectPr w:rsidR="00FB2A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E4AF2"/>
    <w:multiLevelType w:val="hybridMultilevel"/>
    <w:tmpl w:val="C158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708F0"/>
    <w:multiLevelType w:val="hybridMultilevel"/>
    <w:tmpl w:val="3FC287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E23361"/>
    <w:multiLevelType w:val="hybridMultilevel"/>
    <w:tmpl w:val="2D5697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6176C1"/>
    <w:multiLevelType w:val="hybridMultilevel"/>
    <w:tmpl w:val="09B607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375AD7"/>
    <w:multiLevelType w:val="hybridMultilevel"/>
    <w:tmpl w:val="8938B3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0C7ECC"/>
    <w:multiLevelType w:val="hybridMultilevel"/>
    <w:tmpl w:val="7756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684220"/>
    <w:multiLevelType w:val="hybridMultilevel"/>
    <w:tmpl w:val="1E9A63A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735683"/>
    <w:multiLevelType w:val="hybridMultilevel"/>
    <w:tmpl w:val="708A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C9086A"/>
    <w:multiLevelType w:val="hybridMultilevel"/>
    <w:tmpl w:val="134A47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E0219D"/>
    <w:multiLevelType w:val="hybridMultilevel"/>
    <w:tmpl w:val="7054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6296390">
    <w:abstractNumId w:val="2"/>
  </w:num>
  <w:num w:numId="2" w16cid:durableId="1788500286">
    <w:abstractNumId w:val="4"/>
  </w:num>
  <w:num w:numId="3" w16cid:durableId="2106880586">
    <w:abstractNumId w:val="0"/>
  </w:num>
  <w:num w:numId="4" w16cid:durableId="1019626337">
    <w:abstractNumId w:val="9"/>
  </w:num>
  <w:num w:numId="5" w16cid:durableId="256867185">
    <w:abstractNumId w:val="1"/>
  </w:num>
  <w:num w:numId="6" w16cid:durableId="413430456">
    <w:abstractNumId w:val="5"/>
  </w:num>
  <w:num w:numId="7" w16cid:durableId="300115257">
    <w:abstractNumId w:val="8"/>
  </w:num>
  <w:num w:numId="8" w16cid:durableId="1816988106">
    <w:abstractNumId w:val="3"/>
  </w:num>
  <w:num w:numId="9" w16cid:durableId="1328634467">
    <w:abstractNumId w:val="7"/>
  </w:num>
  <w:num w:numId="10" w16cid:durableId="114251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72D"/>
    <w:rsid w:val="00016290"/>
    <w:rsid w:val="00024556"/>
    <w:rsid w:val="00027C74"/>
    <w:rsid w:val="000645D1"/>
    <w:rsid w:val="000647D8"/>
    <w:rsid w:val="00066800"/>
    <w:rsid w:val="00066E40"/>
    <w:rsid w:val="00074CF4"/>
    <w:rsid w:val="00083377"/>
    <w:rsid w:val="000A519F"/>
    <w:rsid w:val="000A5EF3"/>
    <w:rsid w:val="000B5472"/>
    <w:rsid w:val="000C377C"/>
    <w:rsid w:val="000E4159"/>
    <w:rsid w:val="000E6A25"/>
    <w:rsid w:val="001045B3"/>
    <w:rsid w:val="00115CB5"/>
    <w:rsid w:val="001220A3"/>
    <w:rsid w:val="00137372"/>
    <w:rsid w:val="0015011C"/>
    <w:rsid w:val="00171213"/>
    <w:rsid w:val="00172740"/>
    <w:rsid w:val="001842FC"/>
    <w:rsid w:val="00190F8C"/>
    <w:rsid w:val="001A0455"/>
    <w:rsid w:val="001A790F"/>
    <w:rsid w:val="001E3ECC"/>
    <w:rsid w:val="001E6BF7"/>
    <w:rsid w:val="001F05CF"/>
    <w:rsid w:val="001F0C05"/>
    <w:rsid w:val="00207864"/>
    <w:rsid w:val="002114BA"/>
    <w:rsid w:val="00212B95"/>
    <w:rsid w:val="00216BAB"/>
    <w:rsid w:val="0022212A"/>
    <w:rsid w:val="002369E9"/>
    <w:rsid w:val="00242E04"/>
    <w:rsid w:val="00255010"/>
    <w:rsid w:val="0026727D"/>
    <w:rsid w:val="00281FEC"/>
    <w:rsid w:val="002A1999"/>
    <w:rsid w:val="002A5C80"/>
    <w:rsid w:val="002B20C9"/>
    <w:rsid w:val="002D359A"/>
    <w:rsid w:val="002F426D"/>
    <w:rsid w:val="002F6574"/>
    <w:rsid w:val="0031584A"/>
    <w:rsid w:val="00320296"/>
    <w:rsid w:val="003339EA"/>
    <w:rsid w:val="00352AA4"/>
    <w:rsid w:val="00360ADE"/>
    <w:rsid w:val="00363A0A"/>
    <w:rsid w:val="003874C7"/>
    <w:rsid w:val="0039504C"/>
    <w:rsid w:val="003950D5"/>
    <w:rsid w:val="003A4B45"/>
    <w:rsid w:val="003C1618"/>
    <w:rsid w:val="003C6ECC"/>
    <w:rsid w:val="003E747E"/>
    <w:rsid w:val="003F44B8"/>
    <w:rsid w:val="004035D2"/>
    <w:rsid w:val="004062D6"/>
    <w:rsid w:val="004070C2"/>
    <w:rsid w:val="00410951"/>
    <w:rsid w:val="004121B1"/>
    <w:rsid w:val="00416AF1"/>
    <w:rsid w:val="004268CB"/>
    <w:rsid w:val="00432202"/>
    <w:rsid w:val="00453A91"/>
    <w:rsid w:val="004801FC"/>
    <w:rsid w:val="00483E27"/>
    <w:rsid w:val="00497F5B"/>
    <w:rsid w:val="004D0E9F"/>
    <w:rsid w:val="004D2409"/>
    <w:rsid w:val="004D3A06"/>
    <w:rsid w:val="004D3AF5"/>
    <w:rsid w:val="004E0AAA"/>
    <w:rsid w:val="004E3C54"/>
    <w:rsid w:val="004F409D"/>
    <w:rsid w:val="0051217B"/>
    <w:rsid w:val="00515906"/>
    <w:rsid w:val="00524E27"/>
    <w:rsid w:val="00527D85"/>
    <w:rsid w:val="00530C67"/>
    <w:rsid w:val="00542394"/>
    <w:rsid w:val="00545CE3"/>
    <w:rsid w:val="00547138"/>
    <w:rsid w:val="0056337E"/>
    <w:rsid w:val="005B26B9"/>
    <w:rsid w:val="005C0D1E"/>
    <w:rsid w:val="005C1597"/>
    <w:rsid w:val="005C5283"/>
    <w:rsid w:val="005C60A5"/>
    <w:rsid w:val="005C7D1D"/>
    <w:rsid w:val="005D18C5"/>
    <w:rsid w:val="005D2F64"/>
    <w:rsid w:val="005D459C"/>
    <w:rsid w:val="005E6109"/>
    <w:rsid w:val="005E71D6"/>
    <w:rsid w:val="005E7655"/>
    <w:rsid w:val="005F55EF"/>
    <w:rsid w:val="00601F27"/>
    <w:rsid w:val="0060394C"/>
    <w:rsid w:val="006065C7"/>
    <w:rsid w:val="006111D4"/>
    <w:rsid w:val="00624CF2"/>
    <w:rsid w:val="00626D76"/>
    <w:rsid w:val="00626D8A"/>
    <w:rsid w:val="0063608E"/>
    <w:rsid w:val="006379A9"/>
    <w:rsid w:val="00673F5F"/>
    <w:rsid w:val="00674B30"/>
    <w:rsid w:val="00695A5C"/>
    <w:rsid w:val="006B6F9C"/>
    <w:rsid w:val="006C22A8"/>
    <w:rsid w:val="006D1CB9"/>
    <w:rsid w:val="006E358C"/>
    <w:rsid w:val="006E4B98"/>
    <w:rsid w:val="006E6779"/>
    <w:rsid w:val="00702180"/>
    <w:rsid w:val="00711CA2"/>
    <w:rsid w:val="00727A62"/>
    <w:rsid w:val="00731AC0"/>
    <w:rsid w:val="00735886"/>
    <w:rsid w:val="00747A17"/>
    <w:rsid w:val="00754F2E"/>
    <w:rsid w:val="00755FB0"/>
    <w:rsid w:val="00782885"/>
    <w:rsid w:val="00797254"/>
    <w:rsid w:val="00797752"/>
    <w:rsid w:val="007C11A5"/>
    <w:rsid w:val="007C2B45"/>
    <w:rsid w:val="007D2003"/>
    <w:rsid w:val="007E5E5D"/>
    <w:rsid w:val="00821F05"/>
    <w:rsid w:val="00823A91"/>
    <w:rsid w:val="0082445C"/>
    <w:rsid w:val="008267C9"/>
    <w:rsid w:val="008518BD"/>
    <w:rsid w:val="0086147B"/>
    <w:rsid w:val="00861FA2"/>
    <w:rsid w:val="00873225"/>
    <w:rsid w:val="00896285"/>
    <w:rsid w:val="008A52BC"/>
    <w:rsid w:val="008A635C"/>
    <w:rsid w:val="008A7D80"/>
    <w:rsid w:val="008B5768"/>
    <w:rsid w:val="008E7F01"/>
    <w:rsid w:val="009010D6"/>
    <w:rsid w:val="0090154D"/>
    <w:rsid w:val="00901AFD"/>
    <w:rsid w:val="009073EC"/>
    <w:rsid w:val="0091210A"/>
    <w:rsid w:val="0091540F"/>
    <w:rsid w:val="00917746"/>
    <w:rsid w:val="00924188"/>
    <w:rsid w:val="0094198D"/>
    <w:rsid w:val="0094619C"/>
    <w:rsid w:val="009850C8"/>
    <w:rsid w:val="009861FE"/>
    <w:rsid w:val="009911C2"/>
    <w:rsid w:val="00996925"/>
    <w:rsid w:val="009A52E5"/>
    <w:rsid w:val="009B37CD"/>
    <w:rsid w:val="009C6608"/>
    <w:rsid w:val="009C7B6F"/>
    <w:rsid w:val="009D2CE0"/>
    <w:rsid w:val="009E6915"/>
    <w:rsid w:val="009F60EE"/>
    <w:rsid w:val="00A21FC3"/>
    <w:rsid w:val="00A228D7"/>
    <w:rsid w:val="00A510C0"/>
    <w:rsid w:val="00A54964"/>
    <w:rsid w:val="00A554B3"/>
    <w:rsid w:val="00A6786F"/>
    <w:rsid w:val="00A86F19"/>
    <w:rsid w:val="00AB35CD"/>
    <w:rsid w:val="00AC6757"/>
    <w:rsid w:val="00AF4837"/>
    <w:rsid w:val="00B107E2"/>
    <w:rsid w:val="00B11906"/>
    <w:rsid w:val="00B42751"/>
    <w:rsid w:val="00B544BB"/>
    <w:rsid w:val="00B739A6"/>
    <w:rsid w:val="00B74763"/>
    <w:rsid w:val="00B81C5B"/>
    <w:rsid w:val="00B9041E"/>
    <w:rsid w:val="00B92DF7"/>
    <w:rsid w:val="00BB2D7F"/>
    <w:rsid w:val="00BD1B82"/>
    <w:rsid w:val="00BE7F15"/>
    <w:rsid w:val="00BF761E"/>
    <w:rsid w:val="00C03756"/>
    <w:rsid w:val="00C15E65"/>
    <w:rsid w:val="00C217FF"/>
    <w:rsid w:val="00C21B7D"/>
    <w:rsid w:val="00C23B3F"/>
    <w:rsid w:val="00C269BE"/>
    <w:rsid w:val="00C33156"/>
    <w:rsid w:val="00C35700"/>
    <w:rsid w:val="00C40498"/>
    <w:rsid w:val="00C63BEB"/>
    <w:rsid w:val="00C726B2"/>
    <w:rsid w:val="00C73909"/>
    <w:rsid w:val="00C76C7A"/>
    <w:rsid w:val="00C77EB9"/>
    <w:rsid w:val="00C86AB1"/>
    <w:rsid w:val="00C90144"/>
    <w:rsid w:val="00C9759C"/>
    <w:rsid w:val="00CB7EBD"/>
    <w:rsid w:val="00D06A4A"/>
    <w:rsid w:val="00D11E30"/>
    <w:rsid w:val="00D21CFE"/>
    <w:rsid w:val="00D37D1E"/>
    <w:rsid w:val="00D448B8"/>
    <w:rsid w:val="00D536AF"/>
    <w:rsid w:val="00D56263"/>
    <w:rsid w:val="00D8157B"/>
    <w:rsid w:val="00D94699"/>
    <w:rsid w:val="00DA3EEE"/>
    <w:rsid w:val="00DB0DAA"/>
    <w:rsid w:val="00DC572D"/>
    <w:rsid w:val="00DD28DB"/>
    <w:rsid w:val="00DF0AB9"/>
    <w:rsid w:val="00E12E0F"/>
    <w:rsid w:val="00E1508E"/>
    <w:rsid w:val="00E16DD2"/>
    <w:rsid w:val="00E27123"/>
    <w:rsid w:val="00E344CD"/>
    <w:rsid w:val="00E42316"/>
    <w:rsid w:val="00E52CB6"/>
    <w:rsid w:val="00E61D0A"/>
    <w:rsid w:val="00E634A1"/>
    <w:rsid w:val="00E85984"/>
    <w:rsid w:val="00E961B7"/>
    <w:rsid w:val="00E97CDD"/>
    <w:rsid w:val="00EA73F1"/>
    <w:rsid w:val="00EB60AD"/>
    <w:rsid w:val="00EC1517"/>
    <w:rsid w:val="00EC5278"/>
    <w:rsid w:val="00EE0609"/>
    <w:rsid w:val="00F1599F"/>
    <w:rsid w:val="00F16B73"/>
    <w:rsid w:val="00F437F7"/>
    <w:rsid w:val="00F5304F"/>
    <w:rsid w:val="00F63300"/>
    <w:rsid w:val="00F67C0B"/>
    <w:rsid w:val="00F713DD"/>
    <w:rsid w:val="00F872E0"/>
    <w:rsid w:val="00F93BE6"/>
    <w:rsid w:val="00FB2A53"/>
    <w:rsid w:val="00FF7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A357A"/>
  <w15:chartTrackingRefBased/>
  <w15:docId w15:val="{B4F58C84-B67F-4B7C-AD76-9B7661676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6B9"/>
    <w:pPr>
      <w:spacing w:after="0" w:line="360" w:lineRule="auto"/>
      <w:jc w:val="both"/>
    </w:pPr>
    <w:rPr>
      <w:rFonts w:cs="Times New Roman"/>
      <w:sz w:val="24"/>
      <w:szCs w:val="24"/>
      <w:lang w:eastAsia="en-GB"/>
    </w:rPr>
  </w:style>
  <w:style w:type="paragraph" w:styleId="Heading1">
    <w:name w:val="heading 1"/>
    <w:basedOn w:val="Normal"/>
    <w:next w:val="Normal"/>
    <w:link w:val="Heading1Char"/>
    <w:uiPriority w:val="9"/>
    <w:qFormat/>
    <w:rsid w:val="00917746"/>
    <w:pPr>
      <w:keepNext/>
      <w:keepLines/>
      <w:spacing w:before="240"/>
      <w:outlineLvl w:val="0"/>
    </w:pPr>
    <w:rPr>
      <w:rFonts w:ascii="Calibri" w:eastAsiaTheme="majorEastAsia" w:hAnsi="Calibri" w:cstheme="majorBidi"/>
      <w:b/>
      <w:sz w:val="26"/>
      <w:szCs w:val="32"/>
    </w:rPr>
  </w:style>
  <w:style w:type="paragraph" w:styleId="Heading2">
    <w:name w:val="heading 2"/>
    <w:basedOn w:val="Normal"/>
    <w:next w:val="Normal"/>
    <w:link w:val="Heading2Char"/>
    <w:uiPriority w:val="9"/>
    <w:unhideWhenUsed/>
    <w:qFormat/>
    <w:rsid w:val="00352AA4"/>
    <w:pPr>
      <w:keepNext/>
      <w:keepLines/>
      <w:spacing w:before="40"/>
      <w:outlineLvl w:val="1"/>
    </w:pPr>
    <w:rPr>
      <w:rFonts w:eastAsiaTheme="majorEastAsia" w:cstheme="majorBidi"/>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72D"/>
    <w:pPr>
      <w:ind w:left="720"/>
      <w:contextualSpacing/>
    </w:pPr>
  </w:style>
  <w:style w:type="character" w:styleId="HTMLCite">
    <w:name w:val="HTML Cite"/>
    <w:basedOn w:val="DefaultParagraphFont"/>
    <w:uiPriority w:val="99"/>
    <w:semiHidden/>
    <w:unhideWhenUsed/>
    <w:rsid w:val="00797254"/>
    <w:rPr>
      <w:i/>
      <w:iCs/>
    </w:rPr>
  </w:style>
  <w:style w:type="character" w:customStyle="1" w:styleId="Heading1Char">
    <w:name w:val="Heading 1 Char"/>
    <w:basedOn w:val="DefaultParagraphFont"/>
    <w:link w:val="Heading1"/>
    <w:uiPriority w:val="9"/>
    <w:rsid w:val="00917746"/>
    <w:rPr>
      <w:rFonts w:ascii="Calibri" w:eastAsiaTheme="majorEastAsia" w:hAnsi="Calibri" w:cstheme="majorBidi"/>
      <w:b/>
      <w:sz w:val="26"/>
      <w:szCs w:val="32"/>
      <w:lang w:eastAsia="en-GB"/>
    </w:rPr>
  </w:style>
  <w:style w:type="character" w:customStyle="1" w:styleId="Heading2Char">
    <w:name w:val="Heading 2 Char"/>
    <w:basedOn w:val="DefaultParagraphFont"/>
    <w:link w:val="Heading2"/>
    <w:uiPriority w:val="9"/>
    <w:rsid w:val="00352AA4"/>
    <w:rPr>
      <w:rFonts w:eastAsiaTheme="majorEastAsia" w:cstheme="majorBidi"/>
      <w:i/>
      <w:sz w:val="26"/>
      <w:szCs w:val="26"/>
      <w:lang w:eastAsia="en-GB"/>
    </w:rPr>
  </w:style>
  <w:style w:type="character" w:styleId="Hyperlink">
    <w:name w:val="Hyperlink"/>
    <w:basedOn w:val="DefaultParagraphFont"/>
    <w:uiPriority w:val="99"/>
    <w:unhideWhenUsed/>
    <w:rsid w:val="0094619C"/>
    <w:rPr>
      <w:color w:val="0000FF"/>
      <w:u w:val="single"/>
    </w:rPr>
  </w:style>
  <w:style w:type="character" w:customStyle="1" w:styleId="text">
    <w:name w:val="text"/>
    <w:basedOn w:val="DefaultParagraphFont"/>
    <w:rsid w:val="0094619C"/>
  </w:style>
  <w:style w:type="character" w:styleId="FollowedHyperlink">
    <w:name w:val="FollowedHyperlink"/>
    <w:basedOn w:val="DefaultParagraphFont"/>
    <w:uiPriority w:val="99"/>
    <w:semiHidden/>
    <w:unhideWhenUsed/>
    <w:rsid w:val="001045B3"/>
    <w:rPr>
      <w:color w:val="954F72" w:themeColor="followedHyperlink"/>
      <w:u w:val="single"/>
    </w:rPr>
  </w:style>
  <w:style w:type="paragraph" w:styleId="Revision">
    <w:name w:val="Revision"/>
    <w:hidden/>
    <w:uiPriority w:val="99"/>
    <w:semiHidden/>
    <w:rsid w:val="004121B1"/>
    <w:pPr>
      <w:spacing w:after="0" w:line="240" w:lineRule="auto"/>
    </w:pPr>
    <w:rPr>
      <w:rFonts w:cs="Times New Roman"/>
      <w:sz w:val="24"/>
      <w:szCs w:val="24"/>
      <w:lang w:eastAsia="en-GB"/>
    </w:rPr>
  </w:style>
  <w:style w:type="character" w:styleId="CommentReference">
    <w:name w:val="annotation reference"/>
    <w:basedOn w:val="DefaultParagraphFont"/>
    <w:uiPriority w:val="99"/>
    <w:semiHidden/>
    <w:unhideWhenUsed/>
    <w:rsid w:val="004121B1"/>
    <w:rPr>
      <w:sz w:val="16"/>
      <w:szCs w:val="16"/>
    </w:rPr>
  </w:style>
  <w:style w:type="paragraph" w:styleId="CommentText">
    <w:name w:val="annotation text"/>
    <w:basedOn w:val="Normal"/>
    <w:link w:val="CommentTextChar"/>
    <w:uiPriority w:val="99"/>
    <w:unhideWhenUsed/>
    <w:rsid w:val="004121B1"/>
    <w:pPr>
      <w:spacing w:line="240" w:lineRule="auto"/>
    </w:pPr>
    <w:rPr>
      <w:sz w:val="20"/>
      <w:szCs w:val="20"/>
    </w:rPr>
  </w:style>
  <w:style w:type="character" w:customStyle="1" w:styleId="CommentTextChar">
    <w:name w:val="Comment Text Char"/>
    <w:basedOn w:val="DefaultParagraphFont"/>
    <w:link w:val="CommentText"/>
    <w:uiPriority w:val="99"/>
    <w:rsid w:val="004121B1"/>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121B1"/>
    <w:rPr>
      <w:b/>
      <w:bCs/>
    </w:rPr>
  </w:style>
  <w:style w:type="character" w:customStyle="1" w:styleId="CommentSubjectChar">
    <w:name w:val="Comment Subject Char"/>
    <w:basedOn w:val="CommentTextChar"/>
    <w:link w:val="CommentSubject"/>
    <w:uiPriority w:val="99"/>
    <w:semiHidden/>
    <w:rsid w:val="004121B1"/>
    <w:rPr>
      <w:rFonts w:cs="Times New Roman"/>
      <w:b/>
      <w:bCs/>
      <w:sz w:val="20"/>
      <w:szCs w:val="20"/>
      <w:lang w:eastAsia="en-GB"/>
    </w:rPr>
  </w:style>
  <w:style w:type="paragraph" w:styleId="BalloonText">
    <w:name w:val="Balloon Text"/>
    <w:basedOn w:val="Normal"/>
    <w:link w:val="BalloonTextChar"/>
    <w:uiPriority w:val="99"/>
    <w:semiHidden/>
    <w:unhideWhenUsed/>
    <w:rsid w:val="00C901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144"/>
    <w:rPr>
      <w:rFonts w:ascii="Segoe UI" w:hAnsi="Segoe UI" w:cs="Segoe UI"/>
      <w:sz w:val="18"/>
      <w:szCs w:val="18"/>
      <w:lang w:eastAsia="en-GB"/>
    </w:rPr>
  </w:style>
  <w:style w:type="character" w:styleId="UnresolvedMention">
    <w:name w:val="Unresolved Mention"/>
    <w:basedOn w:val="DefaultParagraphFont"/>
    <w:uiPriority w:val="99"/>
    <w:semiHidden/>
    <w:unhideWhenUsed/>
    <w:rsid w:val="005E7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03048">
      <w:bodyDiv w:val="1"/>
      <w:marLeft w:val="0"/>
      <w:marRight w:val="0"/>
      <w:marTop w:val="0"/>
      <w:marBottom w:val="0"/>
      <w:divBdr>
        <w:top w:val="none" w:sz="0" w:space="0" w:color="auto"/>
        <w:left w:val="none" w:sz="0" w:space="0" w:color="auto"/>
        <w:bottom w:val="none" w:sz="0" w:space="0" w:color="auto"/>
        <w:right w:val="none" w:sz="0" w:space="0" w:color="auto"/>
      </w:divBdr>
    </w:div>
    <w:div w:id="1344546949">
      <w:bodyDiv w:val="1"/>
      <w:marLeft w:val="0"/>
      <w:marRight w:val="0"/>
      <w:marTop w:val="0"/>
      <w:marBottom w:val="0"/>
      <w:divBdr>
        <w:top w:val="none" w:sz="0" w:space="0" w:color="auto"/>
        <w:left w:val="none" w:sz="0" w:space="0" w:color="auto"/>
        <w:bottom w:val="none" w:sz="0" w:space="0" w:color="auto"/>
        <w:right w:val="none" w:sz="0" w:space="0" w:color="auto"/>
      </w:divBdr>
      <w:divsChild>
        <w:div w:id="737702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FA5CA-03F4-480E-A8DB-15FCEE86F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7132</Words>
  <Characters>40653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Richard</dc:creator>
  <cp:keywords/>
  <dc:description/>
  <cp:lastModifiedBy>Worden, Richard</cp:lastModifiedBy>
  <cp:revision>2</cp:revision>
  <cp:lastPrinted>2021-12-14T04:15:00Z</cp:lastPrinted>
  <dcterms:created xsi:type="dcterms:W3CDTF">2022-07-28T05:17:00Z</dcterms:created>
  <dcterms:modified xsi:type="dcterms:W3CDTF">2022-07-28T05:17:00Z</dcterms:modified>
</cp:coreProperties>
</file>