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5081" w14:textId="68B300FA" w:rsidR="00E7345C" w:rsidRPr="00E7345C" w:rsidRDefault="00E7345C">
      <w:pPr>
        <w:rPr>
          <w:b/>
        </w:rPr>
      </w:pPr>
      <w:r>
        <w:rPr>
          <w:b/>
        </w:rPr>
        <w:t xml:space="preserve">Prescribing in paediatric </w:t>
      </w:r>
      <w:r w:rsidR="00374A98">
        <w:rPr>
          <w:b/>
        </w:rPr>
        <w:t>kidney</w:t>
      </w:r>
      <w:r>
        <w:rPr>
          <w:b/>
        </w:rPr>
        <w:t xml:space="preserve"> impairment</w:t>
      </w:r>
    </w:p>
    <w:p w14:paraId="62F05B2C" w14:textId="77777777" w:rsidR="00E7345C" w:rsidRDefault="00E7345C"/>
    <w:p w14:paraId="71DEED7D" w14:textId="26D5CA11" w:rsidR="007164FD" w:rsidRPr="007164FD" w:rsidRDefault="007164FD">
      <w:pPr>
        <w:rPr>
          <w:vertAlign w:val="superscript"/>
        </w:rPr>
      </w:pPr>
      <w:r>
        <w:t>T</w:t>
      </w:r>
      <w:r w:rsidR="00BE10B4">
        <w:t>h</w:t>
      </w:r>
      <w:r>
        <w:t>om</w:t>
      </w:r>
      <w:r w:rsidR="00BE10B4">
        <w:t>as</w:t>
      </w:r>
      <w:r>
        <w:t xml:space="preserve"> Dowsett</w:t>
      </w:r>
      <w:r>
        <w:rPr>
          <w:vertAlign w:val="superscript"/>
        </w:rPr>
        <w:t>1</w:t>
      </w:r>
      <w:r>
        <w:t>, Samiah Awan</w:t>
      </w:r>
      <w:r>
        <w:rPr>
          <w:vertAlign w:val="superscript"/>
        </w:rPr>
        <w:t>2</w:t>
      </w:r>
      <w:r>
        <w:t>, Stephen J McWilliam</w:t>
      </w:r>
      <w:r>
        <w:rPr>
          <w:vertAlign w:val="superscript"/>
        </w:rPr>
        <w:t>3</w:t>
      </w:r>
    </w:p>
    <w:p w14:paraId="7A68C879" w14:textId="1791ADEE" w:rsidR="007164FD" w:rsidRDefault="007164FD"/>
    <w:p w14:paraId="338BC442" w14:textId="01411C82" w:rsidR="007164FD" w:rsidRDefault="007164FD" w:rsidP="007164FD">
      <w:pPr>
        <w:pStyle w:val="NoSpacing"/>
        <w:spacing w:line="276" w:lineRule="auto"/>
        <w:rPr>
          <w:lang w:eastAsia="en-GB"/>
        </w:rPr>
      </w:pPr>
      <w:r>
        <w:rPr>
          <w:vertAlign w:val="superscript"/>
          <w:lang w:eastAsia="en-GB"/>
        </w:rPr>
        <w:t>1</w:t>
      </w:r>
      <w:r w:rsidRPr="00291F12">
        <w:rPr>
          <w:lang w:eastAsia="en-GB"/>
        </w:rPr>
        <w:t>Department of Paediatric Nephrology, Alder Hey Children’s NHS Foundation Trust Hospital, Liverpool</w:t>
      </w:r>
      <w:r w:rsidR="00BE10B4">
        <w:rPr>
          <w:lang w:eastAsia="en-GB"/>
        </w:rPr>
        <w:t>, UK</w:t>
      </w:r>
    </w:p>
    <w:p w14:paraId="1C3C7921" w14:textId="1D9C289D" w:rsidR="007164FD" w:rsidRPr="007164FD" w:rsidRDefault="007164FD" w:rsidP="007164FD">
      <w:pPr>
        <w:pStyle w:val="NoSpacing"/>
        <w:spacing w:line="276" w:lineRule="auto"/>
        <w:rPr>
          <w:lang w:eastAsia="en-GB"/>
        </w:rPr>
      </w:pPr>
      <w:r>
        <w:rPr>
          <w:vertAlign w:val="superscript"/>
          <w:lang w:eastAsia="en-GB"/>
        </w:rPr>
        <w:t>2</w:t>
      </w:r>
      <w:r>
        <w:rPr>
          <w:lang w:eastAsia="en-GB"/>
        </w:rPr>
        <w:t xml:space="preserve">Pharmacy, </w:t>
      </w:r>
      <w:r w:rsidRPr="00291F12">
        <w:rPr>
          <w:lang w:eastAsia="en-GB"/>
        </w:rPr>
        <w:t>Alder Hey Children’s NHS Foundation Trust Hospital, Liverpool</w:t>
      </w:r>
      <w:r w:rsidR="00BE10B4">
        <w:rPr>
          <w:lang w:eastAsia="en-GB"/>
        </w:rPr>
        <w:t>, UK</w:t>
      </w:r>
    </w:p>
    <w:p w14:paraId="5D1CA7DC" w14:textId="27FA77A8" w:rsidR="007164FD" w:rsidRPr="00291F12" w:rsidRDefault="007164FD" w:rsidP="007164FD">
      <w:pPr>
        <w:pStyle w:val="NoSpacing"/>
        <w:spacing w:line="276" w:lineRule="auto"/>
        <w:rPr>
          <w:lang w:eastAsia="en-GB"/>
        </w:rPr>
      </w:pPr>
      <w:r>
        <w:rPr>
          <w:vertAlign w:val="superscript"/>
          <w:lang w:eastAsia="en-GB"/>
        </w:rPr>
        <w:t>3</w:t>
      </w:r>
      <w:r w:rsidRPr="00291F12">
        <w:rPr>
          <w:lang w:eastAsia="en-GB"/>
        </w:rPr>
        <w:t>Department of Women’s and Children’s Health, Institute of Translational Medicine, University of Liverpool, Liverpool</w:t>
      </w:r>
      <w:r w:rsidR="00BE10B4">
        <w:rPr>
          <w:lang w:eastAsia="en-GB"/>
        </w:rPr>
        <w:t>, UK</w:t>
      </w:r>
    </w:p>
    <w:p w14:paraId="4ACA4805" w14:textId="4D39C95F" w:rsidR="007164FD" w:rsidRDefault="007164FD"/>
    <w:p w14:paraId="6203BFBA" w14:textId="77777777" w:rsidR="007164FD" w:rsidRPr="007164FD" w:rsidRDefault="007164FD" w:rsidP="007164FD">
      <w:pPr>
        <w:rPr>
          <w:b/>
          <w:bCs/>
        </w:rPr>
      </w:pPr>
      <w:r w:rsidRPr="007164FD">
        <w:rPr>
          <w:b/>
          <w:bCs/>
        </w:rPr>
        <w:t>Corresponding author details</w:t>
      </w:r>
    </w:p>
    <w:p w14:paraId="44DF25B3" w14:textId="13716702" w:rsidR="007164FD" w:rsidRPr="007164FD" w:rsidRDefault="007164FD" w:rsidP="007164FD">
      <w:r w:rsidRPr="007164FD">
        <w:t xml:space="preserve">Dr. </w:t>
      </w:r>
      <w:r>
        <w:t>Stephen McWilliam</w:t>
      </w:r>
      <w:r w:rsidRPr="007164FD">
        <w:t xml:space="preserve">, </w:t>
      </w:r>
    </w:p>
    <w:p w14:paraId="3FB629C8" w14:textId="07BF9277" w:rsidR="007164FD" w:rsidRPr="007164FD" w:rsidRDefault="007164FD" w:rsidP="007164FD">
      <w:r w:rsidRPr="007164FD">
        <w:t xml:space="preserve">Senior Lecturer in Paediatric </w:t>
      </w:r>
      <w:r>
        <w:t>Clinical Pharmacology</w:t>
      </w:r>
      <w:r w:rsidRPr="007164FD">
        <w:t xml:space="preserve">, </w:t>
      </w:r>
    </w:p>
    <w:p w14:paraId="084ADCD1" w14:textId="77777777" w:rsidR="007164FD" w:rsidRPr="007164FD" w:rsidRDefault="007164FD" w:rsidP="007164FD">
      <w:r w:rsidRPr="007164FD">
        <w:t>Women’s and Children’s Health,</w:t>
      </w:r>
    </w:p>
    <w:p w14:paraId="3B05FFDD" w14:textId="77777777" w:rsidR="007164FD" w:rsidRPr="007164FD" w:rsidRDefault="007164FD" w:rsidP="007164FD">
      <w:r w:rsidRPr="007164FD">
        <w:t>University of Liverpool,</w:t>
      </w:r>
    </w:p>
    <w:p w14:paraId="70359521" w14:textId="77777777" w:rsidR="007164FD" w:rsidRPr="007164FD" w:rsidRDefault="007164FD" w:rsidP="007164FD">
      <w:r w:rsidRPr="007164FD">
        <w:t>Institute in the Park,</w:t>
      </w:r>
    </w:p>
    <w:p w14:paraId="52A6F6A4" w14:textId="77777777" w:rsidR="007164FD" w:rsidRPr="007164FD" w:rsidRDefault="007164FD" w:rsidP="007164FD">
      <w:r w:rsidRPr="007164FD">
        <w:t>Alder Hey Children’s NHS Foundation Trust,</w:t>
      </w:r>
    </w:p>
    <w:p w14:paraId="6A50E1E5" w14:textId="77777777" w:rsidR="007164FD" w:rsidRPr="007164FD" w:rsidRDefault="007164FD" w:rsidP="007164FD">
      <w:r w:rsidRPr="007164FD">
        <w:t>Eaton Road,</w:t>
      </w:r>
    </w:p>
    <w:p w14:paraId="3BF6F2BF" w14:textId="77777777" w:rsidR="007164FD" w:rsidRPr="007164FD" w:rsidRDefault="007164FD" w:rsidP="007164FD">
      <w:r w:rsidRPr="007164FD">
        <w:t>Liverpool,</w:t>
      </w:r>
    </w:p>
    <w:p w14:paraId="394F1199" w14:textId="3596C5FF" w:rsidR="007164FD" w:rsidRDefault="007164FD" w:rsidP="007164FD">
      <w:r w:rsidRPr="007164FD">
        <w:t>L12 2AP</w:t>
      </w:r>
    </w:p>
    <w:p w14:paraId="7436A0E0" w14:textId="77777777" w:rsidR="007164FD" w:rsidRPr="007164FD" w:rsidRDefault="007164FD" w:rsidP="007164FD"/>
    <w:p w14:paraId="2962F540" w14:textId="75B59F4E" w:rsidR="007164FD" w:rsidRPr="007164FD" w:rsidRDefault="007164FD" w:rsidP="007164FD">
      <w:r w:rsidRPr="007164FD">
        <w:rPr>
          <w:b/>
          <w:bCs/>
        </w:rPr>
        <w:t>Email:</w:t>
      </w:r>
      <w:r w:rsidRPr="007164FD">
        <w:t xml:space="preserve"> </w:t>
      </w:r>
      <w:hyperlink r:id="rId11" w:history="1">
        <w:r w:rsidRPr="007A2109">
          <w:rPr>
            <w:rStyle w:val="Hyperlink"/>
          </w:rPr>
          <w:t>stevemcw@liverpool.ac.uk</w:t>
        </w:r>
      </w:hyperlink>
    </w:p>
    <w:p w14:paraId="3CEF2E62" w14:textId="3ED33C85" w:rsidR="007164FD" w:rsidRDefault="007164FD"/>
    <w:p w14:paraId="48C588C4" w14:textId="54CEBBE7" w:rsidR="007164FD" w:rsidRPr="007164FD" w:rsidRDefault="00BE10B4">
      <w:r>
        <w:t xml:space="preserve">Word count: </w:t>
      </w:r>
      <w:r w:rsidR="0020744A">
        <w:t>1567</w:t>
      </w:r>
    </w:p>
    <w:p w14:paraId="29C221A6" w14:textId="77777777" w:rsidR="007164FD" w:rsidRDefault="007164FD">
      <w:pPr>
        <w:rPr>
          <w:i/>
        </w:rPr>
      </w:pPr>
      <w:r>
        <w:rPr>
          <w:i/>
        </w:rPr>
        <w:br w:type="page"/>
      </w:r>
    </w:p>
    <w:p w14:paraId="39E69FEB" w14:textId="36C4D1FE" w:rsidR="00BA30CF" w:rsidRPr="00BE10B4" w:rsidRDefault="00BE10B4" w:rsidP="00BA30CF">
      <w:pPr>
        <w:rPr>
          <w:b/>
        </w:rPr>
      </w:pPr>
      <w:r w:rsidRPr="00BE10B4">
        <w:rPr>
          <w:b/>
        </w:rPr>
        <w:lastRenderedPageBreak/>
        <w:t>INTRODUCTION</w:t>
      </w:r>
    </w:p>
    <w:p w14:paraId="5F91DAA7" w14:textId="77777777" w:rsidR="00BA30CF" w:rsidRDefault="00BA30CF"/>
    <w:p w14:paraId="797E222A" w14:textId="27E700C5" w:rsidR="00E05389" w:rsidRDefault="00374A98">
      <w:r>
        <w:t xml:space="preserve">Kidney </w:t>
      </w:r>
      <w:r w:rsidR="0066554A">
        <w:t>impairment is common in the paediatric population. This includes patients with an acute deterioration i</w:t>
      </w:r>
      <w:r>
        <w:t xml:space="preserve">n kidney </w:t>
      </w:r>
      <w:r w:rsidR="0066554A">
        <w:t xml:space="preserve">function during an episode of Acute Kidney Injury (AKI), patients with Chronic Kidney Disease (CKD) and patients undergoing renal replacement therapy (RRT) or with kidney transplants. </w:t>
      </w:r>
      <w:r w:rsidR="00E50EAC">
        <w:t xml:space="preserve">Patients with </w:t>
      </w:r>
      <w:r>
        <w:t xml:space="preserve">kidney </w:t>
      </w:r>
      <w:r w:rsidR="00E50EAC">
        <w:t xml:space="preserve">impairment are at increased risk of adverse events </w:t>
      </w:r>
      <w:r w:rsidR="00B272A1">
        <w:t>associated with</w:t>
      </w:r>
      <w:r w:rsidR="00E50EAC">
        <w:t xml:space="preserve"> errors </w:t>
      </w:r>
      <w:r w:rsidR="00B272A1">
        <w:t>in</w:t>
      </w:r>
      <w:r w:rsidR="00E50EAC">
        <w:t xml:space="preserve"> drug prescribing and administration</w:t>
      </w:r>
      <w:r w:rsidR="00AB4595">
        <w:t>.</w:t>
      </w:r>
      <w:r w:rsidR="00807144">
        <w:fldChar w:fldCharType="begin" w:fldLock="1"/>
      </w:r>
      <w:r w:rsidR="00BE10B4">
        <w:instrText>ADDIN CSL_CITATION {"citationItems":[{"id":"ITEM-1","itemData":{"DOI":"10.1053/j.ajkd.2008.12.016","ISSN":"02726386","PMID":"19246142","abstract":"Chronic kidney disease (CKD) is common, but underrecognized, in patients in the health care system, where improving patient safety is a high priority. Poor disease recognition and several other features of CKD make it a high-risk condition for adverse safety events. In this review, we discuss the unique attributes of CKD that make it a high-risk condition for patient safety mishaps. We point out that adverse safety events in this disease have the potential to contribute to disease progression; namely, accelerated loss of kidney function and increased incidence of end-stage renal disease. We also propose a framework in which to consider patient safety in CKD, highlighting the need for disease-specific safety indicators that reflect unsafe practices in the treatment of this disease. Finally, we discuss the hypothesis that increased recognition of CKD will reduce disease-specific safety events and in this way decrease the likelihood of adverse outcomes, including an accelerated rate of kidney function loss and increased incidence of end-stage renal disease. © 2009 National Kidney Foundation, Inc.","author":[{"dropping-particle":"","family":"Fink","given":"Jeffrey C.","non-dropping-particle":"","parse-names":false,"suffix":""},{"dropping-particle":"","family":"Brown","given":"Jeanine","non-dropping-particle":"","parse-names":false,"suffix":""},{"dropping-particle":"","family":"Hsu","given":"Van Doren","non-dropping-particle":"","parse-names":false,"suffix":""},{"dropping-particle":"","family":"Seliger","given":"Stephen L.","non-dropping-particle":"","parse-names":false,"suffix":""},{"dropping-particle":"","family":"Walker","given":"Loreen","non-dropping-particle":"","parse-names":false,"suffix":""},{"dropping-particle":"","family":"Zhan","given":"Min","non-dropping-particle":"","parse-names":false,"suffix":""}],"container-title":"American Journal of Kidney Diseases","id":"ITEM-1","issue":"4","issued":{"date-parts":[["2009","4"]]},"page":"681-688","title":"CKD as an Underrecognized Threat to Patient Safety","type":"article","volume":"53"},"uris":["http://www.mendeley.com/documents/?uuid=337db060-3288-3991-8d20-49c9774f5800"]}],"mendeley":{"formattedCitation":"[1]","plainTextFormattedCitation":"[1]","previouslyFormattedCitation":"[1]"},"properties":{"noteIndex":0},"schema":"https://github.com/citation-style-language/schema/raw/master/csl-citation.json"}</w:instrText>
      </w:r>
      <w:r w:rsidR="00807144">
        <w:fldChar w:fldCharType="separate"/>
      </w:r>
      <w:r w:rsidR="00AB4595" w:rsidRPr="00AB4595">
        <w:rPr>
          <w:noProof/>
        </w:rPr>
        <w:t>[1]</w:t>
      </w:r>
      <w:r w:rsidR="00807144">
        <w:fldChar w:fldCharType="end"/>
      </w:r>
      <w:r w:rsidR="00A37B4D">
        <w:t xml:space="preserve"> </w:t>
      </w:r>
      <w:r w:rsidR="00FD1452">
        <w:t xml:space="preserve">This article aims to highlight several key principles prescribers </w:t>
      </w:r>
      <w:r w:rsidR="00E94A07">
        <w:t xml:space="preserve">should </w:t>
      </w:r>
      <w:r w:rsidR="007A66B8">
        <w:t>be aware of</w:t>
      </w:r>
      <w:r w:rsidR="00E94A07">
        <w:t xml:space="preserve"> when managing these patients</w:t>
      </w:r>
      <w:r w:rsidR="00A241DB">
        <w:t xml:space="preserve">, with a particular focus on </w:t>
      </w:r>
      <w:r w:rsidR="00360513">
        <w:t>management in secondary care</w:t>
      </w:r>
      <w:r w:rsidR="00E94A07">
        <w:t xml:space="preserve">. </w:t>
      </w:r>
    </w:p>
    <w:p w14:paraId="76F19BDE" w14:textId="77777777" w:rsidR="0066554A" w:rsidRDefault="0066554A"/>
    <w:p w14:paraId="2DF5822B" w14:textId="44171AA6" w:rsidR="00BA30CF" w:rsidRPr="00BE10B4" w:rsidRDefault="00BE10B4">
      <w:pPr>
        <w:rPr>
          <w:b/>
        </w:rPr>
      </w:pPr>
      <w:r w:rsidRPr="00BE10B4">
        <w:rPr>
          <w:b/>
        </w:rPr>
        <w:t>DRUG HANDLING IN THE HEALTHY KIDNEY</w:t>
      </w:r>
    </w:p>
    <w:p w14:paraId="20BE15AB" w14:textId="77777777" w:rsidR="00AE64C5" w:rsidRDefault="00AE64C5" w:rsidP="00433A4D"/>
    <w:p w14:paraId="449FB42C" w14:textId="63B857D0" w:rsidR="00450CA5" w:rsidRDefault="00433A4D" w:rsidP="00433A4D">
      <w:pPr>
        <w:rPr>
          <w:b/>
        </w:rPr>
      </w:pPr>
      <w:r w:rsidRPr="00433A4D">
        <w:t>A person’s response to a drug is determined by a combination of pharmacokinetics an</w:t>
      </w:r>
      <w:r w:rsidR="009D41B0">
        <w:t xml:space="preserve">d </w:t>
      </w:r>
      <w:r w:rsidR="009D41B0" w:rsidRPr="00AE64C5">
        <w:t xml:space="preserve">pharmacodynamics </w:t>
      </w:r>
      <w:r w:rsidR="00807144">
        <w:fldChar w:fldCharType="begin" w:fldLock="1"/>
      </w:r>
      <w:r w:rsidR="00BE10B4">
        <w:instrText>ADDIN CSL_CITATION {"citationItems":[{"id":"ITEM-1","itemData":{"author":[{"dropping-particle":"","family":"Ashley","given":"C","non-dropping-particle":"","parse-names":false,"suffix":""},{"dropping-particle":"","family":"Morlidge","given":"C","non-dropping-particle":"","parse-names":false,"suffix":""}],"edition":"1st","id":"ITEM-1","issued":{"date-parts":[["2008"]]},"publisher":"Pharmaceutical Press","publisher-place":"London","title":"Introduction to Renal Therapeutics","type":"book"},"uris":["http://www.mendeley.com/documents/?uuid=f44081db-5d07-3c24-93ff-9bf8e62aca82"]}],"mendeley":{"formattedCitation":"[2]","plainTextFormattedCitation":"[2]","previouslyFormattedCitation":"[2]"},"properties":{"noteIndex":0},"schema":"https://github.com/citation-style-language/schema/raw/master/csl-citation.json"}</w:instrText>
      </w:r>
      <w:r w:rsidR="00807144">
        <w:fldChar w:fldCharType="separate"/>
      </w:r>
      <w:r w:rsidR="00AB4595" w:rsidRPr="00AB4595">
        <w:rPr>
          <w:noProof/>
        </w:rPr>
        <w:t>[2]</w:t>
      </w:r>
      <w:r w:rsidR="00807144">
        <w:fldChar w:fldCharType="end"/>
      </w:r>
      <w:r w:rsidRPr="00AE64C5">
        <w:t xml:space="preserve">. </w:t>
      </w:r>
      <w:r w:rsidRPr="00433A4D">
        <w:t xml:space="preserve">Pharmacodynamics is concerned with the </w:t>
      </w:r>
      <w:r w:rsidRPr="00433A4D">
        <w:rPr>
          <w:b/>
          <w:u w:val="single"/>
        </w:rPr>
        <w:t>effect of the drug on the body</w:t>
      </w:r>
      <w:r w:rsidRPr="00433A4D">
        <w:t xml:space="preserve">. Pharmacokinetics is best described as </w:t>
      </w:r>
      <w:r w:rsidRPr="00433A4D">
        <w:rPr>
          <w:b/>
          <w:u w:val="single"/>
        </w:rPr>
        <w:t>the effect of the body on the drug</w:t>
      </w:r>
      <w:r w:rsidRPr="00433A4D">
        <w:t xml:space="preserve"> and reflects the physiologic processes of </w:t>
      </w:r>
      <w:r w:rsidRPr="007A66B8">
        <w:rPr>
          <w:b/>
        </w:rPr>
        <w:t xml:space="preserve">absorption, distribution, metabolism and </w:t>
      </w:r>
      <w:r w:rsidR="00030FF7">
        <w:rPr>
          <w:b/>
        </w:rPr>
        <w:t>elimination</w:t>
      </w:r>
      <w:r w:rsidR="00AB4595">
        <w:rPr>
          <w:b/>
        </w:rPr>
        <w:t>;</w:t>
      </w:r>
      <w:r w:rsidR="00807144">
        <w:rPr>
          <w:b/>
        </w:rPr>
        <w:fldChar w:fldCharType="begin" w:fldLock="1"/>
      </w:r>
      <w:r w:rsidR="00BE10B4">
        <w:rPr>
          <w:b/>
        </w:rPr>
        <w:instrText>ADDIN CSL_CITATION {"citationItems":[{"id":"ITEM-1","itemData":{"author":[{"dropping-particle":"","family":"Ashley","given":"C","non-dropping-particle":"","parse-names":false,"suffix":""},{"dropping-particle":"","family":"Morlidge","given":"C","non-dropping-particle":"","parse-names":false,"suffix":""}],"edition":"1st","id":"ITEM-1","issued":{"date-parts":[["2008"]]},"publisher":"Pharmaceutical Press","publisher-place":"London","title":"Introduction to Renal Therapeutics","type":"book"},"uris":["http://www.mendeley.com/documents/?uuid=f44081db-5d07-3c24-93ff-9bf8e62aca82"]},{"id":"ITEM-2","itemData":{"DOI":"10.2215/CJN.00340118","ISSN":"1555905X","PMID":"29934432","abstract":"Kidney disease is an increasingly common comorbidity that alters the pharmacokinetics of many drugs. Prescribing to patients with kidney disease requires knowledge about the drug, the extent of the patient’s altered physiology, and pharmacokinetic principles that influence the design of dosing regimens. There are multiple physiologic effects of impaired kidney function, and the extent to which they occur in an individual at any given time can be difficult to define. Although some guidelines are available for dosing in kidney disease, they may be on the basis of limited data or not widely applicable, and therefore, an understanding of pharmacokinetic principles and how to apply them is important to the practicing clinician. Whether kidney disease is acute or chronic, drug clearance decreases, and the volume of distribution may remain the same or increase. Although in CKD, these changes progress relatively slowly, they are dynamic in AKI, and recovery is possible depending on the etiology and treatments. This, and the use of kidney replacement therapies further complicate attempts to quantify drug clearance at the time of prescribing and dosing in AKI. The required change in the dosing regimen can be estimated or even quantitated in certain instances through the application of pharmacokinetic principles to guide rational drug dosing. This offers an opportunity to provide personalized medical care and minimizes adverse drug events from either under-or overdosing. We discuss the principles of pharmacokinetics that are fundamental for the design of an appropriate dosing regimen in this review.","author":[{"dropping-particle":"","family":"Lea-Henry","given":"Tom N.","non-dropping-particle":"","parse-names":false,"suffix":""},{"dropping-particle":"","family":"Carland","given":"Jane E.","non-dropping-particle":"","parse-names":false,"suffix":""},{"dropping-particle":"","family":"Stocker","given":"Sophie L.","non-dropping-particle":"","parse-names":false,"suffix":""},{"dropping-particle":"","family":"Sevastos","given":"Jacob","non-dropping-particle":"","parse-names":false,"suffix":""},{"dropping-particle":"","family":"Roberts","given":"Darren M.","non-dropping-particle":"","parse-names":false,"suffix":""}],"container-title":"Clinical Journal of the American Society of Nephrology","id":"ITEM-2","issue":"7","issued":{"date-parts":[["2018","7","6"]]},"page":"1085-1095","publisher":"American Society of Nephrology","title":"Clinical pharmacokinetics in kidney disease: Fundamental principles","type":"article-journal","volume":"13"},"uris":["http://www.mendeley.com/documents/?uuid=81649976-b579-3f87-9716-62f25572c9a1"]},{"id":"ITEM-3","itemData":{"DOI":"10.1007/s00228-009-0678-8","ISSN":"00316970","PMID":"19543887","abstract":"Introduction: Chronic kidney disease is a common, progressive illness that is becoming a global public health problem. In patients with kidney dysfunction, the renal excretion of parent drug and/or its metabolites will be impaired, leading to their excessive accumulation in the body. In addition, the plasma protein binding of drugs may be significantly reduced, which in turn could influence the pharmacokinetic processes of distribution and elimination. The activity of several drug-metabolizing enzymes and drug transporters has been shown to be impaired in chronic renal failure. In patients with end-stage renal disease, dialysis techniques such as hemodialysis and continuous ambulatory peritoneal dialysis may remove drugs from the body, necessitating dosage adjustment. Methods: Inappropriate dosing in patients with renal dysfunction can cause toxicity or ineffective therapy. Therefore, the normal dosage regimen of a drug may have to be adjusted in a patient with renal dysfunction. Dosage adjustment is based on the remaining kidney function, most often estimated on the basis of the patient's glomerular filtration rate (GFR) estimated by the Cockroft-Gault formula. Net renal excretion of drug is a combination of three processes: glomerular filtration, tubular secretion and tubular reabsorption. Therefore, dosage adjustment based on GFR may not always be appropriate and a re-evaluation of markers of renal function may be required. Discussion: According to EMEA and FDA guidelines, a pharmacokinetic study should be carried out during the development phase of a new drug that is likely to be used in patients with renal dysfunction and whose pharmacokinetics are likely to be significantly altered in these patients. This study should be carried out in carefully selected subjects with varying degrees of renal dysfunction. In addition to this two-stage pharmacokinetic approach, a population PK/PD study in patients participating in phase II/phase III clinical trials can also be used to assess the impact of renal dysfunction on the drug's pharmacokinetics and pharmacodynamics. Conclusion: In conclusion, renal dysfunction affects more that just the renal handling of drugs and/or active drug metabolites. Even when the dosage adjustment recommended for patients with renal dysfunction are carefully followed, adverse drug reactions remain common. © 2009 Springer-Verlag.","author":[{"dropping-particle":"","family":"Verbeeck","given":"Roger K.","non-dropping-particle":"","parse-names":false,"suffix":""},{"dropping-particle":"","family":"Musuamba","given":"Flora T.","non-dropping-particle":"","parse-names":false,"suffix":""}],"container-title":"European Journal of Clinical Pharmacology","id":"ITEM-3","issue":"8","issued":{"date-parts":[["2009","8"]]},"page":"757-773","title":"Pharmacokinetics and dosage adjustment in patients with renal dysfunction","type":"article","volume":"65"},"uris":["http://www.mendeley.com/documents/?uuid=fc512cd4-29f4-3778-8c8f-512b9f8c4cda"]}],"mendeley":{"formattedCitation":"[2–4]","plainTextFormattedCitation":"[2–4]","previouslyFormattedCitation":"[2–4]"},"properties":{"noteIndex":0},"schema":"https://github.com/citation-style-language/schema/raw/master/csl-citation.json"}</w:instrText>
      </w:r>
      <w:r w:rsidR="00807144">
        <w:rPr>
          <w:b/>
        </w:rPr>
        <w:fldChar w:fldCharType="separate"/>
      </w:r>
      <w:r w:rsidR="00AB4595" w:rsidRPr="00AB4595">
        <w:rPr>
          <w:noProof/>
        </w:rPr>
        <w:t>[2–4]</w:t>
      </w:r>
      <w:r w:rsidR="00807144">
        <w:rPr>
          <w:b/>
        </w:rPr>
        <w:fldChar w:fldCharType="end"/>
      </w:r>
      <w:r w:rsidRPr="00CF003B">
        <w:t xml:space="preserve"> </w:t>
      </w:r>
      <w:r w:rsidR="007A66B8">
        <w:t>it is important to remember that</w:t>
      </w:r>
      <w:r w:rsidRPr="00433A4D">
        <w:t xml:space="preserve"> each of these processes may be altered in </w:t>
      </w:r>
      <w:r w:rsidR="00374A98">
        <w:t>kidney</w:t>
      </w:r>
      <w:r w:rsidRPr="00433A4D">
        <w:t xml:space="preserve"> disease.</w:t>
      </w:r>
      <w:r w:rsidR="00FD4F9C">
        <w:t xml:space="preserve"> Un</w:t>
      </w:r>
      <w:r w:rsidR="00F644BE">
        <w:t xml:space="preserve">fortuntely there are no </w:t>
      </w:r>
      <w:r w:rsidR="00272AA1">
        <w:t>agreed national</w:t>
      </w:r>
      <w:r w:rsidR="00373FD2">
        <w:t xml:space="preserve"> guidelines on how to adjust doses in </w:t>
      </w:r>
      <w:r w:rsidR="0080024D">
        <w:t xml:space="preserve">kidney </w:t>
      </w:r>
      <w:r w:rsidR="00373FD2">
        <w:t>impairme</w:t>
      </w:r>
      <w:r w:rsidR="0003236E">
        <w:t>nt</w:t>
      </w:r>
      <w:r w:rsidR="00272AA1">
        <w:t xml:space="preserve">. </w:t>
      </w:r>
      <w:r w:rsidR="00450CA5">
        <w:t xml:space="preserve">Pharmacists have specialist knowledge which should be utilised within the MDT to advise the necessary dosage adjustments. </w:t>
      </w:r>
    </w:p>
    <w:p w14:paraId="0C702651" w14:textId="77777777" w:rsidR="00450CA5" w:rsidRDefault="00450CA5" w:rsidP="00433A4D">
      <w:pPr>
        <w:rPr>
          <w:b/>
        </w:rPr>
      </w:pPr>
    </w:p>
    <w:p w14:paraId="33947ECC" w14:textId="423E9142" w:rsidR="00433A4D" w:rsidRDefault="00450CA5" w:rsidP="00433A4D">
      <w:r>
        <w:rPr>
          <w:b/>
        </w:rPr>
        <w:t>A</w:t>
      </w:r>
      <w:r w:rsidR="00433A4D" w:rsidRPr="007A66B8">
        <w:rPr>
          <w:b/>
        </w:rPr>
        <w:t>bsorption</w:t>
      </w:r>
      <w:r w:rsidR="00433A4D" w:rsidRPr="00433A4D">
        <w:t xml:space="preserve"> may be reduced in patients with </w:t>
      </w:r>
      <w:r w:rsidR="00374A98">
        <w:t>kidney</w:t>
      </w:r>
      <w:r w:rsidR="00374A98" w:rsidRPr="00433A4D">
        <w:t xml:space="preserve"> </w:t>
      </w:r>
      <w:r w:rsidR="00433A4D" w:rsidRPr="00433A4D">
        <w:t xml:space="preserve">impairment </w:t>
      </w:r>
      <w:r w:rsidR="007A66B8">
        <w:t>for</w:t>
      </w:r>
      <w:r w:rsidR="00433A4D" w:rsidRPr="00433A4D">
        <w:t xml:space="preserve"> </w:t>
      </w:r>
      <w:r w:rsidR="00AE64C5">
        <w:t xml:space="preserve">numerous </w:t>
      </w:r>
      <w:r w:rsidR="00433A4D" w:rsidRPr="00433A4D">
        <w:t xml:space="preserve">reasons </w:t>
      </w:r>
      <w:r w:rsidR="007A66B8">
        <w:t xml:space="preserve">including </w:t>
      </w:r>
      <w:r w:rsidR="00433A4D" w:rsidRPr="00433A4D">
        <w:t>nausea and vo</w:t>
      </w:r>
      <w:r w:rsidR="007A66B8">
        <w:t xml:space="preserve">miting associated with uraemia </w:t>
      </w:r>
      <w:r w:rsidR="00433A4D" w:rsidRPr="00433A4D">
        <w:t xml:space="preserve">and oedema of </w:t>
      </w:r>
      <w:r w:rsidR="007A66B8">
        <w:t>the gastro</w:t>
      </w:r>
      <w:r w:rsidR="00433A4D" w:rsidRPr="00433A4D">
        <w:t>intestinal tract due to hypoproteinaemia</w:t>
      </w:r>
      <w:r w:rsidR="00AB4595">
        <w:t>.</w:t>
      </w:r>
      <w:r w:rsidR="00807144">
        <w:fldChar w:fldCharType="begin" w:fldLock="1"/>
      </w:r>
      <w:r w:rsidR="00BE10B4">
        <w:instrText>ADDIN CSL_CITATION {"citationItems":[{"id":"ITEM-1","itemData":{"author":[{"dropping-particle":"","family":"Ashley","given":"C","non-dropping-particle":"","parse-names":false,"suffix":""},{"dropping-particle":"","family":"Morlidge","given":"C","non-dropping-particle":"","parse-names":false,"suffix":""}],"edition":"1st","id":"ITEM-1","issued":{"date-parts":[["2008"]]},"publisher":"Pharmaceutical Press","publisher-place":"London","title":"Introduction to Renal Therapeutics","type":"book"},"uris":["http://www.mendeley.com/documents/?uuid=f44081db-5d07-3c24-93ff-9bf8e62aca82"]},{"id":"ITEM-2","itemData":{"DOI":"10.1007/s00228-009-0678-8","ISSN":"00316970","PMID":"19543887","abstract":"Introduction: Chronic kidney disease is a common, progressive illness that is becoming a global public health problem. In patients with kidney dysfunction, the renal excretion of parent drug and/or its metabolites will be impaired, leading to their excessive accumulation in the body. In addition, the plasma protein binding of drugs may be significantly reduced, which in turn could influence the pharmacokinetic processes of distribution and elimination. The activity of several drug-metabolizing enzymes and drug transporters has been shown to be impaired in chronic renal failure. In patients with end-stage renal disease, dialysis techniques such as hemodialysis and continuous ambulatory peritoneal dialysis may remove drugs from the body, necessitating dosage adjustment. Methods: Inappropriate dosing in patients with renal dysfunction can cause toxicity or ineffective therapy. Therefore, the normal dosage regimen of a drug may have to be adjusted in a patient with renal dysfunction. Dosage adjustment is based on the remaining kidney function, most often estimated on the basis of the patient's glomerular filtration rate (GFR) estimated by the Cockroft-Gault formula. Net renal excretion of drug is a combination of three processes: glomerular filtration, tubular secretion and tubular reabsorption. Therefore, dosage adjustment based on GFR may not always be appropriate and a re-evaluation of markers of renal function may be required. Discussion: According to EMEA and FDA guidelines, a pharmacokinetic study should be carried out during the development phase of a new drug that is likely to be used in patients with renal dysfunction and whose pharmacokinetics are likely to be significantly altered in these patients. This study should be carried out in carefully selected subjects with varying degrees of renal dysfunction. In addition to this two-stage pharmacokinetic approach, a population PK/PD study in patients participating in phase II/phase III clinical trials can also be used to assess the impact of renal dysfunction on the drug's pharmacokinetics and pharmacodynamics. Conclusion: In conclusion, renal dysfunction affects more that just the renal handling of drugs and/or active drug metabolites. Even when the dosage adjustment recommended for patients with renal dysfunction are carefully followed, adverse drug reactions remain common. © 2009 Springer-Verlag.","author":[{"dropping-particle":"","family":"Verbeeck","given":"Roger K.","non-dropping-particle":"","parse-names":false,"suffix":""},{"dropping-particle":"","family":"Musuamba","given":"Flora T.","non-dropping-particle":"","parse-names":false,"suffix":""}],"container-title":"European Journal of Clinical Pharmacology","id":"ITEM-2","issue":"8","issued":{"date-parts":[["2009","8"]]},"page":"757-773","title":"Pharmacokinetics and dosage adjustment in patients with renal dysfunction","type":"article","volume":"65"},"uris":["http://www.mendeley.com/documents/?uuid=fc512cd4-29f4-3778-8c8f-512b9f8c4cda"]}],"mendeley":{"formattedCitation":"[2,4]","plainTextFormattedCitation":"[2,4]","previouslyFormattedCitation":"[2,4]"},"properties":{"noteIndex":0},"schema":"https://github.com/citation-style-language/schema/raw/master/csl-citation.json"}</w:instrText>
      </w:r>
      <w:r w:rsidR="00807144">
        <w:fldChar w:fldCharType="separate"/>
      </w:r>
      <w:r w:rsidR="00AB4595" w:rsidRPr="00AB4595">
        <w:rPr>
          <w:noProof/>
        </w:rPr>
        <w:t>[2,4]</w:t>
      </w:r>
      <w:r w:rsidR="00807144">
        <w:fldChar w:fldCharType="end"/>
      </w:r>
      <w:r w:rsidR="00777930">
        <w:t xml:space="preserve"> Drug doses are not routinely altered to allow for these factors but must be considered</w:t>
      </w:r>
      <w:r w:rsidR="00270F9E">
        <w:t xml:space="preserve"> </w:t>
      </w:r>
      <w:r>
        <w:t>when a</w:t>
      </w:r>
      <w:r w:rsidR="00ED05DD">
        <w:t>ss</w:t>
      </w:r>
      <w:r>
        <w:t xml:space="preserve">essing </w:t>
      </w:r>
      <w:r w:rsidR="00ED05DD">
        <w:t xml:space="preserve">the </w:t>
      </w:r>
      <w:r>
        <w:t>efficacy of treatment</w:t>
      </w:r>
      <w:r w:rsidR="00223145">
        <w:t xml:space="preserve">. </w:t>
      </w:r>
      <w:r w:rsidR="00F51305">
        <w:t xml:space="preserve">An example </w:t>
      </w:r>
      <w:r w:rsidR="00B460BC">
        <w:t>could be switching from oral prednisolone to</w:t>
      </w:r>
      <w:r w:rsidR="00951778">
        <w:t xml:space="preserve"> </w:t>
      </w:r>
      <w:r w:rsidR="00574F94">
        <w:t>intravenous (IV)</w:t>
      </w:r>
      <w:r w:rsidR="00B460BC">
        <w:t xml:space="preserve"> methylprednisolone </w:t>
      </w:r>
      <w:r w:rsidR="00D75116">
        <w:t>if there was a concern regarding the absorption of the oral medication.</w:t>
      </w:r>
      <w:r w:rsidR="00EA0D3D">
        <w:t xml:space="preserve"> </w:t>
      </w:r>
    </w:p>
    <w:p w14:paraId="62D11746" w14:textId="77777777" w:rsidR="00CF003B" w:rsidRPr="00433A4D" w:rsidRDefault="00CF003B" w:rsidP="00433A4D"/>
    <w:p w14:paraId="0A76B6FE" w14:textId="022FEB9C" w:rsidR="00433A4D" w:rsidRDefault="007A66B8" w:rsidP="00433A4D">
      <w:r w:rsidRPr="007A66B8">
        <w:rPr>
          <w:b/>
        </w:rPr>
        <w:t>Distribution</w:t>
      </w:r>
      <w:r>
        <w:t xml:space="preserve"> of drugs is</w:t>
      </w:r>
      <w:r w:rsidR="00433A4D" w:rsidRPr="00433A4D">
        <w:t xml:space="preserve"> affected as a result of changes </w:t>
      </w:r>
      <w:r w:rsidR="00AE64C5">
        <w:t>affecting</w:t>
      </w:r>
      <w:r w:rsidR="00433A4D" w:rsidRPr="00433A4D">
        <w:t xml:space="preserve"> protein binding, primarily hypoalbuminemia. </w:t>
      </w:r>
      <w:r>
        <w:t>This is particularly</w:t>
      </w:r>
      <w:r w:rsidR="00433A4D" w:rsidRPr="00433A4D">
        <w:t xml:space="preserve"> important for highly protein</w:t>
      </w:r>
      <w:r w:rsidR="00AE64C5">
        <w:t>-</w:t>
      </w:r>
      <w:r w:rsidR="00433A4D" w:rsidRPr="00433A4D">
        <w:t>bound drugs</w:t>
      </w:r>
      <w:r w:rsidR="00D75116">
        <w:t>,</w:t>
      </w:r>
      <w:r w:rsidR="009B4CDA">
        <w:t xml:space="preserve"> </w:t>
      </w:r>
      <w:r w:rsidR="0092397A">
        <w:t>for example</w:t>
      </w:r>
      <w:r w:rsidR="00D75116">
        <w:t>,</w:t>
      </w:r>
      <w:r w:rsidR="00AF4DDE">
        <w:t xml:space="preserve"> tacrolimus</w:t>
      </w:r>
      <w:r w:rsidR="000A2118">
        <w:t xml:space="preserve">. </w:t>
      </w:r>
      <w:r w:rsidR="00433A4D" w:rsidRPr="00433A4D">
        <w:t xml:space="preserve">A higher proportion of unbound </w:t>
      </w:r>
      <w:r>
        <w:t xml:space="preserve">drug, due to hypoproteinaemia, </w:t>
      </w:r>
      <w:r w:rsidR="00D82537">
        <w:t xml:space="preserve">can result in </w:t>
      </w:r>
      <w:r w:rsidR="00433A4D" w:rsidRPr="00433A4D">
        <w:t>accumulation</w:t>
      </w:r>
      <w:r w:rsidR="00433A4D">
        <w:t xml:space="preserve"> </w:t>
      </w:r>
      <w:r w:rsidR="00433A4D" w:rsidRPr="00433A4D">
        <w:t>of active drug in the plasma</w:t>
      </w:r>
      <w:r w:rsidR="009A67C5">
        <w:t xml:space="preserve">. </w:t>
      </w:r>
      <w:r w:rsidR="009A67C5">
        <w:fldChar w:fldCharType="begin" w:fldLock="1"/>
      </w:r>
      <w:r w:rsidR="009A67C5">
        <w:instrText>ADDIN CSL_CITATION {"citationItems":[{"id":"ITEM-1","itemData":{"author":[{"dropping-particle":"","family":"Ashley","given":"C","non-dropping-particle":"","parse-names":false,"suffix":""},{"dropping-particle":"","family":"Morlidge","given":"C","non-dropping-particle":"","parse-names":false,"suffix":""}],"edition":"1st","id":"ITEM-1","issued":{"date-parts":[["2008"]]},"publisher":"Pharmaceutical Press","publisher-place":"London","title":"Introduction to Renal Therapeutics","type":"book"},"uris":["http://www.mendeley.com/documents/?uuid=f44081db-5d07-3c24-93ff-9bf8e62aca82"]},{"id":"ITEM-2","itemData":{"DOI":"10.1007/s00228-009-0678-8","ISSN":"00316970","PMID":"19543887","abstract":"Introduction: Chronic kidney disease is a common, progressive illness that is becoming a global public health problem. In patients with kidney dysfunction, the renal excretion of parent drug and/or its metabolites will be impaired, leading to their excessive accumulation in the body. In addition, the plasma protein binding of drugs may be significantly reduced, which in turn could influence the pharmacokinetic processes of distribution and elimination. The activity of several drug-metabolizing enzymes and drug transporters has been shown to be impaired in chronic renal failure. In patients with end-stage renal disease, dialysis techniques such as hemodialysis and continuous ambulatory peritoneal dialysis may remove drugs from the body, necessitating dosage adjustment. Methods: Inappropriate dosing in patients with renal dysfunction can cause toxicity or ineffective therapy. Therefore, the normal dosage regimen of a drug may have to be adjusted in a patient with renal dysfunction. Dosage adjustment is based on the remaining kidney function, most often estimated on the basis of the patient's glomerular filtration rate (GFR) estimated by the Cockroft-Gault formula. Net renal excretion of drug is a combination of three processes: glomerular filtration, tubular secretion and tubular reabsorption. Therefore, dosage adjustment based on GFR may not always be appropriate and a re-evaluation of markers of renal function may be required. Discussion: According to EMEA and FDA guidelines, a pharmacokinetic study should be carried out during the development phase of a new drug that is likely to be used in patients with renal dysfunction and whose pharmacokinetics are likely to be significantly altered in these patients. This study should be carried out in carefully selected subjects with varying degrees of renal dysfunction. In addition to this two-stage pharmacokinetic approach, a population PK/PD study in patients participating in phase II/phase III clinical trials can also be used to assess the impact of renal dysfunction on the drug's pharmacokinetics and pharmacodynamics. Conclusion: In conclusion, renal dysfunction affects more that just the renal handling of drugs and/or active drug metabolites. Even when the dosage adjustment recommended for patients with renal dysfunction are carefully followed, adverse drug reactions remain common. © 2009 Springer-Verlag.","author":[{"dropping-particle":"","family":"Verbeeck","given":"Roger K.","non-dropping-particle":"","parse-names":false,"suffix":""},{"dropping-particle":"","family":"Musuamba","given":"Flora T.","non-dropping-particle":"","parse-names":false,"suffix":""}],"container-title":"European Journal of Clinical Pharmacology","id":"ITEM-2","issue":"8","issued":{"date-parts":[["2009","8"]]},"page":"757-773","title":"Pharmacokinetics and dosage adjustment in patients with renal dysfunction","type":"article","volume":"65"},"uris":["http://www.mendeley.com/documents/?uuid=fc512cd4-29f4-3778-8c8f-512b9f8c4cda"]}],"mendeley":{"formattedCitation":"[2,4]","plainTextFormattedCitation":"[2,4]","previouslyFormattedCitation":"[2,4]"},"properties":{"noteIndex":0},"schema":"https://github.com/citation-style-language/schema/raw/master/csl-citation.json"}</w:instrText>
      </w:r>
      <w:r w:rsidR="009A67C5">
        <w:fldChar w:fldCharType="separate"/>
      </w:r>
      <w:r w:rsidR="009A67C5" w:rsidRPr="00AB4595">
        <w:rPr>
          <w:noProof/>
        </w:rPr>
        <w:t>[2,4]</w:t>
      </w:r>
      <w:r w:rsidR="009A67C5">
        <w:fldChar w:fldCharType="end"/>
      </w:r>
      <w:r w:rsidR="009A67C5">
        <w:t xml:space="preserve"> However </w:t>
      </w:r>
      <w:r w:rsidR="00626CAC">
        <w:t xml:space="preserve">this effect is usually of little significance due to a </w:t>
      </w:r>
      <w:r w:rsidR="009A67C5">
        <w:t>compensatory increase in clearance</w:t>
      </w:r>
      <w:r w:rsidR="00AB4595">
        <w:t>.</w:t>
      </w:r>
      <w:r w:rsidR="005A72C2">
        <w:fldChar w:fldCharType="begin" w:fldLock="1"/>
      </w:r>
      <w:r w:rsidR="0020744A">
        <w:instrText>ADDIN CSL_CITATION {"citationItems":[{"id":"ITEM-1","itemData":{"DOI":"10.1053/JLTS.2002.31347","ISSN":"1527-6473","abstract":"Liver transplant recipients administered gelatin (GEL) rather than human albumin solution (HAS) can become profoundly hypoalbuminemic in the early postoperative period and often have hepatic dysfunction at this time. The combined effect of these two abnormalities could be an increase in the unbound (active) concentration of low-extraction highly albumin-bound drugs, such as tacrolimus (TAC). This may increase the efficacy and/or toxicity of such drugs. We prospectively compared the clinical outcome of 69 de novo liver transplant recipients randomized primarily to TAC or cyclosporine (CYA) and secondarily to HAS or GEL therapy during the first 14 days after liver transplantation. Antipyrine clearance on the 7th postoperative day was used as a measure of liver metabolic function. Serum albumin levels were significantly lower in both GEL arms than HAS arms during the first 14 days (P &lt; .001). Although antipyrine clearance was similar in all four trial arms, it was intermediate between that found in historic healthy controls and patients with cirrhosis (P &lt; .0001). Serum creatinine concentrations were significantly greater in the TAC plus GEL arm than the other three arms (P &lt; .001). The linearized treated acute rejection rate was significantly greater in the TAC plus HAS arm than the other three arms (relative risk, 2.02; 95% confidence interval, 1.07 to 3.78; P = .03). These data indicate that excess nephrotoxicity can occur with TAC in liver transplant recipients with impaired hepatic metabolism who are administered GEL. In addition, supplementary albumin may reduce the efficacy of TAC in liver transplant recipients at a time when the risk for rejection is greatest.","author":[{"dropping-particle":"","family":"Trull","given":"Andrew","non-dropping-particle":"","parse-names":false,"suffix":""},{"dropping-particle":"","family":"Hughes","given":"Victoria","non-dropping-particle":"","parse-names":false,"suffix":""},{"dropping-particle":"","family":"Cooper","given":"Dawn","non-dropping-particle":"","parse-names":false,"suffix":""},{"dropping-particle":"","family":"Wilkins","given":"Matthew","non-dropping-particle":"","parse-names":false,"suffix":""},{"dropping-particle":"","family":"Gimson","given":"Alexander","non-dropping-particle":"","parse-names":false,"suffix":""},{"dropping-particle":"","family":"Friend","given":"Peter","non-dropping-particle":"","parse-names":false,"suffix":""},{"dropping-particle":"","family":"Johnston","given":"Atholl","non-dropping-particle":"","parse-names":false,"suffix":""},{"dropping-particle":"","family":"Sharples","given":"Linda","non-dropping-particle":"","parse-names":false,"suffix":""},{"dropping-particle":"","family":"Park","given":"Gilbert","non-dropping-particle":"","parse-names":false,"suffix":""}],"container-title":"Liver Transplantation","id":"ITEM-1","issue":"3","issued":{"date-parts":[["2002","3","1"]]},"page":"224-232","publisher":"John Wiley &amp; Sons, Ltd","title":"Influence of albumin supplementation on tacrolimus and cyclosporine therapy early after liver transplantation","type":"article-journal","volume":"8"},"uris":["http://www.mendeley.com/documents/?uuid=fbc8a379-09a1-326e-8fd5-92680420ecfd"]}],"mendeley":{"formattedCitation":"[5]","plainTextFormattedCitation":"[5]","previouslyFormattedCitation":"[5]"},"properties":{"noteIndex":0},"schema":"https://github.com/citation-style-language/schema/raw/master/csl-citation.json"}</w:instrText>
      </w:r>
      <w:r w:rsidR="005A72C2">
        <w:fldChar w:fldCharType="separate"/>
      </w:r>
      <w:r w:rsidR="005A72C2" w:rsidRPr="005A72C2">
        <w:rPr>
          <w:noProof/>
        </w:rPr>
        <w:t>[5]</w:t>
      </w:r>
      <w:r w:rsidR="005A72C2">
        <w:fldChar w:fldCharType="end"/>
      </w:r>
      <w:r w:rsidR="001D7EE5">
        <w:t xml:space="preserve"> </w:t>
      </w:r>
      <w:r w:rsidR="006654D8">
        <w:t>With tacrolimus such an effect can be accounted for by moni</w:t>
      </w:r>
      <w:r w:rsidR="00D75116">
        <w:t>tor</w:t>
      </w:r>
      <w:r w:rsidR="006654D8">
        <w:t>ing therapeutic levels.</w:t>
      </w:r>
    </w:p>
    <w:p w14:paraId="4372D92D" w14:textId="77777777" w:rsidR="006654D8" w:rsidRPr="00B47432" w:rsidRDefault="006654D8" w:rsidP="00433A4D"/>
    <w:p w14:paraId="2C72852A" w14:textId="1284F807" w:rsidR="00433A4D" w:rsidRDefault="00433A4D" w:rsidP="00433A4D">
      <w:r w:rsidRPr="00433A4D">
        <w:t xml:space="preserve">Phase I and phase II </w:t>
      </w:r>
      <w:r w:rsidRPr="007A66B8">
        <w:rPr>
          <w:b/>
        </w:rPr>
        <w:t>metabolism</w:t>
      </w:r>
      <w:r w:rsidRPr="00433A4D">
        <w:t xml:space="preserve"> </w:t>
      </w:r>
      <w:r w:rsidR="009B4904">
        <w:t xml:space="preserve">usually </w:t>
      </w:r>
      <w:r w:rsidRPr="00433A4D">
        <w:t xml:space="preserve">results in the formation of inactive metabolic products. This action </w:t>
      </w:r>
      <w:r w:rsidR="009B4904">
        <w:t xml:space="preserve">can be </w:t>
      </w:r>
      <w:r w:rsidRPr="00433A4D">
        <w:t xml:space="preserve">prolonged in </w:t>
      </w:r>
      <w:r w:rsidR="00374A98">
        <w:t>kidney</w:t>
      </w:r>
      <w:r w:rsidR="00374A98" w:rsidRPr="00433A4D">
        <w:t xml:space="preserve"> </w:t>
      </w:r>
      <w:r w:rsidRPr="00433A4D">
        <w:t>disease,</w:t>
      </w:r>
      <w:r w:rsidR="00E05B20">
        <w:t xml:space="preserve"> which </w:t>
      </w:r>
      <w:r w:rsidR="005754C2">
        <w:t xml:space="preserve">could result in </w:t>
      </w:r>
      <w:r w:rsidRPr="00433A4D">
        <w:t>higher plasma concentratio</w:t>
      </w:r>
      <w:r w:rsidR="007A66B8">
        <w:t>ns of the parent drug and potential for</w:t>
      </w:r>
      <w:r w:rsidR="00CF003B">
        <w:t xml:space="preserve"> toxicity</w:t>
      </w:r>
      <w:r w:rsidR="00AB4595">
        <w:t>.</w:t>
      </w:r>
      <w:r w:rsidR="00807144">
        <w:fldChar w:fldCharType="begin" w:fldLock="1"/>
      </w:r>
      <w:r w:rsidR="00BE10B4">
        <w:instrText>ADDIN CSL_CITATION {"citationItems":[{"id":"ITEM-1","itemData":{"DOI":"10.1007/s00228-009-0678-8","ISSN":"00316970","PMID":"19543887","abstract":"Introduction: Chronic kidney disease is a common, progressive illness that is becoming a global public health problem. In patients with kidney dysfunction, the renal excretion of parent drug and/or its metabolites will be impaired, leading to their excessive accumulation in the body. In addition, the plasma protein binding of drugs may be significantly reduced, which in turn could influence the pharmacokinetic processes of distribution and elimination. The activity of several drug-metabolizing enzymes and drug transporters has been shown to be impaired in chronic renal failure. In patients with end-stage renal disease, dialysis techniques such as hemodialysis and continuous ambulatory peritoneal dialysis may remove drugs from the body, necessitating dosage adjustment. Methods: Inappropriate dosing in patients with renal dysfunction can cause toxicity or ineffective therapy. Therefore, the normal dosage regimen of a drug may have to be adjusted in a patient with renal dysfunction. Dosage adjustment is based on the remaining kidney function, most often estimated on the basis of the patient's glomerular filtration rate (GFR) estimated by the Cockroft-Gault formula. Net renal excretion of drug is a combination of three processes: glomerular filtration, tubular secretion and tubular reabsorption. Therefore, dosage adjustment based on GFR may not always be appropriate and a re-evaluation of markers of renal function may be required. Discussion: According to EMEA and FDA guidelines, a pharmacokinetic study should be carried out during the development phase of a new drug that is likely to be used in patients with renal dysfunction and whose pharmacokinetics are likely to be significantly altered in these patients. This study should be carried out in carefully selected subjects with varying degrees of renal dysfunction. In addition to this two-stage pharmacokinetic approach, a population PK/PD study in patients participating in phase II/phase III clinical trials can also be used to assess the impact of renal dysfunction on the drug's pharmacokinetics and pharmacodynamics. Conclusion: In conclusion, renal dysfunction affects more that just the renal handling of drugs and/or active drug metabolites. Even when the dosage adjustment recommended for patients with renal dysfunction are carefully followed, adverse drug reactions remain common. © 2009 Springer-Verlag.","author":[{"dropping-particle":"","family":"Verbeeck","given":"Roger K.","non-dropping-particle":"","parse-names":false,"suffix":""},{"dropping-particle":"","family":"Musuamba","given":"Flora T.","non-dropping-particle":"","parse-names":false,"suffix":""}],"container-title":"European Journal of Clinical Pharmacology","id":"ITEM-1","issue":"8","issued":{"date-parts":[["2009","8"]]},"page":"757-773","title":"Pharmacokinetics and dosage adjustment in patients with renal dysfunction","type":"article","volume":"65"},"uris":["http://www.mendeley.com/documents/?uuid=fc512cd4-29f4-3778-8c8f-512b9f8c4cda"]}],"mendeley":{"formattedCitation":"[4]","plainTextFormattedCitation":"[4]","previouslyFormattedCitation":"[4]"},"properties":{"noteIndex":0},"schema":"https://github.com/citation-style-language/schema/raw/master/csl-citation.json"}</w:instrText>
      </w:r>
      <w:r w:rsidR="00807144">
        <w:fldChar w:fldCharType="separate"/>
      </w:r>
      <w:r w:rsidR="00AB4595" w:rsidRPr="00AB4595">
        <w:rPr>
          <w:noProof/>
        </w:rPr>
        <w:t>[4]</w:t>
      </w:r>
      <w:r w:rsidR="00807144">
        <w:fldChar w:fldCharType="end"/>
      </w:r>
      <w:r w:rsidR="00E05B20">
        <w:t xml:space="preserve"> The kidney </w:t>
      </w:r>
      <w:r w:rsidR="005754C2">
        <w:t xml:space="preserve">itself </w:t>
      </w:r>
      <w:r w:rsidR="00E05B20">
        <w:t xml:space="preserve">is the site of metabolism for certain medications, </w:t>
      </w:r>
      <w:r w:rsidR="009B4904">
        <w:t xml:space="preserve">including vitamin </w:t>
      </w:r>
      <w:r w:rsidR="00E05B20">
        <w:t>D.</w:t>
      </w:r>
      <w:r w:rsidR="009B4904">
        <w:t xml:space="preserve"> </w:t>
      </w:r>
      <w:r w:rsidR="005754C2">
        <w:t>It</w:t>
      </w:r>
      <w:r w:rsidR="009B4904">
        <w:t xml:space="preserve"> converts 25-hydroxycholecalciferol to </w:t>
      </w:r>
      <w:r w:rsidR="00C17594">
        <w:t>1,25-dihydroxyvitamin D, which is the</w:t>
      </w:r>
      <w:r w:rsidR="005754C2">
        <w:t xml:space="preserve"> active form of vitamin D</w:t>
      </w:r>
      <w:r w:rsidR="00CA680B">
        <w:t xml:space="preserve">. </w:t>
      </w:r>
      <w:r w:rsidR="00BA76D1">
        <w:t xml:space="preserve">Abnormalities in vitamin D metabolism </w:t>
      </w:r>
      <w:r w:rsidR="003E7499">
        <w:t xml:space="preserve">play a major role </w:t>
      </w:r>
      <w:r w:rsidR="00E57182">
        <w:t>in the pathogensis of secondary hyperparathyroidism.</w:t>
      </w:r>
      <w:r w:rsidR="00067F6A">
        <w:fldChar w:fldCharType="begin" w:fldLock="1"/>
      </w:r>
      <w:r w:rsidR="00067F6A">
        <w:instrText>ADDIN CSL_CITATION {"citationItems":[{"id":"ITEM-1","itemData":{"DOI":"10.2215/CJN.01150308","ISSN":"1555-9041","PMID":"18450926","abstract":"Abnormalities in vitamin D metabolism play a major role in the pathogenesis of secondary hyperparathyroidism in chronic kidney disease. The gradual and progressive decline in 1,25-dihydroxyvitamin D in the course of chronic kidney disease is the result of several mechanisms that limit the ability of the failing kidney to maintain the levels of 1,25-dihydroxyvitamin D despite increasing levels of parathyroid hormone. Recent observations have indicated that chronic kidney disease seems to be associated with a high incidence of nutritional vitamin D insufficiency or deficiency as manifested by decreased levels of 25-hydroxyvitamin D. This contributes to the inability to maintain the levels of 1,25-dihydroxyvitamin D; therefore, current practice guidelines suggest repleting vitamin D status by the administration of native vitamin D as a first step in the therapy of the abnormalities of bone and mineral metabolism in chronic kidney disease. The efficacy of this therapy is extremely variable, and active vitamin D sterols may be required, especially as kidney disease progresses. The importance of the abnormal vitamin D metabolism is being investigated vigorously in view of the observations that vitamin D may have important biologic actions in many tissues in addition to bone and parathyroid. Thus, observational data have suggested potential survival benefits of vitamin D sterol administration in this clinical setting, and experimental data have suggested a potential beneficial effect of vitamin D sterols on the progression of kidney disease. Further work is required to define the mechanisms involved and to examine the effects of vitamin D therapy on outcomes in randomized, controlled trials.","author":[{"dropping-particle":"","family":"Al-Badr","given":"Wisam","non-dropping-particle":"","parse-names":false,"suffix":""},{"dropping-particle":"","family":"Martin","given":"Kevin J.","non-dropping-particle":"","parse-names":false,"suffix":""}],"container-title":"Clinical Journal of the American Society of Nephrology","id":"ITEM-1","issue":"5","issued":{"date-parts":[["2008","9","1"]]},"page":"1555-1560","publisher":"American Society of Nephrology","title":"Vitamin D and Kidney Disease","type":"article-journal","volume":"3"},"uris":["http://www.mendeley.com/documents/?uuid=f72ef9ab-a534-3477-a7b8-888dc205b0e2"]}],"mendeley":{"formattedCitation":"[6]","plainTextFormattedCitation":"[6]"},"properties":{"noteIndex":0},"schema":"https://github.com/citation-style-language/schema/raw/master/csl-citation.json"}</w:instrText>
      </w:r>
      <w:r w:rsidR="00067F6A">
        <w:fldChar w:fldCharType="separate"/>
      </w:r>
      <w:r w:rsidR="00067F6A" w:rsidRPr="00067F6A">
        <w:rPr>
          <w:noProof/>
        </w:rPr>
        <w:t>[6]</w:t>
      </w:r>
      <w:r w:rsidR="00067F6A">
        <w:fldChar w:fldCharType="end"/>
      </w:r>
      <w:r w:rsidR="00E57182">
        <w:t xml:space="preserve"> </w:t>
      </w:r>
    </w:p>
    <w:p w14:paraId="406B5BB9" w14:textId="77777777" w:rsidR="00433A4D" w:rsidRPr="00433A4D" w:rsidRDefault="00433A4D" w:rsidP="00433A4D"/>
    <w:p w14:paraId="0636CACB" w14:textId="27C79D63" w:rsidR="00F169DC" w:rsidRPr="00043CA4" w:rsidRDefault="00433A4D" w:rsidP="00F169DC">
      <w:r w:rsidRPr="00433A4D">
        <w:lastRenderedPageBreak/>
        <w:t xml:space="preserve">The kidney is involved in the </w:t>
      </w:r>
      <w:r w:rsidRPr="007A66B8">
        <w:rPr>
          <w:b/>
        </w:rPr>
        <w:t>elimination</w:t>
      </w:r>
      <w:r w:rsidRPr="00433A4D">
        <w:t xml:space="preserve"> of drugs and metabolites by glomerular filtration, tubular secretion and re</w:t>
      </w:r>
      <w:r w:rsidR="007A66B8">
        <w:t>-ab</w:t>
      </w:r>
      <w:r w:rsidRPr="00433A4D">
        <w:t>sorption</w:t>
      </w:r>
      <w:r w:rsidR="007A66B8">
        <w:t>,</w:t>
      </w:r>
      <w:r w:rsidRPr="00433A4D">
        <w:t xml:space="preserve"> all of whic</w:t>
      </w:r>
      <w:r w:rsidR="00CF003B">
        <w:t xml:space="preserve">h are reduced in </w:t>
      </w:r>
      <w:r w:rsidR="00374A98">
        <w:t>kidney</w:t>
      </w:r>
      <w:r w:rsidR="00374A98" w:rsidRPr="00433A4D">
        <w:t xml:space="preserve"> </w:t>
      </w:r>
      <w:r w:rsidR="00CF003B">
        <w:t>disease</w:t>
      </w:r>
      <w:r w:rsidR="00AB4595">
        <w:t>.</w:t>
      </w:r>
      <w:r w:rsidR="00807144">
        <w:fldChar w:fldCharType="begin" w:fldLock="1"/>
      </w:r>
      <w:r w:rsidR="00BE10B4">
        <w:instrText>ADDIN CSL_CITATION {"citationItems":[{"id":"ITEM-1","itemData":{"DOI":"10.1007/s00228-009-0678-8","ISSN":"00316970","PMID":"19543887","abstract":"Introduction: Chronic kidney disease is a common, progressive illness that is becoming a global public health problem. In patients with kidney dysfunction, the renal excretion of parent drug and/or its metabolites will be impaired, leading to their excessive accumulation in the body. In addition, the plasma protein binding of drugs may be significantly reduced, which in turn could influence the pharmacokinetic processes of distribution and elimination. The activity of several drug-metabolizing enzymes and drug transporters has been shown to be impaired in chronic renal failure. In patients with end-stage renal disease, dialysis techniques such as hemodialysis and continuous ambulatory peritoneal dialysis may remove drugs from the body, necessitating dosage adjustment. Methods: Inappropriate dosing in patients with renal dysfunction can cause toxicity or ineffective therapy. Therefore, the normal dosage regimen of a drug may have to be adjusted in a patient with renal dysfunction. Dosage adjustment is based on the remaining kidney function, most often estimated on the basis of the patient's glomerular filtration rate (GFR) estimated by the Cockroft-Gault formula. Net renal excretion of drug is a combination of three processes: glomerular filtration, tubular secretion and tubular reabsorption. Therefore, dosage adjustment based on GFR may not always be appropriate and a re-evaluation of markers of renal function may be required. Discussion: According to EMEA and FDA guidelines, a pharmacokinetic study should be carried out during the development phase of a new drug that is likely to be used in patients with renal dysfunction and whose pharmacokinetics are likely to be significantly altered in these patients. This study should be carried out in carefully selected subjects with varying degrees of renal dysfunction. In addition to this two-stage pharmacokinetic approach, a population PK/PD study in patients participating in phase II/phase III clinical trials can also be used to assess the impact of renal dysfunction on the drug's pharmacokinetics and pharmacodynamics. Conclusion: In conclusion, renal dysfunction affects more that just the renal handling of drugs and/or active drug metabolites. Even when the dosage adjustment recommended for patients with renal dysfunction are carefully followed, adverse drug reactions remain common. © 2009 Springer-Verlag.","author":[{"dropping-particle":"","family":"Verbeeck","given":"Roger K.","non-dropping-particle":"","parse-names":false,"suffix":""},{"dropping-particle":"","family":"Musuamba","given":"Flora T.","non-dropping-particle":"","parse-names":false,"suffix":""}],"container-title":"European Journal of Clinical Pharmacology","id":"ITEM-1","issue":"8","issued":{"date-parts":[["2009","8"]]},"page":"757-773","title":"Pharmacokinetics and dosage adjustment in patients with renal dysfunction","type":"article","volume":"65"},"uris":["http://www.mendeley.com/documents/?uuid=fc512cd4-29f4-3778-8c8f-512b9f8c4cda"]}],"mendeley":{"formattedCitation":"[4]","plainTextFormattedCitation":"[4]","previouslyFormattedCitation":"[4]"},"properties":{"noteIndex":0},"schema":"https://github.com/citation-style-language/schema/raw/master/csl-citation.json"}</w:instrText>
      </w:r>
      <w:r w:rsidR="00807144">
        <w:fldChar w:fldCharType="separate"/>
      </w:r>
      <w:r w:rsidR="00AB4595" w:rsidRPr="00AB4595">
        <w:rPr>
          <w:noProof/>
        </w:rPr>
        <w:t>[4]</w:t>
      </w:r>
      <w:r w:rsidR="00807144">
        <w:fldChar w:fldCharType="end"/>
      </w:r>
      <w:r w:rsidR="00AE64C5">
        <w:t xml:space="preserve"> </w:t>
      </w:r>
      <w:r w:rsidR="00B47432">
        <w:t xml:space="preserve">The impact of kidney disease on elimination is the most relevant for prescribing, and </w:t>
      </w:r>
      <w:r w:rsidR="00E65F62">
        <w:t xml:space="preserve">examples of </w:t>
      </w:r>
      <w:r w:rsidR="00B47432">
        <w:t>important medicines affected are given later</w:t>
      </w:r>
      <w:r w:rsidR="00E65F62">
        <w:t>.</w:t>
      </w:r>
    </w:p>
    <w:p w14:paraId="6B3B10F8" w14:textId="77777777" w:rsidR="00433A4D" w:rsidRDefault="00433A4D"/>
    <w:p w14:paraId="5406FA98" w14:textId="2FEDA061" w:rsidR="00433A4D" w:rsidRPr="00BE10B4" w:rsidRDefault="00BE10B4" w:rsidP="00433A4D">
      <w:pPr>
        <w:rPr>
          <w:b/>
        </w:rPr>
      </w:pPr>
      <w:r w:rsidRPr="00BE10B4">
        <w:rPr>
          <w:b/>
        </w:rPr>
        <w:t xml:space="preserve">DEFINING </w:t>
      </w:r>
      <w:r w:rsidR="00374A98" w:rsidRPr="00B47432">
        <w:rPr>
          <w:b/>
        </w:rPr>
        <w:t>KIDNEY</w:t>
      </w:r>
      <w:r w:rsidR="00374A98">
        <w:t xml:space="preserve"> </w:t>
      </w:r>
      <w:r w:rsidRPr="00BE10B4">
        <w:rPr>
          <w:b/>
        </w:rPr>
        <w:t>IMPAIRMENT</w:t>
      </w:r>
    </w:p>
    <w:p w14:paraId="2AC886D7" w14:textId="77777777" w:rsidR="00433A4D" w:rsidRDefault="00433A4D"/>
    <w:p w14:paraId="69E9B5FA" w14:textId="46B0CEBC" w:rsidR="00C81CCD" w:rsidRPr="00AE64C5" w:rsidRDefault="00374A98">
      <w:r>
        <w:t>Kidney</w:t>
      </w:r>
      <w:r w:rsidR="00221182" w:rsidRPr="00AE64C5">
        <w:t xml:space="preserve"> impairment is recognised by detecting a fall in glomerular filtration rate (GFR).  Formal GFR measurements rely on the administration of a filtration marker and the subsequent measurement of its clearance </w:t>
      </w:r>
      <w:r w:rsidR="00582E72" w:rsidRPr="00AE64C5">
        <w:t>over time</w:t>
      </w:r>
      <w:r w:rsidR="00AB4595">
        <w:t>.</w:t>
      </w:r>
      <w:r w:rsidR="00807144">
        <w:fldChar w:fldCharType="begin" w:fldLock="1"/>
      </w:r>
      <w:r w:rsidR="00067F6A">
        <w:instrText>ADDIN CSL_CITATION {"citationItems":[{"id":"ITEM-1","itemData":{"DOI":"10.1097/01.mnh.0000444813.72626.88","ISSN":"14736543","PMID":"24670402","abstract":"PURPOSE OF REVIEW: Glomerular filtration rate (GFR) is the best overall measure of kidney function. Reference GFR measurements (e.g. inulin clearance) are laborious. Estimation of GFR using equations based on endogenous filtration markers is simpler, cheaper and easy to apply in practice but suffers from limited accuracy and reproducibility. This review summarizes the recent studies comparing measured and estimated GFR in various populations and disease settings. We consider the utility of newer estimating equations based on standardized methodology, including those incorporating cystatin C. RECENT FINDINGS: Equations proposed by the Chronic Kidney Disease-Epidemiology (CKD-EPI) Consortium slightly improve the accuracy of GFR estimation compared with those used formerly. The black ethnicity coefficient in the CKD-EPI equation may not be transferable across other black populations and the equations require further validation in other ethnic groups. All currently reported equations fall short of ideal. Incorporation of cystatin C into the CKD-EPI equation improves precision and offers hope of a GFR estimate that may not require ethnic adjustment. SUMMARY: The ideal biomarker and equation to estimate GFR would provide reproducible and accurate results across the entire range of GFRs, populations and diseases. Newer GFR markers and equations are required to fulfil this holy grail of research. © 2014 Wolters Kluwer Health | Lippincott Williams &amp; Wilkins.","author":[{"dropping-particle":"","family":"Lamb","given":"Edmund J.","non-dropping-particle":"","parse-names":false,"suffix":""},{"dropping-particle":"","family":"Stevens","given":"Paul E.","non-dropping-particle":"","parse-names":false,"suffix":""}],"container-title":"Current Opinion in Nephrology and Hypertension","id":"ITEM-1","issue":"3","issued":{"date-parts":[["2014"]]},"page":"258-266","publisher":"Lippincott Williams and Wilkins","title":"Estimating and measuring glomerular filtration rate: Methods of measurement and markers for estimation","type":"article","volume":"23"},"uris":["http://www.mendeley.com/documents/?uuid=f95efc7e-738b-31b2-88e1-9e7883fd8495"]}],"mendeley":{"formattedCitation":"[7]","plainTextFormattedCitation":"[7]","previouslyFormattedCitation":"[6]"},"properties":{"noteIndex":0},"schema":"https://github.com/citation-style-language/schema/raw/master/csl-citation.json"}</w:instrText>
      </w:r>
      <w:r w:rsidR="00807144">
        <w:fldChar w:fldCharType="separate"/>
      </w:r>
      <w:r w:rsidR="00067F6A" w:rsidRPr="00067F6A">
        <w:rPr>
          <w:noProof/>
        </w:rPr>
        <w:t>[7]</w:t>
      </w:r>
      <w:r w:rsidR="00807144">
        <w:fldChar w:fldCharType="end"/>
      </w:r>
      <w:r w:rsidR="00E40AC9" w:rsidRPr="00AE64C5">
        <w:t xml:space="preserve"> </w:t>
      </w:r>
      <w:r w:rsidR="00221182" w:rsidRPr="00AE64C5">
        <w:t xml:space="preserve">This is not routinely performed and </w:t>
      </w:r>
      <w:r w:rsidR="007F7B68" w:rsidRPr="00AE64C5">
        <w:t xml:space="preserve">is </w:t>
      </w:r>
      <w:r w:rsidR="00221182" w:rsidRPr="00AE64C5">
        <w:t xml:space="preserve">not a practical method for assessing </w:t>
      </w:r>
      <w:r w:rsidR="00582E72" w:rsidRPr="00AE64C5">
        <w:t xml:space="preserve">a patient’s </w:t>
      </w:r>
      <w:r>
        <w:t>kidney</w:t>
      </w:r>
      <w:r w:rsidRPr="00433A4D">
        <w:t xml:space="preserve"> </w:t>
      </w:r>
      <w:r w:rsidR="00221182" w:rsidRPr="00AE64C5">
        <w:t>func</w:t>
      </w:r>
      <w:r w:rsidR="00582E72" w:rsidRPr="00AE64C5">
        <w:t xml:space="preserve">tion for prescribers. </w:t>
      </w:r>
      <w:r w:rsidR="00221182" w:rsidRPr="00AE64C5">
        <w:t xml:space="preserve">GFR measurements </w:t>
      </w:r>
      <w:r w:rsidR="007F7B68" w:rsidRPr="00AE64C5">
        <w:t xml:space="preserve">can be </w:t>
      </w:r>
      <w:r w:rsidR="00582E72" w:rsidRPr="00AE64C5">
        <w:t xml:space="preserve">estimated (eGFR) </w:t>
      </w:r>
      <w:r w:rsidR="007F7B68" w:rsidRPr="00AE64C5">
        <w:t xml:space="preserve">using </w:t>
      </w:r>
      <w:r w:rsidR="00582E72" w:rsidRPr="00AE64C5">
        <w:t>several methods</w:t>
      </w:r>
      <w:r w:rsidR="00AB4595">
        <w:t>.</w:t>
      </w:r>
      <w:r w:rsidR="00807144">
        <w:fldChar w:fldCharType="begin" w:fldLock="1"/>
      </w:r>
      <w:r w:rsidR="00067F6A">
        <w:instrText>ADDIN CSL_CITATION {"citationItems":[{"id":"ITEM-1","itemData":{"DOI":"10.1097/01.mnh.0000444813.72626.88","ISSN":"14736543","PMID":"24670402","abstract":"PURPOSE OF REVIEW: Glomerular filtration rate (GFR) is the best overall measure of kidney function. Reference GFR measurements (e.g. inulin clearance) are laborious. Estimation of GFR using equations based on endogenous filtration markers is simpler, cheaper and easy to apply in practice but suffers from limited accuracy and reproducibility. This review summarizes the recent studies comparing measured and estimated GFR in various populations and disease settings. We consider the utility of newer estimating equations based on standardized methodology, including those incorporating cystatin C. RECENT FINDINGS: Equations proposed by the Chronic Kidney Disease-Epidemiology (CKD-EPI) Consortium slightly improve the accuracy of GFR estimation compared with those used formerly. The black ethnicity coefficient in the CKD-EPI equation may not be transferable across other black populations and the equations require further validation in other ethnic groups. All currently reported equations fall short of ideal. Incorporation of cystatin C into the CKD-EPI equation improves precision and offers hope of a GFR estimate that may not require ethnic adjustment. SUMMARY: The ideal biomarker and equation to estimate GFR would provide reproducible and accurate results across the entire range of GFRs, populations and diseases. Newer GFR markers and equations are required to fulfil this holy grail of research. © 2014 Wolters Kluwer Health | Lippincott Williams &amp; Wilkins.","author":[{"dropping-particle":"","family":"Lamb","given":"Edmund J.","non-dropping-particle":"","parse-names":false,"suffix":""},{"dropping-particle":"","family":"Stevens","given":"Paul E.","non-dropping-particle":"","parse-names":false,"suffix":""}],"container-title":"Current Opinion in Nephrology and Hypertension","id":"ITEM-1","issue":"3","issued":{"date-parts":[["2014"]]},"page":"258-266","publisher":"Lippincott Williams and Wilkins","title":"Estimating and measuring glomerular filtration rate: Methods of measurement and markers for estimation","type":"article","volume":"23"},"uris":["http://www.mendeley.com/documents/?uuid=f95efc7e-738b-31b2-88e1-9e7883fd8495"]}],"mendeley":{"formattedCitation":"[7]","plainTextFormattedCitation":"[7]","previouslyFormattedCitation":"[6]"},"properties":{"noteIndex":0},"schema":"https://github.com/citation-style-language/schema/raw/master/csl-citation.json"}</w:instrText>
      </w:r>
      <w:r w:rsidR="00807144">
        <w:fldChar w:fldCharType="separate"/>
      </w:r>
      <w:r w:rsidR="00067F6A" w:rsidRPr="00067F6A">
        <w:rPr>
          <w:noProof/>
        </w:rPr>
        <w:t>[7]</w:t>
      </w:r>
      <w:r w:rsidR="00807144">
        <w:fldChar w:fldCharType="end"/>
      </w:r>
      <w:r w:rsidR="007F7B68" w:rsidRPr="00AE64C5">
        <w:t xml:space="preserve"> In paediatrics, the most commonly used </w:t>
      </w:r>
      <w:r w:rsidR="00C81CCD" w:rsidRPr="00AE64C5">
        <w:t>method</w:t>
      </w:r>
      <w:r w:rsidR="007F7B68" w:rsidRPr="00AE64C5">
        <w:t xml:space="preserve"> to calculate eGFR is the ‘Bedside Schwartz’ equatio</w:t>
      </w:r>
      <w:r w:rsidR="008C6780" w:rsidRPr="00AE64C5">
        <w:t>n</w:t>
      </w:r>
      <w:r w:rsidR="00EF0B69">
        <w:t xml:space="preserve"> which is validated for children from 1-1</w:t>
      </w:r>
      <w:r w:rsidR="00B47432">
        <w:t xml:space="preserve">8 </w:t>
      </w:r>
      <w:r w:rsidR="00EF0B69">
        <w:t>years</w:t>
      </w:r>
      <w:r w:rsidR="00AB4595">
        <w:t>:</w:t>
      </w:r>
      <w:r w:rsidR="0020744A">
        <w:fldChar w:fldCharType="begin" w:fldLock="1"/>
      </w:r>
      <w:r w:rsidR="00067F6A">
        <w:instrText>ADDIN CSL_CITATION {"citationItems":[{"id":"ITEM-1","itemData":{"DOI":"10.1681/ASN.2008030287","ISSN":"1046-6673","PMID":"19158356","abstract":"The Schwartz formula was devised in the mid-1970s to estimate GFR in children. Recent data suggest that this formula currently overestimates GFR as measured by plasma disappearance of iohexol, likely a result of a change in methods used to measure creatinine. Here, we developed equations to estimate GFR using data from the baseline visits of 349 children (aged 1 to 16 yr) in the Chronic Kidney Disease in Children (CKiD) cohort. Median iohexol-GFR (iGFR) was 41.3 ml/min per 1.73 m2 (interquartile range 32.0 to 51.7), and median serum creatinine was 1.3 mg/dl. We performed linear regression analyses assessing precision, goodness of fit, and accuracy to develop improvements in the GFR estimating formula, which was based on height, serum creatinine, cystatin C, blood urea nitrogen, and gender. The best equation was \\batchmode \\documentclass[fleqn,10pt,legalpaper]{article} \\usepackage{amssymb} \\usepackage{amsfonts} \\usepackage{amsmath} \\pagestyle{empty} \\begin{document} \\[GFR(ml/min\\ per\\ 1.73\\ m^{2}){=}39.1{[}height\\ (m)/Scr\\ (mg/dl){]}^{0.516}{\\times}{[}1.8/cystatin\\ C\\ (mg/L){]}^{0.294}{[}30/BUN\\ (mg/dl){]}^{0.169}{[}1.099{]}^{male}{[}height\\ (m)/1.4{]}^{0.188}.\\] \\end{document} This formula yielded 87.7% of estimated GFR within 30% of the iGFR, and 45.6% within 10%. In a test set of 168 CKiD patients at 1 yr of follow-up, this formula compared favorably with previously published estimating equations for children. Furthermore, with height measured in cm, a bedside calculation of 0.413*(height/serum creatinine), provides a good approximation to the estimated GFR formula. Additional studies of children with higher GFR are needed to validate these formulas for use in screening all children for CKD.","author":[{"dropping-particle":"","family":"Schwartz","given":"George J.","non-dropping-particle":"","parse-names":false,"suffix":""},{"dropping-particle":"","family":"Muñoz","given":"Alvaro","non-dropping-particle":"","parse-names":false,"suffix":""},{"dropping-particle":"","family":"Schneider","given":"Michael F.","non-dropping-particle":"","parse-names":false,"suffix":""},{"dropping-particle":"","family":"Mak","given":"Robert H.","non-dropping-particle":"","parse-names":false,"suffix":""},{"dropping-particle":"","family":"Kaskel","given":"Frederick","non-dropping-particle":"","parse-names":false,"suffix":""},{"dropping-particle":"","family":"Warady","given":"Bradley A.","non-dropping-particle":"","parse-names":false,"suffix":""},{"dropping-particle":"","family":"Furth","given":"Susan L.","non-dropping-particle":"","parse-names":false,"suffix":""}],"container-title":"Journal of the American Society of Nephrology","id":"ITEM-1","issue":"3","issued":{"date-parts":[["2009","3","1"]]},"page":"629-637","publisher":"American Society of Nephrology","title":"New Equations to Estimate GFR in Children with CKD","type":"article-journal","volume":"20"},"uris":["http://www.mendeley.com/documents/?uuid=e44f5cc3-8f19-325c-a4d3-ef9f7f740533"]}],"mendeley":{"formattedCitation":"[8]","plainTextFormattedCitation":"[8]","previouslyFormattedCitation":"[7]"},"properties":{"noteIndex":0},"schema":"https://github.com/citation-style-language/schema/raw/master/csl-citation.json"}</w:instrText>
      </w:r>
      <w:r w:rsidR="0020744A">
        <w:fldChar w:fldCharType="separate"/>
      </w:r>
      <w:r w:rsidR="00067F6A" w:rsidRPr="00067F6A">
        <w:rPr>
          <w:noProof/>
        </w:rPr>
        <w:t>[8]</w:t>
      </w:r>
      <w:r w:rsidR="0020744A">
        <w:fldChar w:fldCharType="end"/>
      </w:r>
      <w:r w:rsidR="007F7B68" w:rsidRPr="00AE64C5">
        <w:t xml:space="preserve"> </w:t>
      </w:r>
    </w:p>
    <w:p w14:paraId="3AAD3A1E" w14:textId="77777777" w:rsidR="00AE64C5" w:rsidRPr="00AE64C5" w:rsidRDefault="00AE64C5"/>
    <w:p w14:paraId="45F729C9" w14:textId="229B51A3" w:rsidR="00C81CCD" w:rsidRPr="00AE64C5" w:rsidRDefault="00AE64C5">
      <m:oMathPara>
        <m:oMath>
          <m:r>
            <w:rPr>
              <w:rFonts w:ascii="Cambria Math" w:hAnsi="Cambria Math"/>
            </w:rPr>
            <m:t>eGFR=</m:t>
          </m:r>
          <m:f>
            <m:fPr>
              <m:ctrlPr>
                <w:rPr>
                  <w:rFonts w:ascii="Cambria Math" w:hAnsi="Cambria Math"/>
                  <w:i/>
                </w:rPr>
              </m:ctrlPr>
            </m:fPr>
            <m:num>
              <m:r>
                <w:rPr>
                  <w:rFonts w:ascii="Cambria Math" w:hAnsi="Cambria Math"/>
                </w:rPr>
                <m:t>k*Height (cm)</m:t>
              </m:r>
            </m:num>
            <m:den>
              <m:r>
                <w:rPr>
                  <w:rFonts w:ascii="Cambria Math" w:hAnsi="Cambria Math"/>
                </w:rPr>
                <m:t>serum creatinine (umol/L)</m:t>
              </m:r>
            </m:den>
          </m:f>
        </m:oMath>
      </m:oMathPara>
    </w:p>
    <w:p w14:paraId="3B97B1A8" w14:textId="77777777" w:rsidR="00AE64C5" w:rsidRPr="00AE64C5" w:rsidRDefault="00AE64C5"/>
    <w:p w14:paraId="5F139D7C" w14:textId="6B5949A8" w:rsidR="00C81CCD" w:rsidRPr="00AE64C5" w:rsidRDefault="00C81CCD"/>
    <w:p w14:paraId="169E25A3" w14:textId="26918F73" w:rsidR="00AE64C5" w:rsidRPr="00AE64C5" w:rsidRDefault="00AE64C5">
      <m:oMathPara>
        <m:oMath>
          <m:r>
            <w:rPr>
              <w:rFonts w:ascii="Cambria Math" w:hAnsi="Cambria Math"/>
            </w:rPr>
            <m:t>k=36.5 for children 1-18 years</m:t>
          </m:r>
        </m:oMath>
      </m:oMathPara>
    </w:p>
    <w:p w14:paraId="71C0F378" w14:textId="77777777" w:rsidR="00AE64C5" w:rsidRPr="00AE64C5" w:rsidRDefault="00AE64C5">
      <w:pPr>
        <w:rPr>
          <w:color w:val="FF0000"/>
        </w:rPr>
      </w:pPr>
    </w:p>
    <w:p w14:paraId="1583CF8C" w14:textId="07349E09" w:rsidR="00240B8C" w:rsidRDefault="007F7B68">
      <w:r>
        <w:t xml:space="preserve">Whilst other calculations </w:t>
      </w:r>
      <w:r w:rsidR="003C1162">
        <w:t>exist,</w:t>
      </w:r>
      <w:r>
        <w:t xml:space="preserve"> this method calculates eGFR using hei</w:t>
      </w:r>
      <w:r w:rsidR="00FD1452">
        <w:t>ght and serum creatinine</w:t>
      </w:r>
      <w:r w:rsidR="00781261">
        <w:t xml:space="preserve"> (SCr)</w:t>
      </w:r>
      <w:r w:rsidR="00FD1452">
        <w:t xml:space="preserve"> levels, data </w:t>
      </w:r>
      <w:r w:rsidR="00D82AE9">
        <w:t xml:space="preserve">that </w:t>
      </w:r>
      <w:r w:rsidR="007A66B8">
        <w:t>is routinely available in paediatric patients</w:t>
      </w:r>
      <w:r w:rsidR="00DC163A">
        <w:t>, allowing clinicians to easily identify patients with reduced kidney</w:t>
      </w:r>
      <w:r w:rsidR="00DC163A" w:rsidRPr="00433A4D">
        <w:t xml:space="preserve"> </w:t>
      </w:r>
      <w:r w:rsidR="00DC163A">
        <w:t>function before making prescribing decisions in a contemporaneous manner</w:t>
      </w:r>
      <w:r w:rsidR="00FD1452">
        <w:t xml:space="preserve">.  </w:t>
      </w:r>
      <w:r w:rsidR="00B47432">
        <w:t xml:space="preserve">It is currently felt to be </w:t>
      </w:r>
      <w:r w:rsidR="006232AD">
        <w:t>the most accurate bedside equation for us</w:t>
      </w:r>
      <w:r w:rsidR="002B56A7">
        <w:t>e</w:t>
      </w:r>
      <w:r w:rsidR="006232AD">
        <w:t xml:space="preserve"> in patients with and without CKD.</w:t>
      </w:r>
      <w:r w:rsidR="0020744A">
        <w:fldChar w:fldCharType="begin" w:fldLock="1"/>
      </w:r>
      <w:r w:rsidR="00067F6A">
        <w:instrText>ADDIN CSL_CITATION {"citationItems":[{"id":"ITEM-1","itemData":{"DOI":"10.1007/S00467-010-1598-7","ISSN":"1432-198X","abstract":"Recently, Schwartz et al. (J Am Soc Nephrol 20:629–637, 2009) used data from the National Institutes of Health-funded Chronic Kidney Disease in Children (CKiD) study to generate new equations for estimating the glomerular filtration rate (eGFR), including an update of the commonly used bedside equation. However, it is unclear if the equation can be generalized to a broader pediatric population. We have used the updated equation on a sample of pediatric patients with less impaired renal function to evaluate the correlation between the new Schwartz equation and measured GFR by iothalamate clearance. We retrospectively analyzed 738 iothalamate clearance tests from 503 patients with a mean serum creatinine of 0.50 mg/dl whose ages ranged from 1 to 16 years. We measured bias, precision, and accuracy and performed a Bland–Altman plot to determine the measure of agreement between the two methods. The mean GFR by iothalamate clearance was 110.6 ml/min/1.73 m2 and by the new Schwartz estimation 104.7 ml/min/1.73 m2. The mean difference was 5.84 ml/min/1.73 m2 (95% CI 4.00–7.67). The newly purposed bedside Schwartz equation therefore demonstrated good agreement with the iothalamate renal clearances in our patient population and appears to be a valid bedside estimating equation for GFR in this sample of children.","author":[{"dropping-particle":"","family":"Staples","given":"Amy","non-dropping-particle":"","parse-names":false,"suffix":""},{"dropping-particle":"","family":"LeBlond","given":"Robin","non-dropping-particle":"","parse-names":false,"suffix":""},{"dropping-particle":"","family":"Watkins","given":"Sandra","non-dropping-particle":"","parse-names":false,"suffix":""},{"dropping-particle":"","family":"Wong","given":"Craig","non-dropping-particle":"","parse-names":false,"suffix":""},{"dropping-particle":"","family":"Brandt","given":"John","non-dropping-particle":"","parse-names":false,"suffix":""}],"container-title":"Pediatric Nephrology 2010 25:11","id":"ITEM-1","issue":"11","issued":{"date-parts":[["2010","7","22"]]},"page":"2321-2326","publisher":"Springer","title":"Validation of the revised Schwartz estimating equation in a predominantly non-CKD population","type":"article-journal","volume":"25"},"uris":["http://www.mendeley.com/documents/?uuid=cba6a924-5c6c-3f6e-b583-c5bdccbc6f5c"]}],"mendeley":{"formattedCitation":"[9]","plainTextFormattedCitation":"[9]","previouslyFormattedCitation":"[8]"},"properties":{"noteIndex":0},"schema":"https://github.com/citation-style-language/schema/raw/master/csl-citation.json"}</w:instrText>
      </w:r>
      <w:r w:rsidR="0020744A">
        <w:fldChar w:fldCharType="separate"/>
      </w:r>
      <w:r w:rsidR="00067F6A" w:rsidRPr="00067F6A">
        <w:rPr>
          <w:noProof/>
        </w:rPr>
        <w:t>[9]</w:t>
      </w:r>
      <w:r w:rsidR="0020744A">
        <w:fldChar w:fldCharType="end"/>
      </w:r>
      <w:r w:rsidR="006232AD">
        <w:t xml:space="preserve"> </w:t>
      </w:r>
    </w:p>
    <w:p w14:paraId="433C614A" w14:textId="77777777" w:rsidR="00240B8C" w:rsidRDefault="00240B8C"/>
    <w:p w14:paraId="7E6D2A7F" w14:textId="17891B37" w:rsidR="00240B8C" w:rsidRDefault="00240B8C">
      <w:r>
        <w:t xml:space="preserve">The CKD in children (CKiD) study </w:t>
      </w:r>
      <w:r w:rsidR="00DC163A">
        <w:t>derived a</w:t>
      </w:r>
      <w:r>
        <w:t xml:space="preserve"> calculation involving both Cystatin C and </w:t>
      </w:r>
      <w:r w:rsidR="00781261">
        <w:t>SCr</w:t>
      </w:r>
      <w:r>
        <w:t xml:space="preserve"> levels</w:t>
      </w:r>
      <w:r w:rsidR="00993EE5">
        <w:t>, alongside other basic clinical parameters</w:t>
      </w:r>
      <w:r w:rsidR="00DC163A">
        <w:t>.</w:t>
      </w:r>
      <w:r w:rsidR="0020744A">
        <w:fldChar w:fldCharType="begin" w:fldLock="1"/>
      </w:r>
      <w:r w:rsidR="00067F6A">
        <w:instrText>ADDIN CSL_CITATION {"citationItems":[{"id":"ITEM-1","itemData":{"URL":"https://www.kidney.org/content/creatinine-cystatin-c-based-ckid-equation","accessed":{"date-parts":[["2021","10","21"]]},"author":[{"dropping-particle":"","family":"National Kidney Foundation","given":"","non-dropping-particle":"","parse-names":false,"suffix":""}],"id":"ITEM-1","issued":{"date-parts":[["0"]]},"title":"CREATININE-CYSTATIN C-BASED CKID EQUATION","type":"webpage"},"uris":["http://www.mendeley.com/documents/?uuid=f47f60e6-c151-4e49-82a6-0a1f2b9eb3ee"]}],"mendeley":{"formattedCitation":"[10]","plainTextFormattedCitation":"[10]","previouslyFormattedCitation":"[9]"},"properties":{"noteIndex":0},"schema":"https://github.com/citation-style-language/schema/raw/master/csl-citation.json"}</w:instrText>
      </w:r>
      <w:r w:rsidR="0020744A">
        <w:fldChar w:fldCharType="separate"/>
      </w:r>
      <w:r w:rsidR="00067F6A" w:rsidRPr="00067F6A">
        <w:rPr>
          <w:noProof/>
        </w:rPr>
        <w:t>[10]</w:t>
      </w:r>
      <w:r w:rsidR="0020744A">
        <w:fldChar w:fldCharType="end"/>
      </w:r>
      <w:r w:rsidR="00DC163A">
        <w:t xml:space="preserve"> This equation </w:t>
      </w:r>
      <w:r w:rsidR="00993EE5">
        <w:t>has been shown to increase the accuracy of predicting GFR</w:t>
      </w:r>
      <w:r w:rsidR="00DC163A">
        <w:t xml:space="preserve"> in children with CKD</w:t>
      </w:r>
      <w:r w:rsidR="00993EE5">
        <w:t xml:space="preserve">. However for ease of use this requires a validated online calculator which can be found in the key resources below. </w:t>
      </w:r>
    </w:p>
    <w:p w14:paraId="4AE08688" w14:textId="77777777" w:rsidR="00993EE5" w:rsidRDefault="00993EE5"/>
    <w:p w14:paraId="2295E461" w14:textId="50E50E9D" w:rsidR="00993EE5" w:rsidRDefault="00DC163A">
      <w:r>
        <w:t>As with any estimation, there are limitations to these methods.</w:t>
      </w:r>
      <w:r w:rsidR="00993EE5">
        <w:t xml:space="preserve">  These include not being validated for children less than 1 year old and the requirement for tests to be </w:t>
      </w:r>
      <w:r w:rsidR="00781261">
        <w:t>measured using validated methods. It is now a requirement for UK laborator</w:t>
      </w:r>
      <w:r>
        <w:t>ie</w:t>
      </w:r>
      <w:r w:rsidR="00781261">
        <w:t xml:space="preserve">s to measure SCr using a validated enzymatic method. </w:t>
      </w:r>
      <w:r w:rsidR="0014506B">
        <w:t xml:space="preserve">The importance of accurate height/length measurements cannot be underestimated in ensuring optimal estimations. </w:t>
      </w:r>
      <w:r w:rsidR="00781261">
        <w:t>Local centres should consider the most appropriate equation based on the evidence in the literature and ease of use for staff.</w:t>
      </w:r>
    </w:p>
    <w:p w14:paraId="6833C37C" w14:textId="77777777" w:rsidR="003E5348" w:rsidRDefault="003E5348"/>
    <w:p w14:paraId="24DF4883" w14:textId="6E4D49AE" w:rsidR="003E5348" w:rsidRPr="00BE10B4" w:rsidRDefault="00433A4D">
      <w:pPr>
        <w:rPr>
          <w:b/>
        </w:rPr>
      </w:pPr>
      <w:r w:rsidRPr="00BE10B4">
        <w:rPr>
          <w:b/>
        </w:rPr>
        <w:t>Acute Kidney Injury</w:t>
      </w:r>
    </w:p>
    <w:p w14:paraId="24ED829D" w14:textId="77777777" w:rsidR="003E5348" w:rsidRDefault="003E5348">
      <w:pPr>
        <w:rPr>
          <w:i/>
        </w:rPr>
      </w:pPr>
    </w:p>
    <w:p w14:paraId="43DE336F" w14:textId="5AB6F580" w:rsidR="006F610A" w:rsidRPr="00F82DD4" w:rsidRDefault="003E5348" w:rsidP="00433A4D">
      <w:r w:rsidRPr="00AE64C5">
        <w:t xml:space="preserve">AKI is defined as a sudden decline in kidney function. </w:t>
      </w:r>
      <w:r w:rsidR="006F610A">
        <w:t xml:space="preserve">It is reported to occur in 5% of hospitalised children, with this figure rising to almost 30% in those who </w:t>
      </w:r>
      <w:r w:rsidR="006F610A">
        <w:lastRenderedPageBreak/>
        <w:t>are critically unwell.</w:t>
      </w:r>
      <w:r w:rsidR="0020744A">
        <w:fldChar w:fldCharType="begin" w:fldLock="1"/>
      </w:r>
      <w:r w:rsidR="00067F6A">
        <w:instrText>ADDIN CSL_CITATION {"citationItems":[{"id":"ITEM-1","itemData":{"DOI":"10.1016/J.BPA.2017.08.007","ISSN":"1521-6896","abstract":"Acute kidney injury (AKI) is highly prevalent among hospitalized children, especially those who are critically ill. The incorporation of pediatric elements into consensus definitions has led to a greater understanding of pediatric AKI epidemiology, risk factors, and outcomes. The best available data suggest that AKI occurs in 5% and 27% of non-critically ill and critically ill children, respectively. Additionally, AKI and fluid overload are independently associated with worse outcomes including mortality. Currently, the diagnosis of AKI relies upon urine output and creatinine measurements, both of which pose unique problems in children. However, novel biomarker discovery and new risk stratification techniques have led to enhanced detection and diagnostic strategies. Although no specific treatments exist, strategies designed to prevent AKI are being developed and there is growing evidence that early detection may improve outcomes. We hope that advances in AKI management will follow the diagnostic innovations seen in the past decade.","author":[{"dropping-particle":"","family":"Kwiatkowski","given":"David M.","non-dropping-particle":"","parse-names":false,"suffix":""},{"dropping-particle":"","family":"Sutherland","given":"Scott M.","non-dropping-particle":"","parse-names":false,"suffix":""}],"container-title":"Best Practice &amp; Research Clinical Anaesthesiology","id":"ITEM-1","issue":"3","issued":{"date-parts":[["2017","9","1"]]},"page":"427-439","publisher":"Baillière Tindall","title":"Acute kidney injury in pediatric patients","type":"article-journal","volume":"31"},"uris":["http://www.mendeley.com/documents/?uuid=c266d770-023f-34c4-ba7b-d6df92425aaf"]}],"mendeley":{"formattedCitation":"[11]","plainTextFormattedCitation":"[11]","previouslyFormattedCitation":"[10]"},"properties":{"noteIndex":0},"schema":"https://github.com/citation-style-language/schema/raw/master/csl-citation.json"}</w:instrText>
      </w:r>
      <w:r w:rsidR="0020744A">
        <w:fldChar w:fldCharType="separate"/>
      </w:r>
      <w:r w:rsidR="00067F6A" w:rsidRPr="00067F6A">
        <w:rPr>
          <w:noProof/>
        </w:rPr>
        <w:t>[11]</w:t>
      </w:r>
      <w:r w:rsidR="0020744A">
        <w:fldChar w:fldCharType="end"/>
      </w:r>
      <w:r w:rsidR="006F610A">
        <w:t xml:space="preserve"> </w:t>
      </w:r>
      <w:r w:rsidRPr="00AE64C5">
        <w:t xml:space="preserve">It may not have any symptoms and is detected by the rise in </w:t>
      </w:r>
      <w:r w:rsidR="00781261">
        <w:t>SCr</w:t>
      </w:r>
      <w:r w:rsidRPr="00AE64C5">
        <w:t xml:space="preserve"> noted on blood sampling</w:t>
      </w:r>
      <w:r w:rsidR="00AB4595">
        <w:t>.</w:t>
      </w:r>
      <w:r w:rsidR="00807144">
        <w:fldChar w:fldCharType="begin" w:fldLock="1"/>
      </w:r>
      <w:r w:rsidR="00067F6A">
        <w:instrText>ADDIN CSL_CITATION {"citationItems":[{"id":"ITEM-1","itemData":{"DOI":"10.1038/kisup.2012.1","ISSN":"21571716","abstract":"The 2011 Kidney Disease: Improving Global Outcomes (KDIGO) Clinical Practice Guideline for Acute Kidney Injury (AKI) aims to assist practitioners caring for adults and children at risk for or with AKI, including contrast-induced acute kidney injury (CI-AKI). Guideline development followed an explicit process of evidence review and appraisal. The guideline contains chapters on definition, risk assessment, evaluation, prevention, and treatment. Definition and staging of AKI are based on the Risk, Injury, Failure; Loss, End-Stage Renal Disease (RIFLE) and Acute Kidney Injury Network (AKIN) criteria and studies on risk relationships. The treatment chapters cover pharmacological approaches to prevent or treat AKI, and management of renal replacement for kidney failure from AKI. Guideline recommendations are based on systematic reviews of relevant trials. Appraisal of the quality of the evidence and the strength of recommendations followed the GRADE approach. Limitations of the evidence are discussed and specific suggestions are provided for future research.","author":[{"dropping-particle":"","family":"Kellum","given":"John A.","non-dropping-particle":"","parse-names":false,"suffix":""},{"dropping-particle":"","family":"Lameire","given":"Norbert","non-dropping-particle":"","parse-names":false,"suffix":""},{"dropping-particle":"","family":"Aspelin","given":"Peter","non-dropping-particle":"","parse-names":false,"suffix":""},{"dropping-particle":"","family":"Barsoum","given":"Rashad S.","non-dropping-particle":"","parse-names":false,"suffix":""},{"dropping-particle":"","family":"Burdmann","given":"Emmanuel A.","non-dropping-particle":"","parse-names":false,"suffix":""},{"dropping-particle":"","family":"Goldstein","given":"Stuart L.","non-dropping-particle":"","parse-names":false,"suffix":""},{"dropping-particle":"","family":"Herzog","given":"Charles A.","non-dropping-particle":"","parse-names":false,"suffix":""},{"dropping-particle":"","family":"Joannidis","given":"Michael","non-dropping-particle":"","parse-names":false,"suffix":""},{"dropping-particle":"","family":"Kribben","given":"Andreas","non-dropping-particle":"","parse-names":false,"suffix":""},{"dropping-particle":"","family":"Levey","given":"Andrew S.","non-dropping-particle":"","parse-names":false,"suffix":""},{"dropping-particle":"","family":"MacLeod","given":"Alison M.","non-dropping-particle":"","parse-names":false,"suffix":""},{"dropping-particle":"","family":"Mehta","given":"Ravindra L.","non-dropping-particle":"","parse-names":false,"suffix":""},{"dropping-particle":"","family":"Murray","given":"Patrick T.","non-dropping-particle":"","parse-names":false,"suffix":""},{"dropping-particle":"","family":"Naicker","given":"Saraladevi","non-dropping-particle":"","parse-names":false,"suffix":""},{"dropping-particle":"","family":"Opal","given":"Steven M.","non-dropping-particle":"","parse-names":false,"suffix":""},{"dropping-particle":"","family":"Schaefer","given":"Franz","non-dropping-particle":"","parse-names":false,"suffix":""},{"dropping-particle":"","family":"Schetz","given":"Miet","non-dropping-particle":"","parse-names":false,"suffix":""},{"dropping-particle":"","family":"Uchino","given":"Shigehiko","non-dropping-particle":"","parse-names":false,"suffix":""}],"container-title":"Kidney International Supplements","id":"ITEM-1","issue":"1","issued":{"date-parts":[["2012"]]},"page":"1-138","title":"Kidney disease: Improving global outcomes (KDIGO) acute kidney injury work group. KDIGO clinical practice guideline for acute kidney injury","type":"article","volume":"2"},"uris":["http://www.mendeley.com/documents/?uuid=73c9f656-d564-43a6-b54f-3484d0f9b563"]}],"mendeley":{"formattedCitation":"[12]","plainTextFormattedCitation":"[12]","previouslyFormattedCitation":"[11]"},"properties":{"noteIndex":0},"schema":"https://github.com/citation-style-language/schema/raw/master/csl-citation.json"}</w:instrText>
      </w:r>
      <w:r w:rsidR="00807144">
        <w:fldChar w:fldCharType="separate"/>
      </w:r>
      <w:r w:rsidR="00067F6A" w:rsidRPr="00067F6A">
        <w:rPr>
          <w:noProof/>
        </w:rPr>
        <w:t>[12]</w:t>
      </w:r>
      <w:r w:rsidR="00807144">
        <w:fldChar w:fldCharType="end"/>
      </w:r>
      <w:r w:rsidRPr="00AE64C5">
        <w:t xml:space="preserve"> It is associated with increased mortality and length of hospital stay alongside a higher risk of developing chronic kidney disease</w:t>
      </w:r>
      <w:r w:rsidR="00154722" w:rsidRPr="00AE64C5">
        <w:t xml:space="preserve"> in the future</w:t>
      </w:r>
      <w:r w:rsidR="00AB4595">
        <w:t>.</w:t>
      </w:r>
      <w:r w:rsidR="0020744A">
        <w:fldChar w:fldCharType="begin" w:fldLock="1"/>
      </w:r>
      <w:r w:rsidR="00067F6A">
        <w:instrText>ADDIN CSL_CITATION {"citationItems":[{"id":"ITEM-1","itemData":{"DOI":"10.1016/J.JPEDS.2014.04.058","ISSN":"0022-3476","abstract":"Objective To assess the development of chronic kidney disease (CKD) after high nephrotoxic medication exposure-associated acute kidney injury (NTMx-AKI) in hospitalized children. Study design We performed a retrospective cohort study of children exposed to an aminoglycoside for ≥3 days or ≥3 nephrotoxic medications simultaneously for the development of CKD at 6 months. Follow-up data &gt;6 months after acute kidney injury (AKI) were retrieved from electronic health records. Outcomes in children with NTMx-AKI were compared with patients of same age and primary service distribution who were exposed to nephrotoxic medications but did not develop AKI (controls). Results One hundred patients with NTMx-AKI were assessed (mean age of 9.3 ± 6.9 years). Commonly involved services were bone marrow transplantation/oncology (59%), liver transplantation (13%), and pulmonary (13%). Pre-AKI estimated glomerular filtration rate (eGFR) was 119 ± 14.5 mL/min/1.73 m2 (range 90-150 mL/min/1.73 m2). Mean discharge eGFR was 105.1 ± 27.1 mL/min/1.73 m2. At 6 months after NTMx-AKI, eGFR (n = 77) was 113.8 ± 30.6 mL/min/1.73 m2. Sixteen (20.7%) had eGFR of 60-90, 2 (2.6%) had eGFR &lt;60, and 9 (11.6%) had eGFR &gt;150 mL/min/1.73 m2 (hyperfiltration). Twenty-four (68.5%) of 35 patients who were assessed for proteinuria had a urine protein-to-creatinine ratio &gt;0.3 mg/mg, and 29 (37.6%) had hypertension. Twenty-six (33.7%) patients had CKD (proteinuria or eGFR &lt;60 mL/min/1.73 m2). An additional 28 (36.3%) were considered to be at risk for CKD with hypertension, eGFR between 60 and 90 mL/min/1.73 m2, or eGFR &gt;150 mL/min/1.73 m2. CKD, hypertension, and proteinuria were more common in the AKI cohort than in controls. Conclusions Six months after NTMx-AKI, 70% of patients had evidence of residual kidney damage (reduced eGFR, hyperfiltration, proteinuria, or hypertension). Few underwent a complete evaluation for CKD. With studies showing an association between AKI and CKD, we suggest systematic comprehensive follow-up in children after NTMx-AKI. Copyright © 2014 Elsevier Inc. All rights reserved.","author":[{"dropping-particle":"","family":"Menon","given":"Shina","non-dropping-particle":"","parse-names":false,"suffix":""},{"dropping-particle":"","family":"Kirkendall","given":"Eric S.","non-dropping-particle":"","parse-names":false,"suffix":""},{"dropping-particle":"","family":"Nguyen","given":"Hovi","non-dropping-particle":"","parse-names":false,"suffix":""},{"dropping-particle":"","family":"Goldstein","given":"Stuart L.","non-dropping-particle":"","parse-names":false,"suffix":""}],"container-title":"The Journal of Pediatrics","id":"ITEM-1","issue":"3","issued":{"date-parts":[["2014","9","1"]]},"page":"522-527.e2","publisher":"Mosby","title":"Acute Kidney Injury Associated with High Nephrotoxic Medication Exposure Leads to Chronic Kidney Disease after 6 Months","type":"article-journal","volume":"165"},"uris":["http://www.mendeley.com/documents/?uuid=293a5dc3-c8cf-3b03-8a60-1f455b1ed033"]}],"mendeley":{"formattedCitation":"[13]","plainTextFormattedCitation":"[13]","previouslyFormattedCitation":"[12]"},"properties":{"noteIndex":0},"schema":"https://github.com/citation-style-language/schema/raw/master/csl-citation.json"}</w:instrText>
      </w:r>
      <w:r w:rsidR="0020744A">
        <w:fldChar w:fldCharType="separate"/>
      </w:r>
      <w:r w:rsidR="00067F6A" w:rsidRPr="00067F6A">
        <w:rPr>
          <w:noProof/>
        </w:rPr>
        <w:t>[13]</w:t>
      </w:r>
      <w:r w:rsidR="0020744A">
        <w:fldChar w:fldCharType="end"/>
      </w:r>
      <w:r w:rsidR="00E40AC9" w:rsidRPr="00AE64C5">
        <w:t xml:space="preserve"> </w:t>
      </w:r>
      <w:r w:rsidRPr="00AE64C5">
        <w:t>The severity of AKI can be assessed using the Kidney Disease Improving G</w:t>
      </w:r>
      <w:r w:rsidR="00154722" w:rsidRPr="00AE64C5">
        <w:t>lobal Outcomes (KDIGO) criteria</w:t>
      </w:r>
      <w:r w:rsidR="007A66B8" w:rsidRPr="00AE64C5">
        <w:t xml:space="preserve"> </w:t>
      </w:r>
      <w:r w:rsidR="003D61A5" w:rsidRPr="00AE64C5">
        <w:t>(Table</w:t>
      </w:r>
      <w:r w:rsidR="007A66B8" w:rsidRPr="00AE64C5">
        <w:t xml:space="preserve"> 1)</w:t>
      </w:r>
      <w:r w:rsidR="00AB4595">
        <w:t>.</w:t>
      </w:r>
      <w:r w:rsidR="00807144">
        <w:fldChar w:fldCharType="begin" w:fldLock="1"/>
      </w:r>
      <w:r w:rsidR="00067F6A">
        <w:instrText>ADDIN CSL_CITATION {"citationItems":[{"id":"ITEM-1","itemData":{"DOI":"10.1038/kisup.2012.1","ISSN":"21571716","abstract":"The 2011 Kidney Disease: Improving Global Outcomes (KDIGO) Clinical Practice Guideline for Acute Kidney Injury (AKI) aims to assist practitioners caring for adults and children at risk for or with AKI, including contrast-induced acute kidney injury (CI-AKI). Guideline development followed an explicit process of evidence review and appraisal. The guideline contains chapters on definition, risk assessment, evaluation, prevention, and treatment. Definition and staging of AKI are based on the Risk, Injury, Failure; Loss, End-Stage Renal Disease (RIFLE) and Acute Kidney Injury Network (AKIN) criteria and studies on risk relationships. The treatment chapters cover pharmacological approaches to prevent or treat AKI, and management of renal replacement for kidney failure from AKI. Guideline recommendations are based on systematic reviews of relevant trials. Appraisal of the quality of the evidence and the strength of recommendations followed the GRADE approach. Limitations of the evidence are discussed and specific suggestions are provided for future research.","author":[{"dropping-particle":"","family":"Kellum","given":"John A.","non-dropping-particle":"","parse-names":false,"suffix":""},{"dropping-particle":"","family":"Lameire","given":"Norbert","non-dropping-particle":"","parse-names":false,"suffix":""},{"dropping-particle":"","family":"Aspelin","given":"Peter","non-dropping-particle":"","parse-names":false,"suffix":""},{"dropping-particle":"","family":"Barsoum","given":"Rashad S.","non-dropping-particle":"","parse-names":false,"suffix":""},{"dropping-particle":"","family":"Burdmann","given":"Emmanuel A.","non-dropping-particle":"","parse-names":false,"suffix":""},{"dropping-particle":"","family":"Goldstein","given":"Stuart L.","non-dropping-particle":"","parse-names":false,"suffix":""},{"dropping-particle":"","family":"Herzog","given":"Charles A.","non-dropping-particle":"","parse-names":false,"suffix":""},{"dropping-particle":"","family":"Joannidis","given":"Michael","non-dropping-particle":"","parse-names":false,"suffix":""},{"dropping-particle":"","family":"Kribben","given":"Andreas","non-dropping-particle":"","parse-names":false,"suffix":""},{"dropping-particle":"","family":"Levey","given":"Andrew S.","non-dropping-particle":"","parse-names":false,"suffix":""},{"dropping-particle":"","family":"MacLeod","given":"Alison M.","non-dropping-particle":"","parse-names":false,"suffix":""},{"dropping-particle":"","family":"Mehta","given":"Ravindra L.","non-dropping-particle":"","parse-names":false,"suffix":""},{"dropping-particle":"","family":"Murray","given":"Patrick T.","non-dropping-particle":"","parse-names":false,"suffix":""},{"dropping-particle":"","family":"Naicker","given":"Saraladevi","non-dropping-particle":"","parse-names":false,"suffix":""},{"dropping-particle":"","family":"Opal","given":"Steven M.","non-dropping-particle":"","parse-names":false,"suffix":""},{"dropping-particle":"","family":"Schaefer","given":"Franz","non-dropping-particle":"","parse-names":false,"suffix":""},{"dropping-particle":"","family":"Schetz","given":"Miet","non-dropping-particle":"","parse-names":false,"suffix":""},{"dropping-particle":"","family":"Uchino","given":"Shigehiko","non-dropping-particle":"","parse-names":false,"suffix":""}],"container-title":"Kidney International Supplements","id":"ITEM-1","issue":"1","issued":{"date-parts":[["2012"]]},"page":"1-138","title":"Kidney disease: Improving global outcomes (KDIGO) acute kidney injury work group. KDIGO clinical practice guideline for acute kidney injury","type":"article","volume":"2"},"uris":["http://www.mendeley.com/documents/?uuid=73c9f656-d564-43a6-b54f-3484d0f9b563"]}],"mendeley":{"formattedCitation":"[12]","plainTextFormattedCitation":"[12]","previouslyFormattedCitation":"[11]"},"properties":{"noteIndex":0},"schema":"https://github.com/citation-style-language/schema/raw/master/csl-citation.json"}</w:instrText>
      </w:r>
      <w:r w:rsidR="00807144">
        <w:fldChar w:fldCharType="separate"/>
      </w:r>
      <w:r w:rsidR="00067F6A" w:rsidRPr="00067F6A">
        <w:rPr>
          <w:noProof/>
        </w:rPr>
        <w:t>[12]</w:t>
      </w:r>
      <w:r w:rsidR="00807144">
        <w:fldChar w:fldCharType="end"/>
      </w:r>
      <w:r w:rsidR="00E40AC9" w:rsidRPr="00AE64C5">
        <w:t xml:space="preserve"> </w:t>
      </w:r>
      <w:r w:rsidR="006F610A">
        <w:t>Early recognition of AKI, and subsequent changes in management that prevent further kidney injury, have been shown to improve outcomes in hospitalised children.</w:t>
      </w:r>
      <w:r w:rsidR="0020744A">
        <w:fldChar w:fldCharType="begin" w:fldLock="1"/>
      </w:r>
      <w:r w:rsidR="00067F6A">
        <w:instrText>ADDIN CSL_CITATION {"citationItems":[{"id":"ITEM-1","itemData":{"DOI":"10.1016/J.KINT.2016.03.031","ISSN":"0085-2538","abstract":"Exposure to nephrotoxic medication is among the most common causes of acute kidney injury (AKI) in hospitalized patients. Here we conducted a prospective quality improvement project implementing a systematic Electronic Health Record screening and decision support process (trigger) in our quaternary pediatric inpatient hospital. Eligible patients were noncritically ill hospitalized children receiving an intravenous aminoglycoside for more than 3 days or more than 3 nephrotoxins simultaneously (exposure) from September 2011 through March 2015. Pharmacists recommended daily serum creatinine monitoring in exposed patients after appearance on the trigger report and AKI was defined by the Kidney Disease Improving Global Outcomes AKI criteria. A total of 1749 patients accounted for 2358 separate hospital admissions during which a total of 3243 episodes of nephrotoxin exposure were identified with 170 patients (9.7%) experiencing 2 or more exposures. A total of 575 individual AKI episodes occurred over the 43-month study period. Overall, the exposure rate decreased by 38% (11.63–7.24 exposures/1000 patient days), and the AKI rate decreased by 64% (2.96–1.06 episodes/1000 patient days). Assuming initial baseline exposure rates would have persisted without our project implementation, we estimate 633 exposures and 398 AKI episodes were avoided. Thus, systematic surveillance for nephrotoxic medication exposure and near real-time AKI risk can lead to sustained reductions in avoidable harm. These interventions and outcomes are translatable to other pediatric and nonpediatric hospitalized settings.","author":[{"dropping-particle":"","family":"Goldstein","given":"Stuart L.","non-dropping-particle":"","parse-names":false,"suffix":""},{"dropping-particle":"","family":"Mottes","given":"Theresa","non-dropping-particle":"","parse-names":false,"suffix":""},{"dropping-particle":"","family":"Simpson","given":"Kendria","non-dropping-particle":"","parse-names":false,"suffix":""},{"dropping-particle":"","family":"Barclay","given":"Cynthia","non-dropping-particle":"","parse-names":false,"suffix":""},{"dropping-particle":"","family":"Muething","given":"Stephen","non-dropping-particle":"","parse-names":false,"suffix":""},{"dropping-particle":"","family":"Haslam","given":"David B.","non-dropping-particle":"","parse-names":false,"suffix":""},{"dropping-particle":"","family":"Kirkendall","given":"Eric S.","non-dropping-particle":"","parse-names":false,"suffix":""}],"container-title":"Kidney International","id":"ITEM-1","issue":"1","issued":{"date-parts":[["2016","7","1"]]},"page":"212-221","publisher":"Elsevier","title":"A sustained quality improvement program reduces nephrotoxic medication-associated acute kidney injury","type":"article-journal","volume":"90"},"uris":["http://www.mendeley.com/documents/?uuid=cbfb8114-e0a8-3b52-97bc-aa8d0cb1beea"]}],"mendeley":{"formattedCitation":"[14]","plainTextFormattedCitation":"[14]","previouslyFormattedCitation":"[13]"},"properties":{"noteIndex":0},"schema":"https://github.com/citation-style-language/schema/raw/master/csl-citation.json"}</w:instrText>
      </w:r>
      <w:r w:rsidR="0020744A">
        <w:fldChar w:fldCharType="separate"/>
      </w:r>
      <w:r w:rsidR="00067F6A" w:rsidRPr="00067F6A">
        <w:rPr>
          <w:noProof/>
        </w:rPr>
        <w:t>[14]</w:t>
      </w:r>
      <w:r w:rsidR="0020744A">
        <w:fldChar w:fldCharType="end"/>
      </w:r>
      <w:r w:rsidR="006F610A">
        <w:t xml:space="preserve"> </w:t>
      </w:r>
      <w:r w:rsidR="00635E89" w:rsidRPr="00AE64C5">
        <w:t>Many drugs commonly prescribed in paediatric</w:t>
      </w:r>
      <w:r w:rsidR="00582E72" w:rsidRPr="00AE64C5">
        <w:t xml:space="preserve"> practice</w:t>
      </w:r>
      <w:r w:rsidR="00635E89" w:rsidRPr="00AE64C5">
        <w:t xml:space="preserve"> can c</w:t>
      </w:r>
      <w:r w:rsidR="00582E72" w:rsidRPr="00AE64C5">
        <w:t>ause and contribute to AKI. O</w:t>
      </w:r>
      <w:r w:rsidR="00635E89" w:rsidRPr="00AE64C5">
        <w:t>thers may have unwanted or toxic side effects secondary to the inability of the poorly function</w:t>
      </w:r>
      <w:r w:rsidR="00582E72" w:rsidRPr="00AE64C5">
        <w:t>ing</w:t>
      </w:r>
      <w:r w:rsidR="00635E89" w:rsidRPr="00AE64C5">
        <w:t xml:space="preserve"> kidney to handle the medication</w:t>
      </w:r>
      <w:r w:rsidR="00582E72" w:rsidRPr="00AE64C5">
        <w:t xml:space="preserve"> or its metabolites. </w:t>
      </w:r>
    </w:p>
    <w:p w14:paraId="3E67FB39" w14:textId="77777777" w:rsidR="006F610A" w:rsidRDefault="006F610A" w:rsidP="00433A4D">
      <w:pPr>
        <w:rPr>
          <w:b/>
        </w:rPr>
      </w:pPr>
    </w:p>
    <w:p w14:paraId="6D9823EF" w14:textId="35883816" w:rsidR="00433A4D" w:rsidRPr="00BE10B4" w:rsidRDefault="00433A4D" w:rsidP="00433A4D">
      <w:pPr>
        <w:rPr>
          <w:b/>
        </w:rPr>
      </w:pPr>
      <w:r w:rsidRPr="00BE10B4">
        <w:rPr>
          <w:b/>
        </w:rPr>
        <w:t>Chronic Kidney Disease</w:t>
      </w:r>
    </w:p>
    <w:p w14:paraId="00A781E3" w14:textId="77777777" w:rsidR="00433A4D" w:rsidRDefault="00433A4D" w:rsidP="00433A4D">
      <w:pPr>
        <w:rPr>
          <w:b/>
        </w:rPr>
      </w:pPr>
    </w:p>
    <w:p w14:paraId="56797A35" w14:textId="4B938301" w:rsidR="00433A4D" w:rsidRPr="00AE64C5" w:rsidRDefault="00433A4D" w:rsidP="00A90AFA">
      <w:r w:rsidRPr="00AE64C5">
        <w:t>CKD is defined as an abnormality in the function or structure of the kidneys that persists for more than 3 months. This can be categorised into stages of severity using the patient</w:t>
      </w:r>
      <w:r w:rsidR="00AE64C5" w:rsidRPr="00AE64C5">
        <w:t>’</w:t>
      </w:r>
      <w:r w:rsidRPr="00AE64C5">
        <w:t>s GFR and degree of proteinuria</w:t>
      </w:r>
      <w:r w:rsidR="00C85DA5" w:rsidRPr="00AE64C5">
        <w:t xml:space="preserve"> (</w:t>
      </w:r>
      <w:r w:rsidR="003D61A5" w:rsidRPr="00AE64C5">
        <w:t>Table</w:t>
      </w:r>
      <w:r w:rsidR="00C85DA5" w:rsidRPr="00AE64C5">
        <w:t xml:space="preserve"> 1)</w:t>
      </w:r>
      <w:r w:rsidRPr="00AE64C5">
        <w:t>. In milder stages</w:t>
      </w:r>
      <w:r w:rsidR="00AE64C5" w:rsidRPr="00AE64C5">
        <w:t>,</w:t>
      </w:r>
      <w:r w:rsidRPr="00AE64C5">
        <w:t xml:space="preserve"> CKD is often asymptomatic. As severity increases patients are at higher risk of electrolyte abnormalities, anaemia, renal osteodystrophy and long-term cardiovascular complications. R</w:t>
      </w:r>
      <w:r w:rsidR="00AB4595">
        <w:t>RT</w:t>
      </w:r>
      <w:r w:rsidRPr="00AE64C5">
        <w:t xml:space="preserve">, in </w:t>
      </w:r>
      <w:r w:rsidR="00C85DA5" w:rsidRPr="00AE64C5">
        <w:t xml:space="preserve">the </w:t>
      </w:r>
      <w:r w:rsidRPr="00AE64C5">
        <w:t>form of dialysis, or kidney transplantation is required when the kidneys can no longer function to a level to keep fluid and electrolytes within safe limits. This is referred to as CKD stage 5.  The degree of chronic impairment has a significant impact on the kidneys</w:t>
      </w:r>
      <w:r w:rsidR="00AE64C5" w:rsidRPr="00AE64C5">
        <w:t>’</w:t>
      </w:r>
      <w:r w:rsidRPr="00AE64C5">
        <w:t xml:space="preserve"> ability to handle drugs safely. Paediatricians need to be aware of the chall</w:t>
      </w:r>
      <w:r w:rsidR="00C85DA5" w:rsidRPr="00AE64C5">
        <w:t xml:space="preserve">enges </w:t>
      </w:r>
      <w:r w:rsidR="00AE64C5" w:rsidRPr="00AE64C5">
        <w:t>of</w:t>
      </w:r>
      <w:r w:rsidR="00C85DA5" w:rsidRPr="00AE64C5">
        <w:t xml:space="preserve"> prescribing in CKD to </w:t>
      </w:r>
      <w:r w:rsidRPr="00AE64C5">
        <w:t>ensure they prescribe safely</w:t>
      </w:r>
      <w:r w:rsidR="00AB4595">
        <w:t>.</w:t>
      </w:r>
      <w:r w:rsidR="00807144">
        <w:fldChar w:fldCharType="begin" w:fldLock="1"/>
      </w:r>
      <w:r w:rsidR="00067F6A">
        <w:instrText>ADDIN CSL_CITATION {"citationItems":[{"id":"ITEM-1","itemData":{"URL":"https://renal.org/health-professionals/information-resources/uk-eckd-guide","accessed":{"date-parts":[["2021","7","2"]]},"author":[{"dropping-particle":"","family":"The Renal Association","given":"","non-dropping-particle":"","parse-names":false,"suffix":""}],"id":"ITEM-1","issued":{"date-parts":[["2017"]]},"title":"The UK eCKD Guide","type":"webpage"},"uris":["http://www.mendeley.com/documents/?uuid=a17b6ecc-a557-30cf-8e3f-e1278be802fc"]}],"mendeley":{"formattedCitation":"[15]","plainTextFormattedCitation":"[15]","previouslyFormattedCitation":"[14]"},"properties":{"noteIndex":0},"schema":"https://github.com/citation-style-language/schema/raw/master/csl-citation.json"}</w:instrText>
      </w:r>
      <w:r w:rsidR="00807144">
        <w:fldChar w:fldCharType="separate"/>
      </w:r>
      <w:r w:rsidR="00067F6A" w:rsidRPr="00067F6A">
        <w:rPr>
          <w:noProof/>
        </w:rPr>
        <w:t>[15]</w:t>
      </w:r>
      <w:r w:rsidR="00807144">
        <w:fldChar w:fldCharType="end"/>
      </w:r>
    </w:p>
    <w:p w14:paraId="0D522081" w14:textId="77777777" w:rsidR="00433A4D" w:rsidRDefault="00433A4D" w:rsidP="00A90AFA">
      <w:pPr>
        <w:rPr>
          <w:i/>
        </w:rPr>
      </w:pPr>
    </w:p>
    <w:p w14:paraId="49DD14FD" w14:textId="77777777" w:rsidR="00F82DD4" w:rsidRDefault="00F82DD4" w:rsidP="007164FD">
      <w:pPr>
        <w:keepNext/>
        <w:rPr>
          <w:i/>
        </w:rPr>
      </w:pPr>
    </w:p>
    <w:p w14:paraId="017A9475" w14:textId="774A8C8D" w:rsidR="00C85DA5" w:rsidRPr="00BE10B4" w:rsidRDefault="00807144" w:rsidP="007164FD">
      <w:pPr>
        <w:keepNext/>
      </w:pPr>
      <w:r w:rsidRPr="00BE10B4">
        <w:t xml:space="preserve">Table 1: Severity of </w:t>
      </w:r>
      <w:r w:rsidR="00374A98">
        <w:t>kidney</w:t>
      </w:r>
      <w:r w:rsidR="00374A98" w:rsidRPr="00433A4D">
        <w:t xml:space="preserve"> </w:t>
      </w:r>
      <w:r w:rsidRPr="00BE10B4">
        <w:t xml:space="preserve">impairment (adapted from </w:t>
      </w:r>
      <w:r w:rsidRPr="00BE10B4">
        <w:fldChar w:fldCharType="begin" w:fldLock="1"/>
      </w:r>
      <w:r w:rsidR="00067F6A">
        <w:instrText>ADDIN CSL_CITATION {"citationItems":[{"id":"ITEM-1","itemData":{"DOI":"10.1038/kisup.2012.1","ISSN":"21571716","abstract":"The 2011 Kidney Disease: Improving Global Outcomes (KDIGO) Clinical Practice Guideline for Acute Kidney Injury (AKI) aims to assist practitioners caring for adults and children at risk for or with AKI, including contrast-induced acute kidney injury (CI-AKI). Guideline development followed an explicit process of evidence review and appraisal. The guideline contains chapters on definition, risk assessment, evaluation, prevention, and treatment. Definition and staging of AKI are based on the Risk, Injury, Failure; Loss, End-Stage Renal Disease (RIFLE) and Acute Kidney Injury Network (AKIN) criteria and studies on risk relationships. The treatment chapters cover pharmacological approaches to prevent or treat AKI, and management of renal replacement for kidney failure from AKI. Guideline recommendations are based on systematic reviews of relevant trials. Appraisal of the quality of the evidence and the strength of recommendations followed the GRADE approach. Limitations of the evidence are discussed and specific suggestions are provided for future research.","author":[{"dropping-particle":"","family":"Kellum","given":"John A.","non-dropping-particle":"","parse-names":false,"suffix":""},{"dropping-particle":"","family":"Lameire","given":"Norbert","non-dropping-particle":"","parse-names":false,"suffix":""},{"dropping-particle":"","family":"Aspelin","given":"Peter","non-dropping-particle":"","parse-names":false,"suffix":""},{"dropping-particle":"","family":"Barsoum","given":"Rashad S.","non-dropping-particle":"","parse-names":false,"suffix":""},{"dropping-particle":"","family":"Burdmann","given":"Emmanuel A.","non-dropping-particle":"","parse-names":false,"suffix":""},{"dropping-particle":"","family":"Goldstein","given":"Stuart L.","non-dropping-particle":"","parse-names":false,"suffix":""},{"dropping-particle":"","family":"Herzog","given":"Charles A.","non-dropping-particle":"","parse-names":false,"suffix":""},{"dropping-particle":"","family":"Joannidis","given":"Michael","non-dropping-particle":"","parse-names":false,"suffix":""},{"dropping-particle":"","family":"Kribben","given":"Andreas","non-dropping-particle":"","parse-names":false,"suffix":""},{"dropping-particle":"","family":"Levey","given":"Andrew S.","non-dropping-particle":"","parse-names":false,"suffix":""},{"dropping-particle":"","family":"MacLeod","given":"Alison M.","non-dropping-particle":"","parse-names":false,"suffix":""},{"dropping-particle":"","family":"Mehta","given":"Ravindra L.","non-dropping-particle":"","parse-names":false,"suffix":""},{"dropping-particle":"","family":"Murray","given":"Patrick T.","non-dropping-particle":"","parse-names":false,"suffix":""},{"dropping-particle":"","family":"Naicker","given":"Saraladevi","non-dropping-particle":"","parse-names":false,"suffix":""},{"dropping-particle":"","family":"Opal","given":"Steven M.","non-dropping-particle":"","parse-names":false,"suffix":""},{"dropping-particle":"","family":"Schaefer","given":"Franz","non-dropping-particle":"","parse-names":false,"suffix":""},{"dropping-particle":"","family":"Schetz","given":"Miet","non-dropping-particle":"","parse-names":false,"suffix":""},{"dropping-particle":"","family":"Uchino","given":"Shigehiko","non-dropping-particle":"","parse-names":false,"suffix":""}],"container-title":"Kidney International Supplements","id":"ITEM-1","issue":"1","issued":{"date-parts":[["2012"]]},"page":"1-138","title":"Kidney disease: Improving global outcomes (KDIGO) acute kidney injury work group. KDIGO clinical practice guideline for acute kidney injury","type":"article","volume":"2"},"uris":["http://www.mendeley.com/documents/?uuid=73c9f656-d564-43a6-b54f-3484d0f9b563"]},{"id":"ITEM-2","itemData":{"URL":"https://www.infokid.org.uk/chronic-kidney-disease-ckd","accessed":{"date-parts":[["2021","7","2"]]},"author":[{"dropping-particle":"","family":"infoKID","given":"","non-dropping-particle":"","parse-names":false,"suffix":""}],"id":"ITEM-2","issued":{"date-parts":[["0"]]},"title":"Chronic kidney disease (CKD)","type":"webpage"},"uris":["http://www.mendeley.com/documents/?uuid=165d0b8d-0484-38b7-95b4-043558bff51d"]}],"mendeley":{"formattedCitation":"[12,16]","plainTextFormattedCitation":"[12,16]","previouslyFormattedCitation":"[11,15]"},"properties":{"noteIndex":0},"schema":"https://github.com/citation-style-language/schema/raw/master/csl-citation.json"}</w:instrText>
      </w:r>
      <w:r w:rsidRPr="00BE10B4">
        <w:fldChar w:fldCharType="separate"/>
      </w:r>
      <w:r w:rsidR="00067F6A" w:rsidRPr="00067F6A">
        <w:rPr>
          <w:noProof/>
        </w:rPr>
        <w:t>[12,16]</w:t>
      </w:r>
      <w:r w:rsidRPr="00BE10B4">
        <w:fldChar w:fldCharType="end"/>
      </w:r>
      <w:r w:rsidRPr="00BE10B4">
        <w:t>)</w:t>
      </w:r>
    </w:p>
    <w:p w14:paraId="569DFEC8" w14:textId="77777777" w:rsidR="00433A4D" w:rsidRDefault="00433A4D" w:rsidP="007164FD">
      <w:pPr>
        <w:keepNext/>
        <w:rPr>
          <w:i/>
        </w:rPr>
      </w:pPr>
    </w:p>
    <w:tbl>
      <w:tblPr>
        <w:tblStyle w:val="TableGridLight1"/>
        <w:tblW w:w="8752" w:type="dxa"/>
        <w:tblLook w:val="04A0" w:firstRow="1" w:lastRow="0" w:firstColumn="1" w:lastColumn="0" w:noHBand="0" w:noVBand="1"/>
      </w:tblPr>
      <w:tblGrid>
        <w:gridCol w:w="808"/>
        <w:gridCol w:w="2634"/>
        <w:gridCol w:w="2744"/>
        <w:gridCol w:w="2566"/>
      </w:tblGrid>
      <w:tr w:rsidR="00C62E40" w14:paraId="2AE0DB84" w14:textId="77777777" w:rsidTr="00807144">
        <w:tc>
          <w:tcPr>
            <w:tcW w:w="808" w:type="dxa"/>
          </w:tcPr>
          <w:p w14:paraId="04131C7A" w14:textId="77777777" w:rsidR="00C62E40" w:rsidRPr="00807144" w:rsidRDefault="00C62E40" w:rsidP="007164FD">
            <w:pPr>
              <w:keepNext/>
            </w:pPr>
            <w:r w:rsidRPr="00807144">
              <w:t>Stage</w:t>
            </w:r>
          </w:p>
        </w:tc>
        <w:tc>
          <w:tcPr>
            <w:tcW w:w="5378" w:type="dxa"/>
            <w:gridSpan w:val="2"/>
          </w:tcPr>
          <w:p w14:paraId="6C381B0E" w14:textId="77777777" w:rsidR="00C62E40" w:rsidRPr="00807144" w:rsidRDefault="00C62E40" w:rsidP="007164FD">
            <w:pPr>
              <w:keepNext/>
              <w:jc w:val="center"/>
              <w:rPr>
                <w:b/>
              </w:rPr>
            </w:pPr>
            <w:r w:rsidRPr="00807144">
              <w:rPr>
                <w:b/>
              </w:rPr>
              <w:t>AKI</w:t>
            </w:r>
          </w:p>
          <w:p w14:paraId="3F72E4C4" w14:textId="77777777" w:rsidR="00C62E40" w:rsidRPr="00807144" w:rsidRDefault="00C62E40" w:rsidP="007164FD">
            <w:pPr>
              <w:keepNext/>
              <w:jc w:val="center"/>
              <w:rPr>
                <w:b/>
              </w:rPr>
            </w:pPr>
            <w:r w:rsidRPr="00807144">
              <w:rPr>
                <w:sz w:val="16"/>
                <w:szCs w:val="16"/>
              </w:rPr>
              <w:t>KDIGO Criteria</w:t>
            </w:r>
          </w:p>
        </w:tc>
        <w:tc>
          <w:tcPr>
            <w:tcW w:w="2566" w:type="dxa"/>
          </w:tcPr>
          <w:p w14:paraId="35BF16A2" w14:textId="77777777" w:rsidR="00C62E40" w:rsidRPr="00807144" w:rsidRDefault="00C62E40" w:rsidP="007164FD">
            <w:pPr>
              <w:keepNext/>
              <w:jc w:val="center"/>
              <w:rPr>
                <w:b/>
              </w:rPr>
            </w:pPr>
            <w:r w:rsidRPr="00807144">
              <w:rPr>
                <w:b/>
              </w:rPr>
              <w:t>CKD</w:t>
            </w:r>
          </w:p>
          <w:p w14:paraId="7ED4201C" w14:textId="77777777" w:rsidR="00C62E40" w:rsidRPr="00807144" w:rsidRDefault="00C62E40" w:rsidP="007164FD">
            <w:pPr>
              <w:keepNext/>
              <w:jc w:val="center"/>
              <w:rPr>
                <w:sz w:val="16"/>
                <w:szCs w:val="16"/>
              </w:rPr>
            </w:pPr>
            <w:r w:rsidRPr="00807144">
              <w:rPr>
                <w:sz w:val="16"/>
                <w:szCs w:val="16"/>
              </w:rPr>
              <w:t>Based on eGFR (ml/min/1.73m</w:t>
            </w:r>
            <w:r w:rsidRPr="00807144">
              <w:rPr>
                <w:sz w:val="16"/>
                <w:szCs w:val="16"/>
                <w:vertAlign w:val="superscript"/>
              </w:rPr>
              <w:t>2</w:t>
            </w:r>
            <w:r w:rsidRPr="00807144">
              <w:rPr>
                <w:sz w:val="16"/>
                <w:szCs w:val="16"/>
              </w:rPr>
              <w:t>)</w:t>
            </w:r>
          </w:p>
        </w:tc>
      </w:tr>
      <w:tr w:rsidR="00C62E40" w14:paraId="41A5430F" w14:textId="77777777" w:rsidTr="00807144">
        <w:tc>
          <w:tcPr>
            <w:tcW w:w="808" w:type="dxa"/>
          </w:tcPr>
          <w:p w14:paraId="0F522ED9" w14:textId="77777777" w:rsidR="00C62E40" w:rsidRDefault="00C62E40" w:rsidP="007164FD">
            <w:pPr>
              <w:keepNext/>
            </w:pPr>
            <w:r>
              <w:t>1</w:t>
            </w:r>
          </w:p>
        </w:tc>
        <w:tc>
          <w:tcPr>
            <w:tcW w:w="2634" w:type="dxa"/>
          </w:tcPr>
          <w:p w14:paraId="5EDBF0C7" w14:textId="77777777" w:rsidR="00C62E40" w:rsidRPr="00C62E40" w:rsidRDefault="00C62E40" w:rsidP="007164FD">
            <w:pPr>
              <w:pStyle w:val="ListParagraph"/>
              <w:keepNext/>
              <w:numPr>
                <w:ilvl w:val="0"/>
                <w:numId w:val="10"/>
              </w:numPr>
              <w:rPr>
                <w:sz w:val="20"/>
                <w:szCs w:val="20"/>
              </w:rPr>
            </w:pPr>
            <w:r w:rsidRPr="00C62E40">
              <w:rPr>
                <w:sz w:val="20"/>
                <w:szCs w:val="20"/>
              </w:rPr>
              <w:t>1.5 x increase in serum creatinine</w:t>
            </w:r>
            <w:r>
              <w:rPr>
                <w:sz w:val="20"/>
                <w:szCs w:val="20"/>
              </w:rPr>
              <w:t xml:space="preserve"> (SCr)</w:t>
            </w:r>
          </w:p>
          <w:p w14:paraId="36B0FA1B" w14:textId="77777777" w:rsidR="00C62E40" w:rsidRDefault="00C62E40" w:rsidP="007164FD">
            <w:pPr>
              <w:pStyle w:val="ListParagraph"/>
              <w:keepNext/>
              <w:numPr>
                <w:ilvl w:val="0"/>
                <w:numId w:val="10"/>
              </w:numPr>
              <w:rPr>
                <w:sz w:val="20"/>
                <w:szCs w:val="20"/>
              </w:rPr>
            </w:pPr>
            <w:r>
              <w:rPr>
                <w:sz w:val="20"/>
                <w:szCs w:val="20"/>
              </w:rPr>
              <w:t>SCr R</w:t>
            </w:r>
            <w:r w:rsidRPr="00C62E40">
              <w:rPr>
                <w:sz w:val="20"/>
                <w:szCs w:val="20"/>
              </w:rPr>
              <w:t xml:space="preserve">ise of </w:t>
            </w:r>
            <w:r>
              <w:rPr>
                <w:sz w:val="20"/>
                <w:szCs w:val="20"/>
              </w:rPr>
              <w:t xml:space="preserve"> </w:t>
            </w:r>
            <w:r>
              <w:rPr>
                <w:sz w:val="20"/>
                <w:szCs w:val="20"/>
                <w:u w:val="single"/>
              </w:rPr>
              <w:t xml:space="preserve">&gt; </w:t>
            </w:r>
            <w:r w:rsidRPr="00C62E40">
              <w:rPr>
                <w:sz w:val="20"/>
                <w:szCs w:val="20"/>
              </w:rPr>
              <w:t>26umol/L</w:t>
            </w:r>
          </w:p>
          <w:p w14:paraId="3E77A24B" w14:textId="77777777" w:rsidR="00C62E40" w:rsidRPr="00C62E40" w:rsidRDefault="00C62E40" w:rsidP="007164FD">
            <w:pPr>
              <w:pStyle w:val="ListParagraph"/>
              <w:keepNext/>
              <w:rPr>
                <w:sz w:val="20"/>
                <w:szCs w:val="20"/>
              </w:rPr>
            </w:pPr>
          </w:p>
        </w:tc>
        <w:tc>
          <w:tcPr>
            <w:tcW w:w="2744" w:type="dxa"/>
          </w:tcPr>
          <w:p w14:paraId="0E99F1D6" w14:textId="77777777" w:rsidR="00C62E40" w:rsidRPr="00C62E40" w:rsidRDefault="00C62E40" w:rsidP="007164FD">
            <w:pPr>
              <w:keepNext/>
              <w:jc w:val="center"/>
              <w:rPr>
                <w:sz w:val="20"/>
                <w:szCs w:val="20"/>
              </w:rPr>
            </w:pPr>
            <w:r>
              <w:rPr>
                <w:sz w:val="20"/>
                <w:szCs w:val="20"/>
              </w:rPr>
              <w:t>Urine output (UO) &lt; 0.5 ml/kg/hr for 6-12 hr</w:t>
            </w:r>
          </w:p>
        </w:tc>
        <w:tc>
          <w:tcPr>
            <w:tcW w:w="2566" w:type="dxa"/>
          </w:tcPr>
          <w:p w14:paraId="42DF695F" w14:textId="77777777" w:rsidR="00C62E40" w:rsidRPr="00C62E40" w:rsidRDefault="00C62E40" w:rsidP="007164FD">
            <w:pPr>
              <w:keepNext/>
              <w:jc w:val="center"/>
              <w:rPr>
                <w:sz w:val="20"/>
                <w:szCs w:val="20"/>
              </w:rPr>
            </w:pPr>
            <w:r w:rsidRPr="00C62E40">
              <w:rPr>
                <w:sz w:val="20"/>
                <w:szCs w:val="20"/>
              </w:rPr>
              <w:t>Greater than 90</w:t>
            </w:r>
          </w:p>
          <w:p w14:paraId="0FDA380F" w14:textId="77777777" w:rsidR="00C62E40" w:rsidRPr="00C62E40" w:rsidRDefault="00C62E40" w:rsidP="007164FD">
            <w:pPr>
              <w:keepNext/>
              <w:jc w:val="center"/>
              <w:rPr>
                <w:sz w:val="20"/>
                <w:szCs w:val="20"/>
              </w:rPr>
            </w:pPr>
          </w:p>
        </w:tc>
      </w:tr>
      <w:tr w:rsidR="00C62E40" w14:paraId="60B088EB" w14:textId="77777777" w:rsidTr="00807144">
        <w:tc>
          <w:tcPr>
            <w:tcW w:w="808" w:type="dxa"/>
          </w:tcPr>
          <w:p w14:paraId="7C0A6558" w14:textId="77777777" w:rsidR="00C62E40" w:rsidRDefault="00C62E40" w:rsidP="007164FD">
            <w:pPr>
              <w:keepNext/>
            </w:pPr>
            <w:r>
              <w:t>2</w:t>
            </w:r>
          </w:p>
        </w:tc>
        <w:tc>
          <w:tcPr>
            <w:tcW w:w="2634" w:type="dxa"/>
          </w:tcPr>
          <w:p w14:paraId="35DEEB70" w14:textId="77777777" w:rsidR="00C62E40" w:rsidRDefault="00C62E40" w:rsidP="007164FD">
            <w:pPr>
              <w:pStyle w:val="ListParagraph"/>
              <w:keepNext/>
              <w:numPr>
                <w:ilvl w:val="0"/>
                <w:numId w:val="11"/>
              </w:numPr>
              <w:rPr>
                <w:sz w:val="20"/>
                <w:szCs w:val="20"/>
              </w:rPr>
            </w:pPr>
            <w:r w:rsidRPr="00C62E40">
              <w:rPr>
                <w:sz w:val="20"/>
                <w:szCs w:val="20"/>
              </w:rPr>
              <w:t xml:space="preserve">2-3x rise in baseline </w:t>
            </w:r>
            <w:r>
              <w:rPr>
                <w:sz w:val="20"/>
                <w:szCs w:val="20"/>
              </w:rPr>
              <w:t>SCr</w:t>
            </w:r>
          </w:p>
          <w:p w14:paraId="43FAF4F0" w14:textId="77777777" w:rsidR="00C62E40" w:rsidRPr="00C62E40" w:rsidRDefault="00C62E40" w:rsidP="007164FD">
            <w:pPr>
              <w:pStyle w:val="ListParagraph"/>
              <w:keepNext/>
              <w:rPr>
                <w:sz w:val="20"/>
                <w:szCs w:val="20"/>
              </w:rPr>
            </w:pPr>
          </w:p>
        </w:tc>
        <w:tc>
          <w:tcPr>
            <w:tcW w:w="2744" w:type="dxa"/>
          </w:tcPr>
          <w:p w14:paraId="0D937F72" w14:textId="77777777" w:rsidR="00C62E40" w:rsidRPr="00C62E40" w:rsidRDefault="00C62E40" w:rsidP="007164FD">
            <w:pPr>
              <w:keepNext/>
              <w:jc w:val="center"/>
              <w:rPr>
                <w:sz w:val="20"/>
                <w:szCs w:val="20"/>
              </w:rPr>
            </w:pPr>
            <w:r>
              <w:rPr>
                <w:sz w:val="20"/>
                <w:szCs w:val="20"/>
              </w:rPr>
              <w:t xml:space="preserve">UO &lt;0.5 ml/kg/hr for </w:t>
            </w:r>
            <w:r>
              <w:rPr>
                <w:sz w:val="20"/>
                <w:szCs w:val="20"/>
                <w:u w:val="single"/>
              </w:rPr>
              <w:t xml:space="preserve">&gt; </w:t>
            </w:r>
            <w:r>
              <w:rPr>
                <w:sz w:val="20"/>
                <w:szCs w:val="20"/>
              </w:rPr>
              <w:t>12 hr</w:t>
            </w:r>
          </w:p>
        </w:tc>
        <w:tc>
          <w:tcPr>
            <w:tcW w:w="2566" w:type="dxa"/>
          </w:tcPr>
          <w:p w14:paraId="6E8CED3C" w14:textId="77777777" w:rsidR="00C62E40" w:rsidRPr="00C62E40" w:rsidRDefault="00C62E40" w:rsidP="007164FD">
            <w:pPr>
              <w:keepNext/>
              <w:jc w:val="center"/>
              <w:rPr>
                <w:sz w:val="20"/>
                <w:szCs w:val="20"/>
              </w:rPr>
            </w:pPr>
            <w:r w:rsidRPr="00C62E40">
              <w:rPr>
                <w:sz w:val="20"/>
                <w:szCs w:val="20"/>
              </w:rPr>
              <w:t>60-89</w:t>
            </w:r>
          </w:p>
          <w:p w14:paraId="2F76192C" w14:textId="77777777" w:rsidR="00C62E40" w:rsidRPr="00C62E40" w:rsidRDefault="00C62E40" w:rsidP="007164FD">
            <w:pPr>
              <w:keepNext/>
              <w:jc w:val="center"/>
              <w:rPr>
                <w:sz w:val="20"/>
                <w:szCs w:val="20"/>
              </w:rPr>
            </w:pPr>
          </w:p>
        </w:tc>
      </w:tr>
      <w:tr w:rsidR="00C62E40" w14:paraId="718F219C" w14:textId="77777777" w:rsidTr="00807144">
        <w:tc>
          <w:tcPr>
            <w:tcW w:w="808" w:type="dxa"/>
          </w:tcPr>
          <w:p w14:paraId="6F819AB3" w14:textId="77777777" w:rsidR="00C62E40" w:rsidRDefault="00C62E40" w:rsidP="007164FD">
            <w:pPr>
              <w:keepNext/>
            </w:pPr>
            <w:r>
              <w:t>3</w:t>
            </w:r>
          </w:p>
        </w:tc>
        <w:tc>
          <w:tcPr>
            <w:tcW w:w="2634" w:type="dxa"/>
          </w:tcPr>
          <w:p w14:paraId="5A18C47B" w14:textId="77777777" w:rsidR="00C62E40" w:rsidRPr="00C62E40" w:rsidRDefault="00C62E40" w:rsidP="007164FD">
            <w:pPr>
              <w:pStyle w:val="ListParagraph"/>
              <w:keepNext/>
              <w:numPr>
                <w:ilvl w:val="0"/>
                <w:numId w:val="8"/>
              </w:numPr>
              <w:rPr>
                <w:sz w:val="20"/>
                <w:szCs w:val="20"/>
              </w:rPr>
            </w:pPr>
            <w:r w:rsidRPr="00C62E40">
              <w:rPr>
                <w:sz w:val="20"/>
                <w:szCs w:val="20"/>
              </w:rPr>
              <w:t xml:space="preserve">3 x rise in baseline </w:t>
            </w:r>
            <w:r>
              <w:rPr>
                <w:sz w:val="20"/>
                <w:szCs w:val="20"/>
              </w:rPr>
              <w:t>SCr</w:t>
            </w:r>
          </w:p>
          <w:p w14:paraId="03367B7A" w14:textId="77777777" w:rsidR="00C62E40" w:rsidRPr="00C62E40" w:rsidRDefault="00C62E40" w:rsidP="007164FD">
            <w:pPr>
              <w:pStyle w:val="ListParagraph"/>
              <w:keepNext/>
              <w:numPr>
                <w:ilvl w:val="0"/>
                <w:numId w:val="8"/>
              </w:numPr>
              <w:rPr>
                <w:sz w:val="20"/>
                <w:szCs w:val="20"/>
              </w:rPr>
            </w:pPr>
            <w:r w:rsidRPr="00C62E40">
              <w:rPr>
                <w:sz w:val="20"/>
                <w:szCs w:val="20"/>
              </w:rPr>
              <w:t>Initiation of RRT</w:t>
            </w:r>
          </w:p>
          <w:p w14:paraId="5C2BB429" w14:textId="77777777" w:rsidR="00C62E40" w:rsidRPr="00C62E40" w:rsidRDefault="00C62E40" w:rsidP="007164FD">
            <w:pPr>
              <w:pStyle w:val="ListParagraph"/>
              <w:keepNext/>
              <w:numPr>
                <w:ilvl w:val="0"/>
                <w:numId w:val="8"/>
              </w:numPr>
              <w:rPr>
                <w:sz w:val="20"/>
                <w:szCs w:val="20"/>
              </w:rPr>
            </w:pPr>
            <w:r w:rsidRPr="00C62E40">
              <w:rPr>
                <w:sz w:val="20"/>
                <w:szCs w:val="20"/>
              </w:rPr>
              <w:t>eGFR &lt;35</w:t>
            </w:r>
            <w:r>
              <w:rPr>
                <w:sz w:val="20"/>
                <w:szCs w:val="20"/>
              </w:rPr>
              <w:t xml:space="preserve"> </w:t>
            </w:r>
            <w:r w:rsidRPr="00C62E40">
              <w:rPr>
                <w:sz w:val="16"/>
                <w:szCs w:val="16"/>
              </w:rPr>
              <w:t>ml/min/1.73m</w:t>
            </w:r>
            <w:r w:rsidRPr="00C62E40">
              <w:rPr>
                <w:sz w:val="16"/>
                <w:szCs w:val="16"/>
                <w:vertAlign w:val="superscript"/>
              </w:rPr>
              <w:t>2</w:t>
            </w:r>
            <w:r w:rsidRPr="00C62E40">
              <w:rPr>
                <w:sz w:val="20"/>
                <w:szCs w:val="20"/>
                <w:vertAlign w:val="superscript"/>
              </w:rPr>
              <w:t xml:space="preserve"> </w:t>
            </w:r>
          </w:p>
          <w:p w14:paraId="13AB759F" w14:textId="77777777" w:rsidR="00C62E40" w:rsidRDefault="00C62E40" w:rsidP="007164FD">
            <w:pPr>
              <w:pStyle w:val="ListParagraph"/>
              <w:keepNext/>
              <w:numPr>
                <w:ilvl w:val="0"/>
                <w:numId w:val="8"/>
              </w:numPr>
              <w:rPr>
                <w:sz w:val="20"/>
                <w:szCs w:val="20"/>
              </w:rPr>
            </w:pPr>
            <w:r>
              <w:rPr>
                <w:sz w:val="20"/>
                <w:szCs w:val="20"/>
              </w:rPr>
              <w:t>SCr</w:t>
            </w:r>
            <w:r w:rsidRPr="00C62E40">
              <w:rPr>
                <w:sz w:val="20"/>
                <w:szCs w:val="20"/>
              </w:rPr>
              <w:t xml:space="preserve"> rise to &gt; 354 umol/L</w:t>
            </w:r>
          </w:p>
          <w:p w14:paraId="33CC0E62" w14:textId="77777777" w:rsidR="00C62E40" w:rsidRPr="00C62E40" w:rsidRDefault="00C62E40" w:rsidP="007164FD">
            <w:pPr>
              <w:pStyle w:val="ListParagraph"/>
              <w:keepNext/>
              <w:rPr>
                <w:sz w:val="20"/>
                <w:szCs w:val="20"/>
              </w:rPr>
            </w:pPr>
          </w:p>
        </w:tc>
        <w:tc>
          <w:tcPr>
            <w:tcW w:w="2744" w:type="dxa"/>
          </w:tcPr>
          <w:p w14:paraId="3650933A" w14:textId="77777777" w:rsidR="00C62E40" w:rsidRDefault="00C62E40" w:rsidP="007164FD">
            <w:pPr>
              <w:keepNext/>
              <w:rPr>
                <w:sz w:val="20"/>
                <w:szCs w:val="20"/>
              </w:rPr>
            </w:pPr>
            <w:r>
              <w:rPr>
                <w:sz w:val="20"/>
                <w:szCs w:val="20"/>
              </w:rPr>
              <w:t xml:space="preserve">UO &lt; 0.3 ml/kg/hr for </w:t>
            </w:r>
            <w:r>
              <w:rPr>
                <w:sz w:val="20"/>
                <w:szCs w:val="20"/>
                <w:u w:val="single"/>
              </w:rPr>
              <w:t>&gt;</w:t>
            </w:r>
            <w:r>
              <w:rPr>
                <w:sz w:val="20"/>
                <w:szCs w:val="20"/>
              </w:rPr>
              <w:t xml:space="preserve"> 24 hrs </w:t>
            </w:r>
          </w:p>
          <w:p w14:paraId="4C2CF8CD" w14:textId="77777777" w:rsidR="00C62E40" w:rsidRDefault="00C62E40" w:rsidP="007164FD">
            <w:pPr>
              <w:keepNext/>
              <w:rPr>
                <w:sz w:val="20"/>
                <w:szCs w:val="20"/>
              </w:rPr>
            </w:pPr>
          </w:p>
          <w:p w14:paraId="7451BD6A" w14:textId="77777777" w:rsidR="00C62E40" w:rsidRDefault="00C62E40" w:rsidP="007164FD">
            <w:pPr>
              <w:keepNext/>
              <w:rPr>
                <w:sz w:val="20"/>
                <w:szCs w:val="20"/>
              </w:rPr>
            </w:pPr>
            <w:r>
              <w:rPr>
                <w:sz w:val="20"/>
                <w:szCs w:val="20"/>
              </w:rPr>
              <w:t>Or</w:t>
            </w:r>
          </w:p>
          <w:p w14:paraId="7EDC8FC1" w14:textId="77777777" w:rsidR="00C62E40" w:rsidRDefault="00C62E40" w:rsidP="007164FD">
            <w:pPr>
              <w:keepNext/>
              <w:rPr>
                <w:sz w:val="20"/>
                <w:szCs w:val="20"/>
              </w:rPr>
            </w:pPr>
          </w:p>
          <w:p w14:paraId="6E83CFE1" w14:textId="77777777" w:rsidR="00C62E40" w:rsidRPr="00C62E40" w:rsidRDefault="00C62E40" w:rsidP="007164FD">
            <w:pPr>
              <w:keepNext/>
              <w:rPr>
                <w:sz w:val="20"/>
                <w:szCs w:val="20"/>
              </w:rPr>
            </w:pPr>
            <w:r>
              <w:rPr>
                <w:sz w:val="20"/>
                <w:szCs w:val="20"/>
              </w:rPr>
              <w:t>Anuria for &gt; 12 hrs</w:t>
            </w:r>
          </w:p>
        </w:tc>
        <w:tc>
          <w:tcPr>
            <w:tcW w:w="2566" w:type="dxa"/>
          </w:tcPr>
          <w:p w14:paraId="51CAD2D0" w14:textId="77777777" w:rsidR="00C62E40" w:rsidRDefault="00C62E40" w:rsidP="007164FD">
            <w:pPr>
              <w:keepNext/>
              <w:rPr>
                <w:sz w:val="20"/>
                <w:szCs w:val="20"/>
              </w:rPr>
            </w:pPr>
          </w:p>
          <w:p w14:paraId="6D065AF0" w14:textId="77777777" w:rsidR="00C62E40" w:rsidRDefault="00C62E40" w:rsidP="007164FD">
            <w:pPr>
              <w:keepNext/>
              <w:rPr>
                <w:sz w:val="20"/>
                <w:szCs w:val="20"/>
              </w:rPr>
            </w:pPr>
          </w:p>
          <w:p w14:paraId="27DBA02D" w14:textId="77777777" w:rsidR="00C62E40" w:rsidRDefault="00C62E40" w:rsidP="007164FD">
            <w:pPr>
              <w:keepNext/>
              <w:rPr>
                <w:sz w:val="20"/>
                <w:szCs w:val="20"/>
              </w:rPr>
            </w:pPr>
            <w:r w:rsidRPr="00C62E40">
              <w:rPr>
                <w:sz w:val="20"/>
                <w:szCs w:val="20"/>
              </w:rPr>
              <w:t xml:space="preserve">3a           </w:t>
            </w:r>
            <w:r>
              <w:rPr>
                <w:sz w:val="20"/>
                <w:szCs w:val="20"/>
              </w:rPr>
              <w:t xml:space="preserve">     </w:t>
            </w:r>
            <w:r w:rsidRPr="00C62E40">
              <w:rPr>
                <w:sz w:val="20"/>
                <w:szCs w:val="20"/>
              </w:rPr>
              <w:t xml:space="preserve"> 45-69</w:t>
            </w:r>
          </w:p>
          <w:p w14:paraId="2F9CA2E9" w14:textId="77777777" w:rsidR="00C62E40" w:rsidRPr="00C62E40" w:rsidRDefault="00C62E40" w:rsidP="007164FD">
            <w:pPr>
              <w:keepNext/>
              <w:rPr>
                <w:sz w:val="20"/>
                <w:szCs w:val="20"/>
              </w:rPr>
            </w:pPr>
          </w:p>
          <w:p w14:paraId="27227FD7" w14:textId="77777777" w:rsidR="00C62E40" w:rsidRPr="00C62E40" w:rsidRDefault="00C62E40" w:rsidP="007164FD">
            <w:pPr>
              <w:keepNext/>
              <w:rPr>
                <w:sz w:val="20"/>
                <w:szCs w:val="20"/>
              </w:rPr>
            </w:pPr>
            <w:r>
              <w:rPr>
                <w:sz w:val="20"/>
                <w:szCs w:val="20"/>
              </w:rPr>
              <w:t xml:space="preserve">3b                </w:t>
            </w:r>
            <w:r w:rsidRPr="00C62E40">
              <w:rPr>
                <w:sz w:val="20"/>
                <w:szCs w:val="20"/>
              </w:rPr>
              <w:t>30-44</w:t>
            </w:r>
          </w:p>
        </w:tc>
      </w:tr>
      <w:tr w:rsidR="00C62E40" w14:paraId="213E432F" w14:textId="77777777" w:rsidTr="00807144">
        <w:tc>
          <w:tcPr>
            <w:tcW w:w="808" w:type="dxa"/>
          </w:tcPr>
          <w:p w14:paraId="1B095AF4" w14:textId="77777777" w:rsidR="00C62E40" w:rsidRDefault="00C62E40" w:rsidP="007164FD">
            <w:pPr>
              <w:keepNext/>
            </w:pPr>
            <w:r>
              <w:t>4</w:t>
            </w:r>
          </w:p>
        </w:tc>
        <w:tc>
          <w:tcPr>
            <w:tcW w:w="5378" w:type="dxa"/>
            <w:gridSpan w:val="2"/>
          </w:tcPr>
          <w:p w14:paraId="50F31117" w14:textId="77777777" w:rsidR="00C62E40" w:rsidRPr="00C62E40" w:rsidRDefault="00C62E40" w:rsidP="007164FD">
            <w:pPr>
              <w:keepNext/>
              <w:jc w:val="center"/>
              <w:rPr>
                <w:sz w:val="20"/>
                <w:szCs w:val="20"/>
              </w:rPr>
            </w:pPr>
          </w:p>
        </w:tc>
        <w:tc>
          <w:tcPr>
            <w:tcW w:w="2566" w:type="dxa"/>
          </w:tcPr>
          <w:p w14:paraId="17E38004" w14:textId="77777777" w:rsidR="00C62E40" w:rsidRPr="00C62E40" w:rsidRDefault="00C62E40" w:rsidP="007164FD">
            <w:pPr>
              <w:keepNext/>
              <w:jc w:val="center"/>
              <w:rPr>
                <w:sz w:val="20"/>
                <w:szCs w:val="20"/>
              </w:rPr>
            </w:pPr>
            <w:r w:rsidRPr="00C62E40">
              <w:rPr>
                <w:sz w:val="20"/>
                <w:szCs w:val="20"/>
              </w:rPr>
              <w:t>15-29</w:t>
            </w:r>
          </w:p>
          <w:p w14:paraId="0DB2D912" w14:textId="77777777" w:rsidR="00C62E40" w:rsidRPr="00C62E40" w:rsidRDefault="00C62E40" w:rsidP="007164FD">
            <w:pPr>
              <w:keepNext/>
              <w:jc w:val="center"/>
              <w:rPr>
                <w:sz w:val="20"/>
                <w:szCs w:val="20"/>
              </w:rPr>
            </w:pPr>
          </w:p>
        </w:tc>
      </w:tr>
      <w:tr w:rsidR="00C62E40" w14:paraId="2821B82A" w14:textId="77777777" w:rsidTr="00807144">
        <w:tc>
          <w:tcPr>
            <w:tcW w:w="808" w:type="dxa"/>
          </w:tcPr>
          <w:p w14:paraId="6CA42C07" w14:textId="77777777" w:rsidR="00C62E40" w:rsidRDefault="00C62E40" w:rsidP="007164FD">
            <w:pPr>
              <w:keepNext/>
            </w:pPr>
            <w:r>
              <w:t>5</w:t>
            </w:r>
          </w:p>
        </w:tc>
        <w:tc>
          <w:tcPr>
            <w:tcW w:w="5378" w:type="dxa"/>
            <w:gridSpan w:val="2"/>
          </w:tcPr>
          <w:p w14:paraId="7139ED18" w14:textId="77777777" w:rsidR="00C62E40" w:rsidRPr="00C62E40" w:rsidRDefault="00C62E40" w:rsidP="007164FD">
            <w:pPr>
              <w:keepNext/>
              <w:jc w:val="center"/>
              <w:rPr>
                <w:sz w:val="20"/>
                <w:szCs w:val="20"/>
              </w:rPr>
            </w:pPr>
          </w:p>
        </w:tc>
        <w:tc>
          <w:tcPr>
            <w:tcW w:w="2566" w:type="dxa"/>
          </w:tcPr>
          <w:p w14:paraId="5649A8EE" w14:textId="77777777" w:rsidR="00C62E40" w:rsidRPr="00C62E40" w:rsidRDefault="00C62E40" w:rsidP="007164FD">
            <w:pPr>
              <w:keepNext/>
              <w:jc w:val="center"/>
              <w:rPr>
                <w:sz w:val="20"/>
                <w:szCs w:val="20"/>
              </w:rPr>
            </w:pPr>
            <w:r w:rsidRPr="00C62E40">
              <w:rPr>
                <w:sz w:val="20"/>
                <w:szCs w:val="20"/>
              </w:rPr>
              <w:t>Less than 15</w:t>
            </w:r>
            <w:r>
              <w:rPr>
                <w:sz w:val="20"/>
                <w:szCs w:val="20"/>
              </w:rPr>
              <w:t xml:space="preserve"> or RRT</w:t>
            </w:r>
          </w:p>
          <w:p w14:paraId="62E28C00" w14:textId="77777777" w:rsidR="00C62E40" w:rsidRPr="00C62E40" w:rsidRDefault="00C62E40" w:rsidP="007164FD">
            <w:pPr>
              <w:keepNext/>
              <w:jc w:val="center"/>
              <w:rPr>
                <w:sz w:val="20"/>
                <w:szCs w:val="20"/>
              </w:rPr>
            </w:pPr>
          </w:p>
        </w:tc>
      </w:tr>
    </w:tbl>
    <w:p w14:paraId="246C6C71" w14:textId="77777777" w:rsidR="00F82DD4" w:rsidRDefault="00F82DD4" w:rsidP="00F82DD4">
      <w:pPr>
        <w:keepNext/>
        <w:rPr>
          <w:b/>
        </w:rPr>
      </w:pPr>
    </w:p>
    <w:p w14:paraId="1776C88F" w14:textId="77777777" w:rsidR="00F82DD4" w:rsidRDefault="00F82DD4" w:rsidP="00F82DD4">
      <w:pPr>
        <w:keepNext/>
        <w:rPr>
          <w:b/>
        </w:rPr>
      </w:pPr>
    </w:p>
    <w:p w14:paraId="0FDD58BE" w14:textId="572B8ABC" w:rsidR="0068152F" w:rsidRPr="00BE10B4" w:rsidRDefault="00BE10B4" w:rsidP="00F82DD4">
      <w:pPr>
        <w:keepNext/>
        <w:rPr>
          <w:b/>
        </w:rPr>
      </w:pPr>
      <w:r w:rsidRPr="00BE10B4">
        <w:rPr>
          <w:b/>
        </w:rPr>
        <w:t xml:space="preserve">SAFE PRESCRIBING IN </w:t>
      </w:r>
      <w:r w:rsidR="00374A98" w:rsidRPr="003028E5">
        <w:rPr>
          <w:b/>
        </w:rPr>
        <w:t xml:space="preserve">KIDNEY </w:t>
      </w:r>
      <w:r w:rsidRPr="00374A98">
        <w:rPr>
          <w:b/>
        </w:rPr>
        <w:t>I</w:t>
      </w:r>
      <w:r w:rsidRPr="00BE10B4">
        <w:rPr>
          <w:b/>
        </w:rPr>
        <w:t xml:space="preserve">MPAIRMENT </w:t>
      </w:r>
    </w:p>
    <w:p w14:paraId="39A22B05" w14:textId="77777777" w:rsidR="0068152F" w:rsidRDefault="0068152F" w:rsidP="00F82DD4"/>
    <w:p w14:paraId="1D5928EC" w14:textId="1F752FC8" w:rsidR="00A90AFA" w:rsidRDefault="00374A98" w:rsidP="00A90AFA">
      <w:r>
        <w:lastRenderedPageBreak/>
        <w:t>Kidney</w:t>
      </w:r>
      <w:r w:rsidR="00DF6CED" w:rsidRPr="00433A4D">
        <w:t xml:space="preserve"> impairment has been associated with an increased risk of adverse effects with medication; the majority due to inappropriate dosing of medication primarily eliminated by the kidney.</w:t>
      </w:r>
      <w:r w:rsidR="00DF6CED">
        <w:t xml:space="preserve"> </w:t>
      </w:r>
      <w:r w:rsidR="00E7345C">
        <w:t>Practitioners should be rou</w:t>
      </w:r>
      <w:r w:rsidR="0068152F">
        <w:t xml:space="preserve">tinely educated in methods for ensuring safe </w:t>
      </w:r>
      <w:r w:rsidR="00E7345C">
        <w:t>prescribing practice</w:t>
      </w:r>
      <w:r w:rsidR="00C85DA5">
        <w:t xml:space="preserve">s in </w:t>
      </w:r>
      <w:r>
        <w:t>kidney</w:t>
      </w:r>
      <w:r w:rsidR="00C85DA5">
        <w:t xml:space="preserve"> impairment</w:t>
      </w:r>
      <w:r w:rsidR="00E7345C">
        <w:t xml:space="preserve">. </w:t>
      </w:r>
    </w:p>
    <w:p w14:paraId="0083B1DE" w14:textId="77777777" w:rsidR="0068152F" w:rsidRDefault="0068152F" w:rsidP="00A90AFA"/>
    <w:p w14:paraId="574B33BD" w14:textId="01E71E91" w:rsidR="0068152F" w:rsidRDefault="00DF6CED" w:rsidP="00A90AFA">
      <w:r>
        <w:t>Prescribing safely in</w:t>
      </w:r>
      <w:r w:rsidR="0068152F">
        <w:t xml:space="preserve"> AKI </w:t>
      </w:r>
      <w:r>
        <w:t>requires the early identification and calculation of</w:t>
      </w:r>
      <w:r w:rsidR="0068152F">
        <w:t xml:space="preserve"> </w:t>
      </w:r>
      <w:r w:rsidR="00F43633">
        <w:t xml:space="preserve">a patient’s level of </w:t>
      </w:r>
      <w:r w:rsidR="00374A98">
        <w:t>kidney</w:t>
      </w:r>
      <w:r w:rsidR="00F43633">
        <w:t xml:space="preserve"> function using an appropriate eGFR calculation. All current medications should be reviewed and amended based on the most recent eGFR.  A diagnosis of AKI and the current degree of </w:t>
      </w:r>
      <w:r w:rsidR="00374A98">
        <w:t>kidney</w:t>
      </w:r>
      <w:r w:rsidR="00F43633">
        <w:t xml:space="preserve"> impairment should be documented in a patient’s notes so that prescribers are aware of this </w:t>
      </w:r>
      <w:r w:rsidR="00AE64C5">
        <w:t>before</w:t>
      </w:r>
      <w:r w:rsidR="00F43633">
        <w:t xml:space="preserve"> starting any new medication</w:t>
      </w:r>
      <w:r w:rsidR="00F43633" w:rsidRPr="00AE64C5">
        <w:t xml:space="preserve">. Medications should be reviewed daily and adjusted based on changes in </w:t>
      </w:r>
      <w:r w:rsidR="00374A98">
        <w:t>kidney</w:t>
      </w:r>
      <w:r w:rsidR="00F43633" w:rsidRPr="00AE64C5">
        <w:t xml:space="preserve"> function</w:t>
      </w:r>
      <w:r w:rsidR="005C6C45">
        <w:t>;</w:t>
      </w:r>
      <w:r w:rsidR="00C07312">
        <w:t xml:space="preserve"> </w:t>
      </w:r>
      <w:r w:rsidR="00DC3B82">
        <w:t xml:space="preserve">an aspect </w:t>
      </w:r>
      <w:r w:rsidR="00A6482C">
        <w:t xml:space="preserve">which can be led by the </w:t>
      </w:r>
      <w:r w:rsidR="005C6C45">
        <w:t xml:space="preserve">ward </w:t>
      </w:r>
      <w:r w:rsidR="00CD3B1B">
        <w:t>p</w:t>
      </w:r>
      <w:r w:rsidR="00AA4A9D">
        <w:t>harmacist</w:t>
      </w:r>
      <w:r w:rsidR="00A6482C">
        <w:t xml:space="preserve"> </w:t>
      </w:r>
      <w:r w:rsidR="00807144">
        <w:fldChar w:fldCharType="begin" w:fldLock="1"/>
      </w:r>
      <w:r w:rsidR="00067F6A">
        <w:instrText>ADDIN CSL_CITATION {"citationItems":[{"id":"ITEM-1","itemData":{"author":[{"dropping-particle":"","family":"Think Kidneys","given":"","non-dropping-particle":"","parse-names":false,"suffix":""}],"id":"ITEM-1","issued":{"date-parts":[["2016"]]},"title":"Guidelines for Medicines Optimisation in Patients with Acute Kidney Injury","type":"webpage"},"uris":["http://www.mendeley.com/documents/?uuid=1c22336c-a7d1-3a1d-a04e-b219209ce3b2"]}],"mendeley":{"formattedCitation":"[17]","plainTextFormattedCitation":"[17]","previouslyFormattedCitation":"[16]"},"properties":{"noteIndex":0},"schema":"https://github.com/citation-style-language/schema/raw/master/csl-citation.json"}</w:instrText>
      </w:r>
      <w:r w:rsidR="00807144">
        <w:fldChar w:fldCharType="separate"/>
      </w:r>
      <w:r w:rsidR="00067F6A" w:rsidRPr="00067F6A">
        <w:rPr>
          <w:noProof/>
        </w:rPr>
        <w:t>[17]</w:t>
      </w:r>
      <w:r w:rsidR="00807144">
        <w:fldChar w:fldCharType="end"/>
      </w:r>
      <w:r w:rsidR="00C704C2">
        <w:t>. In acutely unwell patients, particularly in those with suspected sepsis</w:t>
      </w:r>
      <w:r w:rsidR="00D0010C">
        <w:t xml:space="preserve"> and no previous history of </w:t>
      </w:r>
      <w:r w:rsidR="00C31094">
        <w:t>kidney</w:t>
      </w:r>
      <w:r w:rsidR="00D0010C">
        <w:t xml:space="preserve"> impairment</w:t>
      </w:r>
      <w:r w:rsidR="00C704C2">
        <w:t xml:space="preserve">, it is important to </w:t>
      </w:r>
      <w:r w:rsidR="00D0010C">
        <w:t xml:space="preserve">promptly and appropriately treat the acute illness to prevent further kidney damage. This includes administration of antibiotics in a timely manner. </w:t>
      </w:r>
      <w:r w:rsidR="00C31094">
        <w:t>A</w:t>
      </w:r>
      <w:r w:rsidR="00D0010C">
        <w:t>djustments can then be made for subsequent doses.</w:t>
      </w:r>
      <w:r w:rsidR="0020744A">
        <w:fldChar w:fldCharType="begin" w:fldLock="1"/>
      </w:r>
      <w:r w:rsidR="00067F6A">
        <w:instrText>ADDIN CSL_CITATION {"citationItems":[{"id":"ITEM-1","itemData":{"DOI":"10.1177/2050312119835043","abstract":"There has been a significant evolution in the definition and management of sepsis over the last three decades. This is driven in part due to the advances made in our understanding of its pathophysi...","author":[{"dropping-particle":"","family":"Gyawali","given":"Bishal","non-dropping-particle":"","parse-names":false,"suffix":""},{"dropping-particle":"","family":"Ramakrishna","given":"Karan","non-dropping-particle":"","parse-names":false,"suffix":""},{"dropping-particle":"","family":"Dhamoon","given":"Amit S","non-dropping-particle":"","parse-names":false,"suffix":""}],"container-title":"https://doi.org/10.1177/2050312119835043","id":"ITEM-1","issued":{"date-parts":[["2019","3","21"]]},"page":"205031211983504","publisher":"SAGE PublicationsSage UK: London, England","title":"Sepsis: The evolution in definition, pathophysiology, and management:","type":"article-journal","volume":"7"},"uris":["http://www.mendeley.com/documents/?uuid=3b26fbcc-7d04-3be1-b8e1-7b4a138d60b5"]}],"mendeley":{"formattedCitation":"[18]","plainTextFormattedCitation":"[18]","previouslyFormattedCitation":"[17]"},"properties":{"noteIndex":0},"schema":"https://github.com/citation-style-language/schema/raw/master/csl-citation.json"}</w:instrText>
      </w:r>
      <w:r w:rsidR="0020744A">
        <w:fldChar w:fldCharType="separate"/>
      </w:r>
      <w:r w:rsidR="00067F6A" w:rsidRPr="00067F6A">
        <w:rPr>
          <w:noProof/>
        </w:rPr>
        <w:t>[18]</w:t>
      </w:r>
      <w:r w:rsidR="0020744A">
        <w:fldChar w:fldCharType="end"/>
      </w:r>
      <w:r w:rsidR="00D0010C">
        <w:t xml:space="preserve"> </w:t>
      </w:r>
    </w:p>
    <w:p w14:paraId="7B0CCC4C" w14:textId="77777777" w:rsidR="00DF6CED" w:rsidRPr="00433A4D" w:rsidRDefault="00DF6CED" w:rsidP="00DF6CED"/>
    <w:p w14:paraId="350687D4" w14:textId="1232289E" w:rsidR="00DF6CED" w:rsidRDefault="00DF6CED" w:rsidP="00DF6CED">
      <w:r w:rsidRPr="00433A4D">
        <w:t xml:space="preserve">Preserving </w:t>
      </w:r>
      <w:r w:rsidR="00374A98">
        <w:t>kidney</w:t>
      </w:r>
      <w:r w:rsidRPr="00433A4D">
        <w:t xml:space="preserve"> function and delaying progression to dialysis is the primary aim i</w:t>
      </w:r>
      <w:r>
        <w:t>n the management of CKD</w:t>
      </w:r>
      <w:r w:rsidR="00AB4595">
        <w:t>.</w:t>
      </w:r>
      <w:r w:rsidR="00807144">
        <w:fldChar w:fldCharType="begin" w:fldLock="1"/>
      </w:r>
      <w:r w:rsidR="00067F6A">
        <w:instrText>ADDIN CSL_CITATION {"citationItems":[{"id":"ITEM-1","itemData":{"DOI":"10.2215/CJN.07820719","ISSN":"1555905X","PMID":"31594804","abstract":"For the past 50 years, public and private funding priorities in the field of nephrology focused on kidney replacement therapy for ESKD: dialysis and transplan-tation. This focus was appropriate in a world where there were very few effective therapies to save lives or halt progressive loss of kidney function for the majority of CKDs. The time has come to change that paradigm as new strategies have emerged to prevent CKD progression and cardiovascular events in patients with CKD and diabetes. Until the latter half of the 20th century, the emerging discipline of nephrology examined the function of normal kidneys, the interaction of the kidneys with other vital organs, the kidneys' role in multisystem dysfunction, and the physiology and pathophysiology of the many diseases affecting kidney function. In that era, physicians and scientists drawn to nephrology worked hard to preserve kidney function because there was no effective treatment for patients who developed irreversible kidney failure, and death was inevitable. Once it was shown that dialysis could remove uremic toxins and perform as an artificial kidney, attention turned to creating ways to preserve life once the kidneys failed. It was quickly shown that this technology could significantly extend the life of patients with ESKD and, in 1972, Congress passed the Social Security Amendments that provided Medicare coverage for virtually all Americans of any age who had ESKD (1). This public policy was the first and only to underwrite the care of a chronic disease for patients of any age. Currently, Medicare spends $35 billion annually for ESKD care (2). This public funding spawned the large dialysis industry and shaped the way we think about and treat kidney diseases. The prevalence of CKDs in the general population is approximately 15%. More than two thirds of those with CKDs or ESKD also have concurrent diabetes and/or cardiovascular disease (3). A system to classify the severity of CKDs was introduced in 2002. This helped quantify the burden of disease and anticipate ESKD, but a frequent unintended consequence was to focus on disease progression, rather than its underlying cause. In an era when research shed little light on treatments to ameliorate or stop progression of CKD to ESKD, public policy focused on treating kidney failure was appropriate. Although the mortality rate of CKD in diabetes is nearly 20% per year once kidney function begins to decline (4,5), research on ways to prevent CKD or slow …","author":[{"dropping-particle":"","family":"Kliger","given":"Alan S.","non-dropping-particle":"","parse-names":false,"suffix":""},{"dropping-particle":"","family":"Brosius","given":"Frank C.","non-dropping-particle":"","parse-names":false,"suffix":""}],"container-title":"Clinical Journal of the American Society of Nephrology","id":"ITEM-1","issue":"1","issued":{"date-parts":[["2020","1","1"]]},"page":"129-131","publisher":"American Society of Nephrology","title":"Preserving kidney function instead of replacing It","type":"article-journal","volume":"15"},"uris":["http://www.mendeley.com/documents/?uuid=014156d0-f27a-3cf9-9c3e-368563df186e"]}],"mendeley":{"formattedCitation":"[19]","plainTextFormattedCitation":"[19]","previouslyFormattedCitation":"[18]"},"properties":{"noteIndex":0},"schema":"https://github.com/citation-style-language/schema/raw/master/csl-citation.json"}</w:instrText>
      </w:r>
      <w:r w:rsidR="00807144">
        <w:fldChar w:fldCharType="separate"/>
      </w:r>
      <w:r w:rsidR="00067F6A" w:rsidRPr="00067F6A">
        <w:rPr>
          <w:noProof/>
        </w:rPr>
        <w:t>[19]</w:t>
      </w:r>
      <w:r w:rsidR="00807144">
        <w:fldChar w:fldCharType="end"/>
      </w:r>
      <w:r w:rsidRPr="00433A4D">
        <w:t xml:space="preserve"> </w:t>
      </w:r>
      <w:r w:rsidR="00AE64C5">
        <w:t>T</w:t>
      </w:r>
      <w:r w:rsidRPr="00433A4D">
        <w:t>o accomplish this it is important to have knowledge of potential to</w:t>
      </w:r>
      <w:r>
        <w:t>xicities and interactions of</w:t>
      </w:r>
      <w:r w:rsidRPr="00433A4D">
        <w:t xml:space="preserve"> prescribed medication, consider alternative therapies and individualise drug therapy depending on the level of </w:t>
      </w:r>
      <w:r w:rsidR="00374A98">
        <w:t>kidney</w:t>
      </w:r>
      <w:r w:rsidRPr="00433A4D">
        <w:t xml:space="preserve"> impairment.</w:t>
      </w:r>
      <w:r>
        <w:t xml:space="preserve"> CKD is also under</w:t>
      </w:r>
      <w:r w:rsidR="00AE64C5">
        <w:t>-</w:t>
      </w:r>
      <w:r>
        <w:t>recognised in patients</w:t>
      </w:r>
      <w:r w:rsidRPr="00433A4D">
        <w:t xml:space="preserve"> and</w:t>
      </w:r>
      <w:r>
        <w:t xml:space="preserve"> there is limited</w:t>
      </w:r>
      <w:r w:rsidRPr="00433A4D">
        <w:t xml:space="preserve"> published </w:t>
      </w:r>
      <w:r>
        <w:t>data</w:t>
      </w:r>
      <w:r w:rsidRPr="00433A4D">
        <w:t xml:space="preserve"> on drug dosing for </w:t>
      </w:r>
      <w:r>
        <w:t xml:space="preserve">these </w:t>
      </w:r>
      <w:r w:rsidRPr="00433A4D">
        <w:t>children, which</w:t>
      </w:r>
      <w:r>
        <w:t xml:space="preserve"> contributes to an </w:t>
      </w:r>
      <w:r w:rsidRPr="00433A4D">
        <w:t>increased frequency of medication errors.</w:t>
      </w:r>
    </w:p>
    <w:p w14:paraId="5695B28C" w14:textId="77777777" w:rsidR="00DF6CED" w:rsidRDefault="00DF6CED" w:rsidP="00A90AFA"/>
    <w:p w14:paraId="4AD759E6" w14:textId="176CEEB7" w:rsidR="000429F3" w:rsidRDefault="009B0CBD" w:rsidP="003028E5">
      <w:r>
        <w:t>Certain medications ma</w:t>
      </w:r>
      <w:r w:rsidR="000429F3">
        <w:t xml:space="preserve">y further impair </w:t>
      </w:r>
      <w:r w:rsidR="00374A98">
        <w:t>kidney</w:t>
      </w:r>
      <w:r w:rsidR="000429F3">
        <w:t xml:space="preserve"> function, cause unwanted </w:t>
      </w:r>
      <w:r w:rsidR="00043CA4">
        <w:t xml:space="preserve">adverse effects </w:t>
      </w:r>
      <w:r w:rsidR="000429F3">
        <w:t>or dangerous electrolyte</w:t>
      </w:r>
      <w:r w:rsidR="00DF6CED">
        <w:t xml:space="preserve"> abnormalities when used in </w:t>
      </w:r>
      <w:r w:rsidR="00374A98">
        <w:t>kidney</w:t>
      </w:r>
      <w:r w:rsidR="00374A98" w:rsidRPr="00433A4D">
        <w:t xml:space="preserve"> </w:t>
      </w:r>
      <w:r w:rsidR="00DF6CED">
        <w:t>impairment</w:t>
      </w:r>
      <w:r w:rsidR="00557B4F">
        <w:t>. T</w:t>
      </w:r>
      <w:r>
        <w:t xml:space="preserve">he clinical team should consider whether these medications should be </w:t>
      </w:r>
      <w:r w:rsidR="00392A5F">
        <w:t>deprescribed</w:t>
      </w:r>
      <w:r w:rsidR="00900877">
        <w:t xml:space="preserve"> or used wth caution</w:t>
      </w:r>
      <w:r w:rsidR="00170D74">
        <w:t>, seeking advice from pharmac</w:t>
      </w:r>
      <w:r w:rsidR="00557B4F">
        <w:t>ists</w:t>
      </w:r>
      <w:r w:rsidR="00170D74">
        <w:t xml:space="preserve"> or </w:t>
      </w:r>
      <w:r w:rsidR="00D731B7">
        <w:t xml:space="preserve">used </w:t>
      </w:r>
      <w:r w:rsidR="00170D74">
        <w:t>under expert guidance</w:t>
      </w:r>
      <w:r w:rsidR="000429F3">
        <w:t>. Common medications included in this group are</w:t>
      </w:r>
      <w:r w:rsidR="00786D9B">
        <w:t xml:space="preserve"> listed </w:t>
      </w:r>
      <w:r w:rsidR="00F77B86">
        <w:t xml:space="preserve">in Table 2 </w:t>
      </w:r>
    </w:p>
    <w:p w14:paraId="45B67FB4" w14:textId="77777777" w:rsidR="000429F3" w:rsidRDefault="000429F3" w:rsidP="003028E5">
      <w:pPr>
        <w:pStyle w:val="ListParagraph"/>
      </w:pPr>
    </w:p>
    <w:p w14:paraId="054DF3C3" w14:textId="1113865E" w:rsidR="000429F3" w:rsidRDefault="006F610A" w:rsidP="000429F3">
      <w:r>
        <w:t>E-prescribing provides the opportunity to develop automated alerts that could prompt prescribers to consider a patient</w:t>
      </w:r>
      <w:r w:rsidR="003028E5">
        <w:t>’</w:t>
      </w:r>
      <w:r>
        <w:t xml:space="preserve">s </w:t>
      </w:r>
      <w:r w:rsidR="003028E5">
        <w:t>kidney</w:t>
      </w:r>
      <w:r>
        <w:t xml:space="preserve"> function before initiating nephrotoxic medications</w:t>
      </w:r>
      <w:r w:rsidR="003028E5">
        <w:t>,</w:t>
      </w:r>
      <w:r>
        <w:t xml:space="preserve"> and may help to improve outcomes.</w:t>
      </w:r>
      <w:r w:rsidR="0020744A">
        <w:fldChar w:fldCharType="begin" w:fldLock="1"/>
      </w:r>
      <w:r w:rsidR="00067F6A">
        <w:instrText>ADDIN CSL_CITATION {"citationItems":[{"id":"ITEM-1","itemData":{"DOI":"10.1197/JAMIA.M2667","ISSN":"1067-5027","abstract":"The objective of this systematic review is to analyse the relative risk reduction on medication error and adverse drug events (ADE) by computerized physician order entry systems (CPOE). We included controlled field studies and pretest-posttest studies, evaluating all types of CPOE systems, drugs and clinical settings. We present the results in evidence tables, calculate the risk ratio with 95% confidence interval and perform subgroup analyses for categorical factors, such as the level of care, patient group, type of drug, type of system, functionality of the system, comparison group type, study design, and the method for detecting errors. Of the 25 studies that analysed the effects on the medication error rate, 23 showed a significant relative risk reduction of 13% to 99%. Six of the nine studies that analysed the effects on potential ADEs showed a significant relative risk reduction of 35% to 98%. Four of the seven studies that analysed the effect on ADEs showed a significant relative risk reduction of 30% to 84%. Reporting quality and study quality was often insufficient to exclude major sources of bias. Studies on home-grown systems, studies comparing electronic prescribing to handwriting prescribing, and studies using manual chart review to detect errors seem to show a higher relative risk reduction than other studies. Concluding, it seems that electronic prescribing can reduce the risk for medication errors and ADE. However, studies differ substantially in their setting, design, quality, and results. To further improve the evidence-base of health informatics, more randomized controlled trials (RCTs) are needed, especially to cover a wider range of clinical and geographic settings. In addition, reporting quality of health informatics evaluation studies has to be substantially improved. © 2008 J Am Med Inform Assoc.","author":[{"dropping-particle":"","family":"Ammenwerth","given":"Elske","non-dropping-particle":"","parse-names":false,"suffix":""},{"dropping-particle":"","family":"Schnell-Inderst","given":"Petra","non-dropping-particle":"","parse-names":false,"suffix":""},{"dropping-particle":"","family":"Machan","given":"Christof","non-dropping-particle":"","parse-names":false,"suffix":""},{"dropping-particle":"","family":"Siebert","given":"Uwe","non-dropping-particle":"","parse-names":false,"suffix":""}],"container-title":"Journal of the American Medical Informatics Association","id":"ITEM-1","issue":"5","issued":{"date-parts":[["2008","9","1"]]},"page":"585-600","publisher":"Oxford Academic","title":"The Effect of Electronic Prescribing on Medication Errors and Adverse Drug Events: A Systematic Review","type":"article-journal","volume":"15"},"uris":["http://www.mendeley.com/documents/?uuid=7c13f25c-5757-3738-9723-9870f3725495"]}],"mendeley":{"formattedCitation":"[20]","plainTextFormattedCitation":"[20]","previouslyFormattedCitation":"[19]"},"properties":{"noteIndex":0},"schema":"https://github.com/citation-style-language/schema/raw/master/csl-citation.json"}</w:instrText>
      </w:r>
      <w:r w:rsidR="0020744A">
        <w:fldChar w:fldCharType="separate"/>
      </w:r>
      <w:r w:rsidR="00067F6A" w:rsidRPr="00067F6A">
        <w:rPr>
          <w:noProof/>
        </w:rPr>
        <w:t>[20]</w:t>
      </w:r>
      <w:r w:rsidR="0020744A">
        <w:fldChar w:fldCharType="end"/>
      </w:r>
      <w:r>
        <w:t xml:space="preserve"> Prescribers should also be encouraged to use electronic resources such as the online British National Formularly (BNF) or the BNF app, which ensure the most up to date guidance is being accessed.</w:t>
      </w:r>
    </w:p>
    <w:p w14:paraId="1A8D2B60" w14:textId="7510675F" w:rsidR="001E0586" w:rsidRDefault="006F610A" w:rsidP="000429F3">
      <w:r>
        <w:t xml:space="preserve"> </w:t>
      </w:r>
    </w:p>
    <w:p w14:paraId="6E21AB16" w14:textId="77777777" w:rsidR="0087182B" w:rsidRDefault="0087182B">
      <w:pPr>
        <w:rPr>
          <w:b/>
        </w:rPr>
      </w:pPr>
      <w:r>
        <w:rPr>
          <w:b/>
        </w:rPr>
        <w:br w:type="page"/>
      </w:r>
    </w:p>
    <w:p w14:paraId="7BFD9E89" w14:textId="77777777" w:rsidR="0087182B" w:rsidRDefault="0087182B">
      <w:pPr>
        <w:rPr>
          <w:b/>
        </w:rPr>
        <w:sectPr w:rsidR="0087182B" w:rsidSect="00901761">
          <w:footerReference w:type="default" r:id="rId12"/>
          <w:pgSz w:w="11900" w:h="16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2171"/>
        <w:gridCol w:w="3920"/>
        <w:gridCol w:w="3502"/>
        <w:gridCol w:w="4357"/>
      </w:tblGrid>
      <w:tr w:rsidR="0087182B" w:rsidRPr="0087182B" w14:paraId="2972797D" w14:textId="77777777" w:rsidTr="0087182B">
        <w:trPr>
          <w:trHeight w:val="416"/>
        </w:trPr>
        <w:tc>
          <w:tcPr>
            <w:tcW w:w="2171" w:type="dxa"/>
          </w:tcPr>
          <w:p w14:paraId="089B9C3F" w14:textId="6BEF3DB8" w:rsidR="0087182B" w:rsidRPr="0087182B" w:rsidRDefault="0087182B" w:rsidP="00374A98">
            <w:pPr>
              <w:rPr>
                <w:b/>
              </w:rPr>
            </w:pPr>
            <w:r w:rsidRPr="0087182B">
              <w:rPr>
                <w:b/>
              </w:rPr>
              <w:lastRenderedPageBreak/>
              <w:t>Drug</w:t>
            </w:r>
            <w:r w:rsidR="0041391C">
              <w:rPr>
                <w:b/>
              </w:rPr>
              <w:t xml:space="preserve"> Examples</w:t>
            </w:r>
          </w:p>
        </w:tc>
        <w:tc>
          <w:tcPr>
            <w:tcW w:w="3920" w:type="dxa"/>
          </w:tcPr>
          <w:p w14:paraId="54C5DE60" w14:textId="1CB5E1A8" w:rsidR="0087182B" w:rsidRPr="0087182B" w:rsidRDefault="0087182B" w:rsidP="00374A98">
            <w:pPr>
              <w:rPr>
                <w:b/>
              </w:rPr>
            </w:pPr>
            <w:r w:rsidRPr="0087182B">
              <w:rPr>
                <w:b/>
              </w:rPr>
              <w:t>Pharmacology</w:t>
            </w:r>
            <w:r w:rsidR="00CF03ED">
              <w:rPr>
                <w:b/>
              </w:rPr>
              <w:t xml:space="preserve"> and other information</w:t>
            </w:r>
          </w:p>
        </w:tc>
        <w:tc>
          <w:tcPr>
            <w:tcW w:w="3502" w:type="dxa"/>
          </w:tcPr>
          <w:p w14:paraId="45F0E4C6" w14:textId="089EAA06" w:rsidR="0087182B" w:rsidRPr="0087182B" w:rsidRDefault="0087182B" w:rsidP="00374A98">
            <w:pPr>
              <w:rPr>
                <w:b/>
              </w:rPr>
            </w:pPr>
            <w:r w:rsidRPr="0087182B">
              <w:rPr>
                <w:b/>
              </w:rPr>
              <w:t xml:space="preserve">Impact of </w:t>
            </w:r>
            <w:r w:rsidR="00374A98" w:rsidRPr="003028E5">
              <w:rPr>
                <w:b/>
              </w:rPr>
              <w:t>kidney</w:t>
            </w:r>
            <w:r w:rsidRPr="0087182B">
              <w:rPr>
                <w:b/>
              </w:rPr>
              <w:t xml:space="preserve"> impairment</w:t>
            </w:r>
          </w:p>
        </w:tc>
        <w:tc>
          <w:tcPr>
            <w:tcW w:w="4357" w:type="dxa"/>
          </w:tcPr>
          <w:p w14:paraId="458564A2" w14:textId="77777777" w:rsidR="0087182B" w:rsidRPr="0087182B" w:rsidRDefault="0087182B" w:rsidP="00374A98">
            <w:pPr>
              <w:rPr>
                <w:b/>
              </w:rPr>
            </w:pPr>
            <w:r w:rsidRPr="0087182B">
              <w:rPr>
                <w:b/>
              </w:rPr>
              <w:t>Action</w:t>
            </w:r>
          </w:p>
        </w:tc>
      </w:tr>
      <w:tr w:rsidR="0087182B" w14:paraId="778251D9" w14:textId="77777777" w:rsidTr="0087182B">
        <w:trPr>
          <w:trHeight w:val="375"/>
        </w:trPr>
        <w:tc>
          <w:tcPr>
            <w:tcW w:w="13950" w:type="dxa"/>
            <w:gridSpan w:val="4"/>
          </w:tcPr>
          <w:p w14:paraId="27AB73B3" w14:textId="77777777" w:rsidR="0087182B" w:rsidRDefault="0087182B" w:rsidP="00374A98">
            <w:r w:rsidRPr="00BE10B4">
              <w:rPr>
                <w:b/>
              </w:rPr>
              <w:t>Anti-infectives</w:t>
            </w:r>
          </w:p>
        </w:tc>
      </w:tr>
      <w:tr w:rsidR="0087182B" w14:paraId="350E8CF0" w14:textId="77777777" w:rsidTr="0087182B">
        <w:trPr>
          <w:trHeight w:val="1919"/>
        </w:trPr>
        <w:tc>
          <w:tcPr>
            <w:tcW w:w="2171" w:type="dxa"/>
          </w:tcPr>
          <w:p w14:paraId="5D8AD808" w14:textId="77777777" w:rsidR="0087182B" w:rsidRDefault="0087182B" w:rsidP="00374A98">
            <w:r>
              <w:t xml:space="preserve">Aminoglycosides </w:t>
            </w:r>
          </w:p>
          <w:p w14:paraId="328EA1D2" w14:textId="77777777" w:rsidR="0087182B" w:rsidRDefault="0087182B" w:rsidP="0087182B">
            <w:pPr>
              <w:pStyle w:val="ListParagraph"/>
              <w:numPr>
                <w:ilvl w:val="0"/>
                <w:numId w:val="15"/>
              </w:numPr>
            </w:pPr>
            <w:r>
              <w:t>Gentamicin</w:t>
            </w:r>
          </w:p>
          <w:p w14:paraId="24E2B2E2" w14:textId="77777777" w:rsidR="0087182B" w:rsidRDefault="0087182B" w:rsidP="0087182B">
            <w:pPr>
              <w:pStyle w:val="ListParagraph"/>
              <w:numPr>
                <w:ilvl w:val="0"/>
                <w:numId w:val="15"/>
              </w:numPr>
            </w:pPr>
            <w:r>
              <w:t>Tobramycin</w:t>
            </w:r>
          </w:p>
          <w:p w14:paraId="27F5476B" w14:textId="77777777" w:rsidR="0087182B" w:rsidRDefault="0087182B" w:rsidP="0087182B">
            <w:pPr>
              <w:pStyle w:val="ListParagraph"/>
              <w:numPr>
                <w:ilvl w:val="0"/>
                <w:numId w:val="15"/>
              </w:numPr>
            </w:pPr>
            <w:r>
              <w:t>Amikacin</w:t>
            </w:r>
          </w:p>
        </w:tc>
        <w:tc>
          <w:tcPr>
            <w:tcW w:w="3920" w:type="dxa"/>
          </w:tcPr>
          <w:p w14:paraId="07C19A02" w14:textId="77777777" w:rsidR="0087182B" w:rsidRDefault="0087182B" w:rsidP="0087182B">
            <w:pPr>
              <w:pStyle w:val="ListParagraph"/>
              <w:numPr>
                <w:ilvl w:val="0"/>
                <w:numId w:val="15"/>
              </w:numPr>
            </w:pPr>
            <w:r>
              <w:t>C</w:t>
            </w:r>
            <w:r w:rsidRPr="00786D9B">
              <w:t>oncentration-dependent, bactericidal agents</w:t>
            </w:r>
          </w:p>
          <w:p w14:paraId="293DF2CE" w14:textId="77777777" w:rsidR="0087182B" w:rsidRDefault="0087182B" w:rsidP="0087182B">
            <w:pPr>
              <w:pStyle w:val="ListParagraph"/>
              <w:numPr>
                <w:ilvl w:val="0"/>
                <w:numId w:val="15"/>
              </w:numPr>
            </w:pPr>
            <w:r>
              <w:t>Inhibit bacterial protein synthesis</w:t>
            </w:r>
          </w:p>
          <w:p w14:paraId="48988587" w14:textId="77777777" w:rsidR="0087182B" w:rsidRDefault="0087182B" w:rsidP="0087182B">
            <w:pPr>
              <w:pStyle w:val="ListParagraph"/>
              <w:numPr>
                <w:ilvl w:val="0"/>
                <w:numId w:val="15"/>
              </w:numPr>
            </w:pPr>
            <w:r w:rsidRPr="00433A4D">
              <w:t>Elimination mainly by glomerular filtration</w:t>
            </w:r>
          </w:p>
          <w:p w14:paraId="1E476AD4" w14:textId="77777777" w:rsidR="0087182B" w:rsidRDefault="0087182B" w:rsidP="0087182B">
            <w:pPr>
              <w:pStyle w:val="ListParagraph"/>
              <w:numPr>
                <w:ilvl w:val="0"/>
                <w:numId w:val="15"/>
              </w:numPr>
            </w:pPr>
            <w:r w:rsidRPr="00433A4D">
              <w:t>50-60% of t</w:t>
            </w:r>
            <w:r>
              <w:t xml:space="preserve">he dose excreted </w:t>
            </w:r>
            <w:r w:rsidRPr="00433A4D">
              <w:t>within 24 hours</w:t>
            </w:r>
          </w:p>
        </w:tc>
        <w:tc>
          <w:tcPr>
            <w:tcW w:w="3502" w:type="dxa"/>
          </w:tcPr>
          <w:p w14:paraId="34DA183D" w14:textId="77777777" w:rsidR="0087182B" w:rsidRDefault="0087182B" w:rsidP="0087182B">
            <w:pPr>
              <w:pStyle w:val="ListParagraph"/>
              <w:numPr>
                <w:ilvl w:val="0"/>
                <w:numId w:val="15"/>
              </w:numPr>
            </w:pPr>
            <w:r>
              <w:t>Reduced clearance</w:t>
            </w:r>
          </w:p>
          <w:p w14:paraId="2DE0B21B" w14:textId="77777777" w:rsidR="0087182B" w:rsidRDefault="0087182B" w:rsidP="0087182B">
            <w:pPr>
              <w:pStyle w:val="ListParagraph"/>
              <w:numPr>
                <w:ilvl w:val="0"/>
                <w:numId w:val="15"/>
              </w:numPr>
            </w:pPr>
            <w:r>
              <w:t>Rapid accumulation</w:t>
            </w:r>
          </w:p>
          <w:p w14:paraId="201D7666" w14:textId="77777777" w:rsidR="0087182B" w:rsidRDefault="0087182B" w:rsidP="0087182B">
            <w:pPr>
              <w:pStyle w:val="ListParagraph"/>
              <w:numPr>
                <w:ilvl w:val="0"/>
                <w:numId w:val="15"/>
              </w:numPr>
            </w:pPr>
            <w:r w:rsidRPr="00433A4D">
              <w:t>Nephrotoxicity</w:t>
            </w:r>
          </w:p>
          <w:p w14:paraId="2553F090" w14:textId="77777777" w:rsidR="0087182B" w:rsidRDefault="0087182B" w:rsidP="0087182B">
            <w:pPr>
              <w:pStyle w:val="ListParagraph"/>
              <w:numPr>
                <w:ilvl w:val="0"/>
                <w:numId w:val="15"/>
              </w:numPr>
            </w:pPr>
            <w:r w:rsidRPr="00433A4D">
              <w:t>Ototoxicit</w:t>
            </w:r>
            <w:r>
              <w:t>y</w:t>
            </w:r>
          </w:p>
        </w:tc>
        <w:tc>
          <w:tcPr>
            <w:tcW w:w="4357" w:type="dxa"/>
          </w:tcPr>
          <w:p w14:paraId="20407F0F" w14:textId="77777777" w:rsidR="0087182B" w:rsidRDefault="0087182B" w:rsidP="0087182B">
            <w:pPr>
              <w:pStyle w:val="ListParagraph"/>
              <w:numPr>
                <w:ilvl w:val="0"/>
                <w:numId w:val="15"/>
              </w:numPr>
            </w:pPr>
            <w:r>
              <w:t>Avoid if possible</w:t>
            </w:r>
          </w:p>
          <w:p w14:paraId="65572582" w14:textId="77777777" w:rsidR="0087182B" w:rsidRDefault="0087182B" w:rsidP="0087182B">
            <w:pPr>
              <w:pStyle w:val="ListParagraph"/>
              <w:numPr>
                <w:ilvl w:val="0"/>
                <w:numId w:val="15"/>
              </w:numPr>
            </w:pPr>
            <w:r>
              <w:t>Dosing based on eGFR with input from pharmacist</w:t>
            </w:r>
          </w:p>
          <w:p w14:paraId="5B46DBDE" w14:textId="77777777" w:rsidR="0087182B" w:rsidRDefault="0087182B" w:rsidP="0087182B">
            <w:pPr>
              <w:pStyle w:val="ListParagraph"/>
              <w:numPr>
                <w:ilvl w:val="0"/>
                <w:numId w:val="15"/>
              </w:numPr>
            </w:pPr>
            <w:r>
              <w:t>Monitor plasma concentrations (pre-dose levels)</w:t>
            </w:r>
          </w:p>
          <w:p w14:paraId="486DC637" w14:textId="77777777" w:rsidR="0087182B" w:rsidRDefault="0087182B" w:rsidP="0087182B">
            <w:pPr>
              <w:pStyle w:val="ListParagraph"/>
              <w:numPr>
                <w:ilvl w:val="0"/>
                <w:numId w:val="15"/>
              </w:numPr>
            </w:pPr>
            <w:r>
              <w:t>Await results before giving next dose</w:t>
            </w:r>
          </w:p>
          <w:p w14:paraId="3659FB68" w14:textId="53BDBF8D" w:rsidR="0087182B" w:rsidRDefault="0087182B" w:rsidP="0087182B">
            <w:pPr>
              <w:pStyle w:val="ListParagraph"/>
              <w:numPr>
                <w:ilvl w:val="0"/>
                <w:numId w:val="15"/>
              </w:numPr>
            </w:pPr>
            <w:r>
              <w:t>Adjust dose or dosing interval accordingly</w:t>
            </w:r>
            <w:r>
              <w:fldChar w:fldCharType="begin" w:fldLock="1"/>
            </w:r>
            <w:r w:rsidR="00067F6A">
              <w:instrText>ADDIN CSL_CITATION {"citationItems":[{"id":"ITEM-1","itemData":{"ISSN":"0002-838X","abstract":"Chronic kidney disease affects renal drug elimination and other pharmacokinetic processes involved in drug disposition (e.g., absorption, drug distribution, nonrenal clearance [metabolism]). Drug dosing errors are common in patients with renal impairment and can cause adverse effects and poor outcomes. Dosages of drugs cleared renally should be adjusted according to creatinine clearance or glomerular filtration rate and should be calculated using online or electronic calculators. Recommended methods for maintenance dosing adjustments are dose reductions, lengthening the dosing interval, or both. Physicians should be familiar with commonly used medications that require dosage adjustments. Resources are available to assist in dosing decisions for patients with chronic kidney disease.","author":[{"dropping-particle":"","family":"Munar","given":"Myrna Y","non-dropping-particle":"","parse-names":false,"suffix":""},{"dropping-particle":"","family":"Singh","given":"Harleen","non-dropping-particle":"","parse-names":false,"suffix":""}],"container-title":"American Family Physician","id":"ITEM-1","issue":"10","issued":{"date-parts":[["2007","5","15"]]},"number-of-pages":"1487-1496","title":"Drug Dosing Adjustments in Patients with Chronic Kidney Disease","type":"report","volume":"75"},"uris":["http://www.mendeley.com/documents/?uuid=a77ee119-28ee-3ba9-a217-84c3a8b044a8"]},{"id":"ITEM-2","itemData":{"DOI":"10.2215/CJN.08140718","ISSN":"1555905X","PMID":"30862698","abstract":"Antimicrobial pharmacology and its effect on prescribing is quite complex. Selecting an antibiotic that will optimally treat an infection while minimizing adverse effects and the development of resistance is only the first step, as one must also consider the patient's individual pharmacokinetic alterations and the pharmacodynamic properties of the drug when prescribing it as well. Patients with CKD may have alterations in their protein binding, volumes of distribution, kidney clearance, and nonrenal clearance that necessitates antibiotic dose adjustments to prevent the development of toxicity. Knowledge of a drug's pharmacodynamics, defined as the relationship between drug exposure and antibacterial efficacy, provides some guidance regarding the optimal way to make dose adjustments. Different pharmacodynamic goals, such as maximizing the time that free (unbound) drug concentrations spend above the minimum inhibitory concentration (MIC) for time dependent drugs (e.g., β-lactams) or maximizing the free peak-to-MIC ratio for concentration-dependent antibiotics (e.g., aminoglycosides), require different adjustment strategies; for instance, decreasing the dose while maintaining normal dosing frequency or giving normal (or even larger) doses less frequently, respectively. Patients receiving hemodialysis have other important prescribing considerations as well. The nephrologist or patient may prefer to receive antibiotics that can be administered intravenously toward the end of a dialysis session. Additionally, newer dialysis technologies and filters can increase drug removal more than originally reported. This review will discuss the place in therapy, mechanism of action, pharmacokinetic, pharmacodynamic, and other pharmacologic considerations encountered when prescribing commonly used antibiotics in patients with chronic kidney disease or ESKD.","author":[{"dropping-particle":"","family":"Eyler","given":"Rachel F.","non-dropping-particle":"","parse-names":false,"suffix":""},{"dropping-particle":"","family":"Shvets","given":"Kristina","non-dropping-particle":"","parse-names":false,"suffix":""}],"container-title":"Clinical Journal of the American Society of Nephrology","id":"ITEM-2","issue":"7","issued":{"date-parts":[["2019","7","1"]]},"page":"1080-1090","publisher":"American Society of Nephrology","title":"Clinical pharmacology of antibiotics","type":"article-journal","volume":"14"},"uris":["http://www.mendeley.com/documents/?uuid=8334ddfa-dcaa-3e3a-ab67-547d378b0f36"]}],"mendeley":{"formattedCitation":"[21,22]","plainTextFormattedCitation":"[21,22]","previouslyFormattedCitation":"[20,21]"},"properties":{"noteIndex":0},"schema":"https://github.com/citation-style-language/schema/raw/master/csl-citation.json"}</w:instrText>
            </w:r>
            <w:r>
              <w:fldChar w:fldCharType="separate"/>
            </w:r>
            <w:r w:rsidR="00067F6A" w:rsidRPr="00067F6A">
              <w:rPr>
                <w:noProof/>
              </w:rPr>
              <w:t>[21,22]</w:t>
            </w:r>
            <w:r>
              <w:fldChar w:fldCharType="end"/>
            </w:r>
          </w:p>
        </w:tc>
      </w:tr>
      <w:tr w:rsidR="0087182B" w14:paraId="26D79FC9" w14:textId="77777777" w:rsidTr="0087182B">
        <w:trPr>
          <w:trHeight w:val="375"/>
        </w:trPr>
        <w:tc>
          <w:tcPr>
            <w:tcW w:w="2171" w:type="dxa"/>
          </w:tcPr>
          <w:p w14:paraId="0A41A9F5" w14:textId="77777777" w:rsidR="0087182B" w:rsidRDefault="0087182B" w:rsidP="00374A98">
            <w:r>
              <w:t>Vancomycin</w:t>
            </w:r>
          </w:p>
        </w:tc>
        <w:tc>
          <w:tcPr>
            <w:tcW w:w="3920" w:type="dxa"/>
          </w:tcPr>
          <w:p w14:paraId="1421DC85" w14:textId="77777777" w:rsidR="0087182B" w:rsidRDefault="0087182B" w:rsidP="0087182B">
            <w:pPr>
              <w:pStyle w:val="ListParagraph"/>
              <w:numPr>
                <w:ilvl w:val="0"/>
                <w:numId w:val="16"/>
              </w:numPr>
            </w:pPr>
            <w:r>
              <w:t>G</w:t>
            </w:r>
            <w:r w:rsidRPr="0099638E">
              <w:t>lycopeptide</w:t>
            </w:r>
            <w:r>
              <w:t xml:space="preserve"> active against the majority of g</w:t>
            </w:r>
            <w:r w:rsidRPr="00433A4D">
              <w:t>ram-positive bacteria including methicillin-resistant staphylococcus aureus (MRSA)</w:t>
            </w:r>
          </w:p>
          <w:p w14:paraId="72159CDA" w14:textId="351674C7" w:rsidR="0087182B" w:rsidRDefault="0087182B" w:rsidP="0087182B">
            <w:pPr>
              <w:pStyle w:val="ListParagraph"/>
              <w:numPr>
                <w:ilvl w:val="0"/>
                <w:numId w:val="16"/>
              </w:numPr>
            </w:pPr>
            <w:r>
              <w:t xml:space="preserve">Predominantly </w:t>
            </w:r>
            <w:r w:rsidR="00374A98">
              <w:t xml:space="preserve">renal </w:t>
            </w:r>
            <w:r>
              <w:t>clearance</w:t>
            </w:r>
          </w:p>
          <w:p w14:paraId="422F3C6C" w14:textId="77777777" w:rsidR="0087182B" w:rsidRDefault="0087182B" w:rsidP="0087182B">
            <w:pPr>
              <w:pStyle w:val="ListParagraph"/>
              <w:numPr>
                <w:ilvl w:val="0"/>
                <w:numId w:val="16"/>
              </w:numPr>
            </w:pPr>
            <w:r>
              <w:t>80-90%</w:t>
            </w:r>
            <w:r w:rsidRPr="00433A4D">
              <w:t xml:space="preserve"> r</w:t>
            </w:r>
            <w:r>
              <w:t>ecovered unchanged in the urine</w:t>
            </w:r>
          </w:p>
        </w:tc>
        <w:tc>
          <w:tcPr>
            <w:tcW w:w="3502" w:type="dxa"/>
          </w:tcPr>
          <w:p w14:paraId="292DE45C" w14:textId="77777777" w:rsidR="0087182B" w:rsidRDefault="0087182B" w:rsidP="0087182B">
            <w:pPr>
              <w:pStyle w:val="ListParagraph"/>
              <w:numPr>
                <w:ilvl w:val="0"/>
                <w:numId w:val="16"/>
              </w:numPr>
            </w:pPr>
            <w:r>
              <w:t>Reduced clearance</w:t>
            </w:r>
          </w:p>
          <w:p w14:paraId="609E7131" w14:textId="77777777" w:rsidR="0087182B" w:rsidRDefault="0087182B" w:rsidP="0087182B">
            <w:pPr>
              <w:pStyle w:val="ListParagraph"/>
              <w:numPr>
                <w:ilvl w:val="0"/>
                <w:numId w:val="16"/>
              </w:numPr>
            </w:pPr>
            <w:r>
              <w:t>Rapid accumulation</w:t>
            </w:r>
          </w:p>
          <w:p w14:paraId="3969417D" w14:textId="77777777" w:rsidR="0087182B" w:rsidRDefault="0087182B" w:rsidP="0087182B">
            <w:pPr>
              <w:pStyle w:val="ListParagraph"/>
              <w:numPr>
                <w:ilvl w:val="0"/>
                <w:numId w:val="16"/>
              </w:numPr>
            </w:pPr>
            <w:r w:rsidRPr="00433A4D">
              <w:t>Nephrotoxicity</w:t>
            </w:r>
          </w:p>
          <w:p w14:paraId="16022657" w14:textId="77777777" w:rsidR="0087182B" w:rsidRDefault="0087182B" w:rsidP="0087182B">
            <w:pPr>
              <w:pStyle w:val="ListParagraph"/>
              <w:numPr>
                <w:ilvl w:val="0"/>
                <w:numId w:val="16"/>
              </w:numPr>
            </w:pPr>
            <w:r w:rsidRPr="00433A4D">
              <w:t>Ototoxicit</w:t>
            </w:r>
            <w:r>
              <w:t>y</w:t>
            </w:r>
          </w:p>
        </w:tc>
        <w:tc>
          <w:tcPr>
            <w:tcW w:w="4357" w:type="dxa"/>
          </w:tcPr>
          <w:p w14:paraId="6B85877B" w14:textId="77777777" w:rsidR="0087182B" w:rsidRDefault="0087182B" w:rsidP="0087182B">
            <w:pPr>
              <w:pStyle w:val="ListParagraph"/>
              <w:numPr>
                <w:ilvl w:val="0"/>
                <w:numId w:val="16"/>
              </w:numPr>
            </w:pPr>
            <w:r>
              <w:t>Dosing based on eGFR with input from pharmacist</w:t>
            </w:r>
          </w:p>
          <w:p w14:paraId="7CAB7C81" w14:textId="77777777" w:rsidR="0087182B" w:rsidRDefault="0087182B" w:rsidP="0087182B">
            <w:pPr>
              <w:pStyle w:val="ListParagraph"/>
              <w:numPr>
                <w:ilvl w:val="0"/>
                <w:numId w:val="16"/>
              </w:numPr>
            </w:pPr>
            <w:r>
              <w:t xml:space="preserve">Monitor plasma concentrations (pre-dose levels) </w:t>
            </w:r>
          </w:p>
          <w:p w14:paraId="59D466C2" w14:textId="77777777" w:rsidR="0087182B" w:rsidRDefault="0087182B" w:rsidP="0087182B">
            <w:pPr>
              <w:pStyle w:val="ListParagraph"/>
              <w:numPr>
                <w:ilvl w:val="0"/>
                <w:numId w:val="16"/>
              </w:numPr>
            </w:pPr>
            <w:r>
              <w:t>Await results before giving next dose</w:t>
            </w:r>
          </w:p>
          <w:p w14:paraId="44771118" w14:textId="378CE263" w:rsidR="0087182B" w:rsidRDefault="0087182B" w:rsidP="0087182B">
            <w:pPr>
              <w:pStyle w:val="ListParagraph"/>
              <w:numPr>
                <w:ilvl w:val="0"/>
                <w:numId w:val="16"/>
              </w:numPr>
            </w:pPr>
            <w:r>
              <w:t>Adjust dose or dosing interval accordingly</w:t>
            </w:r>
            <w:r>
              <w:fldChar w:fldCharType="begin" w:fldLock="1"/>
            </w:r>
            <w:r w:rsidR="00067F6A">
              <w:instrText>ADDIN CSL_CITATION {"citationItems":[{"id":"ITEM-1","itemData":{"ISSN":"0002-838X","abstract":"Chronic kidney disease affects renal drug elimination and other pharmacokinetic processes involved in drug disposition (e.g., absorption, drug distribution, nonrenal clearance [metabolism]). Drug dosing errors are common in patients with renal impairment and can cause adverse effects and poor outcomes. Dosages of drugs cleared renally should be adjusted according to creatinine clearance or glomerular filtration rate and should be calculated using online or electronic calculators. Recommended methods for maintenance dosing adjustments are dose reductions, lengthening the dosing interval, or both. Physicians should be familiar with commonly used medications that require dosage adjustments. Resources are available to assist in dosing decisions for patients with chronic kidney disease.","author":[{"dropping-particle":"","family":"Munar","given":"Myrna Y","non-dropping-particle":"","parse-names":false,"suffix":""},{"dropping-particle":"","family":"Singh","given":"Harleen","non-dropping-particle":"","parse-names":false,"suffix":""}],"container-title":"American Family Physician","id":"ITEM-1","issue":"10","issued":{"date-parts":[["2007","5","15"]]},"number-of-pages":"1487-1496","title":"Drug Dosing Adjustments in Patients with Chronic Kidney Disease","type":"report","volume":"75"},"uris":["http://www.mendeley.com/documents/?uuid=a77ee119-28ee-3ba9-a217-84c3a8b044a8"]},{"id":"ITEM-2","itemData":{"DOI":"10.2215/CJN.08140718","ISSN":"1555905X","PMID":"30862698","abstract":"Antimicrobial pharmacology and its effect on prescribing is quite complex. Selecting an antibiotic that will optimally treat an infection while minimizing adverse effects and the development of resistance is only the first step, as one must also consider the patient's individual pharmacokinetic alterations and the pharmacodynamic properties of the drug when prescribing it as well. Patients with CKD may have alterations in their protein binding, volumes of distribution, kidney clearance, and nonrenal clearance that necessitates antibiotic dose adjustments to prevent the development of toxicity. Knowledge of a drug's pharmacodynamics, defined as the relationship between drug exposure and antibacterial efficacy, provides some guidance regarding the optimal way to make dose adjustments. Different pharmacodynamic goals, such as maximizing the time that free (unbound) drug concentrations spend above the minimum inhibitory concentration (MIC) for time dependent drugs (e.g., β-lactams) or maximizing the free peak-to-MIC ratio for concentration-dependent antibiotics (e.g., aminoglycosides), require different adjustment strategies; for instance, decreasing the dose while maintaining normal dosing frequency or giving normal (or even larger) doses less frequently, respectively. Patients receiving hemodialysis have other important prescribing considerations as well. The nephrologist or patient may prefer to receive antibiotics that can be administered intravenously toward the end of a dialysis session. Additionally, newer dialysis technologies and filters can increase drug removal more than originally reported. This review will discuss the place in therapy, mechanism of action, pharmacokinetic, pharmacodynamic, and other pharmacologic considerations encountered when prescribing commonly used antibiotics in patients with chronic kidney disease or ESKD.","author":[{"dropping-particle":"","family":"Eyler","given":"Rachel F.","non-dropping-particle":"","parse-names":false,"suffix":""},{"dropping-particle":"","family":"Shvets","given":"Kristina","non-dropping-particle":"","parse-names":false,"suffix":""}],"container-title":"Clinical Journal of the American Society of Nephrology","id":"ITEM-2","issue":"7","issued":{"date-parts":[["2019","7","1"]]},"page":"1080-1090","publisher":"American Society of Nephrology","title":"Clinical pharmacology of antibiotics","type":"article-journal","volume":"14"},"uris":["http://www.mendeley.com/documents/?uuid=8334ddfa-dcaa-3e3a-ab67-547d378b0f36"]}],"mendeley":{"formattedCitation":"[21,22]","plainTextFormattedCitation":"[21,22]","previouslyFormattedCitation":"[20,21]"},"properties":{"noteIndex":0},"schema":"https://github.com/citation-style-language/schema/raw/master/csl-citation.json"}</w:instrText>
            </w:r>
            <w:r>
              <w:fldChar w:fldCharType="separate"/>
            </w:r>
            <w:r w:rsidR="00067F6A" w:rsidRPr="00067F6A">
              <w:rPr>
                <w:noProof/>
              </w:rPr>
              <w:t>[21,22]</w:t>
            </w:r>
            <w:r>
              <w:fldChar w:fldCharType="end"/>
            </w:r>
          </w:p>
        </w:tc>
      </w:tr>
      <w:tr w:rsidR="0087182B" w14:paraId="28D69440" w14:textId="77777777" w:rsidTr="0087182B">
        <w:trPr>
          <w:trHeight w:val="395"/>
        </w:trPr>
        <w:tc>
          <w:tcPr>
            <w:tcW w:w="2171" w:type="dxa"/>
          </w:tcPr>
          <w:p w14:paraId="3919A23C" w14:textId="77777777" w:rsidR="0087182B" w:rsidRDefault="0087182B" w:rsidP="00374A98">
            <w:r w:rsidRPr="00433A4D">
              <w:rPr>
                <w:i/>
                <w:iCs/>
              </w:rPr>
              <w:t>β</w:t>
            </w:r>
            <w:r w:rsidRPr="00433A4D">
              <w:t>-lactam antibiotics</w:t>
            </w:r>
          </w:p>
          <w:p w14:paraId="2771A4D3" w14:textId="77777777" w:rsidR="0087182B" w:rsidRDefault="0087182B" w:rsidP="0087182B">
            <w:pPr>
              <w:pStyle w:val="ListParagraph"/>
              <w:numPr>
                <w:ilvl w:val="0"/>
                <w:numId w:val="17"/>
              </w:numPr>
            </w:pPr>
            <w:r>
              <w:t>Penicillin</w:t>
            </w:r>
            <w:r w:rsidRPr="00433A4D">
              <w:t>s</w:t>
            </w:r>
          </w:p>
          <w:p w14:paraId="4DCD0200" w14:textId="77777777" w:rsidR="0087182B" w:rsidRDefault="0087182B" w:rsidP="0087182B">
            <w:pPr>
              <w:pStyle w:val="ListParagraph"/>
              <w:numPr>
                <w:ilvl w:val="0"/>
                <w:numId w:val="17"/>
              </w:numPr>
            </w:pPr>
            <w:r w:rsidRPr="00433A4D">
              <w:t>Cephalosporins</w:t>
            </w:r>
          </w:p>
          <w:p w14:paraId="4CD2A18D" w14:textId="77777777" w:rsidR="0087182B" w:rsidRDefault="0087182B" w:rsidP="0087182B">
            <w:pPr>
              <w:pStyle w:val="ListParagraph"/>
              <w:numPr>
                <w:ilvl w:val="0"/>
                <w:numId w:val="17"/>
              </w:numPr>
            </w:pPr>
            <w:r w:rsidRPr="00433A4D">
              <w:t>Carbapenems</w:t>
            </w:r>
          </w:p>
        </w:tc>
        <w:tc>
          <w:tcPr>
            <w:tcW w:w="3920" w:type="dxa"/>
          </w:tcPr>
          <w:p w14:paraId="478C791C" w14:textId="77777777" w:rsidR="0087182B" w:rsidRDefault="0087182B" w:rsidP="0087182B">
            <w:pPr>
              <w:pStyle w:val="ListParagraph"/>
              <w:numPr>
                <w:ilvl w:val="0"/>
                <w:numId w:val="17"/>
              </w:numPr>
            </w:pPr>
            <w:r>
              <w:t>T</w:t>
            </w:r>
            <w:r w:rsidRPr="00433A4D">
              <w:t>ime</w:t>
            </w:r>
            <w:r>
              <w:t>-</w:t>
            </w:r>
            <w:r w:rsidRPr="00433A4D">
              <w:t>dependent pharmacodynamics</w:t>
            </w:r>
          </w:p>
          <w:p w14:paraId="730F0DAC" w14:textId="77777777" w:rsidR="0087182B" w:rsidRDefault="0087182B" w:rsidP="00374A98"/>
        </w:tc>
        <w:tc>
          <w:tcPr>
            <w:tcW w:w="3502" w:type="dxa"/>
          </w:tcPr>
          <w:p w14:paraId="238C6BE8" w14:textId="398ACBB6" w:rsidR="0087182B" w:rsidRDefault="0087182B" w:rsidP="0087182B">
            <w:pPr>
              <w:pStyle w:val="ListParagraph"/>
              <w:numPr>
                <w:ilvl w:val="0"/>
                <w:numId w:val="17"/>
              </w:numPr>
            </w:pPr>
            <w:r w:rsidRPr="0006755A">
              <w:t>Reduced clearance and protein binding lead</w:t>
            </w:r>
            <w:r>
              <w:t>s</w:t>
            </w:r>
            <w:r w:rsidRPr="0006755A">
              <w:t xml:space="preserve"> to higher plasma concentrations</w:t>
            </w:r>
            <w:r>
              <w:t>.</w:t>
            </w:r>
          </w:p>
          <w:p w14:paraId="5D1476D3" w14:textId="46B280CF" w:rsidR="005E5965" w:rsidRDefault="0087182B">
            <w:pPr>
              <w:pStyle w:val="ListParagraph"/>
              <w:numPr>
                <w:ilvl w:val="0"/>
                <w:numId w:val="17"/>
              </w:numPr>
            </w:pPr>
            <w:r>
              <w:t>C</w:t>
            </w:r>
            <w:r w:rsidRPr="0006755A">
              <w:t>entral nervous system disturbances including confusion, myoclonus and seizures</w:t>
            </w:r>
          </w:p>
        </w:tc>
        <w:tc>
          <w:tcPr>
            <w:tcW w:w="4357" w:type="dxa"/>
          </w:tcPr>
          <w:p w14:paraId="3DFAC0D4" w14:textId="77777777" w:rsidR="00B325BB" w:rsidRDefault="00B325BB" w:rsidP="0087182B">
            <w:pPr>
              <w:pStyle w:val="ListParagraph"/>
              <w:numPr>
                <w:ilvl w:val="0"/>
                <w:numId w:val="17"/>
              </w:numPr>
            </w:pPr>
            <w:r>
              <w:t xml:space="preserve">Dosing based on eGFR with input from pharmacist </w:t>
            </w:r>
          </w:p>
          <w:p w14:paraId="751F6ACB" w14:textId="6B6FE03F" w:rsidR="0087182B" w:rsidRDefault="0087182B" w:rsidP="0087182B">
            <w:pPr>
              <w:pStyle w:val="ListParagraph"/>
              <w:numPr>
                <w:ilvl w:val="0"/>
                <w:numId w:val="17"/>
              </w:numPr>
            </w:pPr>
            <w:r>
              <w:t>R</w:t>
            </w:r>
            <w:r w:rsidRPr="00433A4D">
              <w:t>educe the dose</w:t>
            </w:r>
            <w:r w:rsidR="00664231">
              <w:t xml:space="preserve"> and/or dosing interval</w:t>
            </w:r>
          </w:p>
          <w:p w14:paraId="5150EE66" w14:textId="7D4230FF" w:rsidR="005E5965" w:rsidRDefault="005E5965" w:rsidP="003028E5"/>
        </w:tc>
      </w:tr>
      <w:tr w:rsidR="0087182B" w14:paraId="4C3178CF" w14:textId="77777777" w:rsidTr="0087182B">
        <w:trPr>
          <w:trHeight w:val="375"/>
        </w:trPr>
        <w:tc>
          <w:tcPr>
            <w:tcW w:w="2171" w:type="dxa"/>
          </w:tcPr>
          <w:p w14:paraId="4B0222E2" w14:textId="77777777" w:rsidR="0087182B" w:rsidRDefault="0087182B" w:rsidP="00374A98">
            <w:r>
              <w:lastRenderedPageBreak/>
              <w:t>Aciclovir</w:t>
            </w:r>
          </w:p>
        </w:tc>
        <w:tc>
          <w:tcPr>
            <w:tcW w:w="3920" w:type="dxa"/>
          </w:tcPr>
          <w:p w14:paraId="2C010474" w14:textId="6F5EB273" w:rsidR="0087182B" w:rsidRDefault="0087182B" w:rsidP="00374A98">
            <w:pPr>
              <w:pStyle w:val="ListParagraph"/>
              <w:numPr>
                <w:ilvl w:val="0"/>
                <w:numId w:val="16"/>
              </w:numPr>
            </w:pPr>
            <w:r>
              <w:t xml:space="preserve">Predominantly </w:t>
            </w:r>
            <w:r w:rsidR="00374A98">
              <w:t>renal</w:t>
            </w:r>
            <w:r>
              <w:t xml:space="preserve"> </w:t>
            </w:r>
            <w:r w:rsidR="00374A98">
              <w:t xml:space="preserve"> </w:t>
            </w:r>
            <w:r>
              <w:t>clearance</w:t>
            </w:r>
          </w:p>
        </w:tc>
        <w:tc>
          <w:tcPr>
            <w:tcW w:w="3502" w:type="dxa"/>
          </w:tcPr>
          <w:p w14:paraId="3E14B380" w14:textId="77777777" w:rsidR="0087182B" w:rsidRDefault="0087182B" w:rsidP="0087182B">
            <w:pPr>
              <w:pStyle w:val="ListParagraph"/>
              <w:numPr>
                <w:ilvl w:val="0"/>
                <w:numId w:val="16"/>
              </w:numPr>
            </w:pPr>
            <w:r>
              <w:t>Increased risk of toxicity including nephrotoxicity and neurotoxicity</w:t>
            </w:r>
          </w:p>
        </w:tc>
        <w:tc>
          <w:tcPr>
            <w:tcW w:w="4357" w:type="dxa"/>
          </w:tcPr>
          <w:p w14:paraId="1D5B3E22" w14:textId="77777777" w:rsidR="00B325BB" w:rsidRDefault="00B325BB" w:rsidP="00B325BB">
            <w:pPr>
              <w:pStyle w:val="ListParagraph"/>
              <w:numPr>
                <w:ilvl w:val="0"/>
                <w:numId w:val="16"/>
              </w:numPr>
            </w:pPr>
            <w:r>
              <w:t xml:space="preserve">Dosing based on eGFR with input from pharmacist </w:t>
            </w:r>
          </w:p>
          <w:p w14:paraId="3B371BC7" w14:textId="1EF0E3E2" w:rsidR="0087182B" w:rsidRDefault="00B325BB">
            <w:pPr>
              <w:pStyle w:val="ListParagraph"/>
              <w:numPr>
                <w:ilvl w:val="0"/>
                <w:numId w:val="16"/>
              </w:numPr>
            </w:pPr>
            <w:r>
              <w:t>R</w:t>
            </w:r>
            <w:r w:rsidRPr="00433A4D">
              <w:t>educe the dose</w:t>
            </w:r>
            <w:r>
              <w:t xml:space="preserve"> and/or dosing interval</w:t>
            </w:r>
            <w:r w:rsidR="0087182B">
              <w:fldChar w:fldCharType="begin" w:fldLock="1"/>
            </w:r>
            <w:r w:rsidR="00067F6A">
              <w:instrText>ADDIN CSL_CITATION {"citationItems":[{"id":"ITEM-1","itemData":{"DOI":"10.1007/s13730-012-0035-0","ISBN":"2002;17:6337","abstract":"Acyclovir is an antiviral agent widely used in herpetic infections in children. Although acyclovir is generally well tolerated, severe nephrotoxicity has been reported in some cases. In this report, we present a 16-year-old girl who developed acute renal failure due to acyclovir treatment and who needed repetitive hemodialysis. Renal biopsy was performed in order to confirm the diagnosis. A diagnosis of drug-related acute tubulointerstitial nephritis with focal tubular necrosis was made.","author":[{"dropping-particle":"","family":"Yildiz","given":"Cigdem","non-dropping-particle":"","parse-names":false,"suffix":""},{"dropping-particle":"","family":"Ozsurekci","given":"Yasemin","non-dropping-particle":"","parse-names":false,"suffix":""},{"dropping-particle":"","family":"Gucer","given":"Safak","non-dropping-particle":"","parse-names":false,"suffix":""},{"dropping-particle":"","family":"Bulent Cengiz","given":"Ali","non-dropping-particle":"","parse-names":false,"suffix":""},{"dropping-particle":"","family":"Topaloglu","given":"Rezan","non-dropping-particle":"","parse-names":false,"suffix":""}],"id":"ITEM-1","issued":{"date-parts":[["0"]]},"title":"Acute kidney injury due to acyclovir","type":"article-journal"},"uris":["http://www.mendeley.com/documents/?uuid=eb90a464-b9f2-3068-925a-05bc82036ac6"]}],"mendeley":{"formattedCitation":"[23]","plainTextFormattedCitation":"[23]","previouslyFormattedCitation":"[22]"},"properties":{"noteIndex":0},"schema":"https://github.com/citation-style-language/schema/raw/master/csl-citation.json"}</w:instrText>
            </w:r>
            <w:r w:rsidR="0087182B">
              <w:fldChar w:fldCharType="separate"/>
            </w:r>
            <w:r w:rsidR="00067F6A" w:rsidRPr="00067F6A">
              <w:rPr>
                <w:noProof/>
              </w:rPr>
              <w:t>[23]</w:t>
            </w:r>
            <w:r w:rsidR="0087182B">
              <w:fldChar w:fldCharType="end"/>
            </w:r>
          </w:p>
        </w:tc>
      </w:tr>
      <w:tr w:rsidR="009E04BD" w14:paraId="57B9CCD5" w14:textId="77777777" w:rsidTr="00F10FEC">
        <w:trPr>
          <w:trHeight w:val="375"/>
        </w:trPr>
        <w:tc>
          <w:tcPr>
            <w:tcW w:w="13950" w:type="dxa"/>
            <w:gridSpan w:val="4"/>
          </w:tcPr>
          <w:p w14:paraId="0C84A4FA" w14:textId="6AA2F465" w:rsidR="009E04BD" w:rsidRPr="00266A44" w:rsidRDefault="009E04BD" w:rsidP="00266A44">
            <w:pPr>
              <w:rPr>
                <w:b/>
                <w:bCs/>
              </w:rPr>
            </w:pPr>
            <w:r w:rsidRPr="00266A44">
              <w:rPr>
                <w:b/>
                <w:bCs/>
              </w:rPr>
              <w:t>Antifungals</w:t>
            </w:r>
          </w:p>
        </w:tc>
      </w:tr>
      <w:tr w:rsidR="009E04BD" w14:paraId="51AD1181" w14:textId="77777777" w:rsidTr="0087182B">
        <w:trPr>
          <w:trHeight w:val="375"/>
        </w:trPr>
        <w:tc>
          <w:tcPr>
            <w:tcW w:w="2171" w:type="dxa"/>
          </w:tcPr>
          <w:p w14:paraId="50556366" w14:textId="7375A069" w:rsidR="009E04BD" w:rsidRDefault="006F27CE" w:rsidP="00374A98">
            <w:r>
              <w:t>Conventional a</w:t>
            </w:r>
            <w:r w:rsidR="009E04BD">
              <w:t xml:space="preserve">mphotericin </w:t>
            </w:r>
            <w:r>
              <w:t xml:space="preserve"> B</w:t>
            </w:r>
          </w:p>
          <w:p w14:paraId="5F33FF6E" w14:textId="7B3F8EC7" w:rsidR="009E04BD" w:rsidRDefault="009E04BD" w:rsidP="00374A98"/>
        </w:tc>
        <w:tc>
          <w:tcPr>
            <w:tcW w:w="3920" w:type="dxa"/>
          </w:tcPr>
          <w:p w14:paraId="68DB1126" w14:textId="11EF96C7" w:rsidR="009E04BD" w:rsidRDefault="006F27CE" w:rsidP="00374A98">
            <w:pPr>
              <w:pStyle w:val="ListParagraph"/>
              <w:numPr>
                <w:ilvl w:val="0"/>
                <w:numId w:val="16"/>
              </w:numPr>
            </w:pPr>
            <w:r>
              <w:t>Exhibits concentration-dependent fun</w:t>
            </w:r>
            <w:r w:rsidR="00266A44">
              <w:t>g</w:t>
            </w:r>
            <w:r>
              <w:t xml:space="preserve">icidal activity </w:t>
            </w:r>
          </w:p>
        </w:tc>
        <w:tc>
          <w:tcPr>
            <w:tcW w:w="3502" w:type="dxa"/>
          </w:tcPr>
          <w:p w14:paraId="372DD81D" w14:textId="085C75B8" w:rsidR="009E04BD" w:rsidRDefault="006F27CE" w:rsidP="0087182B">
            <w:pPr>
              <w:pStyle w:val="ListParagraph"/>
              <w:numPr>
                <w:ilvl w:val="0"/>
                <w:numId w:val="16"/>
              </w:numPr>
            </w:pPr>
            <w:r>
              <w:t>Highly nephrotoxic, perm</w:t>
            </w:r>
            <w:r w:rsidR="00266A44">
              <w:t>a</w:t>
            </w:r>
            <w:r>
              <w:t>n</w:t>
            </w:r>
            <w:r w:rsidR="00266A44">
              <w:t>e</w:t>
            </w:r>
            <w:r>
              <w:t xml:space="preserve">nt </w:t>
            </w:r>
            <w:r w:rsidR="00266A44">
              <w:t xml:space="preserve">kidney </w:t>
            </w:r>
            <w:r>
              <w:t>impairment may occur</w:t>
            </w:r>
            <w:r w:rsidR="005E5965">
              <w:t xml:space="preserve"> in patients</w:t>
            </w:r>
            <w:r>
              <w:t xml:space="preserve"> including those receiving doses of more than 1mg/kg/day</w:t>
            </w:r>
            <w:r w:rsidR="00AB6627">
              <w:t>,</w:t>
            </w:r>
            <w:r>
              <w:t xml:space="preserve"> </w:t>
            </w:r>
            <w:r w:rsidR="005E5965">
              <w:t>those with</w:t>
            </w:r>
            <w:r>
              <w:t xml:space="preserve"> pre-exisiting </w:t>
            </w:r>
            <w:r w:rsidR="00266A44">
              <w:t xml:space="preserve">kidney </w:t>
            </w:r>
            <w:r>
              <w:t>impairment</w:t>
            </w:r>
            <w:r w:rsidR="00AB6627">
              <w:t xml:space="preserve"> or on concurrent nephrotoxic drugs.  </w:t>
            </w:r>
          </w:p>
        </w:tc>
        <w:tc>
          <w:tcPr>
            <w:tcW w:w="4357" w:type="dxa"/>
          </w:tcPr>
          <w:p w14:paraId="75D91442" w14:textId="5E1CCF7C" w:rsidR="005E5965" w:rsidRDefault="005E5965" w:rsidP="005E5965">
            <w:pPr>
              <w:pStyle w:val="ListParagraph"/>
              <w:numPr>
                <w:ilvl w:val="0"/>
                <w:numId w:val="16"/>
              </w:numPr>
            </w:pPr>
            <w:r>
              <w:t xml:space="preserve">Use with caution in </w:t>
            </w:r>
            <w:r w:rsidR="00266A44">
              <w:t xml:space="preserve">kidney </w:t>
            </w:r>
            <w:r>
              <w:t>impairment</w:t>
            </w:r>
          </w:p>
          <w:p w14:paraId="2AF58AB9" w14:textId="2BFCB485" w:rsidR="005E5965" w:rsidRDefault="005E5965">
            <w:pPr>
              <w:pStyle w:val="ListParagraph"/>
              <w:numPr>
                <w:ilvl w:val="0"/>
                <w:numId w:val="16"/>
              </w:numPr>
            </w:pPr>
            <w:r>
              <w:t>Seek input from pharmacist</w:t>
            </w:r>
            <w:r w:rsidR="00D015F5">
              <w:t xml:space="preserve"> and/or infectious diseases team</w:t>
            </w:r>
          </w:p>
          <w:p w14:paraId="74C8AD4B" w14:textId="1250B85E" w:rsidR="00D015F5" w:rsidRDefault="00EF57DB">
            <w:pPr>
              <w:pStyle w:val="ListParagraph"/>
              <w:numPr>
                <w:ilvl w:val="0"/>
                <w:numId w:val="16"/>
              </w:numPr>
            </w:pPr>
            <w:r>
              <w:t>Consider using</w:t>
            </w:r>
            <w:r w:rsidR="005E5965">
              <w:t xml:space="preserve"> liposomal amphotericin</w:t>
            </w:r>
            <w:r w:rsidR="00D015F5">
              <w:t xml:space="preserve"> or an alternative antifungal. Please not</w:t>
            </w:r>
            <w:r w:rsidR="00591FFE">
              <w:t>e</w:t>
            </w:r>
            <w:r w:rsidR="00D015F5">
              <w:t xml:space="preserve"> although liposomal amphotericin is less nephrotoxic the risk of kidney impairment</w:t>
            </w:r>
            <w:r w:rsidR="00591FFE">
              <w:t xml:space="preserve"> still exists</w:t>
            </w:r>
            <w:r w:rsidR="00D015F5">
              <w:t xml:space="preserve">. </w:t>
            </w:r>
          </w:p>
        </w:tc>
      </w:tr>
      <w:tr w:rsidR="0087182B" w14:paraId="5E6D81F5" w14:textId="77777777" w:rsidTr="0087182B">
        <w:trPr>
          <w:trHeight w:val="375"/>
        </w:trPr>
        <w:tc>
          <w:tcPr>
            <w:tcW w:w="13950" w:type="dxa"/>
            <w:gridSpan w:val="4"/>
          </w:tcPr>
          <w:p w14:paraId="20F47D09" w14:textId="77777777" w:rsidR="0087182B" w:rsidRDefault="0087182B" w:rsidP="00374A98">
            <w:r w:rsidRPr="0006755A">
              <w:rPr>
                <w:b/>
              </w:rPr>
              <w:t>Analgesics</w:t>
            </w:r>
          </w:p>
        </w:tc>
      </w:tr>
      <w:tr w:rsidR="0087182B" w14:paraId="073A45F3" w14:textId="77777777" w:rsidTr="00266A44">
        <w:trPr>
          <w:trHeight w:val="375"/>
        </w:trPr>
        <w:tc>
          <w:tcPr>
            <w:tcW w:w="2171" w:type="dxa"/>
          </w:tcPr>
          <w:p w14:paraId="2A1F7CFB" w14:textId="77777777" w:rsidR="0087182B" w:rsidRDefault="0087182B" w:rsidP="00374A98">
            <w:r>
              <w:t>Opioids</w:t>
            </w:r>
          </w:p>
          <w:p w14:paraId="150A6F05" w14:textId="77777777" w:rsidR="0087182B" w:rsidRDefault="0087182B" w:rsidP="0087182B">
            <w:pPr>
              <w:pStyle w:val="ListParagraph"/>
              <w:numPr>
                <w:ilvl w:val="0"/>
                <w:numId w:val="18"/>
              </w:numPr>
            </w:pPr>
            <w:r>
              <w:t>Morphine</w:t>
            </w:r>
          </w:p>
          <w:p w14:paraId="4C51D162" w14:textId="77777777" w:rsidR="0087182B" w:rsidRDefault="0087182B" w:rsidP="0087182B">
            <w:pPr>
              <w:pStyle w:val="ListParagraph"/>
              <w:numPr>
                <w:ilvl w:val="0"/>
                <w:numId w:val="18"/>
              </w:numPr>
            </w:pPr>
            <w:r>
              <w:t>Tramadol</w:t>
            </w:r>
          </w:p>
          <w:p w14:paraId="79DA69C6" w14:textId="77777777" w:rsidR="0087182B" w:rsidRDefault="0087182B" w:rsidP="0087182B">
            <w:pPr>
              <w:pStyle w:val="ListParagraph"/>
              <w:numPr>
                <w:ilvl w:val="0"/>
                <w:numId w:val="18"/>
              </w:numPr>
            </w:pPr>
            <w:r>
              <w:t>Codeine</w:t>
            </w:r>
          </w:p>
        </w:tc>
        <w:tc>
          <w:tcPr>
            <w:tcW w:w="3920" w:type="dxa"/>
          </w:tcPr>
          <w:p w14:paraId="4B18D494" w14:textId="77777777" w:rsidR="0087182B" w:rsidRDefault="0087182B" w:rsidP="0087182B">
            <w:pPr>
              <w:pStyle w:val="ListParagraph"/>
              <w:numPr>
                <w:ilvl w:val="0"/>
                <w:numId w:val="18"/>
              </w:numPr>
            </w:pPr>
            <w:r w:rsidRPr="0006755A">
              <w:t>This varies for individual opioids therefore it is important to understand the pharmacokinetics of each drug to minimise the risk of toxicity</w:t>
            </w:r>
            <w:r>
              <w:t>.</w:t>
            </w:r>
          </w:p>
          <w:p w14:paraId="12A01127" w14:textId="77777777" w:rsidR="0087182B" w:rsidRDefault="0087182B" w:rsidP="0087182B">
            <w:pPr>
              <w:pStyle w:val="ListParagraph"/>
              <w:numPr>
                <w:ilvl w:val="0"/>
                <w:numId w:val="18"/>
              </w:numPr>
            </w:pPr>
            <w:r>
              <w:t>Morphine, tramadol and codeine have significant renal clearance.</w:t>
            </w:r>
          </w:p>
        </w:tc>
        <w:tc>
          <w:tcPr>
            <w:tcW w:w="3502" w:type="dxa"/>
          </w:tcPr>
          <w:p w14:paraId="21BEC16A" w14:textId="3DBDAC57" w:rsidR="0087182B" w:rsidRDefault="0087182B" w:rsidP="0087182B">
            <w:pPr>
              <w:pStyle w:val="ListParagraph"/>
              <w:numPr>
                <w:ilvl w:val="0"/>
                <w:numId w:val="18"/>
              </w:numPr>
            </w:pPr>
            <w:r>
              <w:t>Reduced clearance</w:t>
            </w:r>
          </w:p>
          <w:p w14:paraId="2E0EB47C" w14:textId="77777777" w:rsidR="0087182B" w:rsidRDefault="0087182B" w:rsidP="0087182B">
            <w:pPr>
              <w:pStyle w:val="ListParagraph"/>
              <w:numPr>
                <w:ilvl w:val="0"/>
                <w:numId w:val="18"/>
              </w:numPr>
            </w:pPr>
            <w:r>
              <w:t>Accumulation of toxic/active metabolites</w:t>
            </w:r>
          </w:p>
          <w:p w14:paraId="052EBCA3" w14:textId="77777777" w:rsidR="0087182B" w:rsidRDefault="0087182B" w:rsidP="0087182B">
            <w:pPr>
              <w:pStyle w:val="ListParagraph"/>
              <w:numPr>
                <w:ilvl w:val="0"/>
                <w:numId w:val="18"/>
              </w:numPr>
            </w:pPr>
            <w:r>
              <w:t>Central nervous system and respiratory depression</w:t>
            </w:r>
          </w:p>
        </w:tc>
        <w:tc>
          <w:tcPr>
            <w:tcW w:w="4357" w:type="dxa"/>
          </w:tcPr>
          <w:p w14:paraId="6D07668B" w14:textId="3089564E" w:rsidR="0087182B" w:rsidRDefault="009E04BD" w:rsidP="0087182B">
            <w:pPr>
              <w:pStyle w:val="ListParagraph"/>
              <w:numPr>
                <w:ilvl w:val="0"/>
                <w:numId w:val="18"/>
              </w:numPr>
            </w:pPr>
            <w:r>
              <w:t xml:space="preserve">Caution </w:t>
            </w:r>
            <w:r w:rsidR="0087182B">
              <w:t>in CKD 4 or 5</w:t>
            </w:r>
          </w:p>
          <w:p w14:paraId="4FF5DE94" w14:textId="77777777" w:rsidR="0087182B" w:rsidRDefault="0087182B" w:rsidP="0087182B">
            <w:pPr>
              <w:pStyle w:val="ListParagraph"/>
              <w:numPr>
                <w:ilvl w:val="0"/>
                <w:numId w:val="18"/>
              </w:numPr>
            </w:pPr>
            <w:r>
              <w:t>Dose reduction in earlier stages of impairment (e.g. reduction of 50-75% for morphine and codeine)</w:t>
            </w:r>
          </w:p>
          <w:p w14:paraId="2668A5D0" w14:textId="77777777" w:rsidR="0087182B" w:rsidRDefault="0087182B" w:rsidP="0087182B">
            <w:pPr>
              <w:pStyle w:val="ListParagraph"/>
              <w:numPr>
                <w:ilvl w:val="0"/>
                <w:numId w:val="18"/>
              </w:numPr>
            </w:pPr>
            <w:r>
              <w:t>Avoid s</w:t>
            </w:r>
            <w:r w:rsidRPr="0006755A">
              <w:t xml:space="preserve">low-release preparations </w:t>
            </w:r>
          </w:p>
          <w:p w14:paraId="2E5B3343" w14:textId="77777777" w:rsidR="0087182B" w:rsidRDefault="0087182B" w:rsidP="0087182B">
            <w:pPr>
              <w:pStyle w:val="ListParagraph"/>
              <w:numPr>
                <w:ilvl w:val="0"/>
                <w:numId w:val="18"/>
              </w:numPr>
            </w:pPr>
            <w:r w:rsidRPr="0006755A">
              <w:t>Consider using opiates with lower dependence on renal excretion such as oxycodone and fentanyl</w:t>
            </w:r>
            <w:r>
              <w:fldChar w:fldCharType="begin" w:fldLock="1"/>
            </w:r>
            <w:r w:rsidR="00067F6A">
              <w:instrText>ADDIN CSL_CITATION {"citationItems":[{"id":"ITEM-1","itemData":{"ISSN":"0002-838X","abstract":"Chronic kidney disease affects renal drug elimination and other pharmacokinetic processes involved in drug disposition (e.g., absorption, drug distribution, nonrenal clearance [metabolism]). Drug dosing errors are common in patients with renal impairment and can cause adverse effects and poor outcomes. Dosages of drugs cleared renally should be adjusted according to creatinine clearance or glomerular filtration rate and should be calculated using online or electronic calculators. Recommended methods for maintenance dosing adjustments are dose reductions, lengthening the dosing interval, or both. Physicians should be familiar with commonly used medications that require dosage adjustments. Resources are available to assist in dosing decisions for patients with chronic kidney disease.","author":[{"dropping-particle":"","family":"Munar","given":"Myrna Y","non-dropping-particle":"","parse-names":false,"suffix":""},{"dropping-particle":"","family":"Singh","given":"Harleen","non-dropping-particle":"","parse-names":false,"suffix":""}],"container-title":"American Family Physician","id":"ITEM-1","issue":"10","issued":{"date-parts":[["2007","5","15"]]},"number-of-pages":"1487-1496","title":"Drug Dosing Adjustments in Patients with Chronic Kidney Disease","type":"report","volume":"75"},"uris":["http://www.mendeley.com/documents/?uuid=a77ee119-28ee-3ba9-a217-84c3a8b044a8"]}],"mendeley":{"formattedCitation":"[21]","plainTextFormattedCitation":"[21]","previouslyFormattedCitation":"[20]"},"properties":{"noteIndex":0},"schema":"https://github.com/citation-style-language/schema/raw/master/csl-citation.json"}</w:instrText>
            </w:r>
            <w:r>
              <w:fldChar w:fldCharType="separate"/>
            </w:r>
            <w:r w:rsidR="00067F6A" w:rsidRPr="00067F6A">
              <w:rPr>
                <w:noProof/>
              </w:rPr>
              <w:t>[21]</w:t>
            </w:r>
            <w:r>
              <w:fldChar w:fldCharType="end"/>
            </w:r>
            <w:r w:rsidR="00EF57DB">
              <w:t xml:space="preserve">. Fentanyl should only be used under the </w:t>
            </w:r>
            <w:r w:rsidR="001B0BDD">
              <w:t>direction</w:t>
            </w:r>
            <w:r w:rsidR="00EF57DB">
              <w:t xml:space="preserve"> of a specialist team</w:t>
            </w:r>
            <w:r w:rsidR="006A66B0">
              <w:t xml:space="preserve">. </w:t>
            </w:r>
          </w:p>
          <w:p w14:paraId="17ADF26F" w14:textId="44A5AFCC" w:rsidR="00E4720D" w:rsidRDefault="00E4720D" w:rsidP="0087182B">
            <w:pPr>
              <w:pStyle w:val="ListParagraph"/>
              <w:numPr>
                <w:ilvl w:val="0"/>
                <w:numId w:val="18"/>
              </w:numPr>
            </w:pPr>
            <w:r w:rsidRPr="00E4720D">
              <w:lastRenderedPageBreak/>
              <w:t>Consider nurse or parent/patient controlled analgesia rather than continuous infusion</w:t>
            </w:r>
          </w:p>
        </w:tc>
      </w:tr>
      <w:tr w:rsidR="0087182B" w14:paraId="7040BFDB" w14:textId="77777777" w:rsidTr="00266A44">
        <w:trPr>
          <w:trHeight w:val="375"/>
        </w:trPr>
        <w:tc>
          <w:tcPr>
            <w:tcW w:w="2171" w:type="dxa"/>
          </w:tcPr>
          <w:p w14:paraId="4518EBED" w14:textId="0F15C7EB" w:rsidR="00F038C4" w:rsidRDefault="0087182B" w:rsidP="00374A98">
            <w:r>
              <w:lastRenderedPageBreak/>
              <w:t>N</w:t>
            </w:r>
            <w:r w:rsidR="00E87CDA">
              <w:t>on</w:t>
            </w:r>
            <w:r w:rsidR="000D66F5">
              <w:t>-sterodal anti-inflammatory drugs (N</w:t>
            </w:r>
            <w:r>
              <w:t>SAIDs</w:t>
            </w:r>
            <w:r w:rsidR="000D66F5">
              <w:t>)</w:t>
            </w:r>
            <w:r w:rsidR="00F038C4">
              <w:t xml:space="preserve"> e.g:</w:t>
            </w:r>
          </w:p>
          <w:p w14:paraId="5EA3FD57" w14:textId="77777777" w:rsidR="000D3546" w:rsidRDefault="000D3546" w:rsidP="000D3546">
            <w:pPr>
              <w:pStyle w:val="ListParagraph"/>
              <w:numPr>
                <w:ilvl w:val="0"/>
                <w:numId w:val="23"/>
              </w:numPr>
            </w:pPr>
            <w:r>
              <w:t>Ibuprofen</w:t>
            </w:r>
          </w:p>
          <w:p w14:paraId="7B8929F8" w14:textId="77777777" w:rsidR="000D3546" w:rsidRDefault="000D3546" w:rsidP="000D3546">
            <w:pPr>
              <w:pStyle w:val="ListParagraph"/>
              <w:numPr>
                <w:ilvl w:val="0"/>
                <w:numId w:val="23"/>
              </w:numPr>
            </w:pPr>
            <w:r>
              <w:t>Diclofenac</w:t>
            </w:r>
          </w:p>
          <w:p w14:paraId="7F7E9CCD" w14:textId="77777777" w:rsidR="000D3546" w:rsidRDefault="000D3546" w:rsidP="000D3546">
            <w:pPr>
              <w:pStyle w:val="ListParagraph"/>
              <w:numPr>
                <w:ilvl w:val="0"/>
                <w:numId w:val="23"/>
              </w:numPr>
            </w:pPr>
            <w:r>
              <w:t>Celecoxib</w:t>
            </w:r>
          </w:p>
          <w:p w14:paraId="619A228A" w14:textId="1A6DC080" w:rsidR="000D3546" w:rsidRDefault="000D3546" w:rsidP="00266A44">
            <w:pPr>
              <w:pStyle w:val="ListParagraph"/>
              <w:ind w:left="360"/>
            </w:pPr>
          </w:p>
        </w:tc>
        <w:tc>
          <w:tcPr>
            <w:tcW w:w="3920" w:type="dxa"/>
          </w:tcPr>
          <w:p w14:paraId="712BE8DD" w14:textId="1FC0B9DE" w:rsidR="0087182B" w:rsidRDefault="0087182B" w:rsidP="00374A98">
            <w:pPr>
              <w:pStyle w:val="ListParagraph"/>
              <w:numPr>
                <w:ilvl w:val="0"/>
                <w:numId w:val="19"/>
              </w:numPr>
            </w:pPr>
            <w:r>
              <w:rPr>
                <w:bCs/>
              </w:rPr>
              <w:t>I</w:t>
            </w:r>
            <w:r w:rsidRPr="0006755A">
              <w:rPr>
                <w:bCs/>
              </w:rPr>
              <w:t>nhibit</w:t>
            </w:r>
            <w:r w:rsidRPr="0006755A">
              <w:t> prostaglandin synthesis which may result in sodium retention</w:t>
            </w:r>
            <w:r>
              <w:t xml:space="preserve"> and</w:t>
            </w:r>
            <w:r w:rsidRPr="0006755A">
              <w:t xml:space="preserve"> reduced </w:t>
            </w:r>
            <w:r w:rsidR="00374A98">
              <w:t>kidney</w:t>
            </w:r>
            <w:r w:rsidR="00374A98" w:rsidRPr="0006755A">
              <w:t xml:space="preserve"> </w:t>
            </w:r>
            <w:r w:rsidRPr="0006755A">
              <w:t>blood flow</w:t>
            </w:r>
          </w:p>
        </w:tc>
        <w:tc>
          <w:tcPr>
            <w:tcW w:w="3502" w:type="dxa"/>
          </w:tcPr>
          <w:p w14:paraId="3C91533B" w14:textId="0C04F018" w:rsidR="0087182B" w:rsidRDefault="0087182B" w:rsidP="00374A98">
            <w:pPr>
              <w:pStyle w:val="ListParagraph"/>
              <w:numPr>
                <w:ilvl w:val="0"/>
                <w:numId w:val="19"/>
              </w:numPr>
            </w:pPr>
            <w:r>
              <w:t xml:space="preserve">Increased impact on </w:t>
            </w:r>
            <w:r w:rsidR="00374A98">
              <w:t xml:space="preserve">kidney </w:t>
            </w:r>
            <w:r>
              <w:t xml:space="preserve">blood flow, causing further decline of </w:t>
            </w:r>
            <w:r w:rsidR="00374A98">
              <w:t xml:space="preserve">kidney </w:t>
            </w:r>
            <w:r>
              <w:t>function</w:t>
            </w:r>
          </w:p>
        </w:tc>
        <w:tc>
          <w:tcPr>
            <w:tcW w:w="4357" w:type="dxa"/>
          </w:tcPr>
          <w:p w14:paraId="49B05136" w14:textId="77777777" w:rsidR="00C2417D" w:rsidRDefault="008C5AEF" w:rsidP="0087182B">
            <w:pPr>
              <w:pStyle w:val="ListParagraph"/>
              <w:numPr>
                <w:ilvl w:val="0"/>
                <w:numId w:val="19"/>
              </w:numPr>
            </w:pPr>
            <w:r>
              <w:t>Avoid if possible</w:t>
            </w:r>
          </w:p>
          <w:p w14:paraId="2E32DC78" w14:textId="5ACA9761" w:rsidR="0087182B" w:rsidRDefault="00C2417D" w:rsidP="0087182B">
            <w:pPr>
              <w:pStyle w:val="ListParagraph"/>
              <w:numPr>
                <w:ilvl w:val="0"/>
                <w:numId w:val="19"/>
              </w:numPr>
            </w:pPr>
            <w:r>
              <w:t>I</w:t>
            </w:r>
            <w:r w:rsidR="008C5AEF">
              <w:t xml:space="preserve">f an NSAID is required liaise </w:t>
            </w:r>
            <w:r w:rsidR="00972620">
              <w:t xml:space="preserve">with </w:t>
            </w:r>
            <w:r>
              <w:t>a</w:t>
            </w:r>
            <w:r w:rsidR="0046060D">
              <w:t xml:space="preserve"> nephrolog</w:t>
            </w:r>
            <w:r>
              <w:t>ist and/or specialist pharmacist</w:t>
            </w:r>
            <w:r w:rsidR="0046060D">
              <w:t xml:space="preserve"> </w:t>
            </w:r>
            <w:r w:rsidR="0087182B">
              <w:fldChar w:fldCharType="begin" w:fldLock="1"/>
            </w:r>
            <w:r w:rsidR="00067F6A">
              <w:instrText>ADDIN CSL_CITATION {"citationItems":[{"id":"ITEM-1","itemData":{"DOI":"10.1053/j.ajkd.2020.03.023","ISSN":"15236838","PMID":"32479922","abstract":"The management of pain in patients with chronic kidney disease (CKD) is challenging for many reasons. These patients have increased susceptibility to adverse drug effects due to altered drug metabolism and excretion, and there are limited safety data for use in this population despite a high pain burden. Nonsteroidal anti-inflammatory drugs (NSAIDs) have long been regarded as dangerous for use in patients with CKD because of their risk for nephrotoxicity and thus alternative classes of analgesics, including opioids, have become more commonly used for pain control in this population. Given the well-established risks that opioids and other analgesics pose, further characterization of the risk posed by NSAIDs in patients with CKD is warranted. NSAID use has been associated with acute kidney injury, progressive loss of glomerular filtration rate in CKD, electrolyte derangements, and hypervolemia with worsening of heart failure and hypertension. The risk for these nephrotoxicity syndromes is modified by many comorbid conditions, risk factors, and characteristics of use, and in patients with CKD, the risk differs between levels of glomerular filtration rate. In this review, we offer recommendations for the cautious use of NSAIDs in the CKD population after careful consideration of these risk factors on an individualized basis.","author":[{"dropping-particle":"","family":"Baker","given":"Megan","non-dropping-particle":"","parse-names":false,"suffix":""},{"dropping-particle":"","family":"Perazella","given":"Mark A.","non-dropping-particle":"","parse-names":false,"suffix":""}],"container-title":"American Journal of Kidney Diseases","id":"ITEM-1","issue":"4","issued":{"date-parts":[["2020","10","1"]]},"page":"546-557","publisher":"W.B. Saunders","title":"NSAIDs in CKD: Are They Safe?","type":"article","volume":"76"},"uris":["http://www.mendeley.com/documents/?uuid=0917a384-48ff-3567-bd97-fe4dea01b648"]}],"mendeley":{"formattedCitation":"[24]","plainTextFormattedCitation":"[24]","previouslyFormattedCitation":"[23]"},"properties":{"noteIndex":0},"schema":"https://github.com/citation-style-language/schema/raw/master/csl-citation.json"}</w:instrText>
            </w:r>
            <w:r w:rsidR="0087182B">
              <w:fldChar w:fldCharType="separate"/>
            </w:r>
            <w:r w:rsidR="00067F6A" w:rsidRPr="00067F6A">
              <w:rPr>
                <w:noProof/>
              </w:rPr>
              <w:t>[24]</w:t>
            </w:r>
            <w:r w:rsidR="0087182B">
              <w:fldChar w:fldCharType="end"/>
            </w:r>
          </w:p>
        </w:tc>
      </w:tr>
      <w:tr w:rsidR="00D6111E" w14:paraId="2863B8C9" w14:textId="77777777" w:rsidTr="002E0B17">
        <w:trPr>
          <w:trHeight w:val="375"/>
        </w:trPr>
        <w:tc>
          <w:tcPr>
            <w:tcW w:w="13950" w:type="dxa"/>
            <w:gridSpan w:val="4"/>
          </w:tcPr>
          <w:p w14:paraId="680BD127" w14:textId="4CB4E1B1" w:rsidR="00D6111E" w:rsidRPr="00266A44" w:rsidRDefault="00D6111E" w:rsidP="00266A44">
            <w:pPr>
              <w:rPr>
                <w:b/>
                <w:bCs/>
              </w:rPr>
            </w:pPr>
            <w:r w:rsidRPr="00266A44">
              <w:rPr>
                <w:b/>
                <w:bCs/>
              </w:rPr>
              <w:t xml:space="preserve">Diurectics </w:t>
            </w:r>
          </w:p>
        </w:tc>
      </w:tr>
      <w:tr w:rsidR="00D6111E" w14:paraId="451CEC32" w14:textId="77777777" w:rsidTr="00266A44">
        <w:trPr>
          <w:trHeight w:val="375"/>
        </w:trPr>
        <w:tc>
          <w:tcPr>
            <w:tcW w:w="2171" w:type="dxa"/>
          </w:tcPr>
          <w:p w14:paraId="4E530BF0" w14:textId="47A626B9" w:rsidR="00D6111E" w:rsidRDefault="00D6111E" w:rsidP="00D6111E">
            <w:pPr>
              <w:pStyle w:val="ListParagraph"/>
              <w:numPr>
                <w:ilvl w:val="0"/>
                <w:numId w:val="26"/>
              </w:numPr>
            </w:pPr>
            <w:r>
              <w:t>Furosemide</w:t>
            </w:r>
          </w:p>
          <w:p w14:paraId="4C285F2C" w14:textId="3B150794" w:rsidR="00286879" w:rsidRDefault="00286879" w:rsidP="00266A44">
            <w:pPr>
              <w:pStyle w:val="ListParagraph"/>
              <w:numPr>
                <w:ilvl w:val="0"/>
                <w:numId w:val="26"/>
              </w:numPr>
            </w:pPr>
            <w:r>
              <w:t>Spironolactone</w:t>
            </w:r>
            <w:r w:rsidR="00F86538">
              <w:t xml:space="preserve"> (potassium sparing diuretic)</w:t>
            </w:r>
          </w:p>
          <w:p w14:paraId="492189AC" w14:textId="22A5D116" w:rsidR="00D6111E" w:rsidRDefault="00D6111E" w:rsidP="00374A98"/>
        </w:tc>
        <w:tc>
          <w:tcPr>
            <w:tcW w:w="3920" w:type="dxa"/>
          </w:tcPr>
          <w:p w14:paraId="26AB6493" w14:textId="5E06032C" w:rsidR="00D6111E" w:rsidRPr="00F86538" w:rsidRDefault="00F86538">
            <w:pPr>
              <w:pStyle w:val="ListParagraph"/>
              <w:numPr>
                <w:ilvl w:val="0"/>
                <w:numId w:val="19"/>
              </w:numPr>
              <w:rPr>
                <w:bCs/>
              </w:rPr>
            </w:pPr>
            <w:r>
              <w:rPr>
                <w:bCs/>
              </w:rPr>
              <w:t>Varies with different diuretics however the ultimate aim is to i</w:t>
            </w:r>
            <w:r w:rsidR="00E8116C" w:rsidRPr="00266A44">
              <w:rPr>
                <w:color w:val="000000"/>
                <w:shd w:val="clear" w:color="auto" w:fill="FFFFFF"/>
              </w:rPr>
              <w:t>ncrease the amount of water in the urine</w:t>
            </w:r>
          </w:p>
        </w:tc>
        <w:tc>
          <w:tcPr>
            <w:tcW w:w="3502" w:type="dxa"/>
          </w:tcPr>
          <w:p w14:paraId="353BB492" w14:textId="77777777" w:rsidR="00D6111E" w:rsidRDefault="007D1447" w:rsidP="00374A98">
            <w:pPr>
              <w:pStyle w:val="ListParagraph"/>
              <w:numPr>
                <w:ilvl w:val="0"/>
                <w:numId w:val="19"/>
              </w:numPr>
            </w:pPr>
            <w:r>
              <w:t xml:space="preserve">Can cause a reduction in GFR if their use results in hypovolaemia. </w:t>
            </w:r>
          </w:p>
          <w:p w14:paraId="183E341F" w14:textId="1F204D21" w:rsidR="007D1447" w:rsidRDefault="007D1447" w:rsidP="00266A44">
            <w:pPr>
              <w:pStyle w:val="ListParagraph"/>
              <w:ind w:left="360"/>
            </w:pPr>
          </w:p>
        </w:tc>
        <w:tc>
          <w:tcPr>
            <w:tcW w:w="4357" w:type="dxa"/>
          </w:tcPr>
          <w:p w14:paraId="599DA95B" w14:textId="1740786C" w:rsidR="00E8116C" w:rsidRDefault="00F86538" w:rsidP="0087182B">
            <w:pPr>
              <w:pStyle w:val="ListParagraph"/>
              <w:numPr>
                <w:ilvl w:val="0"/>
                <w:numId w:val="19"/>
              </w:numPr>
            </w:pPr>
            <w:r>
              <w:t>Use with caution</w:t>
            </w:r>
          </w:p>
          <w:p w14:paraId="25623F23" w14:textId="367F0631" w:rsidR="00D6111E" w:rsidRDefault="00E8116C" w:rsidP="0087182B">
            <w:pPr>
              <w:pStyle w:val="ListParagraph"/>
              <w:numPr>
                <w:ilvl w:val="0"/>
                <w:numId w:val="19"/>
              </w:numPr>
            </w:pPr>
            <w:r>
              <w:t>Increased risk of hyperkalaemia</w:t>
            </w:r>
            <w:r w:rsidR="00F86538">
              <w:t xml:space="preserve"> with potassium sparing diuretics</w:t>
            </w:r>
          </w:p>
        </w:tc>
      </w:tr>
      <w:tr w:rsidR="0087182B" w:rsidRPr="0006755A" w14:paraId="3885B066" w14:textId="77777777" w:rsidTr="0087182B">
        <w:trPr>
          <w:trHeight w:val="375"/>
        </w:trPr>
        <w:tc>
          <w:tcPr>
            <w:tcW w:w="13950" w:type="dxa"/>
            <w:gridSpan w:val="4"/>
          </w:tcPr>
          <w:p w14:paraId="7F0D33B5" w14:textId="291E4BCA" w:rsidR="0087182B" w:rsidRPr="00266A44" w:rsidRDefault="00B0724A" w:rsidP="00374A98">
            <w:pPr>
              <w:rPr>
                <w:rFonts w:asciiTheme="majorHAnsi" w:hAnsiTheme="majorHAnsi" w:cstheme="majorHAnsi"/>
                <w:b/>
                <w:bCs/>
              </w:rPr>
            </w:pPr>
            <w:r w:rsidRPr="00266A44">
              <w:rPr>
                <w:rStyle w:val="normaltextrun"/>
                <w:rFonts w:asciiTheme="majorHAnsi" w:hAnsiTheme="majorHAnsi" w:cstheme="majorHAnsi"/>
                <w:b/>
                <w:bCs/>
                <w:color w:val="000000"/>
                <w:shd w:val="clear" w:color="auto" w:fill="FFFFFF"/>
              </w:rPr>
              <w:t>A</w:t>
            </w:r>
            <w:r w:rsidR="00A1326A" w:rsidRPr="007F7CAC">
              <w:rPr>
                <w:rStyle w:val="normaltextrun"/>
                <w:rFonts w:asciiTheme="majorHAnsi" w:hAnsiTheme="majorHAnsi" w:cstheme="majorHAnsi"/>
                <w:b/>
                <w:bCs/>
                <w:color w:val="000000"/>
                <w:shd w:val="clear" w:color="auto" w:fill="FFFFFF"/>
              </w:rPr>
              <w:t>n</w:t>
            </w:r>
            <w:r w:rsidR="00A1326A" w:rsidRPr="00266A44">
              <w:rPr>
                <w:rStyle w:val="normaltextrun"/>
                <w:rFonts w:asciiTheme="majorHAnsi" w:hAnsiTheme="majorHAnsi" w:cstheme="majorHAnsi"/>
                <w:b/>
                <w:bCs/>
                <w:color w:val="000000"/>
                <w:shd w:val="clear" w:color="auto" w:fill="FFFFFF"/>
              </w:rPr>
              <w:t>giotensin-converting enzyme (AC</w:t>
            </w:r>
            <w:r w:rsidR="007F7CAC" w:rsidRPr="00266A44">
              <w:rPr>
                <w:rStyle w:val="normaltextrun"/>
                <w:rFonts w:asciiTheme="majorHAnsi" w:hAnsiTheme="majorHAnsi" w:cstheme="majorHAnsi"/>
                <w:b/>
                <w:bCs/>
                <w:color w:val="000000"/>
                <w:shd w:val="clear" w:color="auto" w:fill="FFFFFF"/>
              </w:rPr>
              <w:t>E</w:t>
            </w:r>
            <w:r w:rsidR="00A1326A" w:rsidRPr="00266A44">
              <w:rPr>
                <w:rStyle w:val="normaltextrun"/>
                <w:rFonts w:asciiTheme="majorHAnsi" w:hAnsiTheme="majorHAnsi" w:cstheme="majorHAnsi"/>
                <w:b/>
                <w:bCs/>
                <w:color w:val="000000"/>
                <w:shd w:val="clear" w:color="auto" w:fill="FFFFFF"/>
              </w:rPr>
              <w:t xml:space="preserve">) </w:t>
            </w:r>
            <w:r w:rsidR="00BA6E87" w:rsidRPr="00266A44">
              <w:rPr>
                <w:rStyle w:val="normaltextrun"/>
                <w:rFonts w:asciiTheme="majorHAnsi" w:hAnsiTheme="majorHAnsi" w:cstheme="majorHAnsi"/>
                <w:b/>
                <w:bCs/>
                <w:color w:val="000000"/>
                <w:shd w:val="clear" w:color="auto" w:fill="FFFFFF"/>
              </w:rPr>
              <w:t>and Angiotensin receptor blockers (ARB</w:t>
            </w:r>
            <w:r w:rsidR="007F7CAC" w:rsidRPr="00266A44">
              <w:rPr>
                <w:rStyle w:val="normaltextrun"/>
                <w:rFonts w:asciiTheme="majorHAnsi" w:hAnsiTheme="majorHAnsi" w:cstheme="majorHAnsi"/>
                <w:b/>
                <w:bCs/>
                <w:color w:val="000000"/>
                <w:shd w:val="clear" w:color="auto" w:fill="FFFFFF"/>
              </w:rPr>
              <w:t xml:space="preserve">s) </w:t>
            </w:r>
            <w:r w:rsidRPr="00266A44">
              <w:rPr>
                <w:rStyle w:val="normaltextrun"/>
                <w:rFonts w:asciiTheme="majorHAnsi" w:hAnsiTheme="majorHAnsi" w:cstheme="majorHAnsi"/>
                <w:b/>
                <w:bCs/>
                <w:color w:val="000000"/>
                <w:shd w:val="clear" w:color="auto" w:fill="FFFFFF"/>
              </w:rPr>
              <w:t>Inhibitors</w:t>
            </w:r>
            <w:r w:rsidRPr="00266A44">
              <w:rPr>
                <w:rStyle w:val="eop"/>
                <w:rFonts w:asciiTheme="majorHAnsi" w:hAnsiTheme="majorHAnsi" w:cstheme="majorHAnsi"/>
                <w:b/>
                <w:bCs/>
                <w:color w:val="000000"/>
                <w:shd w:val="clear" w:color="auto" w:fill="FFFFFF"/>
              </w:rPr>
              <w:t> </w:t>
            </w:r>
            <w:r w:rsidRPr="00266A44" w:rsidDel="003852A7">
              <w:rPr>
                <w:rFonts w:asciiTheme="majorHAnsi" w:hAnsiTheme="majorHAnsi" w:cstheme="majorHAnsi"/>
                <w:b/>
                <w:bCs/>
              </w:rPr>
              <w:t xml:space="preserve"> </w:t>
            </w:r>
          </w:p>
        </w:tc>
      </w:tr>
      <w:tr w:rsidR="003852A7" w14:paraId="5C3DC9A2" w14:textId="77777777" w:rsidTr="0087182B">
        <w:trPr>
          <w:trHeight w:val="375"/>
        </w:trPr>
        <w:tc>
          <w:tcPr>
            <w:tcW w:w="2171" w:type="dxa"/>
          </w:tcPr>
          <w:p w14:paraId="357084DE" w14:textId="22BA9855" w:rsidR="00F038C4" w:rsidRDefault="00F038C4" w:rsidP="00F038C4">
            <w:r>
              <w:t>Examples include:</w:t>
            </w:r>
          </w:p>
          <w:p w14:paraId="38808334" w14:textId="3F04C7C4" w:rsidR="003852A7" w:rsidRDefault="00E87CDA" w:rsidP="00266A44">
            <w:pPr>
              <w:pStyle w:val="ListParagraph"/>
              <w:numPr>
                <w:ilvl w:val="0"/>
                <w:numId w:val="25"/>
              </w:numPr>
            </w:pPr>
            <w:r>
              <w:t>Lisinopril</w:t>
            </w:r>
          </w:p>
          <w:p w14:paraId="191A9E42" w14:textId="095FDE01" w:rsidR="00E87CDA" w:rsidRDefault="00E87CDA" w:rsidP="005116D3">
            <w:pPr>
              <w:pStyle w:val="ListParagraph"/>
              <w:numPr>
                <w:ilvl w:val="0"/>
                <w:numId w:val="24"/>
              </w:numPr>
            </w:pPr>
            <w:r>
              <w:t xml:space="preserve">Captopril </w:t>
            </w:r>
          </w:p>
          <w:p w14:paraId="3DD47281" w14:textId="26B3CAA1" w:rsidR="00F038C4" w:rsidRDefault="00F038C4" w:rsidP="00266A44">
            <w:pPr>
              <w:pStyle w:val="ListParagraph"/>
              <w:numPr>
                <w:ilvl w:val="0"/>
                <w:numId w:val="24"/>
              </w:numPr>
            </w:pPr>
            <w:r>
              <w:t>Losartan</w:t>
            </w:r>
          </w:p>
          <w:p w14:paraId="173F2C8B" w14:textId="77777777" w:rsidR="007F7CAC" w:rsidRDefault="007F7CAC" w:rsidP="00374A98"/>
          <w:p w14:paraId="7ABE3C33" w14:textId="77777777" w:rsidR="007F7CAC" w:rsidRDefault="007F7CAC" w:rsidP="00374A98"/>
          <w:p w14:paraId="47F5046A" w14:textId="1322C8DD" w:rsidR="007F7CAC" w:rsidRDefault="007F7CAC" w:rsidP="00374A98"/>
        </w:tc>
        <w:tc>
          <w:tcPr>
            <w:tcW w:w="3920" w:type="dxa"/>
          </w:tcPr>
          <w:p w14:paraId="6C2D0B09" w14:textId="759AC99E" w:rsidR="00CF03ED" w:rsidRDefault="00CF03ED" w:rsidP="00CF03ED">
            <w:pPr>
              <w:pStyle w:val="ListParagraph"/>
              <w:numPr>
                <w:ilvl w:val="0"/>
                <w:numId w:val="19"/>
              </w:numPr>
              <w:rPr>
                <w:bCs/>
              </w:rPr>
            </w:pPr>
            <w:r>
              <w:rPr>
                <w:bCs/>
              </w:rPr>
              <w:t>ACE inhibitor</w:t>
            </w:r>
            <w:r w:rsidR="00136EC7">
              <w:rPr>
                <w:bCs/>
              </w:rPr>
              <w:t xml:space="preserve">s and ARBs inhibit the renin-angiotension-aldosterone system                  </w:t>
            </w:r>
            <w:r>
              <w:rPr>
                <w:bCs/>
              </w:rPr>
              <w:t xml:space="preserve">                     </w:t>
            </w:r>
          </w:p>
          <w:p w14:paraId="1DB73DC3" w14:textId="3B660625" w:rsidR="00CF03ED" w:rsidRPr="00FA3A03" w:rsidRDefault="00CF03ED" w:rsidP="00266A44">
            <w:pPr>
              <w:rPr>
                <w:bCs/>
              </w:rPr>
            </w:pPr>
          </w:p>
        </w:tc>
        <w:tc>
          <w:tcPr>
            <w:tcW w:w="3502" w:type="dxa"/>
          </w:tcPr>
          <w:p w14:paraId="19C920DB" w14:textId="284255AF" w:rsidR="003852A7" w:rsidRDefault="00E84160" w:rsidP="0087182B">
            <w:pPr>
              <w:pStyle w:val="ListParagraph"/>
              <w:numPr>
                <w:ilvl w:val="0"/>
                <w:numId w:val="19"/>
              </w:numPr>
              <w:rPr>
                <w:bCs/>
              </w:rPr>
            </w:pPr>
            <w:r>
              <w:t xml:space="preserve">May increase the risk of  AKI                        by reducing glomerular perfusion. </w:t>
            </w:r>
          </w:p>
        </w:tc>
        <w:tc>
          <w:tcPr>
            <w:tcW w:w="4357" w:type="dxa"/>
          </w:tcPr>
          <w:p w14:paraId="150234AF" w14:textId="77777777" w:rsidR="003852A7" w:rsidRDefault="00E84160" w:rsidP="0087182B">
            <w:pPr>
              <w:pStyle w:val="ListParagraph"/>
              <w:numPr>
                <w:ilvl w:val="0"/>
                <w:numId w:val="19"/>
              </w:numPr>
            </w:pPr>
            <w:r>
              <w:t>Close monitoring of renal function during therapy.</w:t>
            </w:r>
          </w:p>
          <w:p w14:paraId="7A301528" w14:textId="77777777" w:rsidR="00E84160" w:rsidRDefault="00E84160" w:rsidP="0087182B">
            <w:pPr>
              <w:pStyle w:val="ListParagraph"/>
              <w:numPr>
                <w:ilvl w:val="0"/>
                <w:numId w:val="19"/>
              </w:numPr>
            </w:pPr>
            <w:r>
              <w:t xml:space="preserve">Monitor for hyperkalaemia </w:t>
            </w:r>
          </w:p>
          <w:p w14:paraId="53FE422E" w14:textId="0405B525" w:rsidR="00E84160" w:rsidRDefault="007D1447" w:rsidP="0087182B">
            <w:pPr>
              <w:pStyle w:val="ListParagraph"/>
              <w:numPr>
                <w:ilvl w:val="0"/>
                <w:numId w:val="19"/>
              </w:numPr>
            </w:pPr>
            <w:r>
              <w:t xml:space="preserve">If </w:t>
            </w:r>
            <w:r w:rsidR="00E8116C">
              <w:t xml:space="preserve">an </w:t>
            </w:r>
            <w:r w:rsidR="00286879">
              <w:t xml:space="preserve">episode of AKI </w:t>
            </w:r>
            <w:r w:rsidR="0045244B">
              <w:t>occurs</w:t>
            </w:r>
            <w:r w:rsidR="00E8116C">
              <w:t>– consider omitting treatment until AKI resolves/liaise with</w:t>
            </w:r>
            <w:r w:rsidR="00F86538">
              <w:t xml:space="preserve"> a</w:t>
            </w:r>
            <w:r w:rsidR="00E8116C">
              <w:t xml:space="preserve"> nephrologist</w:t>
            </w:r>
          </w:p>
        </w:tc>
      </w:tr>
      <w:tr w:rsidR="003852A7" w14:paraId="0A6645EC" w14:textId="77777777" w:rsidTr="00755A8C">
        <w:trPr>
          <w:trHeight w:val="375"/>
        </w:trPr>
        <w:tc>
          <w:tcPr>
            <w:tcW w:w="13950" w:type="dxa"/>
            <w:gridSpan w:val="4"/>
          </w:tcPr>
          <w:p w14:paraId="73547701" w14:textId="4FDD185B" w:rsidR="003852A7" w:rsidRDefault="003852A7" w:rsidP="00266A44">
            <w:r w:rsidRPr="0006755A">
              <w:rPr>
                <w:b/>
              </w:rPr>
              <w:t>Specialist medications</w:t>
            </w:r>
          </w:p>
        </w:tc>
      </w:tr>
      <w:tr w:rsidR="0087182B" w14:paraId="6171931E" w14:textId="77777777" w:rsidTr="0087182B">
        <w:trPr>
          <w:trHeight w:val="375"/>
        </w:trPr>
        <w:tc>
          <w:tcPr>
            <w:tcW w:w="2171" w:type="dxa"/>
          </w:tcPr>
          <w:p w14:paraId="7BCD0674" w14:textId="77777777" w:rsidR="0087182B" w:rsidRDefault="0087182B" w:rsidP="00374A98">
            <w:r>
              <w:lastRenderedPageBreak/>
              <w:t>Calcineurin inhibitors</w:t>
            </w:r>
          </w:p>
          <w:p w14:paraId="037D8256" w14:textId="77777777" w:rsidR="0087182B" w:rsidRDefault="0087182B" w:rsidP="0087182B">
            <w:pPr>
              <w:pStyle w:val="ListParagraph"/>
              <w:numPr>
                <w:ilvl w:val="0"/>
                <w:numId w:val="20"/>
              </w:numPr>
            </w:pPr>
            <w:r>
              <w:t xml:space="preserve">Tacrolimus </w:t>
            </w:r>
          </w:p>
          <w:p w14:paraId="00FDC9D4" w14:textId="77777777" w:rsidR="0087182B" w:rsidRDefault="0087182B" w:rsidP="0087182B">
            <w:pPr>
              <w:pStyle w:val="ListParagraph"/>
              <w:numPr>
                <w:ilvl w:val="0"/>
                <w:numId w:val="20"/>
              </w:numPr>
            </w:pPr>
            <w:r>
              <w:t>Ciclosporin</w:t>
            </w:r>
          </w:p>
        </w:tc>
        <w:tc>
          <w:tcPr>
            <w:tcW w:w="3920" w:type="dxa"/>
          </w:tcPr>
          <w:p w14:paraId="7238EBB0" w14:textId="0A4E5F46" w:rsidR="00A77FCC" w:rsidRDefault="00A77FCC" w:rsidP="00374A98">
            <w:pPr>
              <w:pStyle w:val="ListParagraph"/>
              <w:numPr>
                <w:ilvl w:val="0"/>
                <w:numId w:val="19"/>
              </w:numPr>
              <w:rPr>
                <w:bCs/>
              </w:rPr>
            </w:pPr>
            <w:r>
              <w:rPr>
                <w:bCs/>
              </w:rPr>
              <w:t>Immunos</w:t>
            </w:r>
            <w:r w:rsidR="0045244B">
              <w:rPr>
                <w:bCs/>
              </w:rPr>
              <w:t>up</w:t>
            </w:r>
            <w:r>
              <w:rPr>
                <w:bCs/>
              </w:rPr>
              <w:t>pres</w:t>
            </w:r>
            <w:r w:rsidR="00266A44">
              <w:rPr>
                <w:bCs/>
              </w:rPr>
              <w:t>sants</w:t>
            </w:r>
          </w:p>
          <w:p w14:paraId="2334806A" w14:textId="7BA9C091" w:rsidR="0087182B" w:rsidRPr="0006755A" w:rsidRDefault="0087182B" w:rsidP="00374A98">
            <w:pPr>
              <w:pStyle w:val="ListParagraph"/>
              <w:numPr>
                <w:ilvl w:val="0"/>
                <w:numId w:val="19"/>
              </w:numPr>
              <w:rPr>
                <w:bCs/>
              </w:rPr>
            </w:pPr>
            <w:r>
              <w:rPr>
                <w:bCs/>
              </w:rPr>
              <w:t xml:space="preserve">Used in </w:t>
            </w:r>
            <w:r>
              <w:t>several</w:t>
            </w:r>
            <w:r w:rsidRPr="00AE64C5">
              <w:t xml:space="preserve"> </w:t>
            </w:r>
            <w:r w:rsidR="00374A98">
              <w:t>kidney</w:t>
            </w:r>
            <w:r w:rsidR="00374A98" w:rsidRPr="00AE64C5">
              <w:t xml:space="preserve"> </w:t>
            </w:r>
            <w:r w:rsidRPr="00AE64C5">
              <w:t>conditions as well as post-kidney transplant</w:t>
            </w:r>
          </w:p>
        </w:tc>
        <w:tc>
          <w:tcPr>
            <w:tcW w:w="3502" w:type="dxa"/>
          </w:tcPr>
          <w:p w14:paraId="302F3767" w14:textId="77777777" w:rsidR="0087182B" w:rsidRDefault="0087182B" w:rsidP="0087182B">
            <w:pPr>
              <w:pStyle w:val="ListParagraph"/>
              <w:numPr>
                <w:ilvl w:val="0"/>
                <w:numId w:val="19"/>
              </w:numPr>
            </w:pPr>
            <w:r>
              <w:rPr>
                <w:bCs/>
              </w:rPr>
              <w:t>Associated with potential for nephrotoxicity</w:t>
            </w:r>
          </w:p>
        </w:tc>
        <w:tc>
          <w:tcPr>
            <w:tcW w:w="4357" w:type="dxa"/>
          </w:tcPr>
          <w:p w14:paraId="1E6D480B" w14:textId="79305C01" w:rsidR="0087182B" w:rsidRDefault="0087182B" w:rsidP="0087182B">
            <w:pPr>
              <w:pStyle w:val="ListParagraph"/>
              <w:numPr>
                <w:ilvl w:val="0"/>
                <w:numId w:val="19"/>
              </w:numPr>
            </w:pPr>
            <w:r>
              <w:t>Discuss with specia</w:t>
            </w:r>
            <w:bookmarkStart w:id="0" w:name="_GoBack"/>
            <w:bookmarkEnd w:id="0"/>
            <w:r>
              <w:t>list team/pharmacist</w:t>
            </w:r>
            <w:r>
              <w:fldChar w:fldCharType="begin" w:fldLock="1"/>
            </w:r>
            <w:r w:rsidR="005A72C2">
              <w:instrText>ADDIN CSL_CITATION {"citationItems":[{"id":"ITEM-1","itemData":{"author":[{"dropping-particle":"","family":"Ashley","given":"C","non-dropping-particle":"","parse-names":false,"suffix":""},{"dropping-particle":"","family":"Morlidge","given":"C","non-dropping-particle":"","parse-names":false,"suffix":""}],"edition":"1st","id":"ITEM-1","issued":{"date-parts":[["2008"]]},"publisher":"Pharmaceutical Press","publisher-place":"London","title":"Introduction to Renal Therapeutics","type":"book"},"uris":["http://www.mendeley.com/documents/?uuid=f44081db-5d07-3c24-93ff-9bf8e62aca82"]}],"mendeley":{"formattedCitation":"[2]","plainTextFormattedCitation":"[2]","previouslyFormattedCitation":"[2]"},"properties":{"noteIndex":0},"schema":"https://github.com/citation-style-language/schema/raw/master/csl-citation.json"}</w:instrText>
            </w:r>
            <w:r>
              <w:fldChar w:fldCharType="separate"/>
            </w:r>
            <w:r w:rsidRPr="0087182B">
              <w:rPr>
                <w:noProof/>
              </w:rPr>
              <w:t>[2]</w:t>
            </w:r>
            <w:r>
              <w:fldChar w:fldCharType="end"/>
            </w:r>
          </w:p>
        </w:tc>
      </w:tr>
      <w:tr w:rsidR="0087182B" w14:paraId="256F7525" w14:textId="77777777" w:rsidTr="0087182B">
        <w:trPr>
          <w:trHeight w:val="375"/>
        </w:trPr>
        <w:tc>
          <w:tcPr>
            <w:tcW w:w="2171" w:type="dxa"/>
          </w:tcPr>
          <w:p w14:paraId="5D25C22C" w14:textId="77777777" w:rsidR="0087182B" w:rsidRDefault="0087182B" w:rsidP="00374A98">
            <w:r>
              <w:t>Anti-epileptics</w:t>
            </w:r>
          </w:p>
        </w:tc>
        <w:tc>
          <w:tcPr>
            <w:tcW w:w="3920" w:type="dxa"/>
          </w:tcPr>
          <w:p w14:paraId="0C96F318" w14:textId="77777777" w:rsidR="0087182B" w:rsidRDefault="0087182B" w:rsidP="0087182B">
            <w:pPr>
              <w:pStyle w:val="ListParagraph"/>
              <w:numPr>
                <w:ilvl w:val="0"/>
                <w:numId w:val="19"/>
              </w:numPr>
              <w:rPr>
                <w:bCs/>
              </w:rPr>
            </w:pPr>
            <w:r>
              <w:rPr>
                <w:bCs/>
              </w:rPr>
              <w:t>Varies for individual medications</w:t>
            </w:r>
          </w:p>
        </w:tc>
        <w:tc>
          <w:tcPr>
            <w:tcW w:w="3502" w:type="dxa"/>
          </w:tcPr>
          <w:p w14:paraId="15F8A2C8" w14:textId="77777777" w:rsidR="0087182B" w:rsidRDefault="0087182B" w:rsidP="0087182B">
            <w:pPr>
              <w:pStyle w:val="ListParagraph"/>
              <w:numPr>
                <w:ilvl w:val="0"/>
                <w:numId w:val="19"/>
              </w:numPr>
            </w:pPr>
            <w:r>
              <w:t xml:space="preserve">Accumulation </w:t>
            </w:r>
          </w:p>
          <w:p w14:paraId="7E899BEF" w14:textId="77777777" w:rsidR="0087182B" w:rsidRDefault="0087182B" w:rsidP="0087182B">
            <w:pPr>
              <w:pStyle w:val="ListParagraph"/>
              <w:numPr>
                <w:ilvl w:val="0"/>
                <w:numId w:val="19"/>
              </w:numPr>
            </w:pPr>
            <w:r>
              <w:t>Increased CNS effects</w:t>
            </w:r>
          </w:p>
        </w:tc>
        <w:tc>
          <w:tcPr>
            <w:tcW w:w="4357" w:type="dxa"/>
          </w:tcPr>
          <w:p w14:paraId="00301265" w14:textId="77777777" w:rsidR="0087182B" w:rsidRDefault="0087182B" w:rsidP="0087182B">
            <w:pPr>
              <w:pStyle w:val="ListParagraph"/>
              <w:numPr>
                <w:ilvl w:val="0"/>
                <w:numId w:val="19"/>
              </w:numPr>
            </w:pPr>
            <w:r>
              <w:t>Dose adjustment based on GFR</w:t>
            </w:r>
          </w:p>
          <w:p w14:paraId="4F3E55D4" w14:textId="77777777" w:rsidR="0087182B" w:rsidRDefault="0087182B" w:rsidP="0087182B">
            <w:pPr>
              <w:pStyle w:val="ListParagraph"/>
              <w:numPr>
                <w:ilvl w:val="0"/>
                <w:numId w:val="19"/>
              </w:numPr>
            </w:pPr>
            <w:r>
              <w:t>Discuss with specialist team/pharmacist</w:t>
            </w:r>
          </w:p>
        </w:tc>
      </w:tr>
      <w:tr w:rsidR="00A241DB" w14:paraId="7650BACB" w14:textId="77777777" w:rsidTr="0087182B">
        <w:trPr>
          <w:trHeight w:val="375"/>
        </w:trPr>
        <w:tc>
          <w:tcPr>
            <w:tcW w:w="2171" w:type="dxa"/>
          </w:tcPr>
          <w:p w14:paraId="124D117F" w14:textId="2F83277D" w:rsidR="00A241DB" w:rsidRDefault="00A241DB" w:rsidP="00374A98">
            <w:r>
              <w:t>Contrast media</w:t>
            </w:r>
          </w:p>
        </w:tc>
        <w:tc>
          <w:tcPr>
            <w:tcW w:w="3920" w:type="dxa"/>
          </w:tcPr>
          <w:p w14:paraId="31A4E145" w14:textId="42031B1A" w:rsidR="00A241DB" w:rsidRDefault="00F82DD4" w:rsidP="0087182B">
            <w:pPr>
              <w:pStyle w:val="ListParagraph"/>
              <w:numPr>
                <w:ilvl w:val="0"/>
                <w:numId w:val="19"/>
              </w:numPr>
              <w:rPr>
                <w:bCs/>
              </w:rPr>
            </w:pPr>
            <w:r>
              <w:rPr>
                <w:bCs/>
              </w:rPr>
              <w:t>Various compounds for di</w:t>
            </w:r>
            <w:r w:rsidR="00D869E6">
              <w:rPr>
                <w:bCs/>
              </w:rPr>
              <w:t>ff</w:t>
            </w:r>
            <w:r>
              <w:rPr>
                <w:bCs/>
              </w:rPr>
              <w:t>erent radiological procedures</w:t>
            </w:r>
          </w:p>
        </w:tc>
        <w:tc>
          <w:tcPr>
            <w:tcW w:w="3502" w:type="dxa"/>
          </w:tcPr>
          <w:p w14:paraId="44BB8D75" w14:textId="77777777" w:rsidR="00E4720D" w:rsidRPr="00E4720D" w:rsidRDefault="00F82DD4" w:rsidP="0087182B">
            <w:pPr>
              <w:pStyle w:val="ListParagraph"/>
              <w:numPr>
                <w:ilvl w:val="0"/>
                <w:numId w:val="19"/>
              </w:numPr>
            </w:pPr>
            <w:r>
              <w:rPr>
                <w:bCs/>
              </w:rPr>
              <w:t>Some a</w:t>
            </w:r>
            <w:r w:rsidR="00A241DB">
              <w:rPr>
                <w:bCs/>
              </w:rPr>
              <w:t>ssociated with potential for nephrotoxicity</w:t>
            </w:r>
          </w:p>
          <w:p w14:paraId="1D62ED62" w14:textId="5A5A6389" w:rsidR="00A241DB" w:rsidRDefault="00E4720D" w:rsidP="0087182B">
            <w:pPr>
              <w:pStyle w:val="ListParagraph"/>
              <w:numPr>
                <w:ilvl w:val="0"/>
                <w:numId w:val="19"/>
              </w:numPr>
            </w:pPr>
            <w:r>
              <w:rPr>
                <w:bCs/>
              </w:rPr>
              <w:t>gadolinium-based contrast agents associated with nephrogenic systemic fibrosis in kidney impairment</w:t>
            </w:r>
          </w:p>
        </w:tc>
        <w:tc>
          <w:tcPr>
            <w:tcW w:w="4357" w:type="dxa"/>
          </w:tcPr>
          <w:p w14:paraId="0F0F4C25" w14:textId="58A95935" w:rsidR="00A241DB" w:rsidRDefault="00A241DB" w:rsidP="00A241DB">
            <w:pPr>
              <w:pStyle w:val="ListParagraph"/>
              <w:numPr>
                <w:ilvl w:val="0"/>
                <w:numId w:val="19"/>
              </w:numPr>
            </w:pPr>
            <w:r>
              <w:t>Avoid if possible in severe kidney impairment.</w:t>
            </w:r>
          </w:p>
          <w:p w14:paraId="73D0294E" w14:textId="67D3CD8F" w:rsidR="00E4720D" w:rsidRDefault="00E4720D" w:rsidP="00A241DB">
            <w:pPr>
              <w:pStyle w:val="ListParagraph"/>
              <w:numPr>
                <w:ilvl w:val="0"/>
                <w:numId w:val="19"/>
              </w:numPr>
            </w:pPr>
            <w:r w:rsidRPr="00E4720D">
              <w:t xml:space="preserve">Discuss with radiologist if suitable alternative imaging modality available        </w:t>
            </w:r>
          </w:p>
          <w:p w14:paraId="115DE323" w14:textId="36F0F147" w:rsidR="00A241DB" w:rsidRDefault="00A241DB" w:rsidP="00A241DB">
            <w:pPr>
              <w:pStyle w:val="ListParagraph"/>
              <w:numPr>
                <w:ilvl w:val="0"/>
                <w:numId w:val="19"/>
              </w:numPr>
            </w:pPr>
            <w:r>
              <w:t>Consider risks and benefits on an individual patient basis.</w:t>
            </w:r>
          </w:p>
          <w:p w14:paraId="77398FDB" w14:textId="6F7EECC3" w:rsidR="00A241DB" w:rsidRDefault="00A241DB" w:rsidP="00A241DB">
            <w:pPr>
              <w:pStyle w:val="ListParagraph"/>
              <w:numPr>
                <w:ilvl w:val="0"/>
                <w:numId w:val="19"/>
              </w:numPr>
            </w:pPr>
            <w:r>
              <w:t xml:space="preserve">Consider pre-hydration </w:t>
            </w:r>
          </w:p>
        </w:tc>
      </w:tr>
    </w:tbl>
    <w:p w14:paraId="23C1FB64" w14:textId="77777777" w:rsidR="0087182B" w:rsidRDefault="0087182B">
      <w:pPr>
        <w:rPr>
          <w:b/>
        </w:rPr>
      </w:pPr>
    </w:p>
    <w:p w14:paraId="421344A3" w14:textId="2E31991F" w:rsidR="0087182B" w:rsidRDefault="0087182B">
      <w:pPr>
        <w:rPr>
          <w:b/>
        </w:rPr>
      </w:pPr>
      <w:r>
        <w:t xml:space="preserve">Table 2: Selected medications to use with caution or avoid in </w:t>
      </w:r>
      <w:r w:rsidR="00374A98">
        <w:t xml:space="preserve">kidney </w:t>
      </w:r>
      <w:r>
        <w:t>impairment</w:t>
      </w:r>
      <w:r w:rsidR="00446AD4">
        <w:t>. Please note medications listed in this table are</w:t>
      </w:r>
      <w:r w:rsidR="00143191">
        <w:t xml:space="preserve"> th</w:t>
      </w:r>
      <w:r w:rsidR="00266A44">
        <w:t>os</w:t>
      </w:r>
      <w:r w:rsidR="00143191">
        <w:t>e</w:t>
      </w:r>
      <w:r w:rsidR="00446AD4">
        <w:t xml:space="preserve"> most commonly used in daily practice</w:t>
      </w:r>
      <w:r w:rsidR="00143191">
        <w:t xml:space="preserve">, this </w:t>
      </w:r>
      <w:r w:rsidR="005567F6">
        <w:t>list is not</w:t>
      </w:r>
      <w:r w:rsidR="00C925A6">
        <w:t xml:space="preserve"> exhaustive.</w:t>
      </w:r>
      <w:r w:rsidR="00F86538">
        <w:t xml:space="preserve"> Please refer to the BNFc, renal drug handbook and discuss with </w:t>
      </w:r>
      <w:r w:rsidR="00266A44">
        <w:t>a</w:t>
      </w:r>
      <w:r w:rsidR="00F86538">
        <w:t xml:space="preserve"> pharmacist</w:t>
      </w:r>
      <w:r w:rsidR="00266A44">
        <w:t xml:space="preserve"> for specific advice on dosing adjustments</w:t>
      </w:r>
      <w:r w:rsidR="00F86538">
        <w:t>.</w:t>
      </w:r>
      <w:r>
        <w:rPr>
          <w:b/>
        </w:rPr>
        <w:br w:type="page"/>
      </w:r>
    </w:p>
    <w:p w14:paraId="1FFC5FA1" w14:textId="77777777" w:rsidR="0087182B" w:rsidRDefault="0087182B" w:rsidP="000429F3">
      <w:pPr>
        <w:rPr>
          <w:b/>
        </w:rPr>
        <w:sectPr w:rsidR="0087182B" w:rsidSect="0087182B">
          <w:pgSz w:w="16840" w:h="11900" w:orient="landscape" w:code="9"/>
          <w:pgMar w:top="1797" w:right="1440" w:bottom="1797" w:left="1440" w:header="709" w:footer="709" w:gutter="0"/>
          <w:cols w:space="708"/>
          <w:docGrid w:linePitch="360"/>
        </w:sectPr>
      </w:pPr>
    </w:p>
    <w:p w14:paraId="7DF5BAFE" w14:textId="77777777" w:rsidR="00433A4D" w:rsidRPr="00AE64C5" w:rsidRDefault="00433A4D" w:rsidP="000429F3"/>
    <w:p w14:paraId="57139EE1" w14:textId="3FCBFE26" w:rsidR="00E91F21" w:rsidRPr="00BE10B4" w:rsidRDefault="0086231E" w:rsidP="000429F3">
      <w:pPr>
        <w:rPr>
          <w:b/>
        </w:rPr>
      </w:pPr>
      <w:r w:rsidRPr="00BE10B4">
        <w:rPr>
          <w:b/>
        </w:rPr>
        <w:t>CKD 5, R</w:t>
      </w:r>
      <w:r w:rsidR="00A241DB">
        <w:rPr>
          <w:b/>
        </w:rPr>
        <w:t xml:space="preserve">enal </w:t>
      </w:r>
      <w:r w:rsidRPr="00BE10B4">
        <w:rPr>
          <w:b/>
        </w:rPr>
        <w:t>R</w:t>
      </w:r>
      <w:r w:rsidR="00A241DB">
        <w:rPr>
          <w:b/>
        </w:rPr>
        <w:t xml:space="preserve">eplacement </w:t>
      </w:r>
      <w:r w:rsidRPr="00BE10B4">
        <w:rPr>
          <w:b/>
        </w:rPr>
        <w:t>T</w:t>
      </w:r>
      <w:r w:rsidR="00A241DB">
        <w:rPr>
          <w:b/>
        </w:rPr>
        <w:t>herapy</w:t>
      </w:r>
      <w:r w:rsidRPr="00BE10B4">
        <w:rPr>
          <w:b/>
        </w:rPr>
        <w:t xml:space="preserve"> and </w:t>
      </w:r>
      <w:r w:rsidR="00C704C2">
        <w:rPr>
          <w:b/>
        </w:rPr>
        <w:t>K</w:t>
      </w:r>
      <w:r w:rsidR="00A241DB">
        <w:rPr>
          <w:b/>
        </w:rPr>
        <w:t>idney</w:t>
      </w:r>
      <w:r w:rsidR="00374A98" w:rsidRPr="00BE10B4">
        <w:rPr>
          <w:b/>
        </w:rPr>
        <w:t xml:space="preserve"> </w:t>
      </w:r>
      <w:r w:rsidRPr="00BE10B4">
        <w:rPr>
          <w:b/>
        </w:rPr>
        <w:t>Transplants</w:t>
      </w:r>
    </w:p>
    <w:p w14:paraId="26C2FA47" w14:textId="77777777" w:rsidR="00E91F21" w:rsidRPr="00AE64C5" w:rsidRDefault="00E91F21" w:rsidP="000429F3">
      <w:pPr>
        <w:rPr>
          <w:i/>
        </w:rPr>
      </w:pPr>
    </w:p>
    <w:p w14:paraId="210835C9" w14:textId="0DCED490" w:rsidR="009F5935" w:rsidRPr="00AE64C5" w:rsidRDefault="0087580E" w:rsidP="000429F3">
      <w:r w:rsidRPr="00AE64C5">
        <w:t xml:space="preserve">Prescribing in patients with CKD5 </w:t>
      </w:r>
      <w:r w:rsidR="00A77635" w:rsidRPr="00AE64C5">
        <w:t>is a complex area and specialist advice should be sought in the vast majority of cases. For patients on dialysis</w:t>
      </w:r>
      <w:r w:rsidR="00AE64C5">
        <w:t>,</w:t>
      </w:r>
      <w:r w:rsidR="00A77635" w:rsidRPr="00AE64C5">
        <w:t xml:space="preserve"> drug administration and plasma concentration levels may need to be timed around their dialysis sessions depending on the </w:t>
      </w:r>
      <w:r w:rsidR="009F5935" w:rsidRPr="00AE64C5">
        <w:t xml:space="preserve">molecular properties of the drug. Transplant patients are on multiple other drugs and the likelihood of drug interactions needs to be checked carefully. Liaising with clinicians </w:t>
      </w:r>
      <w:r w:rsidR="008019FD" w:rsidRPr="00AE64C5">
        <w:t xml:space="preserve">or pharmacists with </w:t>
      </w:r>
      <w:r w:rsidR="009F5935" w:rsidRPr="00AE64C5">
        <w:t xml:space="preserve">a specialist interest in </w:t>
      </w:r>
      <w:r w:rsidR="008019FD" w:rsidRPr="00AE64C5">
        <w:t xml:space="preserve">nephrology is recommended. </w:t>
      </w:r>
    </w:p>
    <w:p w14:paraId="53041824" w14:textId="77777777" w:rsidR="0087580E" w:rsidRPr="00AE64C5" w:rsidRDefault="0087580E" w:rsidP="000429F3"/>
    <w:p w14:paraId="5F1EF8CA" w14:textId="32DDA591" w:rsidR="00433A4D" w:rsidRPr="00BE10B4" w:rsidRDefault="00BE10B4" w:rsidP="00433A4D">
      <w:pPr>
        <w:rPr>
          <w:b/>
        </w:rPr>
      </w:pPr>
      <w:r w:rsidRPr="00BE10B4">
        <w:rPr>
          <w:b/>
        </w:rPr>
        <w:t>SUMMARY</w:t>
      </w:r>
    </w:p>
    <w:p w14:paraId="423B43CF" w14:textId="77777777" w:rsidR="008019FD" w:rsidRPr="00AE64C5" w:rsidRDefault="008019FD" w:rsidP="00433A4D">
      <w:pPr>
        <w:rPr>
          <w:u w:val="single"/>
        </w:rPr>
      </w:pPr>
    </w:p>
    <w:p w14:paraId="76A541A6" w14:textId="4496BB69" w:rsidR="008019FD" w:rsidRPr="00AE64C5" w:rsidRDefault="008019FD" w:rsidP="00433A4D">
      <w:r w:rsidRPr="00AE64C5">
        <w:t xml:space="preserve">Extra care needs to be taken when prescribing in patients with both </w:t>
      </w:r>
      <w:r w:rsidR="00374A98">
        <w:t>AKI</w:t>
      </w:r>
      <w:r w:rsidRPr="00AE64C5">
        <w:t xml:space="preserve"> and </w:t>
      </w:r>
      <w:r w:rsidR="00374A98">
        <w:t>CKD</w:t>
      </w:r>
      <w:r w:rsidRPr="00AE64C5">
        <w:t xml:space="preserve">. </w:t>
      </w:r>
      <w:r w:rsidR="001B5E10" w:rsidRPr="00AE64C5">
        <w:t>This review</w:t>
      </w:r>
      <w:r w:rsidR="008D3B44" w:rsidRPr="00AE64C5">
        <w:t xml:space="preserve"> has covered some basic principles regarding prescribing in these patients. Additional information should be obtained from a specialist or other appropriate resources (</w:t>
      </w:r>
      <w:r w:rsidR="00BE10B4">
        <w:t xml:space="preserve">Table </w:t>
      </w:r>
      <w:r w:rsidR="0087182B">
        <w:t>3</w:t>
      </w:r>
      <w:r w:rsidR="008D3B44" w:rsidRPr="00AE64C5">
        <w:t>).</w:t>
      </w:r>
    </w:p>
    <w:p w14:paraId="3CD47B42" w14:textId="77777777" w:rsidR="008019FD" w:rsidRDefault="008019FD" w:rsidP="00433A4D">
      <w:pPr>
        <w:rPr>
          <w:u w:val="single"/>
        </w:rPr>
      </w:pPr>
    </w:p>
    <w:p w14:paraId="499344F2" w14:textId="0FE1C103" w:rsidR="00BE10B4" w:rsidRPr="00BE10B4" w:rsidRDefault="00BE10B4" w:rsidP="00BE10B4">
      <w:r>
        <w:t xml:space="preserve">Table </w:t>
      </w:r>
      <w:r w:rsidR="0087182B">
        <w:t>3</w:t>
      </w:r>
      <w:r w:rsidRPr="00BE10B4">
        <w:t xml:space="preserve">: Prescribing in </w:t>
      </w:r>
      <w:r w:rsidR="00374A98">
        <w:t>Kidney</w:t>
      </w:r>
      <w:r w:rsidRPr="00BE10B4">
        <w:t xml:space="preserve"> Impairment – Useful resources</w:t>
      </w:r>
    </w:p>
    <w:p w14:paraId="20961ED5" w14:textId="2587EF0D" w:rsidR="008D3B44" w:rsidRDefault="008D3B44" w:rsidP="00433A4D">
      <w:pPr>
        <w:rPr>
          <w:u w:val="single"/>
        </w:rPr>
      </w:pPr>
    </w:p>
    <w:tbl>
      <w:tblPr>
        <w:tblStyle w:val="TableGrid"/>
        <w:tblW w:w="0" w:type="auto"/>
        <w:tblLook w:val="04A0" w:firstRow="1" w:lastRow="0" w:firstColumn="1" w:lastColumn="0" w:noHBand="0" w:noVBand="1"/>
      </w:tblPr>
      <w:tblGrid>
        <w:gridCol w:w="7366"/>
      </w:tblGrid>
      <w:tr w:rsidR="0087182B" w14:paraId="57D538FC" w14:textId="77777777" w:rsidTr="0087182B">
        <w:tc>
          <w:tcPr>
            <w:tcW w:w="4815" w:type="dxa"/>
          </w:tcPr>
          <w:p w14:paraId="7DFEDF32" w14:textId="089AD3E2" w:rsidR="006F610A" w:rsidRDefault="006F610A" w:rsidP="0087182B">
            <w:pPr>
              <w:pStyle w:val="ListParagraph"/>
              <w:numPr>
                <w:ilvl w:val="0"/>
                <w:numId w:val="12"/>
              </w:numPr>
            </w:pPr>
            <w:r>
              <w:t xml:space="preserve">CKiD Online eGFR calculator - </w:t>
            </w:r>
            <w:r w:rsidRPr="006F610A">
              <w:t>kidney.org/professionals/Kdoqi/gfr_calculatorPed</w:t>
            </w:r>
          </w:p>
          <w:p w14:paraId="712E6CDD" w14:textId="62B65552" w:rsidR="0087182B" w:rsidRPr="0087182B" w:rsidRDefault="006F610A" w:rsidP="0087182B">
            <w:pPr>
              <w:pStyle w:val="ListParagraph"/>
              <w:numPr>
                <w:ilvl w:val="0"/>
                <w:numId w:val="12"/>
              </w:numPr>
            </w:pPr>
            <w:r>
              <w:t>BNF</w:t>
            </w:r>
            <w:r w:rsidR="0087182B" w:rsidRPr="0087182B">
              <w:t xml:space="preserve"> for children - </w:t>
            </w:r>
            <w:hyperlink r:id="rId13" w:history="1">
              <w:r w:rsidR="0087182B" w:rsidRPr="0087182B">
                <w:rPr>
                  <w:rStyle w:val="Hyperlink"/>
                  <w:bCs/>
                  <w:color w:val="auto"/>
                </w:rPr>
                <w:t>bnfc.nice.org.uk</w:t>
              </w:r>
            </w:hyperlink>
          </w:p>
          <w:p w14:paraId="1D1356D2" w14:textId="77777777" w:rsidR="0087182B" w:rsidRPr="0087182B" w:rsidRDefault="0087182B" w:rsidP="0087182B">
            <w:pPr>
              <w:pStyle w:val="ListParagraph"/>
              <w:numPr>
                <w:ilvl w:val="0"/>
                <w:numId w:val="12"/>
              </w:numPr>
            </w:pPr>
            <w:r w:rsidRPr="0087182B">
              <w:t>The Renal Drug Handbook or The Renal Drug Database – contact your pharmacist</w:t>
            </w:r>
          </w:p>
          <w:p w14:paraId="09F66593" w14:textId="07F424B3" w:rsidR="0087182B" w:rsidRPr="0087182B" w:rsidRDefault="0087182B" w:rsidP="0087182B">
            <w:pPr>
              <w:pStyle w:val="ListParagraph"/>
              <w:numPr>
                <w:ilvl w:val="0"/>
                <w:numId w:val="12"/>
              </w:numPr>
              <w:rPr>
                <w:u w:val="single"/>
              </w:rPr>
            </w:pPr>
            <w:r w:rsidRPr="0087182B">
              <w:t xml:space="preserve">‘Think Kidneys’ -  </w:t>
            </w:r>
            <w:r w:rsidR="0014506B" w:rsidRPr="0014506B">
              <w:t>https://www.thinkkidneys.nhs.uk/aki/resources/paediatrics/</w:t>
            </w:r>
          </w:p>
          <w:p w14:paraId="4CA35D1E" w14:textId="77777777" w:rsidR="0087182B" w:rsidRPr="0087182B" w:rsidRDefault="0087182B" w:rsidP="0087182B">
            <w:pPr>
              <w:pStyle w:val="ListParagraph"/>
              <w:numPr>
                <w:ilvl w:val="0"/>
                <w:numId w:val="12"/>
              </w:numPr>
              <w:rPr>
                <w:u w:val="single"/>
              </w:rPr>
            </w:pPr>
            <w:r w:rsidRPr="0087182B">
              <w:t xml:space="preserve">Summary of Product Characteristics - </w:t>
            </w:r>
          </w:p>
          <w:p w14:paraId="323821E3" w14:textId="77777777" w:rsidR="0087182B" w:rsidRPr="0087182B" w:rsidRDefault="00657F7D" w:rsidP="0087182B">
            <w:pPr>
              <w:pStyle w:val="ListParagraph"/>
              <w:rPr>
                <w:u w:val="single"/>
              </w:rPr>
            </w:pPr>
            <w:hyperlink r:id="rId14" w:history="1">
              <w:r w:rsidR="0087182B" w:rsidRPr="0087182B">
                <w:rPr>
                  <w:rStyle w:val="Hyperlink"/>
                  <w:color w:val="auto"/>
                </w:rPr>
                <w:t>www.medicines.org.uk/emc</w:t>
              </w:r>
            </w:hyperlink>
          </w:p>
          <w:p w14:paraId="61CB85B4" w14:textId="77777777" w:rsidR="0087182B" w:rsidRDefault="0087182B" w:rsidP="00433A4D">
            <w:pPr>
              <w:rPr>
                <w:u w:val="single"/>
              </w:rPr>
            </w:pPr>
          </w:p>
        </w:tc>
      </w:tr>
    </w:tbl>
    <w:p w14:paraId="32AF157D" w14:textId="77777777" w:rsidR="00D869E6" w:rsidRDefault="00D869E6" w:rsidP="006C3853">
      <w:pPr>
        <w:shd w:val="clear" w:color="auto" w:fill="FFFFFF"/>
        <w:spacing w:after="300" w:line="293" w:lineRule="atLeast"/>
        <w:textAlignment w:val="baseline"/>
        <w:outlineLvl w:val="0"/>
        <w:rPr>
          <w:rFonts w:eastAsia="Times New Roman" w:cs="Times New Roman"/>
          <w:b/>
          <w:bCs/>
          <w:color w:val="2C3133"/>
          <w:spacing w:val="-7"/>
          <w:kern w:val="36"/>
          <w:lang w:eastAsia="en-GB"/>
        </w:rPr>
      </w:pPr>
    </w:p>
    <w:p w14:paraId="3A3F66BA" w14:textId="3C30AECF" w:rsidR="0027257A" w:rsidRPr="00BE10B4" w:rsidRDefault="00BE10B4" w:rsidP="006C3853">
      <w:pPr>
        <w:shd w:val="clear" w:color="auto" w:fill="FFFFFF"/>
        <w:spacing w:after="300" w:line="293" w:lineRule="atLeast"/>
        <w:textAlignment w:val="baseline"/>
        <w:outlineLvl w:val="0"/>
        <w:rPr>
          <w:rFonts w:eastAsia="Times New Roman" w:cs="Times New Roman"/>
          <w:b/>
          <w:bCs/>
          <w:color w:val="2C3133"/>
          <w:spacing w:val="-7"/>
          <w:kern w:val="36"/>
          <w:lang w:eastAsia="en-GB"/>
        </w:rPr>
      </w:pPr>
      <w:r w:rsidRPr="00BE10B4">
        <w:rPr>
          <w:rFonts w:eastAsia="Times New Roman" w:cs="Times New Roman"/>
          <w:b/>
          <w:bCs/>
          <w:color w:val="2C3133"/>
          <w:spacing w:val="-7"/>
          <w:kern w:val="36"/>
          <w:lang w:eastAsia="en-GB"/>
        </w:rPr>
        <w:t>REFERENCES</w:t>
      </w:r>
    </w:p>
    <w:p w14:paraId="23BB067A" w14:textId="72803A93" w:rsidR="00067F6A" w:rsidRPr="00067F6A" w:rsidRDefault="00807144" w:rsidP="00067F6A">
      <w:pPr>
        <w:widowControl w:val="0"/>
        <w:autoSpaceDE w:val="0"/>
        <w:autoSpaceDN w:val="0"/>
        <w:adjustRightInd w:val="0"/>
        <w:ind w:left="640" w:hanging="640"/>
        <w:rPr>
          <w:rFonts w:ascii="Cambria" w:hAnsi="Cambria" w:cs="Times New Roman"/>
          <w:noProof/>
        </w:rPr>
      </w:pPr>
      <w:r>
        <w:fldChar w:fldCharType="begin" w:fldLock="1"/>
      </w:r>
      <w:r>
        <w:instrText xml:space="preserve">ADDIN Mendeley Bibliography CSL_BIBLIOGRAPHY </w:instrText>
      </w:r>
      <w:r>
        <w:fldChar w:fldCharType="separate"/>
      </w:r>
      <w:r w:rsidR="00067F6A" w:rsidRPr="00067F6A">
        <w:rPr>
          <w:rFonts w:ascii="Cambria" w:hAnsi="Cambria" w:cs="Times New Roman"/>
          <w:noProof/>
        </w:rPr>
        <w:t xml:space="preserve">1 </w:t>
      </w:r>
      <w:r w:rsidR="00067F6A" w:rsidRPr="00067F6A">
        <w:rPr>
          <w:rFonts w:ascii="Cambria" w:hAnsi="Cambria" w:cs="Times New Roman"/>
          <w:noProof/>
        </w:rPr>
        <w:tab/>
        <w:t xml:space="preserve">Fink JC, Brown J, Hsu VD, </w:t>
      </w:r>
      <w:r w:rsidR="00067F6A" w:rsidRPr="00067F6A">
        <w:rPr>
          <w:rFonts w:ascii="Cambria" w:hAnsi="Cambria" w:cs="Times New Roman"/>
          <w:i/>
          <w:iCs/>
          <w:noProof/>
        </w:rPr>
        <w:t>et al.</w:t>
      </w:r>
      <w:r w:rsidR="00067F6A" w:rsidRPr="00067F6A">
        <w:rPr>
          <w:rFonts w:ascii="Cambria" w:hAnsi="Cambria" w:cs="Times New Roman"/>
          <w:noProof/>
        </w:rPr>
        <w:t xml:space="preserve"> CKD as an Underrecognized Threat to Patient Safety. Am. J. Kidney Dis. 2009;</w:t>
      </w:r>
      <w:r w:rsidR="00067F6A" w:rsidRPr="00067F6A">
        <w:rPr>
          <w:rFonts w:ascii="Cambria" w:hAnsi="Cambria" w:cs="Times New Roman"/>
          <w:b/>
          <w:bCs/>
          <w:noProof/>
        </w:rPr>
        <w:t>53</w:t>
      </w:r>
      <w:r w:rsidR="00067F6A" w:rsidRPr="00067F6A">
        <w:rPr>
          <w:rFonts w:ascii="Cambria" w:hAnsi="Cambria" w:cs="Times New Roman"/>
          <w:noProof/>
        </w:rPr>
        <w:t>:681–8. doi:10.1053/j.ajkd.2008.12.016</w:t>
      </w:r>
    </w:p>
    <w:p w14:paraId="58F42B25"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2 </w:t>
      </w:r>
      <w:r w:rsidRPr="00067F6A">
        <w:rPr>
          <w:rFonts w:ascii="Cambria" w:hAnsi="Cambria" w:cs="Times New Roman"/>
          <w:noProof/>
        </w:rPr>
        <w:tab/>
        <w:t xml:space="preserve">Ashley C, Morlidge C. </w:t>
      </w:r>
      <w:r w:rsidRPr="00067F6A">
        <w:rPr>
          <w:rFonts w:ascii="Cambria" w:hAnsi="Cambria" w:cs="Times New Roman"/>
          <w:i/>
          <w:iCs/>
          <w:noProof/>
        </w:rPr>
        <w:t>Introduction to Renal Therapeutics</w:t>
      </w:r>
      <w:r w:rsidRPr="00067F6A">
        <w:rPr>
          <w:rFonts w:ascii="Cambria" w:hAnsi="Cambria" w:cs="Times New Roman"/>
          <w:noProof/>
        </w:rPr>
        <w:t xml:space="preserve">. 1st ed. London: : Pharmaceutical Press 2008. </w:t>
      </w:r>
    </w:p>
    <w:p w14:paraId="2A280674"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3 </w:t>
      </w:r>
      <w:r w:rsidRPr="00067F6A">
        <w:rPr>
          <w:rFonts w:ascii="Cambria" w:hAnsi="Cambria" w:cs="Times New Roman"/>
          <w:noProof/>
        </w:rPr>
        <w:tab/>
        <w:t xml:space="preserve">Lea-Henry TN, Carland JE, Stocker SL, </w:t>
      </w:r>
      <w:r w:rsidRPr="00067F6A">
        <w:rPr>
          <w:rFonts w:ascii="Cambria" w:hAnsi="Cambria" w:cs="Times New Roman"/>
          <w:i/>
          <w:iCs/>
          <w:noProof/>
        </w:rPr>
        <w:t>et al.</w:t>
      </w:r>
      <w:r w:rsidRPr="00067F6A">
        <w:rPr>
          <w:rFonts w:ascii="Cambria" w:hAnsi="Cambria" w:cs="Times New Roman"/>
          <w:noProof/>
        </w:rPr>
        <w:t xml:space="preserve"> Clinical pharmacokinetics in kidney disease: Fundamental principles. </w:t>
      </w:r>
      <w:r w:rsidRPr="00067F6A">
        <w:rPr>
          <w:rFonts w:ascii="Cambria" w:hAnsi="Cambria" w:cs="Times New Roman"/>
          <w:i/>
          <w:iCs/>
          <w:noProof/>
        </w:rPr>
        <w:t>Clin J Am Soc Nephrol</w:t>
      </w:r>
      <w:r w:rsidRPr="00067F6A">
        <w:rPr>
          <w:rFonts w:ascii="Cambria" w:hAnsi="Cambria" w:cs="Times New Roman"/>
          <w:noProof/>
        </w:rPr>
        <w:t xml:space="preserve"> 2018;</w:t>
      </w:r>
      <w:r w:rsidRPr="00067F6A">
        <w:rPr>
          <w:rFonts w:ascii="Cambria" w:hAnsi="Cambria" w:cs="Times New Roman"/>
          <w:b/>
          <w:bCs/>
          <w:noProof/>
        </w:rPr>
        <w:t>13</w:t>
      </w:r>
      <w:r w:rsidRPr="00067F6A">
        <w:rPr>
          <w:rFonts w:ascii="Cambria" w:hAnsi="Cambria" w:cs="Times New Roman"/>
          <w:noProof/>
        </w:rPr>
        <w:t>:1085–95. doi:10.2215/CJN.00340118</w:t>
      </w:r>
    </w:p>
    <w:p w14:paraId="5C8C6C14"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4 </w:t>
      </w:r>
      <w:r w:rsidRPr="00067F6A">
        <w:rPr>
          <w:rFonts w:ascii="Cambria" w:hAnsi="Cambria" w:cs="Times New Roman"/>
          <w:noProof/>
        </w:rPr>
        <w:tab/>
        <w:t>Verbeeck RK, Musuamba FT. Pharmacokinetics and dosage adjustment in patients with renal dysfunction. Eur. J. Clin. Pharmacol. 2009;</w:t>
      </w:r>
      <w:r w:rsidRPr="00067F6A">
        <w:rPr>
          <w:rFonts w:ascii="Cambria" w:hAnsi="Cambria" w:cs="Times New Roman"/>
          <w:b/>
          <w:bCs/>
          <w:noProof/>
        </w:rPr>
        <w:t>65</w:t>
      </w:r>
      <w:r w:rsidRPr="00067F6A">
        <w:rPr>
          <w:rFonts w:ascii="Cambria" w:hAnsi="Cambria" w:cs="Times New Roman"/>
          <w:noProof/>
        </w:rPr>
        <w:t>:757–73. doi:10.1007/s00228-009-0678-8</w:t>
      </w:r>
    </w:p>
    <w:p w14:paraId="121B103D"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5 </w:t>
      </w:r>
      <w:r w:rsidRPr="00067F6A">
        <w:rPr>
          <w:rFonts w:ascii="Cambria" w:hAnsi="Cambria" w:cs="Times New Roman"/>
          <w:noProof/>
        </w:rPr>
        <w:tab/>
        <w:t xml:space="preserve">Trull A, Hughes V, Cooper D, </w:t>
      </w:r>
      <w:r w:rsidRPr="00067F6A">
        <w:rPr>
          <w:rFonts w:ascii="Cambria" w:hAnsi="Cambria" w:cs="Times New Roman"/>
          <w:i/>
          <w:iCs/>
          <w:noProof/>
        </w:rPr>
        <w:t>et al.</w:t>
      </w:r>
      <w:r w:rsidRPr="00067F6A">
        <w:rPr>
          <w:rFonts w:ascii="Cambria" w:hAnsi="Cambria" w:cs="Times New Roman"/>
          <w:noProof/>
        </w:rPr>
        <w:t xml:space="preserve"> Influence of albumin supplementation on tacrolimus and cyclosporine therapy early after liver transplantation. </w:t>
      </w:r>
      <w:r w:rsidRPr="00067F6A">
        <w:rPr>
          <w:rFonts w:ascii="Cambria" w:hAnsi="Cambria" w:cs="Times New Roman"/>
          <w:i/>
          <w:iCs/>
          <w:noProof/>
        </w:rPr>
        <w:t>Liver Transplant</w:t>
      </w:r>
      <w:r w:rsidRPr="00067F6A">
        <w:rPr>
          <w:rFonts w:ascii="Cambria" w:hAnsi="Cambria" w:cs="Times New Roman"/>
          <w:noProof/>
        </w:rPr>
        <w:t xml:space="preserve"> 2002;</w:t>
      </w:r>
      <w:r w:rsidRPr="00067F6A">
        <w:rPr>
          <w:rFonts w:ascii="Cambria" w:hAnsi="Cambria" w:cs="Times New Roman"/>
          <w:b/>
          <w:bCs/>
          <w:noProof/>
        </w:rPr>
        <w:t>8</w:t>
      </w:r>
      <w:r w:rsidRPr="00067F6A">
        <w:rPr>
          <w:rFonts w:ascii="Cambria" w:hAnsi="Cambria" w:cs="Times New Roman"/>
          <w:noProof/>
        </w:rPr>
        <w:t>:224–32. doi:10.1053/JLTS.2002.31347</w:t>
      </w:r>
    </w:p>
    <w:p w14:paraId="334AA6E3"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6 </w:t>
      </w:r>
      <w:r w:rsidRPr="00067F6A">
        <w:rPr>
          <w:rFonts w:ascii="Cambria" w:hAnsi="Cambria" w:cs="Times New Roman"/>
          <w:noProof/>
        </w:rPr>
        <w:tab/>
        <w:t xml:space="preserve">Al-Badr W, Martin KJ. Vitamin D and Kidney Disease. </w:t>
      </w:r>
      <w:r w:rsidRPr="00067F6A">
        <w:rPr>
          <w:rFonts w:ascii="Cambria" w:hAnsi="Cambria" w:cs="Times New Roman"/>
          <w:i/>
          <w:iCs/>
          <w:noProof/>
        </w:rPr>
        <w:t>Clin J Am Soc Nephrol</w:t>
      </w:r>
      <w:r w:rsidRPr="00067F6A">
        <w:rPr>
          <w:rFonts w:ascii="Cambria" w:hAnsi="Cambria" w:cs="Times New Roman"/>
          <w:noProof/>
        </w:rPr>
        <w:t xml:space="preserve"> </w:t>
      </w:r>
      <w:r w:rsidRPr="00067F6A">
        <w:rPr>
          <w:rFonts w:ascii="Cambria" w:hAnsi="Cambria" w:cs="Times New Roman"/>
          <w:noProof/>
        </w:rPr>
        <w:lastRenderedPageBreak/>
        <w:t>2008;</w:t>
      </w:r>
      <w:r w:rsidRPr="00067F6A">
        <w:rPr>
          <w:rFonts w:ascii="Cambria" w:hAnsi="Cambria" w:cs="Times New Roman"/>
          <w:b/>
          <w:bCs/>
          <w:noProof/>
        </w:rPr>
        <w:t>3</w:t>
      </w:r>
      <w:r w:rsidRPr="00067F6A">
        <w:rPr>
          <w:rFonts w:ascii="Cambria" w:hAnsi="Cambria" w:cs="Times New Roman"/>
          <w:noProof/>
        </w:rPr>
        <w:t>:1555–60. doi:10.2215/CJN.01150308</w:t>
      </w:r>
    </w:p>
    <w:p w14:paraId="51F12B2E"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7 </w:t>
      </w:r>
      <w:r w:rsidRPr="00067F6A">
        <w:rPr>
          <w:rFonts w:ascii="Cambria" w:hAnsi="Cambria" w:cs="Times New Roman"/>
          <w:noProof/>
        </w:rPr>
        <w:tab/>
        <w:t>Lamb EJ, Stevens PE. Estimating and measuring glomerular filtration rate: Methods of measurement and markers for estimation. Curr. Opin. Nephrol. Hypertens. 2014;</w:t>
      </w:r>
      <w:r w:rsidRPr="00067F6A">
        <w:rPr>
          <w:rFonts w:ascii="Cambria" w:hAnsi="Cambria" w:cs="Times New Roman"/>
          <w:b/>
          <w:bCs/>
          <w:noProof/>
        </w:rPr>
        <w:t>23</w:t>
      </w:r>
      <w:r w:rsidRPr="00067F6A">
        <w:rPr>
          <w:rFonts w:ascii="Cambria" w:hAnsi="Cambria" w:cs="Times New Roman"/>
          <w:noProof/>
        </w:rPr>
        <w:t>:258–66. doi:10.1097/01.mnh.0000444813.72626.88</w:t>
      </w:r>
    </w:p>
    <w:p w14:paraId="2C125FF3"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8 </w:t>
      </w:r>
      <w:r w:rsidRPr="00067F6A">
        <w:rPr>
          <w:rFonts w:ascii="Cambria" w:hAnsi="Cambria" w:cs="Times New Roman"/>
          <w:noProof/>
        </w:rPr>
        <w:tab/>
        <w:t xml:space="preserve">Schwartz GJ, Muñoz A, Schneider MF, </w:t>
      </w:r>
      <w:r w:rsidRPr="00067F6A">
        <w:rPr>
          <w:rFonts w:ascii="Cambria" w:hAnsi="Cambria" w:cs="Times New Roman"/>
          <w:i/>
          <w:iCs/>
          <w:noProof/>
        </w:rPr>
        <w:t>et al.</w:t>
      </w:r>
      <w:r w:rsidRPr="00067F6A">
        <w:rPr>
          <w:rFonts w:ascii="Cambria" w:hAnsi="Cambria" w:cs="Times New Roman"/>
          <w:noProof/>
        </w:rPr>
        <w:t xml:space="preserve"> New Equations to Estimate GFR in Children with CKD. </w:t>
      </w:r>
      <w:r w:rsidRPr="00067F6A">
        <w:rPr>
          <w:rFonts w:ascii="Cambria" w:hAnsi="Cambria" w:cs="Times New Roman"/>
          <w:i/>
          <w:iCs/>
          <w:noProof/>
        </w:rPr>
        <w:t>J Am Soc Nephrol</w:t>
      </w:r>
      <w:r w:rsidRPr="00067F6A">
        <w:rPr>
          <w:rFonts w:ascii="Cambria" w:hAnsi="Cambria" w:cs="Times New Roman"/>
          <w:noProof/>
        </w:rPr>
        <w:t xml:space="preserve"> 2009;</w:t>
      </w:r>
      <w:r w:rsidRPr="00067F6A">
        <w:rPr>
          <w:rFonts w:ascii="Cambria" w:hAnsi="Cambria" w:cs="Times New Roman"/>
          <w:b/>
          <w:bCs/>
          <w:noProof/>
        </w:rPr>
        <w:t>20</w:t>
      </w:r>
      <w:r w:rsidRPr="00067F6A">
        <w:rPr>
          <w:rFonts w:ascii="Cambria" w:hAnsi="Cambria" w:cs="Times New Roman"/>
          <w:noProof/>
        </w:rPr>
        <w:t>:629–37. doi:10.1681/ASN.2008030287</w:t>
      </w:r>
    </w:p>
    <w:p w14:paraId="57F7B7C1"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9 </w:t>
      </w:r>
      <w:r w:rsidRPr="00067F6A">
        <w:rPr>
          <w:rFonts w:ascii="Cambria" w:hAnsi="Cambria" w:cs="Times New Roman"/>
          <w:noProof/>
        </w:rPr>
        <w:tab/>
        <w:t xml:space="preserve">Staples A, LeBlond R, Watkins S, </w:t>
      </w:r>
      <w:r w:rsidRPr="00067F6A">
        <w:rPr>
          <w:rFonts w:ascii="Cambria" w:hAnsi="Cambria" w:cs="Times New Roman"/>
          <w:i/>
          <w:iCs/>
          <w:noProof/>
        </w:rPr>
        <w:t>et al.</w:t>
      </w:r>
      <w:r w:rsidRPr="00067F6A">
        <w:rPr>
          <w:rFonts w:ascii="Cambria" w:hAnsi="Cambria" w:cs="Times New Roman"/>
          <w:noProof/>
        </w:rPr>
        <w:t xml:space="preserve"> Validation of the revised Schwartz estimating equation in a predominantly non-CKD population. </w:t>
      </w:r>
      <w:r w:rsidRPr="00067F6A">
        <w:rPr>
          <w:rFonts w:ascii="Cambria" w:hAnsi="Cambria" w:cs="Times New Roman"/>
          <w:i/>
          <w:iCs/>
          <w:noProof/>
        </w:rPr>
        <w:t>Pediatr Nephrol 2010 2511</w:t>
      </w:r>
      <w:r w:rsidRPr="00067F6A">
        <w:rPr>
          <w:rFonts w:ascii="Cambria" w:hAnsi="Cambria" w:cs="Times New Roman"/>
          <w:noProof/>
        </w:rPr>
        <w:t xml:space="preserve"> 2010;</w:t>
      </w:r>
      <w:r w:rsidRPr="00067F6A">
        <w:rPr>
          <w:rFonts w:ascii="Cambria" w:hAnsi="Cambria" w:cs="Times New Roman"/>
          <w:b/>
          <w:bCs/>
          <w:noProof/>
        </w:rPr>
        <w:t>25</w:t>
      </w:r>
      <w:r w:rsidRPr="00067F6A">
        <w:rPr>
          <w:rFonts w:ascii="Cambria" w:hAnsi="Cambria" w:cs="Times New Roman"/>
          <w:noProof/>
        </w:rPr>
        <w:t>:2321–6. doi:10.1007/S00467-010-1598-7</w:t>
      </w:r>
    </w:p>
    <w:p w14:paraId="55515615"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10 </w:t>
      </w:r>
      <w:r w:rsidRPr="00067F6A">
        <w:rPr>
          <w:rFonts w:ascii="Cambria" w:hAnsi="Cambria" w:cs="Times New Roman"/>
          <w:noProof/>
        </w:rPr>
        <w:tab/>
        <w:t>National Kidney Foundation. CREATININE-CYSTATIN C-BASED CKID EQUATION. https://www.kidney.org/content/creatinine-cystatin-c-based-ckid-equation (accessed 21 Oct 2021).</w:t>
      </w:r>
    </w:p>
    <w:p w14:paraId="2C603DD8"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11 </w:t>
      </w:r>
      <w:r w:rsidRPr="00067F6A">
        <w:rPr>
          <w:rFonts w:ascii="Cambria" w:hAnsi="Cambria" w:cs="Times New Roman"/>
          <w:noProof/>
        </w:rPr>
        <w:tab/>
        <w:t xml:space="preserve">Kwiatkowski DM, Sutherland SM. Acute kidney injury in pediatric patients. </w:t>
      </w:r>
      <w:r w:rsidRPr="00067F6A">
        <w:rPr>
          <w:rFonts w:ascii="Cambria" w:hAnsi="Cambria" w:cs="Times New Roman"/>
          <w:i/>
          <w:iCs/>
          <w:noProof/>
        </w:rPr>
        <w:t>Best Pract Res Clin Anaesthesiol</w:t>
      </w:r>
      <w:r w:rsidRPr="00067F6A">
        <w:rPr>
          <w:rFonts w:ascii="Cambria" w:hAnsi="Cambria" w:cs="Times New Roman"/>
          <w:noProof/>
        </w:rPr>
        <w:t xml:space="preserve"> 2017;</w:t>
      </w:r>
      <w:r w:rsidRPr="00067F6A">
        <w:rPr>
          <w:rFonts w:ascii="Cambria" w:hAnsi="Cambria" w:cs="Times New Roman"/>
          <w:b/>
          <w:bCs/>
          <w:noProof/>
        </w:rPr>
        <w:t>31</w:t>
      </w:r>
      <w:r w:rsidRPr="00067F6A">
        <w:rPr>
          <w:rFonts w:ascii="Cambria" w:hAnsi="Cambria" w:cs="Times New Roman"/>
          <w:noProof/>
        </w:rPr>
        <w:t>:427–39. doi:10.1016/J.BPA.2017.08.007</w:t>
      </w:r>
    </w:p>
    <w:p w14:paraId="0331559F"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12 </w:t>
      </w:r>
      <w:r w:rsidRPr="00067F6A">
        <w:rPr>
          <w:rFonts w:ascii="Cambria" w:hAnsi="Cambria" w:cs="Times New Roman"/>
          <w:noProof/>
        </w:rPr>
        <w:tab/>
        <w:t xml:space="preserve">Kellum JA, Lameire N, Aspelin P, </w:t>
      </w:r>
      <w:r w:rsidRPr="00067F6A">
        <w:rPr>
          <w:rFonts w:ascii="Cambria" w:hAnsi="Cambria" w:cs="Times New Roman"/>
          <w:i/>
          <w:iCs/>
          <w:noProof/>
        </w:rPr>
        <w:t>et al.</w:t>
      </w:r>
      <w:r w:rsidRPr="00067F6A">
        <w:rPr>
          <w:rFonts w:ascii="Cambria" w:hAnsi="Cambria" w:cs="Times New Roman"/>
          <w:noProof/>
        </w:rPr>
        <w:t xml:space="preserve"> Kidney disease: Improving global outcomes (KDIGO) acute kidney injury work group. KDIGO clinical practice guideline for acute kidney injury. Kidney Int. Suppl. 2012;</w:t>
      </w:r>
      <w:r w:rsidRPr="00067F6A">
        <w:rPr>
          <w:rFonts w:ascii="Cambria" w:hAnsi="Cambria" w:cs="Times New Roman"/>
          <w:b/>
          <w:bCs/>
          <w:noProof/>
        </w:rPr>
        <w:t>2</w:t>
      </w:r>
      <w:r w:rsidRPr="00067F6A">
        <w:rPr>
          <w:rFonts w:ascii="Cambria" w:hAnsi="Cambria" w:cs="Times New Roman"/>
          <w:noProof/>
        </w:rPr>
        <w:t>:1–138. doi:10.1038/kisup.2012.1</w:t>
      </w:r>
    </w:p>
    <w:p w14:paraId="16AE798C"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13 </w:t>
      </w:r>
      <w:r w:rsidRPr="00067F6A">
        <w:rPr>
          <w:rFonts w:ascii="Cambria" w:hAnsi="Cambria" w:cs="Times New Roman"/>
          <w:noProof/>
        </w:rPr>
        <w:tab/>
        <w:t xml:space="preserve">Menon S, Kirkendall ES, Nguyen H, </w:t>
      </w:r>
      <w:r w:rsidRPr="00067F6A">
        <w:rPr>
          <w:rFonts w:ascii="Cambria" w:hAnsi="Cambria" w:cs="Times New Roman"/>
          <w:i/>
          <w:iCs/>
          <w:noProof/>
        </w:rPr>
        <w:t>et al.</w:t>
      </w:r>
      <w:r w:rsidRPr="00067F6A">
        <w:rPr>
          <w:rFonts w:ascii="Cambria" w:hAnsi="Cambria" w:cs="Times New Roman"/>
          <w:noProof/>
        </w:rPr>
        <w:t xml:space="preserve"> Acute Kidney Injury Associated with High Nephrotoxic Medication Exposure Leads to Chronic Kidney Disease after 6 Months. </w:t>
      </w:r>
      <w:r w:rsidRPr="00067F6A">
        <w:rPr>
          <w:rFonts w:ascii="Cambria" w:hAnsi="Cambria" w:cs="Times New Roman"/>
          <w:i/>
          <w:iCs/>
          <w:noProof/>
        </w:rPr>
        <w:t>J Pediatr</w:t>
      </w:r>
      <w:r w:rsidRPr="00067F6A">
        <w:rPr>
          <w:rFonts w:ascii="Cambria" w:hAnsi="Cambria" w:cs="Times New Roman"/>
          <w:noProof/>
        </w:rPr>
        <w:t xml:space="preserve"> 2014;</w:t>
      </w:r>
      <w:r w:rsidRPr="00067F6A">
        <w:rPr>
          <w:rFonts w:ascii="Cambria" w:hAnsi="Cambria" w:cs="Times New Roman"/>
          <w:b/>
          <w:bCs/>
          <w:noProof/>
        </w:rPr>
        <w:t>165</w:t>
      </w:r>
      <w:r w:rsidRPr="00067F6A">
        <w:rPr>
          <w:rFonts w:ascii="Cambria" w:hAnsi="Cambria" w:cs="Times New Roman"/>
          <w:noProof/>
        </w:rPr>
        <w:t>:522-527.e2. doi:10.1016/J.JPEDS.2014.04.058</w:t>
      </w:r>
    </w:p>
    <w:p w14:paraId="3E79BFF6"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14 </w:t>
      </w:r>
      <w:r w:rsidRPr="00067F6A">
        <w:rPr>
          <w:rFonts w:ascii="Cambria" w:hAnsi="Cambria" w:cs="Times New Roman"/>
          <w:noProof/>
        </w:rPr>
        <w:tab/>
        <w:t xml:space="preserve">Goldstein SL, Mottes T, Simpson K, </w:t>
      </w:r>
      <w:r w:rsidRPr="00067F6A">
        <w:rPr>
          <w:rFonts w:ascii="Cambria" w:hAnsi="Cambria" w:cs="Times New Roman"/>
          <w:i/>
          <w:iCs/>
          <w:noProof/>
        </w:rPr>
        <w:t>et al.</w:t>
      </w:r>
      <w:r w:rsidRPr="00067F6A">
        <w:rPr>
          <w:rFonts w:ascii="Cambria" w:hAnsi="Cambria" w:cs="Times New Roman"/>
          <w:noProof/>
        </w:rPr>
        <w:t xml:space="preserve"> A sustained quality improvement program reduces nephrotoxic medication-associated acute kidney injury. </w:t>
      </w:r>
      <w:r w:rsidRPr="00067F6A">
        <w:rPr>
          <w:rFonts w:ascii="Cambria" w:hAnsi="Cambria" w:cs="Times New Roman"/>
          <w:i/>
          <w:iCs/>
          <w:noProof/>
        </w:rPr>
        <w:t>Kidney Int</w:t>
      </w:r>
      <w:r w:rsidRPr="00067F6A">
        <w:rPr>
          <w:rFonts w:ascii="Cambria" w:hAnsi="Cambria" w:cs="Times New Roman"/>
          <w:noProof/>
        </w:rPr>
        <w:t xml:space="preserve"> 2016;</w:t>
      </w:r>
      <w:r w:rsidRPr="00067F6A">
        <w:rPr>
          <w:rFonts w:ascii="Cambria" w:hAnsi="Cambria" w:cs="Times New Roman"/>
          <w:b/>
          <w:bCs/>
          <w:noProof/>
        </w:rPr>
        <w:t>90</w:t>
      </w:r>
      <w:r w:rsidRPr="00067F6A">
        <w:rPr>
          <w:rFonts w:ascii="Cambria" w:hAnsi="Cambria" w:cs="Times New Roman"/>
          <w:noProof/>
        </w:rPr>
        <w:t>:212–21. doi:10.1016/J.KINT.2016.03.031</w:t>
      </w:r>
    </w:p>
    <w:p w14:paraId="5FC61183"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15 </w:t>
      </w:r>
      <w:r w:rsidRPr="00067F6A">
        <w:rPr>
          <w:rFonts w:ascii="Cambria" w:hAnsi="Cambria" w:cs="Times New Roman"/>
          <w:noProof/>
        </w:rPr>
        <w:tab/>
        <w:t>The Renal Association. The UK eCKD Guide. 2017.https://renal.org/health-professionals/information-resources/uk-eckd-guide (accessed 2 Jul 2021).</w:t>
      </w:r>
    </w:p>
    <w:p w14:paraId="4C9AC3ED"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16 </w:t>
      </w:r>
      <w:r w:rsidRPr="00067F6A">
        <w:rPr>
          <w:rFonts w:ascii="Cambria" w:hAnsi="Cambria" w:cs="Times New Roman"/>
          <w:noProof/>
        </w:rPr>
        <w:tab/>
        <w:t>infoKID. Chronic kidney disease (CKD). https://www.infokid.org.uk/chronic-kidney-disease-ckd (accessed 2 Jul 2021).</w:t>
      </w:r>
    </w:p>
    <w:p w14:paraId="685B462B"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17 </w:t>
      </w:r>
      <w:r w:rsidRPr="00067F6A">
        <w:rPr>
          <w:rFonts w:ascii="Cambria" w:hAnsi="Cambria" w:cs="Times New Roman"/>
          <w:noProof/>
        </w:rPr>
        <w:tab/>
        <w:t>Think Kidneys. Guidelines for Medicines Optimisation in Patients with Acute Kidney Injury. 2016.</w:t>
      </w:r>
    </w:p>
    <w:p w14:paraId="109FCF1E"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18 </w:t>
      </w:r>
      <w:r w:rsidRPr="00067F6A">
        <w:rPr>
          <w:rFonts w:ascii="Cambria" w:hAnsi="Cambria" w:cs="Times New Roman"/>
          <w:noProof/>
        </w:rPr>
        <w:tab/>
        <w:t xml:space="preserve">Gyawali B, Ramakrishna K, Dhamoon AS. Sepsis: The evolution in definition, pathophysiology, and management: </w:t>
      </w:r>
      <w:r w:rsidRPr="00067F6A">
        <w:rPr>
          <w:rFonts w:ascii="Cambria" w:hAnsi="Cambria" w:cs="Times New Roman"/>
          <w:i/>
          <w:iCs/>
          <w:noProof/>
        </w:rPr>
        <w:t>https://doi.org/101177/2050312119835043</w:t>
      </w:r>
      <w:r w:rsidRPr="00067F6A">
        <w:rPr>
          <w:rFonts w:ascii="Cambria" w:hAnsi="Cambria" w:cs="Times New Roman"/>
          <w:noProof/>
        </w:rPr>
        <w:t xml:space="preserve"> 2019;</w:t>
      </w:r>
      <w:r w:rsidRPr="00067F6A">
        <w:rPr>
          <w:rFonts w:ascii="Cambria" w:hAnsi="Cambria" w:cs="Times New Roman"/>
          <w:b/>
          <w:bCs/>
          <w:noProof/>
        </w:rPr>
        <w:t>7</w:t>
      </w:r>
      <w:r w:rsidRPr="00067F6A">
        <w:rPr>
          <w:rFonts w:ascii="Cambria" w:hAnsi="Cambria" w:cs="Times New Roman"/>
          <w:noProof/>
        </w:rPr>
        <w:t>:205031211983504. doi:10.1177/2050312119835043</w:t>
      </w:r>
    </w:p>
    <w:p w14:paraId="5DD9702A"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19 </w:t>
      </w:r>
      <w:r w:rsidRPr="00067F6A">
        <w:rPr>
          <w:rFonts w:ascii="Cambria" w:hAnsi="Cambria" w:cs="Times New Roman"/>
          <w:noProof/>
        </w:rPr>
        <w:tab/>
        <w:t xml:space="preserve">Kliger AS, Brosius FC. Preserving kidney function instead of replacing It. </w:t>
      </w:r>
      <w:r w:rsidRPr="00067F6A">
        <w:rPr>
          <w:rFonts w:ascii="Cambria" w:hAnsi="Cambria" w:cs="Times New Roman"/>
          <w:i/>
          <w:iCs/>
          <w:noProof/>
        </w:rPr>
        <w:t>Clin J Am Soc Nephrol</w:t>
      </w:r>
      <w:r w:rsidRPr="00067F6A">
        <w:rPr>
          <w:rFonts w:ascii="Cambria" w:hAnsi="Cambria" w:cs="Times New Roman"/>
          <w:noProof/>
        </w:rPr>
        <w:t xml:space="preserve"> 2020;</w:t>
      </w:r>
      <w:r w:rsidRPr="00067F6A">
        <w:rPr>
          <w:rFonts w:ascii="Cambria" w:hAnsi="Cambria" w:cs="Times New Roman"/>
          <w:b/>
          <w:bCs/>
          <w:noProof/>
        </w:rPr>
        <w:t>15</w:t>
      </w:r>
      <w:r w:rsidRPr="00067F6A">
        <w:rPr>
          <w:rFonts w:ascii="Cambria" w:hAnsi="Cambria" w:cs="Times New Roman"/>
          <w:noProof/>
        </w:rPr>
        <w:t>:129–31. doi:10.2215/CJN.07820719</w:t>
      </w:r>
    </w:p>
    <w:p w14:paraId="79B0D2EC"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20 </w:t>
      </w:r>
      <w:r w:rsidRPr="00067F6A">
        <w:rPr>
          <w:rFonts w:ascii="Cambria" w:hAnsi="Cambria" w:cs="Times New Roman"/>
          <w:noProof/>
        </w:rPr>
        <w:tab/>
        <w:t xml:space="preserve">Ammenwerth E, Schnell-Inderst P, Machan C, </w:t>
      </w:r>
      <w:r w:rsidRPr="00067F6A">
        <w:rPr>
          <w:rFonts w:ascii="Cambria" w:hAnsi="Cambria" w:cs="Times New Roman"/>
          <w:i/>
          <w:iCs/>
          <w:noProof/>
        </w:rPr>
        <w:t>et al.</w:t>
      </w:r>
      <w:r w:rsidRPr="00067F6A">
        <w:rPr>
          <w:rFonts w:ascii="Cambria" w:hAnsi="Cambria" w:cs="Times New Roman"/>
          <w:noProof/>
        </w:rPr>
        <w:t xml:space="preserve"> The Effect of Electronic Prescribing on Medication Errors and Adverse Drug Events: A Systematic Review. </w:t>
      </w:r>
      <w:r w:rsidRPr="00067F6A">
        <w:rPr>
          <w:rFonts w:ascii="Cambria" w:hAnsi="Cambria" w:cs="Times New Roman"/>
          <w:i/>
          <w:iCs/>
          <w:noProof/>
        </w:rPr>
        <w:t>J Am Med Informatics Assoc</w:t>
      </w:r>
      <w:r w:rsidRPr="00067F6A">
        <w:rPr>
          <w:rFonts w:ascii="Cambria" w:hAnsi="Cambria" w:cs="Times New Roman"/>
          <w:noProof/>
        </w:rPr>
        <w:t xml:space="preserve"> 2008;</w:t>
      </w:r>
      <w:r w:rsidRPr="00067F6A">
        <w:rPr>
          <w:rFonts w:ascii="Cambria" w:hAnsi="Cambria" w:cs="Times New Roman"/>
          <w:b/>
          <w:bCs/>
          <w:noProof/>
        </w:rPr>
        <w:t>15</w:t>
      </w:r>
      <w:r w:rsidRPr="00067F6A">
        <w:rPr>
          <w:rFonts w:ascii="Cambria" w:hAnsi="Cambria" w:cs="Times New Roman"/>
          <w:noProof/>
        </w:rPr>
        <w:t>:585–600. doi:10.1197/JAMIA.M2667</w:t>
      </w:r>
    </w:p>
    <w:p w14:paraId="0F989582"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21 </w:t>
      </w:r>
      <w:r w:rsidRPr="00067F6A">
        <w:rPr>
          <w:rFonts w:ascii="Cambria" w:hAnsi="Cambria" w:cs="Times New Roman"/>
          <w:noProof/>
        </w:rPr>
        <w:tab/>
        <w:t>Munar MY, Singh H. Drug Dosing Adjustments in Patients with Chronic Kidney Disease. 2007. http://acp.pdaorder.com/pdaorder/-/605920537541/ (accessed 2 Jul 2021).</w:t>
      </w:r>
    </w:p>
    <w:p w14:paraId="6BAC53BF"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t xml:space="preserve">22 </w:t>
      </w:r>
      <w:r w:rsidRPr="00067F6A">
        <w:rPr>
          <w:rFonts w:ascii="Cambria" w:hAnsi="Cambria" w:cs="Times New Roman"/>
          <w:noProof/>
        </w:rPr>
        <w:tab/>
        <w:t xml:space="preserve">Eyler RF, Shvets K. Clinical pharmacology of antibiotics. </w:t>
      </w:r>
      <w:r w:rsidRPr="00067F6A">
        <w:rPr>
          <w:rFonts w:ascii="Cambria" w:hAnsi="Cambria" w:cs="Times New Roman"/>
          <w:i/>
          <w:iCs/>
          <w:noProof/>
        </w:rPr>
        <w:t>Clin J Am Soc Nephrol</w:t>
      </w:r>
      <w:r w:rsidRPr="00067F6A">
        <w:rPr>
          <w:rFonts w:ascii="Cambria" w:hAnsi="Cambria" w:cs="Times New Roman"/>
          <w:noProof/>
        </w:rPr>
        <w:t xml:space="preserve"> 2019;</w:t>
      </w:r>
      <w:r w:rsidRPr="00067F6A">
        <w:rPr>
          <w:rFonts w:ascii="Cambria" w:hAnsi="Cambria" w:cs="Times New Roman"/>
          <w:b/>
          <w:bCs/>
          <w:noProof/>
        </w:rPr>
        <w:t>14</w:t>
      </w:r>
      <w:r w:rsidRPr="00067F6A">
        <w:rPr>
          <w:rFonts w:ascii="Cambria" w:hAnsi="Cambria" w:cs="Times New Roman"/>
          <w:noProof/>
        </w:rPr>
        <w:t>:1080–90. doi:10.2215/CJN.08140718</w:t>
      </w:r>
    </w:p>
    <w:p w14:paraId="4D15B714" w14:textId="77777777" w:rsidR="00067F6A" w:rsidRPr="00067F6A" w:rsidRDefault="00067F6A" w:rsidP="00067F6A">
      <w:pPr>
        <w:widowControl w:val="0"/>
        <w:autoSpaceDE w:val="0"/>
        <w:autoSpaceDN w:val="0"/>
        <w:adjustRightInd w:val="0"/>
        <w:ind w:left="640" w:hanging="640"/>
        <w:rPr>
          <w:rFonts w:ascii="Cambria" w:hAnsi="Cambria" w:cs="Times New Roman"/>
          <w:noProof/>
        </w:rPr>
      </w:pPr>
      <w:r w:rsidRPr="00067F6A">
        <w:rPr>
          <w:rFonts w:ascii="Cambria" w:hAnsi="Cambria" w:cs="Times New Roman"/>
          <w:noProof/>
        </w:rPr>
        <w:lastRenderedPageBreak/>
        <w:t xml:space="preserve">23 </w:t>
      </w:r>
      <w:r w:rsidRPr="00067F6A">
        <w:rPr>
          <w:rFonts w:ascii="Cambria" w:hAnsi="Cambria" w:cs="Times New Roman"/>
          <w:noProof/>
        </w:rPr>
        <w:tab/>
        <w:t xml:space="preserve">Yildiz C, Ozsurekci Y, Gucer S, </w:t>
      </w:r>
      <w:r w:rsidRPr="00067F6A">
        <w:rPr>
          <w:rFonts w:ascii="Cambria" w:hAnsi="Cambria" w:cs="Times New Roman"/>
          <w:i/>
          <w:iCs/>
          <w:noProof/>
        </w:rPr>
        <w:t>et al.</w:t>
      </w:r>
      <w:r w:rsidRPr="00067F6A">
        <w:rPr>
          <w:rFonts w:ascii="Cambria" w:hAnsi="Cambria" w:cs="Times New Roman"/>
          <w:noProof/>
        </w:rPr>
        <w:t xml:space="preserve"> Acute kidney injury due to acyclovir. doi:10.1007/s13730-012-0035-0</w:t>
      </w:r>
    </w:p>
    <w:p w14:paraId="551D5B4C" w14:textId="77777777" w:rsidR="00067F6A" w:rsidRPr="00067F6A" w:rsidRDefault="00067F6A" w:rsidP="00067F6A">
      <w:pPr>
        <w:widowControl w:val="0"/>
        <w:autoSpaceDE w:val="0"/>
        <w:autoSpaceDN w:val="0"/>
        <w:adjustRightInd w:val="0"/>
        <w:ind w:left="640" w:hanging="640"/>
        <w:rPr>
          <w:rFonts w:ascii="Cambria" w:hAnsi="Cambria"/>
          <w:noProof/>
        </w:rPr>
      </w:pPr>
      <w:r w:rsidRPr="00067F6A">
        <w:rPr>
          <w:rFonts w:ascii="Cambria" w:hAnsi="Cambria" w:cs="Times New Roman"/>
          <w:noProof/>
        </w:rPr>
        <w:t xml:space="preserve">24 </w:t>
      </w:r>
      <w:r w:rsidRPr="00067F6A">
        <w:rPr>
          <w:rFonts w:ascii="Cambria" w:hAnsi="Cambria" w:cs="Times New Roman"/>
          <w:noProof/>
        </w:rPr>
        <w:tab/>
        <w:t>Baker M, Perazella MA. NSAIDs in CKD: Are They Safe? Am. J. Kidney Dis. 2020;</w:t>
      </w:r>
      <w:r w:rsidRPr="00067F6A">
        <w:rPr>
          <w:rFonts w:ascii="Cambria" w:hAnsi="Cambria" w:cs="Times New Roman"/>
          <w:b/>
          <w:bCs/>
          <w:noProof/>
        </w:rPr>
        <w:t>76</w:t>
      </w:r>
      <w:r w:rsidRPr="00067F6A">
        <w:rPr>
          <w:rFonts w:ascii="Cambria" w:hAnsi="Cambria" w:cs="Times New Roman"/>
          <w:noProof/>
        </w:rPr>
        <w:t>:546–57. doi:10.1053/j.ajkd.2020.03.023</w:t>
      </w:r>
    </w:p>
    <w:p w14:paraId="2D54C550" w14:textId="6AD394F1" w:rsidR="009D41B0" w:rsidRPr="00A37B4D" w:rsidRDefault="00807144" w:rsidP="000429F3">
      <w:r>
        <w:fldChar w:fldCharType="end"/>
      </w:r>
    </w:p>
    <w:sectPr w:rsidR="009D41B0" w:rsidRPr="00A37B4D" w:rsidSect="0087182B">
      <w:pgSz w:w="11900"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A842" w14:textId="77777777" w:rsidR="00625EFD" w:rsidRDefault="00625EFD" w:rsidP="007164FD">
      <w:r>
        <w:separator/>
      </w:r>
    </w:p>
  </w:endnote>
  <w:endnote w:type="continuationSeparator" w:id="0">
    <w:p w14:paraId="23935004" w14:textId="77777777" w:rsidR="00625EFD" w:rsidRDefault="00625EFD" w:rsidP="0071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239396"/>
      <w:docPartObj>
        <w:docPartGallery w:val="Page Numbers (Bottom of Page)"/>
        <w:docPartUnique/>
      </w:docPartObj>
    </w:sdtPr>
    <w:sdtEndPr>
      <w:rPr>
        <w:noProof/>
      </w:rPr>
    </w:sdtEndPr>
    <w:sdtContent>
      <w:p w14:paraId="4135BFEA" w14:textId="7C7DFCDB" w:rsidR="006F610A" w:rsidRDefault="006F610A">
        <w:pPr>
          <w:pStyle w:val="Footer"/>
          <w:jc w:val="center"/>
        </w:pPr>
        <w:r>
          <w:fldChar w:fldCharType="begin"/>
        </w:r>
        <w:r>
          <w:instrText xml:space="preserve"> PAGE   \* MERGEFORMAT </w:instrText>
        </w:r>
        <w:r>
          <w:fldChar w:fldCharType="separate"/>
        </w:r>
        <w:r w:rsidR="00273904">
          <w:rPr>
            <w:noProof/>
          </w:rPr>
          <w:t>3</w:t>
        </w:r>
        <w:r>
          <w:rPr>
            <w:noProof/>
          </w:rPr>
          <w:fldChar w:fldCharType="end"/>
        </w:r>
      </w:p>
    </w:sdtContent>
  </w:sdt>
  <w:p w14:paraId="3B35FD08" w14:textId="77777777" w:rsidR="006F610A" w:rsidRDefault="006F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EB696" w14:textId="77777777" w:rsidR="00625EFD" w:rsidRDefault="00625EFD" w:rsidP="007164FD">
      <w:r>
        <w:separator/>
      </w:r>
    </w:p>
  </w:footnote>
  <w:footnote w:type="continuationSeparator" w:id="0">
    <w:p w14:paraId="170CC9FF" w14:textId="77777777" w:rsidR="00625EFD" w:rsidRDefault="00625EFD" w:rsidP="00716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15DB7"/>
    <w:multiLevelType w:val="hybridMultilevel"/>
    <w:tmpl w:val="B9708A9C"/>
    <w:lvl w:ilvl="0" w:tplc="839C6DB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D6DDE"/>
    <w:multiLevelType w:val="hybridMultilevel"/>
    <w:tmpl w:val="4E78A0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5702A"/>
    <w:multiLevelType w:val="hybridMultilevel"/>
    <w:tmpl w:val="DD64E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92B16"/>
    <w:multiLevelType w:val="hybridMultilevel"/>
    <w:tmpl w:val="65D40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24653D"/>
    <w:multiLevelType w:val="hybridMultilevel"/>
    <w:tmpl w:val="2CE6D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91D2E"/>
    <w:multiLevelType w:val="hybridMultilevel"/>
    <w:tmpl w:val="529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072C2"/>
    <w:multiLevelType w:val="hybridMultilevel"/>
    <w:tmpl w:val="01D22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1F5AAA"/>
    <w:multiLevelType w:val="hybridMultilevel"/>
    <w:tmpl w:val="646E4E60"/>
    <w:lvl w:ilvl="0" w:tplc="247852A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9395E"/>
    <w:multiLevelType w:val="hybridMultilevel"/>
    <w:tmpl w:val="15A27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243286"/>
    <w:multiLevelType w:val="multilevel"/>
    <w:tmpl w:val="F35C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271D8"/>
    <w:multiLevelType w:val="hybridMultilevel"/>
    <w:tmpl w:val="02364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4C564F"/>
    <w:multiLevelType w:val="hybridMultilevel"/>
    <w:tmpl w:val="DF822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94352"/>
    <w:multiLevelType w:val="hybridMultilevel"/>
    <w:tmpl w:val="665C3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93A67"/>
    <w:multiLevelType w:val="hybridMultilevel"/>
    <w:tmpl w:val="938E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30A3C"/>
    <w:multiLevelType w:val="hybridMultilevel"/>
    <w:tmpl w:val="8BEE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81476"/>
    <w:multiLevelType w:val="hybridMultilevel"/>
    <w:tmpl w:val="45AE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6708D"/>
    <w:multiLevelType w:val="hybridMultilevel"/>
    <w:tmpl w:val="1DDA7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FF19CB"/>
    <w:multiLevelType w:val="hybridMultilevel"/>
    <w:tmpl w:val="BDFE5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CB27FF"/>
    <w:multiLevelType w:val="hybridMultilevel"/>
    <w:tmpl w:val="3B44F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FD3E92"/>
    <w:multiLevelType w:val="hybridMultilevel"/>
    <w:tmpl w:val="2D4AB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7F39B6"/>
    <w:multiLevelType w:val="multilevel"/>
    <w:tmpl w:val="86AA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064B0D"/>
    <w:multiLevelType w:val="hybridMultilevel"/>
    <w:tmpl w:val="9730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1567F1"/>
    <w:multiLevelType w:val="hybridMultilevel"/>
    <w:tmpl w:val="CA489FFA"/>
    <w:lvl w:ilvl="0" w:tplc="48CC2F9C">
      <w:start w:val="1"/>
      <w:numFmt w:val="decimal"/>
      <w:lvlText w:val="%1."/>
      <w:lvlJc w:val="left"/>
      <w:pPr>
        <w:ind w:left="72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12DB6"/>
    <w:multiLevelType w:val="hybridMultilevel"/>
    <w:tmpl w:val="91FA9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874B9"/>
    <w:multiLevelType w:val="hybridMultilevel"/>
    <w:tmpl w:val="57942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15"/>
  </w:num>
  <w:num w:numId="4">
    <w:abstractNumId w:val="23"/>
  </w:num>
  <w:num w:numId="5">
    <w:abstractNumId w:val="10"/>
  </w:num>
  <w:num w:numId="6">
    <w:abstractNumId w:val="0"/>
  </w:num>
  <w:num w:numId="7">
    <w:abstractNumId w:val="1"/>
  </w:num>
  <w:num w:numId="8">
    <w:abstractNumId w:val="9"/>
  </w:num>
  <w:num w:numId="9">
    <w:abstractNumId w:val="6"/>
  </w:num>
  <w:num w:numId="10">
    <w:abstractNumId w:val="18"/>
  </w:num>
  <w:num w:numId="11">
    <w:abstractNumId w:val="25"/>
  </w:num>
  <w:num w:numId="12">
    <w:abstractNumId w:val="14"/>
  </w:num>
  <w:num w:numId="13">
    <w:abstractNumId w:val="2"/>
  </w:num>
  <w:num w:numId="14">
    <w:abstractNumId w:val="8"/>
  </w:num>
  <w:num w:numId="15">
    <w:abstractNumId w:val="7"/>
  </w:num>
  <w:num w:numId="16">
    <w:abstractNumId w:val="13"/>
  </w:num>
  <w:num w:numId="17">
    <w:abstractNumId w:val="3"/>
  </w:num>
  <w:num w:numId="18">
    <w:abstractNumId w:val="22"/>
  </w:num>
  <w:num w:numId="19">
    <w:abstractNumId w:val="11"/>
  </w:num>
  <w:num w:numId="20">
    <w:abstractNumId w:val="4"/>
  </w:num>
  <w:num w:numId="21">
    <w:abstractNumId w:val="21"/>
  </w:num>
  <w:num w:numId="22">
    <w:abstractNumId w:val="16"/>
  </w:num>
  <w:num w:numId="23">
    <w:abstractNumId w:val="19"/>
  </w:num>
  <w:num w:numId="24">
    <w:abstractNumId w:val="17"/>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LC0MDQ0NLU0sTRT0lEKTi0uzszPAykwqwUA/upNTiwAAAA="/>
  </w:docVars>
  <w:rsids>
    <w:rsidRoot w:val="00E50EAC"/>
    <w:rsid w:val="00030FF7"/>
    <w:rsid w:val="0003236E"/>
    <w:rsid w:val="00033877"/>
    <w:rsid w:val="000429F3"/>
    <w:rsid w:val="00043CA4"/>
    <w:rsid w:val="00067F6A"/>
    <w:rsid w:val="000A2118"/>
    <w:rsid w:val="000B0DCF"/>
    <w:rsid w:val="000B5671"/>
    <w:rsid w:val="000D3546"/>
    <w:rsid w:val="000D66F5"/>
    <w:rsid w:val="000E64EE"/>
    <w:rsid w:val="0010383D"/>
    <w:rsid w:val="00115E06"/>
    <w:rsid w:val="00116026"/>
    <w:rsid w:val="00136EC7"/>
    <w:rsid w:val="0014202B"/>
    <w:rsid w:val="00143191"/>
    <w:rsid w:val="0014506B"/>
    <w:rsid w:val="0015026C"/>
    <w:rsid w:val="00153D97"/>
    <w:rsid w:val="00154722"/>
    <w:rsid w:val="00170D74"/>
    <w:rsid w:val="001B0BDD"/>
    <w:rsid w:val="001B1BB8"/>
    <w:rsid w:val="001B5E10"/>
    <w:rsid w:val="001B7164"/>
    <w:rsid w:val="001B721D"/>
    <w:rsid w:val="001C59CC"/>
    <w:rsid w:val="001D7EE5"/>
    <w:rsid w:val="001E0586"/>
    <w:rsid w:val="001E5ABE"/>
    <w:rsid w:val="001F017D"/>
    <w:rsid w:val="001F6EAC"/>
    <w:rsid w:val="0020744A"/>
    <w:rsid w:val="00214598"/>
    <w:rsid w:val="00221182"/>
    <w:rsid w:val="0022222F"/>
    <w:rsid w:val="00223145"/>
    <w:rsid w:val="0022640D"/>
    <w:rsid w:val="00240B8C"/>
    <w:rsid w:val="00266A44"/>
    <w:rsid w:val="00270F9E"/>
    <w:rsid w:val="0027257A"/>
    <w:rsid w:val="00272AA1"/>
    <w:rsid w:val="00273904"/>
    <w:rsid w:val="002750F2"/>
    <w:rsid w:val="00286879"/>
    <w:rsid w:val="002B56A7"/>
    <w:rsid w:val="002D7690"/>
    <w:rsid w:val="003028E5"/>
    <w:rsid w:val="00360513"/>
    <w:rsid w:val="0036642E"/>
    <w:rsid w:val="00373FD2"/>
    <w:rsid w:val="00374A98"/>
    <w:rsid w:val="003852A7"/>
    <w:rsid w:val="00392A5F"/>
    <w:rsid w:val="003A0630"/>
    <w:rsid w:val="003C1162"/>
    <w:rsid w:val="003D61A5"/>
    <w:rsid w:val="003E29EB"/>
    <w:rsid w:val="003E5348"/>
    <w:rsid w:val="003E6AEA"/>
    <w:rsid w:val="003E7499"/>
    <w:rsid w:val="0041391C"/>
    <w:rsid w:val="00433A4D"/>
    <w:rsid w:val="00444134"/>
    <w:rsid w:val="00446AD4"/>
    <w:rsid w:val="00446CDA"/>
    <w:rsid w:val="00450CA5"/>
    <w:rsid w:val="0045244B"/>
    <w:rsid w:val="0046060D"/>
    <w:rsid w:val="004768F4"/>
    <w:rsid w:val="0048353F"/>
    <w:rsid w:val="0049058B"/>
    <w:rsid w:val="004A640E"/>
    <w:rsid w:val="004B7120"/>
    <w:rsid w:val="004E1A59"/>
    <w:rsid w:val="004F5F40"/>
    <w:rsid w:val="005116D3"/>
    <w:rsid w:val="00531D67"/>
    <w:rsid w:val="00535E8C"/>
    <w:rsid w:val="005567F6"/>
    <w:rsid w:val="00557B4F"/>
    <w:rsid w:val="00564838"/>
    <w:rsid w:val="00574F94"/>
    <w:rsid w:val="005754C2"/>
    <w:rsid w:val="00582E72"/>
    <w:rsid w:val="00591FFE"/>
    <w:rsid w:val="00597B91"/>
    <w:rsid w:val="005A511A"/>
    <w:rsid w:val="005A72C2"/>
    <w:rsid w:val="005C0E84"/>
    <w:rsid w:val="005C6C45"/>
    <w:rsid w:val="005D78FD"/>
    <w:rsid w:val="005E5965"/>
    <w:rsid w:val="005F1F86"/>
    <w:rsid w:val="005F2EDD"/>
    <w:rsid w:val="00614B81"/>
    <w:rsid w:val="006232AD"/>
    <w:rsid w:val="00625EFD"/>
    <w:rsid w:val="00626CAC"/>
    <w:rsid w:val="00635E89"/>
    <w:rsid w:val="00657F7D"/>
    <w:rsid w:val="00661C31"/>
    <w:rsid w:val="00664231"/>
    <w:rsid w:val="006654D8"/>
    <w:rsid w:val="0066554A"/>
    <w:rsid w:val="0068152F"/>
    <w:rsid w:val="00692B41"/>
    <w:rsid w:val="006945FF"/>
    <w:rsid w:val="00696710"/>
    <w:rsid w:val="006A66B0"/>
    <w:rsid w:val="006C3853"/>
    <w:rsid w:val="006D22C1"/>
    <w:rsid w:val="006E362B"/>
    <w:rsid w:val="006E621B"/>
    <w:rsid w:val="006E7126"/>
    <w:rsid w:val="006F27CE"/>
    <w:rsid w:val="006F610A"/>
    <w:rsid w:val="00707C4A"/>
    <w:rsid w:val="007164FD"/>
    <w:rsid w:val="00725A53"/>
    <w:rsid w:val="007353E1"/>
    <w:rsid w:val="00737EA1"/>
    <w:rsid w:val="007553BA"/>
    <w:rsid w:val="0076128C"/>
    <w:rsid w:val="00777930"/>
    <w:rsid w:val="00781261"/>
    <w:rsid w:val="00786D9B"/>
    <w:rsid w:val="007A66B8"/>
    <w:rsid w:val="007A6DA8"/>
    <w:rsid w:val="007D1447"/>
    <w:rsid w:val="007F7309"/>
    <w:rsid w:val="007F7B68"/>
    <w:rsid w:val="007F7CAC"/>
    <w:rsid w:val="0080024D"/>
    <w:rsid w:val="008019FD"/>
    <w:rsid w:val="00807144"/>
    <w:rsid w:val="00810716"/>
    <w:rsid w:val="00811915"/>
    <w:rsid w:val="00817F5B"/>
    <w:rsid w:val="00827A83"/>
    <w:rsid w:val="00847781"/>
    <w:rsid w:val="00856E51"/>
    <w:rsid w:val="0086231E"/>
    <w:rsid w:val="00866069"/>
    <w:rsid w:val="0087182B"/>
    <w:rsid w:val="0087580E"/>
    <w:rsid w:val="008913D5"/>
    <w:rsid w:val="008C5AEF"/>
    <w:rsid w:val="008C6780"/>
    <w:rsid w:val="008D3B44"/>
    <w:rsid w:val="00900877"/>
    <w:rsid w:val="00901761"/>
    <w:rsid w:val="00912EA0"/>
    <w:rsid w:val="0092397A"/>
    <w:rsid w:val="009262AA"/>
    <w:rsid w:val="00951778"/>
    <w:rsid w:val="00961D2A"/>
    <w:rsid w:val="00972620"/>
    <w:rsid w:val="00977881"/>
    <w:rsid w:val="00991F94"/>
    <w:rsid w:val="00993EE5"/>
    <w:rsid w:val="009A67C5"/>
    <w:rsid w:val="009B0CBD"/>
    <w:rsid w:val="009B4904"/>
    <w:rsid w:val="009B4CDA"/>
    <w:rsid w:val="009C7A63"/>
    <w:rsid w:val="009D41B0"/>
    <w:rsid w:val="009E04BD"/>
    <w:rsid w:val="009F5935"/>
    <w:rsid w:val="00A12FDC"/>
    <w:rsid w:val="00A1326A"/>
    <w:rsid w:val="00A21CF5"/>
    <w:rsid w:val="00A241DB"/>
    <w:rsid w:val="00A3110E"/>
    <w:rsid w:val="00A37B4D"/>
    <w:rsid w:val="00A6482C"/>
    <w:rsid w:val="00A742F8"/>
    <w:rsid w:val="00A77635"/>
    <w:rsid w:val="00A77FCC"/>
    <w:rsid w:val="00A90AFA"/>
    <w:rsid w:val="00AA4A9D"/>
    <w:rsid w:val="00AA4BEA"/>
    <w:rsid w:val="00AB4595"/>
    <w:rsid w:val="00AB6627"/>
    <w:rsid w:val="00AE64C5"/>
    <w:rsid w:val="00AE76DF"/>
    <w:rsid w:val="00AF4DDE"/>
    <w:rsid w:val="00B0724A"/>
    <w:rsid w:val="00B272A1"/>
    <w:rsid w:val="00B325BB"/>
    <w:rsid w:val="00B376E2"/>
    <w:rsid w:val="00B460BC"/>
    <w:rsid w:val="00B47432"/>
    <w:rsid w:val="00B47CAD"/>
    <w:rsid w:val="00B71791"/>
    <w:rsid w:val="00B873C1"/>
    <w:rsid w:val="00BA041D"/>
    <w:rsid w:val="00BA30CF"/>
    <w:rsid w:val="00BA6E87"/>
    <w:rsid w:val="00BA76D1"/>
    <w:rsid w:val="00BC12E0"/>
    <w:rsid w:val="00BE10B4"/>
    <w:rsid w:val="00C07312"/>
    <w:rsid w:val="00C17594"/>
    <w:rsid w:val="00C2417D"/>
    <w:rsid w:val="00C31094"/>
    <w:rsid w:val="00C42B3F"/>
    <w:rsid w:val="00C62E40"/>
    <w:rsid w:val="00C6426F"/>
    <w:rsid w:val="00C704C2"/>
    <w:rsid w:val="00C81CCD"/>
    <w:rsid w:val="00C85DA5"/>
    <w:rsid w:val="00C925A6"/>
    <w:rsid w:val="00CA680B"/>
    <w:rsid w:val="00CB498F"/>
    <w:rsid w:val="00CC772E"/>
    <w:rsid w:val="00CD3B1B"/>
    <w:rsid w:val="00CE2A13"/>
    <w:rsid w:val="00CF003B"/>
    <w:rsid w:val="00CF03ED"/>
    <w:rsid w:val="00D0010C"/>
    <w:rsid w:val="00D015F5"/>
    <w:rsid w:val="00D0637B"/>
    <w:rsid w:val="00D1713D"/>
    <w:rsid w:val="00D6111E"/>
    <w:rsid w:val="00D71EF7"/>
    <w:rsid w:val="00D731B7"/>
    <w:rsid w:val="00D75116"/>
    <w:rsid w:val="00D75FC2"/>
    <w:rsid w:val="00D76A59"/>
    <w:rsid w:val="00D82537"/>
    <w:rsid w:val="00D82AE9"/>
    <w:rsid w:val="00D869E6"/>
    <w:rsid w:val="00DB63E7"/>
    <w:rsid w:val="00DC163A"/>
    <w:rsid w:val="00DC3B82"/>
    <w:rsid w:val="00DF6CED"/>
    <w:rsid w:val="00E05389"/>
    <w:rsid w:val="00E05B20"/>
    <w:rsid w:val="00E26005"/>
    <w:rsid w:val="00E3674F"/>
    <w:rsid w:val="00E40AC9"/>
    <w:rsid w:val="00E4720D"/>
    <w:rsid w:val="00E50EAC"/>
    <w:rsid w:val="00E51A65"/>
    <w:rsid w:val="00E57182"/>
    <w:rsid w:val="00E65F62"/>
    <w:rsid w:val="00E7345C"/>
    <w:rsid w:val="00E8116C"/>
    <w:rsid w:val="00E84160"/>
    <w:rsid w:val="00E87CDA"/>
    <w:rsid w:val="00E91F21"/>
    <w:rsid w:val="00E94A07"/>
    <w:rsid w:val="00E95673"/>
    <w:rsid w:val="00EA0D3D"/>
    <w:rsid w:val="00EA7274"/>
    <w:rsid w:val="00ED05DD"/>
    <w:rsid w:val="00ED2332"/>
    <w:rsid w:val="00EF0B69"/>
    <w:rsid w:val="00EF57DB"/>
    <w:rsid w:val="00F009C7"/>
    <w:rsid w:val="00F038C4"/>
    <w:rsid w:val="00F156FE"/>
    <w:rsid w:val="00F161B8"/>
    <w:rsid w:val="00F169DC"/>
    <w:rsid w:val="00F43633"/>
    <w:rsid w:val="00F51305"/>
    <w:rsid w:val="00F644BE"/>
    <w:rsid w:val="00F77B86"/>
    <w:rsid w:val="00F82DD4"/>
    <w:rsid w:val="00F86538"/>
    <w:rsid w:val="00FA1D5F"/>
    <w:rsid w:val="00FA3A03"/>
    <w:rsid w:val="00FD1452"/>
    <w:rsid w:val="00FD4F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891012A"/>
  <w14:defaultImageDpi w14:val="300"/>
  <w15:docId w15:val="{AB73D206-0F9E-413C-B99C-869E5FC6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257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AFA"/>
    <w:pPr>
      <w:ind w:left="720"/>
      <w:contextualSpacing/>
    </w:pPr>
  </w:style>
  <w:style w:type="paragraph" w:styleId="BalloonText">
    <w:name w:val="Balloon Text"/>
    <w:basedOn w:val="Normal"/>
    <w:link w:val="BalloonTextChar"/>
    <w:uiPriority w:val="99"/>
    <w:semiHidden/>
    <w:unhideWhenUsed/>
    <w:rsid w:val="008C67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780"/>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383D"/>
    <w:rPr>
      <w:sz w:val="18"/>
      <w:szCs w:val="18"/>
    </w:rPr>
  </w:style>
  <w:style w:type="paragraph" w:styleId="CommentText">
    <w:name w:val="annotation text"/>
    <w:basedOn w:val="Normal"/>
    <w:link w:val="CommentTextChar"/>
    <w:uiPriority w:val="99"/>
    <w:semiHidden/>
    <w:unhideWhenUsed/>
    <w:rsid w:val="0010383D"/>
  </w:style>
  <w:style w:type="character" w:customStyle="1" w:styleId="CommentTextChar">
    <w:name w:val="Comment Text Char"/>
    <w:basedOn w:val="DefaultParagraphFont"/>
    <w:link w:val="CommentText"/>
    <w:uiPriority w:val="99"/>
    <w:semiHidden/>
    <w:rsid w:val="0010383D"/>
  </w:style>
  <w:style w:type="paragraph" w:styleId="CommentSubject">
    <w:name w:val="annotation subject"/>
    <w:basedOn w:val="CommentText"/>
    <w:next w:val="CommentText"/>
    <w:link w:val="CommentSubjectChar"/>
    <w:uiPriority w:val="99"/>
    <w:semiHidden/>
    <w:unhideWhenUsed/>
    <w:rsid w:val="0010383D"/>
    <w:rPr>
      <w:b/>
      <w:bCs/>
      <w:sz w:val="20"/>
      <w:szCs w:val="20"/>
    </w:rPr>
  </w:style>
  <w:style w:type="character" w:customStyle="1" w:styleId="CommentSubjectChar">
    <w:name w:val="Comment Subject Char"/>
    <w:basedOn w:val="CommentTextChar"/>
    <w:link w:val="CommentSubject"/>
    <w:uiPriority w:val="99"/>
    <w:semiHidden/>
    <w:rsid w:val="0010383D"/>
    <w:rPr>
      <w:b/>
      <w:bCs/>
      <w:sz w:val="20"/>
      <w:szCs w:val="20"/>
    </w:rPr>
  </w:style>
  <w:style w:type="character" w:styleId="Hyperlink">
    <w:name w:val="Hyperlink"/>
    <w:basedOn w:val="DefaultParagraphFont"/>
    <w:uiPriority w:val="99"/>
    <w:unhideWhenUsed/>
    <w:rsid w:val="0036642E"/>
    <w:rPr>
      <w:color w:val="0000FF" w:themeColor="hyperlink"/>
      <w:u w:val="single"/>
    </w:rPr>
  </w:style>
  <w:style w:type="table" w:styleId="TableGrid">
    <w:name w:val="Table Grid"/>
    <w:basedOn w:val="TableNormal"/>
    <w:uiPriority w:val="59"/>
    <w:rsid w:val="005F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F1F8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C59CC"/>
    <w:rPr>
      <w:color w:val="800080" w:themeColor="followedHyperlink"/>
      <w:u w:val="single"/>
    </w:rPr>
  </w:style>
  <w:style w:type="character" w:styleId="Strong">
    <w:name w:val="Strong"/>
    <w:basedOn w:val="DefaultParagraphFont"/>
    <w:uiPriority w:val="22"/>
    <w:qFormat/>
    <w:rsid w:val="001B721D"/>
    <w:rPr>
      <w:b/>
      <w:bCs/>
    </w:rPr>
  </w:style>
  <w:style w:type="character" w:customStyle="1" w:styleId="Heading1Char">
    <w:name w:val="Heading 1 Char"/>
    <w:basedOn w:val="DefaultParagraphFont"/>
    <w:link w:val="Heading1"/>
    <w:uiPriority w:val="9"/>
    <w:rsid w:val="0027257A"/>
    <w:rPr>
      <w:rFonts w:ascii="Times New Roman" w:eastAsia="Times New Roman" w:hAnsi="Times New Roman" w:cs="Times New Roman"/>
      <w:b/>
      <w:bCs/>
      <w:kern w:val="36"/>
      <w:sz w:val="48"/>
      <w:szCs w:val="48"/>
      <w:lang w:eastAsia="en-GB"/>
    </w:rPr>
  </w:style>
  <w:style w:type="character" w:styleId="PlaceholderText">
    <w:name w:val="Placeholder Text"/>
    <w:basedOn w:val="DefaultParagraphFont"/>
    <w:uiPriority w:val="99"/>
    <w:semiHidden/>
    <w:rsid w:val="00AE64C5"/>
    <w:rPr>
      <w:color w:val="808080"/>
    </w:rPr>
  </w:style>
  <w:style w:type="character" w:customStyle="1" w:styleId="UnresolvedMention1">
    <w:name w:val="Unresolved Mention1"/>
    <w:basedOn w:val="DefaultParagraphFont"/>
    <w:uiPriority w:val="99"/>
    <w:semiHidden/>
    <w:unhideWhenUsed/>
    <w:rsid w:val="00AE64C5"/>
    <w:rPr>
      <w:color w:val="605E5C"/>
      <w:shd w:val="clear" w:color="auto" w:fill="E1DFDD"/>
    </w:rPr>
  </w:style>
  <w:style w:type="table" w:customStyle="1" w:styleId="TableGridLight1">
    <w:name w:val="Table Grid Light1"/>
    <w:basedOn w:val="TableNormal"/>
    <w:uiPriority w:val="40"/>
    <w:rsid w:val="008071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164FD"/>
    <w:rPr>
      <w:rFonts w:eastAsiaTheme="minorHAnsi"/>
      <w:sz w:val="22"/>
      <w:szCs w:val="22"/>
    </w:rPr>
  </w:style>
  <w:style w:type="paragraph" w:styleId="Header">
    <w:name w:val="header"/>
    <w:basedOn w:val="Normal"/>
    <w:link w:val="HeaderChar"/>
    <w:uiPriority w:val="99"/>
    <w:unhideWhenUsed/>
    <w:rsid w:val="007164FD"/>
    <w:pPr>
      <w:tabs>
        <w:tab w:val="center" w:pos="4513"/>
        <w:tab w:val="right" w:pos="9026"/>
      </w:tabs>
    </w:pPr>
  </w:style>
  <w:style w:type="character" w:customStyle="1" w:styleId="HeaderChar">
    <w:name w:val="Header Char"/>
    <w:basedOn w:val="DefaultParagraphFont"/>
    <w:link w:val="Header"/>
    <w:uiPriority w:val="99"/>
    <w:rsid w:val="007164FD"/>
  </w:style>
  <w:style w:type="paragraph" w:styleId="Footer">
    <w:name w:val="footer"/>
    <w:basedOn w:val="Normal"/>
    <w:link w:val="FooterChar"/>
    <w:uiPriority w:val="99"/>
    <w:unhideWhenUsed/>
    <w:rsid w:val="007164FD"/>
    <w:pPr>
      <w:tabs>
        <w:tab w:val="center" w:pos="4513"/>
        <w:tab w:val="right" w:pos="9026"/>
      </w:tabs>
    </w:pPr>
  </w:style>
  <w:style w:type="character" w:customStyle="1" w:styleId="FooterChar">
    <w:name w:val="Footer Char"/>
    <w:basedOn w:val="DefaultParagraphFont"/>
    <w:link w:val="Footer"/>
    <w:uiPriority w:val="99"/>
    <w:rsid w:val="007164FD"/>
  </w:style>
  <w:style w:type="paragraph" w:styleId="Revision">
    <w:name w:val="Revision"/>
    <w:hidden/>
    <w:uiPriority w:val="99"/>
    <w:semiHidden/>
    <w:rsid w:val="00374A98"/>
  </w:style>
  <w:style w:type="character" w:styleId="UnresolvedMention">
    <w:name w:val="Unresolved Mention"/>
    <w:basedOn w:val="DefaultParagraphFont"/>
    <w:uiPriority w:val="99"/>
    <w:semiHidden/>
    <w:unhideWhenUsed/>
    <w:rsid w:val="004A640E"/>
    <w:rPr>
      <w:color w:val="605E5C"/>
      <w:shd w:val="clear" w:color="auto" w:fill="E1DFDD"/>
    </w:rPr>
  </w:style>
  <w:style w:type="character" w:customStyle="1" w:styleId="normaltextrun">
    <w:name w:val="normaltextrun"/>
    <w:basedOn w:val="DefaultParagraphFont"/>
    <w:rsid w:val="00B0724A"/>
  </w:style>
  <w:style w:type="character" w:customStyle="1" w:styleId="eop">
    <w:name w:val="eop"/>
    <w:basedOn w:val="DefaultParagraphFont"/>
    <w:rsid w:val="00B07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251">
      <w:bodyDiv w:val="1"/>
      <w:marLeft w:val="0"/>
      <w:marRight w:val="0"/>
      <w:marTop w:val="0"/>
      <w:marBottom w:val="0"/>
      <w:divBdr>
        <w:top w:val="none" w:sz="0" w:space="0" w:color="auto"/>
        <w:left w:val="none" w:sz="0" w:space="0" w:color="auto"/>
        <w:bottom w:val="none" w:sz="0" w:space="0" w:color="auto"/>
        <w:right w:val="none" w:sz="0" w:space="0" w:color="auto"/>
      </w:divBdr>
    </w:div>
    <w:div w:id="633487222">
      <w:bodyDiv w:val="1"/>
      <w:marLeft w:val="0"/>
      <w:marRight w:val="0"/>
      <w:marTop w:val="0"/>
      <w:marBottom w:val="0"/>
      <w:divBdr>
        <w:top w:val="none" w:sz="0" w:space="0" w:color="auto"/>
        <w:left w:val="none" w:sz="0" w:space="0" w:color="auto"/>
        <w:bottom w:val="none" w:sz="0" w:space="0" w:color="auto"/>
        <w:right w:val="none" w:sz="0" w:space="0" w:color="auto"/>
      </w:divBdr>
    </w:div>
    <w:div w:id="698242455">
      <w:bodyDiv w:val="1"/>
      <w:marLeft w:val="0"/>
      <w:marRight w:val="0"/>
      <w:marTop w:val="0"/>
      <w:marBottom w:val="0"/>
      <w:divBdr>
        <w:top w:val="none" w:sz="0" w:space="0" w:color="auto"/>
        <w:left w:val="none" w:sz="0" w:space="0" w:color="auto"/>
        <w:bottom w:val="none" w:sz="0" w:space="0" w:color="auto"/>
        <w:right w:val="none" w:sz="0" w:space="0" w:color="auto"/>
      </w:divBdr>
    </w:div>
    <w:div w:id="803615746">
      <w:bodyDiv w:val="1"/>
      <w:marLeft w:val="0"/>
      <w:marRight w:val="0"/>
      <w:marTop w:val="0"/>
      <w:marBottom w:val="0"/>
      <w:divBdr>
        <w:top w:val="none" w:sz="0" w:space="0" w:color="auto"/>
        <w:left w:val="none" w:sz="0" w:space="0" w:color="auto"/>
        <w:bottom w:val="none" w:sz="0" w:space="0" w:color="auto"/>
        <w:right w:val="none" w:sz="0" w:space="0" w:color="auto"/>
      </w:divBdr>
    </w:div>
    <w:div w:id="959065912">
      <w:bodyDiv w:val="1"/>
      <w:marLeft w:val="0"/>
      <w:marRight w:val="0"/>
      <w:marTop w:val="0"/>
      <w:marBottom w:val="0"/>
      <w:divBdr>
        <w:top w:val="none" w:sz="0" w:space="0" w:color="auto"/>
        <w:left w:val="none" w:sz="0" w:space="0" w:color="auto"/>
        <w:bottom w:val="none" w:sz="0" w:space="0" w:color="auto"/>
        <w:right w:val="none" w:sz="0" w:space="0" w:color="auto"/>
      </w:divBdr>
    </w:div>
    <w:div w:id="1000544317">
      <w:bodyDiv w:val="1"/>
      <w:marLeft w:val="0"/>
      <w:marRight w:val="0"/>
      <w:marTop w:val="0"/>
      <w:marBottom w:val="0"/>
      <w:divBdr>
        <w:top w:val="none" w:sz="0" w:space="0" w:color="auto"/>
        <w:left w:val="none" w:sz="0" w:space="0" w:color="auto"/>
        <w:bottom w:val="none" w:sz="0" w:space="0" w:color="auto"/>
        <w:right w:val="none" w:sz="0" w:space="0" w:color="auto"/>
      </w:divBdr>
    </w:div>
    <w:div w:id="1047224368">
      <w:bodyDiv w:val="1"/>
      <w:marLeft w:val="0"/>
      <w:marRight w:val="0"/>
      <w:marTop w:val="0"/>
      <w:marBottom w:val="0"/>
      <w:divBdr>
        <w:top w:val="none" w:sz="0" w:space="0" w:color="auto"/>
        <w:left w:val="none" w:sz="0" w:space="0" w:color="auto"/>
        <w:bottom w:val="none" w:sz="0" w:space="0" w:color="auto"/>
        <w:right w:val="none" w:sz="0" w:space="0" w:color="auto"/>
      </w:divBdr>
    </w:div>
    <w:div w:id="1070814104">
      <w:bodyDiv w:val="1"/>
      <w:marLeft w:val="0"/>
      <w:marRight w:val="0"/>
      <w:marTop w:val="0"/>
      <w:marBottom w:val="0"/>
      <w:divBdr>
        <w:top w:val="none" w:sz="0" w:space="0" w:color="auto"/>
        <w:left w:val="none" w:sz="0" w:space="0" w:color="auto"/>
        <w:bottom w:val="none" w:sz="0" w:space="0" w:color="auto"/>
        <w:right w:val="none" w:sz="0" w:space="0" w:color="auto"/>
      </w:divBdr>
    </w:div>
    <w:div w:id="1125078071">
      <w:bodyDiv w:val="1"/>
      <w:marLeft w:val="0"/>
      <w:marRight w:val="0"/>
      <w:marTop w:val="0"/>
      <w:marBottom w:val="0"/>
      <w:divBdr>
        <w:top w:val="none" w:sz="0" w:space="0" w:color="auto"/>
        <w:left w:val="none" w:sz="0" w:space="0" w:color="auto"/>
        <w:bottom w:val="none" w:sz="0" w:space="0" w:color="auto"/>
        <w:right w:val="none" w:sz="0" w:space="0" w:color="auto"/>
      </w:divBdr>
    </w:div>
    <w:div w:id="1421677093">
      <w:bodyDiv w:val="1"/>
      <w:marLeft w:val="0"/>
      <w:marRight w:val="0"/>
      <w:marTop w:val="0"/>
      <w:marBottom w:val="0"/>
      <w:divBdr>
        <w:top w:val="none" w:sz="0" w:space="0" w:color="auto"/>
        <w:left w:val="none" w:sz="0" w:space="0" w:color="auto"/>
        <w:bottom w:val="none" w:sz="0" w:space="0" w:color="auto"/>
        <w:right w:val="none" w:sz="0" w:space="0" w:color="auto"/>
      </w:divBdr>
    </w:div>
    <w:div w:id="1443527434">
      <w:bodyDiv w:val="1"/>
      <w:marLeft w:val="0"/>
      <w:marRight w:val="0"/>
      <w:marTop w:val="0"/>
      <w:marBottom w:val="0"/>
      <w:divBdr>
        <w:top w:val="none" w:sz="0" w:space="0" w:color="auto"/>
        <w:left w:val="none" w:sz="0" w:space="0" w:color="auto"/>
        <w:bottom w:val="none" w:sz="0" w:space="0" w:color="auto"/>
        <w:right w:val="none" w:sz="0" w:space="0" w:color="auto"/>
      </w:divBdr>
    </w:div>
    <w:div w:id="1482115454">
      <w:bodyDiv w:val="1"/>
      <w:marLeft w:val="0"/>
      <w:marRight w:val="0"/>
      <w:marTop w:val="0"/>
      <w:marBottom w:val="0"/>
      <w:divBdr>
        <w:top w:val="none" w:sz="0" w:space="0" w:color="auto"/>
        <w:left w:val="none" w:sz="0" w:space="0" w:color="auto"/>
        <w:bottom w:val="none" w:sz="0" w:space="0" w:color="auto"/>
        <w:right w:val="none" w:sz="0" w:space="0" w:color="auto"/>
      </w:divBdr>
    </w:div>
    <w:div w:id="1507944069">
      <w:bodyDiv w:val="1"/>
      <w:marLeft w:val="0"/>
      <w:marRight w:val="0"/>
      <w:marTop w:val="0"/>
      <w:marBottom w:val="0"/>
      <w:divBdr>
        <w:top w:val="none" w:sz="0" w:space="0" w:color="auto"/>
        <w:left w:val="none" w:sz="0" w:space="0" w:color="auto"/>
        <w:bottom w:val="none" w:sz="0" w:space="0" w:color="auto"/>
        <w:right w:val="none" w:sz="0" w:space="0" w:color="auto"/>
      </w:divBdr>
    </w:div>
    <w:div w:id="1555892778">
      <w:bodyDiv w:val="1"/>
      <w:marLeft w:val="0"/>
      <w:marRight w:val="0"/>
      <w:marTop w:val="0"/>
      <w:marBottom w:val="0"/>
      <w:divBdr>
        <w:top w:val="none" w:sz="0" w:space="0" w:color="auto"/>
        <w:left w:val="none" w:sz="0" w:space="0" w:color="auto"/>
        <w:bottom w:val="none" w:sz="0" w:space="0" w:color="auto"/>
        <w:right w:val="none" w:sz="0" w:space="0" w:color="auto"/>
      </w:divBdr>
    </w:div>
    <w:div w:id="1814788121">
      <w:bodyDiv w:val="1"/>
      <w:marLeft w:val="0"/>
      <w:marRight w:val="0"/>
      <w:marTop w:val="0"/>
      <w:marBottom w:val="0"/>
      <w:divBdr>
        <w:top w:val="none" w:sz="0" w:space="0" w:color="auto"/>
        <w:left w:val="none" w:sz="0" w:space="0" w:color="auto"/>
        <w:bottom w:val="none" w:sz="0" w:space="0" w:color="auto"/>
        <w:right w:val="none" w:sz="0" w:space="0" w:color="auto"/>
      </w:divBdr>
    </w:div>
    <w:div w:id="2011986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nfc.nic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mcw@liverpoo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4458A7C0712848A6CA925AE8B6D73F" ma:contentTypeVersion="12" ma:contentTypeDescription="Create a new document." ma:contentTypeScope="" ma:versionID="b7c74e44de5165e64adc92ee5e4e5927">
  <xsd:schema xmlns:xsd="http://www.w3.org/2001/XMLSchema" xmlns:xs="http://www.w3.org/2001/XMLSchema" xmlns:p="http://schemas.microsoft.com/office/2006/metadata/properties" xmlns:ns3="9e8ff080-4403-4f40-b884-2882215db980" xmlns:ns4="01f31dbc-1b71-4f1e-bbdc-a6f97f1517bb" targetNamespace="http://schemas.microsoft.com/office/2006/metadata/properties" ma:root="true" ma:fieldsID="93fb3bb6eaaa3e25521d89e4ccebce6e" ns3:_="" ns4:_="">
    <xsd:import namespace="9e8ff080-4403-4f40-b884-2882215db980"/>
    <xsd:import namespace="01f31dbc-1b71-4f1e-bbdc-a6f97f1517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ff080-4403-4f40-b884-2882215db9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31dbc-1b71-4f1e-bbdc-a6f97f1517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76D1-F57D-456F-9A4A-82853B25CD8D}">
  <ds:schemaRefs>
    <ds:schemaRef ds:uri="01f31dbc-1b71-4f1e-bbdc-a6f97f1517bb"/>
    <ds:schemaRef ds:uri="http://schemas.microsoft.com/office/2006/metadata/properties"/>
    <ds:schemaRef ds:uri="http://purl.org/dc/terms/"/>
    <ds:schemaRef ds:uri="http://www.w3.org/XML/1998/namespace"/>
    <ds:schemaRef ds:uri="http://purl.org/dc/dcmitype/"/>
    <ds:schemaRef ds:uri="9e8ff080-4403-4f40-b884-2882215d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6D1227B-4066-494B-87A8-71A5A4A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ff080-4403-4f40-b884-2882215db980"/>
    <ds:schemaRef ds:uri="01f31dbc-1b71-4f1e-bbdc-a6f97f15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D37B4-F310-4FC9-A34B-DF17F89DBCFC}">
  <ds:schemaRefs>
    <ds:schemaRef ds:uri="http://schemas.microsoft.com/sharepoint/v3/contenttype/forms"/>
  </ds:schemaRefs>
</ds:datastoreItem>
</file>

<file path=customXml/itemProps4.xml><?xml version="1.0" encoding="utf-8"?>
<ds:datastoreItem xmlns:ds="http://schemas.openxmlformats.org/officeDocument/2006/customXml" ds:itemID="{11E40DD2-A020-4346-806E-538E242E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16475</Words>
  <Characters>93913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Awan Samiah</dc:creator>
  <cp:lastModifiedBy>McWilliam, Stephen</cp:lastModifiedBy>
  <cp:revision>2</cp:revision>
  <dcterms:created xsi:type="dcterms:W3CDTF">2021-11-23T16:17:00Z</dcterms:created>
  <dcterms:modified xsi:type="dcterms:W3CDTF">2021-11-23T16:17:00Z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http://csl.mendeley.com/styles/513444411/BPSAbstract</vt:lpwstr>
  </property>
  <property fmtid="{D5CDD505-2E9C-101B-9397-08002B2CF9AE}" pid="5" name="Mendeley Recent Style Name 1_1">
    <vt:lpwstr>American Medical Association 11th edition - Stephen McWilliam</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http://www.zotero.org/styles/archives-of-disease-in-childhood</vt:lpwstr>
  </property>
  <property fmtid="{D5CDD505-2E9C-101B-9397-08002B2CF9AE}" pid="13" name="Mendeley Recent Style Name 5_1">
    <vt:lpwstr>Archives of Disease in Childhood</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a291d45c-650f-3095-ac43-c17198d35362</vt:lpwstr>
  </property>
  <property fmtid="{D5CDD505-2E9C-101B-9397-08002B2CF9AE}" pid="24" name="Mendeley Citation Style_1">
    <vt:lpwstr>http://www.zotero.org/styles/archives-of-disease-in-childhood</vt:lpwstr>
  </property>
  <property fmtid="{D5CDD505-2E9C-101B-9397-08002B2CF9AE}" pid="25" name="ContentTypeId">
    <vt:lpwstr>0x010100944458A7C0712848A6CA925AE8B6D73F</vt:lpwstr>
  </property>
</Properties>
</file>