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27EE" w14:textId="49125298" w:rsidR="0027034E" w:rsidRP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3b30f6db.B" w:hAnsi="AdvOT3b30f6db.B" w:cs="AdvOT3b30f6db.B"/>
          <w:b/>
          <w:bCs/>
          <w:sz w:val="18"/>
          <w:szCs w:val="18"/>
        </w:rPr>
      </w:pPr>
      <w:r w:rsidRPr="0027034E">
        <w:rPr>
          <w:rFonts w:ascii="AdvOT3b30f6db.B" w:hAnsi="AdvOT3b30f6db.B" w:cs="AdvOT3b30f6db.B"/>
          <w:b/>
          <w:bCs/>
          <w:sz w:val="18"/>
          <w:szCs w:val="18"/>
        </w:rPr>
        <w:t>P</w:t>
      </w:r>
      <w:r w:rsidRPr="0027034E">
        <w:rPr>
          <w:rFonts w:ascii="AdvOT3b30f6db.B+20" w:hAnsi="AdvOT3b30f6db.B+20" w:cs="AdvOT3b30f6db.B+20"/>
          <w:b/>
          <w:bCs/>
          <w:sz w:val="18"/>
          <w:szCs w:val="18"/>
        </w:rPr>
        <w:t>–</w:t>
      </w:r>
      <w:r w:rsidRPr="0027034E">
        <w:rPr>
          <w:rFonts w:ascii="AdvOT3b30f6db.B" w:hAnsi="AdvOT3b30f6db.B" w:cs="AdvOT3b30f6db.B"/>
          <w:b/>
          <w:bCs/>
          <w:sz w:val="18"/>
          <w:szCs w:val="18"/>
        </w:rPr>
        <w:t>29 Identifying adolescents with Turner Syndrome at risk of</w:t>
      </w:r>
      <w:r w:rsidRPr="0027034E">
        <w:rPr>
          <w:rFonts w:ascii="AdvOT3b30f6db.B" w:hAnsi="AdvOT3b30f6db.B" w:cs="AdvOT3b30f6db.B"/>
          <w:b/>
          <w:bCs/>
          <w:sz w:val="18"/>
          <w:szCs w:val="18"/>
        </w:rPr>
        <w:t xml:space="preserve"> </w:t>
      </w:r>
      <w:r w:rsidRPr="0027034E">
        <w:rPr>
          <w:rFonts w:ascii="AdvOT3b30f6db.B" w:hAnsi="AdvOT3b30f6db.B" w:cs="AdvOT3b30f6db.B"/>
          <w:b/>
          <w:bCs/>
          <w:sz w:val="18"/>
          <w:szCs w:val="18"/>
        </w:rPr>
        <w:t>poor cardiovascular outcomes: a pilot study</w:t>
      </w:r>
    </w:p>
    <w:p w14:paraId="35C227C3" w14:textId="77777777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3b30f6db.B" w:hAnsi="AdvOT3b30f6db.B" w:cs="AdvOT3b30f6db.B"/>
          <w:b/>
          <w:bCs/>
          <w:sz w:val="18"/>
          <w:szCs w:val="18"/>
        </w:rPr>
      </w:pPr>
    </w:p>
    <w:p w14:paraId="2171249E" w14:textId="54ED7C30" w:rsidR="0027034E" w:rsidRP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3b30f6db.B" w:hAnsi="AdvOT3b30f6db.B" w:cs="AdvOT3b30f6db.B"/>
          <w:b/>
          <w:bCs/>
          <w:sz w:val="18"/>
          <w:szCs w:val="18"/>
        </w:rPr>
      </w:pPr>
      <w:r w:rsidRPr="0027034E">
        <w:rPr>
          <w:rFonts w:ascii="AdvOT3b30f6db.B" w:hAnsi="AdvOT3b30f6db.B" w:cs="AdvOT3b30f6db.B"/>
          <w:b/>
          <w:bCs/>
          <w:sz w:val="18"/>
          <w:szCs w:val="18"/>
        </w:rPr>
        <w:t>Lily Jones*, Julie Park, Daniel B. Hawcutt, Joanne Blair,</w:t>
      </w:r>
      <w:r w:rsidRPr="0027034E">
        <w:rPr>
          <w:rFonts w:ascii="AdvOT3b30f6db.B" w:hAnsi="AdvOT3b30f6db.B" w:cs="AdvOT3b30f6db.B"/>
          <w:b/>
          <w:bCs/>
          <w:sz w:val="18"/>
          <w:szCs w:val="18"/>
        </w:rPr>
        <w:t xml:space="preserve"> </w:t>
      </w:r>
      <w:r w:rsidRPr="0027034E">
        <w:rPr>
          <w:rFonts w:ascii="AdvOT3b30f6db.B" w:hAnsi="AdvOT3b30f6db.B" w:cs="AdvOT3b30f6db.B"/>
          <w:b/>
          <w:bCs/>
          <w:sz w:val="18"/>
          <w:szCs w:val="18"/>
        </w:rPr>
        <w:t>Gregory Y.H. Lip, Alena Shantsila</w:t>
      </w:r>
    </w:p>
    <w:p w14:paraId="160BCC93" w14:textId="77777777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65f8a23b.I" w:hAnsi="AdvOT65f8a23b.I" w:cs="AdvOT65f8a23b.I"/>
          <w:sz w:val="12"/>
          <w:szCs w:val="12"/>
        </w:rPr>
      </w:pPr>
    </w:p>
    <w:p w14:paraId="58191DF8" w14:textId="77777777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65f8a23b.I" w:hAnsi="AdvOT65f8a23b.I" w:cs="AdvOT65f8a23b.I"/>
          <w:sz w:val="18"/>
          <w:szCs w:val="18"/>
        </w:rPr>
      </w:pPr>
      <w:r>
        <w:rPr>
          <w:rFonts w:ascii="AdvOT65f8a23b.I" w:hAnsi="AdvOT65f8a23b.I" w:cs="AdvOT65f8a23b.I"/>
          <w:sz w:val="12"/>
          <w:szCs w:val="12"/>
        </w:rPr>
        <w:t>1</w:t>
      </w:r>
      <w:r>
        <w:rPr>
          <w:rFonts w:ascii="AdvOT65f8a23b.I" w:hAnsi="AdvOT65f8a23b.I" w:cs="AdvOT65f8a23b.I"/>
          <w:sz w:val="18"/>
          <w:szCs w:val="18"/>
        </w:rPr>
        <w:t xml:space="preserve">University of Liverpool, Liverpool, United Kingdom, </w:t>
      </w:r>
    </w:p>
    <w:p w14:paraId="01BE337B" w14:textId="77777777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65f8a23b.I" w:hAnsi="AdvOT65f8a23b.I" w:cs="AdvOT65f8a23b.I"/>
          <w:sz w:val="18"/>
          <w:szCs w:val="18"/>
        </w:rPr>
      </w:pPr>
      <w:r>
        <w:rPr>
          <w:rFonts w:ascii="AdvOT65f8a23b.I" w:hAnsi="AdvOT65f8a23b.I" w:cs="AdvOT65f8a23b.I"/>
          <w:sz w:val="12"/>
          <w:szCs w:val="12"/>
        </w:rPr>
        <w:t>2</w:t>
      </w:r>
      <w:r>
        <w:rPr>
          <w:rFonts w:ascii="AdvOT65f8a23b.I" w:hAnsi="AdvOT65f8a23b.I" w:cs="AdvOT65f8a23b.I"/>
          <w:sz w:val="18"/>
          <w:szCs w:val="18"/>
        </w:rPr>
        <w:t>Alder Hey</w:t>
      </w:r>
      <w:r>
        <w:rPr>
          <w:rFonts w:ascii="AdvOT65f8a23b.I" w:hAnsi="AdvOT65f8a23b.I" w:cs="AdvOT65f8a23b.I"/>
          <w:sz w:val="18"/>
          <w:szCs w:val="18"/>
        </w:rPr>
        <w:t xml:space="preserve"> </w:t>
      </w:r>
      <w:r>
        <w:rPr>
          <w:rFonts w:ascii="AdvOT65f8a23b.I" w:hAnsi="AdvOT65f8a23b.I" w:cs="AdvOT65f8a23b.I"/>
          <w:sz w:val="18"/>
          <w:szCs w:val="18"/>
        </w:rPr>
        <w:t>Children</w:t>
      </w:r>
      <w:r>
        <w:rPr>
          <w:rFonts w:ascii="AdvOT65f8a23b.I+20" w:hAnsi="AdvOT65f8a23b.I+20" w:cs="AdvOT65f8a23b.I+20"/>
          <w:sz w:val="18"/>
          <w:szCs w:val="18"/>
        </w:rPr>
        <w:t>’</w:t>
      </w:r>
      <w:r>
        <w:rPr>
          <w:rFonts w:ascii="AdvOT65f8a23b.I" w:hAnsi="AdvOT65f8a23b.I" w:cs="AdvOT65f8a23b.I"/>
          <w:sz w:val="18"/>
          <w:szCs w:val="18"/>
        </w:rPr>
        <w:t xml:space="preserve">s NHS Foundation Trust, Liverpool, United Kingdom, </w:t>
      </w:r>
    </w:p>
    <w:p w14:paraId="5544886C" w14:textId="17C9D844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3b30f6db.B" w:hAnsi="AdvOT3b30f6db.B" w:cs="AdvOT3b30f6db.B"/>
          <w:sz w:val="18"/>
          <w:szCs w:val="18"/>
        </w:rPr>
      </w:pPr>
      <w:r>
        <w:rPr>
          <w:rFonts w:ascii="AdvOT65f8a23b.I" w:hAnsi="AdvOT65f8a23b.I" w:cs="AdvOT65f8a23b.I"/>
          <w:sz w:val="12"/>
          <w:szCs w:val="12"/>
        </w:rPr>
        <w:t>3</w:t>
      </w:r>
      <w:r>
        <w:rPr>
          <w:rFonts w:ascii="AdvOT65f8a23b.I" w:hAnsi="AdvOT65f8a23b.I" w:cs="AdvOT65f8a23b.I"/>
          <w:sz w:val="18"/>
          <w:szCs w:val="18"/>
        </w:rPr>
        <w:t>NIHR</w:t>
      </w:r>
      <w:r>
        <w:rPr>
          <w:rFonts w:ascii="AdvOT65f8a23b.I" w:hAnsi="AdvOT65f8a23b.I" w:cs="AdvOT65f8a23b.I"/>
          <w:sz w:val="18"/>
          <w:szCs w:val="18"/>
        </w:rPr>
        <w:t xml:space="preserve"> </w:t>
      </w:r>
      <w:r>
        <w:rPr>
          <w:rFonts w:ascii="AdvOT65f8a23b.I" w:hAnsi="AdvOT65f8a23b.I" w:cs="AdvOT65f8a23b.I"/>
          <w:sz w:val="18"/>
          <w:szCs w:val="18"/>
        </w:rPr>
        <w:t>Alder Hey Clinical Research Facility, Alder Hey Children</w:t>
      </w:r>
      <w:r>
        <w:rPr>
          <w:rFonts w:ascii="AdvOT65f8a23b.I+20" w:hAnsi="AdvOT65f8a23b.I+20" w:cs="AdvOT65f8a23b.I+20"/>
          <w:sz w:val="18"/>
          <w:szCs w:val="18"/>
        </w:rPr>
        <w:t>’</w:t>
      </w:r>
      <w:r>
        <w:rPr>
          <w:rFonts w:ascii="AdvOT65f8a23b.I" w:hAnsi="AdvOT65f8a23b.I" w:cs="AdvOT65f8a23b.I"/>
          <w:sz w:val="18"/>
          <w:szCs w:val="18"/>
        </w:rPr>
        <w:t>s NHS</w:t>
      </w:r>
      <w:r>
        <w:rPr>
          <w:rFonts w:ascii="AdvOT65f8a23b.I" w:hAnsi="AdvOT65f8a23b.I" w:cs="AdvOT65f8a23b.I"/>
          <w:sz w:val="18"/>
          <w:szCs w:val="18"/>
        </w:rPr>
        <w:t xml:space="preserve"> </w:t>
      </w:r>
      <w:r>
        <w:rPr>
          <w:rFonts w:ascii="AdvOT65f8a23b.I" w:hAnsi="AdvOT65f8a23b.I" w:cs="AdvOT65f8a23b.I"/>
          <w:sz w:val="18"/>
          <w:szCs w:val="18"/>
        </w:rPr>
        <w:t xml:space="preserve">Foundation Trust, Liverpool, United Kingdom, </w:t>
      </w:r>
      <w:r>
        <w:rPr>
          <w:rFonts w:ascii="AdvOT65f8a23b.I" w:hAnsi="AdvOT65f8a23b.I" w:cs="AdvOT65f8a23b.I"/>
          <w:sz w:val="12"/>
          <w:szCs w:val="12"/>
        </w:rPr>
        <w:t>4</w:t>
      </w:r>
      <w:r>
        <w:rPr>
          <w:rFonts w:ascii="AdvOT65f8a23b.I" w:hAnsi="AdvOT65f8a23b.I" w:cs="AdvOT65f8a23b.I"/>
          <w:sz w:val="18"/>
          <w:szCs w:val="18"/>
        </w:rPr>
        <w:t>Liverpool Centre for</w:t>
      </w:r>
      <w:r>
        <w:rPr>
          <w:rFonts w:ascii="AdvOT65f8a23b.I" w:hAnsi="AdvOT65f8a23b.I" w:cs="AdvOT65f8a23b.I"/>
          <w:sz w:val="18"/>
          <w:szCs w:val="18"/>
        </w:rPr>
        <w:t xml:space="preserve"> </w:t>
      </w:r>
      <w:r>
        <w:rPr>
          <w:rFonts w:ascii="AdvOT65f8a23b.I" w:hAnsi="AdvOT65f8a23b.I" w:cs="AdvOT65f8a23b.I"/>
          <w:sz w:val="18"/>
          <w:szCs w:val="18"/>
        </w:rPr>
        <w:t>Cardiovascular Science, University of Liverpool and Liverpool Heart</w:t>
      </w:r>
      <w:r>
        <w:rPr>
          <w:rFonts w:ascii="AdvOT65f8a23b.I" w:hAnsi="AdvOT65f8a23b.I" w:cs="AdvOT65f8a23b.I"/>
          <w:sz w:val="18"/>
          <w:szCs w:val="18"/>
        </w:rPr>
        <w:t xml:space="preserve"> </w:t>
      </w:r>
      <w:r>
        <w:rPr>
          <w:rFonts w:ascii="AdvOT65f8a23b.I" w:hAnsi="AdvOT65f8a23b.I" w:cs="AdvOT65f8a23b.I"/>
          <w:sz w:val="18"/>
          <w:szCs w:val="18"/>
        </w:rPr>
        <w:t>and Chest Hospital, Liverpool, United Kingdom</w:t>
      </w:r>
    </w:p>
    <w:p w14:paraId="4992BBC5" w14:textId="77777777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3b30f6db.B" w:hAnsi="AdvOT3b30f6db.B" w:cs="AdvOT3b30f6db.B"/>
          <w:sz w:val="18"/>
          <w:szCs w:val="18"/>
        </w:rPr>
      </w:pPr>
    </w:p>
    <w:p w14:paraId="3300F8F1" w14:textId="77777777" w:rsidR="0027034E" w:rsidRP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3b30f6db.B" w:hAnsi="AdvOT3b30f6db.B" w:cs="AdvOT3b30f6db.B"/>
          <w:b/>
          <w:bCs/>
          <w:sz w:val="18"/>
          <w:szCs w:val="18"/>
        </w:rPr>
      </w:pPr>
      <w:r w:rsidRPr="0027034E">
        <w:rPr>
          <w:rFonts w:ascii="AdvOT3b30f6db.B" w:hAnsi="AdvOT3b30f6db.B" w:cs="AdvOT3b30f6db.B"/>
          <w:b/>
          <w:bCs/>
          <w:sz w:val="18"/>
          <w:szCs w:val="18"/>
        </w:rPr>
        <w:t xml:space="preserve">Introduction: </w:t>
      </w:r>
    </w:p>
    <w:p w14:paraId="0C41D74E" w14:textId="77777777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3b30f6db.B" w:hAnsi="AdvOT3b30f6db.B" w:cs="AdvOT3b30f6db.B"/>
          <w:sz w:val="18"/>
          <w:szCs w:val="18"/>
        </w:rPr>
      </w:pPr>
    </w:p>
    <w:p w14:paraId="21701E13" w14:textId="2D398FE3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8"/>
          <w:szCs w:val="18"/>
        </w:rPr>
      </w:pPr>
      <w:r>
        <w:rPr>
          <w:rFonts w:ascii="AdvOT46dcae81" w:hAnsi="AdvOT46dcae81" w:cs="AdvOT46dcae81"/>
          <w:sz w:val="18"/>
          <w:szCs w:val="18"/>
        </w:rPr>
        <w:t>Hypertension can develop at a young age in Turner</w:t>
      </w:r>
      <w:r>
        <w:rPr>
          <w:rFonts w:ascii="AdvOT46dcae81" w:hAnsi="AdvOT46dcae81" w:cs="AdvOT46dcae81"/>
          <w:sz w:val="18"/>
          <w:szCs w:val="18"/>
        </w:rPr>
        <w:t xml:space="preserve"> </w:t>
      </w:r>
      <w:r>
        <w:rPr>
          <w:rFonts w:ascii="AdvOT46dcae81" w:hAnsi="AdvOT46dcae81" w:cs="AdvOT46dcae81"/>
          <w:sz w:val="18"/>
          <w:szCs w:val="18"/>
        </w:rPr>
        <w:t>Syndrome (TS), and International Guidelines recommend that blood</w:t>
      </w:r>
      <w:r>
        <w:rPr>
          <w:rFonts w:ascii="AdvOT46dcae81" w:hAnsi="AdvOT46dcae81" w:cs="AdvOT46dcae81"/>
          <w:sz w:val="18"/>
          <w:szCs w:val="18"/>
        </w:rPr>
        <w:t xml:space="preserve"> </w:t>
      </w:r>
      <w:r>
        <w:rPr>
          <w:rFonts w:ascii="AdvOT46dcae81" w:hAnsi="AdvOT46dcae81" w:cs="AdvOT46dcae81"/>
          <w:sz w:val="18"/>
          <w:szCs w:val="18"/>
        </w:rPr>
        <w:t xml:space="preserve">pressure (BP) is measured at every clinic visit during </w:t>
      </w:r>
      <w:proofErr w:type="gramStart"/>
      <w:r>
        <w:rPr>
          <w:rFonts w:ascii="AdvOT46dcae81" w:hAnsi="AdvOT46dcae81" w:cs="AdvOT46dcae81"/>
          <w:sz w:val="18"/>
          <w:szCs w:val="18"/>
        </w:rPr>
        <w:t>childhood.(</w:t>
      </w:r>
      <w:proofErr w:type="gramEnd"/>
      <w:r>
        <w:rPr>
          <w:rFonts w:ascii="AdvOT46dcae81" w:hAnsi="AdvOT46dcae81" w:cs="AdvOT46dcae81"/>
          <w:sz w:val="18"/>
          <w:szCs w:val="18"/>
        </w:rPr>
        <w:t>1)</w:t>
      </w:r>
      <w:r>
        <w:rPr>
          <w:rFonts w:ascii="AdvOT46dcae81" w:hAnsi="AdvOT46dcae81" w:cs="AdvOT46dcae81"/>
          <w:sz w:val="18"/>
          <w:szCs w:val="18"/>
        </w:rPr>
        <w:t xml:space="preserve"> </w:t>
      </w:r>
      <w:r>
        <w:rPr>
          <w:rFonts w:ascii="AdvOT46dcae81" w:hAnsi="AdvOT46dcae81" w:cs="AdvOT46dcae81"/>
          <w:sz w:val="18"/>
          <w:szCs w:val="18"/>
        </w:rPr>
        <w:t>24-hour ambulatory BP monitoring (ABPM) is perceived as being</w:t>
      </w:r>
      <w:r>
        <w:rPr>
          <w:rFonts w:ascii="AdvOT46dcae81" w:hAnsi="AdvOT46dcae81" w:cs="AdvOT46dcae81"/>
          <w:sz w:val="18"/>
          <w:szCs w:val="18"/>
        </w:rPr>
        <w:t xml:space="preserve"> </w:t>
      </w:r>
      <w:r>
        <w:rPr>
          <w:rFonts w:ascii="AdvOT46dcae81" w:hAnsi="AdvOT46dcae81" w:cs="AdvOT46dcae81"/>
          <w:sz w:val="18"/>
          <w:szCs w:val="18"/>
        </w:rPr>
        <w:t>poorly tolerated in paediatric patients, but has diagnostic bene</w:t>
      </w:r>
      <w:r>
        <w:rPr>
          <w:rFonts w:ascii="AdvOT46dcae81+fb" w:hAnsi="AdvOT46dcae81+fb" w:cs="AdvOT46dcae81+fb"/>
          <w:sz w:val="18"/>
          <w:szCs w:val="18"/>
        </w:rPr>
        <w:t>fi</w:t>
      </w:r>
      <w:r>
        <w:rPr>
          <w:rFonts w:ascii="AdvOT46dcae81" w:hAnsi="AdvOT46dcae81" w:cs="AdvOT46dcae81"/>
          <w:sz w:val="18"/>
          <w:szCs w:val="18"/>
        </w:rPr>
        <w:t>ts</w:t>
      </w:r>
      <w:r>
        <w:rPr>
          <w:rFonts w:ascii="AdvOT46dcae81" w:hAnsi="AdvOT46dcae81" w:cs="AdvOT46dcae81"/>
          <w:sz w:val="18"/>
          <w:szCs w:val="18"/>
        </w:rPr>
        <w:t xml:space="preserve">. </w:t>
      </w:r>
      <w:r>
        <w:rPr>
          <w:rFonts w:ascii="AdvOT46dcae81" w:hAnsi="AdvOT46dcae81" w:cs="AdvOT46dcae81"/>
          <w:color w:val="000000"/>
          <w:sz w:val="18"/>
          <w:szCs w:val="18"/>
        </w:rPr>
        <w:t>Its usability and accuracy in TS are scarcely established. We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compared information gathered from clinic BP with ABPM.</w:t>
      </w:r>
    </w:p>
    <w:p w14:paraId="20000438" w14:textId="77777777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3b30f6db.B" w:hAnsi="AdvOT3b30f6db.B" w:cs="AdvOT3b30f6db.B"/>
          <w:color w:val="000000"/>
          <w:sz w:val="18"/>
          <w:szCs w:val="18"/>
        </w:rPr>
      </w:pPr>
    </w:p>
    <w:p w14:paraId="35B1E0DF" w14:textId="77777777" w:rsidR="0027034E" w:rsidRP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3b30f6db.B" w:hAnsi="AdvOT3b30f6db.B" w:cs="AdvOT3b30f6db.B"/>
          <w:b/>
          <w:bCs/>
          <w:color w:val="000000"/>
          <w:sz w:val="18"/>
          <w:szCs w:val="18"/>
        </w:rPr>
      </w:pPr>
      <w:r w:rsidRPr="0027034E">
        <w:rPr>
          <w:rFonts w:ascii="AdvOT3b30f6db.B" w:hAnsi="AdvOT3b30f6db.B" w:cs="AdvOT3b30f6db.B"/>
          <w:b/>
          <w:bCs/>
          <w:color w:val="000000"/>
          <w:sz w:val="18"/>
          <w:szCs w:val="18"/>
        </w:rPr>
        <w:t xml:space="preserve">Methods: </w:t>
      </w:r>
    </w:p>
    <w:p w14:paraId="7251258E" w14:textId="77777777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3b30f6db.B" w:hAnsi="AdvOT3b30f6db.B" w:cs="AdvOT3b30f6db.B"/>
          <w:color w:val="000000"/>
          <w:sz w:val="18"/>
          <w:szCs w:val="18"/>
        </w:rPr>
      </w:pPr>
    </w:p>
    <w:p w14:paraId="28353F39" w14:textId="5332A37D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8"/>
          <w:szCs w:val="18"/>
        </w:rPr>
      </w:pPr>
      <w:r>
        <w:rPr>
          <w:rFonts w:ascii="AdvOT46dcae81" w:hAnsi="AdvOT46dcae81" w:cs="AdvOT46dcae81"/>
          <w:color w:val="000000"/>
          <w:sz w:val="18"/>
          <w:szCs w:val="18"/>
        </w:rPr>
        <w:t>Adolescents with genetically con</w:t>
      </w:r>
      <w:r>
        <w:rPr>
          <w:rFonts w:ascii="AdvOT46dcae81+fb" w:hAnsi="AdvOT46dcae81+fb" w:cs="AdvOT46dcae81+fb"/>
          <w:color w:val="000000"/>
          <w:sz w:val="18"/>
          <w:szCs w:val="18"/>
        </w:rPr>
        <w:t>fi</w:t>
      </w:r>
      <w:r>
        <w:rPr>
          <w:rFonts w:ascii="AdvOT46dcae81" w:hAnsi="AdvOT46dcae81" w:cs="AdvOT46dcae81"/>
          <w:color w:val="000000"/>
          <w:sz w:val="18"/>
          <w:szCs w:val="18"/>
        </w:rPr>
        <w:t>rmed TS undertook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both clinic BP measurement and ABPM (Welch </w:t>
      </w:r>
      <w:proofErr w:type="spellStart"/>
      <w:r>
        <w:rPr>
          <w:rFonts w:ascii="AdvOT46dcae81" w:hAnsi="AdvOT46dcae81" w:cs="AdvOT46dcae81"/>
          <w:color w:val="000000"/>
          <w:sz w:val="18"/>
          <w:szCs w:val="18"/>
        </w:rPr>
        <w:t>Allyn</w:t>
      </w:r>
      <w:proofErr w:type="spellEnd"/>
      <w:r>
        <w:rPr>
          <w:rFonts w:ascii="AdvTT7b515deb" w:hAnsi="AdvTT7b515deb" w:cs="AdvTT7b515deb"/>
          <w:color w:val="000000"/>
          <w:sz w:val="18"/>
          <w:szCs w:val="18"/>
        </w:rPr>
        <w:t>®</w:t>
      </w:r>
      <w:r>
        <w:rPr>
          <w:rFonts w:ascii="AdvOT46dcae81" w:hAnsi="AdvOT46dcae81" w:cs="AdvOT46dcae81"/>
          <w:color w:val="000000"/>
          <w:sz w:val="18"/>
          <w:szCs w:val="18"/>
        </w:rPr>
        <w:t>, USA). The</w:t>
      </w:r>
    </w:p>
    <w:p w14:paraId="00CF5ABD" w14:textId="109E8676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8"/>
          <w:szCs w:val="18"/>
        </w:rPr>
      </w:pPr>
      <w:r>
        <w:rPr>
          <w:rFonts w:ascii="AdvOT46dcae81" w:hAnsi="AdvOT46dcae81" w:cs="AdvOT46dcae81"/>
          <w:color w:val="000000"/>
          <w:sz w:val="18"/>
          <w:szCs w:val="18"/>
        </w:rPr>
        <w:t>study has ethics approval (REC 21/SC/0292</w:t>
      </w:r>
      <w:proofErr w:type="gramStart"/>
      <w:r>
        <w:rPr>
          <w:rFonts w:ascii="AdvOT46dcae81" w:hAnsi="AdvOT46dcae81" w:cs="AdvOT46dcae81"/>
          <w:color w:val="000000"/>
          <w:sz w:val="18"/>
          <w:szCs w:val="18"/>
        </w:rPr>
        <w:t>)</w:t>
      </w:r>
      <w:proofErr w:type="gramEnd"/>
      <w:r>
        <w:rPr>
          <w:rFonts w:ascii="AdvOT46dcae81" w:hAnsi="AdvOT46dcae81" w:cs="AdvOT46dcae81"/>
          <w:color w:val="000000"/>
          <w:sz w:val="18"/>
          <w:szCs w:val="18"/>
        </w:rPr>
        <w:t xml:space="preserve"> and parents/patients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gave informed consent/assent.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Non-dipping BP was de</w:t>
      </w:r>
      <w:r>
        <w:rPr>
          <w:rFonts w:ascii="AdvOT46dcae81+fb" w:hAnsi="AdvOT46dcae81+fb" w:cs="AdvOT46dcae81+fb"/>
          <w:color w:val="000000"/>
          <w:sz w:val="18"/>
          <w:szCs w:val="18"/>
        </w:rPr>
        <w:t>fi</w:t>
      </w:r>
      <w:r>
        <w:rPr>
          <w:rFonts w:ascii="AdvOT46dcae81" w:hAnsi="AdvOT46dcae81" w:cs="AdvOT46dcae81"/>
          <w:color w:val="000000"/>
          <w:sz w:val="18"/>
          <w:szCs w:val="18"/>
        </w:rPr>
        <w:t>ned as &lt;10% nocturnal fall in systolic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and/or diastolic BP from daytime values. Hypertension was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de</w:t>
      </w:r>
      <w:r>
        <w:rPr>
          <w:rFonts w:ascii="AdvOT46dcae81+fb" w:hAnsi="AdvOT46dcae81+fb" w:cs="AdvOT46dcae81+fb"/>
          <w:color w:val="000000"/>
          <w:sz w:val="18"/>
          <w:szCs w:val="18"/>
        </w:rPr>
        <w:t>fi</w:t>
      </w:r>
      <w:r>
        <w:rPr>
          <w:rFonts w:ascii="AdvOT46dcae81" w:hAnsi="AdvOT46dcae81" w:cs="AdvOT46dcae81"/>
          <w:color w:val="000000"/>
          <w:sz w:val="18"/>
          <w:szCs w:val="18"/>
        </w:rPr>
        <w:t>ned as systolic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and/or diastolic BP </w:t>
      </w:r>
      <w:r>
        <w:rPr>
          <w:rFonts w:ascii="AdvOT46dcae81+22" w:eastAsia="AdvOT46dcae81+22" w:hAnsi="AdvOT46dcae81" w:cs="AdvOT46dcae81+22" w:hint="eastAsia"/>
          <w:color w:val="000000"/>
          <w:sz w:val="18"/>
          <w:szCs w:val="18"/>
        </w:rPr>
        <w:t>≥</w:t>
      </w:r>
      <w:r>
        <w:rPr>
          <w:rFonts w:ascii="AdvOT46dcae81+22" w:eastAsia="AdvOT46dcae81+22" w:hAnsi="AdvOT46dcae81" w:cs="AdvOT46dcae81+22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95th centile for height,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age and </w:t>
      </w:r>
      <w:proofErr w:type="gramStart"/>
      <w:r>
        <w:rPr>
          <w:rFonts w:ascii="AdvOT46dcae81" w:hAnsi="AdvOT46dcae81" w:cs="AdvOT46dcae81"/>
          <w:color w:val="000000"/>
          <w:sz w:val="18"/>
          <w:szCs w:val="18"/>
        </w:rPr>
        <w:t>gender.(</w:t>
      </w:r>
      <w:proofErr w:type="gramEnd"/>
      <w:r>
        <w:rPr>
          <w:rFonts w:ascii="AdvOT46dcae81" w:hAnsi="AdvOT46dcae81" w:cs="AdvOT46dcae81"/>
          <w:color w:val="000000"/>
          <w:sz w:val="18"/>
          <w:szCs w:val="18"/>
        </w:rPr>
        <w:t>2) Acceptability of ABPM was assessed using a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10-point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Likert score (1 unacceptable, 10 acceptable).</w:t>
      </w:r>
    </w:p>
    <w:p w14:paraId="09BB3320" w14:textId="77777777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3b30f6db.B" w:hAnsi="AdvOT3b30f6db.B" w:cs="AdvOT3b30f6db.B"/>
          <w:color w:val="000000"/>
          <w:sz w:val="18"/>
          <w:szCs w:val="18"/>
        </w:rPr>
      </w:pPr>
    </w:p>
    <w:p w14:paraId="6CD13D2B" w14:textId="77777777" w:rsidR="0027034E" w:rsidRP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3b30f6db.B" w:hAnsi="AdvOT3b30f6db.B" w:cs="AdvOT3b30f6db.B"/>
          <w:b/>
          <w:bCs/>
          <w:color w:val="000000"/>
          <w:sz w:val="18"/>
          <w:szCs w:val="18"/>
        </w:rPr>
      </w:pPr>
      <w:r w:rsidRPr="0027034E">
        <w:rPr>
          <w:rFonts w:ascii="AdvOT3b30f6db.B" w:hAnsi="AdvOT3b30f6db.B" w:cs="AdvOT3b30f6db.B"/>
          <w:b/>
          <w:bCs/>
          <w:color w:val="000000"/>
          <w:sz w:val="18"/>
          <w:szCs w:val="18"/>
        </w:rPr>
        <w:t xml:space="preserve">Results: </w:t>
      </w:r>
    </w:p>
    <w:p w14:paraId="41266478" w14:textId="77777777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3b30f6db.B" w:hAnsi="AdvOT3b30f6db.B" w:cs="AdvOT3b30f6db.B"/>
          <w:color w:val="000000"/>
          <w:sz w:val="18"/>
          <w:szCs w:val="18"/>
        </w:rPr>
      </w:pPr>
    </w:p>
    <w:p w14:paraId="6FA3D6CC" w14:textId="2343805F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8"/>
          <w:szCs w:val="18"/>
        </w:rPr>
      </w:pPr>
      <w:r>
        <w:rPr>
          <w:rFonts w:ascii="AdvOT46dcae81" w:hAnsi="AdvOT46dcae81" w:cs="AdvOT46dcae81"/>
          <w:color w:val="000000"/>
          <w:sz w:val="18"/>
          <w:szCs w:val="18"/>
        </w:rPr>
        <w:t xml:space="preserve">Initial data were collected from six girls (mean </w:t>
      </w:r>
      <w:proofErr w:type="spellStart"/>
      <w:r>
        <w:rPr>
          <w:rFonts w:ascii="AdvOT46dcae81" w:hAnsi="AdvOT46dcae81" w:cs="AdvOT46dcae81"/>
          <w:color w:val="000000"/>
          <w:sz w:val="18"/>
          <w:szCs w:val="18"/>
        </w:rPr>
        <w:t>age±SD</w:t>
      </w:r>
      <w:proofErr w:type="spellEnd"/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15.0 ± 1.5 years). Successful ABPM readings were obtained from</w:t>
      </w:r>
    </w:p>
    <w:p w14:paraId="4930EEFC" w14:textId="77777777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8"/>
          <w:szCs w:val="18"/>
        </w:rPr>
      </w:pPr>
      <w:r>
        <w:rPr>
          <w:rFonts w:ascii="AdvOT46dcae81" w:hAnsi="AdvOT46dcae81" w:cs="AdvOT46dcae81"/>
          <w:color w:val="000000"/>
          <w:sz w:val="18"/>
          <w:szCs w:val="18"/>
        </w:rPr>
        <w:t>81 ± 12% measurements. Clinic BP identi</w:t>
      </w:r>
      <w:r>
        <w:rPr>
          <w:rFonts w:ascii="AdvOT46dcae81+fb" w:hAnsi="AdvOT46dcae81+fb" w:cs="AdvOT46dcae81+fb"/>
          <w:color w:val="000000"/>
          <w:sz w:val="18"/>
          <w:szCs w:val="18"/>
        </w:rPr>
        <w:t>fi</w:t>
      </w:r>
      <w:r>
        <w:rPr>
          <w:rFonts w:ascii="AdvOT46dcae81" w:hAnsi="AdvOT46dcae81" w:cs="AdvOT46dcae81"/>
          <w:color w:val="000000"/>
          <w:sz w:val="18"/>
          <w:szCs w:val="18"/>
        </w:rPr>
        <w:t>ed hypertension in one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participant and one further participant was diagnosed with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hypertension based on ABPM. Non-dipping BP was observed in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5 of 6 participants: 3 had systolic non-</w:t>
      </w:r>
      <w:proofErr w:type="spellStart"/>
      <w:r>
        <w:rPr>
          <w:rFonts w:ascii="AdvOT46dcae81" w:hAnsi="AdvOT46dcae81" w:cs="AdvOT46dcae81"/>
          <w:color w:val="000000"/>
          <w:sz w:val="18"/>
          <w:szCs w:val="18"/>
        </w:rPr>
        <w:t>dippings</w:t>
      </w:r>
      <w:proofErr w:type="spellEnd"/>
      <w:r>
        <w:rPr>
          <w:rFonts w:ascii="AdvOT46dcae81" w:hAnsi="AdvOT46dcae81" w:cs="AdvOT46dcae81"/>
          <w:color w:val="000000"/>
          <w:sz w:val="18"/>
          <w:szCs w:val="18"/>
        </w:rPr>
        <w:t xml:space="preserve"> (median 8.7%, IQR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6.6%</w:t>
      </w:r>
      <w:r>
        <w:rPr>
          <w:rFonts w:ascii="AdvOT46dcae81+20" w:eastAsia="AdvOT46dcae81+20" w:hAnsi="AdvOT46dcae81" w:cs="AdvOT46dcae81+20" w:hint="eastAsia"/>
          <w:color w:val="000000"/>
          <w:sz w:val="18"/>
          <w:szCs w:val="18"/>
        </w:rPr>
        <w:t>–</w:t>
      </w:r>
      <w:r>
        <w:rPr>
          <w:rFonts w:ascii="AdvOT46dcae81" w:hAnsi="AdvOT46dcae81" w:cs="AdvOT46dcae81"/>
          <w:color w:val="000000"/>
          <w:sz w:val="18"/>
          <w:szCs w:val="18"/>
        </w:rPr>
        <w:t>11.5%), 4 had diastolic non-</w:t>
      </w:r>
      <w:proofErr w:type="spellStart"/>
      <w:r>
        <w:rPr>
          <w:rFonts w:ascii="AdvOT46dcae81" w:hAnsi="AdvOT46dcae81" w:cs="AdvOT46dcae81"/>
          <w:color w:val="000000"/>
          <w:sz w:val="18"/>
          <w:szCs w:val="18"/>
        </w:rPr>
        <w:t>dippings</w:t>
      </w:r>
      <w:proofErr w:type="spellEnd"/>
      <w:r>
        <w:rPr>
          <w:rFonts w:ascii="AdvOT46dcae81" w:hAnsi="AdvOT46dcae81" w:cs="AdvOT46dcae81"/>
          <w:color w:val="000000"/>
          <w:sz w:val="18"/>
          <w:szCs w:val="18"/>
        </w:rPr>
        <w:t xml:space="preserve"> (median 8.5%, IQR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7.7%</w:t>
      </w:r>
      <w:r>
        <w:rPr>
          <w:rFonts w:ascii="AdvOT46dcae81+20" w:eastAsia="AdvOT46dcae81+20" w:hAnsi="AdvOT46dcae81" w:cs="AdvOT46dcae81+20" w:hint="eastAsia"/>
          <w:color w:val="000000"/>
          <w:sz w:val="18"/>
          <w:szCs w:val="18"/>
        </w:rPr>
        <w:t>–</w:t>
      </w:r>
      <w:r>
        <w:rPr>
          <w:rFonts w:ascii="AdvOT46dcae81" w:hAnsi="AdvOT46dcae81" w:cs="AdvOT46dcae81"/>
          <w:color w:val="000000"/>
          <w:sz w:val="18"/>
          <w:szCs w:val="18"/>
        </w:rPr>
        <w:t>12.4%). Mean arterial BP nocturnal dipping was &lt;10% in the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same 5 participants (median 6.2%, IQR 5.8%</w:t>
      </w:r>
      <w:r>
        <w:rPr>
          <w:rFonts w:ascii="AdvOT46dcae81+20" w:eastAsia="AdvOT46dcae81+20" w:hAnsi="AdvOT46dcae81" w:cs="AdvOT46dcae81+20" w:hint="eastAsia"/>
          <w:color w:val="000000"/>
          <w:sz w:val="18"/>
          <w:szCs w:val="18"/>
        </w:rPr>
        <w:t>–</w:t>
      </w:r>
      <w:r>
        <w:rPr>
          <w:rFonts w:ascii="AdvOT46dcae81" w:hAnsi="AdvOT46dcae81" w:cs="AdvOT46dcae81"/>
          <w:color w:val="000000"/>
          <w:sz w:val="18"/>
          <w:szCs w:val="18"/>
        </w:rPr>
        <w:t>9.0%). Average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acceptability score for ABPM was 6.6 ± 1.2 for the daytime and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6.2 ± 2.2 for the night-time.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</w:p>
    <w:p w14:paraId="28B4113A" w14:textId="77777777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8"/>
          <w:szCs w:val="18"/>
        </w:rPr>
      </w:pPr>
    </w:p>
    <w:p w14:paraId="347C7039" w14:textId="77777777" w:rsidR="0027034E" w:rsidRP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3b30f6db.B" w:hAnsi="AdvOT3b30f6db.B" w:cs="AdvOT3b30f6db.B"/>
          <w:b/>
          <w:bCs/>
          <w:color w:val="000000"/>
          <w:sz w:val="18"/>
          <w:szCs w:val="18"/>
        </w:rPr>
      </w:pPr>
      <w:r w:rsidRPr="0027034E">
        <w:rPr>
          <w:rFonts w:ascii="AdvOT3b30f6db.B" w:hAnsi="AdvOT3b30f6db.B" w:cs="AdvOT3b30f6db.B"/>
          <w:b/>
          <w:bCs/>
          <w:color w:val="000000"/>
          <w:sz w:val="18"/>
          <w:szCs w:val="18"/>
        </w:rPr>
        <w:t xml:space="preserve">Conclusions: </w:t>
      </w:r>
    </w:p>
    <w:p w14:paraId="3ED901EF" w14:textId="77777777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3b30f6db.B" w:hAnsi="AdvOT3b30f6db.B" w:cs="AdvOT3b30f6db.B"/>
          <w:color w:val="000000"/>
          <w:sz w:val="18"/>
          <w:szCs w:val="18"/>
        </w:rPr>
      </w:pPr>
    </w:p>
    <w:p w14:paraId="43F600CD" w14:textId="025154E2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8"/>
          <w:szCs w:val="18"/>
        </w:rPr>
      </w:pPr>
      <w:r>
        <w:rPr>
          <w:rFonts w:ascii="AdvOT46dcae81" w:hAnsi="AdvOT46dcae81" w:cs="AdvOT46dcae81"/>
          <w:color w:val="000000"/>
          <w:sz w:val="18"/>
          <w:szCs w:val="18"/>
        </w:rPr>
        <w:t>Clinic BP may not accurately assess for the true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cardiovascular risk of adolescents with TS. ABPM was rated as an</w:t>
      </w:r>
    </w:p>
    <w:p w14:paraId="6D3D2788" w14:textId="0B2625E9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8"/>
          <w:szCs w:val="18"/>
        </w:rPr>
      </w:pPr>
      <w:r>
        <w:rPr>
          <w:rFonts w:ascii="AdvOT46dcae81" w:hAnsi="AdvOT46dcae81" w:cs="AdvOT46dcae81"/>
          <w:color w:val="000000"/>
          <w:sz w:val="18"/>
          <w:szCs w:val="18"/>
        </w:rPr>
        <w:t>acceptable investigation by patients and improves hypertension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 </w:t>
      </w:r>
      <w:r>
        <w:rPr>
          <w:rFonts w:ascii="AdvOT46dcae81" w:hAnsi="AdvOT46dcae81" w:cs="AdvOT46dcae81"/>
          <w:color w:val="000000"/>
          <w:sz w:val="18"/>
          <w:szCs w:val="18"/>
        </w:rPr>
        <w:t>detection in TS.</w:t>
      </w:r>
    </w:p>
    <w:p w14:paraId="518924B3" w14:textId="77777777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8"/>
          <w:szCs w:val="18"/>
        </w:rPr>
      </w:pPr>
    </w:p>
    <w:p w14:paraId="5E228125" w14:textId="77777777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8"/>
          <w:szCs w:val="18"/>
        </w:rPr>
      </w:pPr>
      <w:r>
        <w:rPr>
          <w:rFonts w:ascii="AdvOT3b30f6db.B" w:hAnsi="AdvOT3b30f6db.B" w:cs="AdvOT3b30f6db.B"/>
          <w:color w:val="000000"/>
          <w:sz w:val="18"/>
          <w:szCs w:val="18"/>
        </w:rPr>
        <w:t xml:space="preserve">Disclosures: </w:t>
      </w:r>
      <w:r>
        <w:rPr>
          <w:rFonts w:ascii="AdvOT46dcae81" w:hAnsi="AdvOT46dcae81" w:cs="AdvOT46dcae81"/>
          <w:color w:val="000000"/>
          <w:sz w:val="18"/>
          <w:szCs w:val="18"/>
        </w:rPr>
        <w:t>None</w:t>
      </w:r>
    </w:p>
    <w:p w14:paraId="7CF36FB9" w14:textId="77777777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3b30f6db.B" w:hAnsi="AdvOT3b30f6db.B" w:cs="AdvOT3b30f6db.B"/>
          <w:color w:val="000000"/>
          <w:sz w:val="18"/>
          <w:szCs w:val="18"/>
        </w:rPr>
      </w:pPr>
    </w:p>
    <w:p w14:paraId="6CC14247" w14:textId="1551C4B1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3b30f6db.B" w:hAnsi="AdvOT3b30f6db.B" w:cs="AdvOT3b30f6db.B"/>
          <w:color w:val="000000"/>
          <w:sz w:val="18"/>
          <w:szCs w:val="18"/>
        </w:rPr>
      </w:pPr>
      <w:r>
        <w:rPr>
          <w:rFonts w:ascii="AdvOT3b30f6db.B" w:hAnsi="AdvOT3b30f6db.B" w:cs="AdvOT3b30f6db.B"/>
          <w:color w:val="000000"/>
          <w:sz w:val="18"/>
          <w:szCs w:val="18"/>
        </w:rPr>
        <w:t>References:</w:t>
      </w:r>
    </w:p>
    <w:p w14:paraId="4D1895D4" w14:textId="77777777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00"/>
          <w:sz w:val="18"/>
          <w:szCs w:val="18"/>
        </w:rPr>
      </w:pPr>
      <w:r>
        <w:rPr>
          <w:rFonts w:ascii="AdvOT46dcae81" w:hAnsi="AdvOT46dcae81" w:cs="AdvOT46dcae81"/>
          <w:color w:val="000000"/>
          <w:sz w:val="18"/>
          <w:szCs w:val="18"/>
        </w:rPr>
        <w:t xml:space="preserve">1. </w:t>
      </w:r>
      <w:proofErr w:type="spellStart"/>
      <w:r>
        <w:rPr>
          <w:rFonts w:ascii="AdvOT46dcae81" w:hAnsi="AdvOT46dcae81" w:cs="AdvOT46dcae81"/>
          <w:color w:val="000000"/>
          <w:sz w:val="18"/>
          <w:szCs w:val="18"/>
        </w:rPr>
        <w:t>Gravholt</w:t>
      </w:r>
      <w:proofErr w:type="spellEnd"/>
      <w:r>
        <w:rPr>
          <w:rFonts w:ascii="AdvOT46dcae81" w:hAnsi="AdvOT46dcae81" w:cs="AdvOT46dcae81"/>
          <w:color w:val="000000"/>
          <w:sz w:val="18"/>
          <w:szCs w:val="18"/>
        </w:rPr>
        <w:t xml:space="preserve"> C.H et al. 2017. </w:t>
      </w:r>
      <w:proofErr w:type="spellStart"/>
      <w:r>
        <w:rPr>
          <w:rFonts w:ascii="AdvOT46dcae81" w:hAnsi="AdvOT46dcae81" w:cs="AdvOT46dcae81"/>
          <w:color w:val="000000"/>
          <w:sz w:val="18"/>
          <w:szCs w:val="18"/>
        </w:rPr>
        <w:t>Eur</w:t>
      </w:r>
      <w:proofErr w:type="spellEnd"/>
      <w:r>
        <w:rPr>
          <w:rFonts w:ascii="AdvOT46dcae81" w:hAnsi="AdvOT46dcae81" w:cs="AdvOT46dcae81"/>
          <w:color w:val="000000"/>
          <w:sz w:val="18"/>
          <w:szCs w:val="18"/>
        </w:rPr>
        <w:t xml:space="preserve"> J Endocrinol. 177(3</w:t>
      </w:r>
      <w:proofErr w:type="gramStart"/>
      <w:r>
        <w:rPr>
          <w:rFonts w:ascii="AdvOT46dcae81" w:hAnsi="AdvOT46dcae81" w:cs="AdvOT46dcae81"/>
          <w:color w:val="000000"/>
          <w:sz w:val="18"/>
          <w:szCs w:val="18"/>
        </w:rPr>
        <w:t>):G</w:t>
      </w:r>
      <w:proofErr w:type="gramEnd"/>
      <w:r>
        <w:rPr>
          <w:rFonts w:ascii="AdvOT46dcae81" w:hAnsi="AdvOT46dcae81" w:cs="AdvOT46dcae81"/>
          <w:color w:val="000000"/>
          <w:sz w:val="18"/>
          <w:szCs w:val="18"/>
        </w:rPr>
        <w:t>1</w:t>
      </w:r>
      <w:r>
        <w:rPr>
          <w:rFonts w:ascii="AdvOT46dcae81+20" w:eastAsia="AdvOT46dcae81+20" w:hAnsi="AdvOT46dcae81" w:cs="AdvOT46dcae81+20" w:hint="eastAsia"/>
          <w:color w:val="000000"/>
          <w:sz w:val="18"/>
          <w:szCs w:val="18"/>
        </w:rPr>
        <w:t>–</w:t>
      </w:r>
      <w:r>
        <w:rPr>
          <w:rFonts w:ascii="AdvOT46dcae81" w:hAnsi="AdvOT46dcae81" w:cs="AdvOT46dcae81"/>
          <w:color w:val="000000"/>
          <w:sz w:val="18"/>
          <w:szCs w:val="18"/>
        </w:rPr>
        <w:t>G70.</w:t>
      </w:r>
    </w:p>
    <w:p w14:paraId="4338BF8E" w14:textId="77777777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FF"/>
          <w:sz w:val="18"/>
          <w:szCs w:val="18"/>
        </w:rPr>
      </w:pPr>
      <w:r>
        <w:rPr>
          <w:rFonts w:ascii="AdvOT46dcae81" w:hAnsi="AdvOT46dcae81" w:cs="AdvOT46dcae81"/>
          <w:color w:val="0000FF"/>
          <w:sz w:val="18"/>
          <w:szCs w:val="18"/>
        </w:rPr>
        <w:t>https://doi.org/10.1530/EJE-17-0430</w:t>
      </w:r>
    </w:p>
    <w:p w14:paraId="731986BF" w14:textId="77777777" w:rsidR="0027034E" w:rsidRDefault="0027034E" w:rsidP="0027034E">
      <w:pPr>
        <w:autoSpaceDE w:val="0"/>
        <w:autoSpaceDN w:val="0"/>
        <w:adjustRightInd w:val="0"/>
        <w:spacing w:after="0" w:line="240" w:lineRule="auto"/>
        <w:rPr>
          <w:rFonts w:ascii="AdvOT46dcae81" w:hAnsi="AdvOT46dcae81" w:cs="AdvOT46dcae81"/>
          <w:color w:val="0000FF"/>
          <w:sz w:val="18"/>
          <w:szCs w:val="18"/>
        </w:rPr>
      </w:pPr>
      <w:r>
        <w:rPr>
          <w:rFonts w:ascii="AdvOT46dcae81" w:hAnsi="AdvOT46dcae81" w:cs="AdvOT46dcae81"/>
          <w:color w:val="000000"/>
          <w:sz w:val="18"/>
          <w:szCs w:val="18"/>
        </w:rPr>
        <w:t xml:space="preserve">2. </w:t>
      </w:r>
      <w:proofErr w:type="spellStart"/>
      <w:r>
        <w:rPr>
          <w:rFonts w:ascii="AdvOT46dcae81" w:hAnsi="AdvOT46dcae81" w:cs="AdvOT46dcae81"/>
          <w:color w:val="000000"/>
          <w:sz w:val="18"/>
          <w:szCs w:val="18"/>
        </w:rPr>
        <w:t>Lurbe</w:t>
      </w:r>
      <w:proofErr w:type="spellEnd"/>
      <w:r>
        <w:rPr>
          <w:rFonts w:ascii="AdvOT46dcae81" w:hAnsi="AdvOT46dcae81" w:cs="AdvOT46dcae81"/>
          <w:color w:val="000000"/>
          <w:sz w:val="18"/>
          <w:szCs w:val="18"/>
        </w:rPr>
        <w:t xml:space="preserve"> E et al. 2016. J </w:t>
      </w:r>
      <w:proofErr w:type="spellStart"/>
      <w:r>
        <w:rPr>
          <w:rFonts w:ascii="AdvOT46dcae81" w:hAnsi="AdvOT46dcae81" w:cs="AdvOT46dcae81"/>
          <w:color w:val="000000"/>
          <w:sz w:val="18"/>
          <w:szCs w:val="18"/>
        </w:rPr>
        <w:t>Hypertns</w:t>
      </w:r>
      <w:proofErr w:type="spellEnd"/>
      <w:r>
        <w:rPr>
          <w:rFonts w:ascii="AdvOT46dcae81" w:hAnsi="AdvOT46dcae81" w:cs="AdvOT46dcae81"/>
          <w:color w:val="000000"/>
          <w:sz w:val="18"/>
          <w:szCs w:val="18"/>
        </w:rPr>
        <w:t>. 34(10):1887</w:t>
      </w:r>
      <w:r>
        <w:rPr>
          <w:rFonts w:ascii="AdvOT46dcae81+20" w:eastAsia="AdvOT46dcae81+20" w:hAnsi="AdvOT46dcae81" w:cs="AdvOT46dcae81+20" w:hint="eastAsia"/>
          <w:color w:val="000000"/>
          <w:sz w:val="18"/>
          <w:szCs w:val="18"/>
        </w:rPr>
        <w:t>–</w:t>
      </w:r>
      <w:r>
        <w:rPr>
          <w:rFonts w:ascii="AdvOT46dcae81" w:hAnsi="AdvOT46dcae81" w:cs="AdvOT46dcae81"/>
          <w:color w:val="000000"/>
          <w:sz w:val="18"/>
          <w:szCs w:val="18"/>
        </w:rPr>
        <w:t xml:space="preserve">920. </w:t>
      </w:r>
      <w:r>
        <w:rPr>
          <w:rFonts w:ascii="AdvOT46dcae81" w:hAnsi="AdvOT46dcae81" w:cs="AdvOT46dcae81"/>
          <w:color w:val="0000FF"/>
          <w:sz w:val="18"/>
          <w:szCs w:val="18"/>
        </w:rPr>
        <w:t>https://</w:t>
      </w:r>
    </w:p>
    <w:p w14:paraId="43015FC9" w14:textId="35533743" w:rsidR="0027034E" w:rsidRDefault="0027034E" w:rsidP="0027034E">
      <w:pPr>
        <w:autoSpaceDE w:val="0"/>
        <w:autoSpaceDN w:val="0"/>
        <w:adjustRightInd w:val="0"/>
        <w:spacing w:after="0" w:line="240" w:lineRule="auto"/>
      </w:pPr>
      <w:r>
        <w:rPr>
          <w:rFonts w:ascii="AdvOT46dcae81" w:hAnsi="AdvOT46dcae81" w:cs="AdvOT46dcae81"/>
          <w:color w:val="0000FF"/>
          <w:sz w:val="18"/>
          <w:szCs w:val="18"/>
        </w:rPr>
        <w:t>doi.org/10.1097/HJH.0000000000001039</w:t>
      </w:r>
    </w:p>
    <w:sectPr w:rsidR="00270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3b30f6db.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3b30f6db.B+2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65f8a23b.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65f8a23b.I+2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46dcae8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46dcae81+f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7b515de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46dcae81+2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OT46dcae81+2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4E"/>
    <w:rsid w:val="0027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C22A"/>
  <w15:chartTrackingRefBased/>
  <w15:docId w15:val="{0FD91722-7CC2-429F-9EBE-5BFA5F0A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Hawcutt, Daniel</dc:creator>
  <cp:keywords/>
  <dc:description/>
  <cp:lastModifiedBy>Hawcutt, Daniel</cp:lastModifiedBy>
  <cp:revision>1</cp:revision>
  <dcterms:created xsi:type="dcterms:W3CDTF">2022-09-13T09:07:00Z</dcterms:created>
  <dcterms:modified xsi:type="dcterms:W3CDTF">2022-09-13T09:11:00Z</dcterms:modified>
</cp:coreProperties>
</file>