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6E41" w14:textId="1941AB9E" w:rsidR="00166726" w:rsidRDefault="00166726" w:rsidP="00166726">
      <w:pPr>
        <w:jc w:val="center"/>
        <w:rPr>
          <w:b/>
          <w:bCs/>
        </w:rPr>
      </w:pPr>
      <w:bookmarkStart w:id="0" w:name="_Hlk95831420"/>
      <w:r>
        <w:rPr>
          <w:b/>
          <w:bCs/>
        </w:rPr>
        <w:t xml:space="preserve">Managing clustering effects and learning effects in the design and analysis of randomised surgical trials: A </w:t>
      </w:r>
      <w:r w:rsidR="007433D3">
        <w:rPr>
          <w:b/>
          <w:bCs/>
        </w:rPr>
        <w:t xml:space="preserve">review </w:t>
      </w:r>
      <w:r>
        <w:rPr>
          <w:b/>
          <w:bCs/>
        </w:rPr>
        <w:t xml:space="preserve">of </w:t>
      </w:r>
      <w:r w:rsidR="007433D3">
        <w:rPr>
          <w:b/>
          <w:bCs/>
        </w:rPr>
        <w:t xml:space="preserve">existing </w:t>
      </w:r>
      <w:r>
        <w:rPr>
          <w:b/>
          <w:bCs/>
        </w:rPr>
        <w:t>guidance</w:t>
      </w:r>
      <w:r w:rsidR="00070709">
        <w:rPr>
          <w:b/>
          <w:bCs/>
        </w:rPr>
        <w:t xml:space="preserve"> </w:t>
      </w:r>
    </w:p>
    <w:bookmarkEnd w:id="0"/>
    <w:p w14:paraId="09933D88" w14:textId="77777777" w:rsidR="00706EC6" w:rsidRDefault="00706EC6" w:rsidP="00166726">
      <w:pPr>
        <w:rPr>
          <w:b/>
          <w:bCs/>
        </w:rPr>
      </w:pPr>
    </w:p>
    <w:p w14:paraId="3AF02E85" w14:textId="09451EC6" w:rsidR="00166726" w:rsidRPr="00166726" w:rsidRDefault="00166726" w:rsidP="00166726">
      <w:pPr>
        <w:rPr>
          <w:b/>
          <w:bCs/>
        </w:rPr>
      </w:pPr>
      <w:r w:rsidRPr="00166726">
        <w:rPr>
          <w:b/>
          <w:bCs/>
        </w:rPr>
        <w:t>Authors</w:t>
      </w:r>
    </w:p>
    <w:p w14:paraId="2B35832D" w14:textId="5CEED50B" w:rsidR="00166726" w:rsidRDefault="00FD19B8" w:rsidP="00166726">
      <w:r>
        <w:t xml:space="preserve">Dr </w:t>
      </w:r>
      <w:r w:rsidR="00166726">
        <w:t xml:space="preserve">Elizabeth J Conroy (EJC) </w:t>
      </w:r>
      <w:r>
        <w:t xml:space="preserve">PhD. </w:t>
      </w:r>
      <w:r w:rsidR="00166726">
        <w:t xml:space="preserve">(0000-0003-4858-727X) </w:t>
      </w:r>
      <w:r w:rsidR="004C6894" w:rsidRPr="004C6894">
        <w:t>elizabeth.conroy@ndorms.ox.ac.uk</w:t>
      </w:r>
      <w:r w:rsidR="00166726">
        <w:t xml:space="preserve"> 1,2*</w:t>
      </w:r>
    </w:p>
    <w:p w14:paraId="3EF62D8A" w14:textId="77777777" w:rsidR="00166726" w:rsidRDefault="00166726" w:rsidP="00166726">
      <w:r>
        <w:t>Prof. Jane M Blazeby (JMB) MD. (0000-0002-3354-3330) j.m.blazeby@bristol.ac.uk 3</w:t>
      </w:r>
    </w:p>
    <w:p w14:paraId="053DD8F5" w14:textId="41262481" w:rsidR="00166726" w:rsidRDefault="00166726" w:rsidP="00166726">
      <w:proofErr w:type="spellStart"/>
      <w:r>
        <w:t>Dr.</w:t>
      </w:r>
      <w:proofErr w:type="spellEnd"/>
      <w:r>
        <w:t xml:space="preserve"> Girvan Burnside (GB) PhD. (0000-0001-7398-1346) g.burnside@liverpool.ac.uk 1 </w:t>
      </w:r>
    </w:p>
    <w:p w14:paraId="30B8EFF8" w14:textId="176488E6" w:rsidR="00166726" w:rsidRDefault="00166726" w:rsidP="00166726">
      <w:r>
        <w:t xml:space="preserve">Assoc. Prof. Jonathan A Cook (JAC) PhD. (0000-0002-4156-6989) jonathan.cook@ndorms.ox.ac.uk </w:t>
      </w:r>
      <w:r w:rsidR="000D207F">
        <w:t>2</w:t>
      </w:r>
    </w:p>
    <w:p w14:paraId="41DAC314" w14:textId="2E366506" w:rsidR="00166726" w:rsidRDefault="00166726" w:rsidP="00166726">
      <w:r>
        <w:t xml:space="preserve">Prof. Carrol Gamble (CG) PhD. (0000-0002-3021-1955) carrolp@liverpool.ac.uk 1 </w:t>
      </w:r>
    </w:p>
    <w:p w14:paraId="09AB3CD2" w14:textId="77777777" w:rsidR="00C95E47" w:rsidRDefault="00C95E47" w:rsidP="00166726"/>
    <w:p w14:paraId="7BC3247F" w14:textId="52D9D41D" w:rsidR="00166726" w:rsidRDefault="00166726" w:rsidP="00166726">
      <w:r>
        <w:t>1 Liverpool Clinical Trials Centre, University of Liverpool, Liverpool, UK.</w:t>
      </w:r>
    </w:p>
    <w:p w14:paraId="33D7C8A9" w14:textId="36C0FDC7" w:rsidR="00166726" w:rsidRDefault="00166726" w:rsidP="00166726">
      <w:r>
        <w:t xml:space="preserve">2 </w:t>
      </w:r>
      <w:r w:rsidR="00E332CA">
        <w:t xml:space="preserve">Oxford Clinical Trials Research Unit, Centre for Statistics in Medicine, Nuffield Department of Orthopaedics, Rheumatology and Musculoskeletal Sciences, </w:t>
      </w:r>
      <w:r>
        <w:t>University of Oxford, Oxford, UK.</w:t>
      </w:r>
    </w:p>
    <w:p w14:paraId="085C208A" w14:textId="77777777" w:rsidR="00166726" w:rsidRDefault="00166726" w:rsidP="00166726">
      <w:r>
        <w:t>3 Centre for Surgical Research, Bristol Biomedical Research Centre, Population Health Sciences, University of Bristol, Bristol, UK.</w:t>
      </w:r>
    </w:p>
    <w:p w14:paraId="1CCDE6FB" w14:textId="77777777" w:rsidR="00C95E47" w:rsidRDefault="00C95E47" w:rsidP="00166726"/>
    <w:p w14:paraId="632669B5" w14:textId="663F1322" w:rsidR="00166726" w:rsidRDefault="00166726" w:rsidP="00166726">
      <w:r>
        <w:t>*Details of corresponding author and person to be contacted for reprint requests</w:t>
      </w:r>
    </w:p>
    <w:p w14:paraId="53B21ED1" w14:textId="77777777" w:rsidR="00166726" w:rsidRDefault="00166726" w:rsidP="00166726">
      <w:r>
        <w:t>Name: Elizabeth J Conroy</w:t>
      </w:r>
    </w:p>
    <w:p w14:paraId="169D1ED4" w14:textId="27676C3D" w:rsidR="000D207F" w:rsidRPr="000D207F" w:rsidRDefault="00166726" w:rsidP="00E332CA">
      <w:pPr>
        <w:rPr>
          <w:rFonts w:ascii="Georgia" w:eastAsia="Times New Roman" w:hAnsi="Georgia" w:cs="Times New Roman"/>
          <w:color w:val="333333"/>
          <w:sz w:val="24"/>
          <w:szCs w:val="24"/>
          <w:lang w:eastAsia="en-GB"/>
        </w:rPr>
      </w:pPr>
      <w:r>
        <w:t xml:space="preserve">Postal Address: </w:t>
      </w:r>
    </w:p>
    <w:p w14:paraId="73551E80" w14:textId="3A7F964A" w:rsidR="00166726" w:rsidRDefault="000D207F" w:rsidP="00166726">
      <w:r>
        <w:t>Oxford Clinical Trials Research Unit, Centre for Statistics in Medicine, Nuffield Department of Orthopaedics, Rheumatology and Musculoskeletal Sciences, University of Oxford, Windmill Road, Oxford, OX3 7LD</w:t>
      </w:r>
    </w:p>
    <w:p w14:paraId="238007E4" w14:textId="36877C96" w:rsidR="00166726" w:rsidRDefault="00166726" w:rsidP="00166726">
      <w:r w:rsidRPr="00DF39CA">
        <w:t>Tel: +44</w:t>
      </w:r>
      <w:r w:rsidR="00DF39CA" w:rsidRPr="00DF39CA">
        <w:t xml:space="preserve"> 1865 223 454</w:t>
      </w:r>
    </w:p>
    <w:p w14:paraId="48F0C637" w14:textId="01380E23" w:rsidR="00C95E47" w:rsidRDefault="00166726" w:rsidP="00166726">
      <w:r>
        <w:t xml:space="preserve">Email address: </w:t>
      </w:r>
      <w:hyperlink r:id="rId11" w:history="1">
        <w:r w:rsidR="00C95E47" w:rsidRPr="00507C95">
          <w:rPr>
            <w:rStyle w:val="Hyperlink"/>
          </w:rPr>
          <w:t>elizabeth.conroy@ndorms.ox.ac.uk</w:t>
        </w:r>
      </w:hyperlink>
    </w:p>
    <w:p w14:paraId="73FE800C" w14:textId="77777777" w:rsidR="00C95E47" w:rsidRDefault="00C95E47" w:rsidP="00166726"/>
    <w:p w14:paraId="069B3FE5" w14:textId="77777777" w:rsidR="00C95E47" w:rsidRDefault="00C95E47" w:rsidP="00C95E47">
      <w:pPr>
        <w:rPr>
          <w:b/>
          <w:bCs/>
        </w:rPr>
      </w:pPr>
      <w:r>
        <w:rPr>
          <w:b/>
          <w:bCs/>
        </w:rPr>
        <w:t>Manuscript information</w:t>
      </w:r>
    </w:p>
    <w:p w14:paraId="0CEEDF34" w14:textId="5058B110" w:rsidR="00C95E47" w:rsidRDefault="00C95E47" w:rsidP="00C95E47">
      <w:r>
        <w:t>Number of figures: 2</w:t>
      </w:r>
    </w:p>
    <w:p w14:paraId="42F58B68" w14:textId="407635EC" w:rsidR="00C95E47" w:rsidRDefault="00C95E47" w:rsidP="00C95E47">
      <w:r>
        <w:t>Number of colour figures: 1</w:t>
      </w:r>
    </w:p>
    <w:p w14:paraId="60F1F37D" w14:textId="416BA748" w:rsidR="00C95E47" w:rsidRDefault="00C95E47" w:rsidP="00C95E47">
      <w:r>
        <w:lastRenderedPageBreak/>
        <w:t>Number of tables: 0</w:t>
      </w:r>
    </w:p>
    <w:p w14:paraId="3D16F307" w14:textId="2B4428DA" w:rsidR="00C95E47" w:rsidRDefault="00C95E47" w:rsidP="00C95E47">
      <w:r w:rsidRPr="0006139E">
        <w:t xml:space="preserve">Number of words: </w:t>
      </w:r>
      <w:r w:rsidR="0006139E" w:rsidRPr="0006139E">
        <w:t>3759</w:t>
      </w:r>
    </w:p>
    <w:p w14:paraId="64625C19" w14:textId="07419CD9" w:rsidR="0019213E" w:rsidRDefault="00C95E47" w:rsidP="00C95E47">
      <w:r w:rsidRPr="00F26713">
        <w:t xml:space="preserve">Supplementary materials: </w:t>
      </w:r>
      <w:r w:rsidR="0006139E" w:rsidRPr="00F26713">
        <w:t xml:space="preserve">See page </w:t>
      </w:r>
      <w:r w:rsidR="00F26713" w:rsidRPr="00F26713">
        <w:t>25.</w:t>
      </w:r>
      <w:r w:rsidR="0019213E">
        <w:br w:type="page"/>
      </w:r>
    </w:p>
    <w:p w14:paraId="79ECBDD8" w14:textId="77777777" w:rsidR="00E332CA" w:rsidRPr="00E332CA" w:rsidRDefault="00E332CA" w:rsidP="00E332CA">
      <w:pPr>
        <w:jc w:val="center"/>
        <w:rPr>
          <w:b/>
          <w:bCs/>
        </w:rPr>
      </w:pPr>
      <w:r w:rsidRPr="00E332CA">
        <w:rPr>
          <w:b/>
          <w:bCs/>
        </w:rPr>
        <w:lastRenderedPageBreak/>
        <w:t>ABSTRACT</w:t>
      </w:r>
    </w:p>
    <w:p w14:paraId="17CF0AC9" w14:textId="77777777" w:rsidR="0011130B" w:rsidRPr="00C5341C" w:rsidRDefault="0011130B" w:rsidP="0011130B">
      <w:pPr>
        <w:rPr>
          <w:b/>
          <w:bCs/>
        </w:rPr>
      </w:pPr>
      <w:bookmarkStart w:id="1" w:name="_Hlk95906415"/>
      <w:r w:rsidRPr="00C5341C">
        <w:rPr>
          <w:b/>
          <w:bCs/>
        </w:rPr>
        <w:t>Background</w:t>
      </w:r>
    </w:p>
    <w:p w14:paraId="7CDD8B58" w14:textId="2A839141" w:rsidR="0011130B" w:rsidRDefault="0011130B" w:rsidP="0011130B">
      <w:pPr>
        <w:rPr>
          <w:rFonts w:ascii="Segoe UI" w:hAnsi="Segoe UI" w:cs="Segoe UI"/>
          <w:color w:val="212121"/>
          <w:shd w:val="clear" w:color="auto" w:fill="FFFFFF"/>
        </w:rPr>
      </w:pPr>
      <w:r>
        <w:rPr>
          <w:rFonts w:cs="Times New Roman"/>
          <w:color w:val="212121"/>
          <w:shd w:val="clear" w:color="auto" w:fill="FFFFFF"/>
        </w:rPr>
        <w:t>The c</w:t>
      </w:r>
      <w:r w:rsidRPr="00470154">
        <w:rPr>
          <w:rFonts w:cs="Times New Roman"/>
          <w:color w:val="212121"/>
          <w:shd w:val="clear" w:color="auto" w:fill="FFFFFF"/>
        </w:rPr>
        <w:t xml:space="preserve">omplexities associated with delivering </w:t>
      </w:r>
      <w:r>
        <w:rPr>
          <w:rFonts w:cs="Times New Roman"/>
          <w:color w:val="212121"/>
          <w:shd w:val="clear" w:color="auto" w:fill="FFFFFF"/>
        </w:rPr>
        <w:t>randomised surgical trials</w:t>
      </w:r>
      <w:r w:rsidRPr="00470154">
        <w:rPr>
          <w:rFonts w:cs="Times New Roman"/>
          <w:color w:val="212121"/>
          <w:shd w:val="clear" w:color="auto" w:fill="FFFFFF"/>
        </w:rPr>
        <w:t>, such as clustering effects, by centre or surgeon, and surgical learning</w:t>
      </w:r>
      <w:r>
        <w:rPr>
          <w:rFonts w:cs="Times New Roman"/>
          <w:color w:val="212121"/>
          <w:shd w:val="clear" w:color="auto" w:fill="FFFFFF"/>
        </w:rPr>
        <w:t xml:space="preserve">, is well known. </w:t>
      </w:r>
      <w:r w:rsidRPr="00470154">
        <w:rPr>
          <w:rFonts w:cs="Times New Roman"/>
        </w:rPr>
        <w:t>Despite th</w:t>
      </w:r>
      <w:r>
        <w:rPr>
          <w:rFonts w:cs="Times New Roman"/>
        </w:rPr>
        <w:t xml:space="preserve">is, </w:t>
      </w:r>
      <w:r w:rsidRPr="00470154">
        <w:rPr>
          <w:rFonts w:cs="Times New Roman"/>
        </w:rPr>
        <w:t>approaches used</w:t>
      </w:r>
      <w:r>
        <w:rPr>
          <w:rFonts w:cs="Times New Roman"/>
        </w:rPr>
        <w:t xml:space="preserve"> to manage these complexities, and opinions on these, </w:t>
      </w:r>
      <w:r w:rsidRPr="00C5341C">
        <w:rPr>
          <w:rFonts w:cs="Times New Roman"/>
        </w:rPr>
        <w:t>vary. Guidance documents have been developed to support clinical trial design and reporting. This work aimed to identify and examine existing guidance and consider their relevance to clustering effects and learning curves within surgical trials.</w:t>
      </w:r>
    </w:p>
    <w:p w14:paraId="5A37B65D" w14:textId="77777777" w:rsidR="0011130B" w:rsidRPr="00C5341C" w:rsidRDefault="0011130B" w:rsidP="0011130B">
      <w:pPr>
        <w:rPr>
          <w:b/>
          <w:bCs/>
        </w:rPr>
      </w:pPr>
    </w:p>
    <w:p w14:paraId="265BF051" w14:textId="77777777" w:rsidR="0011130B" w:rsidRPr="00C5341C" w:rsidRDefault="0011130B" w:rsidP="0011130B">
      <w:pPr>
        <w:rPr>
          <w:b/>
          <w:bCs/>
        </w:rPr>
      </w:pPr>
      <w:r w:rsidRPr="00C5341C">
        <w:rPr>
          <w:b/>
          <w:bCs/>
        </w:rPr>
        <w:t>Methods</w:t>
      </w:r>
    </w:p>
    <w:p w14:paraId="301F27CC" w14:textId="29DEC264" w:rsidR="0011130B" w:rsidRPr="000C021F" w:rsidRDefault="0011130B" w:rsidP="0011130B">
      <w:r w:rsidRPr="00C5341C">
        <w:t xml:space="preserve">A review of existing guidelines, developed to inform the design and analysis of randomised controlled trials, is undertaken. Guidelines were identified using an electronic search, within the Equator Network, and </w:t>
      </w:r>
      <w:r w:rsidR="008A07AD">
        <w:t xml:space="preserve">by </w:t>
      </w:r>
      <w:r w:rsidRPr="00C5341C">
        <w:t xml:space="preserve">a targeted search </w:t>
      </w:r>
      <w:r w:rsidR="00671AFA">
        <w:t>those</w:t>
      </w:r>
      <w:r>
        <w:t xml:space="preserve"> endorsed by leading UK funding bodies, regulators, and medical journals.</w:t>
      </w:r>
      <w:r w:rsidRPr="00C5341C">
        <w:t xml:space="preserve"> </w:t>
      </w:r>
      <w:r>
        <w:t xml:space="preserve">Eligible documents were </w:t>
      </w:r>
      <w:r w:rsidRPr="000C021F">
        <w:t xml:space="preserve">compared against </w:t>
      </w:r>
      <w:r w:rsidR="00671AFA">
        <w:t xml:space="preserve">pre-specified </w:t>
      </w:r>
      <w:r w:rsidRPr="000C021F">
        <w:t xml:space="preserve">key criteria to identify gaps or inconsistencies in recommendations. </w:t>
      </w:r>
    </w:p>
    <w:p w14:paraId="364684D1" w14:textId="77777777" w:rsidR="0011130B" w:rsidRPr="000C021F" w:rsidRDefault="0011130B" w:rsidP="0011130B"/>
    <w:p w14:paraId="4A62193F" w14:textId="77777777" w:rsidR="0011130B" w:rsidRPr="000C021F" w:rsidRDefault="0011130B" w:rsidP="0011130B">
      <w:pPr>
        <w:rPr>
          <w:b/>
          <w:bCs/>
        </w:rPr>
      </w:pPr>
      <w:r w:rsidRPr="000C021F">
        <w:rPr>
          <w:b/>
          <w:bCs/>
        </w:rPr>
        <w:t>Results</w:t>
      </w:r>
    </w:p>
    <w:p w14:paraId="306F5F21" w14:textId="2F50BFFA" w:rsidR="0011130B" w:rsidRPr="0052387E" w:rsidRDefault="0011130B" w:rsidP="0011130B">
      <w:r w:rsidRPr="000C021F">
        <w:t xml:space="preserve">Twenty-eight documents were eligible (12: Equator Network; 16 targeted search). Twice the number of guidance documents targeted design (n/N=20/28, 71%) than analysis (n/N=10/28, 36%). </w:t>
      </w:r>
      <w:r w:rsidR="00671AFA">
        <w:t>Managing c</w:t>
      </w:r>
      <w:r w:rsidRPr="000C021F">
        <w:t xml:space="preserve">lustering </w:t>
      </w:r>
      <w:r w:rsidR="00671AFA">
        <w:t xml:space="preserve">by </w:t>
      </w:r>
      <w:r w:rsidRPr="000C021F">
        <w:t xml:space="preserve">centre </w:t>
      </w:r>
      <w:r w:rsidR="00671AFA">
        <w:t xml:space="preserve">through design </w:t>
      </w:r>
      <w:r w:rsidRPr="000C021F">
        <w:t>was well documented</w:t>
      </w:r>
      <w:r w:rsidR="00671AFA">
        <w:t xml:space="preserve">. Clustering by surgeon had less coverage and contained </w:t>
      </w:r>
      <w:r w:rsidR="008A07AD">
        <w:t xml:space="preserve">some </w:t>
      </w:r>
      <w:r w:rsidR="00671AFA">
        <w:t>inconsistencies. Managing t</w:t>
      </w:r>
      <w:r w:rsidRPr="000C021F">
        <w:t xml:space="preserve">he surgical learning curve, or </w:t>
      </w:r>
      <w:r w:rsidR="00671AFA">
        <w:t xml:space="preserve">changes in </w:t>
      </w:r>
      <w:r w:rsidRPr="000C021F">
        <w:t xml:space="preserve">delivery over time, </w:t>
      </w:r>
      <w:r w:rsidR="00671AFA">
        <w:t>through</w:t>
      </w:r>
      <w:r w:rsidRPr="000C021F">
        <w:t xml:space="preserve"> design was </w:t>
      </w:r>
      <w:r w:rsidR="008A07AD">
        <w:t>contained</w:t>
      </w:r>
      <w:r w:rsidRPr="000C021F">
        <w:t xml:space="preserve"> within several documents (n/N=8/28, 29%), of which one provided guidance on reporting this</w:t>
      </w:r>
      <w:r w:rsidR="008A07AD">
        <w:t xml:space="preserve"> and </w:t>
      </w:r>
      <w:r w:rsidRPr="000C021F">
        <w:t>restricted</w:t>
      </w:r>
      <w:r w:rsidR="00671AFA">
        <w:t xml:space="preserve"> </w:t>
      </w:r>
      <w:r w:rsidRPr="000C021F">
        <w:t xml:space="preserve">to early phase studies only. </w:t>
      </w:r>
      <w:r w:rsidR="00671AFA">
        <w:t xml:space="preserve">Methods to analyse clustering effects and learning were provided in five and four documents respectively. </w:t>
      </w:r>
      <w:r w:rsidR="00671AFA" w:rsidRPr="000C021F">
        <w:t>(N=28</w:t>
      </w:r>
      <w:r w:rsidR="00671AFA">
        <w:t>)</w:t>
      </w:r>
    </w:p>
    <w:p w14:paraId="3BA13547" w14:textId="77777777" w:rsidR="0011130B" w:rsidRPr="0052387E" w:rsidRDefault="0011130B" w:rsidP="0011130B"/>
    <w:p w14:paraId="3285B8CA" w14:textId="77777777" w:rsidR="0011130B" w:rsidRPr="0052387E" w:rsidRDefault="0011130B" w:rsidP="0011130B">
      <w:pPr>
        <w:rPr>
          <w:b/>
          <w:bCs/>
        </w:rPr>
      </w:pPr>
      <w:r w:rsidRPr="0052387E">
        <w:rPr>
          <w:b/>
          <w:bCs/>
        </w:rPr>
        <w:t>Conclusions</w:t>
      </w:r>
    </w:p>
    <w:p w14:paraId="0A3C0FFE" w14:textId="23B2D6F4" w:rsidR="0011130B" w:rsidRDefault="00674A67" w:rsidP="0011130B">
      <w:r>
        <w:t>To our knowledge t</w:t>
      </w:r>
      <w:r w:rsidR="0011130B" w:rsidRPr="0052387E">
        <w:t xml:space="preserve">his is the first review as to the extent to which existing guidance for designing and analysing randomised surgical trials covers the management of clustering, by centre or surgeon, and the surgical learning curve. Twice the number of identified documents targeted design aspects than </w:t>
      </w:r>
      <w:r w:rsidR="0011130B" w:rsidRPr="0052387E">
        <w:lastRenderedPageBreak/>
        <w:t>analysis. Most notably, no single document exists for use when designing these studies, which may lead to inconsistencies in practice. The development of a single document, with agreed principles to guide trial design and analysis across a range of realistic clinical scenarios, is needed.</w:t>
      </w:r>
    </w:p>
    <w:p w14:paraId="5B51A94E" w14:textId="58656345" w:rsidR="00C95E47" w:rsidRDefault="002B0C95" w:rsidP="00E332CA">
      <w:r>
        <w:t xml:space="preserve"> </w:t>
      </w:r>
      <w:bookmarkStart w:id="2" w:name="_Toc90984943"/>
      <w:bookmarkEnd w:id="1"/>
    </w:p>
    <w:p w14:paraId="1B4FA4BE" w14:textId="444AEA07" w:rsidR="00C95E47" w:rsidRPr="00C95E47" w:rsidRDefault="00C95E47" w:rsidP="00E332CA">
      <w:pPr>
        <w:rPr>
          <w:b/>
          <w:bCs/>
        </w:rPr>
      </w:pPr>
      <w:r>
        <w:rPr>
          <w:b/>
          <w:bCs/>
        </w:rPr>
        <w:t>Registration</w:t>
      </w:r>
    </w:p>
    <w:p w14:paraId="54B3C67E" w14:textId="77777777" w:rsidR="00C95E47" w:rsidRDefault="00C95E47" w:rsidP="00C95E47">
      <w:r>
        <w:t>Not applicable.</w:t>
      </w:r>
    </w:p>
    <w:p w14:paraId="5C2378D5" w14:textId="77777777" w:rsidR="00C95E47" w:rsidRDefault="00C95E47" w:rsidP="00C95E47">
      <w:pPr>
        <w:rPr>
          <w:b/>
          <w:bCs/>
        </w:rPr>
      </w:pPr>
    </w:p>
    <w:p w14:paraId="4EDA1A83" w14:textId="5C66504D" w:rsidR="00C95E47" w:rsidRDefault="00C95E47" w:rsidP="00C95E47">
      <w:r>
        <w:rPr>
          <w:b/>
          <w:bCs/>
        </w:rPr>
        <w:t xml:space="preserve">Keywords: </w:t>
      </w:r>
      <w:r>
        <w:t>Trials; clinical trial; randomised controlled trial; complex intervention; surgical intervention; trial design; trial analysis; summary; review; clustering; learning</w:t>
      </w:r>
    </w:p>
    <w:p w14:paraId="67A23B04" w14:textId="3F12F0FC" w:rsidR="00C95E47" w:rsidRPr="00C95E47" w:rsidRDefault="00C95E47" w:rsidP="00C95E47">
      <w:r>
        <w:rPr>
          <w:b/>
          <w:bCs/>
        </w:rPr>
        <w:br w:type="page"/>
      </w:r>
    </w:p>
    <w:p w14:paraId="534A781A" w14:textId="5FA8BE87" w:rsidR="00E332CA" w:rsidRPr="00E332CA" w:rsidRDefault="00E332CA" w:rsidP="00E332CA">
      <w:pPr>
        <w:jc w:val="center"/>
        <w:rPr>
          <w:b/>
          <w:bCs/>
        </w:rPr>
      </w:pPr>
      <w:r>
        <w:rPr>
          <w:b/>
          <w:bCs/>
        </w:rPr>
        <w:lastRenderedPageBreak/>
        <w:t>MANUSCRIPT</w:t>
      </w:r>
    </w:p>
    <w:bookmarkEnd w:id="2"/>
    <w:p w14:paraId="6569CB9C" w14:textId="079D3A7E" w:rsidR="002B0C95" w:rsidRDefault="00E332CA" w:rsidP="00E332CA">
      <w:pPr>
        <w:rPr>
          <w:b/>
          <w:bCs/>
        </w:rPr>
      </w:pPr>
      <w:r>
        <w:rPr>
          <w:b/>
          <w:bCs/>
        </w:rPr>
        <w:t>Background</w:t>
      </w:r>
    </w:p>
    <w:p w14:paraId="05523E59" w14:textId="4A41325B" w:rsidR="0090434A" w:rsidRDefault="0090434A" w:rsidP="0090434A">
      <w:pPr>
        <w:rPr>
          <w:rFonts w:cs="Times New Roman"/>
        </w:rPr>
      </w:pPr>
      <w:bookmarkStart w:id="3" w:name="_Hlk89864142"/>
      <w:r w:rsidRPr="00AE7F07">
        <w:rPr>
          <w:rFonts w:cs="Times New Roman"/>
        </w:rPr>
        <w:t xml:space="preserve">Randomised controlled trials (RCTs) </w:t>
      </w:r>
      <w:bookmarkEnd w:id="3"/>
      <w:r w:rsidRPr="00AE7F07">
        <w:rPr>
          <w:rFonts w:cs="Times New Roman"/>
        </w:rPr>
        <w:t xml:space="preserve">are </w:t>
      </w:r>
      <w:r w:rsidR="00C90CC1">
        <w:rPr>
          <w:rFonts w:cs="Times New Roman"/>
        </w:rPr>
        <w:t>recognised as providing</w:t>
      </w:r>
      <w:r w:rsidRPr="00AE7F07">
        <w:rPr>
          <w:rFonts w:cs="Times New Roman"/>
        </w:rPr>
        <w:t xml:space="preserve"> the highest level of evidence, second only to systematic review</w:t>
      </w:r>
      <w:r w:rsidRPr="00D828ED">
        <w:rPr>
          <w:rFonts w:cs="Times New Roman"/>
        </w:rPr>
        <w:t>s of such trials.</w:t>
      </w:r>
      <w:r w:rsidR="0051217E">
        <w:rPr>
          <w:rFonts w:cs="Times New Roman"/>
        </w:rPr>
        <w:t xml:space="preserve"> [</w:t>
      </w:r>
      <w:r w:rsidR="0051217E">
        <w:rPr>
          <w:rFonts w:cs="Times New Roman"/>
          <w:i/>
          <w:iCs/>
        </w:rPr>
        <w:t>Evans, 2003</w:t>
      </w:r>
      <w:r w:rsidR="0051217E">
        <w:rPr>
          <w:rFonts w:cs="Times New Roman"/>
        </w:rPr>
        <w:t>]</w:t>
      </w:r>
      <w:r w:rsidRPr="00D828ED">
        <w:rPr>
          <w:rFonts w:cs="Times New Roman"/>
        </w:rPr>
        <w:t xml:space="preserve"> There are many practical and methodological difficulties that a medical researcher must overcome to </w:t>
      </w:r>
      <w:r w:rsidR="00BE6053">
        <w:rPr>
          <w:rFonts w:cs="Times New Roman"/>
        </w:rPr>
        <w:t>deliver</w:t>
      </w:r>
      <w:r w:rsidRPr="00D828ED">
        <w:rPr>
          <w:rFonts w:cs="Times New Roman"/>
        </w:rPr>
        <w:t xml:space="preserve"> successful RCT. In trials with a surgical intervention, these difficulties are often magnified.</w:t>
      </w:r>
      <w:r w:rsidR="0051217E">
        <w:rPr>
          <w:rFonts w:cs="Times New Roman"/>
        </w:rPr>
        <w:t xml:space="preserve"> [</w:t>
      </w:r>
      <w:r w:rsidR="0051217E">
        <w:rPr>
          <w:rFonts w:cs="Times New Roman"/>
          <w:i/>
          <w:iCs/>
        </w:rPr>
        <w:t xml:space="preserve">Cook. 2009; Craig, 2019; </w:t>
      </w:r>
      <w:proofErr w:type="spellStart"/>
      <w:r w:rsidR="0051217E">
        <w:rPr>
          <w:rFonts w:cs="Times New Roman"/>
          <w:i/>
          <w:iCs/>
        </w:rPr>
        <w:t>Ergina</w:t>
      </w:r>
      <w:proofErr w:type="spellEnd"/>
      <w:r w:rsidR="0051217E">
        <w:rPr>
          <w:rFonts w:cs="Times New Roman"/>
          <w:i/>
          <w:iCs/>
        </w:rPr>
        <w:t>, 2009; McCulloch, 2009</w:t>
      </w:r>
      <w:r w:rsidR="0051217E">
        <w:rPr>
          <w:rFonts w:cs="Times New Roman"/>
        </w:rPr>
        <w:t>]</w:t>
      </w:r>
      <w:r w:rsidRPr="00D828ED">
        <w:rPr>
          <w:rFonts w:cs="Times New Roman"/>
        </w:rPr>
        <w:t xml:space="preserve"> </w:t>
      </w:r>
      <w:r w:rsidRPr="00AE7F07">
        <w:rPr>
          <w:rFonts w:cs="Times New Roman"/>
        </w:rPr>
        <w:t xml:space="preserve">Surgical </w:t>
      </w:r>
      <w:r w:rsidRPr="00D828ED">
        <w:rPr>
          <w:rFonts w:cs="Times New Roman"/>
        </w:rPr>
        <w:t xml:space="preserve">interventions, delivered as an intervention or as a setting, consist of many interacting components - such as the procedure itself, surgeon expertise, and pre or postoperative care. </w:t>
      </w:r>
      <w:r w:rsidR="0051217E">
        <w:rPr>
          <w:rFonts w:cs="Times New Roman"/>
        </w:rPr>
        <w:t>[</w:t>
      </w:r>
      <w:proofErr w:type="spellStart"/>
      <w:r w:rsidR="0051217E">
        <w:rPr>
          <w:rFonts w:cs="Times New Roman"/>
          <w:i/>
          <w:iCs/>
        </w:rPr>
        <w:t>Ergina</w:t>
      </w:r>
      <w:proofErr w:type="spellEnd"/>
      <w:r w:rsidR="0051217E">
        <w:rPr>
          <w:rFonts w:cs="Times New Roman"/>
          <w:i/>
          <w:iCs/>
        </w:rPr>
        <w:t>, 2009</w:t>
      </w:r>
      <w:r w:rsidR="0051217E">
        <w:rPr>
          <w:rFonts w:cs="Times New Roman"/>
        </w:rPr>
        <w:t>]</w:t>
      </w:r>
      <w:r w:rsidRPr="00D828ED">
        <w:rPr>
          <w:rFonts w:cs="Times New Roman"/>
        </w:rPr>
        <w:t xml:space="preserve"> </w:t>
      </w:r>
    </w:p>
    <w:p w14:paraId="00E15066" w14:textId="77777777" w:rsidR="0090434A" w:rsidRDefault="0090434A" w:rsidP="0090434A">
      <w:pPr>
        <w:rPr>
          <w:rFonts w:cs="Times New Roman"/>
        </w:rPr>
      </w:pPr>
    </w:p>
    <w:p w14:paraId="34C20596" w14:textId="516FF12B" w:rsidR="007433D3" w:rsidRDefault="0090434A" w:rsidP="007433D3">
      <w:pPr>
        <w:rPr>
          <w:rFonts w:cs="Times New Roman"/>
        </w:rPr>
      </w:pPr>
      <w:r>
        <w:rPr>
          <w:rFonts w:cs="Times New Roman"/>
        </w:rPr>
        <w:t xml:space="preserve">Patient outcomes </w:t>
      </w:r>
      <w:r w:rsidR="009C3DA4">
        <w:rPr>
          <w:rFonts w:cs="Times New Roman"/>
        </w:rPr>
        <w:t xml:space="preserve">often </w:t>
      </w:r>
      <w:r>
        <w:rPr>
          <w:rFonts w:cs="Times New Roman"/>
        </w:rPr>
        <w:t xml:space="preserve">depend on the treatment provider delivering the intervention. </w:t>
      </w:r>
      <w:r w:rsidR="0051217E">
        <w:rPr>
          <w:rFonts w:cs="Times New Roman"/>
        </w:rPr>
        <w:t>Due to the nature of s</w:t>
      </w:r>
      <w:r>
        <w:rPr>
          <w:rFonts w:cs="Times New Roman"/>
        </w:rPr>
        <w:t>urg</w:t>
      </w:r>
      <w:r w:rsidR="0051217E">
        <w:rPr>
          <w:rFonts w:cs="Times New Roman"/>
        </w:rPr>
        <w:t>ical</w:t>
      </w:r>
      <w:r>
        <w:rPr>
          <w:rFonts w:cs="Times New Roman"/>
        </w:rPr>
        <w:t xml:space="preserve"> </w:t>
      </w:r>
      <w:r w:rsidR="0051217E">
        <w:rPr>
          <w:rFonts w:cs="Times New Roman"/>
        </w:rPr>
        <w:t xml:space="preserve">interventions, RCTs within this field </w:t>
      </w:r>
      <w:r>
        <w:rPr>
          <w:rFonts w:cs="Times New Roman"/>
        </w:rPr>
        <w:t xml:space="preserve">can be vulnerable to criticism </w:t>
      </w:r>
      <w:r w:rsidR="008A07AD">
        <w:rPr>
          <w:rFonts w:cs="Times New Roman"/>
        </w:rPr>
        <w:t>if</w:t>
      </w:r>
      <w:r w:rsidR="0051217E">
        <w:rPr>
          <w:rFonts w:cs="Times New Roman"/>
        </w:rPr>
        <w:t xml:space="preserve"> </w:t>
      </w:r>
      <w:r w:rsidR="00C90CC1">
        <w:rPr>
          <w:rFonts w:cs="Times New Roman"/>
        </w:rPr>
        <w:t xml:space="preserve">concerns </w:t>
      </w:r>
      <w:r w:rsidR="0051217E">
        <w:rPr>
          <w:rFonts w:cs="Times New Roman"/>
        </w:rPr>
        <w:t>over</w:t>
      </w:r>
      <w:r w:rsidR="00C90CC1">
        <w:rPr>
          <w:rFonts w:cs="Times New Roman"/>
        </w:rPr>
        <w:t xml:space="preserve"> variability in </w:t>
      </w:r>
      <w:r w:rsidR="0051217E">
        <w:rPr>
          <w:rFonts w:cs="Times New Roman"/>
        </w:rPr>
        <w:t xml:space="preserve">treatment </w:t>
      </w:r>
      <w:r w:rsidR="00C90CC1">
        <w:rPr>
          <w:rFonts w:cs="Times New Roman"/>
        </w:rPr>
        <w:t>delivery</w:t>
      </w:r>
      <w:r w:rsidR="008A07AD">
        <w:rPr>
          <w:rFonts w:cs="Times New Roman"/>
        </w:rPr>
        <w:t xml:space="preserve"> are raised</w:t>
      </w:r>
      <w:r w:rsidR="00C90CC1">
        <w:rPr>
          <w:rFonts w:cs="Times New Roman"/>
        </w:rPr>
        <w:t xml:space="preserve">. </w:t>
      </w:r>
      <w:bookmarkStart w:id="4" w:name="_Hlk95907793"/>
      <w:r w:rsidR="0051217E">
        <w:rPr>
          <w:rFonts w:cs="Times New Roman"/>
        </w:rPr>
        <w:t>Variability can arise</w:t>
      </w:r>
      <w:r w:rsidR="00C90CC1">
        <w:rPr>
          <w:rFonts w:cs="Times New Roman"/>
        </w:rPr>
        <w:t xml:space="preserve"> </w:t>
      </w:r>
      <w:r>
        <w:rPr>
          <w:rFonts w:cs="Times New Roman"/>
        </w:rPr>
        <w:t xml:space="preserve">between intervention providers (clustering) </w:t>
      </w:r>
      <w:r w:rsidR="00C90CC1">
        <w:rPr>
          <w:rFonts w:cs="Times New Roman"/>
        </w:rPr>
        <w:t>or</w:t>
      </w:r>
      <w:r>
        <w:rPr>
          <w:rFonts w:cs="Times New Roman"/>
        </w:rPr>
        <w:t xml:space="preserve"> due to </w:t>
      </w:r>
      <w:r w:rsidR="00C90CC1">
        <w:rPr>
          <w:rFonts w:cs="Times New Roman"/>
        </w:rPr>
        <w:t>change in delivery</w:t>
      </w:r>
      <w:r>
        <w:rPr>
          <w:rFonts w:cs="Times New Roman"/>
        </w:rPr>
        <w:t xml:space="preserve"> over time, often </w:t>
      </w:r>
      <w:proofErr w:type="gramStart"/>
      <w:r>
        <w:rPr>
          <w:rFonts w:cs="Times New Roman"/>
        </w:rPr>
        <w:t>as a result of</w:t>
      </w:r>
      <w:proofErr w:type="gramEnd"/>
      <w:r>
        <w:rPr>
          <w:rFonts w:cs="Times New Roman"/>
        </w:rPr>
        <w:t xml:space="preserve"> increased experience (learning). </w:t>
      </w:r>
      <w:bookmarkEnd w:id="4"/>
      <w:r>
        <w:rPr>
          <w:rFonts w:cs="Times New Roman"/>
        </w:rPr>
        <w:t>[</w:t>
      </w:r>
      <w:r w:rsidR="00CA08A6">
        <w:rPr>
          <w:rFonts w:cs="Times New Roman"/>
          <w:i/>
          <w:iCs/>
        </w:rPr>
        <w:t>Lee KJ, 2005; Cook, 2012; Cook, 2004</w:t>
      </w:r>
      <w:r>
        <w:rPr>
          <w:rFonts w:cs="Times New Roman"/>
        </w:rPr>
        <w:t>]. Therefore, when</w:t>
      </w:r>
      <w:r w:rsidR="007433D3" w:rsidRPr="00AE7F07">
        <w:rPr>
          <w:rFonts w:cs="Times New Roman"/>
        </w:rPr>
        <w:t xml:space="preserve"> designing </w:t>
      </w:r>
      <w:r w:rsidR="008A07AD">
        <w:rPr>
          <w:rFonts w:cs="Times New Roman"/>
        </w:rPr>
        <w:t>these</w:t>
      </w:r>
      <w:r w:rsidR="007433D3" w:rsidRPr="00AE7F07">
        <w:rPr>
          <w:rFonts w:cs="Times New Roman"/>
        </w:rPr>
        <w:t xml:space="preserve"> trials, </w:t>
      </w:r>
      <w:bookmarkStart w:id="5" w:name="_Hlk95906541"/>
      <w:r w:rsidR="007433D3" w:rsidRPr="00AE7F07">
        <w:rPr>
          <w:rFonts w:cs="Times New Roman"/>
        </w:rPr>
        <w:t xml:space="preserve">it is important to consider homogeneity of the treatment effect and therefore the potential existence and impact of both </w:t>
      </w:r>
      <w:r w:rsidR="00C90CC1">
        <w:rPr>
          <w:rFonts w:cs="Times New Roman"/>
        </w:rPr>
        <w:t xml:space="preserve">clustering and </w:t>
      </w:r>
      <w:r w:rsidR="007433D3" w:rsidRPr="00AE7F07">
        <w:rPr>
          <w:rFonts w:cs="Times New Roman"/>
        </w:rPr>
        <w:t xml:space="preserve">learning, by centre and surgeon. </w:t>
      </w:r>
      <w:bookmarkEnd w:id="5"/>
      <w:r w:rsidR="007433D3" w:rsidRPr="00AE7F07">
        <w:rPr>
          <w:rFonts w:cs="Times New Roman"/>
        </w:rPr>
        <w:t xml:space="preserve">This should </w:t>
      </w:r>
      <w:r w:rsidR="007433D3" w:rsidRPr="004366D9">
        <w:rPr>
          <w:rFonts w:cs="Times New Roman"/>
        </w:rPr>
        <w:t xml:space="preserve">be done as early </w:t>
      </w:r>
      <w:r w:rsidR="007433D3">
        <w:rPr>
          <w:rFonts w:cs="Times New Roman"/>
        </w:rPr>
        <w:t xml:space="preserve">as possible during </w:t>
      </w:r>
      <w:r w:rsidR="007433D3" w:rsidRPr="004366D9">
        <w:rPr>
          <w:rFonts w:cs="Times New Roman"/>
        </w:rPr>
        <w:t xml:space="preserve">trial design to avoid issues arising that violate the validity of the trial </w:t>
      </w:r>
      <w:r w:rsidR="007433D3" w:rsidRPr="00D828ED">
        <w:rPr>
          <w:rFonts w:cs="Times New Roman"/>
        </w:rPr>
        <w:t xml:space="preserve">results. </w:t>
      </w:r>
      <w:r w:rsidR="0051217E">
        <w:rPr>
          <w:rFonts w:cs="Times New Roman"/>
        </w:rPr>
        <w:t>[</w:t>
      </w:r>
      <w:r w:rsidR="0051217E">
        <w:rPr>
          <w:rFonts w:cs="Times New Roman"/>
          <w:i/>
          <w:iCs/>
        </w:rPr>
        <w:t>ICH E9, 1999</w:t>
      </w:r>
      <w:r w:rsidR="0051217E">
        <w:rPr>
          <w:rFonts w:cs="Times New Roman"/>
        </w:rPr>
        <w:t>]</w:t>
      </w:r>
    </w:p>
    <w:p w14:paraId="18121101" w14:textId="34A75977" w:rsidR="009C3DA4" w:rsidRDefault="009C3DA4" w:rsidP="007433D3">
      <w:pPr>
        <w:rPr>
          <w:rFonts w:cs="Times New Roman"/>
        </w:rPr>
      </w:pPr>
    </w:p>
    <w:p w14:paraId="0F0248B6" w14:textId="56633110" w:rsidR="006B6CDD" w:rsidRDefault="009C3DA4" w:rsidP="00166726">
      <w:pPr>
        <w:rPr>
          <w:rFonts w:cs="Times New Roman"/>
        </w:rPr>
      </w:pPr>
      <w:r>
        <w:rPr>
          <w:rFonts w:cs="Times New Roman"/>
        </w:rPr>
        <w:t>The importance of managing these</w:t>
      </w:r>
      <w:r w:rsidR="00563F4B">
        <w:rPr>
          <w:rFonts w:cs="Times New Roman"/>
        </w:rPr>
        <w:t xml:space="preserve"> effects within these</w:t>
      </w:r>
      <w:r>
        <w:rPr>
          <w:rFonts w:cs="Times New Roman"/>
        </w:rPr>
        <w:t xml:space="preserve"> trials is well known, but the methods </w:t>
      </w:r>
      <w:r w:rsidR="00563F4B">
        <w:rPr>
          <w:rFonts w:cs="Times New Roman"/>
        </w:rPr>
        <w:t>used to do so in practice, and opinions on these,</w:t>
      </w:r>
      <w:r>
        <w:rPr>
          <w:rFonts w:cs="Times New Roman"/>
        </w:rPr>
        <w:t xml:space="preserve"> var</w:t>
      </w:r>
      <w:r w:rsidR="00F409D0">
        <w:rPr>
          <w:rFonts w:cs="Times New Roman"/>
        </w:rPr>
        <w:t>ies</w:t>
      </w:r>
      <w:r>
        <w:rPr>
          <w:rFonts w:cs="Times New Roman"/>
        </w:rPr>
        <w:t>. [</w:t>
      </w:r>
      <w:r>
        <w:rPr>
          <w:rFonts w:cs="Times New Roman"/>
          <w:i/>
          <w:iCs/>
        </w:rPr>
        <w:t>Conroy, 2019; Conroy 2019</w:t>
      </w:r>
      <w:r w:rsidR="00563F4B">
        <w:rPr>
          <w:rFonts w:cs="Times New Roman"/>
          <w:i/>
          <w:iCs/>
        </w:rPr>
        <w:t>; Conroy, 2020</w:t>
      </w:r>
      <w:r>
        <w:rPr>
          <w:rFonts w:cs="Times New Roman"/>
        </w:rPr>
        <w:t xml:space="preserve">] </w:t>
      </w:r>
      <w:bookmarkStart w:id="6" w:name="_Hlk86823718"/>
      <w:r w:rsidR="006B6CDD">
        <w:rPr>
          <w:rFonts w:cs="Times New Roman"/>
        </w:rPr>
        <w:t>G</w:t>
      </w:r>
      <w:r w:rsidR="002B0C95">
        <w:rPr>
          <w:rFonts w:cs="Times New Roman"/>
        </w:rPr>
        <w:t xml:space="preserve">uidance documents </w:t>
      </w:r>
      <w:r w:rsidR="00B4011A">
        <w:rPr>
          <w:rFonts w:cs="Times New Roman"/>
        </w:rPr>
        <w:t>exist</w:t>
      </w:r>
      <w:r w:rsidR="002B0C95">
        <w:rPr>
          <w:rFonts w:cs="Times New Roman"/>
        </w:rPr>
        <w:t xml:space="preserve"> to support clinical trial design and reporting</w:t>
      </w:r>
      <w:r w:rsidR="00B4011A">
        <w:rPr>
          <w:rFonts w:cs="Times New Roman"/>
        </w:rPr>
        <w:t xml:space="preserve">, but the majority </w:t>
      </w:r>
      <w:r w:rsidR="002B0C95">
        <w:rPr>
          <w:rFonts w:cs="Times New Roman"/>
        </w:rPr>
        <w:t>target generic aspects of clinical trials</w:t>
      </w:r>
      <w:r w:rsidR="00B4011A">
        <w:rPr>
          <w:rFonts w:cs="Times New Roman"/>
        </w:rPr>
        <w:t xml:space="preserve"> and originate specifically from medicinal trials. Therefore, whilst their relevance to all trials is indisputable, </w:t>
      </w:r>
      <w:r w:rsidR="00C90CC1">
        <w:rPr>
          <w:rFonts w:cs="Times New Roman"/>
        </w:rPr>
        <w:t>the extent t</w:t>
      </w:r>
      <w:r w:rsidR="00F409D0">
        <w:rPr>
          <w:rFonts w:cs="Times New Roman"/>
        </w:rPr>
        <w:t xml:space="preserve">o which </w:t>
      </w:r>
      <w:r w:rsidR="00B4011A">
        <w:rPr>
          <w:rFonts w:cs="Times New Roman"/>
        </w:rPr>
        <w:t xml:space="preserve">they cover </w:t>
      </w:r>
      <w:r w:rsidR="00C90CC1">
        <w:rPr>
          <w:rFonts w:cs="Times New Roman"/>
        </w:rPr>
        <w:t>clustering and learning</w:t>
      </w:r>
      <w:r w:rsidR="00B4011A">
        <w:rPr>
          <w:rFonts w:cs="Times New Roman"/>
        </w:rPr>
        <w:t xml:space="preserve"> may be limited. </w:t>
      </w:r>
    </w:p>
    <w:p w14:paraId="021A1909" w14:textId="77777777" w:rsidR="006B6CDD" w:rsidRDefault="006B6CDD" w:rsidP="00166726">
      <w:pPr>
        <w:rPr>
          <w:rFonts w:cs="Times New Roman"/>
        </w:rPr>
      </w:pPr>
    </w:p>
    <w:p w14:paraId="26B7DDAB" w14:textId="6F0B35D5" w:rsidR="002B0C95" w:rsidRDefault="002B0C95" w:rsidP="00166726">
      <w:pPr>
        <w:rPr>
          <w:rFonts w:cs="Times New Roman"/>
        </w:rPr>
      </w:pPr>
      <w:r w:rsidRPr="00061ED8">
        <w:rPr>
          <w:rFonts w:cs="Times New Roman"/>
        </w:rPr>
        <w:t xml:space="preserve">The aim of this </w:t>
      </w:r>
      <w:r w:rsidR="007433D3">
        <w:rPr>
          <w:rFonts w:cs="Times New Roman"/>
        </w:rPr>
        <w:t xml:space="preserve">review </w:t>
      </w:r>
      <w:r w:rsidRPr="00061ED8">
        <w:rPr>
          <w:rFonts w:cs="Times New Roman"/>
        </w:rPr>
        <w:t>is to</w:t>
      </w:r>
      <w:r>
        <w:rPr>
          <w:rFonts w:cs="Times New Roman"/>
        </w:rPr>
        <w:t xml:space="preserve"> </w:t>
      </w:r>
      <w:bookmarkStart w:id="7" w:name="_Hlk95831484"/>
      <w:r>
        <w:rPr>
          <w:rFonts w:cs="Times New Roman"/>
        </w:rPr>
        <w:t xml:space="preserve">identify and </w:t>
      </w:r>
      <w:r w:rsidR="007433D3">
        <w:rPr>
          <w:rFonts w:cs="Times New Roman"/>
        </w:rPr>
        <w:t>examine</w:t>
      </w:r>
      <w:r>
        <w:rPr>
          <w:rFonts w:cs="Times New Roman"/>
        </w:rPr>
        <w:t xml:space="preserve"> existing</w:t>
      </w:r>
      <w:r w:rsidRPr="00061ED8">
        <w:rPr>
          <w:rFonts w:cs="Times New Roman"/>
        </w:rPr>
        <w:t xml:space="preserve"> guidance</w:t>
      </w:r>
      <w:r>
        <w:rPr>
          <w:rFonts w:cs="Times New Roman"/>
        </w:rPr>
        <w:t xml:space="preserve"> and consider their relevance to clustering effects </w:t>
      </w:r>
      <w:r w:rsidR="008C59F1">
        <w:rPr>
          <w:rFonts w:cs="Times New Roman"/>
        </w:rPr>
        <w:t xml:space="preserve">and learning curves </w:t>
      </w:r>
      <w:r>
        <w:rPr>
          <w:rFonts w:cs="Times New Roman"/>
        </w:rPr>
        <w:t>within surgical trials.</w:t>
      </w:r>
      <w:bookmarkEnd w:id="7"/>
    </w:p>
    <w:p w14:paraId="76BFB4DF" w14:textId="630D727D" w:rsidR="002B0C95" w:rsidRDefault="002B0C95" w:rsidP="00166726">
      <w:pPr>
        <w:rPr>
          <w:rFonts w:cs="Times New Roman"/>
        </w:rPr>
      </w:pPr>
    </w:p>
    <w:p w14:paraId="15EE0279" w14:textId="781616AB" w:rsidR="00DF39CA" w:rsidRPr="00DF39CA" w:rsidRDefault="00DF39CA" w:rsidP="00166726">
      <w:pPr>
        <w:rPr>
          <w:rFonts w:cs="Times New Roman"/>
          <w:b/>
          <w:bCs/>
        </w:rPr>
      </w:pPr>
      <w:r>
        <w:rPr>
          <w:rFonts w:cs="Times New Roman"/>
          <w:b/>
          <w:bCs/>
        </w:rPr>
        <w:lastRenderedPageBreak/>
        <w:t>Methods</w:t>
      </w:r>
    </w:p>
    <w:p w14:paraId="6D287ABA" w14:textId="4E83E738" w:rsidR="002B0C95" w:rsidRDefault="002B0C95" w:rsidP="00166726">
      <w:bookmarkStart w:id="8" w:name="_Hlk95831512"/>
      <w:bookmarkEnd w:id="6"/>
      <w:r>
        <w:t>This work sought to include guidance documents developed to inform the design and analysis of randomised controlled trials (RCTs). Guidelines for inclusion in th</w:t>
      </w:r>
      <w:r w:rsidR="00313D73">
        <w:t>is review</w:t>
      </w:r>
      <w:r>
        <w:t xml:space="preserve"> were identified by undertaking: </w:t>
      </w:r>
    </w:p>
    <w:p w14:paraId="44F91407" w14:textId="77777777" w:rsidR="002B0C95" w:rsidRDefault="002B0C95" w:rsidP="00166726">
      <w:pPr>
        <w:pStyle w:val="ListParagraph"/>
        <w:numPr>
          <w:ilvl w:val="0"/>
          <w:numId w:val="3"/>
        </w:numPr>
      </w:pPr>
      <w:bookmarkStart w:id="9" w:name="_Hlk95831526"/>
      <w:bookmarkEnd w:id="8"/>
      <w:r>
        <w:t xml:space="preserve">An electronic search within the Equator Network (http://www.equator-network.org), an online library containing a comprehensive searchable database of reporting guidelines, using each of the search terms “surgery” and “statistic”. Documents that provided guidance specific to non-randomised studies, aspects of trial methodology or medical specialties that were not applicable, or focussed on applicable medical specialties, such as surgery, with no statistical scope were excluded. </w:t>
      </w:r>
    </w:p>
    <w:p w14:paraId="22821E19" w14:textId="17C998AF" w:rsidR="002B0C95" w:rsidRDefault="002B0C95" w:rsidP="00166726">
      <w:pPr>
        <w:pStyle w:val="ListParagraph"/>
        <w:numPr>
          <w:ilvl w:val="0"/>
          <w:numId w:val="3"/>
        </w:numPr>
      </w:pPr>
      <w:r>
        <w:t xml:space="preserve">A targeted search of guidelines endorsed by leading UK funding bodies, </w:t>
      </w:r>
      <w:r w:rsidR="0011130B">
        <w:t>regulators,</w:t>
      </w:r>
      <w:r>
        <w:t xml:space="preserve"> and medical journals such that they covered aspects of trial design, </w:t>
      </w:r>
      <w:proofErr w:type="gramStart"/>
      <w:r>
        <w:t>analysis</w:t>
      </w:r>
      <w:proofErr w:type="gramEnd"/>
      <w:r>
        <w:t xml:space="preserve"> and reporting. </w:t>
      </w:r>
    </w:p>
    <w:bookmarkEnd w:id="9"/>
    <w:p w14:paraId="74C9587B" w14:textId="77777777" w:rsidR="002B0C95" w:rsidRDefault="002B0C95" w:rsidP="00166726"/>
    <w:p w14:paraId="6B5457C0" w14:textId="300F4B62" w:rsidR="002B0C95" w:rsidRDefault="002B0C95" w:rsidP="00166726">
      <w:r>
        <w:t xml:space="preserve">Because of the nature of the search, full texts of identified guidelines were obtained to determine eligibility. Documents that provided guidance such that RCTs and statistical aspects were covered within their scope were included and reasons for exclusion were recorded. </w:t>
      </w:r>
    </w:p>
    <w:p w14:paraId="1DB73E56" w14:textId="77777777" w:rsidR="002B0C95" w:rsidRDefault="002B0C95" w:rsidP="00166726"/>
    <w:p w14:paraId="19DF3E23" w14:textId="3B4EF5EB" w:rsidR="002B0C95" w:rsidRPr="00C97888" w:rsidRDefault="002B0C95" w:rsidP="00166726">
      <w:pPr>
        <w:rPr>
          <w:i/>
        </w:rPr>
      </w:pPr>
      <w:bookmarkStart w:id="10" w:name="_Hlk95831641"/>
      <w:r>
        <w:t xml:space="preserve">Key criteria relevant to design and analysis of surgical trials, or trials of complex interventions, were </w:t>
      </w:r>
      <w:r w:rsidRPr="007B49E1">
        <w:t>identified a priori</w:t>
      </w:r>
      <w:r>
        <w:t xml:space="preserve">, see </w:t>
      </w:r>
      <w:r w:rsidRPr="003A080E">
        <w:rPr>
          <w:i/>
        </w:rPr>
        <w:fldChar w:fldCharType="begin"/>
      </w:r>
      <w:r w:rsidRPr="003A080E">
        <w:rPr>
          <w:i/>
        </w:rPr>
        <w:instrText xml:space="preserve"> REF _Ref90550534 \h </w:instrText>
      </w:r>
      <w:r>
        <w:rPr>
          <w:i/>
        </w:rPr>
        <w:instrText xml:space="preserve"> \* MERGEFORMAT </w:instrText>
      </w:r>
      <w:r w:rsidRPr="003A080E">
        <w:rPr>
          <w:i/>
        </w:rPr>
      </w:r>
      <w:r w:rsidRPr="003A080E">
        <w:rPr>
          <w:i/>
        </w:rPr>
        <w:fldChar w:fldCharType="separate"/>
      </w:r>
      <w:r w:rsidRPr="00C63CA4">
        <w:rPr>
          <w:i/>
        </w:rPr>
        <w:t xml:space="preserve">Box </w:t>
      </w:r>
      <w:r w:rsidRPr="00C63CA4">
        <w:rPr>
          <w:i/>
          <w:noProof/>
        </w:rPr>
        <w:t>1</w:t>
      </w:r>
      <w:r w:rsidRPr="003A080E">
        <w:rPr>
          <w:i/>
        </w:rPr>
        <w:fldChar w:fldCharType="end"/>
      </w:r>
      <w:r w:rsidRPr="007B49E1">
        <w:t>.</w:t>
      </w:r>
      <w:r>
        <w:t xml:space="preserve"> </w:t>
      </w:r>
      <w:bookmarkStart w:id="11" w:name="_Hlk95906775"/>
      <w:r>
        <w:t xml:space="preserve">Eligible documents were compared against these to identify gaps or inconsistencies in recommendations. Guidelines for reporting the aspects of design and analysis were also assessed against these criteria. </w:t>
      </w:r>
      <w:bookmarkEnd w:id="10"/>
      <w:bookmarkEnd w:id="11"/>
      <w:r>
        <w:t xml:space="preserve">Specific methods within the </w:t>
      </w:r>
      <w:r w:rsidR="008A07AD">
        <w:t>g</w:t>
      </w:r>
      <w:r>
        <w:t xml:space="preserve">uidelines related to analysing </w:t>
      </w:r>
      <w:r w:rsidR="002369DE">
        <w:t xml:space="preserve">clustering or </w:t>
      </w:r>
      <w:r>
        <w:t xml:space="preserve">learning, at the centre or treatment provider level, were also collected. Documents were examined using NVivo qualitative data analysis software (QSR International Ply Ltd. Version 12, 2018). </w:t>
      </w:r>
    </w:p>
    <w:p w14:paraId="245F96D7" w14:textId="77777777" w:rsidR="002B0C95" w:rsidRDefault="002B0C95" w:rsidP="00166726">
      <w:pPr>
        <w:pStyle w:val="Caption"/>
        <w:rPr>
          <w:i w:val="0"/>
          <w:iCs w:val="0"/>
        </w:rPr>
      </w:pPr>
      <w:bookmarkStart w:id="12" w:name="_Ref89180353"/>
    </w:p>
    <w:p w14:paraId="022A6C95" w14:textId="77777777" w:rsidR="002B0C95" w:rsidRDefault="002B0C95" w:rsidP="00166726">
      <w:pPr>
        <w:pStyle w:val="Caption"/>
        <w:keepNext/>
      </w:pPr>
      <w:bookmarkStart w:id="13" w:name="_Ref90550534"/>
      <w:r>
        <w:lastRenderedPageBreak/>
        <w:t xml:space="preserve">Box </w:t>
      </w:r>
      <w:fldSimple w:instr=" SEQ Box \* ARABIC ">
        <w:r>
          <w:rPr>
            <w:noProof/>
          </w:rPr>
          <w:t>1</w:t>
        </w:r>
      </w:fldSimple>
      <w:bookmarkEnd w:id="12"/>
      <w:bookmarkEnd w:id="13"/>
      <w:r>
        <w:t>: Key criteria to be considered within design and analysis</w:t>
      </w:r>
    </w:p>
    <w:p w14:paraId="2B3B19E6" w14:textId="77777777" w:rsidR="00DF39CA" w:rsidRDefault="002B0C95" w:rsidP="00DF39CA">
      <w:r>
        <w:rPr>
          <w:noProof/>
        </w:rPr>
        <mc:AlternateContent>
          <mc:Choice Requires="wps">
            <w:drawing>
              <wp:inline distT="0" distB="0" distL="0" distR="0" wp14:anchorId="27E2656F" wp14:editId="335A1E07">
                <wp:extent cx="5205730" cy="3971498"/>
                <wp:effectExtent l="0" t="0" r="13970" b="1016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3971498"/>
                        </a:xfrm>
                        <a:prstGeom prst="rect">
                          <a:avLst/>
                        </a:prstGeom>
                        <a:solidFill>
                          <a:srgbClr val="FFFFFF"/>
                        </a:solidFill>
                        <a:ln w="9525">
                          <a:solidFill>
                            <a:srgbClr val="000000"/>
                          </a:solidFill>
                          <a:miter lim="800000"/>
                          <a:headEnd/>
                          <a:tailEnd/>
                        </a:ln>
                      </wps:spPr>
                      <wps:txbx>
                        <w:txbxContent>
                          <w:p w14:paraId="0591951B" w14:textId="77777777" w:rsidR="002B0C95" w:rsidRPr="00B47D7C" w:rsidRDefault="002B0C95" w:rsidP="002B0C95">
                            <w:pPr>
                              <w:rPr>
                                <w:b/>
                              </w:rPr>
                            </w:pPr>
                            <w:r w:rsidRPr="00B47D7C">
                              <w:rPr>
                                <w:b/>
                              </w:rPr>
                              <w:t>Design</w:t>
                            </w:r>
                          </w:p>
                          <w:p w14:paraId="3D11F1AB" w14:textId="77777777" w:rsidR="002B0C95" w:rsidRDefault="002B0C95" w:rsidP="002B0C95">
                            <w:pPr>
                              <w:pStyle w:val="ListParagraph"/>
                              <w:numPr>
                                <w:ilvl w:val="0"/>
                                <w:numId w:val="4"/>
                              </w:numPr>
                              <w:jc w:val="left"/>
                            </w:pPr>
                            <w:r>
                              <w:t xml:space="preserve">The appropriate trial design, such as an expertise-based design. </w:t>
                            </w:r>
                          </w:p>
                          <w:p w14:paraId="7471042F" w14:textId="77777777" w:rsidR="002B0C95" w:rsidRDefault="002B0C95" w:rsidP="002B0C95">
                            <w:pPr>
                              <w:pStyle w:val="ListParagraph"/>
                              <w:numPr>
                                <w:ilvl w:val="0"/>
                                <w:numId w:val="4"/>
                              </w:numPr>
                              <w:jc w:val="left"/>
                            </w:pPr>
                            <w:r>
                              <w:t>Delivery of the intervention in terms of:</w:t>
                            </w:r>
                          </w:p>
                          <w:p w14:paraId="2EBA81D3" w14:textId="77777777" w:rsidR="002B0C95" w:rsidRDefault="002B0C95" w:rsidP="002B0C95">
                            <w:pPr>
                              <w:pStyle w:val="ListParagraph"/>
                              <w:numPr>
                                <w:ilvl w:val="1"/>
                                <w:numId w:val="4"/>
                              </w:numPr>
                              <w:jc w:val="left"/>
                            </w:pPr>
                            <w:r>
                              <w:t xml:space="preserve">The health professionals delivering treatment. </w:t>
                            </w:r>
                          </w:p>
                          <w:p w14:paraId="44135425" w14:textId="77777777" w:rsidR="002B0C95" w:rsidRDefault="002B0C95" w:rsidP="002B0C95">
                            <w:pPr>
                              <w:pStyle w:val="ListParagraph"/>
                              <w:numPr>
                                <w:ilvl w:val="1"/>
                                <w:numId w:val="4"/>
                              </w:numPr>
                              <w:jc w:val="left"/>
                            </w:pPr>
                            <w:r>
                              <w:t xml:space="preserve">The extent to which treatments are to be standardised. </w:t>
                            </w:r>
                          </w:p>
                          <w:p w14:paraId="348FD6C6" w14:textId="77777777" w:rsidR="002B0C95" w:rsidRDefault="002B0C95" w:rsidP="002B0C95">
                            <w:pPr>
                              <w:pStyle w:val="ListParagraph"/>
                              <w:numPr>
                                <w:ilvl w:val="1"/>
                                <w:numId w:val="4"/>
                              </w:numPr>
                              <w:jc w:val="left"/>
                            </w:pPr>
                            <w:r>
                              <w:t xml:space="preserve">The potential for change in delivery over time. </w:t>
                            </w:r>
                          </w:p>
                          <w:p w14:paraId="0D2F40C6" w14:textId="77777777" w:rsidR="002B0C95" w:rsidRDefault="002B0C95" w:rsidP="002B0C95">
                            <w:pPr>
                              <w:pStyle w:val="ListParagraph"/>
                              <w:numPr>
                                <w:ilvl w:val="0"/>
                                <w:numId w:val="4"/>
                              </w:numPr>
                              <w:jc w:val="left"/>
                            </w:pPr>
                            <w:r>
                              <w:t xml:space="preserve">Adjusting the sample size. </w:t>
                            </w:r>
                          </w:p>
                          <w:p w14:paraId="68D4B369" w14:textId="77777777" w:rsidR="002B0C95" w:rsidRDefault="002B0C95" w:rsidP="002B0C95">
                            <w:pPr>
                              <w:pStyle w:val="ListParagraph"/>
                              <w:numPr>
                                <w:ilvl w:val="0"/>
                                <w:numId w:val="4"/>
                              </w:numPr>
                              <w:jc w:val="left"/>
                            </w:pPr>
                            <w:r>
                              <w:t xml:space="preserve">Balancing treatment within centres and treatment providers. </w:t>
                            </w:r>
                          </w:p>
                          <w:p w14:paraId="42F3A7EC" w14:textId="77777777" w:rsidR="002B0C95" w:rsidRDefault="002B0C95" w:rsidP="002B0C95">
                            <w:pPr>
                              <w:rPr>
                                <w:b/>
                              </w:rPr>
                            </w:pPr>
                            <w:r>
                              <w:rPr>
                                <w:b/>
                              </w:rPr>
                              <w:t>Analysis</w:t>
                            </w:r>
                          </w:p>
                          <w:p w14:paraId="187DEE57" w14:textId="77777777" w:rsidR="002B0C95" w:rsidRPr="00F94358" w:rsidRDefault="002B0C95" w:rsidP="002B0C95">
                            <w:pPr>
                              <w:pStyle w:val="ListParagraph"/>
                              <w:numPr>
                                <w:ilvl w:val="0"/>
                                <w:numId w:val="5"/>
                              </w:numPr>
                              <w:jc w:val="left"/>
                              <w:rPr>
                                <w:b/>
                              </w:rPr>
                            </w:pPr>
                            <w:r>
                              <w:t>When the randomisation has been stratified.</w:t>
                            </w:r>
                          </w:p>
                          <w:p w14:paraId="322D3EC5" w14:textId="77777777" w:rsidR="002B0C95" w:rsidRPr="00A57EC2" w:rsidRDefault="002B0C95" w:rsidP="002B0C95">
                            <w:pPr>
                              <w:pStyle w:val="ListParagraph"/>
                              <w:numPr>
                                <w:ilvl w:val="0"/>
                                <w:numId w:val="5"/>
                              </w:numPr>
                              <w:jc w:val="left"/>
                              <w:rPr>
                                <w:b/>
                              </w:rPr>
                            </w:pPr>
                            <w:r w:rsidRPr="00A57EC2">
                              <w:t>When analysing the primary outcome, such as adjustment.</w:t>
                            </w:r>
                          </w:p>
                          <w:p w14:paraId="0CCDEA21" w14:textId="77777777" w:rsidR="002B0C95" w:rsidRPr="00F94358" w:rsidRDefault="002B0C95" w:rsidP="002B0C95">
                            <w:pPr>
                              <w:pStyle w:val="ListParagraph"/>
                              <w:numPr>
                                <w:ilvl w:val="0"/>
                                <w:numId w:val="5"/>
                              </w:numPr>
                              <w:jc w:val="left"/>
                              <w:rPr>
                                <w:b/>
                              </w:rPr>
                            </w:pPr>
                            <w:r>
                              <w:t>When there are multiple centres and/or treatment providers.</w:t>
                            </w:r>
                          </w:p>
                        </w:txbxContent>
                      </wps:txbx>
                      <wps:bodyPr rot="0" vert="horz" wrap="square" lIns="91440" tIns="45720" rIns="91440" bIns="45720" anchor="t" anchorCtr="0">
                        <a:noAutofit/>
                      </wps:bodyPr>
                    </wps:wsp>
                  </a:graphicData>
                </a:graphic>
              </wp:inline>
            </w:drawing>
          </mc:Choice>
          <mc:Fallback>
            <w:pict>
              <v:shapetype w14:anchorId="27E2656F" id="_x0000_t202" coordsize="21600,21600" o:spt="202" path="m,l,21600r21600,l21600,xe">
                <v:stroke joinstyle="miter"/>
                <v:path gradientshapeok="t" o:connecttype="rect"/>
              </v:shapetype>
              <v:shape id="Text Box 2" o:spid="_x0000_s1026" type="#_x0000_t202" style="width:409.9pt;height:3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6EQIAACAEAAAOAAAAZHJzL2Uyb0RvYy54bWysU9tu2zAMfR+wfxD0vthJkzUx4hRdugwD&#10;ugvQ7QNkWY6FSaImKbGzry8lu2l2exmmB4EUqUPykFzf9FqRo3BeginpdJJTIgyHWpp9Sb9+2b1a&#10;UuIDMzVTYERJT8LTm83LF+vOFmIGLahaOIIgxhedLWkbgi2yzPNWaOYnYIVBYwNOs4Cq22e1Yx2i&#10;a5XN8vx11oGrrQMuvMfXu8FINwm/aQQPn5rGi0BUSTG3kG6X7ire2WbNir1jtpV8TIP9QxaaSYNB&#10;z1B3LDBycPI3KC25Aw9NmHDQGTSN5CLVgNVM81+qeWiZFakWJMfbM03+/8Hyj8cH+9mR0L+BHhuY&#10;ivD2Hvg3TwxsW2b24tY56FrBagw8jZRlnfXF+DVS7QsfQaruA9TYZHYIkID6xunICtZJEB0bcDqT&#10;LvpAOD4uZvni+gpNHG1Xq+vpfLVMMVjx9N06H94J0CQKJXXY1QTPjvc+xHRY8eQSo3lQst5JpZLi&#10;9tVWOXJkOAG7dEb0n9yUIV1JV4vZYmDgrxB5On+C0DLgKCupS7o8O7Ei8vbW1GnQApNqkDFlZUYi&#10;I3cDi6GvenSMhFZQn5BSB8PI4oqh0IL7QUmH41pS//3AnKBEvTfYltV0Po/znZT54nqGiru0VJcW&#10;ZjhClTRQMojbkHYiEmbgFtvXyETscyZjrjiGie9xZeKcX+rJ63mxN48AAAD//wMAUEsDBBQABgAI&#10;AAAAIQDuAoPu3AAAAAUBAAAPAAAAZHJzL2Rvd25yZXYueG1sTI/BTsMwEETvSPyDtUhcEHVaSkhD&#10;nAohgeAGBcHVjbdJhL0OtpuGv2fhApeRVrOaeVOtJ2fFiCH2nhTMZxkIpMabnloFry935wWImDQZ&#10;bT2hgi+MsK6PjypdGn+gZxw3qRUcQrHUCrqUhlLK2HTodJz5AYm9nQ9OJz5DK03QBw53Vi6yLJdO&#10;98QNnR7wtsPmY7N3Corlw/geHy+e3pp8Z1fp7Gq8/wxKnZ5MN9cgEk7p7xl+8Bkdamba+j2ZKKwC&#10;HpJ+lb1ivuIZWwX54nIJsq7kf/r6GwAA//8DAFBLAQItABQABgAIAAAAIQC2gziS/gAAAOEBAAAT&#10;AAAAAAAAAAAAAAAAAAAAAABbQ29udGVudF9UeXBlc10ueG1sUEsBAi0AFAAGAAgAAAAhADj9If/W&#10;AAAAlAEAAAsAAAAAAAAAAAAAAAAALwEAAF9yZWxzLy5yZWxzUEsBAi0AFAAGAAgAAAAhAP7s+PoR&#10;AgAAIAQAAA4AAAAAAAAAAAAAAAAALgIAAGRycy9lMm9Eb2MueG1sUEsBAi0AFAAGAAgAAAAhAO4C&#10;g+7cAAAABQEAAA8AAAAAAAAAAAAAAAAAawQAAGRycy9kb3ducmV2LnhtbFBLBQYAAAAABAAEAPMA&#10;AAB0BQAAAAA=&#10;">
                <v:textbox>
                  <w:txbxContent>
                    <w:p w14:paraId="0591951B" w14:textId="77777777" w:rsidR="002B0C95" w:rsidRPr="00B47D7C" w:rsidRDefault="002B0C95" w:rsidP="002B0C95">
                      <w:pPr>
                        <w:rPr>
                          <w:b/>
                        </w:rPr>
                      </w:pPr>
                      <w:r w:rsidRPr="00B47D7C">
                        <w:rPr>
                          <w:b/>
                        </w:rPr>
                        <w:t>Design</w:t>
                      </w:r>
                    </w:p>
                    <w:p w14:paraId="3D11F1AB" w14:textId="77777777" w:rsidR="002B0C95" w:rsidRDefault="002B0C95" w:rsidP="002B0C95">
                      <w:pPr>
                        <w:pStyle w:val="ListParagraph"/>
                        <w:numPr>
                          <w:ilvl w:val="0"/>
                          <w:numId w:val="4"/>
                        </w:numPr>
                        <w:jc w:val="left"/>
                      </w:pPr>
                      <w:r>
                        <w:t xml:space="preserve">The appropriate trial design, such as an expertise-based design. </w:t>
                      </w:r>
                    </w:p>
                    <w:p w14:paraId="7471042F" w14:textId="77777777" w:rsidR="002B0C95" w:rsidRDefault="002B0C95" w:rsidP="002B0C95">
                      <w:pPr>
                        <w:pStyle w:val="ListParagraph"/>
                        <w:numPr>
                          <w:ilvl w:val="0"/>
                          <w:numId w:val="4"/>
                        </w:numPr>
                        <w:jc w:val="left"/>
                      </w:pPr>
                      <w:r>
                        <w:t>Delivery of the intervention in terms of:</w:t>
                      </w:r>
                    </w:p>
                    <w:p w14:paraId="2EBA81D3" w14:textId="77777777" w:rsidR="002B0C95" w:rsidRDefault="002B0C95" w:rsidP="002B0C95">
                      <w:pPr>
                        <w:pStyle w:val="ListParagraph"/>
                        <w:numPr>
                          <w:ilvl w:val="1"/>
                          <w:numId w:val="4"/>
                        </w:numPr>
                        <w:jc w:val="left"/>
                      </w:pPr>
                      <w:r>
                        <w:t xml:space="preserve">The health professionals delivering treatment. </w:t>
                      </w:r>
                    </w:p>
                    <w:p w14:paraId="44135425" w14:textId="77777777" w:rsidR="002B0C95" w:rsidRDefault="002B0C95" w:rsidP="002B0C95">
                      <w:pPr>
                        <w:pStyle w:val="ListParagraph"/>
                        <w:numPr>
                          <w:ilvl w:val="1"/>
                          <w:numId w:val="4"/>
                        </w:numPr>
                        <w:jc w:val="left"/>
                      </w:pPr>
                      <w:r>
                        <w:t xml:space="preserve">The extent to which treatments are to be standardised. </w:t>
                      </w:r>
                    </w:p>
                    <w:p w14:paraId="348FD6C6" w14:textId="77777777" w:rsidR="002B0C95" w:rsidRDefault="002B0C95" w:rsidP="002B0C95">
                      <w:pPr>
                        <w:pStyle w:val="ListParagraph"/>
                        <w:numPr>
                          <w:ilvl w:val="1"/>
                          <w:numId w:val="4"/>
                        </w:numPr>
                        <w:jc w:val="left"/>
                      </w:pPr>
                      <w:r>
                        <w:t xml:space="preserve">The potential for change in delivery over time. </w:t>
                      </w:r>
                    </w:p>
                    <w:p w14:paraId="0D2F40C6" w14:textId="77777777" w:rsidR="002B0C95" w:rsidRDefault="002B0C95" w:rsidP="002B0C95">
                      <w:pPr>
                        <w:pStyle w:val="ListParagraph"/>
                        <w:numPr>
                          <w:ilvl w:val="0"/>
                          <w:numId w:val="4"/>
                        </w:numPr>
                        <w:jc w:val="left"/>
                      </w:pPr>
                      <w:r>
                        <w:t xml:space="preserve">Adjusting the sample size. </w:t>
                      </w:r>
                    </w:p>
                    <w:p w14:paraId="68D4B369" w14:textId="77777777" w:rsidR="002B0C95" w:rsidRDefault="002B0C95" w:rsidP="002B0C95">
                      <w:pPr>
                        <w:pStyle w:val="ListParagraph"/>
                        <w:numPr>
                          <w:ilvl w:val="0"/>
                          <w:numId w:val="4"/>
                        </w:numPr>
                        <w:jc w:val="left"/>
                      </w:pPr>
                      <w:r>
                        <w:t xml:space="preserve">Balancing treatment within centres and treatment providers. </w:t>
                      </w:r>
                    </w:p>
                    <w:p w14:paraId="42F3A7EC" w14:textId="77777777" w:rsidR="002B0C95" w:rsidRDefault="002B0C95" w:rsidP="002B0C95">
                      <w:pPr>
                        <w:rPr>
                          <w:b/>
                        </w:rPr>
                      </w:pPr>
                      <w:r>
                        <w:rPr>
                          <w:b/>
                        </w:rPr>
                        <w:t>Analysis</w:t>
                      </w:r>
                    </w:p>
                    <w:p w14:paraId="187DEE57" w14:textId="77777777" w:rsidR="002B0C95" w:rsidRPr="00F94358" w:rsidRDefault="002B0C95" w:rsidP="002B0C95">
                      <w:pPr>
                        <w:pStyle w:val="ListParagraph"/>
                        <w:numPr>
                          <w:ilvl w:val="0"/>
                          <w:numId w:val="5"/>
                        </w:numPr>
                        <w:jc w:val="left"/>
                        <w:rPr>
                          <w:b/>
                        </w:rPr>
                      </w:pPr>
                      <w:r>
                        <w:t>When the randomisation has been stratified.</w:t>
                      </w:r>
                    </w:p>
                    <w:p w14:paraId="322D3EC5" w14:textId="77777777" w:rsidR="002B0C95" w:rsidRPr="00A57EC2" w:rsidRDefault="002B0C95" w:rsidP="002B0C95">
                      <w:pPr>
                        <w:pStyle w:val="ListParagraph"/>
                        <w:numPr>
                          <w:ilvl w:val="0"/>
                          <w:numId w:val="5"/>
                        </w:numPr>
                        <w:jc w:val="left"/>
                        <w:rPr>
                          <w:b/>
                        </w:rPr>
                      </w:pPr>
                      <w:r w:rsidRPr="00A57EC2">
                        <w:t>When analysing the primary outcome, such as adjustment.</w:t>
                      </w:r>
                    </w:p>
                    <w:p w14:paraId="0CCDEA21" w14:textId="77777777" w:rsidR="002B0C95" w:rsidRPr="00F94358" w:rsidRDefault="002B0C95" w:rsidP="002B0C95">
                      <w:pPr>
                        <w:pStyle w:val="ListParagraph"/>
                        <w:numPr>
                          <w:ilvl w:val="0"/>
                          <w:numId w:val="5"/>
                        </w:numPr>
                        <w:jc w:val="left"/>
                        <w:rPr>
                          <w:b/>
                        </w:rPr>
                      </w:pPr>
                      <w:r>
                        <w:t>When there are multiple centres and/or treatment providers.</w:t>
                      </w:r>
                    </w:p>
                  </w:txbxContent>
                </v:textbox>
                <w10:anchorlock/>
              </v:shape>
            </w:pict>
          </mc:Fallback>
        </mc:AlternateContent>
      </w:r>
    </w:p>
    <w:p w14:paraId="4D931B10" w14:textId="77777777" w:rsidR="0051217E" w:rsidRDefault="0051217E">
      <w:pPr>
        <w:spacing w:after="160" w:line="259" w:lineRule="auto"/>
        <w:jc w:val="left"/>
        <w:rPr>
          <w:b/>
          <w:bCs/>
        </w:rPr>
      </w:pPr>
      <w:r>
        <w:rPr>
          <w:b/>
          <w:bCs/>
        </w:rPr>
        <w:br w:type="page"/>
      </w:r>
    </w:p>
    <w:p w14:paraId="433FFF7E" w14:textId="6A2FF9E8" w:rsidR="002B0C95" w:rsidRDefault="00DF39CA" w:rsidP="00DF39CA">
      <w:pPr>
        <w:rPr>
          <w:b/>
          <w:bCs/>
        </w:rPr>
      </w:pPr>
      <w:r w:rsidRPr="00DF39CA">
        <w:rPr>
          <w:b/>
          <w:bCs/>
        </w:rPr>
        <w:lastRenderedPageBreak/>
        <w:t>Results</w:t>
      </w:r>
      <w:r w:rsidR="002B0C95" w:rsidRPr="00DF39CA">
        <w:rPr>
          <w:b/>
          <w:bCs/>
        </w:rPr>
        <w:t xml:space="preserve"> </w:t>
      </w:r>
    </w:p>
    <w:p w14:paraId="093952A1" w14:textId="457F402F" w:rsidR="002B0C95" w:rsidRPr="00DF39CA" w:rsidRDefault="00DF39CA" w:rsidP="00DF39CA">
      <w:pPr>
        <w:rPr>
          <w:b/>
          <w:bCs/>
          <w:i/>
          <w:iCs/>
        </w:rPr>
      </w:pPr>
      <w:r>
        <w:rPr>
          <w:b/>
          <w:bCs/>
          <w:i/>
          <w:iCs/>
        </w:rPr>
        <w:t>Identifying eligible documents</w:t>
      </w:r>
    </w:p>
    <w:p w14:paraId="77239365" w14:textId="61E9BB23" w:rsidR="002B0C95" w:rsidRDefault="002B0C95" w:rsidP="00166726">
      <w:pPr>
        <w:pStyle w:val="Caption"/>
        <w:keepNext/>
      </w:pPr>
      <w:bookmarkStart w:id="14" w:name="_Ref89181246"/>
      <w:bookmarkStart w:id="15" w:name="_Toc89943431"/>
      <w:bookmarkStart w:id="16" w:name="_Ref90550614"/>
      <w:r>
        <w:t xml:space="preserve">Figure </w:t>
      </w:r>
      <w:fldSimple w:instr=" SEQ Figure \* ARABIC ">
        <w:r>
          <w:rPr>
            <w:noProof/>
          </w:rPr>
          <w:t>1</w:t>
        </w:r>
      </w:fldSimple>
      <w:bookmarkEnd w:id="14"/>
      <w:r>
        <w:t xml:space="preserve">: Flowchart of </w:t>
      </w:r>
      <w:r w:rsidR="00835A9E">
        <w:t xml:space="preserve">identification of </w:t>
      </w:r>
      <w:r>
        <w:t>guidelines</w:t>
      </w:r>
      <w:bookmarkEnd w:id="15"/>
      <w:bookmarkEnd w:id="16"/>
    </w:p>
    <w:p w14:paraId="2ADA90A4" w14:textId="2348DE4C" w:rsidR="002B0C95" w:rsidRDefault="00835A9E" w:rsidP="00166726">
      <w:r>
        <w:rPr>
          <w:rFonts w:cs="Times New Roman"/>
          <w:noProof/>
          <w:sz w:val="24"/>
          <w:szCs w:val="24"/>
          <w:lang w:eastAsia="en-GB"/>
        </w:rPr>
        <w:drawing>
          <wp:inline distT="0" distB="0" distL="0" distR="0" wp14:anchorId="0F1E6E5B" wp14:editId="12E9C802">
            <wp:extent cx="5731510" cy="5601970"/>
            <wp:effectExtent l="0" t="0" r="254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5601970"/>
                    </a:xfrm>
                    <a:prstGeom prst="rect">
                      <a:avLst/>
                    </a:prstGeom>
                  </pic:spPr>
                </pic:pic>
              </a:graphicData>
            </a:graphic>
          </wp:inline>
        </w:drawing>
      </w:r>
    </w:p>
    <w:p w14:paraId="72D7FCB4" w14:textId="7BE4CF40" w:rsidR="002B0C95" w:rsidRDefault="002B0C95" w:rsidP="00166726">
      <w:pPr>
        <w:rPr>
          <w:i/>
          <w:iCs/>
        </w:rPr>
      </w:pPr>
      <w:r>
        <w:t>The search within the EQUATOR website identified 80 documents: 36 (45%) were identified using the search term “statistic” and 44 (55%) using the search term “surgery”. The search was conducted on 21</w:t>
      </w:r>
      <w:r w:rsidRPr="00E02FA3">
        <w:rPr>
          <w:vertAlign w:val="superscript"/>
        </w:rPr>
        <w:t>st</w:t>
      </w:r>
      <w:r>
        <w:t xml:space="preserve"> October 2021. </w:t>
      </w:r>
      <w:r w:rsidRPr="00287682">
        <w:rPr>
          <w:i/>
        </w:rPr>
        <w:fldChar w:fldCharType="begin"/>
      </w:r>
      <w:r w:rsidRPr="00287682">
        <w:rPr>
          <w:i/>
        </w:rPr>
        <w:instrText xml:space="preserve"> REF _Ref89181246 \h </w:instrText>
      </w:r>
      <w:r>
        <w:rPr>
          <w:i/>
        </w:rPr>
        <w:instrText xml:space="preserve"> \* MERGEFORMAT </w:instrText>
      </w:r>
      <w:r w:rsidRPr="00287682">
        <w:rPr>
          <w:i/>
        </w:rPr>
      </w:r>
      <w:r w:rsidRPr="00287682">
        <w:rPr>
          <w:i/>
        </w:rPr>
        <w:fldChar w:fldCharType="separate"/>
      </w:r>
      <w:r w:rsidRPr="00C63CA4">
        <w:rPr>
          <w:i/>
        </w:rPr>
        <w:t xml:space="preserve">Figure </w:t>
      </w:r>
      <w:r w:rsidRPr="00C63CA4">
        <w:rPr>
          <w:i/>
          <w:noProof/>
        </w:rPr>
        <w:t>1</w:t>
      </w:r>
      <w:r w:rsidRPr="00287682">
        <w:rPr>
          <w:i/>
        </w:rPr>
        <w:fldChar w:fldCharType="end"/>
      </w:r>
      <w:r>
        <w:t xml:space="preserve"> presents the flowchart of eligibility, with reasons for exclusion where necessary. An additional 16 documents were manually identified from the targeted search (Funders: 2; Regulators: 6; Journals: 8, see </w:t>
      </w:r>
      <w:r w:rsidR="005B2167">
        <w:rPr>
          <w:i/>
        </w:rPr>
        <w:t xml:space="preserve">Supplementary </w:t>
      </w:r>
      <w:r w:rsidR="002668C9">
        <w:rPr>
          <w:i/>
        </w:rPr>
        <w:t>Material</w:t>
      </w:r>
      <w:r w:rsidR="005B2167">
        <w:rPr>
          <w:i/>
        </w:rPr>
        <w:t xml:space="preserve"> 1</w:t>
      </w:r>
      <w:r w:rsidR="00835A9E">
        <w:rPr>
          <w:i/>
        </w:rPr>
        <w:t xml:space="preserve"> </w:t>
      </w:r>
      <w:r w:rsidR="00835A9E">
        <w:rPr>
          <w:iCs/>
        </w:rPr>
        <w:t xml:space="preserve">and </w:t>
      </w:r>
      <w:r w:rsidR="00835A9E" w:rsidRPr="00CF6CBD">
        <w:rPr>
          <w:i/>
        </w:rPr>
        <w:fldChar w:fldCharType="begin"/>
      </w:r>
      <w:r w:rsidR="00835A9E" w:rsidRPr="00CF6CBD">
        <w:rPr>
          <w:i/>
        </w:rPr>
        <w:instrText xml:space="preserve"> REF _Ref89181246 \h </w:instrText>
      </w:r>
      <w:r w:rsidR="00835A9E">
        <w:rPr>
          <w:i/>
        </w:rPr>
        <w:instrText xml:space="preserve"> \* MERGEFORMAT </w:instrText>
      </w:r>
      <w:r w:rsidR="00835A9E" w:rsidRPr="00CF6CBD">
        <w:rPr>
          <w:i/>
        </w:rPr>
      </w:r>
      <w:r w:rsidR="00835A9E" w:rsidRPr="00CF6CBD">
        <w:rPr>
          <w:i/>
        </w:rPr>
        <w:fldChar w:fldCharType="separate"/>
      </w:r>
      <w:r w:rsidR="00835A9E" w:rsidRPr="00CF6CBD">
        <w:rPr>
          <w:i/>
        </w:rPr>
        <w:t xml:space="preserve">Figure </w:t>
      </w:r>
      <w:r w:rsidR="00835A9E" w:rsidRPr="00CF6CBD">
        <w:rPr>
          <w:i/>
          <w:noProof/>
        </w:rPr>
        <w:t>1</w:t>
      </w:r>
      <w:r w:rsidR="00835A9E" w:rsidRPr="00CF6CBD">
        <w:rPr>
          <w:i/>
        </w:rPr>
        <w:fldChar w:fldCharType="end"/>
      </w:r>
      <w:r>
        <w:t xml:space="preserve">). There were no duplicates between the two searches leaving a total of 28 eligible documents for review. </w:t>
      </w:r>
      <w:r w:rsidR="005B2167">
        <w:rPr>
          <w:i/>
        </w:rPr>
        <w:t xml:space="preserve">Supplementary </w:t>
      </w:r>
      <w:r w:rsidR="008A07AD">
        <w:rPr>
          <w:i/>
        </w:rPr>
        <w:t>Material</w:t>
      </w:r>
      <w:r w:rsidR="005B2167">
        <w:rPr>
          <w:i/>
        </w:rPr>
        <w:t xml:space="preserve"> 1</w:t>
      </w:r>
      <w:r>
        <w:t xml:space="preserve"> provides the list </w:t>
      </w:r>
      <w:r>
        <w:lastRenderedPageBreak/>
        <w:t xml:space="preserve">of included documents. </w:t>
      </w:r>
      <w:r w:rsidR="005808CD">
        <w:t xml:space="preserve">Details as to the background and justification for the documents included as part of the targeted search is provided in </w:t>
      </w:r>
      <w:r w:rsidR="005808CD">
        <w:rPr>
          <w:i/>
          <w:iCs/>
        </w:rPr>
        <w:t xml:space="preserve">Supplementary Material 2. </w:t>
      </w:r>
    </w:p>
    <w:p w14:paraId="0F4F5E9F" w14:textId="77777777" w:rsidR="00C55BD8" w:rsidRDefault="00C55BD8" w:rsidP="00166726">
      <w:pPr>
        <w:rPr>
          <w:b/>
          <w:bCs/>
          <w:i/>
          <w:iCs/>
        </w:rPr>
      </w:pPr>
    </w:p>
    <w:p w14:paraId="0F784F85" w14:textId="5CAA0264" w:rsidR="00C55BD8" w:rsidRDefault="00BB14C3" w:rsidP="00166726">
      <w:pPr>
        <w:rPr>
          <w:i/>
          <w:iCs/>
        </w:rPr>
      </w:pPr>
      <w:r>
        <w:rPr>
          <w:b/>
          <w:bCs/>
          <w:i/>
          <w:iCs/>
        </w:rPr>
        <w:t>Summary of identified guidance</w:t>
      </w:r>
    </w:p>
    <w:p w14:paraId="68206E22" w14:textId="6D451243" w:rsidR="00C55BD8" w:rsidRPr="00C55BD8" w:rsidRDefault="00C55BD8" w:rsidP="00166726">
      <w:r>
        <w:t xml:space="preserve">Seven of the 28 eligible documents (25%) were developed specifically for surgery. Of those that were not (n=21), two were written for complex interventions, two for devices and the remaining 17 for general medicine.   </w:t>
      </w:r>
    </w:p>
    <w:p w14:paraId="63067136" w14:textId="66190E27" w:rsidR="002B0C95" w:rsidRDefault="002B0C95" w:rsidP="00166726"/>
    <w:p w14:paraId="09320D25" w14:textId="512C789B" w:rsidR="002B0C95" w:rsidRDefault="00DF39CA" w:rsidP="00DF39CA">
      <w:pPr>
        <w:rPr>
          <w:rFonts w:eastAsiaTheme="majorEastAsia" w:cstheme="majorBidi"/>
          <w:color w:val="1F3763" w:themeColor="accent1" w:themeShade="7F"/>
          <w:sz w:val="24"/>
          <w:szCs w:val="24"/>
        </w:rPr>
      </w:pPr>
      <w:r>
        <w:rPr>
          <w:b/>
          <w:bCs/>
          <w:i/>
          <w:iCs/>
        </w:rPr>
        <w:t xml:space="preserve">Designing a trial with </w:t>
      </w:r>
      <w:r w:rsidR="002369DE">
        <w:rPr>
          <w:b/>
          <w:bCs/>
          <w:i/>
          <w:iCs/>
        </w:rPr>
        <w:t xml:space="preserve">clustering and </w:t>
      </w:r>
      <w:r>
        <w:rPr>
          <w:b/>
          <w:bCs/>
          <w:i/>
          <w:iCs/>
        </w:rPr>
        <w:t>learning</w:t>
      </w:r>
    </w:p>
    <w:p w14:paraId="0C223F48" w14:textId="7C025965" w:rsidR="00DF39CA" w:rsidRPr="005B2167" w:rsidRDefault="00DF39CA" w:rsidP="00DF39CA">
      <w:pPr>
        <w:rPr>
          <w:i/>
          <w:iCs/>
        </w:rPr>
      </w:pPr>
      <w:r w:rsidRPr="005B2167">
        <w:rPr>
          <w:rFonts w:eastAsiaTheme="majorEastAsia" w:cstheme="majorBidi"/>
          <w:i/>
          <w:iCs/>
          <w:color w:val="1F3763" w:themeColor="accent1" w:themeShade="7F"/>
        </w:rPr>
        <w:t>Choosing a trial design</w:t>
      </w:r>
    </w:p>
    <w:p w14:paraId="0725CA50" w14:textId="5B4EE531" w:rsidR="002B0C95" w:rsidRDefault="002B0C95" w:rsidP="00166726">
      <w:pPr>
        <w:rPr>
          <w:i/>
        </w:rPr>
      </w:pPr>
      <w:r>
        <w:t xml:space="preserve">Eleven out of 28 documents (39%) provided guidance relating to trial design. See D1 in </w:t>
      </w:r>
      <w:r w:rsidR="005B2167">
        <w:rPr>
          <w:i/>
        </w:rPr>
        <w:t>Supplementary Table 1</w:t>
      </w:r>
      <w:r>
        <w:t xml:space="preserve">. </w:t>
      </w:r>
    </w:p>
    <w:p w14:paraId="4FCF03A0" w14:textId="77777777" w:rsidR="002B0C95" w:rsidRDefault="002B0C95" w:rsidP="00166726"/>
    <w:p w14:paraId="53CB038A" w14:textId="77777777" w:rsidR="002B0C95" w:rsidRPr="009B1B30" w:rsidRDefault="002B0C95" w:rsidP="00166726">
      <w:pPr>
        <w:rPr>
          <w:i/>
        </w:rPr>
      </w:pPr>
      <w:r>
        <w:t xml:space="preserve">The options of trial design depend on the unit of randomisation and the intervention of interest. The key aspects of relevant designs are briefly summarised here. Many design options, and associated limitations, were discussed and no single document provided a single comprehensive summary. </w:t>
      </w:r>
    </w:p>
    <w:p w14:paraId="2E53ACFC" w14:textId="77777777" w:rsidR="002B0C95" w:rsidRDefault="002B0C95" w:rsidP="00166726"/>
    <w:p w14:paraId="5B200FF2" w14:textId="38EE88FE" w:rsidR="002B0C95" w:rsidRPr="002369DE" w:rsidRDefault="002B0C95" w:rsidP="00166726">
      <w:pPr>
        <w:rPr>
          <w:b/>
          <w:bCs/>
          <w:i/>
          <w:iCs/>
        </w:rPr>
      </w:pPr>
      <w:r>
        <w:t>In individually randomised trials, patients are the unit of randomisation.</w:t>
      </w:r>
      <w:r w:rsidR="00E20BBA">
        <w:t xml:space="preserve"> </w:t>
      </w:r>
      <w:r w:rsidR="00E20BBA" w:rsidRPr="00E20BBA">
        <w:rPr>
          <w:i/>
          <w:iCs/>
        </w:rPr>
        <w:t>[Craig, 2019]</w:t>
      </w:r>
      <w:r w:rsidR="000B66E8">
        <w:t xml:space="preserve"> </w:t>
      </w:r>
      <w:r>
        <w:t>When conducting these trials in surgery, differential expertise between the treatments being investigated can raise issues that can be alleviated by defining eligibility criteria for centres and surgeons, such as years in practice or number of interventions performed previously.</w:t>
      </w:r>
      <w:r w:rsidR="00ED2F79">
        <w:t xml:space="preserve"> [</w:t>
      </w:r>
      <w:proofErr w:type="spellStart"/>
      <w:r w:rsidR="00ED2F79">
        <w:rPr>
          <w:i/>
          <w:iCs/>
        </w:rPr>
        <w:t>Boutron</w:t>
      </w:r>
      <w:proofErr w:type="spellEnd"/>
      <w:r w:rsidR="00ED2F79">
        <w:rPr>
          <w:i/>
          <w:iCs/>
        </w:rPr>
        <w:t>, 2008</w:t>
      </w:r>
      <w:r w:rsidR="00DD6B64">
        <w:rPr>
          <w:i/>
          <w:iCs/>
        </w:rPr>
        <w:t xml:space="preserve">; </w:t>
      </w:r>
      <w:r w:rsidR="00DD6B64" w:rsidRPr="00DD6B64">
        <w:rPr>
          <w:i/>
          <w:iCs/>
        </w:rPr>
        <w:t>National Institute for Health Research website, 2016</w:t>
      </w:r>
      <w:r w:rsidR="00ED2F79">
        <w:t>]</w:t>
      </w:r>
      <w:r>
        <w:t xml:space="preserve"> However, applying criteria that is too strict may reduce the generalisability of trial results.</w:t>
      </w:r>
      <w:r w:rsidR="00DD6B64">
        <w:t xml:space="preserve"> [</w:t>
      </w:r>
      <w:proofErr w:type="spellStart"/>
      <w:r w:rsidR="00DD6B64" w:rsidRPr="00DD6B64">
        <w:rPr>
          <w:i/>
          <w:iCs/>
        </w:rPr>
        <w:t>Zwarenstein</w:t>
      </w:r>
      <w:proofErr w:type="spellEnd"/>
      <w:r w:rsidR="00DD6B64" w:rsidRPr="00DD6B64">
        <w:rPr>
          <w:i/>
          <w:iCs/>
        </w:rPr>
        <w:t>, 2008</w:t>
      </w:r>
      <w:r w:rsidR="00DD6B64">
        <w:t>]</w:t>
      </w:r>
      <w:r>
        <w:t xml:space="preserve"> Instead, a statistical analysis of inter-rater reliability, between individual centres and surgeons, can provide understanding of any impact due to expertise. This type of analysis can be useful when considering rolling out the interventions into routine healthcare, </w:t>
      </w:r>
      <w:r w:rsidRPr="002369DE">
        <w:t xml:space="preserve">see </w:t>
      </w:r>
      <w:r w:rsidR="002369DE" w:rsidRPr="002369DE">
        <w:rPr>
          <w:i/>
          <w:iCs/>
        </w:rPr>
        <w:t>Analysing a trial with</w:t>
      </w:r>
      <w:r w:rsidR="002369DE">
        <w:rPr>
          <w:i/>
          <w:iCs/>
        </w:rPr>
        <w:t xml:space="preserve"> clustering and</w:t>
      </w:r>
      <w:r w:rsidR="002369DE" w:rsidRPr="002369DE">
        <w:rPr>
          <w:i/>
          <w:iCs/>
        </w:rPr>
        <w:t xml:space="preserve"> learning</w:t>
      </w:r>
      <w:r>
        <w:t xml:space="preserve">. </w:t>
      </w:r>
      <w:r w:rsidR="00DD6B64">
        <w:t>[</w:t>
      </w:r>
      <w:r w:rsidR="00DD6B64" w:rsidRPr="00DD6B64">
        <w:rPr>
          <w:i/>
          <w:iCs/>
        </w:rPr>
        <w:t>National Institute for Health Research website, 2016</w:t>
      </w:r>
      <w:r w:rsidR="00DD6B64">
        <w:t>]</w:t>
      </w:r>
    </w:p>
    <w:p w14:paraId="78108CEE" w14:textId="77777777" w:rsidR="002B0C95" w:rsidRDefault="002B0C95" w:rsidP="00166726"/>
    <w:p w14:paraId="2DFB7462" w14:textId="4839E7B2" w:rsidR="002B0C95" w:rsidRDefault="002B0C95" w:rsidP="00166726">
      <w:r>
        <w:lastRenderedPageBreak/>
        <w:t xml:space="preserve">In cluster randomised trials, groups of patients are the unit of randomisation. These designs are less common and are generally less efficient than individually randomised studies. They require more surgeons and introduce the potential for the treatment comparison to be confounded by the delivery, </w:t>
      </w:r>
      <w:r w:rsidRPr="003E2603">
        <w:t xml:space="preserve">despite inflating the sample size to account for the </w:t>
      </w:r>
      <w:bookmarkStart w:id="17" w:name="_Hlk95892395"/>
      <w:r w:rsidRPr="003E2603">
        <w:t xml:space="preserve">intraclass correlation coefficient </w:t>
      </w:r>
      <w:bookmarkEnd w:id="17"/>
      <w:r w:rsidRPr="003E2603">
        <w:t>(ICC).</w:t>
      </w:r>
      <w:r w:rsidR="00E20BBA">
        <w:t xml:space="preserve"> </w:t>
      </w:r>
      <w:r w:rsidR="00E20BBA" w:rsidRPr="00F4768C">
        <w:t>[</w:t>
      </w:r>
      <w:r w:rsidR="00E20BBA" w:rsidRPr="00E20BBA">
        <w:rPr>
          <w:i/>
          <w:iCs/>
        </w:rPr>
        <w:t>Craig, 2019</w:t>
      </w:r>
      <w:r w:rsidR="00F4768C">
        <w:rPr>
          <w:i/>
          <w:iCs/>
        </w:rPr>
        <w:t xml:space="preserve">; </w:t>
      </w:r>
      <w:proofErr w:type="spellStart"/>
      <w:r w:rsidR="00F4768C">
        <w:rPr>
          <w:i/>
          <w:iCs/>
        </w:rPr>
        <w:t>Ergina</w:t>
      </w:r>
      <w:proofErr w:type="spellEnd"/>
      <w:r w:rsidR="00F4768C">
        <w:rPr>
          <w:i/>
          <w:iCs/>
        </w:rPr>
        <w:t>, 2009; Campbell, 2012</w:t>
      </w:r>
      <w:r w:rsidR="00F4768C">
        <w:t>]</w:t>
      </w:r>
      <w:r>
        <w:t xml:space="preserve"> </w:t>
      </w:r>
    </w:p>
    <w:p w14:paraId="22AC9910" w14:textId="77777777" w:rsidR="002B0C95" w:rsidRDefault="002B0C95" w:rsidP="00166726"/>
    <w:p w14:paraId="5278BCE6" w14:textId="6AC292AC" w:rsidR="002B0C95" w:rsidRDefault="002B0C95" w:rsidP="00166726">
      <w:r>
        <w:t>Expertise-based designs are a half-way house between individual and cluster randomised trials. Patients are individually randomised to surgeon, who treats all patients with a single intervention. This can be the surgeon’s preferred technique or</w:t>
      </w:r>
      <w:r w:rsidR="00720EA2">
        <w:t xml:space="preserve"> an unavoidable feature </w:t>
      </w:r>
      <w:r>
        <w:t>in trials comparing interventions delivered by different specialties.</w:t>
      </w:r>
      <w:r w:rsidR="00ED2F79">
        <w:t xml:space="preserve"> [</w:t>
      </w:r>
      <w:proofErr w:type="spellStart"/>
      <w:r w:rsidR="00ED2F79">
        <w:rPr>
          <w:i/>
          <w:iCs/>
        </w:rPr>
        <w:t>Boutron</w:t>
      </w:r>
      <w:proofErr w:type="spellEnd"/>
      <w:r w:rsidR="00ED2F79">
        <w:rPr>
          <w:i/>
          <w:iCs/>
        </w:rPr>
        <w:t>, 2008</w:t>
      </w:r>
      <w:r w:rsidR="00F4768C">
        <w:rPr>
          <w:i/>
          <w:iCs/>
        </w:rPr>
        <w:t xml:space="preserve">; </w:t>
      </w:r>
      <w:proofErr w:type="spellStart"/>
      <w:r w:rsidR="00F4768C">
        <w:rPr>
          <w:i/>
          <w:iCs/>
        </w:rPr>
        <w:t>Ergina</w:t>
      </w:r>
      <w:proofErr w:type="spellEnd"/>
      <w:r w:rsidR="00F4768C">
        <w:rPr>
          <w:i/>
          <w:iCs/>
        </w:rPr>
        <w:t>, 2009</w:t>
      </w:r>
      <w:r w:rsidR="00ED2F79">
        <w:t>]</w:t>
      </w:r>
      <w:r>
        <w:t xml:space="preserve"> This design has the same limitations as cluster trials, and when a surgeon is only performing their preferred technique, shared waiting lists</w:t>
      </w:r>
      <w:r w:rsidR="00F4768C">
        <w:t xml:space="preserve"> [</w:t>
      </w:r>
      <w:proofErr w:type="spellStart"/>
      <w:r w:rsidR="00F4768C">
        <w:rPr>
          <w:i/>
          <w:iCs/>
        </w:rPr>
        <w:t>Ergina</w:t>
      </w:r>
      <w:proofErr w:type="spellEnd"/>
      <w:r w:rsidR="00F4768C">
        <w:rPr>
          <w:i/>
          <w:iCs/>
        </w:rPr>
        <w:t>, 2009</w:t>
      </w:r>
      <w:r w:rsidR="00F4768C">
        <w:t>]</w:t>
      </w:r>
      <w:r>
        <w:t xml:space="preserve"> and understanding how the treatment can be rolled out into routine healthcare can be a challenge. Resultantly, this design is relatively uncommon.</w:t>
      </w:r>
      <w:r w:rsidR="00F4768C">
        <w:t xml:space="preserve"> [</w:t>
      </w:r>
      <w:r w:rsidR="00F4768C">
        <w:rPr>
          <w:i/>
          <w:iCs/>
        </w:rPr>
        <w:t>Conroy, 2019; Conroy, 2019</w:t>
      </w:r>
      <w:r w:rsidR="00F4768C">
        <w:t>]</w:t>
      </w:r>
      <w:r>
        <w:t xml:space="preserve"> </w:t>
      </w:r>
    </w:p>
    <w:p w14:paraId="7CF3A555" w14:textId="77777777" w:rsidR="002B0C95" w:rsidRDefault="002B0C95" w:rsidP="00166726"/>
    <w:p w14:paraId="2A1AAFA8" w14:textId="3B97C9C6" w:rsidR="002B0C95" w:rsidRDefault="002B0C95" w:rsidP="00166726">
      <w:r>
        <w:t xml:space="preserve">Tracker designs, proposed by </w:t>
      </w:r>
      <w:proofErr w:type="spellStart"/>
      <w:r>
        <w:rPr>
          <w:i/>
        </w:rPr>
        <w:t>Ergina</w:t>
      </w:r>
      <w:proofErr w:type="spellEnd"/>
      <w:r>
        <w:rPr>
          <w:i/>
        </w:rPr>
        <w:t xml:space="preserve"> et al</w:t>
      </w:r>
      <w:r>
        <w:t xml:space="preserve">, where new or evolving interventions can theoretically be developed within a single randomised study, and the incremental changes to the intervention tracked within the analysis, would be very challenging in practice. </w:t>
      </w:r>
      <w:r w:rsidR="00F4768C">
        <w:t>[</w:t>
      </w:r>
      <w:proofErr w:type="spellStart"/>
      <w:r w:rsidR="00F4768C">
        <w:rPr>
          <w:i/>
          <w:iCs/>
        </w:rPr>
        <w:t>Ergina</w:t>
      </w:r>
      <w:proofErr w:type="spellEnd"/>
      <w:r w:rsidR="00F4768C">
        <w:rPr>
          <w:i/>
          <w:iCs/>
        </w:rPr>
        <w:t>, 2009</w:t>
      </w:r>
      <w:r w:rsidR="00F4768C">
        <w:t>]</w:t>
      </w:r>
      <w:r>
        <w:t xml:space="preserve"> </w:t>
      </w:r>
    </w:p>
    <w:p w14:paraId="5CD18A95" w14:textId="25DD2E09" w:rsidR="002B0C95" w:rsidRDefault="002B0C95" w:rsidP="00166726"/>
    <w:p w14:paraId="313BCF69" w14:textId="7DFEED9A" w:rsidR="00DF39CA" w:rsidRPr="00DF39CA" w:rsidRDefault="00DF39CA" w:rsidP="00166726">
      <w:pPr>
        <w:rPr>
          <w:i/>
          <w:iCs/>
        </w:rPr>
      </w:pPr>
      <w:r>
        <w:rPr>
          <w:i/>
          <w:iCs/>
        </w:rPr>
        <w:t>Considering who will deliver the intervention</w:t>
      </w:r>
    </w:p>
    <w:p w14:paraId="3D449E45" w14:textId="19E5D820" w:rsidR="002B0C95" w:rsidRDefault="002B0C95" w:rsidP="00166726">
      <w:pPr>
        <w:rPr>
          <w:i/>
        </w:rPr>
      </w:pPr>
      <w:r>
        <w:t>Thirteen</w:t>
      </w:r>
      <w:r w:rsidRPr="00007DF0">
        <w:t xml:space="preserve"> out of 28 documents (46%) </w:t>
      </w:r>
      <w:r>
        <w:t>discussed the importance</w:t>
      </w:r>
      <w:r w:rsidRPr="00007DF0">
        <w:t xml:space="preserve"> o</w:t>
      </w:r>
      <w:r>
        <w:t>f</w:t>
      </w:r>
      <w:r w:rsidRPr="00007DF0">
        <w:t xml:space="preserve"> deciding who will deliver the intervention</w:t>
      </w:r>
      <w:r>
        <w:t xml:space="preserve">. See D2 in </w:t>
      </w:r>
      <w:r w:rsidR="005B2167">
        <w:rPr>
          <w:i/>
        </w:rPr>
        <w:t>Supplementary Table 1</w:t>
      </w:r>
      <w:r>
        <w:t xml:space="preserve">. </w:t>
      </w:r>
    </w:p>
    <w:p w14:paraId="0C788BAB" w14:textId="77777777" w:rsidR="002B0C95" w:rsidRDefault="002B0C95" w:rsidP="00166726">
      <w:pPr>
        <w:rPr>
          <w:i/>
        </w:rPr>
      </w:pPr>
    </w:p>
    <w:p w14:paraId="0792E75B" w14:textId="012AA992" w:rsidR="002B0C95" w:rsidRDefault="002B0C95" w:rsidP="00166726">
      <w:r>
        <w:t>Some variation in delivery, in part, will depend on the skill and training of those delivering the intervention.</w:t>
      </w:r>
      <w:r w:rsidR="00ED2F79">
        <w:t xml:space="preserve"> [</w:t>
      </w:r>
      <w:proofErr w:type="spellStart"/>
      <w:r w:rsidR="00ED2F79">
        <w:rPr>
          <w:i/>
          <w:iCs/>
        </w:rPr>
        <w:t>Boutron</w:t>
      </w:r>
      <w:proofErr w:type="spellEnd"/>
      <w:r w:rsidR="00ED2F79">
        <w:rPr>
          <w:i/>
          <w:iCs/>
        </w:rPr>
        <w:t>, 2008</w:t>
      </w:r>
      <w:r w:rsidR="00F4768C">
        <w:rPr>
          <w:i/>
          <w:iCs/>
        </w:rPr>
        <w:t xml:space="preserve">; </w:t>
      </w:r>
      <w:proofErr w:type="spellStart"/>
      <w:r w:rsidR="00F4768C">
        <w:rPr>
          <w:i/>
          <w:iCs/>
        </w:rPr>
        <w:t>Ergina</w:t>
      </w:r>
      <w:proofErr w:type="spellEnd"/>
      <w:r w:rsidR="00F4768C">
        <w:rPr>
          <w:i/>
          <w:iCs/>
        </w:rPr>
        <w:t>, 2009</w:t>
      </w:r>
      <w:r w:rsidR="001F2447">
        <w:rPr>
          <w:i/>
          <w:iCs/>
        </w:rPr>
        <w:t>; Jackson, 2010</w:t>
      </w:r>
      <w:r w:rsidR="00ED2F79">
        <w:t>]</w:t>
      </w:r>
      <w:r>
        <w:t xml:space="preserve"> As such, the selection of centres and treatment providers was a critical element of design discussed by </w:t>
      </w:r>
      <w:proofErr w:type="gramStart"/>
      <w:r>
        <w:t>a number of</w:t>
      </w:r>
      <w:proofErr w:type="gramEnd"/>
      <w:r>
        <w:t xml:space="preserve"> guidance documents.</w:t>
      </w:r>
      <w:r w:rsidR="00F4768C">
        <w:t xml:space="preserve"> [</w:t>
      </w:r>
      <w:r w:rsidR="00F4768C">
        <w:rPr>
          <w:i/>
          <w:iCs/>
        </w:rPr>
        <w:t>Campbell, 2012</w:t>
      </w:r>
      <w:r w:rsidR="001F2447">
        <w:rPr>
          <w:i/>
          <w:iCs/>
        </w:rPr>
        <w:t>; ICH E9, 1999</w:t>
      </w:r>
      <w:r w:rsidR="00DB6F39">
        <w:rPr>
          <w:i/>
          <w:iCs/>
        </w:rPr>
        <w:t xml:space="preserve">; ICH E6, </w:t>
      </w:r>
      <w:r w:rsidR="008F4253">
        <w:rPr>
          <w:i/>
          <w:iCs/>
        </w:rPr>
        <w:t>2016</w:t>
      </w:r>
      <w:r w:rsidR="00DB6F39">
        <w:rPr>
          <w:i/>
          <w:iCs/>
        </w:rPr>
        <w:t>; MHRA, 2021</w:t>
      </w:r>
      <w:r w:rsidR="00F4768C">
        <w:t>]</w:t>
      </w:r>
      <w:r>
        <w:t xml:space="preserve"> Any eligibility criteria for participating centres and treatment providers, and a description such as the degree to which they are typical, should be reported.</w:t>
      </w:r>
      <w:r w:rsidR="00ED2F79">
        <w:t xml:space="preserve"> [</w:t>
      </w:r>
      <w:proofErr w:type="spellStart"/>
      <w:r w:rsidR="00ED2F79">
        <w:rPr>
          <w:i/>
          <w:iCs/>
        </w:rPr>
        <w:t>Boutron</w:t>
      </w:r>
      <w:proofErr w:type="spellEnd"/>
      <w:r w:rsidR="00ED2F79">
        <w:rPr>
          <w:i/>
          <w:iCs/>
        </w:rPr>
        <w:t>, 2008</w:t>
      </w:r>
      <w:r w:rsidR="00DD6B64">
        <w:rPr>
          <w:i/>
          <w:iCs/>
        </w:rPr>
        <w:t xml:space="preserve">; </w:t>
      </w:r>
      <w:proofErr w:type="spellStart"/>
      <w:r w:rsidR="00DD6B64" w:rsidRPr="00DD6B64">
        <w:rPr>
          <w:i/>
          <w:iCs/>
        </w:rPr>
        <w:t>Zwarenstein</w:t>
      </w:r>
      <w:proofErr w:type="spellEnd"/>
      <w:r w:rsidR="00DD6B64" w:rsidRPr="00DD6B64">
        <w:rPr>
          <w:i/>
          <w:iCs/>
        </w:rPr>
        <w:t>, 2008</w:t>
      </w:r>
      <w:r w:rsidR="00DB6F39">
        <w:rPr>
          <w:i/>
          <w:iCs/>
        </w:rPr>
        <w:t xml:space="preserve">; </w:t>
      </w:r>
      <w:proofErr w:type="spellStart"/>
      <w:r w:rsidR="00DB6F39">
        <w:rPr>
          <w:i/>
          <w:iCs/>
        </w:rPr>
        <w:t>Boutron</w:t>
      </w:r>
      <w:proofErr w:type="spellEnd"/>
      <w:r w:rsidR="00DB6F39">
        <w:rPr>
          <w:i/>
          <w:iCs/>
        </w:rPr>
        <w:t>, 2017</w:t>
      </w:r>
      <w:r w:rsidR="00ED2F79">
        <w:t>]</w:t>
      </w:r>
      <w:r>
        <w:t xml:space="preserve"> </w:t>
      </w:r>
    </w:p>
    <w:p w14:paraId="29C2456F" w14:textId="77777777" w:rsidR="002B0C95" w:rsidRDefault="002B0C95" w:rsidP="00166726"/>
    <w:p w14:paraId="1CEE6FB8" w14:textId="10C39FED" w:rsidR="002B0C95" w:rsidRDefault="00910324" w:rsidP="00166726">
      <w:r>
        <w:t>Two guidelines suggested criteria by which recruiting centres should be chosen</w:t>
      </w:r>
      <w:r w:rsidR="003C25A2">
        <w:t>, such as</w:t>
      </w:r>
      <w:r>
        <w:t xml:space="preserve"> </w:t>
      </w:r>
      <w:r w:rsidR="002B0C95">
        <w:t>caseload for the procedure under investigation</w:t>
      </w:r>
      <w:r w:rsidR="003C25A2">
        <w:t xml:space="preserve"> and </w:t>
      </w:r>
      <w:r w:rsidR="002B0C95">
        <w:t xml:space="preserve">ensuring </w:t>
      </w:r>
      <w:proofErr w:type="gramStart"/>
      <w:r w:rsidR="002B0C95">
        <w:t>sufficient numbers</w:t>
      </w:r>
      <w:proofErr w:type="gramEnd"/>
      <w:r w:rsidR="002B0C95">
        <w:t xml:space="preserve"> of the target population.</w:t>
      </w:r>
      <w:r w:rsidR="00ED2F79">
        <w:t xml:space="preserve"> [</w:t>
      </w:r>
      <w:proofErr w:type="spellStart"/>
      <w:r w:rsidR="00ED2F79">
        <w:rPr>
          <w:i/>
          <w:iCs/>
        </w:rPr>
        <w:t>Boutron</w:t>
      </w:r>
      <w:proofErr w:type="spellEnd"/>
      <w:r w:rsidR="00ED2F79">
        <w:rPr>
          <w:i/>
          <w:iCs/>
        </w:rPr>
        <w:t>, 2008</w:t>
      </w:r>
      <w:r w:rsidR="00DB6F39">
        <w:rPr>
          <w:i/>
          <w:iCs/>
        </w:rPr>
        <w:t>; MHRA, 2021</w:t>
      </w:r>
      <w:r w:rsidR="00ED2F79">
        <w:t>]</w:t>
      </w:r>
      <w:r w:rsidR="002B0C95">
        <w:t xml:space="preserve"> </w:t>
      </w:r>
    </w:p>
    <w:p w14:paraId="0240A8C2" w14:textId="77777777" w:rsidR="002B0C95" w:rsidRDefault="002B0C95" w:rsidP="00166726"/>
    <w:p w14:paraId="0596D5D3" w14:textId="3BDB0032" w:rsidR="002B0C95" w:rsidRDefault="002B0C95" w:rsidP="00166726">
      <w:r>
        <w:t>No guidelines provided advice on selecting treatment providers</w:t>
      </w:r>
      <w:r w:rsidRPr="00AB6F8D">
        <w:t>.</w:t>
      </w:r>
      <w:r>
        <w:t xml:space="preserve"> Treatment providers could be a limited group or all professionals offering the intervention.</w:t>
      </w:r>
      <w:r w:rsidR="005412D4">
        <w:t xml:space="preserve"> [</w:t>
      </w:r>
      <w:r w:rsidR="005412D4">
        <w:rPr>
          <w:i/>
          <w:iCs/>
        </w:rPr>
        <w:t>Elias, 2019</w:t>
      </w:r>
      <w:r w:rsidR="005412D4">
        <w:t>]</w:t>
      </w:r>
      <w:r>
        <w:t xml:space="preserve"> If a limited group, guidance on selecting centres, and reporting requirements, may be looked upon as a proxy for trialists when deciding how to select treatment provider, for example caseload and ensuring specific qualifications.</w:t>
      </w:r>
      <w:r w:rsidR="00ED2F79">
        <w:t xml:space="preserve"> [</w:t>
      </w:r>
      <w:proofErr w:type="spellStart"/>
      <w:r w:rsidR="00ED2F79">
        <w:rPr>
          <w:i/>
          <w:iCs/>
        </w:rPr>
        <w:t>Boutron</w:t>
      </w:r>
      <w:proofErr w:type="spellEnd"/>
      <w:r w:rsidR="00ED2F79">
        <w:rPr>
          <w:i/>
          <w:iCs/>
        </w:rPr>
        <w:t>, 2008</w:t>
      </w:r>
      <w:r w:rsidR="00DB6F39">
        <w:rPr>
          <w:i/>
          <w:iCs/>
        </w:rPr>
        <w:t xml:space="preserve">; MHRA, 2021; </w:t>
      </w:r>
      <w:proofErr w:type="spellStart"/>
      <w:r w:rsidR="00DB6F39">
        <w:rPr>
          <w:i/>
          <w:iCs/>
        </w:rPr>
        <w:t>Boutron</w:t>
      </w:r>
      <w:proofErr w:type="spellEnd"/>
      <w:r w:rsidR="00DB6F39">
        <w:rPr>
          <w:i/>
          <w:iCs/>
        </w:rPr>
        <w:t>, 2017</w:t>
      </w:r>
      <w:r w:rsidR="00ED2F79">
        <w:t>]</w:t>
      </w:r>
      <w:r>
        <w:t xml:space="preserve">     </w:t>
      </w:r>
    </w:p>
    <w:p w14:paraId="0695ADBD" w14:textId="77777777" w:rsidR="002B0C95" w:rsidRDefault="002B0C95" w:rsidP="00166726"/>
    <w:p w14:paraId="3736EAF7" w14:textId="51E98C05" w:rsidR="002B0C95" w:rsidRDefault="002B0C95" w:rsidP="00166726">
      <w:r>
        <w:t>The results of the main trial should report on the number of centres and treatment providers performing each intervention.</w:t>
      </w:r>
      <w:r w:rsidR="00DB6F39">
        <w:t xml:space="preserve"> [</w:t>
      </w:r>
      <w:proofErr w:type="spellStart"/>
      <w:r w:rsidR="00DB6F39">
        <w:rPr>
          <w:i/>
          <w:iCs/>
        </w:rPr>
        <w:t>Boutron</w:t>
      </w:r>
      <w:proofErr w:type="spellEnd"/>
      <w:r w:rsidR="00DB6F39">
        <w:rPr>
          <w:i/>
          <w:iCs/>
        </w:rPr>
        <w:t>, 2017</w:t>
      </w:r>
      <w:r w:rsidR="00DB6F39">
        <w:t>]</w:t>
      </w:r>
      <w:r>
        <w:t xml:space="preserve"> </w:t>
      </w:r>
    </w:p>
    <w:p w14:paraId="50E0E2F8" w14:textId="5EBCF8F1" w:rsidR="002B0C95" w:rsidRDefault="002B0C95" w:rsidP="00166726"/>
    <w:p w14:paraId="12A70FEB" w14:textId="65D669FE" w:rsidR="00DF39CA" w:rsidRPr="00DF39CA" w:rsidRDefault="00DF39CA" w:rsidP="00166726">
      <w:pPr>
        <w:rPr>
          <w:i/>
          <w:iCs/>
        </w:rPr>
      </w:pPr>
      <w:r>
        <w:rPr>
          <w:i/>
          <w:iCs/>
        </w:rPr>
        <w:t>Ensuring that the intervention is standardised</w:t>
      </w:r>
    </w:p>
    <w:p w14:paraId="0F1C4148" w14:textId="79CC5C45" w:rsidR="002B0C95" w:rsidRPr="003474B1" w:rsidRDefault="002B0C95" w:rsidP="00166726">
      <w:r>
        <w:t>Fifteen</w:t>
      </w:r>
      <w:r w:rsidRPr="00007DF0">
        <w:t xml:space="preserve"> out of 28 documents (</w:t>
      </w:r>
      <w:r>
        <w:t>54</w:t>
      </w:r>
      <w:r w:rsidRPr="00007DF0">
        <w:t xml:space="preserve">%) </w:t>
      </w:r>
      <w:r>
        <w:t>discussed the importance</w:t>
      </w:r>
      <w:r w:rsidRPr="00007DF0">
        <w:t xml:space="preserve"> o</w:t>
      </w:r>
      <w:r>
        <w:t>f</w:t>
      </w:r>
      <w:r w:rsidRPr="00007DF0">
        <w:t xml:space="preserve"> </w:t>
      </w:r>
      <w:r>
        <w:t>standardising the intervention</w:t>
      </w:r>
      <w:r w:rsidRPr="00007DF0">
        <w:t>.</w:t>
      </w:r>
      <w:r>
        <w:t xml:space="preserve"> See D3 in </w:t>
      </w:r>
      <w:r w:rsidR="005B2167">
        <w:rPr>
          <w:i/>
        </w:rPr>
        <w:t>Supplementary Table 1</w:t>
      </w:r>
      <w:r>
        <w:t xml:space="preserve">. </w:t>
      </w:r>
    </w:p>
    <w:p w14:paraId="4A012DE3" w14:textId="77777777" w:rsidR="002B0C95" w:rsidRPr="00130B20" w:rsidRDefault="002B0C95" w:rsidP="00166726"/>
    <w:p w14:paraId="2A4A494A" w14:textId="41008E6B" w:rsidR="002B0C95" w:rsidRDefault="002B0C95" w:rsidP="00166726">
      <w:r>
        <w:t>Variation in delivery can be reduced by standardising all, or aspects of, the intervention of interest. Limiting variation in treatment delivery may be more desirable in an efficacy trial than a pragmatic, effectiveness study.</w:t>
      </w:r>
      <w:r w:rsidR="00E20BBA">
        <w:t xml:space="preserve"> </w:t>
      </w:r>
      <w:r w:rsidR="005412D4">
        <w:t>[</w:t>
      </w:r>
      <w:r w:rsidR="00E20BBA" w:rsidRPr="00E20BBA">
        <w:rPr>
          <w:i/>
          <w:iCs/>
        </w:rPr>
        <w:t>Craig, 2019</w:t>
      </w:r>
      <w:r w:rsidR="005412D4">
        <w:rPr>
          <w:i/>
          <w:iCs/>
        </w:rPr>
        <w:t>; McCulloch, 2009</w:t>
      </w:r>
      <w:r w:rsidR="005412D4">
        <w:t>]</w:t>
      </w:r>
      <w:r>
        <w:t xml:space="preserve"> In pragmatic trials. standardisation might consist of simply informing treatment providers to perform the treatment as usual.</w:t>
      </w:r>
      <w:r w:rsidR="00ED2F79">
        <w:t xml:space="preserve"> [</w:t>
      </w:r>
      <w:proofErr w:type="spellStart"/>
      <w:r w:rsidR="00ED2F79">
        <w:rPr>
          <w:i/>
          <w:iCs/>
        </w:rPr>
        <w:t>Boutron</w:t>
      </w:r>
      <w:proofErr w:type="spellEnd"/>
      <w:r w:rsidR="00ED2F79">
        <w:rPr>
          <w:i/>
          <w:iCs/>
        </w:rPr>
        <w:t>, 2008</w:t>
      </w:r>
      <w:r w:rsidR="00ED2F79">
        <w:t>]</w:t>
      </w:r>
      <w:r w:rsidRPr="009D0509">
        <w:t xml:space="preserve"> </w:t>
      </w:r>
      <w:r>
        <w:t>Regardless of the stage, trial delivery should be similar at all centres</w:t>
      </w:r>
      <w:r w:rsidR="001F2447">
        <w:t xml:space="preserve"> [</w:t>
      </w:r>
      <w:r w:rsidR="001F2447">
        <w:rPr>
          <w:i/>
          <w:iCs/>
        </w:rPr>
        <w:t>ICH E9, 1999</w:t>
      </w:r>
      <w:r w:rsidR="001F2447">
        <w:t>]</w:t>
      </w:r>
      <w:r>
        <w:t xml:space="preserve"> and designed such that a clear description of the procedures performed can be provided.</w:t>
      </w:r>
      <w:r w:rsidR="00DD6B64">
        <w:t xml:space="preserve"> [</w:t>
      </w:r>
      <w:proofErr w:type="spellStart"/>
      <w:r w:rsidR="00DD6B64" w:rsidRPr="00DD6B64">
        <w:rPr>
          <w:i/>
          <w:iCs/>
        </w:rPr>
        <w:t>Zwarenstein</w:t>
      </w:r>
      <w:proofErr w:type="spellEnd"/>
      <w:r w:rsidR="00DD6B64" w:rsidRPr="00DD6B64">
        <w:rPr>
          <w:i/>
          <w:iCs/>
        </w:rPr>
        <w:t>, 2008</w:t>
      </w:r>
      <w:r w:rsidR="00FE5BD6">
        <w:rPr>
          <w:i/>
          <w:iCs/>
        </w:rPr>
        <w:t xml:space="preserve">; </w:t>
      </w:r>
      <w:proofErr w:type="spellStart"/>
      <w:r w:rsidR="00FE5BD6">
        <w:rPr>
          <w:i/>
          <w:iCs/>
        </w:rPr>
        <w:t>Vanhie</w:t>
      </w:r>
      <w:proofErr w:type="spellEnd"/>
      <w:r w:rsidR="00FE5BD6">
        <w:rPr>
          <w:i/>
          <w:iCs/>
        </w:rPr>
        <w:t>, 2016</w:t>
      </w:r>
      <w:r w:rsidR="00DD6B64">
        <w:t>]</w:t>
      </w:r>
      <w:r>
        <w:t xml:space="preserve"> Investigator meetings to prepare investigators and standardise performance were suggested by one document.</w:t>
      </w:r>
      <w:r w:rsidR="00FE5BD6">
        <w:t xml:space="preserve"> [</w:t>
      </w:r>
      <w:r w:rsidR="00FE5BD6">
        <w:rPr>
          <w:i/>
          <w:iCs/>
        </w:rPr>
        <w:t>ICH E8, 1998</w:t>
      </w:r>
      <w:r w:rsidR="00FE5BD6">
        <w:t>]</w:t>
      </w:r>
      <w:r>
        <w:t xml:space="preserve"> </w:t>
      </w:r>
    </w:p>
    <w:p w14:paraId="7EEA5DF7" w14:textId="77777777" w:rsidR="002B0C95" w:rsidRDefault="002B0C95" w:rsidP="00166726"/>
    <w:p w14:paraId="0023D4E1" w14:textId="67D1A176" w:rsidR="002B0C95" w:rsidRDefault="002B0C95" w:rsidP="00166726">
      <w:r>
        <w:lastRenderedPageBreak/>
        <w:t>Monitoring treatment adherence was an important aspect across documents.</w:t>
      </w:r>
      <w:r w:rsidR="00ED2F79">
        <w:t xml:space="preserve"> [</w:t>
      </w:r>
      <w:proofErr w:type="spellStart"/>
      <w:r w:rsidR="00ED2F79">
        <w:rPr>
          <w:i/>
          <w:iCs/>
        </w:rPr>
        <w:t>Boutron</w:t>
      </w:r>
      <w:proofErr w:type="spellEnd"/>
      <w:r w:rsidR="00ED2F79">
        <w:rPr>
          <w:i/>
          <w:iCs/>
        </w:rPr>
        <w:t>, 2008</w:t>
      </w:r>
      <w:r w:rsidR="001F2447">
        <w:rPr>
          <w:i/>
          <w:iCs/>
        </w:rPr>
        <w:t>; ICH E9, 1999</w:t>
      </w:r>
      <w:r w:rsidR="005412D4">
        <w:rPr>
          <w:i/>
          <w:iCs/>
        </w:rPr>
        <w:t>; McCulloch, 2009</w:t>
      </w:r>
      <w:r w:rsidR="00FE5BD6">
        <w:rPr>
          <w:i/>
          <w:iCs/>
        </w:rPr>
        <w:t>; ICH E8, 1998; ICH E3, 1995</w:t>
      </w:r>
      <w:r w:rsidR="00ED2F79">
        <w:t>]</w:t>
      </w:r>
      <w:r>
        <w:t xml:space="preserve"> Suggested methods included reviewing case report forms, </w:t>
      </w:r>
      <w:proofErr w:type="gramStart"/>
      <w:r>
        <w:t>videotapes</w:t>
      </w:r>
      <w:proofErr w:type="gramEnd"/>
      <w:r>
        <w:t xml:space="preserve"> and audiotapes, extending to decertifying and excluding surgeons not submitting a videotape rated acceptable by an independent committee.</w:t>
      </w:r>
      <w:r w:rsidR="00ED2F79">
        <w:t xml:space="preserve"> [</w:t>
      </w:r>
      <w:proofErr w:type="spellStart"/>
      <w:r w:rsidR="00ED2F79">
        <w:rPr>
          <w:i/>
          <w:iCs/>
        </w:rPr>
        <w:t>Boutron</w:t>
      </w:r>
      <w:proofErr w:type="spellEnd"/>
      <w:r w:rsidR="00ED2F79">
        <w:rPr>
          <w:i/>
          <w:iCs/>
        </w:rPr>
        <w:t>, 2008</w:t>
      </w:r>
      <w:r w:rsidR="00ED2F79">
        <w:t xml:space="preserve">] </w:t>
      </w:r>
    </w:p>
    <w:p w14:paraId="79AA70DC" w14:textId="77777777" w:rsidR="002B0C95" w:rsidRDefault="002B0C95" w:rsidP="00166726"/>
    <w:p w14:paraId="1AB89FD0" w14:textId="241E31DB" w:rsidR="002B0C95" w:rsidRPr="007862B9" w:rsidRDefault="002B0C95" w:rsidP="00166726">
      <w:r>
        <w:t xml:space="preserve">Reporting in depth details of the intervention, and comparator, was required by </w:t>
      </w:r>
      <w:proofErr w:type="gramStart"/>
      <w:r>
        <w:t>a number of</w:t>
      </w:r>
      <w:proofErr w:type="gramEnd"/>
      <w:r>
        <w:t xml:space="preserve"> documents. Aspects required included technical procedures, full details on preoperative, </w:t>
      </w:r>
      <w:proofErr w:type="gramStart"/>
      <w:r>
        <w:t>intraoperative</w:t>
      </w:r>
      <w:proofErr w:type="gramEnd"/>
      <w:r>
        <w:t xml:space="preserve"> and postoperative care and the extent to which delivery were permitted to vary between participants, treatment providers and centres.</w:t>
      </w:r>
      <w:r w:rsidR="00ED2F79">
        <w:t xml:space="preserve"> [</w:t>
      </w:r>
      <w:proofErr w:type="spellStart"/>
      <w:r w:rsidR="00ED2F79">
        <w:rPr>
          <w:i/>
          <w:iCs/>
        </w:rPr>
        <w:t>Boutron</w:t>
      </w:r>
      <w:proofErr w:type="spellEnd"/>
      <w:r w:rsidR="00ED2F79">
        <w:rPr>
          <w:i/>
          <w:iCs/>
        </w:rPr>
        <w:t>, 2008</w:t>
      </w:r>
      <w:r w:rsidR="00DD6B64">
        <w:rPr>
          <w:i/>
          <w:iCs/>
        </w:rPr>
        <w:t xml:space="preserve">; </w:t>
      </w:r>
      <w:proofErr w:type="spellStart"/>
      <w:r w:rsidR="00DD6B64" w:rsidRPr="00DD6B64">
        <w:rPr>
          <w:i/>
          <w:iCs/>
        </w:rPr>
        <w:t>Zwarenstein</w:t>
      </w:r>
      <w:proofErr w:type="spellEnd"/>
      <w:r w:rsidR="00DD6B64" w:rsidRPr="00DD6B64">
        <w:rPr>
          <w:i/>
          <w:iCs/>
        </w:rPr>
        <w:t>, 2008</w:t>
      </w:r>
      <w:r w:rsidR="00FE5BD6">
        <w:rPr>
          <w:i/>
          <w:iCs/>
        </w:rPr>
        <w:t>; ICH E3, 1995</w:t>
      </w:r>
      <w:r w:rsidR="00ED2F79">
        <w:t>]</w:t>
      </w:r>
      <w:r w:rsidRPr="0043139C">
        <w:t xml:space="preserve"> </w:t>
      </w:r>
    </w:p>
    <w:p w14:paraId="37D7A20A" w14:textId="7D409CF2" w:rsidR="002B0C95" w:rsidRDefault="002B0C95" w:rsidP="00166726"/>
    <w:p w14:paraId="32D1DE49" w14:textId="07FBF3F4" w:rsidR="00DF39CA" w:rsidRPr="00DF39CA" w:rsidRDefault="00DF39CA" w:rsidP="00166726">
      <w:pPr>
        <w:rPr>
          <w:i/>
          <w:iCs/>
        </w:rPr>
      </w:pPr>
      <w:r>
        <w:rPr>
          <w:i/>
          <w:iCs/>
        </w:rPr>
        <w:t>Anticipating changes over time</w:t>
      </w:r>
    </w:p>
    <w:p w14:paraId="783A28B9" w14:textId="3955B22B" w:rsidR="002B0C95" w:rsidRPr="00D60BA9" w:rsidRDefault="002B0C95" w:rsidP="00166726">
      <w:pPr>
        <w:rPr>
          <w:rFonts w:cs="Times New Roman"/>
        </w:rPr>
      </w:pPr>
      <w:r>
        <w:t>Eight</w:t>
      </w:r>
      <w:r w:rsidRPr="00007DF0">
        <w:t xml:space="preserve"> out of 28 documents (</w:t>
      </w:r>
      <w:r>
        <w:t>29</w:t>
      </w:r>
      <w:r w:rsidRPr="00007DF0">
        <w:t xml:space="preserve">%) </w:t>
      </w:r>
      <w:r>
        <w:t>discussed considering changes in delivery of the intervention over time</w:t>
      </w:r>
      <w:r w:rsidRPr="00007DF0">
        <w:t>.</w:t>
      </w:r>
      <w:r>
        <w:t xml:space="preserve"> See D4 in </w:t>
      </w:r>
      <w:r w:rsidR="005B2167">
        <w:rPr>
          <w:i/>
        </w:rPr>
        <w:t>Supplementary Table 1</w:t>
      </w:r>
      <w:r>
        <w:t xml:space="preserve">. </w:t>
      </w:r>
    </w:p>
    <w:p w14:paraId="6A3935CB" w14:textId="77777777" w:rsidR="002B0C95" w:rsidRDefault="002B0C95" w:rsidP="00166726">
      <w:pPr>
        <w:rPr>
          <w:i/>
        </w:rPr>
      </w:pPr>
    </w:p>
    <w:p w14:paraId="2FD19EDD" w14:textId="50F20A96" w:rsidR="002B0C95" w:rsidRDefault="002B0C95" w:rsidP="00166726">
      <w:r>
        <w:t xml:space="preserve">Delivery may still vary irrespective of training, </w:t>
      </w:r>
      <w:proofErr w:type="gramStart"/>
      <w:r>
        <w:t>experience</w:t>
      </w:r>
      <w:proofErr w:type="gramEnd"/>
      <w:r>
        <w:t xml:space="preserve"> and other steps to enforce standardisation. The amount of variation will depend on the stage and technicality of intervention development.</w:t>
      </w:r>
      <w:r w:rsidR="00E20BBA">
        <w:t xml:space="preserve"> </w:t>
      </w:r>
      <w:r w:rsidR="00E20BBA" w:rsidRPr="00FE5BD6">
        <w:t>[</w:t>
      </w:r>
      <w:r w:rsidR="00E20BBA" w:rsidRPr="00E20BBA">
        <w:rPr>
          <w:i/>
          <w:iCs/>
        </w:rPr>
        <w:t>Craig, 2019</w:t>
      </w:r>
      <w:r w:rsidR="00ED2F79">
        <w:rPr>
          <w:i/>
          <w:iCs/>
        </w:rPr>
        <w:t xml:space="preserve">; </w:t>
      </w:r>
      <w:proofErr w:type="spellStart"/>
      <w:r w:rsidR="00ED2F79">
        <w:rPr>
          <w:i/>
          <w:iCs/>
        </w:rPr>
        <w:t>Boutron</w:t>
      </w:r>
      <w:proofErr w:type="spellEnd"/>
      <w:r w:rsidR="00ED2F79">
        <w:rPr>
          <w:i/>
          <w:iCs/>
        </w:rPr>
        <w:t>, 2008</w:t>
      </w:r>
      <w:r w:rsidR="005412D4">
        <w:rPr>
          <w:i/>
          <w:iCs/>
        </w:rPr>
        <w:t>; McCulloch, 2009</w:t>
      </w:r>
      <w:r w:rsidR="00FE5BD6">
        <w:rPr>
          <w:i/>
          <w:iCs/>
        </w:rPr>
        <w:t xml:space="preserve">; </w:t>
      </w:r>
      <w:proofErr w:type="spellStart"/>
      <w:r w:rsidR="00FE5BD6">
        <w:rPr>
          <w:i/>
          <w:iCs/>
        </w:rPr>
        <w:t>Bilbro</w:t>
      </w:r>
      <w:proofErr w:type="spellEnd"/>
      <w:r w:rsidR="00FE5BD6">
        <w:rPr>
          <w:i/>
          <w:iCs/>
        </w:rPr>
        <w:t>, 2021</w:t>
      </w:r>
      <w:r w:rsidR="00E20BBA" w:rsidRPr="00FE5BD6">
        <w:t>]</w:t>
      </w:r>
      <w:r>
        <w:t xml:space="preserve"> An important aspect of surgical evaluation across the guidelines was that delivery may change over time for pragmatic reasons, changes in external factors, or </w:t>
      </w:r>
      <w:proofErr w:type="gramStart"/>
      <w:r>
        <w:t>as a result of</w:t>
      </w:r>
      <w:proofErr w:type="gramEnd"/>
      <w:r>
        <w:t xml:space="preserve"> expertise developing during the study.</w:t>
      </w:r>
      <w:r w:rsidR="00E20BBA">
        <w:t xml:space="preserve"> </w:t>
      </w:r>
      <w:r w:rsidR="00E20BBA" w:rsidRPr="00F4768C">
        <w:rPr>
          <w:u w:val="single"/>
        </w:rPr>
        <w:t>[</w:t>
      </w:r>
      <w:r w:rsidR="00E20BBA" w:rsidRPr="00E20BBA">
        <w:rPr>
          <w:i/>
          <w:iCs/>
        </w:rPr>
        <w:t>Craig, 2019</w:t>
      </w:r>
      <w:r w:rsidR="00F4768C">
        <w:rPr>
          <w:i/>
          <w:iCs/>
        </w:rPr>
        <w:t xml:space="preserve">; </w:t>
      </w:r>
      <w:proofErr w:type="spellStart"/>
      <w:r w:rsidR="00F4768C">
        <w:rPr>
          <w:i/>
          <w:iCs/>
        </w:rPr>
        <w:t>Ergina</w:t>
      </w:r>
      <w:proofErr w:type="spellEnd"/>
      <w:r w:rsidR="00F4768C">
        <w:rPr>
          <w:i/>
          <w:iCs/>
        </w:rPr>
        <w:t>, 2009</w:t>
      </w:r>
      <w:r w:rsidR="005412D4">
        <w:rPr>
          <w:i/>
          <w:iCs/>
        </w:rPr>
        <w:t>; McCulloch, 2009</w:t>
      </w:r>
      <w:r w:rsidR="00E20BBA" w:rsidRPr="00F4768C">
        <w:t>]</w:t>
      </w:r>
      <w:r>
        <w:t xml:space="preserve"> </w:t>
      </w:r>
    </w:p>
    <w:p w14:paraId="17C85044" w14:textId="77777777" w:rsidR="002B0C95" w:rsidRDefault="002B0C95" w:rsidP="00166726"/>
    <w:p w14:paraId="7ABBFB38" w14:textId="706B4546" w:rsidR="002B0C95" w:rsidRDefault="002B0C95" w:rsidP="00166726">
      <w:r>
        <w:t>Expertise can develop over a very long time and so requiring a set expertise level can slow the delivery of surgical trials.</w:t>
      </w:r>
      <w:r w:rsidR="00F4768C">
        <w:t xml:space="preserve"> [</w:t>
      </w:r>
      <w:proofErr w:type="spellStart"/>
      <w:r w:rsidR="00F4768C">
        <w:rPr>
          <w:i/>
          <w:iCs/>
        </w:rPr>
        <w:t>Ergina</w:t>
      </w:r>
      <w:proofErr w:type="spellEnd"/>
      <w:r w:rsidR="00F4768C">
        <w:rPr>
          <w:i/>
          <w:iCs/>
        </w:rPr>
        <w:t>, 2009</w:t>
      </w:r>
      <w:r w:rsidR="00F4768C">
        <w:t>]</w:t>
      </w:r>
      <w:r>
        <w:t xml:space="preserve"> Some guidelines discussed evaluating the learning curve within the trial, </w:t>
      </w:r>
      <w:r w:rsidR="005412D4">
        <w:t>[</w:t>
      </w:r>
      <w:r w:rsidR="005412D4">
        <w:rPr>
          <w:i/>
          <w:iCs/>
        </w:rPr>
        <w:t>McCulloch, 2009</w:t>
      </w:r>
      <w:r w:rsidR="005412D4">
        <w:t>]</w:t>
      </w:r>
      <w:r>
        <w:t xml:space="preserve"> and highlighted this was particularly important in earlier phase trials.</w:t>
      </w:r>
      <w:r w:rsidR="00FE5BD6">
        <w:t xml:space="preserve"> [</w:t>
      </w:r>
      <w:proofErr w:type="spellStart"/>
      <w:r w:rsidR="00FE5BD6">
        <w:rPr>
          <w:i/>
          <w:iCs/>
        </w:rPr>
        <w:t>Bilbro</w:t>
      </w:r>
      <w:proofErr w:type="spellEnd"/>
      <w:r w:rsidR="00FE5BD6">
        <w:rPr>
          <w:i/>
          <w:iCs/>
        </w:rPr>
        <w:t>, 2021</w:t>
      </w:r>
      <w:r w:rsidR="00FE5BD6">
        <w:t>]</w:t>
      </w:r>
      <w:r>
        <w:t xml:space="preserve"> In trials comparing more established techniques,</w:t>
      </w:r>
      <w:r w:rsidRPr="00106609">
        <w:t xml:space="preserve"> </w:t>
      </w:r>
      <w:r>
        <w:t xml:space="preserve">the statistical advantages and gain in ‘internal validity’ need to be considered against the loss of generalisability or ‘external validity’ of applying too much emphasis on the learning curve. </w:t>
      </w:r>
      <w:r w:rsidR="00E20BBA" w:rsidRPr="00F4768C">
        <w:t>[</w:t>
      </w:r>
      <w:r w:rsidR="00E20BBA" w:rsidRPr="00E20BBA">
        <w:rPr>
          <w:i/>
          <w:iCs/>
        </w:rPr>
        <w:t>Craig, 2019</w:t>
      </w:r>
      <w:r w:rsidR="00E20BBA" w:rsidRPr="00F4768C">
        <w:t>]</w:t>
      </w:r>
    </w:p>
    <w:p w14:paraId="18A18E3B" w14:textId="77777777" w:rsidR="002B0C95" w:rsidRDefault="002B0C95" w:rsidP="00166726"/>
    <w:p w14:paraId="08DA1CB8" w14:textId="39513E60" w:rsidR="002B0C95" w:rsidRDefault="002B0C95" w:rsidP="00166726">
      <w:r>
        <w:lastRenderedPageBreak/>
        <w:t xml:space="preserve">Reporting learning curve assessment results was required by one </w:t>
      </w:r>
      <w:proofErr w:type="gramStart"/>
      <w:r>
        <w:t>document</w:t>
      </w:r>
      <w:proofErr w:type="gramEnd"/>
      <w:r>
        <w:t xml:space="preserve"> but this was limited to early phase studies.</w:t>
      </w:r>
      <w:r w:rsidR="00FE5BD6">
        <w:t xml:space="preserve"> [</w:t>
      </w:r>
      <w:proofErr w:type="spellStart"/>
      <w:r w:rsidR="00FE5BD6">
        <w:rPr>
          <w:i/>
          <w:iCs/>
        </w:rPr>
        <w:t>Bilbro</w:t>
      </w:r>
      <w:proofErr w:type="spellEnd"/>
      <w:r w:rsidR="00FE5BD6">
        <w:rPr>
          <w:i/>
          <w:iCs/>
        </w:rPr>
        <w:t>, 2021</w:t>
      </w:r>
      <w:r w:rsidR="00FE5BD6">
        <w:t>]</w:t>
      </w:r>
      <w:r>
        <w:t xml:space="preserve"> </w:t>
      </w:r>
    </w:p>
    <w:p w14:paraId="328C638F" w14:textId="1469F1D2" w:rsidR="002B0C95" w:rsidRDefault="002B0C95" w:rsidP="00166726"/>
    <w:p w14:paraId="3F6EC32E" w14:textId="10D196F8" w:rsidR="00DF39CA" w:rsidRPr="00DF39CA" w:rsidRDefault="00DF39CA" w:rsidP="00166726">
      <w:pPr>
        <w:rPr>
          <w:i/>
          <w:iCs/>
        </w:rPr>
      </w:pPr>
      <w:r>
        <w:rPr>
          <w:i/>
          <w:iCs/>
        </w:rPr>
        <w:t>Estimating the sample size</w:t>
      </w:r>
    </w:p>
    <w:p w14:paraId="3F7F5CCC" w14:textId="36631D0C" w:rsidR="002B0C95" w:rsidRDefault="002B0C95" w:rsidP="00166726">
      <w:r>
        <w:t>Eight</w:t>
      </w:r>
      <w:r w:rsidRPr="00007DF0">
        <w:t xml:space="preserve"> out of 28 documents (</w:t>
      </w:r>
      <w:r>
        <w:t>29</w:t>
      </w:r>
      <w:r w:rsidRPr="00007DF0">
        <w:t xml:space="preserve">%) </w:t>
      </w:r>
      <w:r>
        <w:t>discussed sample size</w:t>
      </w:r>
      <w:r w:rsidRPr="00007DF0">
        <w:t>.</w:t>
      </w:r>
      <w:r>
        <w:t xml:space="preserve"> See D5 in </w:t>
      </w:r>
      <w:r w:rsidR="005B2167">
        <w:rPr>
          <w:i/>
        </w:rPr>
        <w:t>Supplementary Table 1</w:t>
      </w:r>
      <w:r>
        <w:t xml:space="preserve">. </w:t>
      </w:r>
    </w:p>
    <w:p w14:paraId="1417CF42" w14:textId="77777777" w:rsidR="002B0C95" w:rsidRDefault="002B0C95" w:rsidP="00166726"/>
    <w:p w14:paraId="7076E5F3" w14:textId="4E6E45CD" w:rsidR="002B0C95" w:rsidRDefault="002B0C95" w:rsidP="00166726">
      <w:proofErr w:type="gramStart"/>
      <w:r>
        <w:t>A number of</w:t>
      </w:r>
      <w:proofErr w:type="gramEnd"/>
      <w:r>
        <w:t xml:space="preserve"> guidance documents highlighted the impact of failing to reduce variation within trial arms by s</w:t>
      </w:r>
      <w:r w:rsidRPr="00791780">
        <w:t>tandardis</w:t>
      </w:r>
      <w:r>
        <w:t>ing the intervention</w:t>
      </w:r>
      <w:r w:rsidRPr="00791780">
        <w:t xml:space="preserve"> </w:t>
      </w:r>
      <w:r>
        <w:t>on</w:t>
      </w:r>
      <w:r w:rsidRPr="00791780">
        <w:t xml:space="preserve"> the sample size and power calculation, where typical estimates assume that differences between the treatments across centres, or treatment provider, are unbiased estimates of the same quantity.</w:t>
      </w:r>
      <w:r w:rsidR="00E20BBA">
        <w:t xml:space="preserve"> </w:t>
      </w:r>
      <w:r w:rsidR="00E20BBA" w:rsidRPr="001F2447">
        <w:t>[</w:t>
      </w:r>
      <w:r w:rsidR="00E20BBA" w:rsidRPr="00E20BBA">
        <w:rPr>
          <w:i/>
          <w:iCs/>
        </w:rPr>
        <w:t>Craig, 2019</w:t>
      </w:r>
      <w:r w:rsidR="001F2447">
        <w:rPr>
          <w:i/>
          <w:iCs/>
        </w:rPr>
        <w:t>; ICH E9, 1999</w:t>
      </w:r>
      <w:r w:rsidR="00E20BBA" w:rsidRPr="001F2447">
        <w:t>]</w:t>
      </w:r>
      <w:r w:rsidRPr="00791780">
        <w:t xml:space="preserve"> In the presence of multilevel data structures, where variability in individual level outcomes can reflect higher level processes, calculations are more complicated.</w:t>
      </w:r>
      <w:r w:rsidR="001F2447">
        <w:t xml:space="preserve"> [</w:t>
      </w:r>
      <w:r w:rsidR="001F2447">
        <w:rPr>
          <w:i/>
          <w:iCs/>
        </w:rPr>
        <w:t>Jackson, 2010; ICH E9, 1999</w:t>
      </w:r>
      <w:r w:rsidR="00A5761E">
        <w:rPr>
          <w:i/>
          <w:iCs/>
        </w:rPr>
        <w:t>; Cook, 2004</w:t>
      </w:r>
      <w:r w:rsidR="001F2447">
        <w:t>]</w:t>
      </w:r>
      <w:r w:rsidRPr="00791780">
        <w:t xml:space="preserve"> To avoid associated imprecision in results, the sample size should adjust for any clustering effects as estimated by the intraclass correlation coefficient</w:t>
      </w:r>
      <w:r>
        <w:t xml:space="preserve"> (ICC) and this should be reported in the main results paper.</w:t>
      </w:r>
      <w:r w:rsidR="00ED2F79">
        <w:t xml:space="preserve"> [</w:t>
      </w:r>
      <w:proofErr w:type="spellStart"/>
      <w:r w:rsidR="00ED2F79">
        <w:rPr>
          <w:i/>
          <w:iCs/>
        </w:rPr>
        <w:t>Boutron</w:t>
      </w:r>
      <w:proofErr w:type="spellEnd"/>
      <w:r w:rsidR="00ED2F79">
        <w:rPr>
          <w:i/>
          <w:iCs/>
        </w:rPr>
        <w:t>, 2008</w:t>
      </w:r>
      <w:r w:rsidR="00DB6F39">
        <w:rPr>
          <w:i/>
          <w:iCs/>
        </w:rPr>
        <w:t xml:space="preserve">; </w:t>
      </w:r>
      <w:proofErr w:type="spellStart"/>
      <w:r w:rsidR="00DB6F39">
        <w:rPr>
          <w:i/>
          <w:iCs/>
        </w:rPr>
        <w:t>Boutron</w:t>
      </w:r>
      <w:proofErr w:type="spellEnd"/>
      <w:r w:rsidR="00DB6F39">
        <w:rPr>
          <w:i/>
          <w:iCs/>
        </w:rPr>
        <w:t>, 2017</w:t>
      </w:r>
      <w:r w:rsidR="00ED2F79">
        <w:t>]</w:t>
      </w:r>
      <w:r w:rsidRPr="00791780">
        <w:t xml:space="preserve"> </w:t>
      </w:r>
      <w:r>
        <w:t>Conversely, two documents that discussed sample size did not comment on adjusting for clusters.</w:t>
      </w:r>
      <w:r w:rsidR="00DD6B64">
        <w:t xml:space="preserve"> [</w:t>
      </w:r>
      <w:r w:rsidR="00DD6B64" w:rsidRPr="00DD6B64">
        <w:rPr>
          <w:i/>
          <w:iCs/>
        </w:rPr>
        <w:t>National Institute for Health Research website, 2016</w:t>
      </w:r>
      <w:r w:rsidR="00DB6F39">
        <w:rPr>
          <w:i/>
          <w:iCs/>
        </w:rPr>
        <w:t>; MHRA, 2021</w:t>
      </w:r>
      <w:r w:rsidR="00DD6B64">
        <w:t>]</w:t>
      </w:r>
      <w:r>
        <w:t xml:space="preserve"> </w:t>
      </w:r>
    </w:p>
    <w:p w14:paraId="1C60865A" w14:textId="7027BC7B" w:rsidR="002B0C95" w:rsidRDefault="002B0C95" w:rsidP="00166726"/>
    <w:p w14:paraId="3F76A18F" w14:textId="647CF1BF" w:rsidR="00DF39CA" w:rsidRPr="00DF39CA" w:rsidRDefault="00DF39CA" w:rsidP="00166726">
      <w:pPr>
        <w:rPr>
          <w:i/>
          <w:iCs/>
        </w:rPr>
      </w:pPr>
      <w:r>
        <w:rPr>
          <w:i/>
          <w:iCs/>
        </w:rPr>
        <w:t>Ensuring balance of treatment within centre and treatment provider</w:t>
      </w:r>
    </w:p>
    <w:p w14:paraId="5EAFAA26" w14:textId="513DDDBE" w:rsidR="002B0C95" w:rsidRDefault="002B0C95" w:rsidP="00166726">
      <w:r>
        <w:t>Six</w:t>
      </w:r>
      <w:r w:rsidRPr="00007DF0">
        <w:t xml:space="preserve"> out of 28 documents (</w:t>
      </w:r>
      <w:r>
        <w:t>21</w:t>
      </w:r>
      <w:r w:rsidRPr="00007DF0">
        <w:t xml:space="preserve">%) </w:t>
      </w:r>
      <w:r>
        <w:t>discussed ensuring that treatment allocations are equally distributed within centre</w:t>
      </w:r>
      <w:r w:rsidRPr="00007DF0">
        <w:t>.</w:t>
      </w:r>
      <w:r>
        <w:t xml:space="preserve"> See D6 in </w:t>
      </w:r>
      <w:r w:rsidR="005B2167">
        <w:rPr>
          <w:i/>
        </w:rPr>
        <w:t>Supplementary Table 1</w:t>
      </w:r>
      <w:r>
        <w:t xml:space="preserve">. </w:t>
      </w:r>
    </w:p>
    <w:p w14:paraId="141F6DB7" w14:textId="77777777" w:rsidR="002B0C95" w:rsidRDefault="002B0C95" w:rsidP="00166726"/>
    <w:p w14:paraId="14C0CD44" w14:textId="5BA34160" w:rsidR="002B0C95" w:rsidRDefault="002B0C95" w:rsidP="00166726">
      <w:r w:rsidRPr="009578EE">
        <w:t>Balancing treatment groups with respect to prognostic factors enhances trial credibility.</w:t>
      </w:r>
      <w:r w:rsidR="00DB6F39">
        <w:t xml:space="preserve"> [</w:t>
      </w:r>
      <w:r w:rsidR="00DB6F39">
        <w:rPr>
          <w:i/>
          <w:iCs/>
        </w:rPr>
        <w:t>MHRA, 2021</w:t>
      </w:r>
      <w:r w:rsidR="00A5761E">
        <w:rPr>
          <w:i/>
          <w:iCs/>
        </w:rPr>
        <w:t>; EMA, 2021</w:t>
      </w:r>
      <w:r w:rsidR="00DB6F39">
        <w:t>]</w:t>
      </w:r>
      <w:r w:rsidRPr="009578EE">
        <w:t xml:space="preserve"> </w:t>
      </w:r>
      <w:r>
        <w:t>Ensuring balancing of patients within centre was highlighted as important within many of the guidance documents,</w:t>
      </w:r>
      <w:r w:rsidR="001F2447">
        <w:t xml:space="preserve"> [</w:t>
      </w:r>
      <w:r w:rsidR="001F2447">
        <w:rPr>
          <w:i/>
          <w:iCs/>
        </w:rPr>
        <w:t>ICH E9, 1999</w:t>
      </w:r>
      <w:r w:rsidR="00DB6F39">
        <w:rPr>
          <w:i/>
          <w:iCs/>
        </w:rPr>
        <w:t>; MHRA, 2021</w:t>
      </w:r>
      <w:r w:rsidR="00A5761E">
        <w:rPr>
          <w:i/>
          <w:iCs/>
        </w:rPr>
        <w:t>; EMA, 2021</w:t>
      </w:r>
      <w:r w:rsidR="001F2447">
        <w:t>]</w:t>
      </w:r>
      <w:r w:rsidRPr="00235EEC">
        <w:t xml:space="preserve"> </w:t>
      </w:r>
      <w:r>
        <w:t xml:space="preserve">and similar reasoning would lead surgical trialists to extend this to treatment provider which was not discussed within any document.  </w:t>
      </w:r>
    </w:p>
    <w:p w14:paraId="438F5DA1" w14:textId="77777777" w:rsidR="002B0C95" w:rsidRDefault="002B0C95" w:rsidP="00166726"/>
    <w:p w14:paraId="6E07BE9B" w14:textId="1E2D5D38" w:rsidR="002B0C95" w:rsidRPr="00C702B8" w:rsidRDefault="002B0C95" w:rsidP="00166726">
      <w:r>
        <w:t>B</w:t>
      </w:r>
      <w:r w:rsidRPr="009578EE">
        <w:t xml:space="preserve">alance </w:t>
      </w:r>
      <w:r>
        <w:t>can be achieved by stratifying the randomisation</w:t>
      </w:r>
      <w:r w:rsidRPr="009578EE">
        <w:t xml:space="preserve"> </w:t>
      </w:r>
      <w:r>
        <w:t xml:space="preserve">and stratifying by centre was a common topic, particularly when centre is expected to be </w:t>
      </w:r>
      <w:r w:rsidRPr="009578EE">
        <w:t xml:space="preserve">confounded with other </w:t>
      </w:r>
      <w:r>
        <w:t xml:space="preserve">prognostic </w:t>
      </w:r>
      <w:r w:rsidRPr="009578EE">
        <w:t>factors.</w:t>
      </w:r>
      <w:r w:rsidR="001F2447">
        <w:t xml:space="preserve"> [</w:t>
      </w:r>
      <w:r w:rsidR="001F2447">
        <w:rPr>
          <w:i/>
          <w:iCs/>
        </w:rPr>
        <w:t>ICH E9, 1999</w:t>
      </w:r>
      <w:r w:rsidR="00DB6F39">
        <w:rPr>
          <w:i/>
          <w:iCs/>
        </w:rPr>
        <w:t xml:space="preserve">; </w:t>
      </w:r>
      <w:r w:rsidR="00DB6F39">
        <w:rPr>
          <w:i/>
          <w:iCs/>
        </w:rPr>
        <w:lastRenderedPageBreak/>
        <w:t>MHRA, 2021</w:t>
      </w:r>
      <w:r w:rsidR="00A5761E">
        <w:rPr>
          <w:i/>
          <w:iCs/>
        </w:rPr>
        <w:t>; EMA, 2021</w:t>
      </w:r>
      <w:r w:rsidR="001F2447">
        <w:t>]</w:t>
      </w:r>
      <w:r w:rsidRPr="009578EE">
        <w:t xml:space="preserve"> </w:t>
      </w:r>
      <w:r>
        <w:t>When there are too few patients per centre, stratifying by a larger unit, such as country or region, may be warranted.</w:t>
      </w:r>
      <w:r w:rsidR="00A5761E">
        <w:t xml:space="preserve"> [</w:t>
      </w:r>
      <w:r w:rsidR="00A5761E">
        <w:rPr>
          <w:i/>
          <w:iCs/>
        </w:rPr>
        <w:t>EMA, 2021</w:t>
      </w:r>
      <w:r w:rsidR="00A5761E">
        <w:t>]</w:t>
      </w:r>
      <w:r>
        <w:t xml:space="preserve"> Despite stratifying by treatment provider not being specifically addressed within the documents, in some circumstances i</w:t>
      </w:r>
      <w:r w:rsidRPr="009578EE">
        <w:t xml:space="preserve">t may be desirable to stratify for </w:t>
      </w:r>
      <w:r>
        <w:t xml:space="preserve">more than just </w:t>
      </w:r>
      <w:r w:rsidRPr="009578EE">
        <w:t>both centre and treatment provider</w:t>
      </w:r>
      <w:r>
        <w:t>, or treatment provider alone, where numbers allow</w:t>
      </w:r>
      <w:r w:rsidRPr="009578EE">
        <w:t>.</w:t>
      </w:r>
      <w:r w:rsidR="00A5761E">
        <w:t xml:space="preserve"> [</w:t>
      </w:r>
      <w:r w:rsidR="00A5761E">
        <w:rPr>
          <w:i/>
          <w:iCs/>
        </w:rPr>
        <w:t>EMA, 2021</w:t>
      </w:r>
      <w:r w:rsidR="00A5761E">
        <w:t>]</w:t>
      </w:r>
      <w:r w:rsidRPr="009578EE">
        <w:t xml:space="preserve"> </w:t>
      </w:r>
      <w:r>
        <w:t>The use</w:t>
      </w:r>
      <w:r w:rsidRPr="009578EE">
        <w:t xml:space="preserve"> of more than two stratification factors is rarely necessary.</w:t>
      </w:r>
      <w:r w:rsidR="00DB6F39">
        <w:t xml:space="preserve"> [</w:t>
      </w:r>
      <w:r w:rsidR="00DB6F39">
        <w:rPr>
          <w:i/>
          <w:iCs/>
        </w:rPr>
        <w:t>ICH E9, 1999</w:t>
      </w:r>
      <w:r w:rsidR="00DB6F39">
        <w:t>]</w:t>
      </w:r>
      <w:r w:rsidRPr="009578EE">
        <w:t xml:space="preserve"> </w:t>
      </w:r>
    </w:p>
    <w:p w14:paraId="3A282756" w14:textId="7D9F03E6" w:rsidR="002B0C95" w:rsidRDefault="002B0C95" w:rsidP="00166726"/>
    <w:p w14:paraId="3179DECB" w14:textId="48928381" w:rsidR="002B0C95" w:rsidRDefault="00DF39CA" w:rsidP="00DF39CA">
      <w:pPr>
        <w:rPr>
          <w:b/>
          <w:bCs/>
          <w:i/>
          <w:iCs/>
        </w:rPr>
      </w:pPr>
      <w:r>
        <w:rPr>
          <w:b/>
          <w:bCs/>
          <w:i/>
          <w:iCs/>
        </w:rPr>
        <w:t>Analysing a trial with</w:t>
      </w:r>
      <w:r w:rsidR="002369DE">
        <w:rPr>
          <w:b/>
          <w:bCs/>
          <w:i/>
          <w:iCs/>
        </w:rPr>
        <w:t xml:space="preserve"> clustering and</w:t>
      </w:r>
      <w:r>
        <w:rPr>
          <w:b/>
          <w:bCs/>
          <w:i/>
          <w:iCs/>
        </w:rPr>
        <w:t xml:space="preserve"> learning</w:t>
      </w:r>
    </w:p>
    <w:p w14:paraId="0C0D4C44" w14:textId="30F4149E" w:rsidR="00DF39CA" w:rsidRPr="00DF39CA" w:rsidRDefault="00DF39CA" w:rsidP="00DF39CA">
      <w:pPr>
        <w:rPr>
          <w:rFonts w:eastAsiaTheme="majorEastAsia" w:cstheme="majorBidi"/>
          <w:color w:val="1F3763" w:themeColor="accent1" w:themeShade="7F"/>
          <w:sz w:val="24"/>
          <w:szCs w:val="24"/>
        </w:rPr>
      </w:pPr>
      <w:r>
        <w:rPr>
          <w:i/>
          <w:iCs/>
        </w:rPr>
        <w:t>When the randomisation was stratified</w:t>
      </w:r>
    </w:p>
    <w:p w14:paraId="5572FBEB" w14:textId="4B9EC570" w:rsidR="002B0C95" w:rsidRDefault="002B0C95" w:rsidP="00166726">
      <w:pPr>
        <w:rPr>
          <w:rFonts w:cs="Times New Roman"/>
          <w:i/>
        </w:rPr>
      </w:pPr>
      <w:r>
        <w:t xml:space="preserve">Two </w:t>
      </w:r>
      <w:r w:rsidRPr="00007DF0">
        <w:t>out of 28 documents (</w:t>
      </w:r>
      <w:r>
        <w:t>18</w:t>
      </w:r>
      <w:r w:rsidRPr="00007DF0">
        <w:t xml:space="preserve">%) </w:t>
      </w:r>
      <w:r>
        <w:t>provided guidance on adjusting the analysis following stratification</w:t>
      </w:r>
      <w:r w:rsidRPr="00007DF0">
        <w:t>.</w:t>
      </w:r>
      <w:r>
        <w:t xml:space="preserve"> See A1 in </w:t>
      </w:r>
      <w:r w:rsidR="005B2167">
        <w:rPr>
          <w:i/>
        </w:rPr>
        <w:t>Supplementary Table 1</w:t>
      </w:r>
      <w:r>
        <w:t>.</w:t>
      </w:r>
    </w:p>
    <w:p w14:paraId="373752DE" w14:textId="77777777" w:rsidR="002B0C95" w:rsidRDefault="002B0C95" w:rsidP="00166726">
      <w:pPr>
        <w:rPr>
          <w:rFonts w:cs="Times New Roman"/>
          <w:i/>
        </w:rPr>
      </w:pPr>
    </w:p>
    <w:p w14:paraId="6072E916" w14:textId="19A394D9" w:rsidR="002B0C95" w:rsidRPr="001F369A" w:rsidRDefault="002B0C95" w:rsidP="00166726">
      <w:pPr>
        <w:rPr>
          <w:i/>
        </w:rPr>
      </w:pPr>
      <w:r>
        <w:t>Stratifying randomisation and subsequently adjusting the analysis, are complementary methods of accounting for prognostic factors, unless the stratification factor was chosen for administrative reasons only.</w:t>
      </w:r>
      <w:r w:rsidR="00DB6F39">
        <w:t xml:space="preserve"> [</w:t>
      </w:r>
      <w:r w:rsidR="00DB6F39">
        <w:rPr>
          <w:i/>
          <w:iCs/>
        </w:rPr>
        <w:t>ICH E9, 1999</w:t>
      </w:r>
      <w:r w:rsidR="00A5761E">
        <w:rPr>
          <w:i/>
          <w:iCs/>
        </w:rPr>
        <w:t>; EMA, 2021</w:t>
      </w:r>
      <w:r w:rsidR="00DB6F39">
        <w:t>]</w:t>
      </w:r>
      <w:r>
        <w:t xml:space="preserve"> </w:t>
      </w:r>
    </w:p>
    <w:p w14:paraId="3364D40C" w14:textId="77777777" w:rsidR="002B0C95" w:rsidRDefault="002B0C95" w:rsidP="00166726"/>
    <w:p w14:paraId="3E27AF25" w14:textId="210FD718" w:rsidR="002B0C95" w:rsidRDefault="002B0C95" w:rsidP="00166726">
      <w:r>
        <w:t xml:space="preserve">Two documents discussed the issue of adjusting for too many, or too small, </w:t>
      </w:r>
      <w:r w:rsidRPr="00AF3DCB">
        <w:t>strat</w:t>
      </w:r>
      <w:r>
        <w:t>a in</w:t>
      </w:r>
      <w:r w:rsidRPr="00AF3DCB">
        <w:t xml:space="preserve"> the analysis</w:t>
      </w:r>
      <w:r>
        <w:t>, for which there is no best solution.</w:t>
      </w:r>
      <w:r w:rsidR="00DB6F39">
        <w:t xml:space="preserve"> [</w:t>
      </w:r>
      <w:r w:rsidR="00DB6F39">
        <w:rPr>
          <w:i/>
          <w:iCs/>
        </w:rPr>
        <w:t>ICH E9, 1999</w:t>
      </w:r>
      <w:r w:rsidR="00A5761E">
        <w:rPr>
          <w:i/>
          <w:iCs/>
        </w:rPr>
        <w:t>; EMA, 2021</w:t>
      </w:r>
      <w:r w:rsidR="00DB6F39">
        <w:t>]</w:t>
      </w:r>
      <w:r w:rsidRPr="00AF3DCB">
        <w:t xml:space="preserve"> </w:t>
      </w:r>
      <w:r>
        <w:t>When included in the randomisation scheme, i</w:t>
      </w:r>
      <w:r w:rsidRPr="00AF3DCB">
        <w:t xml:space="preserve">gnoring </w:t>
      </w:r>
      <w:proofErr w:type="gramStart"/>
      <w:r w:rsidRPr="00AF3DCB">
        <w:t>centres</w:t>
      </w:r>
      <w:proofErr w:type="gramEnd"/>
      <w:r w:rsidRPr="00AF3DCB">
        <w:t xml:space="preserve"> or adjusting for a large number of small centres might lead to unreliable estimates of the treatment effect and</w:t>
      </w:r>
      <w:r>
        <w:t xml:space="preserve"> p</w:t>
      </w:r>
      <w:r w:rsidRPr="00AF3DCB">
        <w:t>-values.</w:t>
      </w:r>
      <w:r w:rsidR="00A5761E">
        <w:t xml:space="preserve"> [</w:t>
      </w:r>
      <w:r w:rsidR="00A5761E">
        <w:rPr>
          <w:i/>
          <w:iCs/>
        </w:rPr>
        <w:t>EMA, 2021</w:t>
      </w:r>
      <w:r w:rsidR="00A5761E">
        <w:t>]</w:t>
      </w:r>
      <w:r w:rsidRPr="00AF3DCB">
        <w:t xml:space="preserve"> </w:t>
      </w:r>
      <w:r>
        <w:t xml:space="preserve">At best, using an unadjusted analysis </w:t>
      </w:r>
      <w:r w:rsidRPr="0047449B">
        <w:t xml:space="preserve">should be supported by sensitivity analyses </w:t>
      </w:r>
      <w:r>
        <w:t xml:space="preserve">that </w:t>
      </w:r>
      <w:r w:rsidRPr="0047449B">
        <w:t>indicat</w:t>
      </w:r>
      <w:r>
        <w:t>e</w:t>
      </w:r>
      <w:r w:rsidRPr="0047449B">
        <w:t xml:space="preserve"> trial conclusions are not affected because of this.</w:t>
      </w:r>
      <w:r w:rsidR="00A5761E">
        <w:t xml:space="preserve"> [</w:t>
      </w:r>
      <w:r w:rsidR="00A5761E">
        <w:rPr>
          <w:i/>
          <w:iCs/>
        </w:rPr>
        <w:t>EMA, 2021</w:t>
      </w:r>
      <w:r w:rsidR="00A5761E">
        <w:t>]</w:t>
      </w:r>
      <w:r w:rsidRPr="0047449B">
        <w:t xml:space="preserve"> </w:t>
      </w:r>
      <w:r>
        <w:t xml:space="preserve">As </w:t>
      </w:r>
      <w:r w:rsidR="002369DE">
        <w:t>above</w:t>
      </w:r>
      <w:r>
        <w:t>, the statistical justifications for including centre could be considered to also include treatment provider in surgical trials</w:t>
      </w:r>
      <w:r w:rsidR="003C25A2">
        <w:t>,</w:t>
      </w:r>
      <w:r>
        <w:t xml:space="preserve"> but no guidance </w:t>
      </w:r>
      <w:r w:rsidR="003C25A2">
        <w:t>specifically made this point</w:t>
      </w:r>
      <w:r>
        <w:t xml:space="preserve">. </w:t>
      </w:r>
    </w:p>
    <w:p w14:paraId="1376EFAB" w14:textId="4F60FBCF" w:rsidR="002B0C95" w:rsidRDefault="002B0C95" w:rsidP="00166726"/>
    <w:p w14:paraId="56A907C8" w14:textId="0F259B01" w:rsidR="00DF39CA" w:rsidRPr="00DF39CA" w:rsidRDefault="00DF39CA" w:rsidP="00166726">
      <w:pPr>
        <w:rPr>
          <w:i/>
          <w:iCs/>
        </w:rPr>
      </w:pPr>
      <w:r>
        <w:rPr>
          <w:i/>
          <w:iCs/>
        </w:rPr>
        <w:t>When analysing the primary outcome</w:t>
      </w:r>
    </w:p>
    <w:p w14:paraId="0FA113FB" w14:textId="0A55C0E9" w:rsidR="002B0C95" w:rsidRPr="004E1F3B" w:rsidRDefault="002B0C95" w:rsidP="00166726">
      <w:pPr>
        <w:rPr>
          <w:rFonts w:cs="Times New Roman"/>
          <w:i/>
        </w:rPr>
      </w:pPr>
      <w:r>
        <w:t>Two</w:t>
      </w:r>
      <w:r w:rsidRPr="00007DF0">
        <w:t xml:space="preserve"> out of 28 documents (</w:t>
      </w:r>
      <w:r>
        <w:t>18</w:t>
      </w:r>
      <w:r w:rsidRPr="00007DF0">
        <w:t xml:space="preserve">%) </w:t>
      </w:r>
      <w:r>
        <w:t>provided guidance on adjusting the primary outcome analysis</w:t>
      </w:r>
      <w:r w:rsidRPr="00007DF0">
        <w:t>.</w:t>
      </w:r>
      <w:r>
        <w:t xml:space="preserve"> See A2 in </w:t>
      </w:r>
      <w:r w:rsidR="005B2167">
        <w:rPr>
          <w:i/>
        </w:rPr>
        <w:t>Supplementary Table 1</w:t>
      </w:r>
      <w:r>
        <w:t>.</w:t>
      </w:r>
    </w:p>
    <w:p w14:paraId="31884DB1" w14:textId="77777777" w:rsidR="002B0C95" w:rsidRPr="001F369A" w:rsidRDefault="002B0C95" w:rsidP="00166726"/>
    <w:p w14:paraId="55193A0B" w14:textId="0FEBC75F" w:rsidR="002B0C95" w:rsidRDefault="002B0C95" w:rsidP="00166726">
      <w:r>
        <w:lastRenderedPageBreak/>
        <w:t>Unexplained differences between treatments, for example between adjusted and unadjusted analyses, can jeopardise the trial results.</w:t>
      </w:r>
      <w:r w:rsidR="00A5761E">
        <w:t xml:space="preserve"> [</w:t>
      </w:r>
      <w:r w:rsidR="00A5761E">
        <w:rPr>
          <w:i/>
          <w:iCs/>
        </w:rPr>
        <w:t>EMA, 2021</w:t>
      </w:r>
      <w:r w:rsidR="00A5761E">
        <w:t>]</w:t>
      </w:r>
      <w:r>
        <w:t xml:space="preserve"> For this reason, when the primary outcome is expected to be influenced by centre or treatment provider, an adjustment should be planned. When the potential value of an adjustment is in doubt, such as little existing prior knowledge, the primary analysis should be unadjusted analysis, supported by an adjusted analysis.</w:t>
      </w:r>
      <w:r w:rsidR="00DB6F39">
        <w:t xml:space="preserve"> [</w:t>
      </w:r>
      <w:r w:rsidR="00DB6F39">
        <w:rPr>
          <w:i/>
          <w:iCs/>
        </w:rPr>
        <w:t>ICH E9, 1999</w:t>
      </w:r>
      <w:r w:rsidR="00A5761E">
        <w:rPr>
          <w:i/>
          <w:iCs/>
        </w:rPr>
        <w:t>; EMA, 2021</w:t>
      </w:r>
      <w:r w:rsidR="00DB6F39">
        <w:t>]</w:t>
      </w:r>
      <w:r>
        <w:t xml:space="preserve"> In general, larger datasets generally support more factors than smaller ones and results based on simpler models are generally numerically stable, the assumptions underpinning the statistical model easier to validate and improves generalisability.</w:t>
      </w:r>
      <w:r w:rsidR="00A5761E">
        <w:t xml:space="preserve"> [</w:t>
      </w:r>
      <w:r w:rsidR="00A5761E">
        <w:rPr>
          <w:i/>
          <w:iCs/>
        </w:rPr>
        <w:t>EMA, 2021</w:t>
      </w:r>
      <w:r w:rsidR="00A5761E">
        <w:t>]</w:t>
      </w:r>
      <w:r w:rsidRPr="00DB2F42">
        <w:t xml:space="preserve"> </w:t>
      </w:r>
    </w:p>
    <w:p w14:paraId="43D4A16C" w14:textId="47EC5A22" w:rsidR="002B0C95" w:rsidRDefault="002B0C95" w:rsidP="00166726"/>
    <w:p w14:paraId="514A99C6" w14:textId="060AD662" w:rsidR="00DF39CA" w:rsidRPr="00DF39CA" w:rsidRDefault="00DF39CA" w:rsidP="00166726">
      <w:pPr>
        <w:rPr>
          <w:i/>
          <w:iCs/>
        </w:rPr>
      </w:pPr>
      <w:r>
        <w:rPr>
          <w:i/>
          <w:iCs/>
        </w:rPr>
        <w:t>Analysing multi-centre trials</w:t>
      </w:r>
    </w:p>
    <w:p w14:paraId="1D461528" w14:textId="7FC6D702" w:rsidR="002B0C95" w:rsidRDefault="002B0C95" w:rsidP="00166726">
      <w:pPr>
        <w:rPr>
          <w:highlight w:val="yellow"/>
        </w:rPr>
      </w:pPr>
      <w:r>
        <w:t>Six</w:t>
      </w:r>
      <w:r w:rsidRPr="00007DF0">
        <w:t xml:space="preserve"> out of 28 </w:t>
      </w:r>
      <w:r w:rsidRPr="0076559A">
        <w:t>documents (</w:t>
      </w:r>
      <w:r>
        <w:t>21</w:t>
      </w:r>
      <w:r w:rsidRPr="0076559A">
        <w:t>%) provided guidance on analysing multi</w:t>
      </w:r>
      <w:r>
        <w:t>-</w:t>
      </w:r>
      <w:r w:rsidRPr="0076559A">
        <w:t xml:space="preserve">centre trials. </w:t>
      </w:r>
      <w:r>
        <w:t xml:space="preserve">See A3 in </w:t>
      </w:r>
      <w:r w:rsidR="005B2167">
        <w:rPr>
          <w:i/>
        </w:rPr>
        <w:t>Supplementary Table 1</w:t>
      </w:r>
      <w:r w:rsidRPr="006D7373">
        <w:t>.</w:t>
      </w:r>
    </w:p>
    <w:p w14:paraId="24A66EF5" w14:textId="77777777" w:rsidR="002B0C95" w:rsidRDefault="002B0C95" w:rsidP="00166726"/>
    <w:p w14:paraId="1FFB752A" w14:textId="34BB7FE0" w:rsidR="002B0C95" w:rsidRDefault="002B0C95" w:rsidP="00166726">
      <w:r>
        <w:t xml:space="preserve">Investigations into heterogeneity of the main treatment effect across centre and/or treatment provider were covered by </w:t>
      </w:r>
      <w:proofErr w:type="gramStart"/>
      <w:r>
        <w:t>a number of</w:t>
      </w:r>
      <w:proofErr w:type="gramEnd"/>
      <w:r>
        <w:t xml:space="preserve"> documents.</w:t>
      </w:r>
      <w:r w:rsidR="00ED2F79">
        <w:t xml:space="preserve"> [</w:t>
      </w:r>
      <w:proofErr w:type="spellStart"/>
      <w:r w:rsidR="00ED2F79">
        <w:rPr>
          <w:i/>
          <w:iCs/>
        </w:rPr>
        <w:t>Boutron</w:t>
      </w:r>
      <w:proofErr w:type="spellEnd"/>
      <w:r w:rsidR="00ED2F79">
        <w:rPr>
          <w:i/>
          <w:iCs/>
        </w:rPr>
        <w:t>, 2008</w:t>
      </w:r>
      <w:r w:rsidR="00DB6F39">
        <w:rPr>
          <w:i/>
          <w:iCs/>
        </w:rPr>
        <w:t>; ICH E9, 1999</w:t>
      </w:r>
      <w:r w:rsidR="005412D4">
        <w:rPr>
          <w:i/>
          <w:iCs/>
        </w:rPr>
        <w:t>; McCulloch, 2009</w:t>
      </w:r>
      <w:r w:rsidR="00FE5BD6">
        <w:rPr>
          <w:i/>
          <w:iCs/>
        </w:rPr>
        <w:t xml:space="preserve">; ICH E3, 1995; </w:t>
      </w:r>
      <w:proofErr w:type="spellStart"/>
      <w:r w:rsidR="00FE5BD6">
        <w:rPr>
          <w:i/>
          <w:iCs/>
        </w:rPr>
        <w:t>Bilbro</w:t>
      </w:r>
      <w:proofErr w:type="spellEnd"/>
      <w:r w:rsidR="00FE5BD6">
        <w:rPr>
          <w:i/>
          <w:iCs/>
        </w:rPr>
        <w:t>, 2021</w:t>
      </w:r>
      <w:r w:rsidR="00ED2F79">
        <w:t>]</w:t>
      </w:r>
      <w:r>
        <w:t xml:space="preserve"> Further, the main trial publication should report methods to adjust for, and results into, clustering by centre or treatment provider.</w:t>
      </w:r>
      <w:r w:rsidR="00ED2F79">
        <w:t xml:space="preserve"> [</w:t>
      </w:r>
      <w:proofErr w:type="spellStart"/>
      <w:r w:rsidR="00ED2F79">
        <w:rPr>
          <w:i/>
          <w:iCs/>
        </w:rPr>
        <w:t>Boutron</w:t>
      </w:r>
      <w:proofErr w:type="spellEnd"/>
      <w:r w:rsidR="00ED2F79">
        <w:rPr>
          <w:i/>
          <w:iCs/>
        </w:rPr>
        <w:t>, 2008</w:t>
      </w:r>
      <w:r w:rsidR="00DB6F39">
        <w:rPr>
          <w:i/>
          <w:iCs/>
        </w:rPr>
        <w:t xml:space="preserve">; </w:t>
      </w:r>
      <w:proofErr w:type="spellStart"/>
      <w:r w:rsidR="00DB6F39">
        <w:rPr>
          <w:i/>
          <w:iCs/>
        </w:rPr>
        <w:t>Boutron</w:t>
      </w:r>
      <w:proofErr w:type="spellEnd"/>
      <w:r w:rsidR="00DB6F39">
        <w:rPr>
          <w:i/>
          <w:iCs/>
        </w:rPr>
        <w:t>, 2017</w:t>
      </w:r>
      <w:r w:rsidR="00ED2F79">
        <w:t>]</w:t>
      </w:r>
      <w:r>
        <w:t xml:space="preserve"> These investigations are critical when a positive treatment effect is found and there are appreciable numbers of subjects per centre.</w:t>
      </w:r>
      <w:r w:rsidR="00DB6F39">
        <w:t xml:space="preserve"> [</w:t>
      </w:r>
      <w:r w:rsidR="00DB6F39">
        <w:rPr>
          <w:i/>
          <w:iCs/>
        </w:rPr>
        <w:t>ICH E9, 1999</w:t>
      </w:r>
      <w:r w:rsidR="00DB6F39">
        <w:t>]</w:t>
      </w:r>
      <w:r>
        <w:t xml:space="preserve"> </w:t>
      </w:r>
      <w:r w:rsidRPr="009578EE">
        <w:t xml:space="preserve">In </w:t>
      </w:r>
      <w:r>
        <w:t xml:space="preserve">the </w:t>
      </w:r>
      <w:r w:rsidRPr="009578EE">
        <w:t>simple</w:t>
      </w:r>
      <w:r>
        <w:t>st</w:t>
      </w:r>
      <w:r w:rsidRPr="009578EE">
        <w:t xml:space="preserve"> multi</w:t>
      </w:r>
      <w:r>
        <w:t>-</w:t>
      </w:r>
      <w:r w:rsidRPr="009578EE">
        <w:t xml:space="preserve">centre trial, a single investigator </w:t>
      </w:r>
      <w:r>
        <w:t>recruits and is responsible for all patients within</w:t>
      </w:r>
      <w:r w:rsidRPr="009578EE">
        <w:t xml:space="preserve"> a single hospital, such that centre is identified uniquely by hospital. </w:t>
      </w:r>
      <w:r>
        <w:t xml:space="preserve">When the definition of centre is ambiguous, such as </w:t>
      </w:r>
      <w:r w:rsidRPr="009578EE">
        <w:t>a single investigator recruit</w:t>
      </w:r>
      <w:r>
        <w:t>s</w:t>
      </w:r>
      <w:r w:rsidRPr="009578EE">
        <w:t xml:space="preserve"> from several hospitals or a </w:t>
      </w:r>
      <w:proofErr w:type="gramStart"/>
      <w:r w:rsidRPr="009578EE">
        <w:t>clinical team recruit</w:t>
      </w:r>
      <w:r>
        <w:t>s</w:t>
      </w:r>
      <w:proofErr w:type="gramEnd"/>
      <w:r w:rsidRPr="009578EE">
        <w:t xml:space="preserve"> from numerous clinics</w:t>
      </w:r>
      <w:r>
        <w:t>, the protocol should provide a definition.</w:t>
      </w:r>
      <w:r w:rsidR="00DB6F39">
        <w:t xml:space="preserve"> [</w:t>
      </w:r>
      <w:r w:rsidR="00DB6F39">
        <w:rPr>
          <w:i/>
          <w:iCs/>
        </w:rPr>
        <w:t>ICH E9, 1999</w:t>
      </w:r>
      <w:r w:rsidR="00FE5BD6">
        <w:rPr>
          <w:i/>
          <w:iCs/>
        </w:rPr>
        <w:t>; ICH E3, 1995</w:t>
      </w:r>
      <w:r w:rsidR="00DB6F39">
        <w:t>]</w:t>
      </w:r>
      <w:r>
        <w:t xml:space="preserve"> </w:t>
      </w:r>
    </w:p>
    <w:p w14:paraId="0CCA7CAA" w14:textId="77777777" w:rsidR="002B0C95" w:rsidRDefault="002B0C95" w:rsidP="00166726"/>
    <w:p w14:paraId="4F1D4645" w14:textId="639B1B27" w:rsidR="002B0C95" w:rsidRDefault="002B0C95" w:rsidP="00166726">
      <w:r>
        <w:t xml:space="preserve">Quantitative approaches may comprise graphical display of the results of individual centres, such as forest plots, or analytical methods, such as a significance test although this generally has low power. </w:t>
      </w:r>
      <w:r w:rsidR="00DB6F39">
        <w:t>[</w:t>
      </w:r>
      <w:r w:rsidR="00DB6F39">
        <w:rPr>
          <w:i/>
          <w:iCs/>
        </w:rPr>
        <w:t>ICH E9, 1999</w:t>
      </w:r>
      <w:r w:rsidR="00DB6F39">
        <w:t>]</w:t>
      </w:r>
      <w:r>
        <w:t xml:space="preserve"> One stated that investigations use a model which allows for centre differences but no </w:t>
      </w:r>
      <w:r>
        <w:lastRenderedPageBreak/>
        <w:t>interaction terms,</w:t>
      </w:r>
      <w:r w:rsidR="00DB6F39">
        <w:t xml:space="preserve"> [</w:t>
      </w:r>
      <w:r w:rsidR="00DB6F39">
        <w:rPr>
          <w:i/>
          <w:iCs/>
        </w:rPr>
        <w:t>ICH E9, 1999</w:t>
      </w:r>
      <w:r w:rsidR="00DB6F39">
        <w:t>]</w:t>
      </w:r>
      <w:r>
        <w:t xml:space="preserve"> Fixed or mixed effects models can be used, although mixed models are especially relevant when there is </w:t>
      </w:r>
      <w:proofErr w:type="gramStart"/>
      <w:r>
        <w:t>a large number of</w:t>
      </w:r>
      <w:proofErr w:type="gramEnd"/>
      <w:r>
        <w:t xml:space="preserve"> centres.</w:t>
      </w:r>
      <w:r w:rsidR="00DB6F39">
        <w:t xml:space="preserve"> [</w:t>
      </w:r>
      <w:r w:rsidR="00DB6F39">
        <w:rPr>
          <w:i/>
          <w:iCs/>
        </w:rPr>
        <w:t>ICH E9, 1999</w:t>
      </w:r>
      <w:r w:rsidR="00FE5BD6">
        <w:rPr>
          <w:i/>
          <w:iCs/>
        </w:rPr>
        <w:t>; ICH E3, 1995</w:t>
      </w:r>
      <w:r w:rsidR="00DB6F39">
        <w:t>]</w:t>
      </w:r>
      <w:r>
        <w:t xml:space="preserve"> </w:t>
      </w:r>
    </w:p>
    <w:p w14:paraId="311DADF8" w14:textId="14753F14" w:rsidR="002B0C95" w:rsidRDefault="002B0C95" w:rsidP="00166726"/>
    <w:p w14:paraId="7101ACD1" w14:textId="7D838C49" w:rsidR="00DF39CA" w:rsidRPr="00DF39CA" w:rsidRDefault="00DF39CA" w:rsidP="00166726">
      <w:pPr>
        <w:rPr>
          <w:i/>
          <w:iCs/>
        </w:rPr>
      </w:pPr>
      <w:r>
        <w:rPr>
          <w:i/>
          <w:iCs/>
        </w:rPr>
        <w:t>Methods for investigating the learning curve</w:t>
      </w:r>
    </w:p>
    <w:p w14:paraId="70C8BD0D" w14:textId="1A5BC73A" w:rsidR="002B0C95" w:rsidRDefault="002B0C95" w:rsidP="00166726">
      <w:pPr>
        <w:rPr>
          <w:highlight w:val="yellow"/>
        </w:rPr>
      </w:pPr>
      <w:r>
        <w:t>Four</w:t>
      </w:r>
      <w:r w:rsidRPr="00007DF0">
        <w:t xml:space="preserve"> out of 28 </w:t>
      </w:r>
      <w:r w:rsidRPr="0076559A">
        <w:t>documents (</w:t>
      </w:r>
      <w:r>
        <w:t>14</w:t>
      </w:r>
      <w:r w:rsidRPr="0076559A">
        <w:t>%) provided guidance on analysing</w:t>
      </w:r>
      <w:r>
        <w:t xml:space="preserve"> the learning curve within centre and/or treatment provider.</w:t>
      </w:r>
      <w:r w:rsidRPr="0076559A">
        <w:t xml:space="preserve"> </w:t>
      </w:r>
      <w:r>
        <w:t xml:space="preserve">See A4 in </w:t>
      </w:r>
      <w:r w:rsidR="005B2167">
        <w:rPr>
          <w:i/>
        </w:rPr>
        <w:t>Supplementary Table 1</w:t>
      </w:r>
      <w:r w:rsidRPr="006D7373">
        <w:t>.</w:t>
      </w:r>
    </w:p>
    <w:p w14:paraId="60098EE3" w14:textId="77777777" w:rsidR="002B0C95" w:rsidRDefault="002B0C95" w:rsidP="00166726"/>
    <w:p w14:paraId="69BB7B58" w14:textId="0ACF5216" w:rsidR="002B0C95" w:rsidRPr="00E8408E" w:rsidRDefault="002B0C95" w:rsidP="00166726">
      <w:r>
        <w:t>Reporting of continuous quality control measures can be useful for all phases of trial, particularly early phase surgical trials.</w:t>
      </w:r>
      <w:r w:rsidR="005412D4">
        <w:t xml:space="preserve"> [</w:t>
      </w:r>
      <w:r w:rsidR="005412D4">
        <w:rPr>
          <w:i/>
          <w:iCs/>
        </w:rPr>
        <w:t>McCulloch, 2009</w:t>
      </w:r>
      <w:r w:rsidR="00FE5BD6">
        <w:rPr>
          <w:i/>
          <w:iCs/>
        </w:rPr>
        <w:t xml:space="preserve">; </w:t>
      </w:r>
      <w:proofErr w:type="spellStart"/>
      <w:r w:rsidR="00FE5BD6">
        <w:rPr>
          <w:i/>
          <w:iCs/>
        </w:rPr>
        <w:t>Bilbro</w:t>
      </w:r>
      <w:proofErr w:type="spellEnd"/>
      <w:r w:rsidR="00FE5BD6">
        <w:rPr>
          <w:i/>
          <w:iCs/>
        </w:rPr>
        <w:t>, 2021</w:t>
      </w:r>
      <w:r w:rsidR="005412D4">
        <w:t>]</w:t>
      </w:r>
      <w:r>
        <w:t xml:space="preserve"> Time series and longitudinal models or multilevel models can be used to analyse long and short sequences of data respectively.</w:t>
      </w:r>
      <w:r w:rsidR="00E20BBA">
        <w:t xml:space="preserve"> </w:t>
      </w:r>
      <w:r w:rsidR="001F2447">
        <w:t>[</w:t>
      </w:r>
      <w:r w:rsidR="00E20BBA" w:rsidRPr="00E20BBA">
        <w:rPr>
          <w:i/>
          <w:iCs/>
        </w:rPr>
        <w:t>Craig, 2019</w:t>
      </w:r>
      <w:r w:rsidR="001F2447">
        <w:rPr>
          <w:i/>
          <w:iCs/>
        </w:rPr>
        <w:t>; Jackson, 2010</w:t>
      </w:r>
      <w:r w:rsidR="001F2447">
        <w:t>]</w:t>
      </w:r>
      <w:r>
        <w:t xml:space="preserve"> Simpler exploratory methods such as </w:t>
      </w:r>
      <w:proofErr w:type="spellStart"/>
      <w:r>
        <w:t>cusum</w:t>
      </w:r>
      <w:proofErr w:type="spellEnd"/>
      <w:r>
        <w:t xml:space="preserve"> plots enable centres or surgeons to be compared against themselves which can be preferable to surgeons.</w:t>
      </w:r>
      <w:r w:rsidR="00FE5BD6">
        <w:t xml:space="preserve"> [</w:t>
      </w:r>
      <w:r w:rsidR="00FE5BD6">
        <w:rPr>
          <w:i/>
          <w:iCs/>
        </w:rPr>
        <w:t xml:space="preserve">McCulloch, 2009; </w:t>
      </w:r>
      <w:proofErr w:type="spellStart"/>
      <w:r w:rsidR="00FE5BD6">
        <w:rPr>
          <w:i/>
          <w:iCs/>
        </w:rPr>
        <w:t>Bilbro</w:t>
      </w:r>
      <w:proofErr w:type="spellEnd"/>
      <w:r w:rsidR="00FE5BD6">
        <w:rPr>
          <w:i/>
          <w:iCs/>
        </w:rPr>
        <w:t>, 2021</w:t>
      </w:r>
      <w:r w:rsidR="00FE5BD6">
        <w:t>]</w:t>
      </w:r>
      <w:r>
        <w:t xml:space="preserve"> </w:t>
      </w:r>
    </w:p>
    <w:p w14:paraId="5877D9DA" w14:textId="4B65A885" w:rsidR="002B0C95" w:rsidRDefault="002B0C95" w:rsidP="00166726"/>
    <w:p w14:paraId="15FED7BA" w14:textId="257D662A" w:rsidR="00DF39CA" w:rsidRPr="00DF39CA" w:rsidRDefault="00DF39CA" w:rsidP="00166726">
      <w:pPr>
        <w:rPr>
          <w:i/>
          <w:iCs/>
        </w:rPr>
      </w:pPr>
      <w:r>
        <w:rPr>
          <w:i/>
          <w:iCs/>
        </w:rPr>
        <w:t>Method for investigating clustering</w:t>
      </w:r>
    </w:p>
    <w:p w14:paraId="1402E430" w14:textId="06A5ED45" w:rsidR="002B0C95" w:rsidRDefault="002B0C95" w:rsidP="00166726">
      <w:pPr>
        <w:rPr>
          <w:i/>
        </w:rPr>
      </w:pPr>
      <w:r>
        <w:t>Five</w:t>
      </w:r>
      <w:r w:rsidRPr="00007DF0">
        <w:t xml:space="preserve"> out of 28 </w:t>
      </w:r>
      <w:r w:rsidRPr="0076559A">
        <w:t>documents (</w:t>
      </w:r>
      <w:r>
        <w:t>18</w:t>
      </w:r>
      <w:r w:rsidRPr="0076559A">
        <w:t xml:space="preserve">%) provided guidance on </w:t>
      </w:r>
      <w:r>
        <w:t>investigating clustering due to centre and/or treatment provider.</w:t>
      </w:r>
      <w:r w:rsidRPr="0076559A">
        <w:t xml:space="preserve"> </w:t>
      </w:r>
      <w:r>
        <w:t xml:space="preserve">See A5 in </w:t>
      </w:r>
      <w:r w:rsidR="005B2167">
        <w:rPr>
          <w:i/>
        </w:rPr>
        <w:t>Supplementary Table 1</w:t>
      </w:r>
      <w:r w:rsidRPr="006D7373">
        <w:t>.</w:t>
      </w:r>
    </w:p>
    <w:p w14:paraId="4DF8B910" w14:textId="77777777" w:rsidR="002B0C95" w:rsidRDefault="002B0C95" w:rsidP="00166726"/>
    <w:p w14:paraId="59E07A6B" w14:textId="5E314FCD" w:rsidR="002B0C95" w:rsidRDefault="002B0C95" w:rsidP="00166726">
      <w:r>
        <w:t xml:space="preserve">Hierarchically structured data, such as patients within surgeon, can be analysed using multilevel models or </w:t>
      </w:r>
      <w:bookmarkStart w:id="18" w:name="_Hlk89864205"/>
      <w:r>
        <w:t>generalised estimating equations (GEE).</w:t>
      </w:r>
      <w:r w:rsidR="00E20BBA">
        <w:t xml:space="preserve"> </w:t>
      </w:r>
      <w:r w:rsidR="00E20BBA" w:rsidRPr="005412D4">
        <w:t>[</w:t>
      </w:r>
      <w:r w:rsidR="00E20BBA" w:rsidRPr="00E20BBA">
        <w:rPr>
          <w:i/>
          <w:iCs/>
        </w:rPr>
        <w:t>Craig, 2019</w:t>
      </w:r>
      <w:r w:rsidR="005412D4">
        <w:rPr>
          <w:i/>
          <w:iCs/>
        </w:rPr>
        <w:t xml:space="preserve">; </w:t>
      </w:r>
      <w:proofErr w:type="spellStart"/>
      <w:r w:rsidR="005412D4">
        <w:rPr>
          <w:i/>
          <w:iCs/>
        </w:rPr>
        <w:t>Boutron</w:t>
      </w:r>
      <w:proofErr w:type="spellEnd"/>
      <w:r w:rsidR="005412D4">
        <w:rPr>
          <w:i/>
          <w:iCs/>
        </w:rPr>
        <w:t>, 2017</w:t>
      </w:r>
      <w:r w:rsidR="00E20BBA" w:rsidRPr="005412D4">
        <w:t>]</w:t>
      </w:r>
      <w:r>
        <w:t xml:space="preserve"> </w:t>
      </w:r>
      <w:bookmarkEnd w:id="18"/>
      <w:r>
        <w:t xml:space="preserve">Multilevel models are subject-specific models whereas GEEs are population average.  For multilevel models: fixed, </w:t>
      </w:r>
      <w:proofErr w:type="gramStart"/>
      <w:r>
        <w:t>random</w:t>
      </w:r>
      <w:proofErr w:type="gramEnd"/>
      <w:r>
        <w:t xml:space="preserve"> or mixed effects can be specified to account for clustering</w:t>
      </w:r>
      <w:r w:rsidR="005412D4">
        <w:t xml:space="preserve"> [</w:t>
      </w:r>
      <w:proofErr w:type="spellStart"/>
      <w:r w:rsidR="005412D4">
        <w:rPr>
          <w:i/>
          <w:iCs/>
        </w:rPr>
        <w:t>Boutron</w:t>
      </w:r>
      <w:proofErr w:type="spellEnd"/>
      <w:r w:rsidR="005412D4">
        <w:rPr>
          <w:i/>
          <w:iCs/>
        </w:rPr>
        <w:t>, 2017</w:t>
      </w:r>
      <w:r w:rsidR="005412D4">
        <w:t>]</w:t>
      </w:r>
      <w:r>
        <w:t xml:space="preserve"> and different types of these models allow for flexible data structures.</w:t>
      </w:r>
      <w:r w:rsidR="001F2447">
        <w:t xml:space="preserve"> [</w:t>
      </w:r>
      <w:r w:rsidR="001F2447">
        <w:rPr>
          <w:i/>
          <w:iCs/>
        </w:rPr>
        <w:t>Jackson, 2010</w:t>
      </w:r>
      <w:r w:rsidR="001F2447">
        <w:t>]</w:t>
      </w:r>
      <w:r>
        <w:t xml:space="preserve"> </w:t>
      </w:r>
    </w:p>
    <w:p w14:paraId="13C55262" w14:textId="77777777" w:rsidR="002B0C95" w:rsidRDefault="002B0C95" w:rsidP="00166726"/>
    <w:p w14:paraId="13F64894" w14:textId="5F7A2CFA" w:rsidR="002B0C95" w:rsidRDefault="002B0C95" w:rsidP="00166726">
      <w:pPr>
        <w:rPr>
          <w:rFonts w:cs="Times New Roman"/>
          <w:i/>
        </w:rPr>
      </w:pPr>
      <w:r>
        <w:t xml:space="preserve">For ordinary linear models, the treatment effect estimate is likely to be similar but not necessarily identical for adjusted and unadjusted models. Adjusted analyses are more efficient, and so a less significant result for unadjusted should not be a concern. </w:t>
      </w:r>
      <w:bookmarkStart w:id="19" w:name="_Ref83307446"/>
      <w:r>
        <w:t>For generalised linear or non-linear models, adjusted and unadjusted treatment effects may not have the same interpretation and may provide different results.</w:t>
      </w:r>
      <w:r w:rsidR="00A5761E">
        <w:t xml:space="preserve"> [</w:t>
      </w:r>
      <w:r w:rsidR="00A5761E">
        <w:rPr>
          <w:i/>
          <w:iCs/>
        </w:rPr>
        <w:t>EMA, 2021</w:t>
      </w:r>
      <w:r w:rsidR="00A5761E">
        <w:t>]</w:t>
      </w:r>
      <w:r>
        <w:t xml:space="preserve"> </w:t>
      </w:r>
    </w:p>
    <w:bookmarkEnd w:id="19"/>
    <w:p w14:paraId="6A4B1A79" w14:textId="3A0D0073" w:rsidR="002B0C95" w:rsidRDefault="002B0C95" w:rsidP="00166726"/>
    <w:p w14:paraId="1FD7194A" w14:textId="1A10720B" w:rsidR="00DF39CA" w:rsidRPr="00DF39CA" w:rsidRDefault="00DF39CA" w:rsidP="00166726">
      <w:pPr>
        <w:rPr>
          <w:b/>
          <w:bCs/>
        </w:rPr>
      </w:pPr>
      <w:r>
        <w:rPr>
          <w:b/>
          <w:bCs/>
        </w:rPr>
        <w:t>Discussion</w:t>
      </w:r>
    </w:p>
    <w:p w14:paraId="5F16B768" w14:textId="6FF97D3A" w:rsidR="002B0C95" w:rsidRDefault="002B0C95" w:rsidP="00166726">
      <w:bookmarkStart w:id="20" w:name="_Hlk87447213"/>
      <w:r>
        <w:t xml:space="preserve">Trialists should consider the impact of </w:t>
      </w:r>
      <w:r w:rsidR="002369DE">
        <w:t xml:space="preserve">clustering and </w:t>
      </w:r>
      <w:r>
        <w:t xml:space="preserve">learning when designing and analysing randomised surgical trials. Considerations should be incorporated into reporting to aid interpretation and applicability of trial results. This </w:t>
      </w:r>
      <w:r w:rsidR="00AD47A3">
        <w:t xml:space="preserve">investigation is </w:t>
      </w:r>
      <w:r>
        <w:t xml:space="preserve">the first review as to the extent that existing guidance </w:t>
      </w:r>
      <w:r w:rsidR="00835A9E">
        <w:t xml:space="preserve">within the UK </w:t>
      </w:r>
      <w:r>
        <w:t xml:space="preserve">covers these important effects. </w:t>
      </w:r>
      <w:r>
        <w:rPr>
          <w:rFonts w:cs="Times New Roman"/>
        </w:rPr>
        <w:t>Existing guidance documents are identified and summarised, with a focus on aspects relating to clustering effects</w:t>
      </w:r>
      <w:r w:rsidR="002369DE">
        <w:rPr>
          <w:rFonts w:cs="Times New Roman"/>
        </w:rPr>
        <w:t xml:space="preserve"> and the learning curve</w:t>
      </w:r>
      <w:r>
        <w:rPr>
          <w:rFonts w:cs="Times New Roman"/>
        </w:rPr>
        <w:t xml:space="preserve"> and their application to surgical trials. </w:t>
      </w:r>
      <w:bookmarkStart w:id="21" w:name="_Hlk90461799"/>
      <w:r>
        <w:t xml:space="preserve">Not all documents were written specifically for surgery, yet all contain aspects that can be applied to surgery, for example the role of centre in delivery of treatments in drug trials </w:t>
      </w:r>
      <w:r w:rsidR="00313D73">
        <w:t>has some commonalities</w:t>
      </w:r>
      <w:r>
        <w:t xml:space="preserve"> to the role of surgeon in delivering a surgical trial. </w:t>
      </w:r>
      <w:bookmarkEnd w:id="21"/>
      <w:r>
        <w:t xml:space="preserve">Twice the number of identified documents targeted design aspects than analysis. Whilst a good analysis cannot rescue a poor design, and this may have led to a larger focus on design on guidance for trialists, there is a notable dearth of analysis guidance available that requires addressing. In addition, there is also scope for guidance on study conduct. </w:t>
      </w:r>
    </w:p>
    <w:p w14:paraId="71A127E2" w14:textId="77777777" w:rsidR="002B0C95" w:rsidRDefault="002B0C95" w:rsidP="00166726"/>
    <w:p w14:paraId="4E83F2D3" w14:textId="1E272A2B" w:rsidR="002B0C95" w:rsidRPr="003C6A29" w:rsidRDefault="002B0C95" w:rsidP="00166726">
      <w:r>
        <w:t xml:space="preserve">Clustering, at the centre level, was well covered within the design, </w:t>
      </w:r>
      <w:proofErr w:type="gramStart"/>
      <w:r>
        <w:t>analysis</w:t>
      </w:r>
      <w:proofErr w:type="gramEnd"/>
      <w:r>
        <w:t xml:space="preserve"> and reporting guidance. However, the</w:t>
      </w:r>
      <w:r w:rsidR="00910324">
        <w:t>re</w:t>
      </w:r>
      <w:r>
        <w:t xml:space="preserve"> were inconsistencies with regards to the treatment provider coverage. For example, reporting required eligibility of treatment provider be covered, yet no guidance on the design or analysis covered this.</w:t>
      </w:r>
      <w:r w:rsidR="00ED2F79">
        <w:t xml:space="preserve"> [</w:t>
      </w:r>
      <w:proofErr w:type="spellStart"/>
      <w:r w:rsidR="00ED2F79">
        <w:rPr>
          <w:i/>
          <w:iCs/>
        </w:rPr>
        <w:t>Boutron</w:t>
      </w:r>
      <w:proofErr w:type="spellEnd"/>
      <w:r w:rsidR="00ED2F79">
        <w:rPr>
          <w:i/>
          <w:iCs/>
        </w:rPr>
        <w:t>, 2008</w:t>
      </w:r>
      <w:r w:rsidR="005412D4">
        <w:rPr>
          <w:i/>
          <w:iCs/>
        </w:rPr>
        <w:t xml:space="preserve">; </w:t>
      </w:r>
      <w:proofErr w:type="spellStart"/>
      <w:r w:rsidR="005412D4">
        <w:rPr>
          <w:i/>
          <w:iCs/>
        </w:rPr>
        <w:t>Boutron</w:t>
      </w:r>
      <w:proofErr w:type="spellEnd"/>
      <w:r w:rsidR="005412D4">
        <w:rPr>
          <w:i/>
          <w:iCs/>
        </w:rPr>
        <w:t>, 2017</w:t>
      </w:r>
      <w:r w:rsidR="00ED2F79">
        <w:t>]</w:t>
      </w:r>
      <w:r>
        <w:t xml:space="preserve"> However, this may be due to the original guidance largely not being written specifically for surgery, or indeed complex interventions, where these effects may be more prominent. </w:t>
      </w:r>
      <w:r w:rsidR="0006139E">
        <w:t>[</w:t>
      </w:r>
      <w:r w:rsidR="0006139E">
        <w:rPr>
          <w:i/>
          <w:iCs/>
        </w:rPr>
        <w:t>Conroy, 2019</w:t>
      </w:r>
      <w:r w:rsidR="0006139E">
        <w:t xml:space="preserve">] </w:t>
      </w:r>
      <w:r>
        <w:t>The role of centre within conventional drug trials could be extended to provide guidance on the role of treatment provider in surgery trials.</w:t>
      </w:r>
      <w:r w:rsidR="00E20BBA">
        <w:t xml:space="preserve"> </w:t>
      </w:r>
      <w:r w:rsidR="00E20BBA" w:rsidRPr="00DB6F39">
        <w:t>[</w:t>
      </w:r>
      <w:r w:rsidR="00E20BBA" w:rsidRPr="00E20BBA">
        <w:rPr>
          <w:i/>
          <w:iCs/>
        </w:rPr>
        <w:t>Craig, 2019</w:t>
      </w:r>
      <w:r w:rsidR="00DB6F39">
        <w:rPr>
          <w:i/>
          <w:iCs/>
        </w:rPr>
        <w:t>; ICH E9, 1999; MHRA. 2021</w:t>
      </w:r>
      <w:r w:rsidR="00E20BBA" w:rsidRPr="00DB6F39">
        <w:t>]</w:t>
      </w:r>
      <w:r>
        <w:t xml:space="preserve"> </w:t>
      </w:r>
      <w:r w:rsidR="00BE6053">
        <w:t>Methods to</w:t>
      </w:r>
      <w:r w:rsidR="001B53FC">
        <w:t xml:space="preserve"> monitor </w:t>
      </w:r>
      <w:r w:rsidR="00E21A21">
        <w:t>the quality of delivery of the trial intervention</w:t>
      </w:r>
      <w:r w:rsidR="00BE6053">
        <w:t xml:space="preserve"> through study conduct has been considered, recommending that stablished </w:t>
      </w:r>
      <w:r w:rsidR="00E21A21">
        <w:t xml:space="preserve">protocols </w:t>
      </w:r>
      <w:r w:rsidR="00BE6053">
        <w:t>that determine</w:t>
      </w:r>
      <w:r w:rsidR="00E21A21">
        <w:t xml:space="preserve"> prohibited, </w:t>
      </w:r>
      <w:proofErr w:type="gramStart"/>
      <w:r w:rsidR="00E21A21">
        <w:t>mandated</w:t>
      </w:r>
      <w:proofErr w:type="gramEnd"/>
      <w:r w:rsidR="00E21A21">
        <w:t xml:space="preserve"> and flexible intervention components and monitoring adherence</w:t>
      </w:r>
      <w:r w:rsidR="00BE6053">
        <w:t xml:space="preserve"> are developed</w:t>
      </w:r>
      <w:r w:rsidR="00E21A21">
        <w:t>.</w:t>
      </w:r>
      <w:r w:rsidR="00FC7A33">
        <w:t xml:space="preserve"> </w:t>
      </w:r>
      <w:r w:rsidR="00BE6053">
        <w:t>[</w:t>
      </w:r>
      <w:proofErr w:type="spellStart"/>
      <w:r w:rsidR="00BE6053">
        <w:rPr>
          <w:i/>
          <w:iCs/>
        </w:rPr>
        <w:t>Blencowe</w:t>
      </w:r>
      <w:proofErr w:type="spellEnd"/>
      <w:r w:rsidR="00BE6053">
        <w:rPr>
          <w:i/>
          <w:iCs/>
        </w:rPr>
        <w:t>. 2016</w:t>
      </w:r>
      <w:r w:rsidR="00BE6053">
        <w:t xml:space="preserve">] </w:t>
      </w:r>
      <w:r w:rsidR="00194C8B" w:rsidRPr="005C3F67">
        <w:t>Yet a</w:t>
      </w:r>
      <w:r w:rsidR="00FC7A33" w:rsidRPr="005C3F67">
        <w:t xml:space="preserve"> specific guidance document that covers the design and analysis of randomised surgical trials, or intervention trials, could address th</w:t>
      </w:r>
      <w:r w:rsidR="00194C8B" w:rsidRPr="005C3F67">
        <w:t>e</w:t>
      </w:r>
      <w:r w:rsidR="00FC7A33" w:rsidRPr="005C3F67">
        <w:t xml:space="preserve"> discrepanc</w:t>
      </w:r>
      <w:r w:rsidR="00194C8B" w:rsidRPr="005C3F67">
        <w:t>ies identified within this review</w:t>
      </w:r>
      <w:r w:rsidR="00FC7A33" w:rsidRPr="005C3F67">
        <w:t xml:space="preserve"> to improve quality of understanding and awareness of these issues. [</w:t>
      </w:r>
      <w:r w:rsidR="00FC7A33" w:rsidRPr="005C3F67">
        <w:rPr>
          <w:i/>
          <w:iCs/>
        </w:rPr>
        <w:t>Conroy, 2019; Conroy, 2020</w:t>
      </w:r>
      <w:r w:rsidR="00FC7A33" w:rsidRPr="005C3F67">
        <w:t>].</w:t>
      </w:r>
    </w:p>
    <w:p w14:paraId="37076DE2" w14:textId="266CF740" w:rsidR="002B0C95" w:rsidRDefault="002B0C95" w:rsidP="00166726"/>
    <w:p w14:paraId="5E370609" w14:textId="4202D8F2" w:rsidR="002369DE" w:rsidRDefault="002369DE" w:rsidP="002369DE">
      <w:r>
        <w:rPr>
          <w:rFonts w:cs="Times New Roman"/>
        </w:rPr>
        <w:t xml:space="preserve">A number of guidance documents </w:t>
      </w:r>
      <w:r>
        <w:t>acknowledged the importance of the surgical learning curve, or delivery changing over time, within design and analysis, particularly in early phase surgical trials or when the interventions differ in their technicality [</w:t>
      </w:r>
      <w:r w:rsidRPr="00E20BBA">
        <w:rPr>
          <w:i/>
          <w:iCs/>
        </w:rPr>
        <w:t>Craig, 2019</w:t>
      </w:r>
      <w:r>
        <w:rPr>
          <w:i/>
          <w:iCs/>
        </w:rPr>
        <w:t xml:space="preserve">; </w:t>
      </w:r>
      <w:proofErr w:type="spellStart"/>
      <w:r>
        <w:rPr>
          <w:i/>
          <w:iCs/>
        </w:rPr>
        <w:t>Boutron</w:t>
      </w:r>
      <w:proofErr w:type="spellEnd"/>
      <w:r>
        <w:rPr>
          <w:i/>
          <w:iCs/>
        </w:rPr>
        <w:t xml:space="preserve">, 2008; </w:t>
      </w:r>
      <w:proofErr w:type="spellStart"/>
      <w:r>
        <w:rPr>
          <w:i/>
          <w:iCs/>
        </w:rPr>
        <w:t>Ergina</w:t>
      </w:r>
      <w:proofErr w:type="spellEnd"/>
      <w:r>
        <w:rPr>
          <w:i/>
          <w:iCs/>
        </w:rPr>
        <w:t xml:space="preserve">, 2009; McCulloch, 2009; </w:t>
      </w:r>
      <w:proofErr w:type="spellStart"/>
      <w:r>
        <w:rPr>
          <w:i/>
          <w:iCs/>
        </w:rPr>
        <w:t>Bilbro</w:t>
      </w:r>
      <w:proofErr w:type="spellEnd"/>
      <w:r>
        <w:rPr>
          <w:i/>
          <w:iCs/>
        </w:rPr>
        <w:t>, 2021</w:t>
      </w:r>
      <w:r>
        <w:t>] Yet there was little coverage within reporting standards to reflect this, with the surgical learning curve analysis only necessary in early phase, and not necessarily randomised, trials [</w:t>
      </w:r>
      <w:proofErr w:type="spellStart"/>
      <w:r>
        <w:rPr>
          <w:i/>
          <w:iCs/>
        </w:rPr>
        <w:t>Bilbro</w:t>
      </w:r>
      <w:proofErr w:type="spellEnd"/>
      <w:r>
        <w:rPr>
          <w:i/>
          <w:iCs/>
        </w:rPr>
        <w:t>, 2021</w:t>
      </w:r>
      <w:r>
        <w:t>] and broader RCT reporting guidelines only requiring differential expertise be addressed in the discussion. [</w:t>
      </w:r>
      <w:proofErr w:type="spellStart"/>
      <w:r>
        <w:rPr>
          <w:i/>
          <w:iCs/>
        </w:rPr>
        <w:t>Boutron</w:t>
      </w:r>
      <w:proofErr w:type="spellEnd"/>
      <w:r>
        <w:rPr>
          <w:i/>
          <w:iCs/>
        </w:rPr>
        <w:t>, 2008</w:t>
      </w:r>
      <w:r>
        <w:t>] Lack of clear standards, and guidance that is too broad in scope, may lead to reporting how delivery of intervention changes over time, despite its importance, being generally under-recognised in the literature. [</w:t>
      </w:r>
      <w:r>
        <w:rPr>
          <w:i/>
          <w:iCs/>
        </w:rPr>
        <w:t>Conroy, 2019</w:t>
      </w:r>
      <w:r>
        <w:t>]</w:t>
      </w:r>
    </w:p>
    <w:p w14:paraId="02498859" w14:textId="65E25226" w:rsidR="009B4AEF" w:rsidRDefault="009B4AEF" w:rsidP="002369DE"/>
    <w:p w14:paraId="767E6378" w14:textId="667EA38B" w:rsidR="00EB4FCC" w:rsidRDefault="00C11048" w:rsidP="002369DE">
      <w:r>
        <w:t xml:space="preserve">When designing and analysing a randomised surgical trial, </w:t>
      </w:r>
      <w:r w:rsidR="00B4205B">
        <w:t xml:space="preserve">there can be a view that clustering and learning </w:t>
      </w:r>
      <w:r w:rsidR="007F3983">
        <w:t>is</w:t>
      </w:r>
      <w:r w:rsidR="00B4205B">
        <w:t xml:space="preserve"> less pronounced</w:t>
      </w:r>
      <w:r w:rsidR="00901BA8">
        <w:t xml:space="preserve"> or irrelevant</w:t>
      </w:r>
      <w:r w:rsidR="00B4205B">
        <w:t xml:space="preserve"> in more pragmatic large-scale trials where the interventions are stabilised and in widespread use</w:t>
      </w:r>
      <w:r w:rsidR="007F3983">
        <w:t>.</w:t>
      </w:r>
      <w:r w:rsidR="00A5456B">
        <w:t xml:space="preserve"> </w:t>
      </w:r>
      <w:r w:rsidR="00CE20ED">
        <w:t xml:space="preserve">Measures to reduce variation in </w:t>
      </w:r>
      <w:r w:rsidR="007F3983">
        <w:t xml:space="preserve">treatment effects are often </w:t>
      </w:r>
      <w:r w:rsidR="00CE20ED">
        <w:t xml:space="preserve">introduced into the trial design </w:t>
      </w:r>
      <w:r w:rsidR="007F3983">
        <w:t>by defining a minimum level of expertise or providing training for treatment providers</w:t>
      </w:r>
      <w:r w:rsidR="00B4205B">
        <w:t>. [</w:t>
      </w:r>
      <w:r w:rsidR="00B4205B">
        <w:rPr>
          <w:i/>
          <w:iCs/>
        </w:rPr>
        <w:t>Conroy, 2020</w:t>
      </w:r>
      <w:r w:rsidR="00767C8D">
        <w:t xml:space="preserve">] </w:t>
      </w:r>
      <w:r w:rsidR="007F3983">
        <w:t xml:space="preserve">However, despite </w:t>
      </w:r>
      <w:r w:rsidR="00BA7A2F">
        <w:t xml:space="preserve">measures </w:t>
      </w:r>
      <w:r w:rsidR="00901BA8">
        <w:t xml:space="preserve">being </w:t>
      </w:r>
      <w:r w:rsidR="00BA7A2F">
        <w:t>taken</w:t>
      </w:r>
      <w:r w:rsidR="00901BA8">
        <w:t>,</w:t>
      </w:r>
      <w:r w:rsidR="00BA7A2F">
        <w:t xml:space="preserve"> variation in </w:t>
      </w:r>
      <w:r w:rsidR="00044301">
        <w:t>delivery</w:t>
      </w:r>
      <w:r w:rsidR="00BA7A2F">
        <w:t xml:space="preserve"> may remain</w:t>
      </w:r>
      <w:r w:rsidR="003C30BC">
        <w:t>,</w:t>
      </w:r>
      <w:r w:rsidR="00C819D4">
        <w:t xml:space="preserve"> and the need to account for the breadth of the setting, learning curve and experience of surgeons is an area for improvement in more </w:t>
      </w:r>
      <w:r w:rsidR="00C819D4" w:rsidRPr="004E3665">
        <w:rPr>
          <w:rFonts w:cs="Times New Roman"/>
        </w:rPr>
        <w:t>pragmatic RCTs</w:t>
      </w:r>
      <w:r w:rsidR="00BA7A2F" w:rsidRPr="004E3665">
        <w:rPr>
          <w:rFonts w:cs="Times New Roman"/>
        </w:rPr>
        <w:t>. [</w:t>
      </w:r>
      <w:r w:rsidR="00C819D4" w:rsidRPr="004E3665">
        <w:rPr>
          <w:rFonts w:cs="Times New Roman"/>
          <w:i/>
          <w:iCs/>
        </w:rPr>
        <w:t>Ritchey, 2021</w:t>
      </w:r>
      <w:r w:rsidR="00622302" w:rsidRPr="004E3665">
        <w:rPr>
          <w:rFonts w:cs="Times New Roman"/>
          <w:i/>
          <w:iCs/>
        </w:rPr>
        <w:t>; Hyman, 2019</w:t>
      </w:r>
      <w:r w:rsidR="00EB4FCC" w:rsidRPr="004E3665">
        <w:rPr>
          <w:rFonts w:cs="Times New Roman"/>
          <w:i/>
          <w:iCs/>
        </w:rPr>
        <w:t>; Shaw, 2017</w:t>
      </w:r>
      <w:r w:rsidR="00BA7A2F" w:rsidRPr="004E3665">
        <w:rPr>
          <w:rFonts w:cs="Times New Roman"/>
        </w:rPr>
        <w:t>]</w:t>
      </w:r>
      <w:r w:rsidR="007F3983" w:rsidRPr="004E3665">
        <w:rPr>
          <w:rFonts w:cs="Times New Roman"/>
        </w:rPr>
        <w:t xml:space="preserve"> </w:t>
      </w:r>
      <w:r w:rsidR="00EB4FCC" w:rsidRPr="004E3665">
        <w:rPr>
          <w:rFonts w:cs="Times New Roman"/>
        </w:rPr>
        <w:t xml:space="preserve">Trialists </w:t>
      </w:r>
      <w:r w:rsidR="00874AE2" w:rsidRPr="004E3665">
        <w:rPr>
          <w:rFonts w:cs="Times New Roman"/>
        </w:rPr>
        <w:t>should</w:t>
      </w:r>
      <w:r w:rsidR="00EB4FCC" w:rsidRPr="004E3665">
        <w:rPr>
          <w:rFonts w:cs="Times New Roman"/>
        </w:rPr>
        <w:t xml:space="preserve"> </w:t>
      </w:r>
      <w:r w:rsidR="00874AE2" w:rsidRPr="004E3665">
        <w:rPr>
          <w:rFonts w:cs="Times New Roman"/>
        </w:rPr>
        <w:t xml:space="preserve">therefore be aware of </w:t>
      </w:r>
      <w:r w:rsidR="00EB4FCC" w:rsidRPr="004E3665">
        <w:rPr>
          <w:rFonts w:cs="Times New Roman"/>
        </w:rPr>
        <w:t>potential for clustering and learning</w:t>
      </w:r>
      <w:r w:rsidR="00874AE2" w:rsidRPr="004E3665">
        <w:rPr>
          <w:rFonts w:cs="Times New Roman"/>
        </w:rPr>
        <w:t xml:space="preserve"> and routinely consider their impact at trial outset. E</w:t>
      </w:r>
      <w:r w:rsidR="00044301" w:rsidRPr="004E3665">
        <w:rPr>
          <w:rFonts w:cs="Times New Roman"/>
        </w:rPr>
        <w:t xml:space="preserve">arly and careful consideration </w:t>
      </w:r>
      <w:r w:rsidR="00044301" w:rsidRPr="00CF6CBD">
        <w:rPr>
          <w:rFonts w:eastAsia="Times New Roman" w:cs="Times New Roman"/>
          <w:lang w:eastAsia="en-GB"/>
        </w:rPr>
        <w:t xml:space="preserve">will improve data collection to ensure </w:t>
      </w:r>
      <w:r w:rsidR="00874AE2" w:rsidRPr="00CF6CBD">
        <w:rPr>
          <w:rFonts w:eastAsia="Times New Roman" w:cs="Times New Roman"/>
          <w:lang w:eastAsia="en-GB"/>
        </w:rPr>
        <w:t xml:space="preserve">that, if required, </w:t>
      </w:r>
      <w:r w:rsidR="00044301" w:rsidRPr="00CF6CBD">
        <w:rPr>
          <w:rFonts w:eastAsia="Times New Roman" w:cs="Times New Roman"/>
          <w:lang w:eastAsia="en-GB"/>
        </w:rPr>
        <w:t>investigation can be integrated into the planned analysis of the trial</w:t>
      </w:r>
      <w:r w:rsidR="00B867A2" w:rsidRPr="00CF6CBD">
        <w:rPr>
          <w:rFonts w:eastAsia="Times New Roman" w:cs="Times New Roman"/>
          <w:lang w:eastAsia="en-GB"/>
        </w:rPr>
        <w:t xml:space="preserve">. Being able to explore effects will be particularly beneficial </w:t>
      </w:r>
      <w:r w:rsidR="00874AE2" w:rsidRPr="00CF6CBD">
        <w:rPr>
          <w:rFonts w:eastAsia="Times New Roman" w:cs="Times New Roman"/>
          <w:lang w:eastAsia="en-GB"/>
        </w:rPr>
        <w:t>if</w:t>
      </w:r>
      <w:r w:rsidR="00044301" w:rsidRPr="00CF6CBD">
        <w:rPr>
          <w:rFonts w:eastAsia="Times New Roman" w:cs="Times New Roman"/>
          <w:lang w:eastAsia="en-GB"/>
        </w:rPr>
        <w:t xml:space="preserve"> concerns </w:t>
      </w:r>
      <w:r w:rsidR="00B867A2" w:rsidRPr="00CF6CBD">
        <w:rPr>
          <w:rFonts w:eastAsia="Times New Roman" w:cs="Times New Roman"/>
          <w:lang w:eastAsia="en-GB"/>
        </w:rPr>
        <w:t xml:space="preserve">of learning or clustering are </w:t>
      </w:r>
      <w:r w:rsidR="00044301" w:rsidRPr="00CF6CBD">
        <w:rPr>
          <w:rFonts w:eastAsia="Times New Roman" w:cs="Times New Roman"/>
          <w:lang w:eastAsia="en-GB"/>
        </w:rPr>
        <w:t>raised</w:t>
      </w:r>
      <w:r w:rsidR="00B867A2" w:rsidRPr="00CF6CBD">
        <w:rPr>
          <w:rFonts w:eastAsia="Times New Roman" w:cs="Times New Roman"/>
          <w:lang w:eastAsia="en-GB"/>
        </w:rPr>
        <w:t xml:space="preserve">, </w:t>
      </w:r>
      <w:r w:rsidR="004E3665" w:rsidRPr="00CF6CBD">
        <w:rPr>
          <w:rFonts w:eastAsia="Times New Roman" w:cs="Times New Roman"/>
          <w:lang w:eastAsia="en-GB"/>
        </w:rPr>
        <w:t xml:space="preserve">or more generally will </w:t>
      </w:r>
      <w:r w:rsidR="00B867A2" w:rsidRPr="00CF6CBD">
        <w:rPr>
          <w:rFonts w:eastAsia="Times New Roman" w:cs="Times New Roman"/>
          <w:lang w:eastAsia="en-GB"/>
        </w:rPr>
        <w:t>allow better understand</w:t>
      </w:r>
      <w:r w:rsidR="004E3665" w:rsidRPr="00CF6CBD">
        <w:rPr>
          <w:rFonts w:eastAsia="Times New Roman" w:cs="Times New Roman"/>
          <w:lang w:eastAsia="en-GB"/>
        </w:rPr>
        <w:t>ing</w:t>
      </w:r>
      <w:r w:rsidR="00B867A2" w:rsidRPr="00CF6CBD">
        <w:rPr>
          <w:rFonts w:eastAsia="Times New Roman" w:cs="Times New Roman"/>
          <w:lang w:eastAsia="en-GB"/>
        </w:rPr>
        <w:t xml:space="preserve"> </w:t>
      </w:r>
      <w:r w:rsidR="004E3665" w:rsidRPr="00CF6CBD">
        <w:rPr>
          <w:rFonts w:eastAsia="Times New Roman" w:cs="Times New Roman"/>
          <w:lang w:eastAsia="en-GB"/>
        </w:rPr>
        <w:t>to</w:t>
      </w:r>
      <w:r w:rsidR="00B867A2" w:rsidRPr="00CF6CBD">
        <w:rPr>
          <w:rFonts w:eastAsia="Times New Roman" w:cs="Times New Roman"/>
          <w:lang w:eastAsia="en-GB"/>
        </w:rPr>
        <w:t xml:space="preserve"> contextualise study findings </w:t>
      </w:r>
      <w:r w:rsidR="004E3665" w:rsidRPr="00CF6CBD">
        <w:rPr>
          <w:rFonts w:eastAsia="Times New Roman" w:cs="Times New Roman"/>
          <w:lang w:eastAsia="en-GB"/>
        </w:rPr>
        <w:t>to</w:t>
      </w:r>
      <w:r w:rsidR="00B867A2" w:rsidRPr="00CF6CBD">
        <w:rPr>
          <w:rFonts w:eastAsia="Times New Roman" w:cs="Times New Roman"/>
          <w:lang w:eastAsia="en-GB"/>
        </w:rPr>
        <w:t xml:space="preserve"> ultimately</w:t>
      </w:r>
      <w:r w:rsidR="00044301" w:rsidRPr="00CF6CBD">
        <w:rPr>
          <w:rFonts w:eastAsia="Times New Roman" w:cs="Times New Roman"/>
          <w:lang w:eastAsia="en-GB"/>
        </w:rPr>
        <w:t xml:space="preserve"> support roll out of the interventions into routine practice.</w:t>
      </w:r>
      <w:r w:rsidR="00044301">
        <w:rPr>
          <w:rFonts w:ascii="Segoe UI" w:eastAsia="Times New Roman" w:hAnsi="Segoe UI" w:cs="Segoe UI"/>
          <w:sz w:val="18"/>
          <w:szCs w:val="18"/>
          <w:lang w:eastAsia="en-GB"/>
        </w:rPr>
        <w:t xml:space="preserve"> </w:t>
      </w:r>
    </w:p>
    <w:p w14:paraId="3D562113" w14:textId="77777777" w:rsidR="002369DE" w:rsidRDefault="002369DE" w:rsidP="00166726"/>
    <w:p w14:paraId="330F39CA" w14:textId="5A9C46F0" w:rsidR="002B0C95" w:rsidRDefault="002B0C95" w:rsidP="00166726">
      <w:r>
        <w:t xml:space="preserve">When </w:t>
      </w:r>
      <w:r w:rsidR="001769E9">
        <w:t>reading</w:t>
      </w:r>
      <w:r>
        <w:t xml:space="preserve"> this </w:t>
      </w:r>
      <w:r w:rsidR="0006139E">
        <w:t>review</w:t>
      </w:r>
      <w:r>
        <w:t xml:space="preserve">, it is important to consider </w:t>
      </w:r>
      <w:r w:rsidR="0006139E">
        <w:t xml:space="preserve">its </w:t>
      </w:r>
      <w:r>
        <w:t xml:space="preserve">limitations. First, country specific guidance beyond the UK, such as United States Food and Drug Administration, were not included. However, international documents that are applicable to other countries, including the UK, were obtained, such </w:t>
      </w:r>
      <w:r>
        <w:lastRenderedPageBreak/>
        <w:t xml:space="preserve">as ICH which are followed globally and EMA which are adopted within Europe. Second, only four guidance documents, developed by the same research group, were written specifically for </w:t>
      </w:r>
      <w:proofErr w:type="gramStart"/>
      <w:r>
        <w:t>surgery</w:t>
      </w:r>
      <w:proofErr w:type="gramEnd"/>
      <w:r>
        <w:t xml:space="preserve"> and not written specifically for RCTs, which may explain the lack of specific coverage of the surgeon in the wider set.</w:t>
      </w:r>
      <w:r w:rsidR="00F4768C">
        <w:t xml:space="preserve"> [</w:t>
      </w:r>
      <w:proofErr w:type="spellStart"/>
      <w:r w:rsidR="00F4768C">
        <w:rPr>
          <w:i/>
          <w:iCs/>
        </w:rPr>
        <w:t>Ergina</w:t>
      </w:r>
      <w:proofErr w:type="spellEnd"/>
      <w:r w:rsidR="00F4768C">
        <w:rPr>
          <w:i/>
          <w:iCs/>
        </w:rPr>
        <w:t>, 2009</w:t>
      </w:r>
      <w:r w:rsidR="00FE5BD6">
        <w:rPr>
          <w:i/>
          <w:iCs/>
        </w:rPr>
        <w:t xml:space="preserve">; McCulloch, 2009; </w:t>
      </w:r>
      <w:proofErr w:type="spellStart"/>
      <w:r w:rsidR="00FE5BD6">
        <w:rPr>
          <w:i/>
          <w:iCs/>
        </w:rPr>
        <w:t>Bilbro</w:t>
      </w:r>
      <w:proofErr w:type="spellEnd"/>
      <w:r w:rsidR="00FE5BD6">
        <w:rPr>
          <w:i/>
          <w:iCs/>
        </w:rPr>
        <w:t>, 2021</w:t>
      </w:r>
      <w:r w:rsidR="00A5761E">
        <w:rPr>
          <w:i/>
          <w:iCs/>
        </w:rPr>
        <w:t xml:space="preserve">; </w:t>
      </w:r>
      <w:proofErr w:type="spellStart"/>
      <w:r w:rsidR="00A5761E">
        <w:rPr>
          <w:i/>
          <w:iCs/>
        </w:rPr>
        <w:t>Barkun</w:t>
      </w:r>
      <w:proofErr w:type="spellEnd"/>
      <w:r w:rsidR="00A5761E">
        <w:rPr>
          <w:i/>
          <w:iCs/>
        </w:rPr>
        <w:t>, 2009</w:t>
      </w:r>
      <w:r w:rsidR="00F4768C">
        <w:t>]</w:t>
      </w:r>
      <w:r>
        <w:t xml:space="preserve"> Third, very little of the guidance documents covered statistical aspects, leaving a trialist to extend the </w:t>
      </w:r>
      <w:r w:rsidRPr="005C3F67">
        <w:t>centre-drug connection to surgeon-intervention using existing guidelines.</w:t>
      </w:r>
      <w:r w:rsidR="00DB6F39" w:rsidRPr="005C3F67">
        <w:t xml:space="preserve"> [</w:t>
      </w:r>
      <w:r w:rsidR="00DB6F39" w:rsidRPr="005C3F67">
        <w:rPr>
          <w:i/>
          <w:iCs/>
        </w:rPr>
        <w:t>ICH E9, 1999</w:t>
      </w:r>
      <w:r w:rsidR="00A5761E" w:rsidRPr="005C3F67">
        <w:rPr>
          <w:i/>
          <w:iCs/>
        </w:rPr>
        <w:t>; EMA, 2021</w:t>
      </w:r>
      <w:r w:rsidR="00DB6F39" w:rsidRPr="005C3F67">
        <w:t>]</w:t>
      </w:r>
      <w:r w:rsidRPr="005C3F67">
        <w:t xml:space="preserve"> </w:t>
      </w:r>
      <w:r w:rsidR="00C11048">
        <w:t xml:space="preserve">The development of </w:t>
      </w:r>
      <w:r w:rsidRPr="005C3F67">
        <w:t>statistical guidance</w:t>
      </w:r>
      <w:r w:rsidR="00C11048">
        <w:t xml:space="preserve"> document t</w:t>
      </w:r>
      <w:r w:rsidRPr="005C3F67">
        <w:t xml:space="preserve">hat covers randomised surgical trials in more depth would help trialists, </w:t>
      </w:r>
      <w:proofErr w:type="gramStart"/>
      <w:r w:rsidRPr="005C3F67">
        <w:t>in particular statisticians</w:t>
      </w:r>
      <w:proofErr w:type="gramEnd"/>
      <w:r w:rsidRPr="005C3F67">
        <w:t>, and the IDEAL framework provides a good basis for this development</w:t>
      </w:r>
      <w:r w:rsidR="008C152A" w:rsidRPr="00CF6CBD">
        <w:t xml:space="preserve"> to be integrated</w:t>
      </w:r>
      <w:r w:rsidRPr="005C3F67">
        <w:t>.</w:t>
      </w:r>
      <w:r w:rsidR="00F4768C" w:rsidRPr="005C3F67">
        <w:t xml:space="preserve"> [</w:t>
      </w:r>
      <w:proofErr w:type="spellStart"/>
      <w:r w:rsidR="00F4768C" w:rsidRPr="005C3F67">
        <w:rPr>
          <w:i/>
          <w:iCs/>
        </w:rPr>
        <w:t>Ergina</w:t>
      </w:r>
      <w:proofErr w:type="spellEnd"/>
      <w:r w:rsidR="00F4768C" w:rsidRPr="005C3F67">
        <w:rPr>
          <w:i/>
          <w:iCs/>
        </w:rPr>
        <w:t>, 2009</w:t>
      </w:r>
      <w:r w:rsidR="00FE5BD6" w:rsidRPr="005C3F67">
        <w:rPr>
          <w:i/>
          <w:iCs/>
        </w:rPr>
        <w:t xml:space="preserve">; McCulloch, 2009; </w:t>
      </w:r>
      <w:proofErr w:type="spellStart"/>
      <w:r w:rsidR="00FE5BD6" w:rsidRPr="005C3F67">
        <w:rPr>
          <w:i/>
          <w:iCs/>
        </w:rPr>
        <w:t>Bilbro</w:t>
      </w:r>
      <w:proofErr w:type="spellEnd"/>
      <w:r w:rsidR="00FE5BD6" w:rsidRPr="005C3F67">
        <w:rPr>
          <w:i/>
          <w:iCs/>
        </w:rPr>
        <w:t>, 2021</w:t>
      </w:r>
      <w:r w:rsidR="00A5761E" w:rsidRPr="005C3F67">
        <w:rPr>
          <w:i/>
          <w:iCs/>
        </w:rPr>
        <w:t xml:space="preserve">; </w:t>
      </w:r>
      <w:proofErr w:type="spellStart"/>
      <w:r w:rsidR="00A5761E" w:rsidRPr="005C3F67">
        <w:rPr>
          <w:i/>
          <w:iCs/>
        </w:rPr>
        <w:t>Barkun</w:t>
      </w:r>
      <w:proofErr w:type="spellEnd"/>
      <w:r w:rsidR="00A5761E" w:rsidRPr="005C3F67">
        <w:rPr>
          <w:i/>
          <w:iCs/>
        </w:rPr>
        <w:t>, 2009</w:t>
      </w:r>
      <w:r w:rsidR="00F4768C" w:rsidRPr="005C3F67">
        <w:t>]</w:t>
      </w:r>
      <w:r w:rsidRPr="00522754">
        <w:t xml:space="preserve"> </w:t>
      </w:r>
    </w:p>
    <w:p w14:paraId="6A28C72F" w14:textId="200A4CA3" w:rsidR="002B0C95" w:rsidRDefault="002B0C95" w:rsidP="00166726"/>
    <w:p w14:paraId="462AC3A9" w14:textId="2A0E6488" w:rsidR="00DF39CA" w:rsidRPr="00DF39CA" w:rsidRDefault="00DF39CA" w:rsidP="00166726">
      <w:pPr>
        <w:rPr>
          <w:b/>
          <w:bCs/>
        </w:rPr>
      </w:pPr>
      <w:r>
        <w:rPr>
          <w:b/>
          <w:bCs/>
        </w:rPr>
        <w:t>Conclusions</w:t>
      </w:r>
    </w:p>
    <w:p w14:paraId="70ED9CC0" w14:textId="385A5AFA" w:rsidR="00AE155C" w:rsidRDefault="002B0C95" w:rsidP="00497904">
      <w:r>
        <w:t>This</w:t>
      </w:r>
      <w:r w:rsidR="00AC5945">
        <w:t xml:space="preserve"> is the first review</w:t>
      </w:r>
      <w:r w:rsidR="00A1535A">
        <w:t>, to our knowledge,</w:t>
      </w:r>
      <w:r w:rsidR="00AC5945">
        <w:t xml:space="preserve"> to explore coverage of guidance for managing </w:t>
      </w:r>
      <w:r w:rsidR="002369DE">
        <w:t xml:space="preserve">clustering effects and </w:t>
      </w:r>
      <w:r w:rsidR="00AD47A3">
        <w:t xml:space="preserve">the surgical learning curve </w:t>
      </w:r>
      <w:r w:rsidR="00AC5945">
        <w:t>within the design and analysis of randomised surgical trials. Twice the number of identified documents target design aspects than analys</w:t>
      </w:r>
      <w:r w:rsidR="0011130B">
        <w:t>i</w:t>
      </w:r>
      <w:r w:rsidR="00AC5945">
        <w:t xml:space="preserve">s. </w:t>
      </w:r>
      <w:r w:rsidR="00AD47A3">
        <w:t>Furthermore, n</w:t>
      </w:r>
      <w:r>
        <w:t>o single and complete guidance document exists that cover</w:t>
      </w:r>
      <w:r w:rsidR="00AC5945">
        <w:t>s</w:t>
      </w:r>
      <w:r>
        <w:t xml:space="preserve"> aspects of learning and clustering leaving trialists to have to access multiple documents to gain full understanding of these considerations. </w:t>
      </w:r>
    </w:p>
    <w:p w14:paraId="752CFD2D" w14:textId="77777777" w:rsidR="00AE155C" w:rsidRDefault="00AE155C" w:rsidP="00497904"/>
    <w:p w14:paraId="1EDF4C3D" w14:textId="467FC25E" w:rsidR="00313553" w:rsidRDefault="008F4B18" w:rsidP="00497904">
      <w:pPr>
        <w:rPr>
          <w:i/>
        </w:rPr>
      </w:pPr>
      <w:r>
        <w:t>E</w:t>
      </w:r>
      <w:r w:rsidR="005C3F67">
        <w:t xml:space="preserve">xisting documents </w:t>
      </w:r>
      <w:r>
        <w:t>should therefore</w:t>
      </w:r>
      <w:r w:rsidR="005C3F67">
        <w:t xml:space="preserve"> </w:t>
      </w:r>
      <w:r w:rsidR="00C11048">
        <w:t xml:space="preserve">be extended to </w:t>
      </w:r>
      <w:r w:rsidR="005C3F67">
        <w:t xml:space="preserve">incorporate </w:t>
      </w:r>
      <w:r>
        <w:t xml:space="preserve">statistical </w:t>
      </w:r>
      <w:r w:rsidR="005C3F67">
        <w:t>guidance on the management of clustering and learning. The IDEAL fram</w:t>
      </w:r>
      <w:r w:rsidR="008C152A">
        <w:t xml:space="preserve">ework </w:t>
      </w:r>
      <w:r w:rsidR="005C3F67">
        <w:t>aligns perfectly with the focus of this work as it is developed specifically for surgical trials</w:t>
      </w:r>
      <w:r>
        <w:t xml:space="preserve"> and </w:t>
      </w:r>
      <w:r w:rsidR="005C3F67">
        <w:t>is already widely used by surgical trialists</w:t>
      </w:r>
      <w:r>
        <w:t>. [</w:t>
      </w:r>
      <w:r>
        <w:rPr>
          <w:i/>
          <w:iCs/>
        </w:rPr>
        <w:t>McCulloch, 2009</w:t>
      </w:r>
      <w:r>
        <w:t xml:space="preserve">] </w:t>
      </w:r>
      <w:r w:rsidR="00AE155C">
        <w:t xml:space="preserve">Future work should address integrating these statistical themes into this framework as a priority. This </w:t>
      </w:r>
      <w:r w:rsidR="00497904">
        <w:t>would encourage better consistency between trialists</w:t>
      </w:r>
      <w:r w:rsidR="00AC5945">
        <w:t>, improve awareness of these methodological challenges</w:t>
      </w:r>
      <w:r w:rsidR="00497904">
        <w:t xml:space="preserve"> and </w:t>
      </w:r>
      <w:r w:rsidR="00AC5945">
        <w:t>support the use of</w:t>
      </w:r>
      <w:r w:rsidR="00497904">
        <w:t xml:space="preserve"> optimal methods</w:t>
      </w:r>
      <w:r w:rsidR="00AE155C">
        <w:t xml:space="preserve"> within the surgical field</w:t>
      </w:r>
      <w:r w:rsidR="00497904">
        <w:t xml:space="preserve">. </w:t>
      </w:r>
      <w:bookmarkEnd w:id="20"/>
      <w:r w:rsidR="00313553">
        <w:rPr>
          <w:i/>
        </w:rPr>
        <w:br w:type="page"/>
      </w:r>
    </w:p>
    <w:p w14:paraId="2812C8F7" w14:textId="77777777" w:rsidR="00557162" w:rsidRDefault="00313553" w:rsidP="00313553">
      <w:pPr>
        <w:spacing w:after="160" w:line="259" w:lineRule="auto"/>
        <w:jc w:val="center"/>
        <w:rPr>
          <w:b/>
          <w:bCs/>
          <w:iCs/>
        </w:rPr>
      </w:pPr>
      <w:r>
        <w:rPr>
          <w:b/>
          <w:bCs/>
          <w:iCs/>
        </w:rPr>
        <w:lastRenderedPageBreak/>
        <w:t>LIST OF ABBREVIATIONS</w:t>
      </w:r>
    </w:p>
    <w:tbl>
      <w:tblPr>
        <w:tblStyle w:val="TableGrid"/>
        <w:tblW w:w="0" w:type="auto"/>
        <w:jc w:val="center"/>
        <w:tblLook w:val="04A0" w:firstRow="1" w:lastRow="0" w:firstColumn="1" w:lastColumn="0" w:noHBand="0" w:noVBand="1"/>
      </w:tblPr>
      <w:tblGrid>
        <w:gridCol w:w="754"/>
        <w:gridCol w:w="3247"/>
      </w:tblGrid>
      <w:tr w:rsidR="00557162" w14:paraId="33CB646D" w14:textId="77777777" w:rsidTr="00557162">
        <w:trPr>
          <w:jc w:val="center"/>
        </w:trPr>
        <w:tc>
          <w:tcPr>
            <w:tcW w:w="754" w:type="dxa"/>
          </w:tcPr>
          <w:p w14:paraId="0B336950" w14:textId="4C98F547" w:rsidR="00557162" w:rsidRPr="00557162" w:rsidRDefault="00557162" w:rsidP="00313553">
            <w:pPr>
              <w:spacing w:after="160" w:line="259" w:lineRule="auto"/>
              <w:jc w:val="center"/>
              <w:rPr>
                <w:iCs/>
              </w:rPr>
            </w:pPr>
            <w:r>
              <w:rPr>
                <w:iCs/>
              </w:rPr>
              <w:t>GEE</w:t>
            </w:r>
          </w:p>
        </w:tc>
        <w:tc>
          <w:tcPr>
            <w:tcW w:w="3247" w:type="dxa"/>
          </w:tcPr>
          <w:p w14:paraId="4E5BD371" w14:textId="3F81E86A" w:rsidR="00557162" w:rsidRPr="00557162" w:rsidRDefault="00557162" w:rsidP="00313553">
            <w:pPr>
              <w:spacing w:after="160" w:line="259" w:lineRule="auto"/>
              <w:jc w:val="center"/>
              <w:rPr>
                <w:iCs/>
              </w:rPr>
            </w:pPr>
            <w:r>
              <w:rPr>
                <w:iCs/>
              </w:rPr>
              <w:t>Generalised estimating equations</w:t>
            </w:r>
          </w:p>
        </w:tc>
      </w:tr>
      <w:tr w:rsidR="00557162" w14:paraId="38E09C08" w14:textId="77777777" w:rsidTr="00557162">
        <w:trPr>
          <w:jc w:val="center"/>
        </w:trPr>
        <w:tc>
          <w:tcPr>
            <w:tcW w:w="754" w:type="dxa"/>
          </w:tcPr>
          <w:p w14:paraId="1CD8834A" w14:textId="10374403" w:rsidR="00557162" w:rsidRPr="00557162" w:rsidRDefault="00557162" w:rsidP="00313553">
            <w:pPr>
              <w:spacing w:after="160" w:line="259" w:lineRule="auto"/>
              <w:jc w:val="center"/>
              <w:rPr>
                <w:iCs/>
              </w:rPr>
            </w:pPr>
            <w:r>
              <w:rPr>
                <w:iCs/>
              </w:rPr>
              <w:t>ICC</w:t>
            </w:r>
          </w:p>
        </w:tc>
        <w:tc>
          <w:tcPr>
            <w:tcW w:w="3247" w:type="dxa"/>
          </w:tcPr>
          <w:p w14:paraId="3931719E" w14:textId="245953A7" w:rsidR="00557162" w:rsidRPr="00557162" w:rsidRDefault="00557162" w:rsidP="00313553">
            <w:pPr>
              <w:spacing w:after="160" w:line="259" w:lineRule="auto"/>
              <w:jc w:val="center"/>
              <w:rPr>
                <w:iCs/>
              </w:rPr>
            </w:pPr>
            <w:r>
              <w:rPr>
                <w:iCs/>
              </w:rPr>
              <w:t>Intraclass correlation coefficient</w:t>
            </w:r>
          </w:p>
        </w:tc>
      </w:tr>
      <w:tr w:rsidR="00557162" w14:paraId="47A75DE1" w14:textId="77777777" w:rsidTr="00557162">
        <w:trPr>
          <w:jc w:val="center"/>
        </w:trPr>
        <w:tc>
          <w:tcPr>
            <w:tcW w:w="754" w:type="dxa"/>
          </w:tcPr>
          <w:p w14:paraId="1BCEAC62" w14:textId="40D83F34" w:rsidR="00557162" w:rsidRPr="00557162" w:rsidRDefault="00557162" w:rsidP="00313553">
            <w:pPr>
              <w:spacing w:after="160" w:line="259" w:lineRule="auto"/>
              <w:jc w:val="center"/>
              <w:rPr>
                <w:iCs/>
              </w:rPr>
            </w:pPr>
            <w:r w:rsidRPr="00557162">
              <w:rPr>
                <w:iCs/>
              </w:rPr>
              <w:t>RCT</w:t>
            </w:r>
          </w:p>
        </w:tc>
        <w:tc>
          <w:tcPr>
            <w:tcW w:w="3247" w:type="dxa"/>
          </w:tcPr>
          <w:p w14:paraId="62B7FE65" w14:textId="43B03187" w:rsidR="00557162" w:rsidRDefault="00557162" w:rsidP="00313553">
            <w:pPr>
              <w:spacing w:after="160" w:line="259" w:lineRule="auto"/>
              <w:jc w:val="center"/>
              <w:rPr>
                <w:i/>
              </w:rPr>
            </w:pPr>
            <w:r>
              <w:rPr>
                <w:iCs/>
              </w:rPr>
              <w:t>Randomised controlled trial</w:t>
            </w:r>
          </w:p>
        </w:tc>
      </w:tr>
    </w:tbl>
    <w:p w14:paraId="03898EEC" w14:textId="11F7FB78" w:rsidR="005B2167" w:rsidRDefault="005B2167" w:rsidP="00557162">
      <w:pPr>
        <w:spacing w:after="160" w:line="259" w:lineRule="auto"/>
        <w:rPr>
          <w:i/>
        </w:rPr>
      </w:pPr>
      <w:r>
        <w:rPr>
          <w:i/>
        </w:rPr>
        <w:br w:type="page"/>
      </w:r>
    </w:p>
    <w:p w14:paraId="2B0B8F84" w14:textId="3E866533" w:rsidR="005B2167" w:rsidRDefault="005B2167" w:rsidP="005B2167">
      <w:pPr>
        <w:jc w:val="center"/>
        <w:rPr>
          <w:b/>
          <w:bCs/>
        </w:rPr>
      </w:pPr>
      <w:r>
        <w:rPr>
          <w:b/>
          <w:bCs/>
        </w:rPr>
        <w:lastRenderedPageBreak/>
        <w:t>DECLARATIONS</w:t>
      </w:r>
    </w:p>
    <w:p w14:paraId="44E51F1B" w14:textId="04EB03AE" w:rsidR="005B2167" w:rsidRDefault="005B2167" w:rsidP="005B2167">
      <w:pPr>
        <w:rPr>
          <w:b/>
          <w:bCs/>
        </w:rPr>
      </w:pPr>
      <w:r>
        <w:rPr>
          <w:b/>
          <w:bCs/>
        </w:rPr>
        <w:t>Ethics approval and consent to participate</w:t>
      </w:r>
    </w:p>
    <w:p w14:paraId="46F8D838" w14:textId="6EDB0B1D" w:rsidR="00313553" w:rsidRDefault="00313553" w:rsidP="005B2167">
      <w:r>
        <w:t>Not applicable.</w:t>
      </w:r>
    </w:p>
    <w:p w14:paraId="64463D49" w14:textId="77777777" w:rsidR="00313553" w:rsidRPr="00313553" w:rsidRDefault="00313553" w:rsidP="005B2167"/>
    <w:p w14:paraId="6530C5FB" w14:textId="2E386C40" w:rsidR="005B2167" w:rsidRDefault="005B2167" w:rsidP="005B2167">
      <w:pPr>
        <w:rPr>
          <w:b/>
          <w:bCs/>
        </w:rPr>
      </w:pPr>
      <w:r>
        <w:rPr>
          <w:b/>
          <w:bCs/>
        </w:rPr>
        <w:t>Consent for publication</w:t>
      </w:r>
    </w:p>
    <w:p w14:paraId="459DAF69" w14:textId="3727467B" w:rsidR="00313553" w:rsidRDefault="00313553" w:rsidP="005B2167">
      <w:r>
        <w:t>Not applicable.</w:t>
      </w:r>
    </w:p>
    <w:p w14:paraId="78C7A895" w14:textId="77777777" w:rsidR="00313553" w:rsidRPr="00313553" w:rsidRDefault="00313553" w:rsidP="005B2167"/>
    <w:p w14:paraId="796DD68B" w14:textId="32C59DF6" w:rsidR="005B2167" w:rsidRDefault="005B2167" w:rsidP="005B2167">
      <w:pPr>
        <w:rPr>
          <w:b/>
          <w:bCs/>
        </w:rPr>
      </w:pPr>
      <w:r>
        <w:rPr>
          <w:b/>
          <w:bCs/>
        </w:rPr>
        <w:t>Availability of data and materials</w:t>
      </w:r>
    </w:p>
    <w:p w14:paraId="6249C2E7" w14:textId="47A3D81D" w:rsidR="00313553" w:rsidRDefault="00CA3B68" w:rsidP="005B2167">
      <w:r>
        <w:t>Datasets used and/or analysed during the current study, that are not already included in this published article, are available from the corresponding author on reasonable request.</w:t>
      </w:r>
    </w:p>
    <w:p w14:paraId="014864AB" w14:textId="77777777" w:rsidR="00CA3B68" w:rsidRPr="00313553" w:rsidRDefault="00CA3B68" w:rsidP="005B2167"/>
    <w:p w14:paraId="72B8B5DC" w14:textId="44F00CD8" w:rsidR="005B2167" w:rsidRDefault="005B2167" w:rsidP="005B2167">
      <w:pPr>
        <w:rPr>
          <w:b/>
          <w:bCs/>
        </w:rPr>
      </w:pPr>
      <w:r>
        <w:rPr>
          <w:b/>
          <w:bCs/>
        </w:rPr>
        <w:t>Competing interests</w:t>
      </w:r>
    </w:p>
    <w:p w14:paraId="726FB4DD" w14:textId="601EFD52" w:rsidR="00CA3B68" w:rsidRDefault="00DC05A9" w:rsidP="005B2167">
      <w:r w:rsidRPr="00BE6053">
        <w:t>CG, JAC and JMB co-authored some of the guidance documents included within this review.</w:t>
      </w:r>
      <w:r w:rsidRPr="00FB2CED">
        <w:t xml:space="preserve"> </w:t>
      </w:r>
      <w:r w:rsidR="00CA3B68" w:rsidRPr="00FB2CED">
        <w:t>The authors</w:t>
      </w:r>
      <w:r w:rsidR="00CA3B68">
        <w:t xml:space="preserve"> declare that they have no</w:t>
      </w:r>
      <w:r>
        <w:t xml:space="preserve"> other</w:t>
      </w:r>
      <w:r w:rsidR="00CA3B68">
        <w:t xml:space="preserve"> competing interests.</w:t>
      </w:r>
    </w:p>
    <w:p w14:paraId="2612A7AD" w14:textId="77777777" w:rsidR="00CA3B68" w:rsidRPr="00CA3B68" w:rsidRDefault="00CA3B68" w:rsidP="005B2167"/>
    <w:p w14:paraId="48298878" w14:textId="51317C05" w:rsidR="005B2167" w:rsidRDefault="005B2167" w:rsidP="005B2167">
      <w:pPr>
        <w:rPr>
          <w:b/>
          <w:bCs/>
        </w:rPr>
      </w:pPr>
      <w:r>
        <w:rPr>
          <w:b/>
          <w:bCs/>
        </w:rPr>
        <w:t>Funding</w:t>
      </w:r>
    </w:p>
    <w:p w14:paraId="30523B25" w14:textId="0EB6E97C" w:rsidR="005B2167" w:rsidRDefault="005B2167" w:rsidP="005B2167">
      <w:r>
        <w:t xml:space="preserve">This research was funded by National Institute for Health Research (NIHR) Doctoral Fellowship Programme (DRF-2015-08-082). EJC is funded through this fellowship programme. </w:t>
      </w:r>
    </w:p>
    <w:p w14:paraId="53E7D67E" w14:textId="77777777" w:rsidR="005B2167" w:rsidRDefault="005B2167" w:rsidP="005B2167">
      <w:pPr>
        <w:rPr>
          <w:b/>
          <w:bCs/>
        </w:rPr>
      </w:pPr>
    </w:p>
    <w:p w14:paraId="1A27E9DB" w14:textId="5D59AA51" w:rsidR="005B2167" w:rsidRDefault="005B2167" w:rsidP="005B2167">
      <w:pPr>
        <w:rPr>
          <w:b/>
          <w:bCs/>
        </w:rPr>
      </w:pPr>
      <w:r>
        <w:rPr>
          <w:b/>
          <w:bCs/>
        </w:rPr>
        <w:t>Authors’ contributions</w:t>
      </w:r>
    </w:p>
    <w:p w14:paraId="57A7112C" w14:textId="609A6EB3" w:rsidR="005B2167" w:rsidRDefault="005B2167" w:rsidP="005B2167">
      <w:r>
        <w:t>EJC participated in the study design, developed the data extraction form, drafted the manuscript, and extracted and analysed the data. CG participated in the study design, developed the data extraction form, and drafted the manuscript. GB, JMB and JAC participated in the study design and contributed to manuscript development. All authors read and approved the final manuscript.</w:t>
      </w:r>
    </w:p>
    <w:p w14:paraId="58F2D23A" w14:textId="77777777" w:rsidR="005B2167" w:rsidRDefault="005B2167" w:rsidP="005B2167">
      <w:pPr>
        <w:rPr>
          <w:b/>
          <w:bCs/>
        </w:rPr>
      </w:pPr>
    </w:p>
    <w:p w14:paraId="3F4AAF3C" w14:textId="12DA3A14" w:rsidR="005B2167" w:rsidRPr="005B2167" w:rsidRDefault="005B2167" w:rsidP="005B2167">
      <w:pPr>
        <w:rPr>
          <w:b/>
          <w:bCs/>
        </w:rPr>
      </w:pPr>
      <w:r w:rsidRPr="005B2167">
        <w:rPr>
          <w:b/>
          <w:bCs/>
        </w:rPr>
        <w:t>Acknowledgements</w:t>
      </w:r>
    </w:p>
    <w:p w14:paraId="2F315A01" w14:textId="5D583C3C" w:rsidR="005B2167" w:rsidRDefault="005B2167" w:rsidP="005B2167">
      <w:r>
        <w:t>None.</w:t>
      </w:r>
    </w:p>
    <w:p w14:paraId="01DD75DE" w14:textId="77777777" w:rsidR="00313553" w:rsidRDefault="00313553" w:rsidP="005B2167">
      <w:pPr>
        <w:rPr>
          <w:b/>
          <w:bCs/>
        </w:rPr>
      </w:pPr>
    </w:p>
    <w:p w14:paraId="13569D9A" w14:textId="6101F030" w:rsidR="005B2167" w:rsidRPr="005B2167" w:rsidRDefault="005B2167" w:rsidP="005B2167">
      <w:pPr>
        <w:rPr>
          <w:b/>
          <w:bCs/>
        </w:rPr>
      </w:pPr>
      <w:r w:rsidRPr="005B2167">
        <w:rPr>
          <w:b/>
          <w:bCs/>
        </w:rPr>
        <w:lastRenderedPageBreak/>
        <w:t>Department of health disclaimer</w:t>
      </w:r>
    </w:p>
    <w:p w14:paraId="5404C7B6" w14:textId="74BF84A2" w:rsidR="005B2167" w:rsidRPr="005B2167" w:rsidRDefault="005B2167" w:rsidP="005B2167">
      <w:r>
        <w:t>The views expressed are those of the authors and not necessarily of the National Health Service, the National Institute for Health Research (NIHR) or the Department of Health and Social Care.</w:t>
      </w:r>
    </w:p>
    <w:p w14:paraId="2F5DB17A" w14:textId="00219037" w:rsidR="005B2167" w:rsidRDefault="005B2167">
      <w:pPr>
        <w:spacing w:after="160" w:line="259" w:lineRule="auto"/>
        <w:jc w:val="left"/>
      </w:pPr>
      <w:r>
        <w:br w:type="page"/>
      </w:r>
    </w:p>
    <w:p w14:paraId="26CDF91B" w14:textId="77777777" w:rsidR="00C95E47" w:rsidRDefault="005B2167" w:rsidP="00E20BBA">
      <w:pPr>
        <w:spacing w:after="160"/>
        <w:jc w:val="center"/>
        <w:rPr>
          <w:b/>
          <w:bCs/>
        </w:rPr>
      </w:pPr>
      <w:r>
        <w:rPr>
          <w:b/>
          <w:bCs/>
        </w:rPr>
        <w:lastRenderedPageBreak/>
        <w:t>REFERENCES</w:t>
      </w:r>
    </w:p>
    <w:p w14:paraId="468A0120" w14:textId="08083752" w:rsidR="00A5761E" w:rsidRDefault="00A5761E" w:rsidP="005412D4">
      <w:pPr>
        <w:pStyle w:val="EndNoteBibliography"/>
        <w:spacing w:line="480" w:lineRule="auto"/>
      </w:pPr>
      <w:r w:rsidRPr="00904ABA">
        <w:t>Barkun JS, Aronson JK, Feldman LS, Maddern GJ, Strasberg SM, Balliol C, et al. Evaluation and stages of surgical innovations. Lancet. 2009;374(9695):1089-96.</w:t>
      </w:r>
    </w:p>
    <w:p w14:paraId="51A095E6" w14:textId="36D7176F" w:rsidR="00FE5BD6" w:rsidRPr="00BE6053" w:rsidRDefault="00FE5BD6" w:rsidP="005412D4">
      <w:pPr>
        <w:pStyle w:val="EndNoteBibliography"/>
        <w:spacing w:line="480" w:lineRule="auto"/>
      </w:pPr>
      <w:r w:rsidRPr="00904ABA">
        <w:t xml:space="preserve">Bilbro NA, Hirst A, Paez A, Vasey B, Pufulete M, Sedrakyan A, et al. The IDEAL Reporting Guidelines: A Delphi Consensus Statement Stage Specific Recommendations for Reporting the </w:t>
      </w:r>
      <w:r w:rsidRPr="00BE6053">
        <w:t>Evaluation of Surgical Innovation. Ann Surg. 2021;273(1):82-5.</w:t>
      </w:r>
    </w:p>
    <w:p w14:paraId="74AABBF6" w14:textId="7D8B6FD3" w:rsidR="00BE6053" w:rsidRPr="00BE6053" w:rsidRDefault="00BE6053" w:rsidP="005412D4">
      <w:pPr>
        <w:pStyle w:val="EndNoteBibliography"/>
        <w:spacing w:line="480" w:lineRule="auto"/>
      </w:pPr>
      <w:r w:rsidRPr="00BE6053">
        <w:rPr>
          <w:color w:val="212121"/>
          <w:shd w:val="clear" w:color="auto" w:fill="FFFFFF"/>
        </w:rPr>
        <w:t xml:space="preserve">Blencowe NS, Mills N, Cook JA, Donovan JL, Rogers CA, Whiting P, </w:t>
      </w:r>
      <w:r w:rsidR="00DE2B69">
        <w:rPr>
          <w:color w:val="212121"/>
          <w:shd w:val="clear" w:color="auto" w:fill="FFFFFF"/>
        </w:rPr>
        <w:t>et al</w:t>
      </w:r>
      <w:r w:rsidRPr="00BE6053">
        <w:rPr>
          <w:color w:val="212121"/>
          <w:shd w:val="clear" w:color="auto" w:fill="FFFFFF"/>
        </w:rPr>
        <w:t>. Standardizing and monitoring the delivery of surgical interventions in randomized clinical trials. Br J Surg. 2016 Sep;103(10):1377-84.</w:t>
      </w:r>
    </w:p>
    <w:p w14:paraId="52AB6BF1" w14:textId="1ECDA0DA" w:rsidR="00ED2F79" w:rsidRDefault="00ED2F79" w:rsidP="005412D4">
      <w:pPr>
        <w:pStyle w:val="EndNoteBibliography"/>
        <w:spacing w:line="480" w:lineRule="auto"/>
      </w:pPr>
      <w:r w:rsidRPr="00BE6053">
        <w:t>Boutron</w:t>
      </w:r>
      <w:r w:rsidRPr="00904ABA">
        <w:t xml:space="preserve"> I, Moher D, Altman DG, Schulz KF, Ravaud P, Grp C. Extending the CONSORT statement to randomized trials of nonpharmacologic treatment: Explanation and elaboration. Ann Intern Med. 2008;148(4):295-309.</w:t>
      </w:r>
    </w:p>
    <w:p w14:paraId="69781D0C" w14:textId="77777777" w:rsidR="005412D4" w:rsidRPr="00904ABA" w:rsidRDefault="005412D4" w:rsidP="005412D4">
      <w:pPr>
        <w:pStyle w:val="EndNoteBibliography"/>
        <w:spacing w:line="480" w:lineRule="auto"/>
      </w:pPr>
      <w:r w:rsidRPr="00904ABA">
        <w:t>Boutron I, Altman DG, Moher D, Schulz KF, Ravaud P, Group CN. CONSORT Statement for Randomized Trials of Nonpharmacologic Treatments: A 2017 Update and a CONSORT Extension for Nonpharmacologic Trial Abstracts. Ann Intern Med. 2017;167(1):40-7.</w:t>
      </w:r>
    </w:p>
    <w:p w14:paraId="6841503D" w14:textId="6D9B5CA9" w:rsidR="00F4768C" w:rsidRDefault="00F4768C" w:rsidP="005412D4">
      <w:pPr>
        <w:pStyle w:val="EndNoteBibliography"/>
        <w:spacing w:line="480" w:lineRule="auto"/>
      </w:pPr>
      <w:r w:rsidRPr="00904ABA">
        <w:t>Campbell MK, Piaggio G, Elbourne DR, Altman DG, Group C. Consort 2010 statement: extension to cluster randomised trials. BMJ. 2012;345:e5661</w:t>
      </w:r>
    </w:p>
    <w:p w14:paraId="7C3EAA77" w14:textId="16DFD3D7" w:rsidR="00A5761E" w:rsidRDefault="00A5761E" w:rsidP="005412D4">
      <w:pPr>
        <w:pStyle w:val="EndNoteBibliography"/>
        <w:spacing w:line="480" w:lineRule="auto"/>
      </w:pPr>
      <w:r w:rsidRPr="00904ABA">
        <w:t>Committee for Medicinal Products for Human Use (CHMP). Guideline on adjustment for baseline covariates in clinical trials</w:t>
      </w:r>
      <w:r w:rsidR="00C616F3">
        <w:t xml:space="preserve"> </w:t>
      </w:r>
      <w:r w:rsidRPr="00904ABA">
        <w:t>2015</w:t>
      </w:r>
      <w:r w:rsidR="0072478B">
        <w:t>. Accessed:</w:t>
      </w:r>
      <w:r w:rsidRPr="00904ABA">
        <w:t xml:space="preserve"> 30</w:t>
      </w:r>
      <w:r w:rsidRPr="00CF6CBD">
        <w:rPr>
          <w:vertAlign w:val="superscript"/>
        </w:rPr>
        <w:t>th</w:t>
      </w:r>
      <w:r w:rsidRPr="00904ABA">
        <w:t xml:space="preserve"> November 2021. Available from: </w:t>
      </w:r>
      <w:hyperlink r:id="rId13" w:history="1">
        <w:r w:rsidRPr="00904ABA">
          <w:rPr>
            <w:rStyle w:val="Hyperlink"/>
          </w:rPr>
          <w:t>https://www.ema.europa.eu/e</w:t>
        </w:r>
        <w:r w:rsidRPr="00904ABA">
          <w:rPr>
            <w:rStyle w:val="Hyperlink"/>
          </w:rPr>
          <w:t>n</w:t>
        </w:r>
        <w:r w:rsidRPr="00904ABA">
          <w:rPr>
            <w:rStyle w:val="Hyperlink"/>
          </w:rPr>
          <w:t>/adjustment-baseline-covariates-clinical-trials</w:t>
        </w:r>
      </w:hyperlink>
      <w:r w:rsidRPr="00904ABA">
        <w:t>.</w:t>
      </w:r>
    </w:p>
    <w:p w14:paraId="1DD88A6F" w14:textId="5D02C887" w:rsidR="00F4768C" w:rsidRPr="00904ABA" w:rsidRDefault="00F4768C" w:rsidP="005412D4">
      <w:pPr>
        <w:pStyle w:val="EndNoteBibliography"/>
        <w:spacing w:line="480" w:lineRule="auto"/>
      </w:pPr>
      <w:r w:rsidRPr="00904ABA">
        <w:t>Conroy EJ, Rosala-Hallas A, Blazeby JM, Burnside G, Cook JA, Gamble C. Randomized trials involving surgery did not routinely report considerations of learning and clustering effects. Journal of Clinical Epidemiology. 2019;107:27-35.</w:t>
      </w:r>
    </w:p>
    <w:p w14:paraId="2D243BA2" w14:textId="5F70D463" w:rsidR="00F4768C" w:rsidRDefault="00F4768C" w:rsidP="005412D4">
      <w:pPr>
        <w:pStyle w:val="EndNoteBibliography"/>
        <w:spacing w:line="480" w:lineRule="auto"/>
      </w:pPr>
      <w:r w:rsidRPr="00904ABA">
        <w:t>Conroy EJ, Rosala-Hallas A, Blazeby JM, Burnside G, Cook JA, Gamble C. Funders improved the management of learning and clustering effects through design and analysis of randomized trials involving surgery. Journal of Clinical Epidemiology. 2019;113:28-35.</w:t>
      </w:r>
    </w:p>
    <w:p w14:paraId="0690CE42" w14:textId="20CCCEAB" w:rsidR="006B6CDD" w:rsidRPr="00CA08A6" w:rsidRDefault="006B6CDD" w:rsidP="005412D4">
      <w:pPr>
        <w:pStyle w:val="EndNoteBibliography"/>
        <w:spacing w:line="480" w:lineRule="auto"/>
      </w:pPr>
      <w:r w:rsidRPr="00904ABA">
        <w:lastRenderedPageBreak/>
        <w:t>Conroy EJ, Blazeby JM, Burnside G, Cook JA, Gamble C. Managing clustering effects and learning effects in the design and analysis of multicentre randomised trials: a survey to establish current practice. Trials. 2020;21(1):</w:t>
      </w:r>
      <w:r w:rsidRPr="00CA08A6">
        <w:t>433.</w:t>
      </w:r>
    </w:p>
    <w:p w14:paraId="6C213AC1" w14:textId="0BA7DCB2" w:rsidR="00CA08A6" w:rsidRPr="00CA08A6" w:rsidRDefault="00CA08A6" w:rsidP="005412D4">
      <w:pPr>
        <w:pStyle w:val="EndNoteBibliography"/>
        <w:spacing w:line="480" w:lineRule="auto"/>
      </w:pPr>
      <w:r w:rsidRPr="00CF6CBD">
        <w:rPr>
          <w:color w:val="333333"/>
          <w:shd w:val="clear" w:color="auto" w:fill="FFFFFF"/>
        </w:rPr>
        <w:t>Cook JA, Bruckner T, MacLennan GS, Seller CM. Clustering in surgical trials–database of intracluster correlations. Trials. 2012;13:2.</w:t>
      </w:r>
    </w:p>
    <w:p w14:paraId="0B1D2544" w14:textId="59693219" w:rsidR="00CA08A6" w:rsidRPr="00904ABA" w:rsidRDefault="00A5761E" w:rsidP="005412D4">
      <w:pPr>
        <w:pStyle w:val="EndNoteBibliography"/>
        <w:spacing w:line="480" w:lineRule="auto"/>
      </w:pPr>
      <w:r w:rsidRPr="00904ABA">
        <w:t>Cook JA, Ramsay CR, Fayers P. Statistical evaluation of learning curve effec ts in surgical trials. Clin Trials. 2004;1.</w:t>
      </w:r>
    </w:p>
    <w:p w14:paraId="2D324E7E" w14:textId="59D673F0" w:rsidR="00E20BBA" w:rsidRDefault="00E20BBA" w:rsidP="005412D4">
      <w:r w:rsidRPr="00904ABA">
        <w:t xml:space="preserve">Craig P, Dieppe P, Macintyre S, Michie S, Nazareth I, </w:t>
      </w:r>
      <w:proofErr w:type="spellStart"/>
      <w:r w:rsidRPr="00904ABA">
        <w:t>Petticrew</w:t>
      </w:r>
      <w:proofErr w:type="spellEnd"/>
      <w:r w:rsidRPr="00904ABA">
        <w:t xml:space="preserve"> M. Developing and evaluating complex interventions2019; </w:t>
      </w:r>
      <w:r w:rsidR="00355FF3">
        <w:t>Accessed:</w:t>
      </w:r>
      <w:r w:rsidR="00355FF3" w:rsidRPr="00904ABA">
        <w:t xml:space="preserve"> 30</w:t>
      </w:r>
      <w:r w:rsidR="00355FF3" w:rsidRPr="00CF6CBD">
        <w:rPr>
          <w:vertAlign w:val="superscript"/>
        </w:rPr>
        <w:t>th</w:t>
      </w:r>
      <w:r w:rsidR="00355FF3" w:rsidRPr="00904ABA">
        <w:t xml:space="preserve"> November 2021</w:t>
      </w:r>
      <w:r w:rsidRPr="00904ABA">
        <w:t xml:space="preserve">. Available from: </w:t>
      </w:r>
      <w:hyperlink r:id="rId14" w:history="1">
        <w:r w:rsidRPr="00904ABA">
          <w:rPr>
            <w:rStyle w:val="Hyperlink"/>
          </w:rPr>
          <w:t>https://mrc.ukri.org/documents/pdf/complex-interventions-guidance/</w:t>
        </w:r>
      </w:hyperlink>
      <w:r w:rsidRPr="00904ABA">
        <w:t>.</w:t>
      </w:r>
    </w:p>
    <w:p w14:paraId="36DA11A7" w14:textId="1C7FD2DB" w:rsidR="005412D4" w:rsidRPr="00904ABA" w:rsidRDefault="005412D4" w:rsidP="005412D4">
      <w:pPr>
        <w:pStyle w:val="EndNoteBibliography"/>
        <w:spacing w:line="480" w:lineRule="auto"/>
      </w:pPr>
      <w:r w:rsidRPr="00904ABA">
        <w:t>Elias KM, Stone AB, McGinigle K, Tankou JI, Scott MJ, Fawcett WJ, et al. The Reporting on ERAS Compliance, Outcomes, and Elements Research (RECOvER) Checklist: A Joint Statement by the ERAS(</w:t>
      </w:r>
      <w:r w:rsidR="00C819D4">
        <w:t>I</w:t>
      </w:r>
      <w:r w:rsidRPr="00904ABA">
        <w:t>) and ER</w:t>
      </w:r>
      <w:r w:rsidR="00C819D4">
        <w:t>I</w:t>
      </w:r>
      <w:r w:rsidRPr="00904ABA">
        <w:t>(R)) USA Societies. World J Surg. 2019;43(1):1-8.</w:t>
      </w:r>
    </w:p>
    <w:p w14:paraId="1DD49AB6" w14:textId="187AF998" w:rsidR="00F4768C" w:rsidRPr="0051217E" w:rsidRDefault="00F4768C" w:rsidP="005412D4">
      <w:pPr>
        <w:pStyle w:val="EndNoteBibliography"/>
        <w:spacing w:line="480" w:lineRule="auto"/>
      </w:pPr>
      <w:r w:rsidRPr="00904ABA">
        <w:t xml:space="preserve">Ergina PL, Cook JA, Blazeby JM, Boutron I, Clavien PA, Reeves BC, et al. Challenges in evaluating surgical innovation. </w:t>
      </w:r>
      <w:r w:rsidRPr="0051217E">
        <w:t>Lancet. 2009;374.</w:t>
      </w:r>
    </w:p>
    <w:p w14:paraId="40C5EA3A" w14:textId="3756E031" w:rsidR="0051217E" w:rsidRDefault="0051217E" w:rsidP="005412D4">
      <w:pPr>
        <w:pStyle w:val="EndNoteBibliography"/>
        <w:spacing w:line="480" w:lineRule="auto"/>
      </w:pPr>
      <w:r w:rsidRPr="0051217E">
        <w:t>Evans D. Hierarchy of evidence: a framework for ranking evidence evaluating healthcare interventions. J Clin Nurs. 2003;12(1):77-84.</w:t>
      </w:r>
    </w:p>
    <w:p w14:paraId="18A5B0FA" w14:textId="4C58311D" w:rsidR="003C30BC" w:rsidRPr="0051217E" w:rsidRDefault="00622302" w:rsidP="005412D4">
      <w:pPr>
        <w:pStyle w:val="EndNoteBibliography"/>
        <w:spacing w:line="480" w:lineRule="auto"/>
      </w:pPr>
      <w:r>
        <w:t xml:space="preserve">Hyman WA. Medical device and diagnostic </w:t>
      </w:r>
      <w:r w:rsidR="003C30BC">
        <w:t>industry online, FDA flirts with the learning curve. 2019(March 4</w:t>
      </w:r>
      <w:r w:rsidR="003C30BC" w:rsidRPr="00CF6CBD">
        <w:rPr>
          <w:vertAlign w:val="superscript"/>
        </w:rPr>
        <w:t>th</w:t>
      </w:r>
      <w:r w:rsidR="003C30BC">
        <w:t>). Available from: https://www.mddionline.com/regulatory-quality/fda-flirts-learning-curve</w:t>
      </w:r>
    </w:p>
    <w:p w14:paraId="5A6DB1FA" w14:textId="248528F5" w:rsidR="00C676FA" w:rsidRPr="00C676FA" w:rsidRDefault="00C676FA" w:rsidP="003B25B6">
      <w:pPr>
        <w:rPr>
          <w:rFonts w:cs="Times New Roman"/>
        </w:rPr>
      </w:pPr>
      <w:r w:rsidRPr="00C676FA">
        <w:rPr>
          <w:rFonts w:cs="Times New Roman"/>
        </w:rPr>
        <w:t>Group IEW. ICH Harmonised Tripartite Guideline: Structure and Content of Clinical Study Reports E3 ICH Harmonisation for better health web site: International Conference on Harmonisation of Technical Requirements for Registration of Pharmaceuticals for Human Use; 1995</w:t>
      </w:r>
      <w:r w:rsidR="00E37017">
        <w:rPr>
          <w:rFonts w:cs="Times New Roman"/>
        </w:rPr>
        <w:t xml:space="preserve">. </w:t>
      </w:r>
      <w:r w:rsidR="00E37017">
        <w:t>Accessed:</w:t>
      </w:r>
      <w:r w:rsidR="00E37017">
        <w:t xml:space="preserve"> 3</w:t>
      </w:r>
      <w:r w:rsidR="00E37017" w:rsidRPr="003B25B6">
        <w:rPr>
          <w:vertAlign w:val="superscript"/>
        </w:rPr>
        <w:t>rd</w:t>
      </w:r>
      <w:r w:rsidR="00E37017">
        <w:t xml:space="preserve"> August 2022.</w:t>
      </w:r>
      <w:r w:rsidRPr="00C676FA">
        <w:rPr>
          <w:rFonts w:cs="Times New Roman"/>
        </w:rPr>
        <w:t xml:space="preserve"> [Available from: </w:t>
      </w:r>
      <w:r>
        <w:fldChar w:fldCharType="begin"/>
      </w:r>
      <w:r>
        <w:instrText xml:space="preserve"> HYPERLINK "</w:instrText>
      </w:r>
      <w:r w:rsidRPr="00A13B27">
        <w:instrText>https://database.ich.org/sites/default/files/E3_Guideline.pdf</w:instrText>
      </w:r>
      <w:r>
        <w:instrText xml:space="preserve">" </w:instrText>
      </w:r>
      <w:r>
        <w:fldChar w:fldCharType="separate"/>
      </w:r>
      <w:r w:rsidRPr="00097F67">
        <w:rPr>
          <w:rStyle w:val="Hyperlink"/>
        </w:rPr>
        <w:t>https://database.ich.org/sites/default/files/E3_Guideline.pdf</w:t>
      </w:r>
      <w:r>
        <w:fldChar w:fldCharType="end"/>
      </w:r>
      <w:r>
        <w:t xml:space="preserve"> </w:t>
      </w:r>
    </w:p>
    <w:p w14:paraId="3D51A0CF" w14:textId="7ECDBF1B" w:rsidR="00C676FA" w:rsidRPr="00C676FA" w:rsidRDefault="00C676FA" w:rsidP="003B25B6">
      <w:pPr>
        <w:rPr>
          <w:rFonts w:cs="Times New Roman"/>
        </w:rPr>
      </w:pPr>
      <w:r w:rsidRPr="00C676FA">
        <w:rPr>
          <w:rFonts w:cs="Times New Roman"/>
        </w:rPr>
        <w:t xml:space="preserve">Group IEW. ICH Harmonised Tripartite Guideline: Guideline for Good Clinical Practice E6(R2) ICH Harmonisation for better health web site: International Conference on Harmonisation of Technical Requirements for Registration of Pharmaceuticals for Human Use; </w:t>
      </w:r>
      <w:r w:rsidR="009153D3">
        <w:rPr>
          <w:rFonts w:cs="Times New Roman"/>
        </w:rPr>
        <w:t>2016</w:t>
      </w:r>
      <w:r w:rsidR="00E37017">
        <w:rPr>
          <w:rFonts w:cs="Times New Roman"/>
        </w:rPr>
        <w:t xml:space="preserve">. </w:t>
      </w:r>
      <w:r w:rsidR="00E37017">
        <w:t>Accessed: 3</w:t>
      </w:r>
      <w:r w:rsidR="00E37017" w:rsidRPr="0083335D">
        <w:rPr>
          <w:vertAlign w:val="superscript"/>
        </w:rPr>
        <w:t>rd</w:t>
      </w:r>
      <w:r w:rsidR="00E37017">
        <w:t xml:space="preserve"> August 2022.</w:t>
      </w:r>
      <w:r w:rsidRPr="00C676FA">
        <w:rPr>
          <w:rFonts w:cs="Times New Roman"/>
        </w:rPr>
        <w:t xml:space="preserve"> [Available from: </w:t>
      </w:r>
      <w:r w:rsidR="009153D3" w:rsidRPr="009153D3">
        <w:rPr>
          <w:rFonts w:cs="Times New Roman"/>
        </w:rPr>
        <w:fldChar w:fldCharType="begin"/>
      </w:r>
      <w:r w:rsidR="009153D3" w:rsidRPr="009153D3">
        <w:rPr>
          <w:rFonts w:cs="Times New Roman"/>
        </w:rPr>
        <w:instrText xml:space="preserve"> HYPERLINK "https://database.ich.org/sites/default/files/E6_R2_Addendum.pdf" </w:instrText>
      </w:r>
      <w:r w:rsidR="009153D3" w:rsidRPr="009153D3">
        <w:rPr>
          <w:rFonts w:cs="Times New Roman"/>
        </w:rPr>
        <w:fldChar w:fldCharType="separate"/>
      </w:r>
      <w:r w:rsidR="009153D3" w:rsidRPr="009153D3">
        <w:rPr>
          <w:rStyle w:val="Hyperlink"/>
          <w:rFonts w:cs="Times New Roman"/>
        </w:rPr>
        <w:t>https://database.ich.org/sites/default/files/E6_R2_Addendum.pdf</w:t>
      </w:r>
      <w:r w:rsidR="009153D3" w:rsidRPr="009153D3">
        <w:rPr>
          <w:rFonts w:cs="Times New Roman"/>
        </w:rPr>
        <w:fldChar w:fldCharType="end"/>
      </w:r>
      <w:r w:rsidR="009153D3">
        <w:rPr>
          <w:rFonts w:cs="Times New Roman"/>
        </w:rPr>
        <w:t xml:space="preserve"> </w:t>
      </w:r>
    </w:p>
    <w:p w14:paraId="055D0246" w14:textId="474DC4A0" w:rsidR="00FE5BD6" w:rsidRDefault="00FE5BD6" w:rsidP="009153D3">
      <w:pPr>
        <w:pStyle w:val="EndNoteBibliography"/>
        <w:spacing w:line="480" w:lineRule="auto"/>
      </w:pPr>
      <w:r w:rsidRPr="00904ABA">
        <w:lastRenderedPageBreak/>
        <w:t>ICH Expert Working Group. ICH Harmonised Tripartite Guidelines: General Considerations for Clinical Trials E8.</w:t>
      </w:r>
      <w:r w:rsidR="009153D3">
        <w:t xml:space="preserve"> </w:t>
      </w:r>
      <w:r w:rsidRPr="00904ABA">
        <w:t>1998.</w:t>
      </w:r>
      <w:r w:rsidR="00E37017">
        <w:t xml:space="preserve"> </w:t>
      </w:r>
      <w:r w:rsidR="00E37017">
        <w:t>Accessed: 3</w:t>
      </w:r>
      <w:r w:rsidR="00E37017" w:rsidRPr="0083335D">
        <w:rPr>
          <w:vertAlign w:val="superscript"/>
        </w:rPr>
        <w:t>rd</w:t>
      </w:r>
      <w:r w:rsidR="00E37017">
        <w:t xml:space="preserve"> August 2022.</w:t>
      </w:r>
      <w:r w:rsidR="009153D3">
        <w:t xml:space="preserve"> Available from: </w:t>
      </w:r>
      <w:r w:rsidR="009153D3">
        <w:fldChar w:fldCharType="begin"/>
      </w:r>
      <w:r w:rsidR="009153D3">
        <w:instrText xml:space="preserve"> HYPERLINK "https://www.ema.europa.eu/en/documents/scientific-guideline/ich-e-8-general-considerations-clinical-trials-step-5_en.pdf" </w:instrText>
      </w:r>
      <w:r w:rsidR="009153D3">
        <w:fldChar w:fldCharType="separate"/>
      </w:r>
      <w:r w:rsidR="009153D3" w:rsidRPr="00C36646">
        <w:rPr>
          <w:rStyle w:val="Hyperlink"/>
        </w:rPr>
        <w:t>https://www.ema.europa.eu/en/documents/scientific-guideline/ich-e-8-general-considerations-clinical-trials-step-5_en.pdf</w:t>
      </w:r>
      <w:r w:rsidR="009153D3">
        <w:rPr>
          <w:rStyle w:val="Hyperlink"/>
        </w:rPr>
        <w:fldChar w:fldCharType="end"/>
      </w:r>
    </w:p>
    <w:p w14:paraId="707930F9" w14:textId="4E85C302" w:rsidR="00F4768C" w:rsidRPr="00CA08A6" w:rsidRDefault="001F2447" w:rsidP="005412D4">
      <w:pPr>
        <w:pStyle w:val="EndNoteBibliography"/>
        <w:spacing w:line="480" w:lineRule="auto"/>
      </w:pPr>
      <w:r w:rsidRPr="00904ABA">
        <w:t xml:space="preserve">Jackson DL. Reporting results of latent growth modeling and multilevel modeling analyses: some </w:t>
      </w:r>
      <w:r w:rsidRPr="00CA08A6">
        <w:t>recommendations for rehabilitation psychology. Rehabil Psychol. 2010;55(3):272-85.</w:t>
      </w:r>
    </w:p>
    <w:p w14:paraId="7C970CC6" w14:textId="13FACE49" w:rsidR="00CA08A6" w:rsidRPr="00CA08A6" w:rsidRDefault="00CA08A6" w:rsidP="005412D4">
      <w:pPr>
        <w:pStyle w:val="EndNoteBibliography"/>
        <w:spacing w:line="480" w:lineRule="auto"/>
      </w:pPr>
      <w:r w:rsidRPr="00CF6CBD">
        <w:rPr>
          <w:color w:val="333333"/>
          <w:shd w:val="clear" w:color="auto" w:fill="FFFFFF"/>
        </w:rPr>
        <w:t>Lee KJ, Thompson SG. Clustering by health professional in individually randomised trials. BMJ. 2005;330:142.</w:t>
      </w:r>
    </w:p>
    <w:p w14:paraId="544D13DB" w14:textId="191D44DE" w:rsidR="005412D4" w:rsidRPr="001A03E6" w:rsidRDefault="005412D4" w:rsidP="001A03E6">
      <w:pPr>
        <w:pStyle w:val="EndNoteBibliography"/>
        <w:spacing w:line="480" w:lineRule="auto"/>
      </w:pPr>
      <w:r w:rsidRPr="00904ABA">
        <w:t>McCulloch P, Altman DG, Campbell B, Flum DR, Glasziou P, Marshall J, et al. N</w:t>
      </w:r>
      <w:r w:rsidRPr="001A03E6">
        <w:t>o surgical innovation without evaluation: the IDEAL recommendations. Lancet. 2009;374.</w:t>
      </w:r>
    </w:p>
    <w:p w14:paraId="217EC14C" w14:textId="6865C072" w:rsidR="00DB6F39" w:rsidRPr="003B25B6" w:rsidRDefault="00DB6F39" w:rsidP="003B25B6">
      <w:pPr>
        <w:pStyle w:val="PlainText"/>
        <w:spacing w:line="480" w:lineRule="auto"/>
        <w:jc w:val="both"/>
        <w:rPr>
          <w:rFonts w:ascii="Times New Roman" w:hAnsi="Times New Roman" w:cs="Times New Roman"/>
        </w:rPr>
      </w:pPr>
      <w:r w:rsidRPr="003B25B6">
        <w:rPr>
          <w:rFonts w:ascii="Times New Roman" w:hAnsi="Times New Roman" w:cs="Times New Roman"/>
        </w:rPr>
        <w:t>Medicines &amp; Healthcare products Regulatory Agency. Clinical investigations of medical devices – statistical considerations</w:t>
      </w:r>
      <w:r w:rsidR="006E4C7A" w:rsidRPr="003B25B6">
        <w:rPr>
          <w:rFonts w:ascii="Times New Roman" w:hAnsi="Times New Roman" w:cs="Times New Roman"/>
        </w:rPr>
        <w:t xml:space="preserve"> </w:t>
      </w:r>
      <w:r w:rsidRPr="003B25B6">
        <w:rPr>
          <w:rFonts w:ascii="Times New Roman" w:hAnsi="Times New Roman" w:cs="Times New Roman"/>
        </w:rPr>
        <w:t>2021.</w:t>
      </w:r>
      <w:r w:rsidR="001A03E6" w:rsidRPr="003B25B6">
        <w:rPr>
          <w:rFonts w:ascii="Times New Roman" w:hAnsi="Times New Roman" w:cs="Times New Roman"/>
        </w:rPr>
        <w:t xml:space="preserve"> </w:t>
      </w:r>
      <w:r w:rsidR="001A03E6" w:rsidRPr="003B25B6">
        <w:rPr>
          <w:rFonts w:ascii="Times New Roman" w:hAnsi="Times New Roman" w:cs="Times New Roman"/>
        </w:rPr>
        <w:t>Accessed: 30</w:t>
      </w:r>
      <w:r w:rsidR="001A03E6" w:rsidRPr="003B25B6">
        <w:rPr>
          <w:rFonts w:ascii="Times New Roman" w:hAnsi="Times New Roman" w:cs="Times New Roman"/>
          <w:vertAlign w:val="superscript"/>
        </w:rPr>
        <w:t>th</w:t>
      </w:r>
      <w:r w:rsidR="001A03E6" w:rsidRPr="003B25B6">
        <w:rPr>
          <w:rFonts w:ascii="Times New Roman" w:hAnsi="Times New Roman" w:cs="Times New Roman"/>
        </w:rPr>
        <w:t xml:space="preserve"> November 2021.</w:t>
      </w:r>
      <w:r w:rsidRPr="003B25B6">
        <w:rPr>
          <w:rFonts w:ascii="Times New Roman" w:hAnsi="Times New Roman" w:cs="Times New Roman"/>
        </w:rPr>
        <w:t xml:space="preserve"> Available from: </w:t>
      </w:r>
      <w:hyperlink r:id="rId15" w:history="1">
        <w:r w:rsidR="00EE59A3" w:rsidRPr="003B25B6">
          <w:rPr>
            <w:rStyle w:val="Hyperlink"/>
            <w:rFonts w:ascii="Times New Roman" w:hAnsi="Times New Roman" w:cs="Times New Roman"/>
          </w:rPr>
          <w:t>https://assets</w:t>
        </w:r>
        <w:r w:rsidR="00EE59A3" w:rsidRPr="003B25B6">
          <w:rPr>
            <w:rStyle w:val="Hyperlink"/>
            <w:rFonts w:ascii="Times New Roman" w:hAnsi="Times New Roman" w:cs="Times New Roman"/>
          </w:rPr>
          <w:t>.</w:t>
        </w:r>
        <w:r w:rsidR="00EE59A3" w:rsidRPr="003B25B6">
          <w:rPr>
            <w:rStyle w:val="Hyperlink"/>
            <w:rFonts w:ascii="Times New Roman" w:hAnsi="Times New Roman" w:cs="Times New Roman"/>
          </w:rPr>
          <w:t>publishing.service.gov.uk/government/uploads/system/uploads/attachment_data/file/989415/Statistical_considerations_clinical_investigations_-_May_2021.pdf</w:t>
        </w:r>
      </w:hyperlink>
    </w:p>
    <w:p w14:paraId="38A31BA4" w14:textId="0438469C" w:rsidR="00E20BBA" w:rsidRDefault="00E20BBA" w:rsidP="001A03E6">
      <w:pPr>
        <w:pStyle w:val="EndNoteBibliography"/>
        <w:spacing w:line="480" w:lineRule="auto"/>
      </w:pPr>
      <w:r w:rsidRPr="001A03E6">
        <w:t>National Institute for Health Research. Planning a Randomised Controlled Trial (RTC) – Points to Consider</w:t>
      </w:r>
      <w:r w:rsidR="00E835D2" w:rsidRPr="001A03E6">
        <w:t xml:space="preserve"> </w:t>
      </w:r>
      <w:r w:rsidRPr="001A03E6">
        <w:t xml:space="preserve">2016. </w:t>
      </w:r>
      <w:r w:rsidR="00E835D2" w:rsidRPr="001A03E6">
        <w:t>Accessed: 30</w:t>
      </w:r>
      <w:r w:rsidR="00E835D2" w:rsidRPr="001A03E6">
        <w:rPr>
          <w:vertAlign w:val="superscript"/>
        </w:rPr>
        <w:t>th</w:t>
      </w:r>
      <w:r w:rsidR="00E835D2" w:rsidRPr="001A03E6">
        <w:t xml:space="preserve"> November 2021</w:t>
      </w:r>
      <w:r w:rsidR="00E835D2" w:rsidRPr="001A03E6">
        <w:t xml:space="preserve">. </w:t>
      </w:r>
      <w:r w:rsidRPr="001A03E6">
        <w:t>Available fro</w:t>
      </w:r>
      <w:r w:rsidRPr="00904ABA">
        <w:t xml:space="preserve">m: </w:t>
      </w:r>
      <w:hyperlink r:id="rId16" w:history="1">
        <w:r w:rsidRPr="00904ABA">
          <w:rPr>
            <w:rStyle w:val="Hyperlink"/>
          </w:rPr>
          <w:t>https://www.ct-toolkit.ac.uk/routemap/trial-planning-and-design/downloads/planning-a-randomised-controlled-trial.pdf/</w:t>
        </w:r>
      </w:hyperlink>
      <w:r w:rsidRPr="00904ABA">
        <w:t>.</w:t>
      </w:r>
    </w:p>
    <w:p w14:paraId="507B8AAF" w14:textId="6922D1E2" w:rsidR="00C819D4" w:rsidRDefault="00C819D4" w:rsidP="005412D4">
      <w:pPr>
        <w:pStyle w:val="EndNoteBibliography"/>
        <w:spacing w:line="480" w:lineRule="auto"/>
        <w:rPr>
          <w:lang w:val="fr-FR"/>
        </w:rPr>
      </w:pPr>
      <w:r>
        <w:rPr>
          <w:lang w:val="fr-FR"/>
        </w:rPr>
        <w:t xml:space="preserve">Ritchey ME. </w:t>
      </w:r>
      <w:r w:rsidR="00901BA8">
        <w:rPr>
          <w:lang w:val="fr-FR"/>
        </w:rPr>
        <w:t>Chapter 25 – Special considerations of interventions : Medical devices. Pragmatic Randomized Clinical Trials. Academic Press. 2021. 387-395.</w:t>
      </w:r>
    </w:p>
    <w:p w14:paraId="77DAAF47" w14:textId="77D97529" w:rsidR="00EB4FCC" w:rsidRDefault="00EB4FCC" w:rsidP="005412D4">
      <w:pPr>
        <w:pStyle w:val="EndNoteBibliography"/>
        <w:spacing w:line="480" w:lineRule="auto"/>
        <w:rPr>
          <w:lang w:val="fr-FR"/>
        </w:rPr>
      </w:pPr>
      <w:r>
        <w:t>Shaw W, Semb G. The Scandcleft randomised trials of primary surgery for unilateral cleft lip and palate: 11. What next? J Plast Surg Hand Surg. 2017;51(1):88-93.</w:t>
      </w:r>
    </w:p>
    <w:p w14:paraId="35CC8B4D" w14:textId="41BED198" w:rsidR="00FE5BD6" w:rsidRPr="00904ABA" w:rsidRDefault="00FE5BD6" w:rsidP="005412D4">
      <w:pPr>
        <w:pStyle w:val="EndNoteBibliography"/>
        <w:spacing w:line="480" w:lineRule="auto"/>
      </w:pPr>
      <w:r w:rsidRPr="00674A67">
        <w:rPr>
          <w:lang w:val="fr-FR"/>
        </w:rPr>
        <w:t xml:space="preserve">Vanhie A, Meuleman C, Tomassetti C, Timmerman D, D'Hoore A, Wolthuis A, et al. </w:t>
      </w:r>
      <w:r w:rsidRPr="00904ABA">
        <w:t>Consensus on Recording Deep Endometriosis Surgery: the CORDES statement. Hum Reprod. 2016;31(6):1219-23.</w:t>
      </w:r>
    </w:p>
    <w:p w14:paraId="22A64DAC" w14:textId="246F6376" w:rsidR="005B2167" w:rsidRDefault="00E20BBA" w:rsidP="005412D4">
      <w:pPr>
        <w:pStyle w:val="EndNoteBibliography"/>
        <w:spacing w:line="480" w:lineRule="auto"/>
      </w:pPr>
      <w:r w:rsidRPr="00904ABA">
        <w:t>Zwarenstein M, Treweek S, Gagnier JJ, Altman DG, Tunis S, Haynes B, et al. Improving the reporting of pragmatic trials: an extension of the CONSORT statement. Brit Med J. 2008;337.</w:t>
      </w:r>
      <w:r w:rsidR="005B2167">
        <w:br w:type="page"/>
      </w:r>
    </w:p>
    <w:p w14:paraId="1134619E" w14:textId="5ADAEADC" w:rsidR="00062728" w:rsidRDefault="005B2167" w:rsidP="005B2167">
      <w:pPr>
        <w:jc w:val="center"/>
        <w:rPr>
          <w:b/>
          <w:bCs/>
        </w:rPr>
      </w:pPr>
      <w:r>
        <w:rPr>
          <w:b/>
          <w:bCs/>
        </w:rPr>
        <w:lastRenderedPageBreak/>
        <w:t>SUPPLEMENTARY MATERIAL</w:t>
      </w:r>
    </w:p>
    <w:p w14:paraId="1B70CF45" w14:textId="294B177A" w:rsidR="002668C9" w:rsidRPr="002668C9" w:rsidRDefault="00152F26" w:rsidP="00CF6CBD">
      <w:pPr>
        <w:pStyle w:val="Caption"/>
      </w:pPr>
      <w:r>
        <w:t xml:space="preserve">Supplementary Material </w:t>
      </w:r>
      <w:fldSimple w:instr=" SEQ Supplementary_Material \* ARABIC ">
        <w:r>
          <w:rPr>
            <w:noProof/>
          </w:rPr>
          <w:t>1</w:t>
        </w:r>
      </w:fldSimple>
      <w:r>
        <w:t xml:space="preserve">: </w:t>
      </w:r>
      <w:r w:rsidR="002668C9" w:rsidRPr="002668C9">
        <w:t>List of eligible guidance documents</w:t>
      </w:r>
    </w:p>
    <w:p w14:paraId="5ABC3E4D" w14:textId="77777777" w:rsidR="002668C9" w:rsidRPr="00516926" w:rsidRDefault="002668C9" w:rsidP="002668C9">
      <w:pPr>
        <w:rPr>
          <w:rFonts w:cs="Times New Roman"/>
          <w:b/>
          <w:lang w:val="en-US"/>
        </w:rPr>
      </w:pPr>
      <w:r w:rsidRPr="00516926">
        <w:rPr>
          <w:b/>
          <w:lang w:val="en-US"/>
        </w:rPr>
        <w:t>The following guidance documents were identifi</w:t>
      </w:r>
      <w:r w:rsidRPr="00516926">
        <w:rPr>
          <w:rFonts w:cs="Times New Roman"/>
          <w:b/>
          <w:lang w:val="en-US"/>
        </w:rPr>
        <w:t>ed using the EQUATOR Network search engine:</w:t>
      </w:r>
    </w:p>
    <w:p w14:paraId="02AEEE63" w14:textId="77777777" w:rsidR="002668C9" w:rsidRPr="004D457C" w:rsidRDefault="002668C9" w:rsidP="002668C9">
      <w:pPr>
        <w:pStyle w:val="ListParagraph"/>
        <w:numPr>
          <w:ilvl w:val="0"/>
          <w:numId w:val="7"/>
        </w:numPr>
        <w:rPr>
          <w:rFonts w:eastAsia="Times New Roman" w:cs="Times New Roman"/>
          <w:color w:val="000000"/>
          <w:lang w:eastAsia="en-GB"/>
        </w:rPr>
      </w:pPr>
      <w:proofErr w:type="spellStart"/>
      <w:r w:rsidRPr="004D457C">
        <w:rPr>
          <w:rFonts w:eastAsia="Times New Roman" w:cs="Times New Roman"/>
          <w:color w:val="000000"/>
          <w:lang w:eastAsia="en-GB"/>
        </w:rPr>
        <w:t>Bilbro</w:t>
      </w:r>
      <w:proofErr w:type="spellEnd"/>
      <w:r w:rsidRPr="004D457C">
        <w:rPr>
          <w:rFonts w:eastAsia="Times New Roman" w:cs="Times New Roman"/>
          <w:color w:val="000000"/>
          <w:lang w:eastAsia="en-GB"/>
        </w:rPr>
        <w:t xml:space="preserve"> NA, Hirst A, </w:t>
      </w:r>
      <w:proofErr w:type="spellStart"/>
      <w:r w:rsidRPr="004D457C">
        <w:rPr>
          <w:rFonts w:eastAsia="Times New Roman" w:cs="Times New Roman"/>
          <w:color w:val="000000"/>
          <w:lang w:eastAsia="en-GB"/>
        </w:rPr>
        <w:t>Paez</w:t>
      </w:r>
      <w:proofErr w:type="spellEnd"/>
      <w:r w:rsidRPr="004D457C">
        <w:rPr>
          <w:rFonts w:eastAsia="Times New Roman" w:cs="Times New Roman"/>
          <w:color w:val="000000"/>
          <w:lang w:eastAsia="en-GB"/>
        </w:rPr>
        <w:t xml:space="preserve"> A, Vasey B, </w:t>
      </w:r>
      <w:proofErr w:type="spellStart"/>
      <w:r w:rsidRPr="004D457C">
        <w:rPr>
          <w:rFonts w:eastAsia="Times New Roman" w:cs="Times New Roman"/>
          <w:color w:val="000000"/>
          <w:lang w:eastAsia="en-GB"/>
        </w:rPr>
        <w:t>Pufulete</w:t>
      </w:r>
      <w:proofErr w:type="spellEnd"/>
      <w:r w:rsidRPr="004D457C">
        <w:rPr>
          <w:rFonts w:eastAsia="Times New Roman" w:cs="Times New Roman"/>
          <w:color w:val="000000"/>
          <w:lang w:eastAsia="en-GB"/>
        </w:rPr>
        <w:t xml:space="preserve"> M, </w:t>
      </w:r>
      <w:proofErr w:type="spellStart"/>
      <w:r w:rsidRPr="004D457C">
        <w:rPr>
          <w:rFonts w:eastAsia="Times New Roman" w:cs="Times New Roman"/>
          <w:color w:val="000000"/>
          <w:lang w:eastAsia="en-GB"/>
        </w:rPr>
        <w:t>Sedrakyan</w:t>
      </w:r>
      <w:proofErr w:type="spellEnd"/>
      <w:r w:rsidRPr="004D457C">
        <w:rPr>
          <w:rFonts w:eastAsia="Times New Roman" w:cs="Times New Roman"/>
          <w:color w:val="000000"/>
          <w:lang w:eastAsia="en-GB"/>
        </w:rPr>
        <w:t xml:space="preserve"> A, McCulloch P; IDEAL Collaboration Reporting Guidelines Working Group. The IDEAL Reporting Guidelines: A Delphi Consensus Statement Stage specific recommendations for reporting the evaluation of surgical innovation. Ann Surg. 2020.</w:t>
      </w:r>
    </w:p>
    <w:p w14:paraId="0BFBFA59" w14:textId="77777777" w:rsidR="002668C9" w:rsidRPr="00B17EEB" w:rsidRDefault="002668C9" w:rsidP="002668C9">
      <w:pPr>
        <w:pStyle w:val="ListParagraph"/>
        <w:numPr>
          <w:ilvl w:val="0"/>
          <w:numId w:val="7"/>
        </w:numPr>
        <w:rPr>
          <w:rFonts w:eastAsia="Times New Roman" w:cs="Times New Roman"/>
          <w:color w:val="000000"/>
          <w:lang w:eastAsia="en-GB"/>
        </w:rPr>
      </w:pPr>
      <w:r w:rsidRPr="004D457C">
        <w:rPr>
          <w:rFonts w:eastAsia="Times New Roman" w:cs="Times New Roman"/>
          <w:color w:val="000000"/>
          <w:lang w:eastAsia="en-GB"/>
        </w:rPr>
        <w:t xml:space="preserve">Elias KM, Stone AB, </w:t>
      </w:r>
      <w:proofErr w:type="spellStart"/>
      <w:r w:rsidRPr="004D457C">
        <w:rPr>
          <w:rFonts w:eastAsia="Times New Roman" w:cs="Times New Roman"/>
          <w:color w:val="000000"/>
          <w:lang w:eastAsia="en-GB"/>
        </w:rPr>
        <w:t>McGinigle</w:t>
      </w:r>
      <w:proofErr w:type="spellEnd"/>
      <w:r w:rsidRPr="004D457C">
        <w:rPr>
          <w:rFonts w:eastAsia="Times New Roman" w:cs="Times New Roman"/>
          <w:color w:val="000000"/>
          <w:lang w:eastAsia="en-GB"/>
        </w:rPr>
        <w:t xml:space="preserve"> K, </w:t>
      </w:r>
      <w:proofErr w:type="spellStart"/>
      <w:r w:rsidRPr="004D457C">
        <w:rPr>
          <w:rFonts w:eastAsia="Times New Roman" w:cs="Times New Roman"/>
          <w:color w:val="000000"/>
          <w:lang w:eastAsia="en-GB"/>
        </w:rPr>
        <w:t>Tankou</w:t>
      </w:r>
      <w:proofErr w:type="spellEnd"/>
      <w:r w:rsidRPr="004D457C">
        <w:rPr>
          <w:rFonts w:eastAsia="Times New Roman" w:cs="Times New Roman"/>
          <w:color w:val="000000"/>
          <w:lang w:eastAsia="en-GB"/>
        </w:rPr>
        <w:t xml:space="preserve"> JI, Scott MJ, Fawcett WJ, </w:t>
      </w:r>
      <w:proofErr w:type="spellStart"/>
      <w:r w:rsidRPr="004D457C">
        <w:rPr>
          <w:rFonts w:eastAsia="Times New Roman" w:cs="Times New Roman"/>
          <w:color w:val="000000"/>
          <w:lang w:eastAsia="en-GB"/>
        </w:rPr>
        <w:t>Demartines</w:t>
      </w:r>
      <w:proofErr w:type="spellEnd"/>
      <w:r w:rsidRPr="004D457C">
        <w:rPr>
          <w:rFonts w:eastAsia="Times New Roman" w:cs="Times New Roman"/>
          <w:color w:val="000000"/>
          <w:lang w:eastAsia="en-GB"/>
        </w:rPr>
        <w:t xml:space="preserve"> N, Lobo DN, </w:t>
      </w:r>
      <w:proofErr w:type="spellStart"/>
      <w:r w:rsidRPr="00B17EEB">
        <w:rPr>
          <w:rFonts w:eastAsia="Times New Roman" w:cs="Times New Roman"/>
          <w:color w:val="000000"/>
          <w:lang w:eastAsia="en-GB"/>
        </w:rPr>
        <w:t>Ljungqvist</w:t>
      </w:r>
      <w:proofErr w:type="spellEnd"/>
      <w:r w:rsidRPr="00B17EEB">
        <w:rPr>
          <w:rFonts w:eastAsia="Times New Roman" w:cs="Times New Roman"/>
          <w:color w:val="000000"/>
          <w:lang w:eastAsia="en-GB"/>
        </w:rPr>
        <w:t xml:space="preserve"> O, </w:t>
      </w:r>
      <w:proofErr w:type="spellStart"/>
      <w:r w:rsidRPr="00B17EEB">
        <w:rPr>
          <w:rFonts w:eastAsia="Times New Roman" w:cs="Times New Roman"/>
          <w:color w:val="000000"/>
          <w:lang w:eastAsia="en-GB"/>
        </w:rPr>
        <w:t>Urman</w:t>
      </w:r>
      <w:proofErr w:type="spellEnd"/>
      <w:r w:rsidRPr="00B17EEB">
        <w:rPr>
          <w:rFonts w:eastAsia="Times New Roman" w:cs="Times New Roman"/>
          <w:color w:val="000000"/>
          <w:lang w:eastAsia="en-GB"/>
        </w:rPr>
        <w:t xml:space="preserve"> RD; ERAS® Society and ERAS® USA. The Reporting on ERAS Compliance, Outcomes, and Elements Research (</w:t>
      </w:r>
      <w:proofErr w:type="spellStart"/>
      <w:r w:rsidRPr="00B17EEB">
        <w:rPr>
          <w:rFonts w:eastAsia="Times New Roman" w:cs="Times New Roman"/>
          <w:color w:val="000000"/>
          <w:lang w:eastAsia="en-GB"/>
        </w:rPr>
        <w:t>RECOvER</w:t>
      </w:r>
      <w:proofErr w:type="spellEnd"/>
      <w:r w:rsidRPr="00B17EEB">
        <w:rPr>
          <w:rFonts w:eastAsia="Times New Roman" w:cs="Times New Roman"/>
          <w:color w:val="000000"/>
          <w:lang w:eastAsia="en-GB"/>
        </w:rPr>
        <w:t>) Checklist: A Joint Statement by the ERAS® and ERAS® USA Societies. World J Surg. 2019 Jan;43(1):1-8.</w:t>
      </w:r>
    </w:p>
    <w:p w14:paraId="5CBFEC85" w14:textId="77777777" w:rsidR="002668C9" w:rsidRPr="00B17EEB" w:rsidRDefault="002668C9" w:rsidP="002668C9">
      <w:pPr>
        <w:pStyle w:val="ListParagraph"/>
        <w:numPr>
          <w:ilvl w:val="0"/>
          <w:numId w:val="7"/>
        </w:numPr>
        <w:rPr>
          <w:rFonts w:eastAsia="Times New Roman" w:cs="Times New Roman"/>
          <w:color w:val="000000"/>
          <w:lang w:eastAsia="en-GB"/>
        </w:rPr>
      </w:pPr>
      <w:r w:rsidRPr="00B17EEB">
        <w:rPr>
          <w:rFonts w:eastAsia="Times New Roman" w:cs="Times New Roman"/>
          <w:color w:val="000000"/>
          <w:lang w:eastAsia="en-GB"/>
        </w:rPr>
        <w:t xml:space="preserve">Gamble C, Krishan A, Stocken D, Lewis S, </w:t>
      </w:r>
      <w:proofErr w:type="spellStart"/>
      <w:r w:rsidRPr="00B17EEB">
        <w:rPr>
          <w:rFonts w:eastAsia="Times New Roman" w:cs="Times New Roman"/>
          <w:color w:val="000000"/>
          <w:lang w:eastAsia="en-GB"/>
        </w:rPr>
        <w:t>Juszczak</w:t>
      </w:r>
      <w:proofErr w:type="spellEnd"/>
      <w:r w:rsidRPr="00B17EEB">
        <w:rPr>
          <w:rFonts w:eastAsia="Times New Roman" w:cs="Times New Roman"/>
          <w:color w:val="000000"/>
          <w:lang w:eastAsia="en-GB"/>
        </w:rPr>
        <w:t xml:space="preserve"> E, </w:t>
      </w:r>
      <w:proofErr w:type="spellStart"/>
      <w:r w:rsidRPr="00B17EEB">
        <w:rPr>
          <w:rFonts w:eastAsia="Times New Roman" w:cs="Times New Roman"/>
          <w:color w:val="000000"/>
          <w:lang w:eastAsia="en-GB"/>
        </w:rPr>
        <w:t>Doré</w:t>
      </w:r>
      <w:proofErr w:type="spellEnd"/>
      <w:r w:rsidRPr="00B17EEB">
        <w:rPr>
          <w:rFonts w:eastAsia="Times New Roman" w:cs="Times New Roman"/>
          <w:color w:val="000000"/>
          <w:lang w:eastAsia="en-GB"/>
        </w:rPr>
        <w:t xml:space="preserve"> C, Williamson PR, Altman DG, Montgomery A, Lim P, Berlin J, </w:t>
      </w:r>
      <w:proofErr w:type="spellStart"/>
      <w:r w:rsidRPr="00B17EEB">
        <w:rPr>
          <w:rFonts w:eastAsia="Times New Roman" w:cs="Times New Roman"/>
          <w:color w:val="000000"/>
          <w:lang w:eastAsia="en-GB"/>
        </w:rPr>
        <w:t>Senn</w:t>
      </w:r>
      <w:proofErr w:type="spellEnd"/>
      <w:r w:rsidRPr="00B17EEB">
        <w:rPr>
          <w:rFonts w:eastAsia="Times New Roman" w:cs="Times New Roman"/>
          <w:color w:val="000000"/>
          <w:lang w:eastAsia="en-GB"/>
        </w:rPr>
        <w:t xml:space="preserve"> S, Day S, </w:t>
      </w:r>
      <w:proofErr w:type="spellStart"/>
      <w:r w:rsidRPr="00B17EEB">
        <w:rPr>
          <w:rFonts w:eastAsia="Times New Roman" w:cs="Times New Roman"/>
          <w:color w:val="000000"/>
          <w:lang w:eastAsia="en-GB"/>
        </w:rPr>
        <w:t>Barbachano</w:t>
      </w:r>
      <w:proofErr w:type="spellEnd"/>
      <w:r w:rsidRPr="00B17EEB">
        <w:rPr>
          <w:rFonts w:eastAsia="Times New Roman" w:cs="Times New Roman"/>
          <w:color w:val="000000"/>
          <w:lang w:eastAsia="en-GB"/>
        </w:rPr>
        <w:t xml:space="preserve"> Y, Loder E. Guidelines for the Content of Statistical Analysis Plans in Clinical Trials. JAMA. 2017;318(23):2337-2343.</w:t>
      </w:r>
    </w:p>
    <w:p w14:paraId="49E18006" w14:textId="77777777" w:rsidR="002668C9" w:rsidRPr="00B17EEB" w:rsidRDefault="002668C9" w:rsidP="002668C9">
      <w:pPr>
        <w:pStyle w:val="ListParagraph"/>
        <w:numPr>
          <w:ilvl w:val="0"/>
          <w:numId w:val="7"/>
        </w:numPr>
        <w:rPr>
          <w:rFonts w:eastAsia="Times New Roman" w:cs="Times New Roman"/>
          <w:color w:val="000000"/>
          <w:lang w:eastAsia="en-GB"/>
        </w:rPr>
      </w:pPr>
      <w:r w:rsidRPr="00B17EEB">
        <w:rPr>
          <w:rFonts w:eastAsia="Times New Roman" w:cs="Times New Roman"/>
          <w:color w:val="000000"/>
          <w:lang w:eastAsia="en-GB"/>
        </w:rPr>
        <w:t xml:space="preserve">Jackson DL. Reporting results of latent growth </w:t>
      </w:r>
      <w:proofErr w:type="spellStart"/>
      <w:r w:rsidRPr="00B17EEB">
        <w:rPr>
          <w:rFonts w:eastAsia="Times New Roman" w:cs="Times New Roman"/>
          <w:color w:val="000000"/>
          <w:lang w:eastAsia="en-GB"/>
        </w:rPr>
        <w:t>modeling</w:t>
      </w:r>
      <w:proofErr w:type="spellEnd"/>
      <w:r w:rsidRPr="00B17EEB">
        <w:rPr>
          <w:rFonts w:eastAsia="Times New Roman" w:cs="Times New Roman"/>
          <w:color w:val="000000"/>
          <w:lang w:eastAsia="en-GB"/>
        </w:rPr>
        <w:t xml:space="preserve"> and multilevel </w:t>
      </w:r>
      <w:proofErr w:type="spellStart"/>
      <w:r w:rsidRPr="00B17EEB">
        <w:rPr>
          <w:rFonts w:eastAsia="Times New Roman" w:cs="Times New Roman"/>
          <w:color w:val="000000"/>
          <w:lang w:eastAsia="en-GB"/>
        </w:rPr>
        <w:t>modeling</w:t>
      </w:r>
      <w:proofErr w:type="spellEnd"/>
      <w:r w:rsidRPr="00B17EEB">
        <w:rPr>
          <w:rFonts w:eastAsia="Times New Roman" w:cs="Times New Roman"/>
          <w:color w:val="000000"/>
          <w:lang w:eastAsia="en-GB"/>
        </w:rPr>
        <w:t xml:space="preserve"> analyses: some recommendations for rehabilitation psychology. </w:t>
      </w:r>
      <w:proofErr w:type="spellStart"/>
      <w:r w:rsidRPr="00B17EEB">
        <w:rPr>
          <w:rFonts w:eastAsia="Times New Roman" w:cs="Times New Roman"/>
          <w:color w:val="000000"/>
          <w:lang w:eastAsia="en-GB"/>
        </w:rPr>
        <w:t>Rehabil</w:t>
      </w:r>
      <w:proofErr w:type="spellEnd"/>
      <w:r w:rsidRPr="00B17EEB">
        <w:rPr>
          <w:rFonts w:eastAsia="Times New Roman" w:cs="Times New Roman"/>
          <w:color w:val="000000"/>
          <w:lang w:eastAsia="en-GB"/>
        </w:rPr>
        <w:t xml:space="preserve"> Psychol. 2010;55(3):272-285.</w:t>
      </w:r>
    </w:p>
    <w:p w14:paraId="6AF94F4D" w14:textId="77777777" w:rsidR="002668C9" w:rsidRPr="00B17EEB" w:rsidRDefault="002668C9" w:rsidP="002668C9">
      <w:pPr>
        <w:pStyle w:val="ListParagraph"/>
        <w:numPr>
          <w:ilvl w:val="0"/>
          <w:numId w:val="7"/>
        </w:numPr>
        <w:rPr>
          <w:rFonts w:eastAsia="Times New Roman" w:cs="Times New Roman"/>
          <w:color w:val="000000"/>
          <w:lang w:eastAsia="en-GB"/>
        </w:rPr>
      </w:pPr>
      <w:r w:rsidRPr="00B17EEB">
        <w:rPr>
          <w:rFonts w:eastAsia="Times New Roman" w:cs="Times New Roman"/>
          <w:color w:val="000000"/>
          <w:lang w:eastAsia="en-GB"/>
        </w:rPr>
        <w:t xml:space="preserve">de Jager DJ, de </w:t>
      </w:r>
      <w:proofErr w:type="spellStart"/>
      <w:r w:rsidRPr="00B17EEB">
        <w:rPr>
          <w:rFonts w:eastAsia="Times New Roman" w:cs="Times New Roman"/>
          <w:color w:val="000000"/>
          <w:lang w:eastAsia="en-GB"/>
        </w:rPr>
        <w:t>Mutsert</w:t>
      </w:r>
      <w:proofErr w:type="spellEnd"/>
      <w:r w:rsidRPr="00B17EEB">
        <w:rPr>
          <w:rFonts w:eastAsia="Times New Roman" w:cs="Times New Roman"/>
          <w:color w:val="000000"/>
          <w:lang w:eastAsia="en-GB"/>
        </w:rPr>
        <w:t xml:space="preserve"> R, Jager KJ, Zoccali C, Dekker FW. Reporting of interaction. Nephron Clin </w:t>
      </w:r>
      <w:proofErr w:type="spellStart"/>
      <w:r w:rsidRPr="00B17EEB">
        <w:rPr>
          <w:rFonts w:eastAsia="Times New Roman" w:cs="Times New Roman"/>
          <w:color w:val="000000"/>
          <w:lang w:eastAsia="en-GB"/>
        </w:rPr>
        <w:t>Pract</w:t>
      </w:r>
      <w:proofErr w:type="spellEnd"/>
      <w:r w:rsidRPr="00B17EEB">
        <w:rPr>
          <w:rFonts w:eastAsia="Times New Roman" w:cs="Times New Roman"/>
          <w:color w:val="000000"/>
          <w:lang w:eastAsia="en-GB"/>
        </w:rPr>
        <w:t>. 2011;119(2):c158-161.</w:t>
      </w:r>
    </w:p>
    <w:p w14:paraId="7964371A" w14:textId="77777777" w:rsidR="002668C9" w:rsidRPr="00B17EEB" w:rsidRDefault="002668C9" w:rsidP="002668C9">
      <w:pPr>
        <w:pStyle w:val="ListParagraph"/>
        <w:numPr>
          <w:ilvl w:val="0"/>
          <w:numId w:val="7"/>
        </w:numPr>
        <w:rPr>
          <w:rFonts w:eastAsia="Times New Roman" w:cs="Times New Roman"/>
          <w:color w:val="000000"/>
          <w:lang w:eastAsia="en-GB"/>
        </w:rPr>
      </w:pPr>
      <w:proofErr w:type="spellStart"/>
      <w:r w:rsidRPr="00B17EEB">
        <w:rPr>
          <w:rFonts w:eastAsia="Times New Roman" w:cs="Times New Roman"/>
          <w:color w:val="000000"/>
          <w:lang w:eastAsia="en-GB"/>
        </w:rPr>
        <w:t>Kalil</w:t>
      </w:r>
      <w:proofErr w:type="spellEnd"/>
      <w:r w:rsidRPr="00B17EEB">
        <w:rPr>
          <w:rFonts w:eastAsia="Times New Roman" w:cs="Times New Roman"/>
          <w:color w:val="000000"/>
          <w:lang w:eastAsia="en-GB"/>
        </w:rPr>
        <w:t xml:space="preserve"> AC, </w:t>
      </w:r>
      <w:proofErr w:type="spellStart"/>
      <w:r w:rsidRPr="00B17EEB">
        <w:rPr>
          <w:rFonts w:eastAsia="Times New Roman" w:cs="Times New Roman"/>
          <w:color w:val="000000"/>
          <w:lang w:eastAsia="en-GB"/>
        </w:rPr>
        <w:t>Mattei</w:t>
      </w:r>
      <w:proofErr w:type="spellEnd"/>
      <w:r w:rsidRPr="00B17EEB">
        <w:rPr>
          <w:rFonts w:eastAsia="Times New Roman" w:cs="Times New Roman"/>
          <w:color w:val="000000"/>
          <w:lang w:eastAsia="en-GB"/>
        </w:rPr>
        <w:t xml:space="preserve"> J, </w:t>
      </w:r>
      <w:proofErr w:type="spellStart"/>
      <w:r w:rsidRPr="00B17EEB">
        <w:rPr>
          <w:rFonts w:eastAsia="Times New Roman" w:cs="Times New Roman"/>
          <w:color w:val="000000"/>
          <w:lang w:eastAsia="en-GB"/>
        </w:rPr>
        <w:t>Florescu</w:t>
      </w:r>
      <w:proofErr w:type="spellEnd"/>
      <w:r w:rsidRPr="00B17EEB">
        <w:rPr>
          <w:rFonts w:eastAsia="Times New Roman" w:cs="Times New Roman"/>
          <w:color w:val="000000"/>
          <w:lang w:eastAsia="en-GB"/>
        </w:rPr>
        <w:t xml:space="preserve"> DF, Sun J, </w:t>
      </w:r>
      <w:proofErr w:type="spellStart"/>
      <w:r w:rsidRPr="00B17EEB">
        <w:rPr>
          <w:rFonts w:eastAsia="Times New Roman" w:cs="Times New Roman"/>
          <w:color w:val="000000"/>
          <w:lang w:eastAsia="en-GB"/>
        </w:rPr>
        <w:t>Kalil</w:t>
      </w:r>
      <w:proofErr w:type="spellEnd"/>
      <w:r w:rsidRPr="00B17EEB">
        <w:rPr>
          <w:rFonts w:eastAsia="Times New Roman" w:cs="Times New Roman"/>
          <w:color w:val="000000"/>
          <w:lang w:eastAsia="en-GB"/>
        </w:rPr>
        <w:t xml:space="preserve"> RS. Recommendations for the assessment and reporting of multivariable logistic regression in transplantation literature. Am J Transplant. 2010;10(7):1686-1694.</w:t>
      </w:r>
    </w:p>
    <w:p w14:paraId="14A2E3A6" w14:textId="77777777" w:rsidR="002668C9" w:rsidRPr="00B17EEB" w:rsidRDefault="002668C9" w:rsidP="002668C9">
      <w:pPr>
        <w:pStyle w:val="ListParagraph"/>
        <w:numPr>
          <w:ilvl w:val="0"/>
          <w:numId w:val="7"/>
        </w:numPr>
        <w:rPr>
          <w:rFonts w:eastAsia="Times New Roman" w:cs="Times New Roman"/>
          <w:color w:val="000000"/>
          <w:lang w:eastAsia="en-GB"/>
        </w:rPr>
      </w:pPr>
      <w:r w:rsidRPr="00B17EEB">
        <w:rPr>
          <w:rFonts w:eastAsia="Times New Roman" w:cs="Times New Roman"/>
          <w:color w:val="000000"/>
          <w:lang w:eastAsia="en-GB"/>
        </w:rPr>
        <w:t xml:space="preserve">Kent DM, Rothwell PM, Ioannidis JP, Altman DG, Hayward RA. Assessing and reporting heterogeneity in treatment effects in clinical trials: a proposal. Trials. </w:t>
      </w:r>
      <w:proofErr w:type="gramStart"/>
      <w:r w:rsidRPr="00B17EEB">
        <w:rPr>
          <w:rFonts w:eastAsia="Times New Roman" w:cs="Times New Roman"/>
          <w:color w:val="000000"/>
          <w:lang w:eastAsia="en-GB"/>
        </w:rPr>
        <w:t>2010;11:85</w:t>
      </w:r>
      <w:proofErr w:type="gramEnd"/>
      <w:r w:rsidRPr="00B17EEB">
        <w:rPr>
          <w:rFonts w:eastAsia="Times New Roman" w:cs="Times New Roman"/>
          <w:color w:val="000000"/>
          <w:lang w:eastAsia="en-GB"/>
        </w:rPr>
        <w:t>.</w:t>
      </w:r>
    </w:p>
    <w:p w14:paraId="48040CE1" w14:textId="77777777" w:rsidR="002668C9" w:rsidRPr="00DC05A9" w:rsidRDefault="002668C9" w:rsidP="002668C9">
      <w:pPr>
        <w:pStyle w:val="ListParagraph"/>
        <w:numPr>
          <w:ilvl w:val="0"/>
          <w:numId w:val="7"/>
        </w:numPr>
        <w:rPr>
          <w:rFonts w:eastAsia="Times New Roman" w:cs="Times New Roman"/>
          <w:lang w:eastAsia="en-GB"/>
        </w:rPr>
      </w:pPr>
      <w:r w:rsidRPr="00B17EEB">
        <w:rPr>
          <w:rFonts w:eastAsia="Times New Roman" w:cs="Times New Roman"/>
          <w:color w:val="000000"/>
          <w:lang w:eastAsia="en-GB"/>
        </w:rPr>
        <w:t>Lang TA, Altman DG. Basic statistical reporting for articles published in biomedical journals: the "Statistical Analyses and Methods in the Published Literature" or the SAMPL Guidelines. Int J</w:t>
      </w:r>
      <w:r w:rsidRPr="00DC05A9">
        <w:rPr>
          <w:rFonts w:eastAsia="Times New Roman" w:cs="Times New Roman"/>
          <w:lang w:eastAsia="en-GB"/>
        </w:rPr>
        <w:t xml:space="preserve"> </w:t>
      </w:r>
      <w:proofErr w:type="spellStart"/>
      <w:r w:rsidRPr="00DC05A9">
        <w:rPr>
          <w:rFonts w:eastAsia="Times New Roman" w:cs="Times New Roman"/>
          <w:lang w:eastAsia="en-GB"/>
        </w:rPr>
        <w:t>Nurs</w:t>
      </w:r>
      <w:proofErr w:type="spellEnd"/>
      <w:r w:rsidRPr="00DC05A9">
        <w:rPr>
          <w:rFonts w:eastAsia="Times New Roman" w:cs="Times New Roman"/>
          <w:lang w:eastAsia="en-GB"/>
        </w:rPr>
        <w:t xml:space="preserve"> Stud. 2015;52(1):5-9.</w:t>
      </w:r>
    </w:p>
    <w:p w14:paraId="5E6EE8B5" w14:textId="77777777" w:rsidR="002668C9" w:rsidRPr="00DC05A9" w:rsidRDefault="002668C9" w:rsidP="002668C9">
      <w:pPr>
        <w:pStyle w:val="ListParagraph"/>
        <w:numPr>
          <w:ilvl w:val="0"/>
          <w:numId w:val="7"/>
        </w:numPr>
        <w:rPr>
          <w:rFonts w:eastAsia="Times New Roman" w:cs="Times New Roman"/>
          <w:lang w:eastAsia="en-GB"/>
        </w:rPr>
      </w:pPr>
      <w:r w:rsidRPr="00DC05A9">
        <w:rPr>
          <w:rFonts w:eastAsia="Times New Roman" w:cs="Times New Roman"/>
          <w:lang w:eastAsia="en-GB"/>
        </w:rPr>
        <w:lastRenderedPageBreak/>
        <w:t xml:space="preserve">van de </w:t>
      </w:r>
      <w:proofErr w:type="spellStart"/>
      <w:r w:rsidRPr="00DC05A9">
        <w:rPr>
          <w:rFonts w:eastAsia="Times New Roman" w:cs="Times New Roman"/>
          <w:lang w:eastAsia="en-GB"/>
        </w:rPr>
        <w:t>Schoot</w:t>
      </w:r>
      <w:proofErr w:type="spellEnd"/>
      <w:r w:rsidRPr="00DC05A9">
        <w:rPr>
          <w:rFonts w:eastAsia="Times New Roman" w:cs="Times New Roman"/>
          <w:lang w:eastAsia="en-GB"/>
        </w:rPr>
        <w:t xml:space="preserve"> R, </w:t>
      </w:r>
      <w:proofErr w:type="spellStart"/>
      <w:r w:rsidRPr="00DC05A9">
        <w:rPr>
          <w:rFonts w:eastAsia="Times New Roman" w:cs="Times New Roman"/>
          <w:lang w:eastAsia="en-GB"/>
        </w:rPr>
        <w:t>Sijbrandij</w:t>
      </w:r>
      <w:proofErr w:type="spellEnd"/>
      <w:r w:rsidRPr="00DC05A9">
        <w:rPr>
          <w:rFonts w:eastAsia="Times New Roman" w:cs="Times New Roman"/>
          <w:lang w:eastAsia="en-GB"/>
        </w:rPr>
        <w:t xml:space="preserve"> M, Winter SD, </w:t>
      </w:r>
      <w:proofErr w:type="spellStart"/>
      <w:r w:rsidRPr="00DC05A9">
        <w:rPr>
          <w:rFonts w:eastAsia="Times New Roman" w:cs="Times New Roman"/>
          <w:lang w:eastAsia="en-GB"/>
        </w:rPr>
        <w:t>Depaoli</w:t>
      </w:r>
      <w:proofErr w:type="spellEnd"/>
      <w:r w:rsidRPr="00DC05A9">
        <w:rPr>
          <w:rFonts w:eastAsia="Times New Roman" w:cs="Times New Roman"/>
          <w:lang w:eastAsia="en-GB"/>
        </w:rPr>
        <w:t xml:space="preserve"> S, </w:t>
      </w:r>
      <w:proofErr w:type="spellStart"/>
      <w:r w:rsidRPr="00DC05A9">
        <w:rPr>
          <w:rFonts w:eastAsia="Times New Roman" w:cs="Times New Roman"/>
          <w:lang w:eastAsia="en-GB"/>
        </w:rPr>
        <w:t>Vermunt</w:t>
      </w:r>
      <w:proofErr w:type="spellEnd"/>
      <w:r w:rsidRPr="00DC05A9">
        <w:rPr>
          <w:rFonts w:eastAsia="Times New Roman" w:cs="Times New Roman"/>
          <w:lang w:eastAsia="en-GB"/>
        </w:rPr>
        <w:t xml:space="preserve"> JK. Guidelines for Reporting on Latent Trajectory Studies (</w:t>
      </w:r>
      <w:proofErr w:type="spellStart"/>
      <w:r w:rsidRPr="00DC05A9">
        <w:rPr>
          <w:rFonts w:eastAsia="Times New Roman" w:cs="Times New Roman"/>
          <w:lang w:eastAsia="en-GB"/>
        </w:rPr>
        <w:t>GRoLTS</w:t>
      </w:r>
      <w:proofErr w:type="spellEnd"/>
      <w:r w:rsidRPr="00DC05A9">
        <w:rPr>
          <w:rFonts w:eastAsia="Times New Roman" w:cs="Times New Roman"/>
          <w:lang w:eastAsia="en-GB"/>
        </w:rPr>
        <w:t xml:space="preserve">). Structural Equation </w:t>
      </w:r>
      <w:proofErr w:type="spellStart"/>
      <w:r w:rsidRPr="00DC05A9">
        <w:rPr>
          <w:rFonts w:eastAsia="Times New Roman" w:cs="Times New Roman"/>
          <w:lang w:eastAsia="en-GB"/>
        </w:rPr>
        <w:t>Modeling</w:t>
      </w:r>
      <w:proofErr w:type="spellEnd"/>
      <w:r w:rsidRPr="00DC05A9">
        <w:rPr>
          <w:rFonts w:eastAsia="Times New Roman" w:cs="Times New Roman"/>
          <w:lang w:eastAsia="en-GB"/>
        </w:rPr>
        <w:t>: A Multidisciplinary Journal. 2017;24(3):451-467.</w:t>
      </w:r>
    </w:p>
    <w:p w14:paraId="5FE240D8" w14:textId="77777777" w:rsidR="002668C9" w:rsidRPr="00DC05A9" w:rsidRDefault="002668C9" w:rsidP="002668C9">
      <w:pPr>
        <w:pStyle w:val="ListParagraph"/>
        <w:numPr>
          <w:ilvl w:val="0"/>
          <w:numId w:val="7"/>
        </w:numPr>
        <w:rPr>
          <w:rFonts w:eastAsia="Times New Roman" w:cs="Times New Roman"/>
          <w:lang w:eastAsia="en-GB"/>
        </w:rPr>
      </w:pPr>
      <w:r w:rsidRPr="00DC05A9">
        <w:rPr>
          <w:rFonts w:eastAsia="Times New Roman" w:cs="Times New Roman"/>
          <w:lang w:eastAsia="en-GB"/>
        </w:rPr>
        <w:t xml:space="preserve">Schreiber JB. Latent Class Analysis: An example for reporting results. Res Social </w:t>
      </w:r>
      <w:proofErr w:type="spellStart"/>
      <w:r w:rsidRPr="00DC05A9">
        <w:rPr>
          <w:rFonts w:eastAsia="Times New Roman" w:cs="Times New Roman"/>
          <w:lang w:eastAsia="en-GB"/>
        </w:rPr>
        <w:t>Adm</w:t>
      </w:r>
      <w:proofErr w:type="spellEnd"/>
      <w:r w:rsidRPr="00DC05A9">
        <w:rPr>
          <w:rFonts w:eastAsia="Times New Roman" w:cs="Times New Roman"/>
          <w:lang w:eastAsia="en-GB"/>
        </w:rPr>
        <w:t xml:space="preserve"> Pharm. 2016.</w:t>
      </w:r>
    </w:p>
    <w:p w14:paraId="05DE7730" w14:textId="77777777" w:rsidR="002668C9" w:rsidRPr="00DC05A9" w:rsidRDefault="002668C9" w:rsidP="002668C9">
      <w:pPr>
        <w:pStyle w:val="ListParagraph"/>
        <w:numPr>
          <w:ilvl w:val="0"/>
          <w:numId w:val="7"/>
        </w:numPr>
        <w:rPr>
          <w:rFonts w:eastAsia="Times New Roman" w:cs="Times New Roman"/>
          <w:lang w:eastAsia="en-GB"/>
        </w:rPr>
      </w:pPr>
      <w:proofErr w:type="spellStart"/>
      <w:r w:rsidRPr="00DC05A9">
        <w:rPr>
          <w:rFonts w:eastAsia="Times New Roman" w:cs="Times New Roman"/>
          <w:lang w:eastAsia="en-GB"/>
        </w:rPr>
        <w:t>Vanhie</w:t>
      </w:r>
      <w:proofErr w:type="spellEnd"/>
      <w:r w:rsidRPr="00DC05A9">
        <w:rPr>
          <w:rFonts w:eastAsia="Times New Roman" w:cs="Times New Roman"/>
          <w:lang w:eastAsia="en-GB"/>
        </w:rPr>
        <w:t xml:space="preserve"> A, Meuleman C, </w:t>
      </w:r>
      <w:proofErr w:type="spellStart"/>
      <w:r w:rsidRPr="00DC05A9">
        <w:rPr>
          <w:rFonts w:eastAsia="Times New Roman" w:cs="Times New Roman"/>
          <w:lang w:eastAsia="en-GB"/>
        </w:rPr>
        <w:t>Tomassetti</w:t>
      </w:r>
      <w:proofErr w:type="spellEnd"/>
      <w:r w:rsidRPr="00DC05A9">
        <w:rPr>
          <w:rFonts w:eastAsia="Times New Roman" w:cs="Times New Roman"/>
          <w:lang w:eastAsia="en-GB"/>
        </w:rPr>
        <w:t xml:space="preserve"> C, Timmerman D, </w:t>
      </w:r>
      <w:proofErr w:type="spellStart"/>
      <w:r w:rsidRPr="00DC05A9">
        <w:rPr>
          <w:rFonts w:eastAsia="Times New Roman" w:cs="Times New Roman"/>
          <w:lang w:eastAsia="en-GB"/>
        </w:rPr>
        <w:t>D'Hoore</w:t>
      </w:r>
      <w:proofErr w:type="spellEnd"/>
      <w:r w:rsidRPr="00DC05A9">
        <w:rPr>
          <w:rFonts w:eastAsia="Times New Roman" w:cs="Times New Roman"/>
          <w:lang w:eastAsia="en-GB"/>
        </w:rPr>
        <w:t xml:space="preserve"> A, </w:t>
      </w:r>
      <w:proofErr w:type="spellStart"/>
      <w:r w:rsidRPr="00DC05A9">
        <w:rPr>
          <w:rFonts w:eastAsia="Times New Roman" w:cs="Times New Roman"/>
          <w:lang w:eastAsia="en-GB"/>
        </w:rPr>
        <w:t>Wolthuis</w:t>
      </w:r>
      <w:proofErr w:type="spellEnd"/>
      <w:r w:rsidRPr="00DC05A9">
        <w:rPr>
          <w:rFonts w:eastAsia="Times New Roman" w:cs="Times New Roman"/>
          <w:lang w:eastAsia="en-GB"/>
        </w:rPr>
        <w:t xml:space="preserve"> A, Van </w:t>
      </w:r>
      <w:proofErr w:type="spellStart"/>
      <w:r w:rsidRPr="00DC05A9">
        <w:rPr>
          <w:rFonts w:eastAsia="Times New Roman" w:cs="Times New Roman"/>
          <w:lang w:eastAsia="en-GB"/>
        </w:rPr>
        <w:t>Cleynenbreugel</w:t>
      </w:r>
      <w:proofErr w:type="spellEnd"/>
      <w:r w:rsidRPr="00DC05A9">
        <w:rPr>
          <w:rFonts w:eastAsia="Times New Roman" w:cs="Times New Roman"/>
          <w:lang w:eastAsia="en-GB"/>
        </w:rPr>
        <w:t xml:space="preserve"> B, </w:t>
      </w:r>
      <w:proofErr w:type="spellStart"/>
      <w:r w:rsidRPr="00DC05A9">
        <w:rPr>
          <w:rFonts w:eastAsia="Times New Roman" w:cs="Times New Roman"/>
          <w:lang w:eastAsia="en-GB"/>
        </w:rPr>
        <w:t>Dancet</w:t>
      </w:r>
      <w:proofErr w:type="spellEnd"/>
      <w:r w:rsidRPr="00DC05A9">
        <w:rPr>
          <w:rFonts w:eastAsia="Times New Roman" w:cs="Times New Roman"/>
          <w:lang w:eastAsia="en-GB"/>
        </w:rPr>
        <w:t xml:space="preserve"> E, Van den </w:t>
      </w:r>
      <w:proofErr w:type="spellStart"/>
      <w:r w:rsidRPr="00DC05A9">
        <w:rPr>
          <w:rFonts w:eastAsia="Times New Roman" w:cs="Times New Roman"/>
          <w:lang w:eastAsia="en-GB"/>
        </w:rPr>
        <w:t>Broeck</w:t>
      </w:r>
      <w:proofErr w:type="spellEnd"/>
      <w:r w:rsidRPr="00DC05A9">
        <w:rPr>
          <w:rFonts w:eastAsia="Times New Roman" w:cs="Times New Roman"/>
          <w:lang w:eastAsia="en-GB"/>
        </w:rPr>
        <w:t xml:space="preserve"> U, </w:t>
      </w:r>
      <w:proofErr w:type="spellStart"/>
      <w:r w:rsidRPr="00DC05A9">
        <w:rPr>
          <w:rFonts w:eastAsia="Times New Roman" w:cs="Times New Roman"/>
          <w:lang w:eastAsia="en-GB"/>
        </w:rPr>
        <w:t>Tsaltas</w:t>
      </w:r>
      <w:proofErr w:type="spellEnd"/>
      <w:r w:rsidRPr="00DC05A9">
        <w:rPr>
          <w:rFonts w:eastAsia="Times New Roman" w:cs="Times New Roman"/>
          <w:lang w:eastAsia="en-GB"/>
        </w:rPr>
        <w:t xml:space="preserve"> J, Renner SP, Ebert AD, Carmona F, Abbott J, </w:t>
      </w:r>
      <w:proofErr w:type="spellStart"/>
      <w:r w:rsidRPr="00DC05A9">
        <w:rPr>
          <w:rFonts w:eastAsia="Times New Roman" w:cs="Times New Roman"/>
          <w:lang w:eastAsia="en-GB"/>
        </w:rPr>
        <w:t>Stepniewska</w:t>
      </w:r>
      <w:proofErr w:type="spellEnd"/>
      <w:r w:rsidRPr="00DC05A9">
        <w:rPr>
          <w:rFonts w:eastAsia="Times New Roman" w:cs="Times New Roman"/>
          <w:lang w:eastAsia="en-GB"/>
        </w:rPr>
        <w:t xml:space="preserve"> A, Taylor H, </w:t>
      </w:r>
      <w:proofErr w:type="spellStart"/>
      <w:r w:rsidRPr="00DC05A9">
        <w:rPr>
          <w:rFonts w:eastAsia="Times New Roman" w:cs="Times New Roman"/>
          <w:lang w:eastAsia="en-GB"/>
        </w:rPr>
        <w:t>Saridogan</w:t>
      </w:r>
      <w:proofErr w:type="spellEnd"/>
      <w:r w:rsidRPr="00DC05A9">
        <w:rPr>
          <w:rFonts w:eastAsia="Times New Roman" w:cs="Times New Roman"/>
          <w:lang w:eastAsia="en-GB"/>
        </w:rPr>
        <w:t xml:space="preserve"> E, Mueller M, </w:t>
      </w:r>
      <w:proofErr w:type="spellStart"/>
      <w:r w:rsidRPr="00DC05A9">
        <w:rPr>
          <w:rFonts w:eastAsia="Times New Roman" w:cs="Times New Roman"/>
          <w:lang w:eastAsia="en-GB"/>
        </w:rPr>
        <w:t>Keckstein</w:t>
      </w:r>
      <w:proofErr w:type="spellEnd"/>
      <w:r w:rsidRPr="00DC05A9">
        <w:rPr>
          <w:rFonts w:eastAsia="Times New Roman" w:cs="Times New Roman"/>
          <w:lang w:eastAsia="en-GB"/>
        </w:rPr>
        <w:t xml:space="preserve"> J, </w:t>
      </w:r>
      <w:proofErr w:type="spellStart"/>
      <w:r w:rsidRPr="00DC05A9">
        <w:rPr>
          <w:rFonts w:eastAsia="Times New Roman" w:cs="Times New Roman"/>
          <w:lang w:eastAsia="en-GB"/>
        </w:rPr>
        <w:t>Pluchino</w:t>
      </w:r>
      <w:proofErr w:type="spellEnd"/>
      <w:r w:rsidRPr="00DC05A9">
        <w:rPr>
          <w:rFonts w:eastAsia="Times New Roman" w:cs="Times New Roman"/>
          <w:lang w:eastAsia="en-GB"/>
        </w:rPr>
        <w:t xml:space="preserve"> N, </w:t>
      </w:r>
      <w:proofErr w:type="spellStart"/>
      <w:r w:rsidRPr="00DC05A9">
        <w:rPr>
          <w:rFonts w:eastAsia="Times New Roman" w:cs="Times New Roman"/>
          <w:lang w:eastAsia="en-GB"/>
        </w:rPr>
        <w:t>Janik</w:t>
      </w:r>
      <w:proofErr w:type="spellEnd"/>
      <w:r w:rsidRPr="00DC05A9">
        <w:rPr>
          <w:rFonts w:eastAsia="Times New Roman" w:cs="Times New Roman"/>
          <w:lang w:eastAsia="en-GB"/>
        </w:rPr>
        <w:t xml:space="preserve"> G, </w:t>
      </w:r>
      <w:proofErr w:type="spellStart"/>
      <w:r w:rsidRPr="00DC05A9">
        <w:rPr>
          <w:rFonts w:eastAsia="Times New Roman" w:cs="Times New Roman"/>
          <w:lang w:eastAsia="en-GB"/>
        </w:rPr>
        <w:t>Zupi</w:t>
      </w:r>
      <w:proofErr w:type="spellEnd"/>
      <w:r w:rsidRPr="00DC05A9">
        <w:rPr>
          <w:rFonts w:eastAsia="Times New Roman" w:cs="Times New Roman"/>
          <w:lang w:eastAsia="en-GB"/>
        </w:rPr>
        <w:t xml:space="preserve"> E, Minelli L, Cooper M, </w:t>
      </w:r>
      <w:proofErr w:type="spellStart"/>
      <w:r w:rsidRPr="00DC05A9">
        <w:rPr>
          <w:rFonts w:eastAsia="Times New Roman" w:cs="Times New Roman"/>
          <w:lang w:eastAsia="en-GB"/>
        </w:rPr>
        <w:t>Dunselman</w:t>
      </w:r>
      <w:proofErr w:type="spellEnd"/>
      <w:r w:rsidRPr="00DC05A9">
        <w:rPr>
          <w:rFonts w:eastAsia="Times New Roman" w:cs="Times New Roman"/>
          <w:lang w:eastAsia="en-GB"/>
        </w:rPr>
        <w:t xml:space="preserve"> G, Koh C, </w:t>
      </w:r>
      <w:proofErr w:type="spellStart"/>
      <w:r w:rsidRPr="00DC05A9">
        <w:rPr>
          <w:rFonts w:eastAsia="Times New Roman" w:cs="Times New Roman"/>
          <w:lang w:eastAsia="en-GB"/>
        </w:rPr>
        <w:t>Abrao</w:t>
      </w:r>
      <w:proofErr w:type="spellEnd"/>
      <w:r w:rsidRPr="00DC05A9">
        <w:rPr>
          <w:rFonts w:eastAsia="Times New Roman" w:cs="Times New Roman"/>
          <w:lang w:eastAsia="en-GB"/>
        </w:rPr>
        <w:t xml:space="preserve"> M, </w:t>
      </w:r>
      <w:proofErr w:type="spellStart"/>
      <w:r w:rsidRPr="00DC05A9">
        <w:rPr>
          <w:rFonts w:eastAsia="Times New Roman" w:cs="Times New Roman"/>
          <w:lang w:eastAsia="en-GB"/>
        </w:rPr>
        <w:t>Chapron</w:t>
      </w:r>
      <w:proofErr w:type="spellEnd"/>
      <w:r w:rsidRPr="00DC05A9">
        <w:rPr>
          <w:rFonts w:eastAsia="Times New Roman" w:cs="Times New Roman"/>
          <w:lang w:eastAsia="en-GB"/>
        </w:rPr>
        <w:t xml:space="preserve"> C, </w:t>
      </w:r>
      <w:proofErr w:type="spellStart"/>
      <w:r w:rsidRPr="00DC05A9">
        <w:rPr>
          <w:rFonts w:eastAsia="Times New Roman" w:cs="Times New Roman"/>
          <w:lang w:eastAsia="en-GB"/>
        </w:rPr>
        <w:t>D'Hooghe</w:t>
      </w:r>
      <w:proofErr w:type="spellEnd"/>
      <w:r w:rsidRPr="00DC05A9">
        <w:rPr>
          <w:rFonts w:eastAsia="Times New Roman" w:cs="Times New Roman"/>
          <w:lang w:eastAsia="en-GB"/>
        </w:rPr>
        <w:t xml:space="preserve"> T. Consensus on Recording Deep Endometriosis Surgery: the CORDES statement. Hum </w:t>
      </w:r>
      <w:proofErr w:type="spellStart"/>
      <w:r w:rsidRPr="00DC05A9">
        <w:rPr>
          <w:rFonts w:eastAsia="Times New Roman" w:cs="Times New Roman"/>
          <w:lang w:eastAsia="en-GB"/>
        </w:rPr>
        <w:t>Reprod</w:t>
      </w:r>
      <w:proofErr w:type="spellEnd"/>
      <w:r w:rsidRPr="00DC05A9">
        <w:rPr>
          <w:rFonts w:eastAsia="Times New Roman" w:cs="Times New Roman"/>
          <w:lang w:eastAsia="en-GB"/>
        </w:rPr>
        <w:t xml:space="preserve">. 2016 Apr 19. </w:t>
      </w:r>
      <w:proofErr w:type="spellStart"/>
      <w:r w:rsidRPr="00DC05A9">
        <w:rPr>
          <w:rFonts w:eastAsia="Times New Roman" w:cs="Times New Roman"/>
          <w:lang w:eastAsia="en-GB"/>
        </w:rPr>
        <w:t>pii</w:t>
      </w:r>
      <w:proofErr w:type="spellEnd"/>
      <w:r w:rsidRPr="00DC05A9">
        <w:rPr>
          <w:rFonts w:eastAsia="Times New Roman" w:cs="Times New Roman"/>
          <w:lang w:eastAsia="en-GB"/>
        </w:rPr>
        <w:t>: dew067.</w:t>
      </w:r>
    </w:p>
    <w:p w14:paraId="428F2250" w14:textId="77777777" w:rsidR="002668C9" w:rsidRPr="00DC05A9" w:rsidRDefault="002668C9" w:rsidP="002668C9">
      <w:pPr>
        <w:pStyle w:val="ListParagraph"/>
        <w:numPr>
          <w:ilvl w:val="0"/>
          <w:numId w:val="7"/>
        </w:numPr>
        <w:rPr>
          <w:rFonts w:eastAsia="Times New Roman" w:cs="Times New Roman"/>
          <w:lang w:eastAsia="en-GB"/>
        </w:rPr>
      </w:pPr>
      <w:r w:rsidRPr="00DC05A9">
        <w:rPr>
          <w:rFonts w:eastAsia="Times New Roman" w:cs="Times New Roman"/>
          <w:lang w:eastAsia="en-GB"/>
        </w:rPr>
        <w:t xml:space="preserve">Wang R, </w:t>
      </w:r>
      <w:proofErr w:type="spellStart"/>
      <w:r w:rsidRPr="00DC05A9">
        <w:rPr>
          <w:rFonts w:eastAsia="Times New Roman" w:cs="Times New Roman"/>
          <w:lang w:eastAsia="en-GB"/>
        </w:rPr>
        <w:t>Lagakos</w:t>
      </w:r>
      <w:proofErr w:type="spellEnd"/>
      <w:r w:rsidRPr="00DC05A9">
        <w:rPr>
          <w:rFonts w:eastAsia="Times New Roman" w:cs="Times New Roman"/>
          <w:lang w:eastAsia="en-GB"/>
        </w:rPr>
        <w:t xml:space="preserve"> SW, Ware JH, Hunter DJ, Drazen JM. Statistics in medicine--reporting of subgroup analyses in clinical trials. N </w:t>
      </w:r>
      <w:proofErr w:type="spellStart"/>
      <w:r w:rsidRPr="00DC05A9">
        <w:rPr>
          <w:rFonts w:eastAsia="Times New Roman" w:cs="Times New Roman"/>
          <w:lang w:eastAsia="en-GB"/>
        </w:rPr>
        <w:t>Engl</w:t>
      </w:r>
      <w:proofErr w:type="spellEnd"/>
      <w:r w:rsidRPr="00DC05A9">
        <w:rPr>
          <w:rFonts w:eastAsia="Times New Roman" w:cs="Times New Roman"/>
          <w:lang w:eastAsia="en-GB"/>
        </w:rPr>
        <w:t xml:space="preserve"> J Med. 2007;357(21):2189-2194.</w:t>
      </w:r>
    </w:p>
    <w:p w14:paraId="0824218C" w14:textId="77777777" w:rsidR="002668C9" w:rsidRPr="00DC05A9" w:rsidRDefault="002668C9" w:rsidP="002668C9">
      <w:pPr>
        <w:rPr>
          <w:lang w:val="en-US"/>
        </w:rPr>
      </w:pPr>
    </w:p>
    <w:p w14:paraId="6D279A19" w14:textId="40D06E79" w:rsidR="002668C9" w:rsidRDefault="002668C9" w:rsidP="002668C9">
      <w:pPr>
        <w:rPr>
          <w:b/>
          <w:lang w:val="en-US"/>
        </w:rPr>
      </w:pPr>
      <w:r w:rsidRPr="00DC05A9">
        <w:rPr>
          <w:b/>
          <w:lang w:val="en-US"/>
        </w:rPr>
        <w:t>The following guidance documents were identified by the targeted search</w:t>
      </w:r>
      <w:r w:rsidR="00A231A6">
        <w:rPr>
          <w:b/>
          <w:lang w:val="en-US"/>
        </w:rPr>
        <w:t xml:space="preserve"> (T)</w:t>
      </w:r>
    </w:p>
    <w:p w14:paraId="234FB1A9" w14:textId="77777777" w:rsidR="002668C9" w:rsidRPr="00DC05A9" w:rsidRDefault="002668C9" w:rsidP="002668C9">
      <w:pPr>
        <w:rPr>
          <w:i/>
          <w:lang w:val="en-US"/>
        </w:rPr>
      </w:pPr>
      <w:r w:rsidRPr="00DC05A9">
        <w:rPr>
          <w:i/>
          <w:lang w:val="en-US"/>
        </w:rPr>
        <w:t>Identified from UK funding bodies (n=2)</w:t>
      </w:r>
    </w:p>
    <w:p w14:paraId="435F6E8B" w14:textId="172AF8EB" w:rsidR="002668C9" w:rsidRPr="00DC05A9" w:rsidRDefault="002668C9" w:rsidP="002668C9">
      <w:pPr>
        <w:pStyle w:val="ListParagraph"/>
        <w:numPr>
          <w:ilvl w:val="0"/>
          <w:numId w:val="8"/>
        </w:numPr>
        <w:rPr>
          <w:rFonts w:cs="Times New Roman"/>
          <w:b/>
        </w:rPr>
      </w:pPr>
      <w:r w:rsidRPr="00DC05A9">
        <w:rPr>
          <w:rFonts w:cs="Times New Roman"/>
        </w:rPr>
        <w:t xml:space="preserve">Clinical Trials Toolkit –Planning a Randomised Controlled Trial </w:t>
      </w:r>
      <w:r w:rsidR="00DF53A5">
        <w:rPr>
          <w:rFonts w:cs="Times New Roman"/>
        </w:rPr>
        <w:t>–</w:t>
      </w:r>
      <w:r w:rsidRPr="00DC05A9">
        <w:rPr>
          <w:rFonts w:cs="Times New Roman"/>
        </w:rPr>
        <w:t xml:space="preserve"> Points to Consider: Funding proposal National Institute for Health Research web site: National Institute for Health Research;  [Available from: </w:t>
      </w:r>
      <w:hyperlink r:id="rId17" w:history="1">
        <w:r w:rsidRPr="00DC05A9">
          <w:rPr>
            <w:rStyle w:val="Hyperlink"/>
            <w:rFonts w:cs="Times New Roman"/>
            <w:color w:val="auto"/>
          </w:rPr>
          <w:t>https://www.ct-toolkit.ac.uk/routemap/trial-planning-and-design/downloads/planning-a-randomised-controlled-trial.pdf/</w:t>
        </w:r>
      </w:hyperlink>
      <w:r w:rsidRPr="00DC05A9">
        <w:rPr>
          <w:rFonts w:cs="Times New Roman"/>
        </w:rPr>
        <w:t>.</w:t>
      </w:r>
    </w:p>
    <w:p w14:paraId="3F20B5A5" w14:textId="60AB0F62" w:rsidR="002668C9" w:rsidRPr="00DC05A9" w:rsidRDefault="002668C9" w:rsidP="002668C9">
      <w:pPr>
        <w:pStyle w:val="ListParagraph"/>
        <w:numPr>
          <w:ilvl w:val="0"/>
          <w:numId w:val="8"/>
        </w:numPr>
        <w:rPr>
          <w:lang w:val="en-US"/>
        </w:rPr>
      </w:pPr>
      <w:r w:rsidRPr="00DC05A9">
        <w:rPr>
          <w:rFonts w:cs="Times New Roman"/>
        </w:rPr>
        <w:t xml:space="preserve">Craig P, Dieppe P, Macintyre S, Michie S, Nazareth I, </w:t>
      </w:r>
      <w:proofErr w:type="spellStart"/>
      <w:r w:rsidRPr="00DC05A9">
        <w:rPr>
          <w:rFonts w:cs="Times New Roman"/>
        </w:rPr>
        <w:t>Petticrew</w:t>
      </w:r>
      <w:proofErr w:type="spellEnd"/>
      <w:r w:rsidRPr="00DC05A9">
        <w:rPr>
          <w:rFonts w:cs="Times New Roman"/>
        </w:rPr>
        <w:t xml:space="preserve"> M. Developing and evaluating complex interventions Medical Research Council web site: Medical Research Council; 2019 [Available from: </w:t>
      </w:r>
      <w:hyperlink r:id="rId18" w:history="1">
        <w:r w:rsidR="00DF53A5" w:rsidRPr="00C36646">
          <w:rPr>
            <w:rStyle w:val="Hyperlink"/>
            <w:rFonts w:cs="Times New Roman"/>
          </w:rPr>
          <w:t>https://mrc.ukri.org/documents/pdf/complex-interventions-guidance/</w:t>
        </w:r>
      </w:hyperlink>
      <w:r w:rsidRPr="00DC05A9">
        <w:rPr>
          <w:rFonts w:cs="Times New Roman"/>
        </w:rPr>
        <w:t>.</w:t>
      </w:r>
    </w:p>
    <w:p w14:paraId="64E54B0A" w14:textId="77777777" w:rsidR="002668C9" w:rsidRPr="00DC05A9" w:rsidRDefault="002668C9" w:rsidP="002668C9">
      <w:pPr>
        <w:rPr>
          <w:lang w:val="en-US"/>
        </w:rPr>
      </w:pPr>
    </w:p>
    <w:p w14:paraId="2C469FEC" w14:textId="0A654DAA" w:rsidR="00BF6B7F" w:rsidRPr="00883585" w:rsidRDefault="002668C9" w:rsidP="00CF6CBD">
      <w:pPr>
        <w:rPr>
          <w:rFonts w:cs="Times New Roman"/>
        </w:rPr>
      </w:pPr>
      <w:r w:rsidRPr="00DC05A9">
        <w:rPr>
          <w:i/>
          <w:lang w:val="en-US"/>
        </w:rPr>
        <w:t>Identified from regulators</w:t>
      </w:r>
      <w:r w:rsidR="0069462A">
        <w:rPr>
          <w:i/>
          <w:lang w:val="en-US"/>
        </w:rPr>
        <w:t xml:space="preserve"> </w:t>
      </w:r>
      <w:r w:rsidRPr="00DC05A9">
        <w:rPr>
          <w:i/>
          <w:lang w:val="en-US"/>
        </w:rPr>
        <w:t>(n=6)</w:t>
      </w:r>
    </w:p>
    <w:p w14:paraId="06F2001F" w14:textId="09403790" w:rsidR="002668C9" w:rsidRPr="00DC05A9" w:rsidRDefault="002668C9" w:rsidP="002668C9">
      <w:pPr>
        <w:pStyle w:val="ListParagraph"/>
        <w:numPr>
          <w:ilvl w:val="0"/>
          <w:numId w:val="8"/>
        </w:numPr>
        <w:rPr>
          <w:rStyle w:val="Hyperlink"/>
          <w:rFonts w:cs="Times New Roman"/>
          <w:color w:val="auto"/>
        </w:rPr>
      </w:pPr>
      <w:r w:rsidRPr="00DC05A9">
        <w:rPr>
          <w:rFonts w:cs="Times New Roman"/>
        </w:rPr>
        <w:t xml:space="preserve">Committee for Medicinal Products for Human Use (CHMP): Guideline on adjustment for baseline covariates in clinical trials European Medicines Agency Science Medicines Health web site: European Medicines Agency 2015 [Available from: </w:t>
      </w:r>
      <w:hyperlink r:id="rId19" w:history="1">
        <w:r w:rsidR="00BB14C3" w:rsidRPr="003B25B6">
          <w:rPr>
            <w:rStyle w:val="Hyperlink"/>
            <w:rFonts w:cs="Times New Roman"/>
          </w:rPr>
          <w:t>https://www.ema.europa.eu/en/documents/scientific-guideline/guideline-adjustment-baseline-covariates-clinical-trials_en.pdf</w:t>
        </w:r>
      </w:hyperlink>
      <w:r w:rsidR="00BB14C3">
        <w:rPr>
          <w:rStyle w:val="Hyperlink"/>
          <w:rFonts w:cs="Times New Roman"/>
          <w:color w:val="auto"/>
        </w:rPr>
        <w:t>]</w:t>
      </w:r>
    </w:p>
    <w:p w14:paraId="0CFB6926" w14:textId="4AC36BFC" w:rsidR="002668C9" w:rsidRPr="0002229F" w:rsidRDefault="002668C9" w:rsidP="0002229F">
      <w:pPr>
        <w:pStyle w:val="ListParagraph"/>
        <w:numPr>
          <w:ilvl w:val="0"/>
          <w:numId w:val="8"/>
        </w:numPr>
        <w:rPr>
          <w:rFonts w:cs="Times New Roman"/>
        </w:rPr>
      </w:pPr>
      <w:r w:rsidRPr="00DC05A9">
        <w:rPr>
          <w:rFonts w:cs="Times New Roman"/>
        </w:rPr>
        <w:t xml:space="preserve">Group IEW. ICH Harmonised Tripartite Guideline: Structure and Content of Clinical Study Reports E3 ICH Harmonisation for better health web site: International Conference on Harmonisation of Technical Requirements for Registration of Pharmaceuticals for Human Use; 1995 [Available from: </w:t>
      </w:r>
      <w:hyperlink r:id="rId20" w:history="1">
        <w:r w:rsidR="00097F67" w:rsidRPr="00097F67">
          <w:rPr>
            <w:rStyle w:val="Hyperlink"/>
          </w:rPr>
          <w:t>https://database.ich.org/sites/default/files/E3_Guideline.pdf</w:t>
        </w:r>
      </w:hyperlink>
      <w:r w:rsidR="00097F67">
        <w:t xml:space="preserve"> </w:t>
      </w:r>
      <w:r w:rsidR="00E10291">
        <w:t>]</w:t>
      </w:r>
    </w:p>
    <w:p w14:paraId="429E4CFA" w14:textId="17384172" w:rsidR="009153D3" w:rsidRDefault="009153D3" w:rsidP="002668C9">
      <w:pPr>
        <w:pStyle w:val="ListParagraph"/>
        <w:numPr>
          <w:ilvl w:val="0"/>
          <w:numId w:val="8"/>
        </w:numPr>
        <w:rPr>
          <w:rFonts w:cs="Times New Roman"/>
        </w:rPr>
      </w:pPr>
      <w:r w:rsidRPr="00C676FA">
        <w:rPr>
          <w:rFonts w:cs="Times New Roman"/>
        </w:rPr>
        <w:t xml:space="preserve">Group IEW. ICH Harmonised Tripartite Guideline: Guideline for Good Clinical Practice E6(R2) ICH Harmonisation for better health web site: International Conference on Harmonisation of Technical Requirements for Registration of Pharmaceuticals for Human Use; </w:t>
      </w:r>
      <w:r>
        <w:rPr>
          <w:rFonts w:cs="Times New Roman"/>
        </w:rPr>
        <w:t>2016</w:t>
      </w:r>
      <w:r w:rsidRPr="00C676FA">
        <w:rPr>
          <w:rFonts w:cs="Times New Roman"/>
        </w:rPr>
        <w:t xml:space="preserve"> [Available from: </w:t>
      </w:r>
      <w:hyperlink r:id="rId21" w:history="1">
        <w:r w:rsidRPr="009153D3">
          <w:rPr>
            <w:rStyle w:val="Hyperlink"/>
            <w:rFonts w:cs="Times New Roman"/>
          </w:rPr>
          <w:t>https://database.ich.org/sites/default/files/E6_R2_Addendum.pdf</w:t>
        </w:r>
      </w:hyperlink>
    </w:p>
    <w:p w14:paraId="53F05853" w14:textId="0FAEDE99" w:rsidR="002668C9" w:rsidRPr="00DC05A9" w:rsidRDefault="002668C9" w:rsidP="002668C9">
      <w:pPr>
        <w:pStyle w:val="ListParagraph"/>
        <w:numPr>
          <w:ilvl w:val="0"/>
          <w:numId w:val="8"/>
        </w:numPr>
        <w:rPr>
          <w:rFonts w:cs="Times New Roman"/>
        </w:rPr>
      </w:pPr>
      <w:r w:rsidRPr="00DC05A9">
        <w:rPr>
          <w:rFonts w:cs="Times New Roman"/>
        </w:rPr>
        <w:t xml:space="preserve">Group IEW. ICH Harmonised Tripartite Guideline: General Considerations for Clinical Trials E8 ICH Harmonisation for better health web site: International Conference on Harmonisation of Technical Requirements for Registration of Pharmaceuticals for Human Use; 1998 [Available from: </w:t>
      </w:r>
      <w:hyperlink r:id="rId22" w:history="1">
        <w:r w:rsidR="00DF53A5" w:rsidRPr="00C36646">
          <w:rPr>
            <w:rStyle w:val="Hyperlink"/>
            <w:rFonts w:cs="Times New Roman"/>
          </w:rPr>
          <w:t>https://www.ema.europa.eu/en/documents/scientific-guideline/ich-e-8-general-considerations-clinical-trials-step-5_en.pdf</w:t>
        </w:r>
      </w:hyperlink>
    </w:p>
    <w:p w14:paraId="46793BB3" w14:textId="77777777" w:rsidR="002668C9" w:rsidRPr="00DC05A9" w:rsidRDefault="002668C9" w:rsidP="002668C9">
      <w:pPr>
        <w:pStyle w:val="ListParagraph"/>
        <w:numPr>
          <w:ilvl w:val="0"/>
          <w:numId w:val="8"/>
        </w:numPr>
        <w:rPr>
          <w:rFonts w:cs="Times New Roman"/>
        </w:rPr>
      </w:pPr>
      <w:r w:rsidRPr="00DC05A9">
        <w:rPr>
          <w:rFonts w:cs="Times New Roman"/>
        </w:rPr>
        <w:t>ICH Harmonised Tripartite Guideline. Statistical principles for clinical trials. International Conference on Harmonisation E9 Expert Working Group. Stat Med. 1999;18(15):1905-42.</w:t>
      </w:r>
    </w:p>
    <w:p w14:paraId="33F409CF" w14:textId="77777777" w:rsidR="002668C9" w:rsidRPr="00DC05A9" w:rsidRDefault="002668C9" w:rsidP="002668C9">
      <w:pPr>
        <w:pStyle w:val="ListParagraph"/>
        <w:numPr>
          <w:ilvl w:val="0"/>
          <w:numId w:val="8"/>
        </w:numPr>
        <w:rPr>
          <w:rFonts w:cs="Times New Roman"/>
          <w:b/>
        </w:rPr>
      </w:pPr>
      <w:r w:rsidRPr="00DC05A9">
        <w:rPr>
          <w:rFonts w:cs="Times New Roman"/>
        </w:rPr>
        <w:t xml:space="preserve">Medicines &amp; Healthcare products Medicines Agency (MHRA): Guidance on legislation. Clinical investigations of medical devices – statistical considerations. Medicines &amp; Healthcare products Regulatory Agency 2021. [Available from: </w:t>
      </w:r>
      <w:hyperlink r:id="rId23" w:history="1">
        <w:r w:rsidRPr="00DC05A9">
          <w:rPr>
            <w:rStyle w:val="Hyperlink"/>
            <w:color w:val="auto"/>
          </w:rPr>
          <w:t>Statistical_considerations_clinical_investigations_-_May_2021.pdf (publishing.service.gov.uk)</w:t>
        </w:r>
      </w:hyperlink>
    </w:p>
    <w:p w14:paraId="3429247D" w14:textId="77777777" w:rsidR="002668C9" w:rsidRPr="00DC05A9" w:rsidRDefault="002668C9" w:rsidP="002668C9">
      <w:pPr>
        <w:rPr>
          <w:lang w:val="en-US"/>
        </w:rPr>
      </w:pPr>
    </w:p>
    <w:p w14:paraId="2969A488" w14:textId="77777777" w:rsidR="002668C9" w:rsidRPr="00DC05A9" w:rsidRDefault="002668C9" w:rsidP="002668C9">
      <w:pPr>
        <w:rPr>
          <w:i/>
          <w:lang w:val="en-US"/>
        </w:rPr>
      </w:pPr>
      <w:r w:rsidRPr="00DC05A9">
        <w:rPr>
          <w:i/>
          <w:lang w:val="en-US"/>
        </w:rPr>
        <w:t>Identified from medical journals (n=8)</w:t>
      </w:r>
    </w:p>
    <w:p w14:paraId="54D9B612" w14:textId="77777777" w:rsidR="002668C9" w:rsidRPr="00DC05A9" w:rsidRDefault="002668C9" w:rsidP="002668C9">
      <w:pPr>
        <w:pStyle w:val="ListParagraph"/>
        <w:numPr>
          <w:ilvl w:val="0"/>
          <w:numId w:val="8"/>
        </w:numPr>
        <w:rPr>
          <w:rFonts w:cs="Times New Roman"/>
        </w:rPr>
      </w:pPr>
      <w:proofErr w:type="spellStart"/>
      <w:r w:rsidRPr="00DC05A9">
        <w:rPr>
          <w:rFonts w:cs="Times New Roman"/>
        </w:rPr>
        <w:t>Barkun</w:t>
      </w:r>
      <w:proofErr w:type="spellEnd"/>
      <w:r w:rsidRPr="00DC05A9">
        <w:rPr>
          <w:rFonts w:cs="Times New Roman"/>
        </w:rPr>
        <w:t xml:space="preserve"> JS, Aronson JK, Feldman LS, </w:t>
      </w:r>
      <w:proofErr w:type="spellStart"/>
      <w:r w:rsidRPr="00DC05A9">
        <w:rPr>
          <w:rFonts w:cs="Times New Roman"/>
        </w:rPr>
        <w:t>Maddern</w:t>
      </w:r>
      <w:proofErr w:type="spellEnd"/>
      <w:r w:rsidRPr="00DC05A9">
        <w:rPr>
          <w:rFonts w:cs="Times New Roman"/>
        </w:rPr>
        <w:t xml:space="preserve"> GJ, Strasberg SM, Balliol Collaboration. Evaluation and stages of surgical innovations. Lancet. 2009;374(9695):1089-96.</w:t>
      </w:r>
    </w:p>
    <w:p w14:paraId="3F2AA103" w14:textId="77777777" w:rsidR="002668C9" w:rsidRPr="00DC05A9" w:rsidRDefault="002668C9" w:rsidP="002668C9">
      <w:pPr>
        <w:pStyle w:val="ListParagraph"/>
        <w:numPr>
          <w:ilvl w:val="0"/>
          <w:numId w:val="8"/>
        </w:numPr>
        <w:rPr>
          <w:b/>
          <w:lang w:val="en-US"/>
        </w:rPr>
      </w:pPr>
      <w:proofErr w:type="spellStart"/>
      <w:r w:rsidRPr="00DC05A9">
        <w:rPr>
          <w:lang w:val="en-US"/>
        </w:rPr>
        <w:t>Boutron</w:t>
      </w:r>
      <w:proofErr w:type="spellEnd"/>
      <w:r w:rsidRPr="00DC05A9">
        <w:rPr>
          <w:lang w:val="en-US"/>
        </w:rPr>
        <w:t xml:space="preserve"> I, Altman DG, Moher D, Schulz KF, </w:t>
      </w:r>
      <w:proofErr w:type="spellStart"/>
      <w:r w:rsidRPr="00DC05A9">
        <w:rPr>
          <w:lang w:val="en-US"/>
        </w:rPr>
        <w:t>Ravaud</w:t>
      </w:r>
      <w:proofErr w:type="spellEnd"/>
      <w:r w:rsidRPr="00DC05A9">
        <w:rPr>
          <w:lang w:val="en-US"/>
        </w:rPr>
        <w:t xml:space="preserve"> P, DJ C, et al. CONSORT Statement for Randomized Trials of Nonpharmacologic Treatments: A 2017 Update and a CONSORT </w:t>
      </w:r>
      <w:r w:rsidRPr="00DC05A9">
        <w:rPr>
          <w:lang w:val="en-US"/>
        </w:rPr>
        <w:lastRenderedPageBreak/>
        <w:t xml:space="preserve">Extension for Nonpharmacologic Trial Abstracts. Annals of Internal Medicine. American College of Physicians; 2017 Jul 4;167(1):40. </w:t>
      </w:r>
      <w:hyperlink r:id="rId24" w:history="1">
        <w:r w:rsidRPr="00DC05A9">
          <w:rPr>
            <w:rStyle w:val="Hyperlink"/>
            <w:color w:val="auto"/>
            <w:lang w:val="en-US"/>
          </w:rPr>
          <w:t>PMID: 28630973</w:t>
        </w:r>
      </w:hyperlink>
    </w:p>
    <w:p w14:paraId="616FCD13" w14:textId="002B3879" w:rsidR="002668C9" w:rsidRPr="00DC05A9" w:rsidRDefault="002668C9" w:rsidP="002668C9">
      <w:pPr>
        <w:pStyle w:val="ListParagraph"/>
        <w:numPr>
          <w:ilvl w:val="0"/>
          <w:numId w:val="8"/>
        </w:numPr>
        <w:rPr>
          <w:lang w:val="en-US"/>
        </w:rPr>
      </w:pPr>
      <w:proofErr w:type="spellStart"/>
      <w:r w:rsidRPr="00DC05A9">
        <w:t>Boutron</w:t>
      </w:r>
      <w:proofErr w:type="spellEnd"/>
      <w:r w:rsidRPr="00DC05A9">
        <w:t xml:space="preserve"> I, Moher D, Altman DG, Schulz KF, </w:t>
      </w:r>
      <w:proofErr w:type="spellStart"/>
      <w:r w:rsidRPr="00DC05A9">
        <w:t>Ravaud</w:t>
      </w:r>
      <w:proofErr w:type="spellEnd"/>
      <w:r w:rsidRPr="00DC05A9">
        <w:t xml:space="preserve"> P; CONSORT Group. Methods and processes of the CONSORT Group: example of an extension for trials assessing nonpharmacologic treatments. Ann Intern Med. 2008 Feb 19;148(4</w:t>
      </w:r>
      <w:proofErr w:type="gramStart"/>
      <w:r w:rsidRPr="00DC05A9">
        <w:t>):W</w:t>
      </w:r>
      <w:proofErr w:type="gramEnd"/>
      <w:r w:rsidRPr="00DC05A9">
        <w:t xml:space="preserve">60-6. </w:t>
      </w:r>
      <w:r w:rsidR="00DF53A5" w:rsidRPr="00DC05A9">
        <w:t>D</w:t>
      </w:r>
      <w:r w:rsidRPr="00DC05A9">
        <w:t>oi: 10.7326/0003-4819-148-4-200802190-00008-w1. PMID: 18283201.</w:t>
      </w:r>
    </w:p>
    <w:p w14:paraId="191B3BB4" w14:textId="526E08BE" w:rsidR="002668C9" w:rsidRPr="00DC05A9" w:rsidRDefault="002668C9" w:rsidP="002668C9">
      <w:pPr>
        <w:pStyle w:val="ListParagraph"/>
        <w:numPr>
          <w:ilvl w:val="0"/>
          <w:numId w:val="8"/>
        </w:numPr>
        <w:rPr>
          <w:b/>
          <w:lang w:val="en-US"/>
        </w:rPr>
      </w:pPr>
      <w:r w:rsidRPr="00DC05A9">
        <w:rPr>
          <w:lang w:val="en-US"/>
        </w:rPr>
        <w:t xml:space="preserve">Campbell MK, Piaggio G, Elbourne DR, Altman DG; for the CONSORT Group. Consort 2010 statement: extension to cluster </w:t>
      </w:r>
      <w:r w:rsidR="00BB14C3">
        <w:rPr>
          <w:lang w:val="en-US"/>
        </w:rPr>
        <w:t>r</w:t>
      </w:r>
      <w:r w:rsidR="00DF53A5">
        <w:rPr>
          <w:lang w:val="en-US"/>
        </w:rPr>
        <w:t>andomized</w:t>
      </w:r>
      <w:r w:rsidRPr="00DC05A9">
        <w:rPr>
          <w:lang w:val="en-US"/>
        </w:rPr>
        <w:t xml:space="preserve"> trials. BMJ. 2012 Sep 4;</w:t>
      </w:r>
      <w:proofErr w:type="gramStart"/>
      <w:r w:rsidRPr="00DC05A9">
        <w:rPr>
          <w:lang w:val="en-US"/>
        </w:rPr>
        <w:t>345:e</w:t>
      </w:r>
      <w:proofErr w:type="gramEnd"/>
      <w:r w:rsidRPr="00DC05A9">
        <w:rPr>
          <w:lang w:val="en-US"/>
        </w:rPr>
        <w:t>5661</w:t>
      </w:r>
      <w:r w:rsidRPr="00DC05A9">
        <w:rPr>
          <w:rStyle w:val="Emphasis"/>
          <w:lang w:val="en-US"/>
        </w:rPr>
        <w:t xml:space="preserve">. </w:t>
      </w:r>
      <w:hyperlink r:id="rId25" w:tgtFrame="_blank" w:history="1">
        <w:r w:rsidRPr="00DC05A9">
          <w:rPr>
            <w:rStyle w:val="Hyperlink"/>
            <w:color w:val="auto"/>
            <w:lang w:val="en-US"/>
          </w:rPr>
          <w:t>PMID: 22951546</w:t>
        </w:r>
      </w:hyperlink>
    </w:p>
    <w:p w14:paraId="44CE2E26" w14:textId="77777777" w:rsidR="002668C9" w:rsidRPr="00DC05A9" w:rsidRDefault="002668C9" w:rsidP="002668C9">
      <w:pPr>
        <w:pStyle w:val="ListParagraph"/>
        <w:numPr>
          <w:ilvl w:val="0"/>
          <w:numId w:val="8"/>
        </w:numPr>
        <w:rPr>
          <w:lang w:val="en-US"/>
        </w:rPr>
      </w:pPr>
      <w:proofErr w:type="spellStart"/>
      <w:r w:rsidRPr="00DC05A9">
        <w:rPr>
          <w:rFonts w:cs="Times New Roman"/>
        </w:rPr>
        <w:t>Ergina</w:t>
      </w:r>
      <w:proofErr w:type="spellEnd"/>
      <w:r w:rsidRPr="00DC05A9">
        <w:rPr>
          <w:rFonts w:cs="Times New Roman"/>
        </w:rPr>
        <w:t xml:space="preserve"> PL, Cook JA, Blazeby JM, </w:t>
      </w:r>
      <w:proofErr w:type="spellStart"/>
      <w:r w:rsidRPr="00DC05A9">
        <w:rPr>
          <w:rFonts w:cs="Times New Roman"/>
        </w:rPr>
        <w:t>Boutron</w:t>
      </w:r>
      <w:proofErr w:type="spellEnd"/>
      <w:r w:rsidRPr="00DC05A9">
        <w:rPr>
          <w:rFonts w:cs="Times New Roman"/>
        </w:rPr>
        <w:t xml:space="preserve"> I, </w:t>
      </w:r>
      <w:proofErr w:type="spellStart"/>
      <w:r w:rsidRPr="00DC05A9">
        <w:rPr>
          <w:rFonts w:cs="Times New Roman"/>
        </w:rPr>
        <w:t>Clavien</w:t>
      </w:r>
      <w:proofErr w:type="spellEnd"/>
      <w:r w:rsidRPr="00DC05A9">
        <w:rPr>
          <w:rFonts w:cs="Times New Roman"/>
        </w:rPr>
        <w:t xml:space="preserve"> PA, Reeves BC, et al. Challenges in evaluating surgical innovation. Lancet. 2009;374(9695):1097-104.</w:t>
      </w:r>
    </w:p>
    <w:p w14:paraId="34CD45C4" w14:textId="77777777" w:rsidR="002668C9" w:rsidRPr="00DC05A9" w:rsidRDefault="002668C9" w:rsidP="002668C9">
      <w:pPr>
        <w:pStyle w:val="ListParagraph"/>
        <w:numPr>
          <w:ilvl w:val="0"/>
          <w:numId w:val="8"/>
        </w:numPr>
        <w:rPr>
          <w:lang w:val="en-US"/>
        </w:rPr>
      </w:pPr>
      <w:r w:rsidRPr="00DC05A9">
        <w:rPr>
          <w:rFonts w:cs="Times New Roman"/>
        </w:rPr>
        <w:t xml:space="preserve">McCulloch P, Altman DG, Campbell WB, </w:t>
      </w:r>
      <w:proofErr w:type="spellStart"/>
      <w:r w:rsidRPr="00DC05A9">
        <w:rPr>
          <w:rFonts w:cs="Times New Roman"/>
        </w:rPr>
        <w:t>Flum</w:t>
      </w:r>
      <w:proofErr w:type="spellEnd"/>
      <w:r w:rsidRPr="00DC05A9">
        <w:rPr>
          <w:rFonts w:cs="Times New Roman"/>
        </w:rPr>
        <w:t xml:space="preserve"> DR, </w:t>
      </w:r>
      <w:proofErr w:type="spellStart"/>
      <w:r w:rsidRPr="00DC05A9">
        <w:rPr>
          <w:rFonts w:cs="Times New Roman"/>
        </w:rPr>
        <w:t>Glasziou</w:t>
      </w:r>
      <w:proofErr w:type="spellEnd"/>
      <w:r w:rsidRPr="00DC05A9">
        <w:rPr>
          <w:rFonts w:cs="Times New Roman"/>
        </w:rPr>
        <w:t xml:space="preserve"> P, et al. No surgical innovation without evaluation: the IDEAL recommendations. Lancet. 2009;374(9695):1105-12.</w:t>
      </w:r>
    </w:p>
    <w:p w14:paraId="41FA4180" w14:textId="77777777" w:rsidR="002668C9" w:rsidRPr="00DC05A9" w:rsidRDefault="002668C9" w:rsidP="002668C9">
      <w:pPr>
        <w:pStyle w:val="ListParagraph"/>
        <w:numPr>
          <w:ilvl w:val="0"/>
          <w:numId w:val="8"/>
        </w:numPr>
        <w:rPr>
          <w:lang w:val="en-US"/>
        </w:rPr>
      </w:pPr>
      <w:r w:rsidRPr="00DC05A9">
        <w:rPr>
          <w:rStyle w:val="nlm-surname"/>
          <w:lang w:val="en"/>
        </w:rPr>
        <w:t>Schulz</w:t>
      </w:r>
      <w:r w:rsidRPr="00DC05A9">
        <w:rPr>
          <w:rStyle w:val="highwire-cite-authors"/>
          <w:lang w:val="en"/>
        </w:rPr>
        <w:t xml:space="preserve"> </w:t>
      </w:r>
      <w:r w:rsidRPr="00DC05A9">
        <w:rPr>
          <w:rStyle w:val="nlm-given-names"/>
          <w:lang w:val="en"/>
        </w:rPr>
        <w:t>K F</w:t>
      </w:r>
      <w:r w:rsidRPr="00DC05A9">
        <w:rPr>
          <w:rStyle w:val="highwire-cite-authors"/>
          <w:lang w:val="en"/>
        </w:rPr>
        <w:t xml:space="preserve">, </w:t>
      </w:r>
      <w:r w:rsidRPr="00DC05A9">
        <w:rPr>
          <w:rStyle w:val="nlm-surname"/>
          <w:lang w:val="en"/>
        </w:rPr>
        <w:t>Altman</w:t>
      </w:r>
      <w:r w:rsidRPr="00DC05A9">
        <w:rPr>
          <w:rStyle w:val="highwire-cite-authors"/>
          <w:lang w:val="en"/>
        </w:rPr>
        <w:t xml:space="preserve"> </w:t>
      </w:r>
      <w:r w:rsidRPr="00DC05A9">
        <w:rPr>
          <w:rStyle w:val="nlm-given-names"/>
          <w:lang w:val="en"/>
        </w:rPr>
        <w:t>D G</w:t>
      </w:r>
      <w:r w:rsidRPr="00DC05A9">
        <w:rPr>
          <w:rStyle w:val="highwire-cite-authors"/>
          <w:lang w:val="en"/>
        </w:rPr>
        <w:t xml:space="preserve">, </w:t>
      </w:r>
      <w:r w:rsidRPr="00DC05A9">
        <w:rPr>
          <w:rStyle w:val="nlm-surname"/>
          <w:lang w:val="en"/>
        </w:rPr>
        <w:t>Moher</w:t>
      </w:r>
      <w:r w:rsidRPr="00DC05A9">
        <w:rPr>
          <w:rStyle w:val="highwire-cite-authors"/>
          <w:lang w:val="en"/>
        </w:rPr>
        <w:t xml:space="preserve"> </w:t>
      </w:r>
      <w:r w:rsidRPr="00DC05A9">
        <w:rPr>
          <w:rStyle w:val="nlm-given-names"/>
          <w:lang w:val="en"/>
        </w:rPr>
        <w:t>D</w:t>
      </w:r>
      <w:r w:rsidRPr="00DC05A9">
        <w:rPr>
          <w:rStyle w:val="highwire-cite-authors"/>
          <w:lang w:val="en"/>
        </w:rPr>
        <w:t xml:space="preserve">. </w:t>
      </w:r>
      <w:r w:rsidRPr="00DC05A9">
        <w:rPr>
          <w:rStyle w:val="highwire-cite-title2"/>
          <w:lang w:val="en"/>
        </w:rPr>
        <w:t xml:space="preserve">CONSORT 2010 Statement: updated guidelines for reporting parallel group </w:t>
      </w:r>
      <w:proofErr w:type="spellStart"/>
      <w:r w:rsidRPr="00DC05A9">
        <w:rPr>
          <w:rStyle w:val="highwire-cite-title2"/>
          <w:lang w:val="en"/>
        </w:rPr>
        <w:t>randomised</w:t>
      </w:r>
      <w:proofErr w:type="spellEnd"/>
      <w:r w:rsidRPr="00DC05A9">
        <w:rPr>
          <w:rStyle w:val="highwire-cite-title2"/>
          <w:lang w:val="en"/>
        </w:rPr>
        <w:t xml:space="preserve"> trials</w:t>
      </w:r>
      <w:r w:rsidRPr="00DC05A9">
        <w:rPr>
          <w:lang w:val="en"/>
        </w:rPr>
        <w:t xml:space="preserve"> </w:t>
      </w:r>
      <w:r w:rsidRPr="00DC05A9">
        <w:rPr>
          <w:rStyle w:val="highwire-cite-metadata-journal"/>
          <w:lang w:val="en"/>
        </w:rPr>
        <w:t xml:space="preserve">BMJ </w:t>
      </w:r>
      <w:r w:rsidRPr="00DC05A9">
        <w:rPr>
          <w:rStyle w:val="highwire-cite-metadata-date"/>
          <w:lang w:val="en"/>
        </w:rPr>
        <w:t xml:space="preserve">2010; </w:t>
      </w:r>
      <w:proofErr w:type="gramStart"/>
      <w:r w:rsidRPr="00DC05A9">
        <w:rPr>
          <w:rStyle w:val="highwire-cite-metadata-volume"/>
          <w:lang w:val="en"/>
        </w:rPr>
        <w:t>340 :c</w:t>
      </w:r>
      <w:proofErr w:type="gramEnd"/>
      <w:r w:rsidRPr="00DC05A9">
        <w:rPr>
          <w:rStyle w:val="highwire-cite-metadata-volume"/>
          <w:lang w:val="en"/>
        </w:rPr>
        <w:t xml:space="preserve">332 </w:t>
      </w:r>
      <w:r w:rsidRPr="00DC05A9">
        <w:rPr>
          <w:rStyle w:val="article-doi"/>
          <w:lang w:val="en"/>
        </w:rPr>
        <w:t>doi:10.1136/bmj.c332</w:t>
      </w:r>
    </w:p>
    <w:p w14:paraId="38AFA869" w14:textId="77777777" w:rsidR="002668C9" w:rsidRPr="00DC05A9" w:rsidRDefault="002668C9" w:rsidP="002668C9">
      <w:pPr>
        <w:pStyle w:val="ListParagraph"/>
        <w:numPr>
          <w:ilvl w:val="0"/>
          <w:numId w:val="8"/>
        </w:numPr>
        <w:rPr>
          <w:rStyle w:val="Hyperlink"/>
          <w:color w:val="auto"/>
          <w:lang w:val="en-US"/>
        </w:rPr>
      </w:pPr>
      <w:proofErr w:type="spellStart"/>
      <w:r w:rsidRPr="00DC05A9">
        <w:rPr>
          <w:lang w:val="en-US"/>
        </w:rPr>
        <w:t>Zwarenstein</w:t>
      </w:r>
      <w:proofErr w:type="spellEnd"/>
      <w:r w:rsidRPr="00DC05A9">
        <w:rPr>
          <w:lang w:val="en-US"/>
        </w:rPr>
        <w:t xml:space="preserve"> M, </w:t>
      </w:r>
      <w:proofErr w:type="spellStart"/>
      <w:r w:rsidRPr="00DC05A9">
        <w:rPr>
          <w:lang w:val="en-US"/>
        </w:rPr>
        <w:t>Treweek</w:t>
      </w:r>
      <w:proofErr w:type="spellEnd"/>
      <w:r w:rsidRPr="00DC05A9">
        <w:rPr>
          <w:lang w:val="en-US"/>
        </w:rPr>
        <w:t xml:space="preserve"> S, </w:t>
      </w:r>
      <w:proofErr w:type="spellStart"/>
      <w:r w:rsidRPr="00DC05A9">
        <w:rPr>
          <w:lang w:val="en-US"/>
        </w:rPr>
        <w:t>Gagnier</w:t>
      </w:r>
      <w:proofErr w:type="spellEnd"/>
      <w:r w:rsidRPr="00DC05A9">
        <w:rPr>
          <w:lang w:val="en-US"/>
        </w:rPr>
        <w:t xml:space="preserve"> JJ, Altman DG, Tunis S, Haynes B, </w:t>
      </w:r>
      <w:proofErr w:type="spellStart"/>
      <w:r w:rsidRPr="00DC05A9">
        <w:rPr>
          <w:lang w:val="en-US"/>
        </w:rPr>
        <w:t>Oxman</w:t>
      </w:r>
      <w:proofErr w:type="spellEnd"/>
      <w:r w:rsidRPr="00DC05A9">
        <w:rPr>
          <w:lang w:val="en-US"/>
        </w:rPr>
        <w:t xml:space="preserve"> AD, Moher D for the CONSORT and Pragmatic Trials in Healthcare (</w:t>
      </w:r>
      <w:proofErr w:type="spellStart"/>
      <w:r w:rsidRPr="00DC05A9">
        <w:rPr>
          <w:lang w:val="en-US"/>
        </w:rPr>
        <w:t>Practihc</w:t>
      </w:r>
      <w:proofErr w:type="spellEnd"/>
      <w:r w:rsidRPr="00DC05A9">
        <w:rPr>
          <w:lang w:val="en-US"/>
        </w:rPr>
        <w:t xml:space="preserve">) group. Improving the reporting of pragmatic trials: an extension of the CONSORT statement. BMJ 2008; </w:t>
      </w:r>
      <w:proofErr w:type="gramStart"/>
      <w:r w:rsidRPr="00DC05A9">
        <w:rPr>
          <w:lang w:val="en-US"/>
        </w:rPr>
        <w:t>337;a</w:t>
      </w:r>
      <w:proofErr w:type="gramEnd"/>
      <w:r w:rsidRPr="00DC05A9">
        <w:rPr>
          <w:lang w:val="en-US"/>
        </w:rPr>
        <w:t xml:space="preserve">2390. </w:t>
      </w:r>
      <w:hyperlink r:id="rId26" w:tgtFrame="_blank" w:history="1">
        <w:r w:rsidRPr="00DC05A9">
          <w:rPr>
            <w:rStyle w:val="Hyperlink"/>
            <w:color w:val="auto"/>
            <w:lang w:val="en-US"/>
          </w:rPr>
          <w:t xml:space="preserve">PMID: </w:t>
        </w:r>
      </w:hyperlink>
      <w:hyperlink r:id="rId27" w:tgtFrame="_blank" w:history="1">
        <w:r w:rsidRPr="00DC05A9">
          <w:rPr>
            <w:rStyle w:val="Hyperlink"/>
            <w:color w:val="auto"/>
            <w:lang w:val="en-US"/>
          </w:rPr>
          <w:t>19001484</w:t>
        </w:r>
      </w:hyperlink>
    </w:p>
    <w:p w14:paraId="23BB9047" w14:textId="37208317" w:rsidR="0069462A" w:rsidRDefault="0069462A" w:rsidP="002668C9">
      <w:pPr>
        <w:spacing w:after="160"/>
        <w:jc w:val="left"/>
      </w:pPr>
    </w:p>
    <w:p w14:paraId="1CCD4008" w14:textId="608D650B" w:rsidR="00A231A6" w:rsidRDefault="00A231A6" w:rsidP="00A231A6">
      <w:pPr>
        <w:rPr>
          <w:lang w:val="en-US"/>
        </w:rPr>
      </w:pPr>
      <w:r>
        <w:rPr>
          <w:b/>
          <w:bCs/>
          <w:lang w:val="en-US"/>
        </w:rPr>
        <w:t xml:space="preserve">Note: </w:t>
      </w:r>
      <w:r>
        <w:rPr>
          <w:lang w:val="en-US"/>
        </w:rPr>
        <w:t xml:space="preserve">Further information on the relevance of each document obtained from the targeted search is provided in </w:t>
      </w:r>
      <w:r w:rsidR="008F1C0D">
        <w:rPr>
          <w:i/>
          <w:iCs/>
          <w:lang w:val="en-US"/>
        </w:rPr>
        <w:t>Supplementary Material 2.</w:t>
      </w:r>
      <w:r>
        <w:rPr>
          <w:lang w:val="en-US"/>
        </w:rPr>
        <w:t xml:space="preserve"> </w:t>
      </w:r>
    </w:p>
    <w:p w14:paraId="7551ECA2" w14:textId="77777777" w:rsidR="00A231A6" w:rsidRDefault="00A231A6" w:rsidP="002668C9">
      <w:pPr>
        <w:spacing w:after="160"/>
        <w:jc w:val="left"/>
      </w:pPr>
    </w:p>
    <w:p w14:paraId="51E367A3" w14:textId="6B67DEBD" w:rsidR="0069462A" w:rsidRDefault="00152F26" w:rsidP="00CF6CBD">
      <w:pPr>
        <w:pStyle w:val="Caption"/>
        <w:rPr>
          <w:b/>
          <w:lang w:val="en-US"/>
        </w:rPr>
      </w:pPr>
      <w:r>
        <w:t xml:space="preserve">Supplementary Material 2: </w:t>
      </w:r>
      <w:r w:rsidRPr="00152F26">
        <w:t xml:space="preserve">Additional </w:t>
      </w:r>
      <w:r w:rsidR="0069462A" w:rsidRPr="00CF6CBD">
        <w:rPr>
          <w:lang w:val="en-US"/>
        </w:rPr>
        <w:t>information on documents obtained by the targeted search</w:t>
      </w:r>
    </w:p>
    <w:p w14:paraId="10BF99AC" w14:textId="24BFC387" w:rsidR="00DF53A5" w:rsidRDefault="0069462A" w:rsidP="002668C9">
      <w:pPr>
        <w:spacing w:after="160"/>
        <w:jc w:val="left"/>
        <w:rPr>
          <w:i/>
          <w:lang w:val="en-US"/>
        </w:rPr>
      </w:pPr>
      <w:r w:rsidRPr="00DC05A9">
        <w:rPr>
          <w:i/>
          <w:lang w:val="en-US"/>
        </w:rPr>
        <w:t xml:space="preserve">UK funding bodies </w:t>
      </w:r>
    </w:p>
    <w:p w14:paraId="57FF648C" w14:textId="77777777" w:rsidR="00B3312F" w:rsidRDefault="00DF53A5" w:rsidP="00DF53A5">
      <w:pPr>
        <w:spacing w:after="160"/>
        <w:rPr>
          <w:iCs/>
          <w:lang w:val="en-US"/>
        </w:rPr>
      </w:pPr>
      <w:r>
        <w:rPr>
          <w:iCs/>
          <w:lang w:val="en-US"/>
        </w:rPr>
        <w:t xml:space="preserve">Two documents were obtained from UK funding bodies (T1, T2). </w:t>
      </w:r>
    </w:p>
    <w:p w14:paraId="4B35FB0A" w14:textId="77777777" w:rsidR="00B3312F" w:rsidRDefault="00B3312F" w:rsidP="00DF53A5">
      <w:pPr>
        <w:spacing w:after="160"/>
        <w:rPr>
          <w:iCs/>
          <w:lang w:val="en-US"/>
        </w:rPr>
      </w:pPr>
    </w:p>
    <w:p w14:paraId="4DE06A37" w14:textId="64A28E32" w:rsidR="00A231A6" w:rsidRDefault="00DF53A5" w:rsidP="00DF53A5">
      <w:pPr>
        <w:spacing w:after="160"/>
        <w:rPr>
          <w:iCs/>
          <w:lang w:val="en-US"/>
        </w:rPr>
      </w:pPr>
      <w:r>
        <w:rPr>
          <w:iCs/>
          <w:lang w:val="en-US"/>
        </w:rPr>
        <w:t>T1 was obtained from t</w:t>
      </w:r>
      <w:r w:rsidRPr="00DF53A5">
        <w:rPr>
          <w:iCs/>
          <w:lang w:val="en-US"/>
        </w:rPr>
        <w:t>he NIHR Clinical Trials Toolkit</w:t>
      </w:r>
      <w:r>
        <w:rPr>
          <w:iCs/>
          <w:lang w:val="en-US"/>
        </w:rPr>
        <w:t>.</w:t>
      </w:r>
      <w:r w:rsidR="00152F26" w:rsidRPr="00152F26">
        <w:rPr>
          <w:iCs/>
          <w:lang w:val="en-US"/>
        </w:rPr>
        <w:t xml:space="preserve"> </w:t>
      </w:r>
      <w:r w:rsidR="00152F26">
        <w:rPr>
          <w:iCs/>
          <w:lang w:val="en-US"/>
        </w:rPr>
        <w:t>[</w:t>
      </w:r>
      <w:r w:rsidR="00152F26" w:rsidRPr="00CF6CBD">
        <w:rPr>
          <w:i/>
          <w:lang w:val="en-US"/>
        </w:rPr>
        <w:t>N</w:t>
      </w:r>
      <w:r w:rsidR="00152F26" w:rsidRPr="007272BF">
        <w:rPr>
          <w:rFonts w:eastAsia="Times New Roman" w:cs="Times New Roman"/>
          <w:i/>
          <w:iCs/>
          <w:color w:val="000000"/>
          <w:lang w:eastAsia="en-GB"/>
        </w:rPr>
        <w:t>IHR Toolkit, 2016</w:t>
      </w:r>
      <w:r w:rsidR="00152F26">
        <w:rPr>
          <w:iCs/>
          <w:lang w:val="en-US"/>
        </w:rPr>
        <w:t xml:space="preserve">] </w:t>
      </w:r>
      <w:r w:rsidRPr="00DF53A5">
        <w:rPr>
          <w:iCs/>
          <w:lang w:val="en-US"/>
        </w:rPr>
        <w:t xml:space="preserve">The Toolkit </w:t>
      </w:r>
      <w:r>
        <w:rPr>
          <w:iCs/>
          <w:lang w:val="en-US"/>
        </w:rPr>
        <w:t xml:space="preserve">was searched as it </w:t>
      </w:r>
      <w:r w:rsidRPr="00DF53A5">
        <w:rPr>
          <w:iCs/>
          <w:lang w:val="en-US"/>
        </w:rPr>
        <w:t>provides practical advice to researchers designing and conducting publicly funded clinical trials in the UK</w:t>
      </w:r>
      <w:r>
        <w:rPr>
          <w:iCs/>
          <w:lang w:val="en-US"/>
        </w:rPr>
        <w:t>,</w:t>
      </w:r>
      <w:r w:rsidRPr="00DF53A5">
        <w:rPr>
          <w:iCs/>
          <w:lang w:val="en-US"/>
        </w:rPr>
        <w:t xml:space="preserve"> information on best practice and outlines the current legal and practical requirements for conducting clinical trials. Whilst primarily </w:t>
      </w:r>
      <w:r w:rsidR="00152F26" w:rsidRPr="00DF53A5">
        <w:rPr>
          <w:iCs/>
          <w:lang w:val="en-US"/>
        </w:rPr>
        <w:t>focusing</w:t>
      </w:r>
      <w:r w:rsidRPr="00DF53A5">
        <w:rPr>
          <w:iCs/>
          <w:lang w:val="en-US"/>
        </w:rPr>
        <w:t xml:space="preserve"> on Clinical Trials of Investigational Medicinal Products (CTIMPs), information and guidance relevant to the wider trial environment is also incorporated</w:t>
      </w:r>
      <w:r>
        <w:rPr>
          <w:iCs/>
          <w:lang w:val="en-US"/>
        </w:rPr>
        <w:t xml:space="preserve">, such as T1, which </w:t>
      </w:r>
      <w:r w:rsidRPr="00DF53A5">
        <w:rPr>
          <w:iCs/>
          <w:lang w:val="en-US"/>
        </w:rPr>
        <w:t xml:space="preserve">specifically relates to trials where the intervention is a device, </w:t>
      </w:r>
      <w:proofErr w:type="gramStart"/>
      <w:r w:rsidRPr="00DF53A5">
        <w:rPr>
          <w:iCs/>
          <w:lang w:val="en-US"/>
        </w:rPr>
        <w:t>therapy</w:t>
      </w:r>
      <w:proofErr w:type="gramEnd"/>
      <w:r w:rsidRPr="00DF53A5">
        <w:rPr>
          <w:iCs/>
          <w:lang w:val="en-US"/>
        </w:rPr>
        <w:t xml:space="preserve"> or other complex interventio</w:t>
      </w:r>
      <w:r>
        <w:rPr>
          <w:iCs/>
          <w:lang w:val="en-US"/>
        </w:rPr>
        <w:t>n</w:t>
      </w:r>
      <w:r w:rsidRPr="00DF53A5">
        <w:rPr>
          <w:iCs/>
          <w:lang w:val="en-US"/>
        </w:rPr>
        <w:t>.</w:t>
      </w:r>
      <w:r>
        <w:rPr>
          <w:iCs/>
          <w:lang w:val="en-US"/>
        </w:rPr>
        <w:t xml:space="preserve"> </w:t>
      </w:r>
    </w:p>
    <w:p w14:paraId="49326EEB" w14:textId="77777777" w:rsidR="00B3312F" w:rsidRDefault="00B3312F" w:rsidP="009066A9">
      <w:pPr>
        <w:spacing w:after="160"/>
        <w:rPr>
          <w:iCs/>
          <w:lang w:val="en-US"/>
        </w:rPr>
      </w:pPr>
    </w:p>
    <w:p w14:paraId="1BB5AEA4" w14:textId="3B6FC056" w:rsidR="009066A9" w:rsidRPr="009066A9" w:rsidRDefault="00A231A6" w:rsidP="009066A9">
      <w:pPr>
        <w:spacing w:after="160"/>
        <w:rPr>
          <w:iCs/>
          <w:lang w:val="en-US"/>
        </w:rPr>
      </w:pPr>
      <w:r>
        <w:rPr>
          <w:iCs/>
          <w:lang w:val="en-US"/>
        </w:rPr>
        <w:t xml:space="preserve">T2 </w:t>
      </w:r>
      <w:r w:rsidR="009066A9">
        <w:rPr>
          <w:iCs/>
          <w:lang w:val="en-US"/>
        </w:rPr>
        <w:t xml:space="preserve">was obtained from the </w:t>
      </w:r>
      <w:r w:rsidR="009066A9" w:rsidRPr="009066A9">
        <w:rPr>
          <w:iCs/>
          <w:lang w:val="en-US"/>
        </w:rPr>
        <w:t>Medical Research Council (MRC)</w:t>
      </w:r>
      <w:r w:rsidR="009066A9">
        <w:rPr>
          <w:iCs/>
          <w:lang w:val="en-US"/>
        </w:rPr>
        <w:t>, which</w:t>
      </w:r>
      <w:r w:rsidR="009066A9" w:rsidRPr="009066A9">
        <w:rPr>
          <w:iCs/>
          <w:lang w:val="en-US"/>
        </w:rPr>
        <w:t xml:space="preserve"> aims to improve human health through world-class medical research by supporting research, including clinical trial</w:t>
      </w:r>
      <w:r w:rsidR="009066A9">
        <w:rPr>
          <w:iCs/>
          <w:lang w:val="en-US"/>
        </w:rPr>
        <w:t>s</w:t>
      </w:r>
      <w:r w:rsidR="009066A9" w:rsidRPr="009066A9">
        <w:rPr>
          <w:iCs/>
          <w:lang w:val="en-US"/>
        </w:rPr>
        <w:t>, in all disease areas. They work closely with the NHS and UK Health Departments</w:t>
      </w:r>
      <w:r w:rsidR="009066A9">
        <w:rPr>
          <w:iCs/>
          <w:lang w:val="en-US"/>
        </w:rPr>
        <w:t xml:space="preserve"> and their guidance on </w:t>
      </w:r>
      <w:r w:rsidR="009066A9" w:rsidRPr="009066A9">
        <w:rPr>
          <w:iCs/>
          <w:lang w:val="en-US"/>
        </w:rPr>
        <w:t xml:space="preserve">the development, evaluation and implementation of complex interventions </w:t>
      </w:r>
      <w:r w:rsidR="009066A9">
        <w:rPr>
          <w:iCs/>
          <w:lang w:val="en-US"/>
        </w:rPr>
        <w:t xml:space="preserve">which </w:t>
      </w:r>
      <w:r w:rsidR="009066A9" w:rsidRPr="009066A9">
        <w:rPr>
          <w:iCs/>
          <w:lang w:val="en-US"/>
        </w:rPr>
        <w:t xml:space="preserve">aims to help researchers, funders and </w:t>
      </w:r>
      <w:r w:rsidR="009066A9" w:rsidRPr="008F1C0D">
        <w:rPr>
          <w:iCs/>
          <w:lang w:val="en-US"/>
        </w:rPr>
        <w:t>users understand methodological and practical constraints in complex intervention evaluation was thus included. [</w:t>
      </w:r>
      <w:r w:rsidR="008F1C0D" w:rsidRPr="00CF6CBD">
        <w:rPr>
          <w:i/>
          <w:lang w:val="en-US"/>
        </w:rPr>
        <w:t>MRC, 2019</w:t>
      </w:r>
      <w:r w:rsidR="009066A9" w:rsidRPr="008F1C0D">
        <w:rPr>
          <w:iCs/>
          <w:lang w:val="en-US"/>
        </w:rPr>
        <w:t>]</w:t>
      </w:r>
      <w:r w:rsidR="009066A9" w:rsidRPr="009066A9">
        <w:rPr>
          <w:iCs/>
          <w:lang w:val="en-US"/>
        </w:rPr>
        <w:t xml:space="preserve"> </w:t>
      </w:r>
    </w:p>
    <w:p w14:paraId="104B4723" w14:textId="77777777" w:rsidR="00AE30E0" w:rsidRDefault="00AE30E0" w:rsidP="00AE30E0">
      <w:pPr>
        <w:spacing w:after="160"/>
        <w:rPr>
          <w:iCs/>
          <w:lang w:val="en-US"/>
        </w:rPr>
      </w:pPr>
    </w:p>
    <w:p w14:paraId="57D436DC" w14:textId="58A262C1" w:rsidR="00AE30E0" w:rsidRPr="00883585" w:rsidRDefault="00AE30E0" w:rsidP="00AE30E0">
      <w:pPr>
        <w:rPr>
          <w:rFonts w:cs="Times New Roman"/>
        </w:rPr>
      </w:pPr>
      <w:r w:rsidRPr="00DC05A9">
        <w:rPr>
          <w:i/>
          <w:lang w:val="en-US"/>
        </w:rPr>
        <w:t>Identif</w:t>
      </w:r>
      <w:r>
        <w:rPr>
          <w:i/>
          <w:lang w:val="en-US"/>
        </w:rPr>
        <w:t>ie</w:t>
      </w:r>
      <w:r w:rsidRPr="00DC05A9">
        <w:rPr>
          <w:i/>
          <w:lang w:val="en-US"/>
        </w:rPr>
        <w:t>d from regulators</w:t>
      </w:r>
      <w:r>
        <w:rPr>
          <w:i/>
          <w:lang w:val="en-US"/>
        </w:rPr>
        <w:t xml:space="preserve"> </w:t>
      </w:r>
      <w:r w:rsidRPr="00DC05A9">
        <w:rPr>
          <w:i/>
          <w:lang w:val="en-US"/>
        </w:rPr>
        <w:t>(n=6)</w:t>
      </w:r>
    </w:p>
    <w:p w14:paraId="1035060D" w14:textId="1CC61D98" w:rsidR="00D27F87" w:rsidRDefault="00D27F87" w:rsidP="00D27F87">
      <w:pPr>
        <w:spacing w:after="160"/>
        <w:rPr>
          <w:iCs/>
          <w:lang w:val="en-US"/>
        </w:rPr>
      </w:pPr>
      <w:r>
        <w:rPr>
          <w:iCs/>
          <w:lang w:val="en-US"/>
        </w:rPr>
        <w:t xml:space="preserve">Six documents were obtained from regulators of relevance within the UK (T3-T8). </w:t>
      </w:r>
    </w:p>
    <w:p w14:paraId="3314893C" w14:textId="77777777" w:rsidR="00B3312F" w:rsidRDefault="00B3312F" w:rsidP="00D27F87">
      <w:pPr>
        <w:rPr>
          <w:rFonts w:cs="Times New Roman"/>
        </w:rPr>
      </w:pPr>
    </w:p>
    <w:p w14:paraId="6606A34C" w14:textId="43912A67" w:rsidR="00D27F87" w:rsidRDefault="00D27F87" w:rsidP="00D27F87">
      <w:pPr>
        <w:rPr>
          <w:rFonts w:cs="Times New Roman"/>
        </w:rPr>
      </w:pPr>
      <w:r>
        <w:rPr>
          <w:rFonts w:cs="Times New Roman"/>
        </w:rPr>
        <w:t xml:space="preserve">T3 was obtained from the </w:t>
      </w:r>
      <w:r w:rsidRPr="00D27F87">
        <w:rPr>
          <w:rFonts w:cs="Times New Roman"/>
        </w:rPr>
        <w:t>European Medicines Agency (EMA)</w:t>
      </w:r>
      <w:r>
        <w:rPr>
          <w:rFonts w:cs="Times New Roman"/>
        </w:rPr>
        <w:t>, who</w:t>
      </w:r>
      <w:r w:rsidRPr="00D27F87">
        <w:rPr>
          <w:rFonts w:cs="Times New Roman"/>
        </w:rPr>
        <w:t xml:space="preserve"> supports scientific excellence in the evaluation and supervision of medicines, for the benefit of public health in the European Union.</w:t>
      </w:r>
      <w:r>
        <w:rPr>
          <w:rFonts w:cs="Times New Roman"/>
        </w:rPr>
        <w:t xml:space="preserve"> [</w:t>
      </w:r>
      <w:r>
        <w:rPr>
          <w:rFonts w:cs="Times New Roman"/>
          <w:i/>
          <w:iCs/>
        </w:rPr>
        <w:t>EMA, 2015</w:t>
      </w:r>
      <w:r>
        <w:rPr>
          <w:rFonts w:cs="Times New Roman"/>
        </w:rPr>
        <w:t>]</w:t>
      </w:r>
      <w:r w:rsidRPr="00D27F87">
        <w:rPr>
          <w:rFonts w:cs="Times New Roman"/>
        </w:rPr>
        <w:t xml:space="preserve"> They facilitate development and monitor the safety of medicines across their life cycle. </w:t>
      </w:r>
      <w:r>
        <w:rPr>
          <w:rFonts w:cs="Times New Roman"/>
        </w:rPr>
        <w:t>T3 is included as discusses adjustment for baseline covariates</w:t>
      </w:r>
      <w:r w:rsidR="00FC5828">
        <w:rPr>
          <w:rFonts w:cs="Times New Roman"/>
        </w:rPr>
        <w:t xml:space="preserve">, particularly important where there are associations between the factor and outcome measure. </w:t>
      </w:r>
    </w:p>
    <w:p w14:paraId="78E9B484" w14:textId="77777777" w:rsidR="00B3312F" w:rsidRDefault="00B3312F" w:rsidP="00D27F87">
      <w:pPr>
        <w:rPr>
          <w:rFonts w:cs="Times New Roman"/>
        </w:rPr>
      </w:pPr>
    </w:p>
    <w:p w14:paraId="49B5C767" w14:textId="62524919" w:rsidR="00FC5828" w:rsidRDefault="00FC5828" w:rsidP="00D27F87">
      <w:pPr>
        <w:rPr>
          <w:rFonts w:cs="Times New Roman"/>
        </w:rPr>
      </w:pPr>
      <w:r>
        <w:rPr>
          <w:rFonts w:cs="Times New Roman"/>
        </w:rPr>
        <w:lastRenderedPageBreak/>
        <w:t>T4, T5, T6 and T7 are part</w:t>
      </w:r>
      <w:r w:rsidR="00202C90">
        <w:rPr>
          <w:rFonts w:cs="Times New Roman"/>
        </w:rPr>
        <w:t xml:space="preserve"> </w:t>
      </w:r>
      <w:r>
        <w:rPr>
          <w:rFonts w:cs="Times New Roman"/>
        </w:rPr>
        <w:t xml:space="preserve">of the </w:t>
      </w:r>
      <w:r w:rsidR="00202C90" w:rsidRPr="00202C90">
        <w:rPr>
          <w:rFonts w:cs="Times New Roman"/>
        </w:rPr>
        <w:t>International Council for Harmonisation of Technical Requirements for Pharmaceuticals for Human Use (ICH)</w:t>
      </w:r>
      <w:r w:rsidR="00202C90">
        <w:rPr>
          <w:rFonts w:cs="Times New Roman"/>
        </w:rPr>
        <w:t xml:space="preserve"> and, due to its </w:t>
      </w:r>
      <w:r w:rsidR="005808CD">
        <w:rPr>
          <w:rFonts w:cs="Times New Roman"/>
        </w:rPr>
        <w:t xml:space="preserve">specific </w:t>
      </w:r>
      <w:r w:rsidR="00202C90">
        <w:rPr>
          <w:rFonts w:cs="Times New Roman"/>
        </w:rPr>
        <w:t xml:space="preserve">content, </w:t>
      </w:r>
      <w:proofErr w:type="gramStart"/>
      <w:r w:rsidR="005808CD">
        <w:rPr>
          <w:rFonts w:cs="Times New Roman"/>
        </w:rPr>
        <w:t>we</w:t>
      </w:r>
      <w:r w:rsidR="00202C90">
        <w:rPr>
          <w:rFonts w:cs="Times New Roman"/>
        </w:rPr>
        <w:t xml:space="preserve">re </w:t>
      </w:r>
      <w:r w:rsidR="005808CD">
        <w:rPr>
          <w:rFonts w:cs="Times New Roman"/>
        </w:rPr>
        <w:t xml:space="preserve"> identified</w:t>
      </w:r>
      <w:proofErr w:type="gramEnd"/>
      <w:r w:rsidR="005808CD">
        <w:rPr>
          <w:rFonts w:cs="Times New Roman"/>
        </w:rPr>
        <w:t xml:space="preserve"> for inclusion in this review</w:t>
      </w:r>
      <w:r w:rsidR="00202C90">
        <w:rPr>
          <w:rFonts w:cs="Times New Roman"/>
        </w:rPr>
        <w:t>. [</w:t>
      </w:r>
      <w:r w:rsidR="009066A9">
        <w:rPr>
          <w:rFonts w:cs="Times New Roman"/>
          <w:i/>
          <w:iCs/>
        </w:rPr>
        <w:t xml:space="preserve">ICH E3, 1995; ICH E6, </w:t>
      </w:r>
      <w:r w:rsidR="009153D3">
        <w:rPr>
          <w:rFonts w:cs="Times New Roman"/>
          <w:i/>
          <w:iCs/>
        </w:rPr>
        <w:t>2016</w:t>
      </w:r>
      <w:r w:rsidR="009066A9">
        <w:rPr>
          <w:rFonts w:cs="Times New Roman"/>
          <w:i/>
          <w:iCs/>
        </w:rPr>
        <w:t>; ICH E8, 1998; ICH E9, 1999</w:t>
      </w:r>
      <w:r w:rsidR="00202C90">
        <w:rPr>
          <w:rFonts w:cs="Times New Roman"/>
        </w:rPr>
        <w:t xml:space="preserve">] This series </w:t>
      </w:r>
      <w:r w:rsidR="00202C90" w:rsidRPr="00202C90">
        <w:rPr>
          <w:rFonts w:cs="Times New Roman"/>
        </w:rPr>
        <w:t>aims to achieve worldwide harmonisation in the development and registration of medicines through guidelines developed via consensus, with regulatory and industry experts working side-by-side.</w:t>
      </w:r>
      <w:r w:rsidR="00202C90">
        <w:rPr>
          <w:rFonts w:cs="Times New Roman"/>
        </w:rPr>
        <w:t xml:space="preserve">  </w:t>
      </w:r>
    </w:p>
    <w:p w14:paraId="6EC55353" w14:textId="3BA8A615" w:rsidR="00202C90" w:rsidRDefault="00202C90" w:rsidP="00D27F87">
      <w:pPr>
        <w:rPr>
          <w:rFonts w:cs="Times New Roman"/>
        </w:rPr>
      </w:pPr>
    </w:p>
    <w:p w14:paraId="4FF84F57" w14:textId="61A5DACD" w:rsidR="00202C90" w:rsidRDefault="00202C90" w:rsidP="00D27F87">
      <w:pPr>
        <w:rPr>
          <w:rFonts w:cs="Times New Roman"/>
        </w:rPr>
      </w:pPr>
      <w:r>
        <w:rPr>
          <w:iCs/>
          <w:lang w:val="en-US"/>
        </w:rPr>
        <w:t xml:space="preserve">T8 was obtained from the </w:t>
      </w:r>
      <w:r w:rsidRPr="00AE30E0">
        <w:rPr>
          <w:iCs/>
          <w:lang w:val="en-US"/>
        </w:rPr>
        <w:t>Medicine &amp; Healthcare products Regulation Agency (MHRA)</w:t>
      </w:r>
      <w:r>
        <w:rPr>
          <w:iCs/>
          <w:lang w:val="en-US"/>
        </w:rPr>
        <w:t>. [</w:t>
      </w:r>
      <w:r>
        <w:rPr>
          <w:i/>
          <w:lang w:val="en-US"/>
        </w:rPr>
        <w:t>MHRA, 2021</w:t>
      </w:r>
      <w:r>
        <w:rPr>
          <w:iCs/>
          <w:lang w:val="en-US"/>
        </w:rPr>
        <w:t>] This e</w:t>
      </w:r>
      <w:r w:rsidRPr="00AE30E0">
        <w:rPr>
          <w:iCs/>
          <w:lang w:val="en-US"/>
        </w:rPr>
        <w:t xml:space="preserve">xecutive </w:t>
      </w:r>
      <w:r w:rsidR="00BB14C3">
        <w:rPr>
          <w:iCs/>
          <w:lang w:val="en-US"/>
        </w:rPr>
        <w:t xml:space="preserve">UK </w:t>
      </w:r>
      <w:r w:rsidRPr="00AE30E0">
        <w:rPr>
          <w:iCs/>
          <w:lang w:val="en-US"/>
        </w:rPr>
        <w:t xml:space="preserve">agency, sponsored by the Department of Health and Social Care, </w:t>
      </w:r>
      <w:r>
        <w:rPr>
          <w:iCs/>
          <w:lang w:val="en-US"/>
        </w:rPr>
        <w:t xml:space="preserve">was searched as it </w:t>
      </w:r>
      <w:r w:rsidRPr="00AE30E0">
        <w:rPr>
          <w:iCs/>
          <w:lang w:val="en-US"/>
        </w:rPr>
        <w:t xml:space="preserve">regulates medicines and medicinal devices within the UK. </w:t>
      </w:r>
      <w:r>
        <w:rPr>
          <w:iCs/>
          <w:lang w:val="en-US"/>
        </w:rPr>
        <w:t>T2</w:t>
      </w:r>
      <w:r w:rsidRPr="00AE30E0">
        <w:rPr>
          <w:iCs/>
          <w:lang w:val="en-US"/>
        </w:rPr>
        <w:t xml:space="preserve">, their document within guidance on legislation, </w:t>
      </w:r>
      <w:r>
        <w:rPr>
          <w:iCs/>
          <w:lang w:val="en-US"/>
        </w:rPr>
        <w:t xml:space="preserve">is </w:t>
      </w:r>
      <w:r w:rsidRPr="00AE30E0">
        <w:rPr>
          <w:iCs/>
          <w:lang w:val="en-US"/>
        </w:rPr>
        <w:t xml:space="preserve">included </w:t>
      </w:r>
      <w:r>
        <w:rPr>
          <w:iCs/>
          <w:lang w:val="en-US"/>
        </w:rPr>
        <w:t>as specifically addresses considerations for devices, which require administration from a treatment provider such as surgeon</w:t>
      </w:r>
      <w:r w:rsidRPr="00AE30E0">
        <w:rPr>
          <w:iCs/>
          <w:lang w:val="en-US"/>
        </w:rPr>
        <w:t>.</w:t>
      </w:r>
    </w:p>
    <w:p w14:paraId="2A5A4F4D" w14:textId="77777777" w:rsidR="008F1C0D" w:rsidRDefault="008F1C0D" w:rsidP="00AE30E0">
      <w:pPr>
        <w:spacing w:after="160"/>
      </w:pPr>
    </w:p>
    <w:p w14:paraId="45774521" w14:textId="77777777" w:rsidR="008F1C0D" w:rsidRPr="00DC05A9" w:rsidRDefault="008F1C0D" w:rsidP="008F1C0D">
      <w:pPr>
        <w:rPr>
          <w:i/>
          <w:lang w:val="en-US"/>
        </w:rPr>
      </w:pPr>
      <w:r w:rsidRPr="00DC05A9">
        <w:rPr>
          <w:i/>
          <w:lang w:val="en-US"/>
        </w:rPr>
        <w:t>Identified from medical journals (n=8)</w:t>
      </w:r>
    </w:p>
    <w:p w14:paraId="683F5300" w14:textId="101E391A" w:rsidR="008F1C0D" w:rsidRDefault="008F1C0D" w:rsidP="008F1C0D">
      <w:pPr>
        <w:spacing w:after="160"/>
        <w:rPr>
          <w:iCs/>
          <w:lang w:val="en-US"/>
        </w:rPr>
      </w:pPr>
      <w:r>
        <w:rPr>
          <w:iCs/>
          <w:lang w:val="en-US"/>
        </w:rPr>
        <w:t xml:space="preserve">Eight documents were obtained as those endorsed by medical journals (T9-T16). </w:t>
      </w:r>
    </w:p>
    <w:p w14:paraId="284FB57F" w14:textId="77777777" w:rsidR="008F1C0D" w:rsidRDefault="008F1C0D" w:rsidP="008F1C0D">
      <w:pPr>
        <w:rPr>
          <w:rFonts w:cs="Times New Roman"/>
        </w:rPr>
      </w:pPr>
    </w:p>
    <w:p w14:paraId="5CA6A08B" w14:textId="7D0BAD3C" w:rsidR="008F1C0D" w:rsidRDefault="00B2202A" w:rsidP="006538A0">
      <w:pPr>
        <w:rPr>
          <w:rFonts w:cs="Times New Roman"/>
        </w:rPr>
      </w:pPr>
      <w:r>
        <w:rPr>
          <w:rFonts w:cs="Times New Roman"/>
        </w:rPr>
        <w:t xml:space="preserve">Three were selected for inclusion as </w:t>
      </w:r>
      <w:r w:rsidR="006538A0">
        <w:rPr>
          <w:rFonts w:cs="Times New Roman"/>
        </w:rPr>
        <w:t>identified from</w:t>
      </w:r>
      <w:r>
        <w:rPr>
          <w:rFonts w:cs="Times New Roman"/>
        </w:rPr>
        <w:t xml:space="preserve"> the </w:t>
      </w:r>
      <w:r w:rsidRPr="00B2202A">
        <w:rPr>
          <w:rFonts w:cs="Times New Roman"/>
        </w:rPr>
        <w:t>IDEAL Framework</w:t>
      </w:r>
      <w:r>
        <w:rPr>
          <w:rFonts w:cs="Times New Roman"/>
        </w:rPr>
        <w:t xml:space="preserve"> (T9, T13, T14). </w:t>
      </w:r>
      <w:r w:rsidR="00396BF3">
        <w:rPr>
          <w:iCs/>
          <w:lang w:val="en-US"/>
        </w:rPr>
        <w:t>[</w:t>
      </w:r>
      <w:proofErr w:type="spellStart"/>
      <w:r w:rsidR="00396BF3" w:rsidRPr="00FA51D2">
        <w:rPr>
          <w:rFonts w:cs="Times New Roman"/>
          <w:i/>
          <w:iCs/>
        </w:rPr>
        <w:t>Barkun</w:t>
      </w:r>
      <w:proofErr w:type="spellEnd"/>
      <w:r w:rsidR="00396BF3" w:rsidRPr="00FA51D2">
        <w:rPr>
          <w:rFonts w:cs="Times New Roman"/>
          <w:i/>
          <w:iCs/>
        </w:rPr>
        <w:t xml:space="preserve">, 2009; </w:t>
      </w:r>
      <w:proofErr w:type="spellStart"/>
      <w:r w:rsidR="00396BF3" w:rsidRPr="00FA51D2">
        <w:rPr>
          <w:rFonts w:cs="Times New Roman"/>
          <w:i/>
          <w:iCs/>
        </w:rPr>
        <w:t>Ergina</w:t>
      </w:r>
      <w:proofErr w:type="spellEnd"/>
      <w:r w:rsidR="00396BF3" w:rsidRPr="00FA51D2">
        <w:rPr>
          <w:rFonts w:cs="Times New Roman"/>
          <w:i/>
          <w:iCs/>
        </w:rPr>
        <w:t>, 2009; McCulloch, 2009</w:t>
      </w:r>
      <w:r w:rsidR="00396BF3">
        <w:rPr>
          <w:rFonts w:cs="Times New Roman"/>
        </w:rPr>
        <w:t>]</w:t>
      </w:r>
      <w:r w:rsidRPr="00B2202A">
        <w:rPr>
          <w:rFonts w:cs="Times New Roman"/>
        </w:rPr>
        <w:t xml:space="preserve"> </w:t>
      </w:r>
      <w:r w:rsidR="00396BF3">
        <w:rPr>
          <w:rFonts w:cs="Times New Roman"/>
        </w:rPr>
        <w:t xml:space="preserve">The IDEAL framework </w:t>
      </w:r>
      <w:r w:rsidRPr="00B2202A">
        <w:rPr>
          <w:rFonts w:cs="Times New Roman"/>
        </w:rPr>
        <w:t>describes the five stages of surgical therapy innovation: Idea, Development, Exploration, Assessment and Long-term follow-up. Recommendations are provided with respect to study design and reporting in to improve evidence on surgical and interventional therapy innovation.</w:t>
      </w:r>
      <w:r w:rsidR="00EC75D7">
        <w:rPr>
          <w:rFonts w:cs="Times New Roman"/>
        </w:rPr>
        <w:t xml:space="preserve"> These documents were included due to their clear relevance to the subject matter.</w:t>
      </w:r>
      <w:r w:rsidRPr="00B2202A">
        <w:rPr>
          <w:rFonts w:cs="Times New Roman"/>
        </w:rPr>
        <w:t xml:space="preserve"> </w:t>
      </w:r>
    </w:p>
    <w:p w14:paraId="4F34F9E2" w14:textId="0817A156" w:rsidR="008B0137" w:rsidRDefault="008B0137" w:rsidP="008F1C0D">
      <w:pPr>
        <w:rPr>
          <w:rFonts w:cs="Times New Roman"/>
        </w:rPr>
      </w:pPr>
    </w:p>
    <w:p w14:paraId="45DCA6FA" w14:textId="19F20734" w:rsidR="002668C9" w:rsidRPr="00B3312F" w:rsidRDefault="00EC75D7" w:rsidP="00CF6CBD">
      <w:pPr>
        <w:rPr>
          <w:rFonts w:cs="Times New Roman"/>
        </w:rPr>
      </w:pPr>
      <w:r>
        <w:rPr>
          <w:rFonts w:cs="Times New Roman"/>
        </w:rPr>
        <w:t xml:space="preserve">Five were selected as relevant CONSORT documents. (T10-T12, T15, T16) </w:t>
      </w:r>
      <w:r>
        <w:rPr>
          <w:rStyle w:val="nlm-surname"/>
          <w:lang w:val="en"/>
        </w:rPr>
        <w:t>[</w:t>
      </w:r>
      <w:proofErr w:type="spellStart"/>
      <w:r>
        <w:rPr>
          <w:rStyle w:val="nlm-surname"/>
          <w:i/>
          <w:iCs/>
          <w:lang w:val="en"/>
        </w:rPr>
        <w:t>Boutron</w:t>
      </w:r>
      <w:proofErr w:type="spellEnd"/>
      <w:r>
        <w:rPr>
          <w:rStyle w:val="nlm-surname"/>
          <w:i/>
          <w:iCs/>
          <w:lang w:val="en"/>
        </w:rPr>
        <w:t xml:space="preserve">, 2017; </w:t>
      </w:r>
      <w:proofErr w:type="spellStart"/>
      <w:r>
        <w:rPr>
          <w:rStyle w:val="nlm-surname"/>
          <w:i/>
          <w:iCs/>
          <w:lang w:val="en"/>
        </w:rPr>
        <w:t>Boutron</w:t>
      </w:r>
      <w:proofErr w:type="spellEnd"/>
      <w:r>
        <w:rPr>
          <w:rStyle w:val="nlm-surname"/>
          <w:i/>
          <w:iCs/>
          <w:lang w:val="en"/>
        </w:rPr>
        <w:t xml:space="preserve">, 2008; Campbell, 2012; Schulz, 2010; </w:t>
      </w:r>
      <w:proofErr w:type="spellStart"/>
      <w:r>
        <w:rPr>
          <w:rStyle w:val="nlm-surname"/>
          <w:i/>
          <w:iCs/>
          <w:lang w:val="en"/>
        </w:rPr>
        <w:t>Zwarenstein</w:t>
      </w:r>
      <w:proofErr w:type="spellEnd"/>
      <w:r>
        <w:rPr>
          <w:rStyle w:val="nlm-surname"/>
          <w:i/>
          <w:iCs/>
          <w:lang w:val="en"/>
        </w:rPr>
        <w:t>, 2008</w:t>
      </w:r>
      <w:r>
        <w:rPr>
          <w:rStyle w:val="nlm-surname"/>
          <w:lang w:val="en"/>
        </w:rPr>
        <w:t xml:space="preserve">] </w:t>
      </w:r>
      <w:r w:rsidR="00B2202A" w:rsidRPr="00B2202A">
        <w:rPr>
          <w:rFonts w:cs="Times New Roman"/>
        </w:rPr>
        <w:t xml:space="preserve">The Consolidated Standards of Reporting Trials (CONSORT) aims to alleviate inadequate reporting of randomised controlled trials. The CONSORT Statement is endorsed by prominent general medical journals, </w:t>
      </w:r>
      <w:r w:rsidR="00DF334F">
        <w:rPr>
          <w:rFonts w:cs="Times New Roman"/>
        </w:rPr>
        <w:t>specialty</w:t>
      </w:r>
      <w:r w:rsidR="00B2202A" w:rsidRPr="00B2202A">
        <w:rPr>
          <w:rFonts w:cs="Times New Roman"/>
        </w:rPr>
        <w:t xml:space="preserve"> medical journals, </w:t>
      </w:r>
      <w:r w:rsidR="00B2202A" w:rsidRPr="00B2202A">
        <w:rPr>
          <w:rFonts w:cs="Times New Roman"/>
        </w:rPr>
        <w:lastRenderedPageBreak/>
        <w:t>and leading editorial organizations. Th</w:t>
      </w:r>
      <w:r w:rsidR="00DF334F">
        <w:rPr>
          <w:rFonts w:cs="Times New Roman"/>
        </w:rPr>
        <w:t>re</w:t>
      </w:r>
      <w:r w:rsidR="00B2202A" w:rsidRPr="00B2202A">
        <w:rPr>
          <w:rFonts w:cs="Times New Roman"/>
        </w:rPr>
        <w:t xml:space="preserve">e extensions, and relevant updates, are included in this guidance summary.  </w:t>
      </w:r>
      <w:r w:rsidR="002668C9">
        <w:br w:type="page"/>
      </w:r>
    </w:p>
    <w:p w14:paraId="3CFE8EB3" w14:textId="77777777" w:rsidR="002668C9" w:rsidRDefault="002668C9" w:rsidP="002668C9">
      <w:r>
        <w:rPr>
          <w:noProof/>
        </w:rPr>
        <w:lastRenderedPageBreak/>
        <mc:AlternateContent>
          <mc:Choice Requires="wps">
            <w:drawing>
              <wp:inline distT="0" distB="0" distL="0" distR="0" wp14:anchorId="2162C9DB" wp14:editId="4D9A3667">
                <wp:extent cx="8914765" cy="5256000"/>
                <wp:effectExtent l="635" t="0" r="1270" b="1270"/>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14765" cy="5256000"/>
                        </a:xfrm>
                        <a:prstGeom prst="rect">
                          <a:avLst/>
                        </a:prstGeom>
                        <a:solidFill>
                          <a:srgbClr val="FFFFFF"/>
                        </a:solidFill>
                        <a:ln w="9525">
                          <a:noFill/>
                          <a:miter lim="800000"/>
                          <a:headEnd/>
                          <a:tailEnd/>
                        </a:ln>
                      </wps:spPr>
                      <wps:txbx>
                        <w:txbxContent>
                          <w:p w14:paraId="49D8BA52" w14:textId="77153966" w:rsidR="002668C9" w:rsidRDefault="002668C9" w:rsidP="002668C9">
                            <w:pPr>
                              <w:pStyle w:val="Caption"/>
                            </w:pPr>
                            <w:r>
                              <w:t>Supplementary Table 1: Key criteria coverage across documents summary</w:t>
                            </w:r>
                          </w:p>
                          <w:tbl>
                            <w:tblPr>
                              <w:tblW w:w="13346" w:type="dxa"/>
                              <w:tblLook w:val="04A0" w:firstRow="1" w:lastRow="0" w:firstColumn="1" w:lastColumn="0" w:noHBand="0" w:noVBand="1"/>
                            </w:tblPr>
                            <w:tblGrid>
                              <w:gridCol w:w="2068"/>
                              <w:gridCol w:w="960"/>
                              <w:gridCol w:w="960"/>
                              <w:gridCol w:w="960"/>
                              <w:gridCol w:w="960"/>
                              <w:gridCol w:w="960"/>
                              <w:gridCol w:w="960"/>
                              <w:gridCol w:w="960"/>
                              <w:gridCol w:w="960"/>
                              <w:gridCol w:w="960"/>
                              <w:gridCol w:w="960"/>
                              <w:gridCol w:w="960"/>
                              <w:gridCol w:w="718"/>
                            </w:tblGrid>
                            <w:tr w:rsidR="002668C9" w:rsidRPr="007272BF" w14:paraId="72E87B14" w14:textId="77777777" w:rsidTr="00EB36D2">
                              <w:trPr>
                                <w:trHeight w:val="290"/>
                                <w:tblHeader/>
                              </w:trPr>
                              <w:tc>
                                <w:tcPr>
                                  <w:tcW w:w="20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A70B7E1" w14:textId="77777777" w:rsidR="002668C9" w:rsidRPr="007272BF"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Document</w:t>
                                  </w:r>
                                </w:p>
                              </w:tc>
                              <w:tc>
                                <w:tcPr>
                                  <w:tcW w:w="10560" w:type="dxa"/>
                                  <w:gridSpan w:val="11"/>
                                  <w:tcBorders>
                                    <w:top w:val="single" w:sz="4" w:space="0" w:color="auto"/>
                                    <w:left w:val="nil"/>
                                    <w:bottom w:val="single" w:sz="4" w:space="0" w:color="auto"/>
                                    <w:right w:val="single" w:sz="4" w:space="0" w:color="auto"/>
                                  </w:tcBorders>
                                  <w:shd w:val="clear" w:color="auto" w:fill="auto"/>
                                  <w:noWrap/>
                                  <w:vAlign w:val="bottom"/>
                                  <w:hideMark/>
                                </w:tcPr>
                                <w:p w14:paraId="714AEF47" w14:textId="77777777" w:rsidR="002668C9" w:rsidRPr="00E34265" w:rsidRDefault="002668C9" w:rsidP="0074418A">
                                  <w:pPr>
                                    <w:jc w:val="center"/>
                                    <w:rPr>
                                      <w:rFonts w:eastAsia="Times New Roman" w:cs="Times New Roman"/>
                                      <w:b/>
                                      <w:bCs/>
                                      <w:color w:val="000000"/>
                                      <w:vertAlign w:val="superscript"/>
                                      <w:lang w:eastAsia="en-GB"/>
                                    </w:rPr>
                                  </w:pPr>
                                  <w:r w:rsidRPr="007272BF">
                                    <w:rPr>
                                      <w:rFonts w:eastAsia="Times New Roman" w:cs="Times New Roman"/>
                                      <w:b/>
                                      <w:bCs/>
                                      <w:color w:val="000000"/>
                                      <w:lang w:eastAsia="en-GB"/>
                                    </w:rPr>
                                    <w:t>Key criteria</w:t>
                                  </w:r>
                                  <w:r>
                                    <w:rPr>
                                      <w:rFonts w:eastAsia="Times New Roman" w:cs="Times New Roman"/>
                                      <w:b/>
                                      <w:bCs/>
                                      <w:color w:val="000000"/>
                                      <w:lang w:eastAsia="en-GB"/>
                                    </w:rPr>
                                    <w:t xml:space="preserve"> </w:t>
                                  </w:r>
                                  <w:r>
                                    <w:rPr>
                                      <w:rFonts w:eastAsia="Times New Roman" w:cs="Times New Roman"/>
                                      <w:b/>
                                      <w:bCs/>
                                      <w:color w:val="000000"/>
                                      <w:vertAlign w:val="superscript"/>
                                      <w:lang w:eastAsia="en-GB"/>
                                    </w:rPr>
                                    <w:t>A</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A6E01" w14:textId="77777777" w:rsidR="002668C9"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Total</w:t>
                                  </w:r>
                                </w:p>
                                <w:p w14:paraId="0AEAF5E8" w14:textId="77777777" w:rsidR="002668C9" w:rsidRPr="007272BF" w:rsidRDefault="002668C9" w:rsidP="0074418A">
                                  <w:pPr>
                                    <w:jc w:val="center"/>
                                    <w:rPr>
                                      <w:rFonts w:eastAsia="Times New Roman" w:cs="Times New Roman"/>
                                      <w:bCs/>
                                      <w:color w:val="000000"/>
                                      <w:lang w:eastAsia="en-GB"/>
                                    </w:rPr>
                                  </w:pPr>
                                  <w:r>
                                    <w:rPr>
                                      <w:rFonts w:eastAsia="Times New Roman" w:cs="Times New Roman"/>
                                      <w:bCs/>
                                      <w:color w:val="000000"/>
                                      <w:lang w:eastAsia="en-GB"/>
                                    </w:rPr>
                                    <w:t>n</w:t>
                                  </w:r>
                                </w:p>
                              </w:tc>
                            </w:tr>
                            <w:tr w:rsidR="002668C9" w:rsidRPr="007272BF" w14:paraId="14CCA2E9" w14:textId="77777777" w:rsidTr="00EB36D2">
                              <w:trPr>
                                <w:trHeight w:val="290"/>
                                <w:tblHeader/>
                              </w:trPr>
                              <w:tc>
                                <w:tcPr>
                                  <w:tcW w:w="2068" w:type="dxa"/>
                                  <w:vMerge/>
                                  <w:tcBorders>
                                    <w:top w:val="single" w:sz="4" w:space="0" w:color="auto"/>
                                    <w:left w:val="single" w:sz="4" w:space="0" w:color="auto"/>
                                    <w:bottom w:val="single" w:sz="4" w:space="0" w:color="000000"/>
                                    <w:right w:val="single" w:sz="4" w:space="0" w:color="auto"/>
                                  </w:tcBorders>
                                  <w:vAlign w:val="center"/>
                                  <w:hideMark/>
                                </w:tcPr>
                                <w:p w14:paraId="5BC69823" w14:textId="77777777" w:rsidR="002668C9" w:rsidRPr="007272BF" w:rsidRDefault="002668C9" w:rsidP="0074418A">
                                  <w:pPr>
                                    <w:rPr>
                                      <w:rFonts w:eastAsia="Times New Roman" w:cs="Times New Roman"/>
                                      <w:b/>
                                      <w:bCs/>
                                      <w:color w:val="000000"/>
                                      <w:lang w:eastAsia="en-GB"/>
                                    </w:rPr>
                                  </w:pP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CC769E1" w14:textId="77777777" w:rsidR="002668C9" w:rsidRPr="007272BF"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Design</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935BD8C" w14:textId="77777777" w:rsidR="002668C9" w:rsidRPr="007272BF"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Analysis</w:t>
                                  </w:r>
                                </w:p>
                              </w:tc>
                              <w:tc>
                                <w:tcPr>
                                  <w:tcW w:w="718" w:type="dxa"/>
                                  <w:vMerge/>
                                  <w:tcBorders>
                                    <w:top w:val="single" w:sz="4" w:space="0" w:color="auto"/>
                                    <w:left w:val="single" w:sz="4" w:space="0" w:color="auto"/>
                                    <w:bottom w:val="single" w:sz="4" w:space="0" w:color="auto"/>
                                    <w:right w:val="single" w:sz="4" w:space="0" w:color="auto"/>
                                  </w:tcBorders>
                                  <w:vAlign w:val="center"/>
                                  <w:hideMark/>
                                </w:tcPr>
                                <w:p w14:paraId="5DB57169" w14:textId="77777777" w:rsidR="002668C9" w:rsidRPr="007272BF" w:rsidRDefault="002668C9" w:rsidP="0074418A">
                                  <w:pPr>
                                    <w:rPr>
                                      <w:rFonts w:eastAsia="Times New Roman" w:cs="Times New Roman"/>
                                      <w:b/>
                                      <w:bCs/>
                                      <w:color w:val="000000"/>
                                      <w:lang w:eastAsia="en-GB"/>
                                    </w:rPr>
                                  </w:pPr>
                                </w:p>
                              </w:tc>
                            </w:tr>
                            <w:tr w:rsidR="002668C9" w:rsidRPr="007272BF" w14:paraId="44C3974F" w14:textId="77777777" w:rsidTr="00EB36D2">
                              <w:trPr>
                                <w:trHeight w:val="290"/>
                                <w:tblHeader/>
                              </w:trPr>
                              <w:tc>
                                <w:tcPr>
                                  <w:tcW w:w="2068" w:type="dxa"/>
                                  <w:vMerge/>
                                  <w:tcBorders>
                                    <w:top w:val="single" w:sz="4" w:space="0" w:color="auto"/>
                                    <w:left w:val="single" w:sz="4" w:space="0" w:color="auto"/>
                                    <w:bottom w:val="single" w:sz="4" w:space="0" w:color="000000"/>
                                    <w:right w:val="single" w:sz="4" w:space="0" w:color="auto"/>
                                  </w:tcBorders>
                                  <w:vAlign w:val="center"/>
                                  <w:hideMark/>
                                </w:tcPr>
                                <w:p w14:paraId="09928F5A" w14:textId="77777777" w:rsidR="002668C9" w:rsidRPr="007272BF" w:rsidRDefault="002668C9" w:rsidP="0074418A">
                                  <w:pPr>
                                    <w:rPr>
                                      <w:rFonts w:eastAsia="Times New Roman" w:cs="Times New Roman"/>
                                      <w:b/>
                                      <w:bCs/>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569226D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D1</w:t>
                                  </w:r>
                                </w:p>
                              </w:tc>
                              <w:tc>
                                <w:tcPr>
                                  <w:tcW w:w="960" w:type="dxa"/>
                                  <w:tcBorders>
                                    <w:top w:val="nil"/>
                                    <w:left w:val="nil"/>
                                    <w:bottom w:val="single" w:sz="4" w:space="0" w:color="auto"/>
                                    <w:right w:val="single" w:sz="4" w:space="0" w:color="auto"/>
                                  </w:tcBorders>
                                  <w:shd w:val="clear" w:color="auto" w:fill="auto"/>
                                  <w:noWrap/>
                                  <w:vAlign w:val="bottom"/>
                                  <w:hideMark/>
                                </w:tcPr>
                                <w:p w14:paraId="3FE8FA5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D2</w:t>
                                  </w:r>
                                </w:p>
                              </w:tc>
                              <w:tc>
                                <w:tcPr>
                                  <w:tcW w:w="960" w:type="dxa"/>
                                  <w:tcBorders>
                                    <w:top w:val="nil"/>
                                    <w:left w:val="nil"/>
                                    <w:bottom w:val="single" w:sz="4" w:space="0" w:color="auto"/>
                                    <w:right w:val="single" w:sz="4" w:space="0" w:color="auto"/>
                                  </w:tcBorders>
                                  <w:shd w:val="clear" w:color="auto" w:fill="auto"/>
                                  <w:noWrap/>
                                  <w:vAlign w:val="bottom"/>
                                  <w:hideMark/>
                                </w:tcPr>
                                <w:p w14:paraId="67D7EB1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D3</w:t>
                                  </w:r>
                                </w:p>
                              </w:tc>
                              <w:tc>
                                <w:tcPr>
                                  <w:tcW w:w="960" w:type="dxa"/>
                                  <w:tcBorders>
                                    <w:top w:val="nil"/>
                                    <w:left w:val="nil"/>
                                    <w:bottom w:val="single" w:sz="4" w:space="0" w:color="auto"/>
                                    <w:right w:val="single" w:sz="4" w:space="0" w:color="auto"/>
                                  </w:tcBorders>
                                  <w:shd w:val="clear" w:color="auto" w:fill="auto"/>
                                  <w:noWrap/>
                                  <w:vAlign w:val="bottom"/>
                                  <w:hideMark/>
                                </w:tcPr>
                                <w:p w14:paraId="6161A56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D4</w:t>
                                  </w:r>
                                </w:p>
                              </w:tc>
                              <w:tc>
                                <w:tcPr>
                                  <w:tcW w:w="960" w:type="dxa"/>
                                  <w:tcBorders>
                                    <w:top w:val="nil"/>
                                    <w:left w:val="nil"/>
                                    <w:bottom w:val="single" w:sz="4" w:space="0" w:color="auto"/>
                                    <w:right w:val="single" w:sz="4" w:space="0" w:color="auto"/>
                                  </w:tcBorders>
                                  <w:shd w:val="clear" w:color="auto" w:fill="auto"/>
                                  <w:noWrap/>
                                  <w:vAlign w:val="bottom"/>
                                  <w:hideMark/>
                                </w:tcPr>
                                <w:p w14:paraId="7A12F2B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D5</w:t>
                                  </w:r>
                                </w:p>
                              </w:tc>
                              <w:tc>
                                <w:tcPr>
                                  <w:tcW w:w="960" w:type="dxa"/>
                                  <w:tcBorders>
                                    <w:top w:val="nil"/>
                                    <w:left w:val="nil"/>
                                    <w:bottom w:val="single" w:sz="4" w:space="0" w:color="auto"/>
                                    <w:right w:val="single" w:sz="4" w:space="0" w:color="auto"/>
                                  </w:tcBorders>
                                  <w:shd w:val="clear" w:color="auto" w:fill="auto"/>
                                  <w:noWrap/>
                                  <w:vAlign w:val="bottom"/>
                                  <w:hideMark/>
                                </w:tcPr>
                                <w:p w14:paraId="43F5A32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D6</w:t>
                                  </w:r>
                                </w:p>
                              </w:tc>
                              <w:tc>
                                <w:tcPr>
                                  <w:tcW w:w="960" w:type="dxa"/>
                                  <w:tcBorders>
                                    <w:top w:val="nil"/>
                                    <w:left w:val="nil"/>
                                    <w:bottom w:val="single" w:sz="4" w:space="0" w:color="auto"/>
                                    <w:right w:val="single" w:sz="4" w:space="0" w:color="auto"/>
                                  </w:tcBorders>
                                  <w:shd w:val="clear" w:color="auto" w:fill="auto"/>
                                  <w:noWrap/>
                                  <w:vAlign w:val="bottom"/>
                                  <w:hideMark/>
                                </w:tcPr>
                                <w:p w14:paraId="4180FF3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A1</w:t>
                                  </w:r>
                                </w:p>
                              </w:tc>
                              <w:tc>
                                <w:tcPr>
                                  <w:tcW w:w="960" w:type="dxa"/>
                                  <w:tcBorders>
                                    <w:top w:val="nil"/>
                                    <w:left w:val="nil"/>
                                    <w:bottom w:val="single" w:sz="4" w:space="0" w:color="auto"/>
                                    <w:right w:val="single" w:sz="4" w:space="0" w:color="auto"/>
                                  </w:tcBorders>
                                  <w:shd w:val="clear" w:color="auto" w:fill="auto"/>
                                  <w:noWrap/>
                                  <w:vAlign w:val="bottom"/>
                                  <w:hideMark/>
                                </w:tcPr>
                                <w:p w14:paraId="0CCA9D1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A2</w:t>
                                  </w:r>
                                </w:p>
                              </w:tc>
                              <w:tc>
                                <w:tcPr>
                                  <w:tcW w:w="960" w:type="dxa"/>
                                  <w:tcBorders>
                                    <w:top w:val="nil"/>
                                    <w:left w:val="nil"/>
                                    <w:bottom w:val="single" w:sz="4" w:space="0" w:color="auto"/>
                                    <w:right w:val="single" w:sz="4" w:space="0" w:color="auto"/>
                                  </w:tcBorders>
                                  <w:shd w:val="clear" w:color="auto" w:fill="auto"/>
                                  <w:noWrap/>
                                  <w:vAlign w:val="bottom"/>
                                  <w:hideMark/>
                                </w:tcPr>
                                <w:p w14:paraId="53FA691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A3</w:t>
                                  </w:r>
                                </w:p>
                              </w:tc>
                              <w:tc>
                                <w:tcPr>
                                  <w:tcW w:w="960" w:type="dxa"/>
                                  <w:tcBorders>
                                    <w:top w:val="nil"/>
                                    <w:left w:val="nil"/>
                                    <w:bottom w:val="single" w:sz="4" w:space="0" w:color="auto"/>
                                    <w:right w:val="single" w:sz="4" w:space="0" w:color="auto"/>
                                  </w:tcBorders>
                                  <w:shd w:val="clear" w:color="auto" w:fill="auto"/>
                                  <w:noWrap/>
                                  <w:vAlign w:val="bottom"/>
                                  <w:hideMark/>
                                </w:tcPr>
                                <w:p w14:paraId="489E14A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A4</w:t>
                                  </w:r>
                                </w:p>
                              </w:tc>
                              <w:tc>
                                <w:tcPr>
                                  <w:tcW w:w="960" w:type="dxa"/>
                                  <w:tcBorders>
                                    <w:top w:val="nil"/>
                                    <w:left w:val="nil"/>
                                    <w:bottom w:val="single" w:sz="4" w:space="0" w:color="auto"/>
                                    <w:right w:val="single" w:sz="4" w:space="0" w:color="auto"/>
                                  </w:tcBorders>
                                  <w:shd w:val="clear" w:color="auto" w:fill="auto"/>
                                  <w:noWrap/>
                                  <w:vAlign w:val="bottom"/>
                                  <w:hideMark/>
                                </w:tcPr>
                                <w:p w14:paraId="738B5C8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A5</w:t>
                                  </w:r>
                                </w:p>
                              </w:tc>
                              <w:tc>
                                <w:tcPr>
                                  <w:tcW w:w="718" w:type="dxa"/>
                                  <w:vMerge/>
                                  <w:tcBorders>
                                    <w:top w:val="single" w:sz="4" w:space="0" w:color="auto"/>
                                    <w:left w:val="single" w:sz="4" w:space="0" w:color="auto"/>
                                    <w:bottom w:val="single" w:sz="4" w:space="0" w:color="auto"/>
                                    <w:right w:val="single" w:sz="4" w:space="0" w:color="auto"/>
                                  </w:tcBorders>
                                  <w:vAlign w:val="center"/>
                                  <w:hideMark/>
                                </w:tcPr>
                                <w:p w14:paraId="446A802A" w14:textId="77777777" w:rsidR="002668C9" w:rsidRPr="007272BF" w:rsidRDefault="002668C9" w:rsidP="0074418A">
                                  <w:pPr>
                                    <w:rPr>
                                      <w:rFonts w:eastAsia="Times New Roman" w:cs="Times New Roman"/>
                                      <w:b/>
                                      <w:bCs/>
                                      <w:color w:val="000000"/>
                                      <w:lang w:eastAsia="en-GB"/>
                                    </w:rPr>
                                  </w:pPr>
                                </w:p>
                              </w:tc>
                            </w:tr>
                            <w:tr w:rsidR="002668C9" w:rsidRPr="007272BF" w14:paraId="76639839"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1E90998D"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Barkun, 2009</w:t>
                                  </w:r>
                                </w:p>
                              </w:tc>
                              <w:tc>
                                <w:tcPr>
                                  <w:tcW w:w="960" w:type="dxa"/>
                                  <w:tcBorders>
                                    <w:top w:val="nil"/>
                                    <w:left w:val="nil"/>
                                    <w:bottom w:val="nil"/>
                                    <w:right w:val="single" w:sz="4" w:space="0" w:color="auto"/>
                                  </w:tcBorders>
                                  <w:shd w:val="clear" w:color="auto" w:fill="auto"/>
                                  <w:noWrap/>
                                  <w:vAlign w:val="bottom"/>
                                  <w:hideMark/>
                                </w:tcPr>
                                <w:p w14:paraId="2C5F869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67BC57C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F805B3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A38125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14255B4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82B259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A4E865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184D27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F8BA3D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B18F27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71B12E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64B106E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2</w:t>
                                  </w:r>
                                </w:p>
                              </w:tc>
                            </w:tr>
                            <w:tr w:rsidR="002668C9" w:rsidRPr="007272BF" w14:paraId="37F89EC0"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65D3B2A6"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McCulloch, 2009</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0579728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1F2B984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667DE9E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07843F4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777B7AC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5721054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8D4FDA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0E14406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9F824A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7FA32E6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3238ECE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4CE63E8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6</w:t>
                                  </w:r>
                                </w:p>
                              </w:tc>
                            </w:tr>
                            <w:tr w:rsidR="002668C9" w:rsidRPr="007272BF" w14:paraId="30355CD2"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57EEF4F4"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Bilbro, 2021</w:t>
                                  </w:r>
                                </w:p>
                              </w:tc>
                              <w:tc>
                                <w:tcPr>
                                  <w:tcW w:w="960" w:type="dxa"/>
                                  <w:tcBorders>
                                    <w:top w:val="nil"/>
                                    <w:left w:val="nil"/>
                                    <w:bottom w:val="nil"/>
                                    <w:right w:val="single" w:sz="4" w:space="0" w:color="auto"/>
                                  </w:tcBorders>
                                  <w:shd w:val="clear" w:color="auto" w:fill="auto"/>
                                  <w:noWrap/>
                                  <w:vAlign w:val="bottom"/>
                                  <w:hideMark/>
                                </w:tcPr>
                                <w:p w14:paraId="0538203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553997B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1D7DC28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7C9CDC0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28B3009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629A1B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362D46D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0204696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7E4D259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70A88F3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0D8A1A2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061A0B6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5</w:t>
                                  </w:r>
                                </w:p>
                              </w:tc>
                            </w:tr>
                            <w:tr w:rsidR="002668C9" w:rsidRPr="007272BF" w14:paraId="38F93931"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0A36A04F"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Boutron, 2008</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6CB0BD2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5354914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6E57099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1C18D9A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00629AD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61DABBF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1F68C8D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11EEDD5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13AE33A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1CFFD6A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1DDB51E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01E13D4C"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6</w:t>
                                  </w:r>
                                </w:p>
                              </w:tc>
                            </w:tr>
                            <w:tr w:rsidR="002668C9" w:rsidRPr="007272BF" w14:paraId="4EFF4631"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4C13E990"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Boutron, 2017</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2F4253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5B4451A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66FE112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BE4943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4B17627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5B29509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5B047C4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5620931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AB70D3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1B83554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186BF55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718" w:type="dxa"/>
                                  <w:tcBorders>
                                    <w:top w:val="nil"/>
                                    <w:left w:val="nil"/>
                                    <w:bottom w:val="nil"/>
                                    <w:right w:val="single" w:sz="4" w:space="0" w:color="auto"/>
                                  </w:tcBorders>
                                  <w:shd w:val="clear" w:color="auto" w:fill="auto"/>
                                  <w:noWrap/>
                                  <w:vAlign w:val="bottom"/>
                                  <w:hideMark/>
                                </w:tcPr>
                                <w:p w14:paraId="00AEDA74"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8</w:t>
                                  </w:r>
                                </w:p>
                              </w:tc>
                            </w:tr>
                            <w:tr w:rsidR="002668C9" w:rsidRPr="007272BF" w14:paraId="1165857B"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3234AC88"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Campbell, 2012</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29CB9D7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0364EA0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5173A5F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5CB2421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D9DDB3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6BEEF68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4973E84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EA2491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32DB407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044DCC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0CD6F6C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718" w:type="dxa"/>
                                  <w:tcBorders>
                                    <w:top w:val="nil"/>
                                    <w:left w:val="nil"/>
                                    <w:bottom w:val="nil"/>
                                    <w:right w:val="single" w:sz="4" w:space="0" w:color="auto"/>
                                  </w:tcBorders>
                                  <w:shd w:val="clear" w:color="auto" w:fill="auto"/>
                                  <w:noWrap/>
                                  <w:vAlign w:val="bottom"/>
                                  <w:hideMark/>
                                </w:tcPr>
                                <w:p w14:paraId="2DC59EB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5</w:t>
                                  </w:r>
                                </w:p>
                              </w:tc>
                            </w:tr>
                            <w:tr w:rsidR="002668C9" w:rsidRPr="007272BF" w14:paraId="093B75A6"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7EBE745B"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MRC, 2019</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6B82BB7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115FDB7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2573467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5262FBB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A5FE6C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0C2498A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30172B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199AE93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66F0C97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E6D3A0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7F575AE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718" w:type="dxa"/>
                                  <w:tcBorders>
                                    <w:top w:val="nil"/>
                                    <w:left w:val="nil"/>
                                    <w:bottom w:val="nil"/>
                                    <w:right w:val="single" w:sz="4" w:space="0" w:color="auto"/>
                                  </w:tcBorders>
                                  <w:shd w:val="clear" w:color="auto" w:fill="auto"/>
                                  <w:noWrap/>
                                  <w:vAlign w:val="bottom"/>
                                  <w:hideMark/>
                                </w:tcPr>
                                <w:p w14:paraId="5546691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6</w:t>
                                  </w:r>
                                </w:p>
                              </w:tc>
                            </w:tr>
                            <w:tr w:rsidR="002668C9" w:rsidRPr="007272BF" w14:paraId="08A389AD"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491D1B4D"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Elias, 2019</w:t>
                                  </w:r>
                                </w:p>
                              </w:tc>
                              <w:tc>
                                <w:tcPr>
                                  <w:tcW w:w="960" w:type="dxa"/>
                                  <w:tcBorders>
                                    <w:top w:val="nil"/>
                                    <w:left w:val="nil"/>
                                    <w:bottom w:val="nil"/>
                                    <w:right w:val="single" w:sz="4" w:space="0" w:color="auto"/>
                                  </w:tcBorders>
                                  <w:shd w:val="clear" w:color="auto" w:fill="auto"/>
                                  <w:noWrap/>
                                  <w:vAlign w:val="bottom"/>
                                  <w:hideMark/>
                                </w:tcPr>
                                <w:p w14:paraId="7CAD231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1927826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1BC2252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0217EF1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6B3BCF0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081DD3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4110753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F6D06D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04ACFDE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B94D0B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1718FCB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34A3BD5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2</w:t>
                                  </w:r>
                                </w:p>
                              </w:tc>
                            </w:tr>
                            <w:tr w:rsidR="002668C9" w:rsidRPr="007272BF" w14:paraId="5B4293B5"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04E567E0"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Ergina, 2009</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6FCEAE6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6706725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7D5CB53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689FE6E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596903B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CBFF28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5AC8BCC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61FDEE0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65A2AD4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CDDA7D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4E7C243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0B87292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4</w:t>
                                  </w:r>
                                </w:p>
                              </w:tc>
                            </w:tr>
                            <w:tr w:rsidR="002668C9" w:rsidRPr="007272BF" w14:paraId="48F0A881"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24297F17"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EMA, 2015</w:t>
                                  </w:r>
                                </w:p>
                              </w:tc>
                              <w:tc>
                                <w:tcPr>
                                  <w:tcW w:w="960" w:type="dxa"/>
                                  <w:tcBorders>
                                    <w:top w:val="nil"/>
                                    <w:left w:val="nil"/>
                                    <w:bottom w:val="nil"/>
                                    <w:right w:val="single" w:sz="4" w:space="0" w:color="auto"/>
                                  </w:tcBorders>
                                  <w:shd w:val="clear" w:color="auto" w:fill="auto"/>
                                  <w:noWrap/>
                                  <w:vAlign w:val="bottom"/>
                                  <w:hideMark/>
                                </w:tcPr>
                                <w:p w14:paraId="66FD644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1FBF5B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5A0E611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4AFB9F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147E60A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4F4E760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1012CD7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C6085A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5DF3249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53CF8A0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5BEFDC5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718" w:type="dxa"/>
                                  <w:tcBorders>
                                    <w:top w:val="nil"/>
                                    <w:left w:val="nil"/>
                                    <w:bottom w:val="nil"/>
                                    <w:right w:val="single" w:sz="4" w:space="0" w:color="auto"/>
                                  </w:tcBorders>
                                  <w:shd w:val="clear" w:color="auto" w:fill="auto"/>
                                  <w:noWrap/>
                                  <w:vAlign w:val="bottom"/>
                                  <w:hideMark/>
                                </w:tcPr>
                                <w:p w14:paraId="1BE55B6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4</w:t>
                                  </w:r>
                                </w:p>
                              </w:tc>
                            </w:tr>
                            <w:tr w:rsidR="002668C9" w:rsidRPr="007272BF" w14:paraId="498879D9" w14:textId="77777777" w:rsidTr="00880152">
                              <w:trPr>
                                <w:trHeight w:val="290"/>
                              </w:trPr>
                              <w:tc>
                                <w:tcPr>
                                  <w:tcW w:w="2068" w:type="dxa"/>
                                  <w:tcBorders>
                                    <w:top w:val="nil"/>
                                    <w:left w:val="single" w:sz="4" w:space="0" w:color="auto"/>
                                    <w:right w:val="single" w:sz="4" w:space="0" w:color="auto"/>
                                  </w:tcBorders>
                                  <w:shd w:val="clear" w:color="auto" w:fill="auto"/>
                                  <w:noWrap/>
                                  <w:vAlign w:val="bottom"/>
                                  <w:hideMark/>
                                </w:tcPr>
                                <w:p w14:paraId="537D4324"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ICH E3, 1995</w:t>
                                  </w:r>
                                </w:p>
                              </w:tc>
                              <w:tc>
                                <w:tcPr>
                                  <w:tcW w:w="960" w:type="dxa"/>
                                  <w:tcBorders>
                                    <w:top w:val="nil"/>
                                    <w:left w:val="nil"/>
                                    <w:right w:val="single" w:sz="4" w:space="0" w:color="auto"/>
                                  </w:tcBorders>
                                  <w:shd w:val="clear" w:color="auto" w:fill="auto"/>
                                  <w:noWrap/>
                                  <w:vAlign w:val="bottom"/>
                                  <w:hideMark/>
                                </w:tcPr>
                                <w:p w14:paraId="0785939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hideMark/>
                                </w:tcPr>
                                <w:p w14:paraId="2A7C0E0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D0CECE" w:themeFill="background2" w:themeFillShade="E6"/>
                                  <w:noWrap/>
                                  <w:vAlign w:val="bottom"/>
                                  <w:hideMark/>
                                </w:tcPr>
                                <w:p w14:paraId="7433EEC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right w:val="single" w:sz="4" w:space="0" w:color="auto"/>
                                  </w:tcBorders>
                                  <w:shd w:val="clear" w:color="auto" w:fill="auto"/>
                                  <w:noWrap/>
                                  <w:vAlign w:val="bottom"/>
                                  <w:hideMark/>
                                </w:tcPr>
                                <w:p w14:paraId="075C0AE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hideMark/>
                                </w:tcPr>
                                <w:p w14:paraId="711B2C3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D0CECE" w:themeFill="background2" w:themeFillShade="E6"/>
                                  <w:noWrap/>
                                  <w:vAlign w:val="bottom"/>
                                  <w:hideMark/>
                                </w:tcPr>
                                <w:p w14:paraId="3A7B195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right w:val="single" w:sz="4" w:space="0" w:color="auto"/>
                                  </w:tcBorders>
                                  <w:shd w:val="clear" w:color="auto" w:fill="auto"/>
                                  <w:noWrap/>
                                  <w:vAlign w:val="bottom"/>
                                  <w:hideMark/>
                                </w:tcPr>
                                <w:p w14:paraId="1F87C14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hideMark/>
                                </w:tcPr>
                                <w:p w14:paraId="360F5E4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D0CECE" w:themeFill="background2" w:themeFillShade="E6"/>
                                  <w:noWrap/>
                                  <w:vAlign w:val="bottom"/>
                                  <w:hideMark/>
                                </w:tcPr>
                                <w:p w14:paraId="06A058D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right w:val="single" w:sz="4" w:space="0" w:color="auto"/>
                                  </w:tcBorders>
                                  <w:shd w:val="clear" w:color="auto" w:fill="auto"/>
                                  <w:noWrap/>
                                  <w:vAlign w:val="bottom"/>
                                  <w:hideMark/>
                                </w:tcPr>
                                <w:p w14:paraId="507D909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hideMark/>
                                </w:tcPr>
                                <w:p w14:paraId="7C20D22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right w:val="single" w:sz="4" w:space="0" w:color="auto"/>
                                  </w:tcBorders>
                                  <w:shd w:val="clear" w:color="auto" w:fill="auto"/>
                                  <w:noWrap/>
                                  <w:vAlign w:val="bottom"/>
                                  <w:hideMark/>
                                </w:tcPr>
                                <w:p w14:paraId="122C536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3</w:t>
                                  </w:r>
                                </w:p>
                              </w:tc>
                            </w:tr>
                            <w:tr w:rsidR="002668C9" w:rsidRPr="007272BF" w14:paraId="15324B78" w14:textId="77777777" w:rsidTr="00880152">
                              <w:trPr>
                                <w:trHeight w:val="290"/>
                              </w:trPr>
                              <w:tc>
                                <w:tcPr>
                                  <w:tcW w:w="2068" w:type="dxa"/>
                                  <w:tcBorders>
                                    <w:top w:val="nil"/>
                                    <w:left w:val="single" w:sz="4" w:space="0" w:color="auto"/>
                                    <w:bottom w:val="single" w:sz="4" w:space="0" w:color="auto"/>
                                    <w:right w:val="single" w:sz="4" w:space="0" w:color="auto"/>
                                  </w:tcBorders>
                                  <w:shd w:val="clear" w:color="auto" w:fill="auto"/>
                                  <w:noWrap/>
                                  <w:vAlign w:val="bottom"/>
                                  <w:hideMark/>
                                </w:tcPr>
                                <w:p w14:paraId="13B75519" w14:textId="09CB2964"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 xml:space="preserve">ICH E6, </w:t>
                                  </w:r>
                                  <w:r w:rsidR="009153D3">
                                    <w:rPr>
                                      <w:rFonts w:eastAsia="Times New Roman" w:cs="Times New Roman"/>
                                      <w:i/>
                                      <w:iCs/>
                                      <w:color w:val="000000"/>
                                      <w:lang w:eastAsia="en-GB"/>
                                    </w:rPr>
                                    <w:t>2016</w:t>
                                  </w:r>
                                </w:p>
                              </w:tc>
                              <w:tc>
                                <w:tcPr>
                                  <w:tcW w:w="960" w:type="dxa"/>
                                  <w:tcBorders>
                                    <w:top w:val="nil"/>
                                    <w:left w:val="nil"/>
                                    <w:bottom w:val="single" w:sz="4" w:space="0" w:color="auto"/>
                                    <w:right w:val="single" w:sz="4" w:space="0" w:color="auto"/>
                                  </w:tcBorders>
                                  <w:shd w:val="clear" w:color="auto" w:fill="auto"/>
                                  <w:noWrap/>
                                  <w:vAlign w:val="bottom"/>
                                  <w:hideMark/>
                                </w:tcPr>
                                <w:p w14:paraId="7B485CB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221916D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single" w:sz="4" w:space="0" w:color="auto"/>
                                    <w:right w:val="single" w:sz="4" w:space="0" w:color="auto"/>
                                  </w:tcBorders>
                                  <w:shd w:val="clear" w:color="auto" w:fill="auto"/>
                                  <w:noWrap/>
                                  <w:vAlign w:val="bottom"/>
                                  <w:hideMark/>
                                </w:tcPr>
                                <w:p w14:paraId="378E31D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6519CE2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2A05B27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379C36F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7EF5F40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3CA091C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77047CD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02363B3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758B8C2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single" w:sz="4" w:space="0" w:color="auto"/>
                                    <w:right w:val="single" w:sz="4" w:space="0" w:color="auto"/>
                                  </w:tcBorders>
                                  <w:shd w:val="clear" w:color="auto" w:fill="auto"/>
                                  <w:noWrap/>
                                  <w:vAlign w:val="bottom"/>
                                  <w:hideMark/>
                                </w:tcPr>
                                <w:p w14:paraId="058D34E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1</w:t>
                                  </w:r>
                                </w:p>
                              </w:tc>
                            </w:tr>
                          </w:tbl>
                          <w:p w14:paraId="4586091E" w14:textId="77777777" w:rsidR="002668C9" w:rsidRDefault="002668C9" w:rsidP="002668C9">
                            <w:pPr>
                              <w:spacing w:line="360" w:lineRule="auto"/>
                              <w:rPr>
                                <w:rFonts w:asciiTheme="minorHAnsi" w:eastAsia="Times New Roman" w:hAnsiTheme="minorHAnsi" w:cs="Calibri"/>
                              </w:rPr>
                            </w:pPr>
                          </w:p>
                          <w:p w14:paraId="4218AB86" w14:textId="77777777" w:rsidR="002668C9" w:rsidRDefault="002668C9" w:rsidP="002668C9"/>
                          <w:p w14:paraId="47791589" w14:textId="77777777" w:rsidR="002668C9" w:rsidRPr="00F177D8" w:rsidRDefault="002668C9" w:rsidP="002668C9"/>
                        </w:txbxContent>
                      </wps:txbx>
                      <wps:bodyPr rot="0" vert="horz" wrap="square" lIns="91440" tIns="45720" rIns="91440" bIns="45720" anchor="t" anchorCtr="0">
                        <a:noAutofit/>
                      </wps:bodyPr>
                    </wps:wsp>
                  </a:graphicData>
                </a:graphic>
              </wp:inline>
            </w:drawing>
          </mc:Choice>
          <mc:Fallback>
            <w:pict>
              <v:shape w14:anchorId="2162C9DB" id="Text Box 51" o:spid="_x0000_s1027" type="#_x0000_t202" style="width:701.95pt;height:413.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S2FgIAAA0EAAAOAAAAZHJzL2Uyb0RvYy54bWysk1Fv2yAQx98n7Tsg3hcnUZK2VpyqS5dp&#10;UtdN6voBMMYxGubYQWJnn34H9tJsfZvGAwLu+HP3u2N927eGHRV6Dbbgs8mUM2UlVNruC/78bffu&#10;mjMfhK2EAasKflKe327evll3LldzaMBUChmJWJ93ruBNCC7PMi8b1Qo/AacsGWvAVgTa4j6rUHSk&#10;3ppsPp2usg6wcghSeU+n94ORb5J+XSsZvtS1V4GZglNsIc2Y5jLO2WYt8j0K12g5hiH+IYpWaEuP&#10;nqXuRRDsgPqVVKslgoc6TCS0GdS1lirlQNnMpn9l89QIp1IuBMe7Myb//2Tl4/HJfUUW+vfQUwFT&#10;Et49gPzumYVtI+xe3SFC1yhR0cOziCzrnM/HqxG1z30UKbvPUFGRxSFAEuprbBkCUZ+tqFo00jGl&#10;zegxqsfpXAPVBybp8PpmtrhaLTmTZFvOl6t4KT4p8qgWGTv04aOClsVFwZGKnGTF8cGHwfW3S3T3&#10;YHS108akDe7LrUF2FNQQuzRG9T/cjGVdwW/o/aRsId5PvdLqQA1rdEuhDhml40jng63SOghthjUF&#10;beyIKxIaWIW+7JmuRpaRXgnVifglUkSF/hPl1QD+5Kyj3iy4/3EQqDgznyzVgBAtYjOnzWJ5NacN&#10;XlrKS4uwkqQKHjgbltuQPkDEYeGOalXrhO0lkjFk6rkEfvwfsakv98nr5RdvfgEAAP//AwBQSwME&#10;FAAGAAgAAAAhAB6TrNbgAAAABgEAAA8AAABkcnMvZG93bnJldi54bWxMj09rwkAQxe8Fv8MyhV6K&#10;7taK0TQbKdI/eBG0peBtzU6TYHY2ZFdN++k77aVeHgzv8d5vskXvGnHCLtSeNNyNFAikwtuaSg3v&#10;b8/DGYgQDVnTeEINXxhgkQ+uMpNaf6YNnraxFFxCITUaqhjbVMpQVOhMGPkWib1P3zkT+exKaTtz&#10;5nLXyLFSU+lMTbxQmRaXFRaH7dFpSF7X011cuu9696JW86dbt2onH1rfXPePDyAi9vE/DL/4jA45&#10;M+39kWwQjQZ+JP4pe7NxkoDYc2ii7ucg80xe4uc/AAAA//8DAFBLAQItABQABgAIAAAAIQC2gziS&#10;/gAAAOEBAAATAAAAAAAAAAAAAAAAAAAAAABbQ29udGVudF9UeXBlc10ueG1sUEsBAi0AFAAGAAgA&#10;AAAhADj9If/WAAAAlAEAAAsAAAAAAAAAAAAAAAAALwEAAF9yZWxzLy5yZWxzUEsBAi0AFAAGAAgA&#10;AAAhAHckRLYWAgAADQQAAA4AAAAAAAAAAAAAAAAALgIAAGRycy9lMm9Eb2MueG1sUEsBAi0AFAAG&#10;AAgAAAAhAB6TrNbgAAAABgEAAA8AAAAAAAAAAAAAAAAAcAQAAGRycy9kb3ducmV2LnhtbFBLBQYA&#10;AAAABAAEAPMAAAB9BQAAAAA=&#10;" stroked="f">
                <v:textbox>
                  <w:txbxContent>
                    <w:p w14:paraId="49D8BA52" w14:textId="77153966" w:rsidR="002668C9" w:rsidRDefault="002668C9" w:rsidP="002668C9">
                      <w:pPr>
                        <w:pStyle w:val="Caption"/>
                      </w:pPr>
                      <w:r>
                        <w:t>Supplementary Table 1: Key criteria coverage across documents summary</w:t>
                      </w:r>
                    </w:p>
                    <w:tbl>
                      <w:tblPr>
                        <w:tblW w:w="13346" w:type="dxa"/>
                        <w:tblLook w:val="04A0" w:firstRow="1" w:lastRow="0" w:firstColumn="1" w:lastColumn="0" w:noHBand="0" w:noVBand="1"/>
                      </w:tblPr>
                      <w:tblGrid>
                        <w:gridCol w:w="2068"/>
                        <w:gridCol w:w="960"/>
                        <w:gridCol w:w="960"/>
                        <w:gridCol w:w="960"/>
                        <w:gridCol w:w="960"/>
                        <w:gridCol w:w="960"/>
                        <w:gridCol w:w="960"/>
                        <w:gridCol w:w="960"/>
                        <w:gridCol w:w="960"/>
                        <w:gridCol w:w="960"/>
                        <w:gridCol w:w="960"/>
                        <w:gridCol w:w="960"/>
                        <w:gridCol w:w="718"/>
                      </w:tblGrid>
                      <w:tr w:rsidR="002668C9" w:rsidRPr="007272BF" w14:paraId="72E87B14" w14:textId="77777777" w:rsidTr="00EB36D2">
                        <w:trPr>
                          <w:trHeight w:val="290"/>
                          <w:tblHeader/>
                        </w:trPr>
                        <w:tc>
                          <w:tcPr>
                            <w:tcW w:w="20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A70B7E1" w14:textId="77777777" w:rsidR="002668C9" w:rsidRPr="007272BF"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Document</w:t>
                            </w:r>
                          </w:p>
                        </w:tc>
                        <w:tc>
                          <w:tcPr>
                            <w:tcW w:w="10560" w:type="dxa"/>
                            <w:gridSpan w:val="11"/>
                            <w:tcBorders>
                              <w:top w:val="single" w:sz="4" w:space="0" w:color="auto"/>
                              <w:left w:val="nil"/>
                              <w:bottom w:val="single" w:sz="4" w:space="0" w:color="auto"/>
                              <w:right w:val="single" w:sz="4" w:space="0" w:color="auto"/>
                            </w:tcBorders>
                            <w:shd w:val="clear" w:color="auto" w:fill="auto"/>
                            <w:noWrap/>
                            <w:vAlign w:val="bottom"/>
                            <w:hideMark/>
                          </w:tcPr>
                          <w:p w14:paraId="714AEF47" w14:textId="77777777" w:rsidR="002668C9" w:rsidRPr="00E34265" w:rsidRDefault="002668C9" w:rsidP="0074418A">
                            <w:pPr>
                              <w:jc w:val="center"/>
                              <w:rPr>
                                <w:rFonts w:eastAsia="Times New Roman" w:cs="Times New Roman"/>
                                <w:b/>
                                <w:bCs/>
                                <w:color w:val="000000"/>
                                <w:vertAlign w:val="superscript"/>
                                <w:lang w:eastAsia="en-GB"/>
                              </w:rPr>
                            </w:pPr>
                            <w:r w:rsidRPr="007272BF">
                              <w:rPr>
                                <w:rFonts w:eastAsia="Times New Roman" w:cs="Times New Roman"/>
                                <w:b/>
                                <w:bCs/>
                                <w:color w:val="000000"/>
                                <w:lang w:eastAsia="en-GB"/>
                              </w:rPr>
                              <w:t>Key criteria</w:t>
                            </w:r>
                            <w:r>
                              <w:rPr>
                                <w:rFonts w:eastAsia="Times New Roman" w:cs="Times New Roman"/>
                                <w:b/>
                                <w:bCs/>
                                <w:color w:val="000000"/>
                                <w:lang w:eastAsia="en-GB"/>
                              </w:rPr>
                              <w:t xml:space="preserve"> </w:t>
                            </w:r>
                            <w:r>
                              <w:rPr>
                                <w:rFonts w:eastAsia="Times New Roman" w:cs="Times New Roman"/>
                                <w:b/>
                                <w:bCs/>
                                <w:color w:val="000000"/>
                                <w:vertAlign w:val="superscript"/>
                                <w:lang w:eastAsia="en-GB"/>
                              </w:rPr>
                              <w:t>A</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A6E01" w14:textId="77777777" w:rsidR="002668C9"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Total</w:t>
                            </w:r>
                          </w:p>
                          <w:p w14:paraId="0AEAF5E8" w14:textId="77777777" w:rsidR="002668C9" w:rsidRPr="007272BF" w:rsidRDefault="002668C9" w:rsidP="0074418A">
                            <w:pPr>
                              <w:jc w:val="center"/>
                              <w:rPr>
                                <w:rFonts w:eastAsia="Times New Roman" w:cs="Times New Roman"/>
                                <w:bCs/>
                                <w:color w:val="000000"/>
                                <w:lang w:eastAsia="en-GB"/>
                              </w:rPr>
                            </w:pPr>
                            <w:r>
                              <w:rPr>
                                <w:rFonts w:eastAsia="Times New Roman" w:cs="Times New Roman"/>
                                <w:bCs/>
                                <w:color w:val="000000"/>
                                <w:lang w:eastAsia="en-GB"/>
                              </w:rPr>
                              <w:t>n</w:t>
                            </w:r>
                          </w:p>
                        </w:tc>
                      </w:tr>
                      <w:tr w:rsidR="002668C9" w:rsidRPr="007272BF" w14:paraId="14CCA2E9" w14:textId="77777777" w:rsidTr="00EB36D2">
                        <w:trPr>
                          <w:trHeight w:val="290"/>
                          <w:tblHeader/>
                        </w:trPr>
                        <w:tc>
                          <w:tcPr>
                            <w:tcW w:w="2068" w:type="dxa"/>
                            <w:vMerge/>
                            <w:tcBorders>
                              <w:top w:val="single" w:sz="4" w:space="0" w:color="auto"/>
                              <w:left w:val="single" w:sz="4" w:space="0" w:color="auto"/>
                              <w:bottom w:val="single" w:sz="4" w:space="0" w:color="000000"/>
                              <w:right w:val="single" w:sz="4" w:space="0" w:color="auto"/>
                            </w:tcBorders>
                            <w:vAlign w:val="center"/>
                            <w:hideMark/>
                          </w:tcPr>
                          <w:p w14:paraId="5BC69823" w14:textId="77777777" w:rsidR="002668C9" w:rsidRPr="007272BF" w:rsidRDefault="002668C9" w:rsidP="0074418A">
                            <w:pPr>
                              <w:rPr>
                                <w:rFonts w:eastAsia="Times New Roman" w:cs="Times New Roman"/>
                                <w:b/>
                                <w:bCs/>
                                <w:color w:val="000000"/>
                                <w:lang w:eastAsia="en-GB"/>
                              </w:rPr>
                            </w:pP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CC769E1" w14:textId="77777777" w:rsidR="002668C9" w:rsidRPr="007272BF"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Design</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935BD8C" w14:textId="77777777" w:rsidR="002668C9" w:rsidRPr="007272BF"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Analysis</w:t>
                            </w:r>
                          </w:p>
                        </w:tc>
                        <w:tc>
                          <w:tcPr>
                            <w:tcW w:w="718" w:type="dxa"/>
                            <w:vMerge/>
                            <w:tcBorders>
                              <w:top w:val="single" w:sz="4" w:space="0" w:color="auto"/>
                              <w:left w:val="single" w:sz="4" w:space="0" w:color="auto"/>
                              <w:bottom w:val="single" w:sz="4" w:space="0" w:color="auto"/>
                              <w:right w:val="single" w:sz="4" w:space="0" w:color="auto"/>
                            </w:tcBorders>
                            <w:vAlign w:val="center"/>
                            <w:hideMark/>
                          </w:tcPr>
                          <w:p w14:paraId="5DB57169" w14:textId="77777777" w:rsidR="002668C9" w:rsidRPr="007272BF" w:rsidRDefault="002668C9" w:rsidP="0074418A">
                            <w:pPr>
                              <w:rPr>
                                <w:rFonts w:eastAsia="Times New Roman" w:cs="Times New Roman"/>
                                <w:b/>
                                <w:bCs/>
                                <w:color w:val="000000"/>
                                <w:lang w:eastAsia="en-GB"/>
                              </w:rPr>
                            </w:pPr>
                          </w:p>
                        </w:tc>
                      </w:tr>
                      <w:tr w:rsidR="002668C9" w:rsidRPr="007272BF" w14:paraId="44C3974F" w14:textId="77777777" w:rsidTr="00EB36D2">
                        <w:trPr>
                          <w:trHeight w:val="290"/>
                          <w:tblHeader/>
                        </w:trPr>
                        <w:tc>
                          <w:tcPr>
                            <w:tcW w:w="2068" w:type="dxa"/>
                            <w:vMerge/>
                            <w:tcBorders>
                              <w:top w:val="single" w:sz="4" w:space="0" w:color="auto"/>
                              <w:left w:val="single" w:sz="4" w:space="0" w:color="auto"/>
                              <w:bottom w:val="single" w:sz="4" w:space="0" w:color="000000"/>
                              <w:right w:val="single" w:sz="4" w:space="0" w:color="auto"/>
                            </w:tcBorders>
                            <w:vAlign w:val="center"/>
                            <w:hideMark/>
                          </w:tcPr>
                          <w:p w14:paraId="09928F5A" w14:textId="77777777" w:rsidR="002668C9" w:rsidRPr="007272BF" w:rsidRDefault="002668C9" w:rsidP="0074418A">
                            <w:pPr>
                              <w:rPr>
                                <w:rFonts w:eastAsia="Times New Roman" w:cs="Times New Roman"/>
                                <w:b/>
                                <w:bCs/>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569226D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D1</w:t>
                            </w:r>
                          </w:p>
                        </w:tc>
                        <w:tc>
                          <w:tcPr>
                            <w:tcW w:w="960" w:type="dxa"/>
                            <w:tcBorders>
                              <w:top w:val="nil"/>
                              <w:left w:val="nil"/>
                              <w:bottom w:val="single" w:sz="4" w:space="0" w:color="auto"/>
                              <w:right w:val="single" w:sz="4" w:space="0" w:color="auto"/>
                            </w:tcBorders>
                            <w:shd w:val="clear" w:color="auto" w:fill="auto"/>
                            <w:noWrap/>
                            <w:vAlign w:val="bottom"/>
                            <w:hideMark/>
                          </w:tcPr>
                          <w:p w14:paraId="3FE8FA5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D2</w:t>
                            </w:r>
                          </w:p>
                        </w:tc>
                        <w:tc>
                          <w:tcPr>
                            <w:tcW w:w="960" w:type="dxa"/>
                            <w:tcBorders>
                              <w:top w:val="nil"/>
                              <w:left w:val="nil"/>
                              <w:bottom w:val="single" w:sz="4" w:space="0" w:color="auto"/>
                              <w:right w:val="single" w:sz="4" w:space="0" w:color="auto"/>
                            </w:tcBorders>
                            <w:shd w:val="clear" w:color="auto" w:fill="auto"/>
                            <w:noWrap/>
                            <w:vAlign w:val="bottom"/>
                            <w:hideMark/>
                          </w:tcPr>
                          <w:p w14:paraId="67D7EB1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D3</w:t>
                            </w:r>
                          </w:p>
                        </w:tc>
                        <w:tc>
                          <w:tcPr>
                            <w:tcW w:w="960" w:type="dxa"/>
                            <w:tcBorders>
                              <w:top w:val="nil"/>
                              <w:left w:val="nil"/>
                              <w:bottom w:val="single" w:sz="4" w:space="0" w:color="auto"/>
                              <w:right w:val="single" w:sz="4" w:space="0" w:color="auto"/>
                            </w:tcBorders>
                            <w:shd w:val="clear" w:color="auto" w:fill="auto"/>
                            <w:noWrap/>
                            <w:vAlign w:val="bottom"/>
                            <w:hideMark/>
                          </w:tcPr>
                          <w:p w14:paraId="6161A56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D4</w:t>
                            </w:r>
                          </w:p>
                        </w:tc>
                        <w:tc>
                          <w:tcPr>
                            <w:tcW w:w="960" w:type="dxa"/>
                            <w:tcBorders>
                              <w:top w:val="nil"/>
                              <w:left w:val="nil"/>
                              <w:bottom w:val="single" w:sz="4" w:space="0" w:color="auto"/>
                              <w:right w:val="single" w:sz="4" w:space="0" w:color="auto"/>
                            </w:tcBorders>
                            <w:shd w:val="clear" w:color="auto" w:fill="auto"/>
                            <w:noWrap/>
                            <w:vAlign w:val="bottom"/>
                            <w:hideMark/>
                          </w:tcPr>
                          <w:p w14:paraId="7A12F2B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D5</w:t>
                            </w:r>
                          </w:p>
                        </w:tc>
                        <w:tc>
                          <w:tcPr>
                            <w:tcW w:w="960" w:type="dxa"/>
                            <w:tcBorders>
                              <w:top w:val="nil"/>
                              <w:left w:val="nil"/>
                              <w:bottom w:val="single" w:sz="4" w:space="0" w:color="auto"/>
                              <w:right w:val="single" w:sz="4" w:space="0" w:color="auto"/>
                            </w:tcBorders>
                            <w:shd w:val="clear" w:color="auto" w:fill="auto"/>
                            <w:noWrap/>
                            <w:vAlign w:val="bottom"/>
                            <w:hideMark/>
                          </w:tcPr>
                          <w:p w14:paraId="43F5A32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D6</w:t>
                            </w:r>
                          </w:p>
                        </w:tc>
                        <w:tc>
                          <w:tcPr>
                            <w:tcW w:w="960" w:type="dxa"/>
                            <w:tcBorders>
                              <w:top w:val="nil"/>
                              <w:left w:val="nil"/>
                              <w:bottom w:val="single" w:sz="4" w:space="0" w:color="auto"/>
                              <w:right w:val="single" w:sz="4" w:space="0" w:color="auto"/>
                            </w:tcBorders>
                            <w:shd w:val="clear" w:color="auto" w:fill="auto"/>
                            <w:noWrap/>
                            <w:vAlign w:val="bottom"/>
                            <w:hideMark/>
                          </w:tcPr>
                          <w:p w14:paraId="4180FF3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A1</w:t>
                            </w:r>
                          </w:p>
                        </w:tc>
                        <w:tc>
                          <w:tcPr>
                            <w:tcW w:w="960" w:type="dxa"/>
                            <w:tcBorders>
                              <w:top w:val="nil"/>
                              <w:left w:val="nil"/>
                              <w:bottom w:val="single" w:sz="4" w:space="0" w:color="auto"/>
                              <w:right w:val="single" w:sz="4" w:space="0" w:color="auto"/>
                            </w:tcBorders>
                            <w:shd w:val="clear" w:color="auto" w:fill="auto"/>
                            <w:noWrap/>
                            <w:vAlign w:val="bottom"/>
                            <w:hideMark/>
                          </w:tcPr>
                          <w:p w14:paraId="0CCA9D1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A2</w:t>
                            </w:r>
                          </w:p>
                        </w:tc>
                        <w:tc>
                          <w:tcPr>
                            <w:tcW w:w="960" w:type="dxa"/>
                            <w:tcBorders>
                              <w:top w:val="nil"/>
                              <w:left w:val="nil"/>
                              <w:bottom w:val="single" w:sz="4" w:space="0" w:color="auto"/>
                              <w:right w:val="single" w:sz="4" w:space="0" w:color="auto"/>
                            </w:tcBorders>
                            <w:shd w:val="clear" w:color="auto" w:fill="auto"/>
                            <w:noWrap/>
                            <w:vAlign w:val="bottom"/>
                            <w:hideMark/>
                          </w:tcPr>
                          <w:p w14:paraId="53FA691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A3</w:t>
                            </w:r>
                          </w:p>
                        </w:tc>
                        <w:tc>
                          <w:tcPr>
                            <w:tcW w:w="960" w:type="dxa"/>
                            <w:tcBorders>
                              <w:top w:val="nil"/>
                              <w:left w:val="nil"/>
                              <w:bottom w:val="single" w:sz="4" w:space="0" w:color="auto"/>
                              <w:right w:val="single" w:sz="4" w:space="0" w:color="auto"/>
                            </w:tcBorders>
                            <w:shd w:val="clear" w:color="auto" w:fill="auto"/>
                            <w:noWrap/>
                            <w:vAlign w:val="bottom"/>
                            <w:hideMark/>
                          </w:tcPr>
                          <w:p w14:paraId="489E14A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A4</w:t>
                            </w:r>
                          </w:p>
                        </w:tc>
                        <w:tc>
                          <w:tcPr>
                            <w:tcW w:w="960" w:type="dxa"/>
                            <w:tcBorders>
                              <w:top w:val="nil"/>
                              <w:left w:val="nil"/>
                              <w:bottom w:val="single" w:sz="4" w:space="0" w:color="auto"/>
                              <w:right w:val="single" w:sz="4" w:space="0" w:color="auto"/>
                            </w:tcBorders>
                            <w:shd w:val="clear" w:color="auto" w:fill="auto"/>
                            <w:noWrap/>
                            <w:vAlign w:val="bottom"/>
                            <w:hideMark/>
                          </w:tcPr>
                          <w:p w14:paraId="738B5C8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A5</w:t>
                            </w:r>
                          </w:p>
                        </w:tc>
                        <w:tc>
                          <w:tcPr>
                            <w:tcW w:w="718" w:type="dxa"/>
                            <w:vMerge/>
                            <w:tcBorders>
                              <w:top w:val="single" w:sz="4" w:space="0" w:color="auto"/>
                              <w:left w:val="single" w:sz="4" w:space="0" w:color="auto"/>
                              <w:bottom w:val="single" w:sz="4" w:space="0" w:color="auto"/>
                              <w:right w:val="single" w:sz="4" w:space="0" w:color="auto"/>
                            </w:tcBorders>
                            <w:vAlign w:val="center"/>
                            <w:hideMark/>
                          </w:tcPr>
                          <w:p w14:paraId="446A802A" w14:textId="77777777" w:rsidR="002668C9" w:rsidRPr="007272BF" w:rsidRDefault="002668C9" w:rsidP="0074418A">
                            <w:pPr>
                              <w:rPr>
                                <w:rFonts w:eastAsia="Times New Roman" w:cs="Times New Roman"/>
                                <w:b/>
                                <w:bCs/>
                                <w:color w:val="000000"/>
                                <w:lang w:eastAsia="en-GB"/>
                              </w:rPr>
                            </w:pPr>
                          </w:p>
                        </w:tc>
                      </w:tr>
                      <w:tr w:rsidR="002668C9" w:rsidRPr="007272BF" w14:paraId="76639839"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1E90998D"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Barkun, 2009</w:t>
                            </w:r>
                          </w:p>
                        </w:tc>
                        <w:tc>
                          <w:tcPr>
                            <w:tcW w:w="960" w:type="dxa"/>
                            <w:tcBorders>
                              <w:top w:val="nil"/>
                              <w:left w:val="nil"/>
                              <w:bottom w:val="nil"/>
                              <w:right w:val="single" w:sz="4" w:space="0" w:color="auto"/>
                            </w:tcBorders>
                            <w:shd w:val="clear" w:color="auto" w:fill="auto"/>
                            <w:noWrap/>
                            <w:vAlign w:val="bottom"/>
                            <w:hideMark/>
                          </w:tcPr>
                          <w:p w14:paraId="2C5F869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67BC57C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F805B3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A38125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14255B4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82B259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A4E865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184D27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F8BA3D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B18F27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71B12E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64B106E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2</w:t>
                            </w:r>
                          </w:p>
                        </w:tc>
                      </w:tr>
                      <w:tr w:rsidR="002668C9" w:rsidRPr="007272BF" w14:paraId="37F89EC0"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65D3B2A6"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McCulloch, 2009</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0579728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1F2B984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667DE9E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07843F4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777B7AC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5721054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8D4FDA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0E14406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9F824A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7FA32E6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3238ECE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4CE63E8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6</w:t>
                            </w:r>
                          </w:p>
                        </w:tc>
                      </w:tr>
                      <w:tr w:rsidR="002668C9" w:rsidRPr="007272BF" w14:paraId="30355CD2"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57EEF4F4"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Bilbro, 2021</w:t>
                            </w:r>
                          </w:p>
                        </w:tc>
                        <w:tc>
                          <w:tcPr>
                            <w:tcW w:w="960" w:type="dxa"/>
                            <w:tcBorders>
                              <w:top w:val="nil"/>
                              <w:left w:val="nil"/>
                              <w:bottom w:val="nil"/>
                              <w:right w:val="single" w:sz="4" w:space="0" w:color="auto"/>
                            </w:tcBorders>
                            <w:shd w:val="clear" w:color="auto" w:fill="auto"/>
                            <w:noWrap/>
                            <w:vAlign w:val="bottom"/>
                            <w:hideMark/>
                          </w:tcPr>
                          <w:p w14:paraId="0538203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553997B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1D7DC28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7C9CDC0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28B3009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629A1B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362D46D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0204696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7E4D259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70A88F3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0D8A1A2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061A0B6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5</w:t>
                            </w:r>
                          </w:p>
                        </w:tc>
                      </w:tr>
                      <w:tr w:rsidR="002668C9" w:rsidRPr="007272BF" w14:paraId="38F93931"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0A36A04F"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Boutron, 2008</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6CB0BD2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5354914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6E57099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1C18D9A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00629AD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61DABBF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1F68C8D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11EEDD5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13AE33A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1CFFD6A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1DDB51E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01E13D4C"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6</w:t>
                            </w:r>
                          </w:p>
                        </w:tc>
                      </w:tr>
                      <w:tr w:rsidR="002668C9" w:rsidRPr="007272BF" w14:paraId="4EFF4631"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4C13E990"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Boutron, 2017</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2F4253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5B4451A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66FE112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BE4943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4B17627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5B29509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5B047C4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5620931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AB70D3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1B83554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186BF55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718" w:type="dxa"/>
                            <w:tcBorders>
                              <w:top w:val="nil"/>
                              <w:left w:val="nil"/>
                              <w:bottom w:val="nil"/>
                              <w:right w:val="single" w:sz="4" w:space="0" w:color="auto"/>
                            </w:tcBorders>
                            <w:shd w:val="clear" w:color="auto" w:fill="auto"/>
                            <w:noWrap/>
                            <w:vAlign w:val="bottom"/>
                            <w:hideMark/>
                          </w:tcPr>
                          <w:p w14:paraId="00AEDA74"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8</w:t>
                            </w:r>
                          </w:p>
                        </w:tc>
                      </w:tr>
                      <w:tr w:rsidR="002668C9" w:rsidRPr="007272BF" w14:paraId="1165857B"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3234AC88"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Campbell, 2012</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29CB9D7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0364EA0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5173A5F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5CB2421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D9DDB3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6BEEF68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4973E84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EA2491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32DB407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044DCC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0CD6F6C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718" w:type="dxa"/>
                            <w:tcBorders>
                              <w:top w:val="nil"/>
                              <w:left w:val="nil"/>
                              <w:bottom w:val="nil"/>
                              <w:right w:val="single" w:sz="4" w:space="0" w:color="auto"/>
                            </w:tcBorders>
                            <w:shd w:val="clear" w:color="auto" w:fill="auto"/>
                            <w:noWrap/>
                            <w:vAlign w:val="bottom"/>
                            <w:hideMark/>
                          </w:tcPr>
                          <w:p w14:paraId="2DC59EB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5</w:t>
                            </w:r>
                          </w:p>
                        </w:tc>
                      </w:tr>
                      <w:tr w:rsidR="002668C9" w:rsidRPr="007272BF" w14:paraId="093B75A6"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7EBE745B"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MRC, 2019</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6B82BB7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115FDB7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2573467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5262FBB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A5FE6C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0C2498A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30172B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199AE93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66F0C97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E6D3A0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7F575AE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718" w:type="dxa"/>
                            <w:tcBorders>
                              <w:top w:val="nil"/>
                              <w:left w:val="nil"/>
                              <w:bottom w:val="nil"/>
                              <w:right w:val="single" w:sz="4" w:space="0" w:color="auto"/>
                            </w:tcBorders>
                            <w:shd w:val="clear" w:color="auto" w:fill="auto"/>
                            <w:noWrap/>
                            <w:vAlign w:val="bottom"/>
                            <w:hideMark/>
                          </w:tcPr>
                          <w:p w14:paraId="5546691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6</w:t>
                            </w:r>
                          </w:p>
                        </w:tc>
                      </w:tr>
                      <w:tr w:rsidR="002668C9" w:rsidRPr="007272BF" w14:paraId="08A389AD"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491D1B4D"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Elias, 2019</w:t>
                            </w:r>
                          </w:p>
                        </w:tc>
                        <w:tc>
                          <w:tcPr>
                            <w:tcW w:w="960" w:type="dxa"/>
                            <w:tcBorders>
                              <w:top w:val="nil"/>
                              <w:left w:val="nil"/>
                              <w:bottom w:val="nil"/>
                              <w:right w:val="single" w:sz="4" w:space="0" w:color="auto"/>
                            </w:tcBorders>
                            <w:shd w:val="clear" w:color="auto" w:fill="auto"/>
                            <w:noWrap/>
                            <w:vAlign w:val="bottom"/>
                            <w:hideMark/>
                          </w:tcPr>
                          <w:p w14:paraId="7CAD231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1927826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1BC2252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0217EF1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6B3BCF0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081DD3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4110753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F6D06D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04ACFDE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B94D0B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1718FCB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34A3BD5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2</w:t>
                            </w:r>
                          </w:p>
                        </w:tc>
                      </w:tr>
                      <w:tr w:rsidR="002668C9" w:rsidRPr="007272BF" w14:paraId="5B4293B5"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04E567E0"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Ergina, 2009</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6FCEAE6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6706725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7D5CB53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689FE6E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596903B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CBFF28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5AC8BCC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61FDEE0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65A2AD4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CDDA7D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4E7C243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0B87292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4</w:t>
                            </w:r>
                          </w:p>
                        </w:tc>
                      </w:tr>
                      <w:tr w:rsidR="002668C9" w:rsidRPr="007272BF" w14:paraId="48F0A881"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24297F17"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EMA, 2015</w:t>
                            </w:r>
                          </w:p>
                        </w:tc>
                        <w:tc>
                          <w:tcPr>
                            <w:tcW w:w="960" w:type="dxa"/>
                            <w:tcBorders>
                              <w:top w:val="nil"/>
                              <w:left w:val="nil"/>
                              <w:bottom w:val="nil"/>
                              <w:right w:val="single" w:sz="4" w:space="0" w:color="auto"/>
                            </w:tcBorders>
                            <w:shd w:val="clear" w:color="auto" w:fill="auto"/>
                            <w:noWrap/>
                            <w:vAlign w:val="bottom"/>
                            <w:hideMark/>
                          </w:tcPr>
                          <w:p w14:paraId="66FD644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1FBF5B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5A0E611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4AFB9F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147E60A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4F4E760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1012CD7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C6085A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5DF3249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53CF8A0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5BEFDC5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718" w:type="dxa"/>
                            <w:tcBorders>
                              <w:top w:val="nil"/>
                              <w:left w:val="nil"/>
                              <w:bottom w:val="nil"/>
                              <w:right w:val="single" w:sz="4" w:space="0" w:color="auto"/>
                            </w:tcBorders>
                            <w:shd w:val="clear" w:color="auto" w:fill="auto"/>
                            <w:noWrap/>
                            <w:vAlign w:val="bottom"/>
                            <w:hideMark/>
                          </w:tcPr>
                          <w:p w14:paraId="1BE55B6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4</w:t>
                            </w:r>
                          </w:p>
                        </w:tc>
                      </w:tr>
                      <w:tr w:rsidR="002668C9" w:rsidRPr="007272BF" w14:paraId="498879D9" w14:textId="77777777" w:rsidTr="00880152">
                        <w:trPr>
                          <w:trHeight w:val="290"/>
                        </w:trPr>
                        <w:tc>
                          <w:tcPr>
                            <w:tcW w:w="2068" w:type="dxa"/>
                            <w:tcBorders>
                              <w:top w:val="nil"/>
                              <w:left w:val="single" w:sz="4" w:space="0" w:color="auto"/>
                              <w:right w:val="single" w:sz="4" w:space="0" w:color="auto"/>
                            </w:tcBorders>
                            <w:shd w:val="clear" w:color="auto" w:fill="auto"/>
                            <w:noWrap/>
                            <w:vAlign w:val="bottom"/>
                            <w:hideMark/>
                          </w:tcPr>
                          <w:p w14:paraId="537D4324"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ICH E3, 1995</w:t>
                            </w:r>
                          </w:p>
                        </w:tc>
                        <w:tc>
                          <w:tcPr>
                            <w:tcW w:w="960" w:type="dxa"/>
                            <w:tcBorders>
                              <w:top w:val="nil"/>
                              <w:left w:val="nil"/>
                              <w:right w:val="single" w:sz="4" w:space="0" w:color="auto"/>
                            </w:tcBorders>
                            <w:shd w:val="clear" w:color="auto" w:fill="auto"/>
                            <w:noWrap/>
                            <w:vAlign w:val="bottom"/>
                            <w:hideMark/>
                          </w:tcPr>
                          <w:p w14:paraId="0785939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hideMark/>
                          </w:tcPr>
                          <w:p w14:paraId="2A7C0E0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D0CECE" w:themeFill="background2" w:themeFillShade="E6"/>
                            <w:noWrap/>
                            <w:vAlign w:val="bottom"/>
                            <w:hideMark/>
                          </w:tcPr>
                          <w:p w14:paraId="7433EEC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right w:val="single" w:sz="4" w:space="0" w:color="auto"/>
                            </w:tcBorders>
                            <w:shd w:val="clear" w:color="auto" w:fill="auto"/>
                            <w:noWrap/>
                            <w:vAlign w:val="bottom"/>
                            <w:hideMark/>
                          </w:tcPr>
                          <w:p w14:paraId="075C0AE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hideMark/>
                          </w:tcPr>
                          <w:p w14:paraId="711B2C3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D0CECE" w:themeFill="background2" w:themeFillShade="E6"/>
                            <w:noWrap/>
                            <w:vAlign w:val="bottom"/>
                            <w:hideMark/>
                          </w:tcPr>
                          <w:p w14:paraId="3A7B195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right w:val="single" w:sz="4" w:space="0" w:color="auto"/>
                            </w:tcBorders>
                            <w:shd w:val="clear" w:color="auto" w:fill="auto"/>
                            <w:noWrap/>
                            <w:vAlign w:val="bottom"/>
                            <w:hideMark/>
                          </w:tcPr>
                          <w:p w14:paraId="1F87C14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hideMark/>
                          </w:tcPr>
                          <w:p w14:paraId="360F5E4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D0CECE" w:themeFill="background2" w:themeFillShade="E6"/>
                            <w:noWrap/>
                            <w:vAlign w:val="bottom"/>
                            <w:hideMark/>
                          </w:tcPr>
                          <w:p w14:paraId="06A058D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right w:val="single" w:sz="4" w:space="0" w:color="auto"/>
                            </w:tcBorders>
                            <w:shd w:val="clear" w:color="auto" w:fill="auto"/>
                            <w:noWrap/>
                            <w:vAlign w:val="bottom"/>
                            <w:hideMark/>
                          </w:tcPr>
                          <w:p w14:paraId="507D909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hideMark/>
                          </w:tcPr>
                          <w:p w14:paraId="7C20D22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right w:val="single" w:sz="4" w:space="0" w:color="auto"/>
                            </w:tcBorders>
                            <w:shd w:val="clear" w:color="auto" w:fill="auto"/>
                            <w:noWrap/>
                            <w:vAlign w:val="bottom"/>
                            <w:hideMark/>
                          </w:tcPr>
                          <w:p w14:paraId="122C536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3</w:t>
                            </w:r>
                          </w:p>
                        </w:tc>
                      </w:tr>
                      <w:tr w:rsidR="002668C9" w:rsidRPr="007272BF" w14:paraId="15324B78" w14:textId="77777777" w:rsidTr="00880152">
                        <w:trPr>
                          <w:trHeight w:val="290"/>
                        </w:trPr>
                        <w:tc>
                          <w:tcPr>
                            <w:tcW w:w="2068" w:type="dxa"/>
                            <w:tcBorders>
                              <w:top w:val="nil"/>
                              <w:left w:val="single" w:sz="4" w:space="0" w:color="auto"/>
                              <w:bottom w:val="single" w:sz="4" w:space="0" w:color="auto"/>
                              <w:right w:val="single" w:sz="4" w:space="0" w:color="auto"/>
                            </w:tcBorders>
                            <w:shd w:val="clear" w:color="auto" w:fill="auto"/>
                            <w:noWrap/>
                            <w:vAlign w:val="bottom"/>
                            <w:hideMark/>
                          </w:tcPr>
                          <w:p w14:paraId="13B75519" w14:textId="09CB2964"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 xml:space="preserve">ICH E6, </w:t>
                            </w:r>
                            <w:r w:rsidR="009153D3">
                              <w:rPr>
                                <w:rFonts w:eastAsia="Times New Roman" w:cs="Times New Roman"/>
                                <w:i/>
                                <w:iCs/>
                                <w:color w:val="000000"/>
                                <w:lang w:eastAsia="en-GB"/>
                              </w:rPr>
                              <w:t>2016</w:t>
                            </w:r>
                          </w:p>
                        </w:tc>
                        <w:tc>
                          <w:tcPr>
                            <w:tcW w:w="960" w:type="dxa"/>
                            <w:tcBorders>
                              <w:top w:val="nil"/>
                              <w:left w:val="nil"/>
                              <w:bottom w:val="single" w:sz="4" w:space="0" w:color="auto"/>
                              <w:right w:val="single" w:sz="4" w:space="0" w:color="auto"/>
                            </w:tcBorders>
                            <w:shd w:val="clear" w:color="auto" w:fill="auto"/>
                            <w:noWrap/>
                            <w:vAlign w:val="bottom"/>
                            <w:hideMark/>
                          </w:tcPr>
                          <w:p w14:paraId="7B485CB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221916D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single" w:sz="4" w:space="0" w:color="auto"/>
                              <w:right w:val="single" w:sz="4" w:space="0" w:color="auto"/>
                            </w:tcBorders>
                            <w:shd w:val="clear" w:color="auto" w:fill="auto"/>
                            <w:noWrap/>
                            <w:vAlign w:val="bottom"/>
                            <w:hideMark/>
                          </w:tcPr>
                          <w:p w14:paraId="378E31D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6519CE2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2A05B27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379C36F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7EF5F40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3CA091C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77047CD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02363B3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758B8C2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single" w:sz="4" w:space="0" w:color="auto"/>
                              <w:right w:val="single" w:sz="4" w:space="0" w:color="auto"/>
                            </w:tcBorders>
                            <w:shd w:val="clear" w:color="auto" w:fill="auto"/>
                            <w:noWrap/>
                            <w:vAlign w:val="bottom"/>
                            <w:hideMark/>
                          </w:tcPr>
                          <w:p w14:paraId="058D34E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1</w:t>
                            </w:r>
                          </w:p>
                        </w:tc>
                      </w:tr>
                    </w:tbl>
                    <w:p w14:paraId="4586091E" w14:textId="77777777" w:rsidR="002668C9" w:rsidRDefault="002668C9" w:rsidP="002668C9">
                      <w:pPr>
                        <w:spacing w:line="360" w:lineRule="auto"/>
                        <w:rPr>
                          <w:rFonts w:asciiTheme="minorHAnsi" w:eastAsia="Times New Roman" w:hAnsiTheme="minorHAnsi" w:cs="Calibri"/>
                        </w:rPr>
                      </w:pPr>
                    </w:p>
                    <w:p w14:paraId="4218AB86" w14:textId="77777777" w:rsidR="002668C9" w:rsidRDefault="002668C9" w:rsidP="002668C9"/>
                    <w:p w14:paraId="47791589" w14:textId="77777777" w:rsidR="002668C9" w:rsidRPr="00F177D8" w:rsidRDefault="002668C9" w:rsidP="002668C9"/>
                  </w:txbxContent>
                </v:textbox>
                <w10:anchorlock/>
              </v:shape>
            </w:pict>
          </mc:Fallback>
        </mc:AlternateContent>
      </w:r>
      <w:r>
        <w:rPr>
          <w:noProof/>
        </w:rPr>
        <w:lastRenderedPageBreak/>
        <mc:AlternateContent>
          <mc:Choice Requires="wps">
            <w:drawing>
              <wp:inline distT="0" distB="0" distL="0" distR="0" wp14:anchorId="5BD6A413" wp14:editId="54614864">
                <wp:extent cx="8794092" cy="5256000"/>
                <wp:effectExtent l="0" t="2858" r="4763" b="4762"/>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94092" cy="5256000"/>
                        </a:xfrm>
                        <a:prstGeom prst="rect">
                          <a:avLst/>
                        </a:prstGeom>
                        <a:solidFill>
                          <a:srgbClr val="FFFFFF"/>
                        </a:solidFill>
                        <a:ln w="9525">
                          <a:noFill/>
                          <a:miter lim="800000"/>
                          <a:headEnd/>
                          <a:tailEnd/>
                        </a:ln>
                      </wps:spPr>
                      <wps:txbx>
                        <w:txbxContent>
                          <w:p w14:paraId="19849D9A" w14:textId="1D36A52A" w:rsidR="002668C9" w:rsidRDefault="002668C9" w:rsidP="002668C9">
                            <w:pPr>
                              <w:pStyle w:val="Caption"/>
                              <w:keepNext/>
                              <w:spacing w:line="360" w:lineRule="auto"/>
                            </w:pPr>
                            <w:r>
                              <w:t>Supplementary Table 1: Key criteria coverage across documents summary</w:t>
                            </w:r>
                          </w:p>
                          <w:tbl>
                            <w:tblPr>
                              <w:tblW w:w="13346" w:type="dxa"/>
                              <w:tblLook w:val="04A0" w:firstRow="1" w:lastRow="0" w:firstColumn="1" w:lastColumn="0" w:noHBand="0" w:noVBand="1"/>
                            </w:tblPr>
                            <w:tblGrid>
                              <w:gridCol w:w="2068"/>
                              <w:gridCol w:w="960"/>
                              <w:gridCol w:w="960"/>
                              <w:gridCol w:w="960"/>
                              <w:gridCol w:w="960"/>
                              <w:gridCol w:w="960"/>
                              <w:gridCol w:w="960"/>
                              <w:gridCol w:w="960"/>
                              <w:gridCol w:w="960"/>
                              <w:gridCol w:w="960"/>
                              <w:gridCol w:w="960"/>
                              <w:gridCol w:w="960"/>
                              <w:gridCol w:w="718"/>
                            </w:tblGrid>
                            <w:tr w:rsidR="002668C9" w:rsidRPr="007272BF" w14:paraId="01179B18" w14:textId="77777777" w:rsidTr="00EB36D2">
                              <w:trPr>
                                <w:trHeight w:val="290"/>
                                <w:tblHeader/>
                              </w:trPr>
                              <w:tc>
                                <w:tcPr>
                                  <w:tcW w:w="20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F9EECE6" w14:textId="77777777" w:rsidR="002668C9" w:rsidRPr="007272BF"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Document</w:t>
                                  </w:r>
                                </w:p>
                              </w:tc>
                              <w:tc>
                                <w:tcPr>
                                  <w:tcW w:w="10560" w:type="dxa"/>
                                  <w:gridSpan w:val="11"/>
                                  <w:tcBorders>
                                    <w:top w:val="single" w:sz="4" w:space="0" w:color="auto"/>
                                    <w:left w:val="nil"/>
                                    <w:bottom w:val="single" w:sz="4" w:space="0" w:color="auto"/>
                                    <w:right w:val="single" w:sz="4" w:space="0" w:color="auto"/>
                                  </w:tcBorders>
                                  <w:shd w:val="clear" w:color="auto" w:fill="auto"/>
                                  <w:noWrap/>
                                  <w:vAlign w:val="bottom"/>
                                  <w:hideMark/>
                                </w:tcPr>
                                <w:p w14:paraId="5EF2DFC3" w14:textId="77777777" w:rsidR="002668C9" w:rsidRPr="00792B07" w:rsidRDefault="002668C9" w:rsidP="0074418A">
                                  <w:pPr>
                                    <w:jc w:val="center"/>
                                    <w:rPr>
                                      <w:rFonts w:eastAsia="Times New Roman" w:cs="Times New Roman"/>
                                      <w:b/>
                                      <w:bCs/>
                                      <w:color w:val="000000"/>
                                      <w:vertAlign w:val="superscript"/>
                                      <w:lang w:eastAsia="en-GB"/>
                                    </w:rPr>
                                  </w:pPr>
                                  <w:r w:rsidRPr="007272BF">
                                    <w:rPr>
                                      <w:rFonts w:eastAsia="Times New Roman" w:cs="Times New Roman"/>
                                      <w:b/>
                                      <w:bCs/>
                                      <w:color w:val="000000"/>
                                      <w:lang w:eastAsia="en-GB"/>
                                    </w:rPr>
                                    <w:t>Key criteria</w:t>
                                  </w:r>
                                  <w:r>
                                    <w:rPr>
                                      <w:rFonts w:eastAsia="Times New Roman" w:cs="Times New Roman"/>
                                      <w:b/>
                                      <w:bCs/>
                                      <w:color w:val="000000"/>
                                      <w:lang w:eastAsia="en-GB"/>
                                    </w:rPr>
                                    <w:t xml:space="preserve"> </w:t>
                                  </w:r>
                                  <w:r>
                                    <w:rPr>
                                      <w:rFonts w:eastAsia="Times New Roman" w:cs="Times New Roman"/>
                                      <w:b/>
                                      <w:bCs/>
                                      <w:color w:val="000000"/>
                                      <w:vertAlign w:val="superscript"/>
                                      <w:lang w:eastAsia="en-GB"/>
                                    </w:rPr>
                                    <w:t>A</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F1C20" w14:textId="77777777" w:rsidR="002668C9"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Total</w:t>
                                  </w:r>
                                </w:p>
                                <w:p w14:paraId="7566BAC2" w14:textId="77777777" w:rsidR="002668C9" w:rsidRPr="007272BF" w:rsidRDefault="002668C9" w:rsidP="0074418A">
                                  <w:pPr>
                                    <w:jc w:val="center"/>
                                    <w:rPr>
                                      <w:rFonts w:eastAsia="Times New Roman" w:cs="Times New Roman"/>
                                      <w:bCs/>
                                      <w:color w:val="000000"/>
                                      <w:lang w:eastAsia="en-GB"/>
                                    </w:rPr>
                                  </w:pPr>
                                  <w:r>
                                    <w:rPr>
                                      <w:rFonts w:eastAsia="Times New Roman" w:cs="Times New Roman"/>
                                      <w:bCs/>
                                      <w:color w:val="000000"/>
                                      <w:lang w:eastAsia="en-GB"/>
                                    </w:rPr>
                                    <w:t>n</w:t>
                                  </w:r>
                                </w:p>
                              </w:tc>
                            </w:tr>
                            <w:tr w:rsidR="002668C9" w:rsidRPr="007272BF" w14:paraId="48BA0B5D" w14:textId="77777777" w:rsidTr="00EB36D2">
                              <w:trPr>
                                <w:trHeight w:val="290"/>
                                <w:tblHeader/>
                              </w:trPr>
                              <w:tc>
                                <w:tcPr>
                                  <w:tcW w:w="2068" w:type="dxa"/>
                                  <w:vMerge/>
                                  <w:tcBorders>
                                    <w:top w:val="single" w:sz="4" w:space="0" w:color="auto"/>
                                    <w:left w:val="single" w:sz="4" w:space="0" w:color="auto"/>
                                    <w:bottom w:val="single" w:sz="4" w:space="0" w:color="000000"/>
                                    <w:right w:val="single" w:sz="4" w:space="0" w:color="auto"/>
                                  </w:tcBorders>
                                  <w:vAlign w:val="center"/>
                                  <w:hideMark/>
                                </w:tcPr>
                                <w:p w14:paraId="01A58984" w14:textId="77777777" w:rsidR="002668C9" w:rsidRPr="007272BF" w:rsidRDefault="002668C9" w:rsidP="0074418A">
                                  <w:pPr>
                                    <w:rPr>
                                      <w:rFonts w:eastAsia="Times New Roman" w:cs="Times New Roman"/>
                                      <w:b/>
                                      <w:bCs/>
                                      <w:color w:val="000000"/>
                                      <w:lang w:eastAsia="en-GB"/>
                                    </w:rPr>
                                  </w:pP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6993D5C" w14:textId="77777777" w:rsidR="002668C9" w:rsidRPr="007272BF"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Design</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FD3BE6E" w14:textId="77777777" w:rsidR="002668C9" w:rsidRPr="007272BF"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Analysis</w:t>
                                  </w:r>
                                </w:p>
                              </w:tc>
                              <w:tc>
                                <w:tcPr>
                                  <w:tcW w:w="718" w:type="dxa"/>
                                  <w:vMerge/>
                                  <w:tcBorders>
                                    <w:top w:val="single" w:sz="4" w:space="0" w:color="auto"/>
                                    <w:left w:val="single" w:sz="4" w:space="0" w:color="auto"/>
                                    <w:bottom w:val="single" w:sz="4" w:space="0" w:color="auto"/>
                                    <w:right w:val="single" w:sz="4" w:space="0" w:color="auto"/>
                                  </w:tcBorders>
                                  <w:vAlign w:val="center"/>
                                  <w:hideMark/>
                                </w:tcPr>
                                <w:p w14:paraId="793D88E7" w14:textId="77777777" w:rsidR="002668C9" w:rsidRPr="007272BF" w:rsidRDefault="002668C9" w:rsidP="0074418A">
                                  <w:pPr>
                                    <w:rPr>
                                      <w:rFonts w:eastAsia="Times New Roman" w:cs="Times New Roman"/>
                                      <w:b/>
                                      <w:bCs/>
                                      <w:color w:val="000000"/>
                                      <w:lang w:eastAsia="en-GB"/>
                                    </w:rPr>
                                  </w:pPr>
                                </w:p>
                              </w:tc>
                            </w:tr>
                            <w:tr w:rsidR="002668C9" w:rsidRPr="007272BF" w14:paraId="1A3D4F80" w14:textId="77777777" w:rsidTr="00EB36D2">
                              <w:trPr>
                                <w:trHeight w:val="290"/>
                                <w:tblHeader/>
                              </w:trPr>
                              <w:tc>
                                <w:tcPr>
                                  <w:tcW w:w="2068" w:type="dxa"/>
                                  <w:vMerge/>
                                  <w:tcBorders>
                                    <w:top w:val="single" w:sz="4" w:space="0" w:color="auto"/>
                                    <w:left w:val="single" w:sz="4" w:space="0" w:color="auto"/>
                                    <w:bottom w:val="single" w:sz="4" w:space="0" w:color="000000"/>
                                    <w:right w:val="single" w:sz="4" w:space="0" w:color="auto"/>
                                  </w:tcBorders>
                                  <w:vAlign w:val="center"/>
                                  <w:hideMark/>
                                </w:tcPr>
                                <w:p w14:paraId="2452DBF5" w14:textId="77777777" w:rsidR="002668C9" w:rsidRPr="007272BF" w:rsidRDefault="002668C9" w:rsidP="0074418A">
                                  <w:pPr>
                                    <w:rPr>
                                      <w:rFonts w:eastAsia="Times New Roman" w:cs="Times New Roman"/>
                                      <w:b/>
                                      <w:bCs/>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19CD126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D1</w:t>
                                  </w:r>
                                </w:p>
                              </w:tc>
                              <w:tc>
                                <w:tcPr>
                                  <w:tcW w:w="960" w:type="dxa"/>
                                  <w:tcBorders>
                                    <w:top w:val="nil"/>
                                    <w:left w:val="nil"/>
                                    <w:bottom w:val="single" w:sz="4" w:space="0" w:color="auto"/>
                                    <w:right w:val="single" w:sz="4" w:space="0" w:color="auto"/>
                                  </w:tcBorders>
                                  <w:shd w:val="clear" w:color="auto" w:fill="auto"/>
                                  <w:noWrap/>
                                  <w:vAlign w:val="bottom"/>
                                  <w:hideMark/>
                                </w:tcPr>
                                <w:p w14:paraId="6B48EA4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D2</w:t>
                                  </w:r>
                                </w:p>
                              </w:tc>
                              <w:tc>
                                <w:tcPr>
                                  <w:tcW w:w="960" w:type="dxa"/>
                                  <w:tcBorders>
                                    <w:top w:val="nil"/>
                                    <w:left w:val="nil"/>
                                    <w:bottom w:val="single" w:sz="4" w:space="0" w:color="auto"/>
                                    <w:right w:val="single" w:sz="4" w:space="0" w:color="auto"/>
                                  </w:tcBorders>
                                  <w:shd w:val="clear" w:color="auto" w:fill="auto"/>
                                  <w:noWrap/>
                                  <w:vAlign w:val="bottom"/>
                                  <w:hideMark/>
                                </w:tcPr>
                                <w:p w14:paraId="6750FB0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D3</w:t>
                                  </w:r>
                                </w:p>
                              </w:tc>
                              <w:tc>
                                <w:tcPr>
                                  <w:tcW w:w="960" w:type="dxa"/>
                                  <w:tcBorders>
                                    <w:top w:val="nil"/>
                                    <w:left w:val="nil"/>
                                    <w:bottom w:val="single" w:sz="4" w:space="0" w:color="auto"/>
                                    <w:right w:val="single" w:sz="4" w:space="0" w:color="auto"/>
                                  </w:tcBorders>
                                  <w:shd w:val="clear" w:color="auto" w:fill="auto"/>
                                  <w:noWrap/>
                                  <w:vAlign w:val="bottom"/>
                                  <w:hideMark/>
                                </w:tcPr>
                                <w:p w14:paraId="28BB86A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D4</w:t>
                                  </w:r>
                                </w:p>
                              </w:tc>
                              <w:tc>
                                <w:tcPr>
                                  <w:tcW w:w="960" w:type="dxa"/>
                                  <w:tcBorders>
                                    <w:top w:val="nil"/>
                                    <w:left w:val="nil"/>
                                    <w:bottom w:val="single" w:sz="4" w:space="0" w:color="auto"/>
                                    <w:right w:val="single" w:sz="4" w:space="0" w:color="auto"/>
                                  </w:tcBorders>
                                  <w:shd w:val="clear" w:color="auto" w:fill="auto"/>
                                  <w:noWrap/>
                                  <w:vAlign w:val="bottom"/>
                                  <w:hideMark/>
                                </w:tcPr>
                                <w:p w14:paraId="3D2A5EB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D5</w:t>
                                  </w:r>
                                </w:p>
                              </w:tc>
                              <w:tc>
                                <w:tcPr>
                                  <w:tcW w:w="960" w:type="dxa"/>
                                  <w:tcBorders>
                                    <w:top w:val="nil"/>
                                    <w:left w:val="nil"/>
                                    <w:bottom w:val="single" w:sz="4" w:space="0" w:color="auto"/>
                                    <w:right w:val="single" w:sz="4" w:space="0" w:color="auto"/>
                                  </w:tcBorders>
                                  <w:shd w:val="clear" w:color="auto" w:fill="auto"/>
                                  <w:noWrap/>
                                  <w:vAlign w:val="bottom"/>
                                  <w:hideMark/>
                                </w:tcPr>
                                <w:p w14:paraId="1D811B8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D6</w:t>
                                  </w:r>
                                </w:p>
                              </w:tc>
                              <w:tc>
                                <w:tcPr>
                                  <w:tcW w:w="960" w:type="dxa"/>
                                  <w:tcBorders>
                                    <w:top w:val="nil"/>
                                    <w:left w:val="nil"/>
                                    <w:bottom w:val="single" w:sz="4" w:space="0" w:color="auto"/>
                                    <w:right w:val="single" w:sz="4" w:space="0" w:color="auto"/>
                                  </w:tcBorders>
                                  <w:shd w:val="clear" w:color="auto" w:fill="auto"/>
                                  <w:noWrap/>
                                  <w:vAlign w:val="bottom"/>
                                  <w:hideMark/>
                                </w:tcPr>
                                <w:p w14:paraId="7D08E91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A1</w:t>
                                  </w:r>
                                </w:p>
                              </w:tc>
                              <w:tc>
                                <w:tcPr>
                                  <w:tcW w:w="960" w:type="dxa"/>
                                  <w:tcBorders>
                                    <w:top w:val="nil"/>
                                    <w:left w:val="nil"/>
                                    <w:bottom w:val="single" w:sz="4" w:space="0" w:color="auto"/>
                                    <w:right w:val="single" w:sz="4" w:space="0" w:color="auto"/>
                                  </w:tcBorders>
                                  <w:shd w:val="clear" w:color="auto" w:fill="auto"/>
                                  <w:noWrap/>
                                  <w:vAlign w:val="bottom"/>
                                  <w:hideMark/>
                                </w:tcPr>
                                <w:p w14:paraId="59E337A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A2</w:t>
                                  </w:r>
                                </w:p>
                              </w:tc>
                              <w:tc>
                                <w:tcPr>
                                  <w:tcW w:w="960" w:type="dxa"/>
                                  <w:tcBorders>
                                    <w:top w:val="nil"/>
                                    <w:left w:val="nil"/>
                                    <w:bottom w:val="single" w:sz="4" w:space="0" w:color="auto"/>
                                    <w:right w:val="single" w:sz="4" w:space="0" w:color="auto"/>
                                  </w:tcBorders>
                                  <w:shd w:val="clear" w:color="auto" w:fill="auto"/>
                                  <w:noWrap/>
                                  <w:vAlign w:val="bottom"/>
                                  <w:hideMark/>
                                </w:tcPr>
                                <w:p w14:paraId="7CD9E35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A3</w:t>
                                  </w:r>
                                </w:p>
                              </w:tc>
                              <w:tc>
                                <w:tcPr>
                                  <w:tcW w:w="960" w:type="dxa"/>
                                  <w:tcBorders>
                                    <w:top w:val="nil"/>
                                    <w:left w:val="nil"/>
                                    <w:bottom w:val="single" w:sz="4" w:space="0" w:color="auto"/>
                                    <w:right w:val="single" w:sz="4" w:space="0" w:color="auto"/>
                                  </w:tcBorders>
                                  <w:shd w:val="clear" w:color="auto" w:fill="auto"/>
                                  <w:noWrap/>
                                  <w:vAlign w:val="bottom"/>
                                  <w:hideMark/>
                                </w:tcPr>
                                <w:p w14:paraId="4DF3883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A4</w:t>
                                  </w:r>
                                </w:p>
                              </w:tc>
                              <w:tc>
                                <w:tcPr>
                                  <w:tcW w:w="960" w:type="dxa"/>
                                  <w:tcBorders>
                                    <w:top w:val="nil"/>
                                    <w:left w:val="nil"/>
                                    <w:bottom w:val="single" w:sz="4" w:space="0" w:color="auto"/>
                                    <w:right w:val="single" w:sz="4" w:space="0" w:color="auto"/>
                                  </w:tcBorders>
                                  <w:shd w:val="clear" w:color="auto" w:fill="auto"/>
                                  <w:noWrap/>
                                  <w:vAlign w:val="bottom"/>
                                  <w:hideMark/>
                                </w:tcPr>
                                <w:p w14:paraId="12BDEA3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A5</w:t>
                                  </w:r>
                                </w:p>
                              </w:tc>
                              <w:tc>
                                <w:tcPr>
                                  <w:tcW w:w="718" w:type="dxa"/>
                                  <w:vMerge/>
                                  <w:tcBorders>
                                    <w:top w:val="single" w:sz="4" w:space="0" w:color="auto"/>
                                    <w:left w:val="single" w:sz="4" w:space="0" w:color="auto"/>
                                    <w:bottom w:val="single" w:sz="4" w:space="0" w:color="auto"/>
                                    <w:right w:val="single" w:sz="4" w:space="0" w:color="auto"/>
                                  </w:tcBorders>
                                  <w:vAlign w:val="center"/>
                                  <w:hideMark/>
                                </w:tcPr>
                                <w:p w14:paraId="1ACF3552" w14:textId="77777777" w:rsidR="002668C9" w:rsidRPr="007272BF" w:rsidRDefault="002668C9" w:rsidP="0074418A">
                                  <w:pPr>
                                    <w:rPr>
                                      <w:rFonts w:eastAsia="Times New Roman" w:cs="Times New Roman"/>
                                      <w:b/>
                                      <w:bCs/>
                                      <w:color w:val="000000"/>
                                      <w:lang w:eastAsia="en-GB"/>
                                    </w:rPr>
                                  </w:pPr>
                                </w:p>
                              </w:tc>
                            </w:tr>
                            <w:tr w:rsidR="002668C9" w:rsidRPr="007272BF" w14:paraId="45E15A37" w14:textId="77777777" w:rsidTr="00613B9B">
                              <w:trPr>
                                <w:trHeight w:val="290"/>
                              </w:trPr>
                              <w:tc>
                                <w:tcPr>
                                  <w:tcW w:w="2068" w:type="dxa"/>
                                  <w:tcBorders>
                                    <w:top w:val="nil"/>
                                    <w:left w:val="single" w:sz="4" w:space="0" w:color="auto"/>
                                    <w:bottom w:val="nil"/>
                                    <w:right w:val="single" w:sz="4" w:space="0" w:color="auto"/>
                                  </w:tcBorders>
                                  <w:shd w:val="clear" w:color="auto" w:fill="auto"/>
                                  <w:noWrap/>
                                  <w:vAlign w:val="bottom"/>
                                </w:tcPr>
                                <w:p w14:paraId="3D1FAAA1" w14:textId="77777777" w:rsidR="002668C9" w:rsidRPr="007272BF" w:rsidRDefault="002668C9" w:rsidP="0074418A">
                                  <w:pPr>
                                    <w:rPr>
                                      <w:rFonts w:eastAsia="Times New Roman" w:cs="Times New Roman"/>
                                      <w:i/>
                                      <w:iCs/>
                                      <w:color w:val="000000"/>
                                      <w:lang w:eastAsia="en-GB"/>
                                    </w:rPr>
                                  </w:pPr>
                                  <w:bookmarkStart w:id="22" w:name="_Hlk95909159"/>
                                  <w:r w:rsidRPr="007272BF">
                                    <w:rPr>
                                      <w:rFonts w:eastAsia="Times New Roman" w:cs="Times New Roman"/>
                                      <w:i/>
                                      <w:iCs/>
                                      <w:color w:val="000000"/>
                                      <w:lang w:eastAsia="en-GB"/>
                                    </w:rPr>
                                    <w:t>ICH E8, 1998</w:t>
                                  </w:r>
                                </w:p>
                              </w:tc>
                              <w:tc>
                                <w:tcPr>
                                  <w:tcW w:w="960" w:type="dxa"/>
                                  <w:tcBorders>
                                    <w:top w:val="nil"/>
                                    <w:left w:val="nil"/>
                                    <w:bottom w:val="nil"/>
                                    <w:right w:val="single" w:sz="4" w:space="0" w:color="auto"/>
                                  </w:tcBorders>
                                  <w:shd w:val="clear" w:color="auto" w:fill="auto"/>
                                  <w:noWrap/>
                                  <w:vAlign w:val="bottom"/>
                                </w:tcPr>
                                <w:p w14:paraId="02E1C71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2AA0A19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tcPr>
                                <w:p w14:paraId="6F62FF1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tcPr>
                                <w:p w14:paraId="43E0BD7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tcPr>
                                <w:p w14:paraId="1FD078C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BB67D9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2FD5AD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0C9267B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67A16BC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6B0E07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AA075B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tcPr>
                                <w:p w14:paraId="38D1060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2</w:t>
                                  </w:r>
                                </w:p>
                              </w:tc>
                            </w:tr>
                            <w:tr w:rsidR="002668C9" w:rsidRPr="007272BF" w14:paraId="49158A5A" w14:textId="77777777" w:rsidTr="00613B9B">
                              <w:trPr>
                                <w:trHeight w:val="290"/>
                              </w:trPr>
                              <w:tc>
                                <w:tcPr>
                                  <w:tcW w:w="2068" w:type="dxa"/>
                                  <w:tcBorders>
                                    <w:top w:val="nil"/>
                                    <w:left w:val="single" w:sz="4" w:space="0" w:color="auto"/>
                                    <w:bottom w:val="nil"/>
                                    <w:right w:val="single" w:sz="4" w:space="0" w:color="auto"/>
                                  </w:tcBorders>
                                  <w:shd w:val="clear" w:color="auto" w:fill="auto"/>
                                  <w:noWrap/>
                                  <w:vAlign w:val="bottom"/>
                                </w:tcPr>
                                <w:p w14:paraId="714ECCBD"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ICH E9, 1999</w:t>
                                  </w:r>
                                </w:p>
                              </w:tc>
                              <w:tc>
                                <w:tcPr>
                                  <w:tcW w:w="960" w:type="dxa"/>
                                  <w:tcBorders>
                                    <w:top w:val="nil"/>
                                    <w:left w:val="nil"/>
                                    <w:bottom w:val="nil"/>
                                    <w:right w:val="single" w:sz="4" w:space="0" w:color="auto"/>
                                  </w:tcBorders>
                                  <w:shd w:val="clear" w:color="auto" w:fill="D0CECE" w:themeFill="background2" w:themeFillShade="E6"/>
                                  <w:noWrap/>
                                  <w:vAlign w:val="bottom"/>
                                </w:tcPr>
                                <w:p w14:paraId="771169E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tcPr>
                                <w:p w14:paraId="72192E9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tcPr>
                                <w:p w14:paraId="4B1C548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tcPr>
                                <w:p w14:paraId="18E4AA5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tcPr>
                                <w:p w14:paraId="1768CFB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tcPr>
                                <w:p w14:paraId="2AF6353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tcPr>
                                <w:p w14:paraId="42654C1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tcPr>
                                <w:p w14:paraId="4325BE0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tcPr>
                                <w:p w14:paraId="19F866B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tcPr>
                                <w:p w14:paraId="698A4A1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7948F74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tcPr>
                                <w:p w14:paraId="7F4304A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8</w:t>
                                  </w:r>
                                </w:p>
                              </w:tc>
                            </w:tr>
                            <w:tr w:rsidR="002668C9" w:rsidRPr="007272BF" w14:paraId="0144E77F" w14:textId="77777777" w:rsidTr="00613B9B">
                              <w:trPr>
                                <w:trHeight w:val="290"/>
                              </w:trPr>
                              <w:tc>
                                <w:tcPr>
                                  <w:tcW w:w="2068" w:type="dxa"/>
                                  <w:tcBorders>
                                    <w:top w:val="nil"/>
                                    <w:left w:val="single" w:sz="4" w:space="0" w:color="auto"/>
                                    <w:bottom w:val="nil"/>
                                    <w:right w:val="single" w:sz="4" w:space="0" w:color="auto"/>
                                  </w:tcBorders>
                                  <w:shd w:val="clear" w:color="auto" w:fill="auto"/>
                                  <w:noWrap/>
                                  <w:vAlign w:val="bottom"/>
                                </w:tcPr>
                                <w:p w14:paraId="5A696DE5"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Jackson, 2010</w:t>
                                  </w:r>
                                </w:p>
                              </w:tc>
                              <w:tc>
                                <w:tcPr>
                                  <w:tcW w:w="960" w:type="dxa"/>
                                  <w:tcBorders>
                                    <w:top w:val="nil"/>
                                    <w:left w:val="nil"/>
                                    <w:bottom w:val="nil"/>
                                    <w:right w:val="single" w:sz="4" w:space="0" w:color="auto"/>
                                  </w:tcBorders>
                                  <w:shd w:val="clear" w:color="auto" w:fill="D0CECE" w:themeFill="background2" w:themeFillShade="E6"/>
                                  <w:noWrap/>
                                  <w:vAlign w:val="bottom"/>
                                </w:tcPr>
                                <w:p w14:paraId="19A9C3C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tcPr>
                                <w:p w14:paraId="20C998F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tcPr>
                                <w:p w14:paraId="70FE217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60575F2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tcPr>
                                <w:p w14:paraId="12EA0B3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tcPr>
                                <w:p w14:paraId="37BC679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51DDD67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679037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2B87F36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tcPr>
                                <w:p w14:paraId="1992AA1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tcPr>
                                <w:p w14:paraId="2A92FF4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718" w:type="dxa"/>
                                  <w:tcBorders>
                                    <w:top w:val="nil"/>
                                    <w:left w:val="nil"/>
                                    <w:bottom w:val="nil"/>
                                    <w:right w:val="single" w:sz="4" w:space="0" w:color="auto"/>
                                  </w:tcBorders>
                                  <w:shd w:val="clear" w:color="auto" w:fill="auto"/>
                                  <w:noWrap/>
                                  <w:vAlign w:val="bottom"/>
                                </w:tcPr>
                                <w:p w14:paraId="6457397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5</w:t>
                                  </w:r>
                                </w:p>
                              </w:tc>
                            </w:tr>
                            <w:tr w:rsidR="002668C9" w:rsidRPr="007272BF" w14:paraId="458FF5ED" w14:textId="77777777" w:rsidTr="0074418A">
                              <w:trPr>
                                <w:trHeight w:val="290"/>
                              </w:trPr>
                              <w:tc>
                                <w:tcPr>
                                  <w:tcW w:w="2068" w:type="dxa"/>
                                  <w:tcBorders>
                                    <w:top w:val="nil"/>
                                    <w:left w:val="single" w:sz="4" w:space="0" w:color="auto"/>
                                    <w:bottom w:val="nil"/>
                                    <w:right w:val="single" w:sz="4" w:space="0" w:color="auto"/>
                                  </w:tcBorders>
                                  <w:shd w:val="clear" w:color="auto" w:fill="auto"/>
                                  <w:noWrap/>
                                  <w:vAlign w:val="bottom"/>
                                </w:tcPr>
                                <w:p w14:paraId="4B71B55F"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Jager, 2011</w:t>
                                  </w:r>
                                </w:p>
                              </w:tc>
                              <w:tc>
                                <w:tcPr>
                                  <w:tcW w:w="960" w:type="dxa"/>
                                  <w:tcBorders>
                                    <w:top w:val="nil"/>
                                    <w:left w:val="nil"/>
                                    <w:bottom w:val="nil"/>
                                    <w:right w:val="single" w:sz="4" w:space="0" w:color="auto"/>
                                  </w:tcBorders>
                                  <w:shd w:val="clear" w:color="auto" w:fill="auto"/>
                                  <w:noWrap/>
                                  <w:vAlign w:val="bottom"/>
                                </w:tcPr>
                                <w:p w14:paraId="6447ED3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664CF1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5468A8D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E2184D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76F1EBF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9F5737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85B59E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039492D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75D2041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4F4CDB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0E849EA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tcPr>
                                <w:p w14:paraId="10C736D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0</w:t>
                                  </w:r>
                                </w:p>
                              </w:tc>
                            </w:tr>
                            <w:tr w:rsidR="002668C9" w:rsidRPr="007272BF" w14:paraId="380119BB" w14:textId="77777777" w:rsidTr="0074418A">
                              <w:trPr>
                                <w:trHeight w:val="290"/>
                              </w:trPr>
                              <w:tc>
                                <w:tcPr>
                                  <w:tcW w:w="2068" w:type="dxa"/>
                                  <w:tcBorders>
                                    <w:top w:val="nil"/>
                                    <w:left w:val="single" w:sz="4" w:space="0" w:color="auto"/>
                                    <w:bottom w:val="nil"/>
                                    <w:right w:val="single" w:sz="4" w:space="0" w:color="auto"/>
                                  </w:tcBorders>
                                  <w:shd w:val="clear" w:color="auto" w:fill="auto"/>
                                  <w:noWrap/>
                                  <w:vAlign w:val="bottom"/>
                                </w:tcPr>
                                <w:p w14:paraId="3EDA6FCC"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Gamble, 2017</w:t>
                                  </w:r>
                                </w:p>
                              </w:tc>
                              <w:tc>
                                <w:tcPr>
                                  <w:tcW w:w="960" w:type="dxa"/>
                                  <w:tcBorders>
                                    <w:top w:val="nil"/>
                                    <w:left w:val="nil"/>
                                    <w:bottom w:val="nil"/>
                                    <w:right w:val="single" w:sz="4" w:space="0" w:color="auto"/>
                                  </w:tcBorders>
                                  <w:shd w:val="clear" w:color="auto" w:fill="auto"/>
                                  <w:noWrap/>
                                  <w:vAlign w:val="bottom"/>
                                </w:tcPr>
                                <w:p w14:paraId="5CFFB1C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585358B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07F13E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762BAAA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043EE72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7C36308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5EFE2A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ED75BE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6EDF6C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220F0C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4C2F7B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tcPr>
                                <w:p w14:paraId="36A6CC8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0</w:t>
                                  </w:r>
                                </w:p>
                              </w:tc>
                            </w:tr>
                            <w:tr w:rsidR="002668C9" w:rsidRPr="007272BF" w14:paraId="1482AF52" w14:textId="77777777" w:rsidTr="0074418A">
                              <w:trPr>
                                <w:trHeight w:val="290"/>
                              </w:trPr>
                              <w:tc>
                                <w:tcPr>
                                  <w:tcW w:w="2068" w:type="dxa"/>
                                  <w:tcBorders>
                                    <w:top w:val="nil"/>
                                    <w:left w:val="single" w:sz="4" w:space="0" w:color="auto"/>
                                    <w:bottom w:val="nil"/>
                                    <w:right w:val="single" w:sz="4" w:space="0" w:color="auto"/>
                                  </w:tcBorders>
                                  <w:shd w:val="clear" w:color="auto" w:fill="auto"/>
                                  <w:noWrap/>
                                  <w:vAlign w:val="bottom"/>
                                </w:tcPr>
                                <w:p w14:paraId="1D44E7BD"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Kalil, 2010</w:t>
                                  </w:r>
                                </w:p>
                              </w:tc>
                              <w:tc>
                                <w:tcPr>
                                  <w:tcW w:w="960" w:type="dxa"/>
                                  <w:tcBorders>
                                    <w:top w:val="nil"/>
                                    <w:left w:val="nil"/>
                                    <w:bottom w:val="nil"/>
                                    <w:right w:val="single" w:sz="4" w:space="0" w:color="auto"/>
                                  </w:tcBorders>
                                  <w:shd w:val="clear" w:color="auto" w:fill="auto"/>
                                  <w:noWrap/>
                                  <w:vAlign w:val="bottom"/>
                                </w:tcPr>
                                <w:p w14:paraId="777AF81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38CF15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114304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E8C4C0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774CE87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5C7F84E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231AAA6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5107D70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4D12EC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57FCCFE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8C0A69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tcPr>
                                <w:p w14:paraId="31C2AD6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0</w:t>
                                  </w:r>
                                </w:p>
                              </w:tc>
                            </w:tr>
                            <w:tr w:rsidR="002668C9" w:rsidRPr="007272BF" w14:paraId="3AC4A9DB" w14:textId="77777777" w:rsidTr="0074418A">
                              <w:trPr>
                                <w:trHeight w:val="290"/>
                              </w:trPr>
                              <w:tc>
                                <w:tcPr>
                                  <w:tcW w:w="2068" w:type="dxa"/>
                                  <w:tcBorders>
                                    <w:top w:val="nil"/>
                                    <w:left w:val="single" w:sz="4" w:space="0" w:color="auto"/>
                                    <w:bottom w:val="nil"/>
                                    <w:right w:val="single" w:sz="4" w:space="0" w:color="auto"/>
                                  </w:tcBorders>
                                  <w:shd w:val="clear" w:color="auto" w:fill="auto"/>
                                  <w:noWrap/>
                                  <w:vAlign w:val="bottom"/>
                                </w:tcPr>
                                <w:p w14:paraId="748C9608"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Kent, 2010</w:t>
                                  </w:r>
                                </w:p>
                              </w:tc>
                              <w:tc>
                                <w:tcPr>
                                  <w:tcW w:w="960" w:type="dxa"/>
                                  <w:tcBorders>
                                    <w:top w:val="nil"/>
                                    <w:left w:val="nil"/>
                                    <w:bottom w:val="nil"/>
                                    <w:right w:val="single" w:sz="4" w:space="0" w:color="auto"/>
                                  </w:tcBorders>
                                  <w:shd w:val="clear" w:color="auto" w:fill="auto"/>
                                  <w:noWrap/>
                                  <w:vAlign w:val="bottom"/>
                                </w:tcPr>
                                <w:p w14:paraId="5064A86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09DDFE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03A42C6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C48A38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9B5E3F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71F7022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2C1A44F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06D4BDE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2A87132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AF681C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7DDD9B7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tcPr>
                                <w:p w14:paraId="39A2EF5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0</w:t>
                                  </w:r>
                                </w:p>
                              </w:tc>
                            </w:tr>
                            <w:tr w:rsidR="002668C9" w:rsidRPr="007272BF" w14:paraId="4B4C1760" w14:textId="77777777" w:rsidTr="0074418A">
                              <w:trPr>
                                <w:trHeight w:val="290"/>
                              </w:trPr>
                              <w:tc>
                                <w:tcPr>
                                  <w:tcW w:w="2068" w:type="dxa"/>
                                  <w:tcBorders>
                                    <w:top w:val="nil"/>
                                    <w:left w:val="single" w:sz="4" w:space="0" w:color="auto"/>
                                    <w:bottom w:val="nil"/>
                                    <w:right w:val="single" w:sz="4" w:space="0" w:color="auto"/>
                                  </w:tcBorders>
                                  <w:shd w:val="clear" w:color="auto" w:fill="auto"/>
                                  <w:noWrap/>
                                  <w:vAlign w:val="bottom"/>
                                </w:tcPr>
                                <w:p w14:paraId="25B51AD1"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Lang, 2015</w:t>
                                  </w:r>
                                </w:p>
                              </w:tc>
                              <w:tc>
                                <w:tcPr>
                                  <w:tcW w:w="960" w:type="dxa"/>
                                  <w:tcBorders>
                                    <w:top w:val="nil"/>
                                    <w:left w:val="nil"/>
                                    <w:bottom w:val="nil"/>
                                    <w:right w:val="single" w:sz="4" w:space="0" w:color="auto"/>
                                  </w:tcBorders>
                                  <w:shd w:val="clear" w:color="auto" w:fill="auto"/>
                                  <w:noWrap/>
                                  <w:vAlign w:val="bottom"/>
                                </w:tcPr>
                                <w:p w14:paraId="2FD278C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86F39C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E07C9C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2BD4AC4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8E15F6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916D7A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C5CE41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2A6EA7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87DEC9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21E92A8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09114B3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tcPr>
                                <w:p w14:paraId="777E81F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0</w:t>
                                  </w:r>
                                </w:p>
                              </w:tc>
                            </w:tr>
                            <w:tr w:rsidR="002668C9" w:rsidRPr="007272BF" w14:paraId="3603E24A" w14:textId="77777777" w:rsidTr="0052553E">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41299E75" w14:textId="77777777" w:rsidR="002668C9" w:rsidRPr="007272BF" w:rsidRDefault="002668C9" w:rsidP="00880152">
                                  <w:pPr>
                                    <w:rPr>
                                      <w:rFonts w:eastAsia="Times New Roman" w:cs="Times New Roman"/>
                                      <w:i/>
                                      <w:iCs/>
                                      <w:color w:val="000000"/>
                                      <w:lang w:eastAsia="en-GB"/>
                                    </w:rPr>
                                  </w:pPr>
                                  <w:r w:rsidRPr="007272BF">
                                    <w:rPr>
                                      <w:rFonts w:eastAsia="Times New Roman" w:cs="Times New Roman"/>
                                      <w:i/>
                                      <w:iCs/>
                                      <w:color w:val="000000"/>
                                      <w:lang w:eastAsia="en-GB"/>
                                    </w:rPr>
                                    <w:t>MHRA, 2021</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74B0CD83"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DC900B8"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632D5C7F"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5E42632E"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3E3BCE5"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42D26739"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1CCEBADE"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41E3A33A"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54F9B3F9"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0A7A3160"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0CC4E228"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7824C76F"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4</w:t>
                                  </w:r>
                                </w:p>
                              </w:tc>
                            </w:tr>
                            <w:tr w:rsidR="002668C9" w:rsidRPr="007272BF" w14:paraId="0BDEC584" w14:textId="77777777" w:rsidTr="0052553E">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4E0CF930" w14:textId="77777777" w:rsidR="002668C9" w:rsidRPr="007272BF" w:rsidRDefault="002668C9" w:rsidP="00880152">
                                  <w:pPr>
                                    <w:rPr>
                                      <w:rFonts w:eastAsia="Times New Roman" w:cs="Times New Roman"/>
                                      <w:i/>
                                      <w:iCs/>
                                      <w:color w:val="000000"/>
                                      <w:lang w:eastAsia="en-GB"/>
                                    </w:rPr>
                                  </w:pPr>
                                  <w:r w:rsidRPr="007272BF">
                                    <w:rPr>
                                      <w:rFonts w:eastAsia="Times New Roman" w:cs="Times New Roman"/>
                                      <w:i/>
                                      <w:iCs/>
                                      <w:color w:val="000000"/>
                                      <w:lang w:eastAsia="en-GB"/>
                                    </w:rPr>
                                    <w:t>NIHR Toolkit, 2016</w:t>
                                  </w:r>
                                </w:p>
                              </w:tc>
                              <w:tc>
                                <w:tcPr>
                                  <w:tcW w:w="960" w:type="dxa"/>
                                  <w:tcBorders>
                                    <w:top w:val="nil"/>
                                    <w:left w:val="nil"/>
                                    <w:bottom w:val="nil"/>
                                    <w:right w:val="single" w:sz="4" w:space="0" w:color="auto"/>
                                  </w:tcBorders>
                                  <w:shd w:val="clear" w:color="auto" w:fill="auto"/>
                                  <w:noWrap/>
                                  <w:vAlign w:val="bottom"/>
                                  <w:hideMark/>
                                </w:tcPr>
                                <w:p w14:paraId="62C08B24"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0FA6C2B7"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0B88A9C5"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14E5A264"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4893962B"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60F4C02B"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87D1594"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61B18E14"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3A481C2"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0912F048"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3698B6ED"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1BAE617D"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3</w:t>
                                  </w:r>
                                </w:p>
                              </w:tc>
                            </w:tr>
                            <w:tr w:rsidR="002668C9" w:rsidRPr="007272BF" w14:paraId="3F985CD4" w14:textId="77777777" w:rsidTr="00880152">
                              <w:trPr>
                                <w:trHeight w:val="290"/>
                              </w:trPr>
                              <w:tc>
                                <w:tcPr>
                                  <w:tcW w:w="2068" w:type="dxa"/>
                                  <w:tcBorders>
                                    <w:top w:val="nil"/>
                                    <w:left w:val="single" w:sz="4" w:space="0" w:color="auto"/>
                                    <w:right w:val="single" w:sz="4" w:space="0" w:color="auto"/>
                                  </w:tcBorders>
                                  <w:shd w:val="clear" w:color="auto" w:fill="auto"/>
                                  <w:noWrap/>
                                  <w:vAlign w:val="bottom"/>
                                </w:tcPr>
                                <w:p w14:paraId="7C4C08E7"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Schoot, 2017</w:t>
                                  </w:r>
                                </w:p>
                              </w:tc>
                              <w:tc>
                                <w:tcPr>
                                  <w:tcW w:w="960" w:type="dxa"/>
                                  <w:tcBorders>
                                    <w:top w:val="nil"/>
                                    <w:left w:val="nil"/>
                                    <w:right w:val="single" w:sz="4" w:space="0" w:color="auto"/>
                                  </w:tcBorders>
                                  <w:shd w:val="clear" w:color="auto" w:fill="auto"/>
                                  <w:noWrap/>
                                  <w:vAlign w:val="bottom"/>
                                </w:tcPr>
                                <w:p w14:paraId="0BFE8FB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3FDC147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7909901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7EE9960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622E468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24540F0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47D1F1B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5C32AF5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1F7E008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3FE776B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2DC30AE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right w:val="single" w:sz="4" w:space="0" w:color="auto"/>
                                  </w:tcBorders>
                                  <w:shd w:val="clear" w:color="auto" w:fill="auto"/>
                                  <w:noWrap/>
                                  <w:vAlign w:val="bottom"/>
                                </w:tcPr>
                                <w:p w14:paraId="2E85018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0</w:t>
                                  </w:r>
                                </w:p>
                              </w:tc>
                            </w:tr>
                            <w:tr w:rsidR="002668C9" w:rsidRPr="007272BF" w14:paraId="2C23D1E3" w14:textId="77777777" w:rsidTr="00880152">
                              <w:trPr>
                                <w:trHeight w:val="290"/>
                              </w:trPr>
                              <w:tc>
                                <w:tcPr>
                                  <w:tcW w:w="2068" w:type="dxa"/>
                                  <w:tcBorders>
                                    <w:top w:val="nil"/>
                                    <w:left w:val="single" w:sz="4" w:space="0" w:color="auto"/>
                                    <w:bottom w:val="single" w:sz="4" w:space="0" w:color="auto"/>
                                    <w:right w:val="single" w:sz="4" w:space="0" w:color="auto"/>
                                  </w:tcBorders>
                                  <w:shd w:val="clear" w:color="auto" w:fill="auto"/>
                                  <w:noWrap/>
                                  <w:vAlign w:val="bottom"/>
                                </w:tcPr>
                                <w:p w14:paraId="532E011D"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Schreiber, 2016</w:t>
                                  </w:r>
                                </w:p>
                              </w:tc>
                              <w:tc>
                                <w:tcPr>
                                  <w:tcW w:w="960" w:type="dxa"/>
                                  <w:tcBorders>
                                    <w:top w:val="nil"/>
                                    <w:left w:val="nil"/>
                                    <w:bottom w:val="single" w:sz="4" w:space="0" w:color="auto"/>
                                    <w:right w:val="single" w:sz="4" w:space="0" w:color="auto"/>
                                  </w:tcBorders>
                                  <w:shd w:val="clear" w:color="auto" w:fill="auto"/>
                                  <w:noWrap/>
                                  <w:vAlign w:val="bottom"/>
                                </w:tcPr>
                                <w:p w14:paraId="26ED960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03A1FC0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784ECF8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027BEA8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66E0DBF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5B64536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32E1574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09DD76F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1028A79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02B2DE0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22FC313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single" w:sz="4" w:space="0" w:color="auto"/>
                                    <w:right w:val="single" w:sz="4" w:space="0" w:color="auto"/>
                                  </w:tcBorders>
                                  <w:shd w:val="clear" w:color="auto" w:fill="auto"/>
                                  <w:noWrap/>
                                  <w:vAlign w:val="bottom"/>
                                </w:tcPr>
                                <w:p w14:paraId="3FF81AA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0</w:t>
                                  </w:r>
                                </w:p>
                              </w:tc>
                            </w:tr>
                            <w:bookmarkEnd w:id="22"/>
                          </w:tbl>
                          <w:p w14:paraId="7537BB0B" w14:textId="77777777" w:rsidR="002668C9" w:rsidRDefault="002668C9" w:rsidP="002668C9">
                            <w:pPr>
                              <w:rPr>
                                <w:rFonts w:asciiTheme="minorHAnsi" w:eastAsia="Times New Roman" w:hAnsiTheme="minorHAnsi" w:cs="Calibri"/>
                              </w:rPr>
                            </w:pPr>
                          </w:p>
                          <w:p w14:paraId="760F7D12" w14:textId="77777777" w:rsidR="002668C9" w:rsidRDefault="002668C9" w:rsidP="002668C9"/>
                          <w:p w14:paraId="4B3E00EB" w14:textId="77777777" w:rsidR="002668C9" w:rsidRPr="00F177D8" w:rsidRDefault="002668C9" w:rsidP="002668C9"/>
                        </w:txbxContent>
                      </wps:txbx>
                      <wps:bodyPr rot="0" vert="horz" wrap="square" lIns="91440" tIns="45720" rIns="91440" bIns="45720" anchor="t" anchorCtr="0">
                        <a:noAutofit/>
                      </wps:bodyPr>
                    </wps:wsp>
                  </a:graphicData>
                </a:graphic>
              </wp:inline>
            </w:drawing>
          </mc:Choice>
          <mc:Fallback>
            <w:pict>
              <v:shape w14:anchorId="5BD6A413" id="Text Box 52" o:spid="_x0000_s1028" type="#_x0000_t202" style="width:692.45pt;height:413.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dRGAIAAA0EAAAOAAAAZHJzL2Uyb0RvYy54bWysU82O0zAQviPxDpbvNG3VdrdR09XSpQhp&#10;WZAWHsBxnMbC8Zix26Q8PWMndAvcED5Ynh9/M/PNzOaubw07KfQabMFnkylnykqotD0U/OuX/Ztb&#10;znwQthIGrCr4WXl+t339atO5XM2hAVMpZARifd65gjchuDzLvGxUK/wEnLJkrAFbEUjEQ1ah6Ai9&#10;Ndl8Ol1lHWDlEKTynrQPg5FvE35dKxk+1bVXgZmCU24h3ZjuMt7ZdiPyAwrXaDmmIf4hi1ZoS0Ev&#10;UA8iCHZE/RdUqyWChzpMJLQZ1LWWKtVA1cymf1Tz3AinUi1EjncXmvz/g5VPp2f3GVno30JPDUxF&#10;ePcI8ptnFnaNsAd1jwhdo0RFgWeRsqxzPh+/Rqp97iNI2X2EiposjgESUF9jyxCI9dmKukUnqals&#10;RsGoH+dLD1QfmCTl7c16MV3POZNkW86Xq/gphhR5RIscO/ThvYKWxUfBkZqcYMXp0YfB9ZdLdPdg&#10;dLXXxiQBD+XOIDsJGoh9OiP6b27Gsq7ga4qfkC3E/2lWWh1oYI1uKdWhoqSO7LyzVXoHoc3wpqSN&#10;HemKDA1chb7sma4KPo+hI3slVGfiLzFFrNA+UV0N4A/OOprNgvvvR4GKM/PBUg/Ws8UiDnMSFsub&#10;OQl4bSmvLcJKgip44Gx47kJagEiHhXvqVa0TbS+ZjCnTzCXix/2IQ30tJ6+XLd7+BAAA//8DAFBL&#10;AwQUAAYACAAAACEAuwLDd98AAAAGAQAADwAAAGRycy9kb3ducmV2LnhtbEyPT0vDQBDF74LfYRnB&#10;i9iNtTRpzKZI8Q+9CFYRettmxySYnQ3ZaRv99I5e9PJgeI/3flMsR9+pAw6xDWTgapKAQqqCa6k2&#10;8Ppyf5mBimzJ2S4QGvjECMvy9KSwuQtHesbDhmslJRRza6Bh7nOtY9Wgt3ESeiTx3sPgLcs51NoN&#10;9ijlvtPTJJlrb1uShcb2uGqw+tjsvYH08Wm+5ZX/arcPyXpxd+HX/ezNmPOz8fYGFOPIf2H4wRd0&#10;KIVpF/bkouoMyCP8q+Jl0zQFtZPQdTZbgC4L/R+//AYAAP//AwBQSwECLQAUAAYACAAAACEAtoM4&#10;kv4AAADhAQAAEwAAAAAAAAAAAAAAAAAAAAAAW0NvbnRlbnRfVHlwZXNdLnhtbFBLAQItABQABgAI&#10;AAAAIQA4/SH/1gAAAJQBAAALAAAAAAAAAAAAAAAAAC8BAABfcmVscy8ucmVsc1BLAQItABQABgAI&#10;AAAAIQDNj0dRGAIAAA0EAAAOAAAAAAAAAAAAAAAAAC4CAABkcnMvZTJvRG9jLnhtbFBLAQItABQA&#10;BgAIAAAAIQC7AsN33wAAAAYBAAAPAAAAAAAAAAAAAAAAAHIEAABkcnMvZG93bnJldi54bWxQSwUG&#10;AAAAAAQABADzAAAAfgUAAAAA&#10;" stroked="f">
                <v:textbox>
                  <w:txbxContent>
                    <w:p w14:paraId="19849D9A" w14:textId="1D36A52A" w:rsidR="002668C9" w:rsidRDefault="002668C9" w:rsidP="002668C9">
                      <w:pPr>
                        <w:pStyle w:val="Caption"/>
                        <w:keepNext/>
                        <w:spacing w:line="360" w:lineRule="auto"/>
                      </w:pPr>
                      <w:r>
                        <w:t>Supplementary Table 1: Key criteria coverage across documents summary</w:t>
                      </w:r>
                    </w:p>
                    <w:tbl>
                      <w:tblPr>
                        <w:tblW w:w="13346" w:type="dxa"/>
                        <w:tblLook w:val="04A0" w:firstRow="1" w:lastRow="0" w:firstColumn="1" w:lastColumn="0" w:noHBand="0" w:noVBand="1"/>
                      </w:tblPr>
                      <w:tblGrid>
                        <w:gridCol w:w="2068"/>
                        <w:gridCol w:w="960"/>
                        <w:gridCol w:w="960"/>
                        <w:gridCol w:w="960"/>
                        <w:gridCol w:w="960"/>
                        <w:gridCol w:w="960"/>
                        <w:gridCol w:w="960"/>
                        <w:gridCol w:w="960"/>
                        <w:gridCol w:w="960"/>
                        <w:gridCol w:w="960"/>
                        <w:gridCol w:w="960"/>
                        <w:gridCol w:w="960"/>
                        <w:gridCol w:w="718"/>
                      </w:tblGrid>
                      <w:tr w:rsidR="002668C9" w:rsidRPr="007272BF" w14:paraId="01179B18" w14:textId="77777777" w:rsidTr="00EB36D2">
                        <w:trPr>
                          <w:trHeight w:val="290"/>
                          <w:tblHeader/>
                        </w:trPr>
                        <w:tc>
                          <w:tcPr>
                            <w:tcW w:w="20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F9EECE6" w14:textId="77777777" w:rsidR="002668C9" w:rsidRPr="007272BF"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Document</w:t>
                            </w:r>
                          </w:p>
                        </w:tc>
                        <w:tc>
                          <w:tcPr>
                            <w:tcW w:w="10560" w:type="dxa"/>
                            <w:gridSpan w:val="11"/>
                            <w:tcBorders>
                              <w:top w:val="single" w:sz="4" w:space="0" w:color="auto"/>
                              <w:left w:val="nil"/>
                              <w:bottom w:val="single" w:sz="4" w:space="0" w:color="auto"/>
                              <w:right w:val="single" w:sz="4" w:space="0" w:color="auto"/>
                            </w:tcBorders>
                            <w:shd w:val="clear" w:color="auto" w:fill="auto"/>
                            <w:noWrap/>
                            <w:vAlign w:val="bottom"/>
                            <w:hideMark/>
                          </w:tcPr>
                          <w:p w14:paraId="5EF2DFC3" w14:textId="77777777" w:rsidR="002668C9" w:rsidRPr="00792B07" w:rsidRDefault="002668C9" w:rsidP="0074418A">
                            <w:pPr>
                              <w:jc w:val="center"/>
                              <w:rPr>
                                <w:rFonts w:eastAsia="Times New Roman" w:cs="Times New Roman"/>
                                <w:b/>
                                <w:bCs/>
                                <w:color w:val="000000"/>
                                <w:vertAlign w:val="superscript"/>
                                <w:lang w:eastAsia="en-GB"/>
                              </w:rPr>
                            </w:pPr>
                            <w:r w:rsidRPr="007272BF">
                              <w:rPr>
                                <w:rFonts w:eastAsia="Times New Roman" w:cs="Times New Roman"/>
                                <w:b/>
                                <w:bCs/>
                                <w:color w:val="000000"/>
                                <w:lang w:eastAsia="en-GB"/>
                              </w:rPr>
                              <w:t>Key criteria</w:t>
                            </w:r>
                            <w:r>
                              <w:rPr>
                                <w:rFonts w:eastAsia="Times New Roman" w:cs="Times New Roman"/>
                                <w:b/>
                                <w:bCs/>
                                <w:color w:val="000000"/>
                                <w:lang w:eastAsia="en-GB"/>
                              </w:rPr>
                              <w:t xml:space="preserve"> </w:t>
                            </w:r>
                            <w:r>
                              <w:rPr>
                                <w:rFonts w:eastAsia="Times New Roman" w:cs="Times New Roman"/>
                                <w:b/>
                                <w:bCs/>
                                <w:color w:val="000000"/>
                                <w:vertAlign w:val="superscript"/>
                                <w:lang w:eastAsia="en-GB"/>
                              </w:rPr>
                              <w:t>A</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F1C20" w14:textId="77777777" w:rsidR="002668C9"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Total</w:t>
                            </w:r>
                          </w:p>
                          <w:p w14:paraId="7566BAC2" w14:textId="77777777" w:rsidR="002668C9" w:rsidRPr="007272BF" w:rsidRDefault="002668C9" w:rsidP="0074418A">
                            <w:pPr>
                              <w:jc w:val="center"/>
                              <w:rPr>
                                <w:rFonts w:eastAsia="Times New Roman" w:cs="Times New Roman"/>
                                <w:bCs/>
                                <w:color w:val="000000"/>
                                <w:lang w:eastAsia="en-GB"/>
                              </w:rPr>
                            </w:pPr>
                            <w:r>
                              <w:rPr>
                                <w:rFonts w:eastAsia="Times New Roman" w:cs="Times New Roman"/>
                                <w:bCs/>
                                <w:color w:val="000000"/>
                                <w:lang w:eastAsia="en-GB"/>
                              </w:rPr>
                              <w:t>n</w:t>
                            </w:r>
                          </w:p>
                        </w:tc>
                      </w:tr>
                      <w:tr w:rsidR="002668C9" w:rsidRPr="007272BF" w14:paraId="48BA0B5D" w14:textId="77777777" w:rsidTr="00EB36D2">
                        <w:trPr>
                          <w:trHeight w:val="290"/>
                          <w:tblHeader/>
                        </w:trPr>
                        <w:tc>
                          <w:tcPr>
                            <w:tcW w:w="2068" w:type="dxa"/>
                            <w:vMerge/>
                            <w:tcBorders>
                              <w:top w:val="single" w:sz="4" w:space="0" w:color="auto"/>
                              <w:left w:val="single" w:sz="4" w:space="0" w:color="auto"/>
                              <w:bottom w:val="single" w:sz="4" w:space="0" w:color="000000"/>
                              <w:right w:val="single" w:sz="4" w:space="0" w:color="auto"/>
                            </w:tcBorders>
                            <w:vAlign w:val="center"/>
                            <w:hideMark/>
                          </w:tcPr>
                          <w:p w14:paraId="01A58984" w14:textId="77777777" w:rsidR="002668C9" w:rsidRPr="007272BF" w:rsidRDefault="002668C9" w:rsidP="0074418A">
                            <w:pPr>
                              <w:rPr>
                                <w:rFonts w:eastAsia="Times New Roman" w:cs="Times New Roman"/>
                                <w:b/>
                                <w:bCs/>
                                <w:color w:val="000000"/>
                                <w:lang w:eastAsia="en-GB"/>
                              </w:rPr>
                            </w:pP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6993D5C" w14:textId="77777777" w:rsidR="002668C9" w:rsidRPr="007272BF"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Design</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FD3BE6E" w14:textId="77777777" w:rsidR="002668C9" w:rsidRPr="007272BF"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Analysis</w:t>
                            </w:r>
                          </w:p>
                        </w:tc>
                        <w:tc>
                          <w:tcPr>
                            <w:tcW w:w="718" w:type="dxa"/>
                            <w:vMerge/>
                            <w:tcBorders>
                              <w:top w:val="single" w:sz="4" w:space="0" w:color="auto"/>
                              <w:left w:val="single" w:sz="4" w:space="0" w:color="auto"/>
                              <w:bottom w:val="single" w:sz="4" w:space="0" w:color="auto"/>
                              <w:right w:val="single" w:sz="4" w:space="0" w:color="auto"/>
                            </w:tcBorders>
                            <w:vAlign w:val="center"/>
                            <w:hideMark/>
                          </w:tcPr>
                          <w:p w14:paraId="793D88E7" w14:textId="77777777" w:rsidR="002668C9" w:rsidRPr="007272BF" w:rsidRDefault="002668C9" w:rsidP="0074418A">
                            <w:pPr>
                              <w:rPr>
                                <w:rFonts w:eastAsia="Times New Roman" w:cs="Times New Roman"/>
                                <w:b/>
                                <w:bCs/>
                                <w:color w:val="000000"/>
                                <w:lang w:eastAsia="en-GB"/>
                              </w:rPr>
                            </w:pPr>
                          </w:p>
                        </w:tc>
                      </w:tr>
                      <w:tr w:rsidR="002668C9" w:rsidRPr="007272BF" w14:paraId="1A3D4F80" w14:textId="77777777" w:rsidTr="00EB36D2">
                        <w:trPr>
                          <w:trHeight w:val="290"/>
                          <w:tblHeader/>
                        </w:trPr>
                        <w:tc>
                          <w:tcPr>
                            <w:tcW w:w="2068" w:type="dxa"/>
                            <w:vMerge/>
                            <w:tcBorders>
                              <w:top w:val="single" w:sz="4" w:space="0" w:color="auto"/>
                              <w:left w:val="single" w:sz="4" w:space="0" w:color="auto"/>
                              <w:bottom w:val="single" w:sz="4" w:space="0" w:color="000000"/>
                              <w:right w:val="single" w:sz="4" w:space="0" w:color="auto"/>
                            </w:tcBorders>
                            <w:vAlign w:val="center"/>
                            <w:hideMark/>
                          </w:tcPr>
                          <w:p w14:paraId="2452DBF5" w14:textId="77777777" w:rsidR="002668C9" w:rsidRPr="007272BF" w:rsidRDefault="002668C9" w:rsidP="0074418A">
                            <w:pPr>
                              <w:rPr>
                                <w:rFonts w:eastAsia="Times New Roman" w:cs="Times New Roman"/>
                                <w:b/>
                                <w:bCs/>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19CD126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D1</w:t>
                            </w:r>
                          </w:p>
                        </w:tc>
                        <w:tc>
                          <w:tcPr>
                            <w:tcW w:w="960" w:type="dxa"/>
                            <w:tcBorders>
                              <w:top w:val="nil"/>
                              <w:left w:val="nil"/>
                              <w:bottom w:val="single" w:sz="4" w:space="0" w:color="auto"/>
                              <w:right w:val="single" w:sz="4" w:space="0" w:color="auto"/>
                            </w:tcBorders>
                            <w:shd w:val="clear" w:color="auto" w:fill="auto"/>
                            <w:noWrap/>
                            <w:vAlign w:val="bottom"/>
                            <w:hideMark/>
                          </w:tcPr>
                          <w:p w14:paraId="6B48EA4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D2</w:t>
                            </w:r>
                          </w:p>
                        </w:tc>
                        <w:tc>
                          <w:tcPr>
                            <w:tcW w:w="960" w:type="dxa"/>
                            <w:tcBorders>
                              <w:top w:val="nil"/>
                              <w:left w:val="nil"/>
                              <w:bottom w:val="single" w:sz="4" w:space="0" w:color="auto"/>
                              <w:right w:val="single" w:sz="4" w:space="0" w:color="auto"/>
                            </w:tcBorders>
                            <w:shd w:val="clear" w:color="auto" w:fill="auto"/>
                            <w:noWrap/>
                            <w:vAlign w:val="bottom"/>
                            <w:hideMark/>
                          </w:tcPr>
                          <w:p w14:paraId="6750FB0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D3</w:t>
                            </w:r>
                          </w:p>
                        </w:tc>
                        <w:tc>
                          <w:tcPr>
                            <w:tcW w:w="960" w:type="dxa"/>
                            <w:tcBorders>
                              <w:top w:val="nil"/>
                              <w:left w:val="nil"/>
                              <w:bottom w:val="single" w:sz="4" w:space="0" w:color="auto"/>
                              <w:right w:val="single" w:sz="4" w:space="0" w:color="auto"/>
                            </w:tcBorders>
                            <w:shd w:val="clear" w:color="auto" w:fill="auto"/>
                            <w:noWrap/>
                            <w:vAlign w:val="bottom"/>
                            <w:hideMark/>
                          </w:tcPr>
                          <w:p w14:paraId="28BB86A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D4</w:t>
                            </w:r>
                          </w:p>
                        </w:tc>
                        <w:tc>
                          <w:tcPr>
                            <w:tcW w:w="960" w:type="dxa"/>
                            <w:tcBorders>
                              <w:top w:val="nil"/>
                              <w:left w:val="nil"/>
                              <w:bottom w:val="single" w:sz="4" w:space="0" w:color="auto"/>
                              <w:right w:val="single" w:sz="4" w:space="0" w:color="auto"/>
                            </w:tcBorders>
                            <w:shd w:val="clear" w:color="auto" w:fill="auto"/>
                            <w:noWrap/>
                            <w:vAlign w:val="bottom"/>
                            <w:hideMark/>
                          </w:tcPr>
                          <w:p w14:paraId="3D2A5EB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D5</w:t>
                            </w:r>
                          </w:p>
                        </w:tc>
                        <w:tc>
                          <w:tcPr>
                            <w:tcW w:w="960" w:type="dxa"/>
                            <w:tcBorders>
                              <w:top w:val="nil"/>
                              <w:left w:val="nil"/>
                              <w:bottom w:val="single" w:sz="4" w:space="0" w:color="auto"/>
                              <w:right w:val="single" w:sz="4" w:space="0" w:color="auto"/>
                            </w:tcBorders>
                            <w:shd w:val="clear" w:color="auto" w:fill="auto"/>
                            <w:noWrap/>
                            <w:vAlign w:val="bottom"/>
                            <w:hideMark/>
                          </w:tcPr>
                          <w:p w14:paraId="1D811B8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D6</w:t>
                            </w:r>
                          </w:p>
                        </w:tc>
                        <w:tc>
                          <w:tcPr>
                            <w:tcW w:w="960" w:type="dxa"/>
                            <w:tcBorders>
                              <w:top w:val="nil"/>
                              <w:left w:val="nil"/>
                              <w:bottom w:val="single" w:sz="4" w:space="0" w:color="auto"/>
                              <w:right w:val="single" w:sz="4" w:space="0" w:color="auto"/>
                            </w:tcBorders>
                            <w:shd w:val="clear" w:color="auto" w:fill="auto"/>
                            <w:noWrap/>
                            <w:vAlign w:val="bottom"/>
                            <w:hideMark/>
                          </w:tcPr>
                          <w:p w14:paraId="7D08E91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A1</w:t>
                            </w:r>
                          </w:p>
                        </w:tc>
                        <w:tc>
                          <w:tcPr>
                            <w:tcW w:w="960" w:type="dxa"/>
                            <w:tcBorders>
                              <w:top w:val="nil"/>
                              <w:left w:val="nil"/>
                              <w:bottom w:val="single" w:sz="4" w:space="0" w:color="auto"/>
                              <w:right w:val="single" w:sz="4" w:space="0" w:color="auto"/>
                            </w:tcBorders>
                            <w:shd w:val="clear" w:color="auto" w:fill="auto"/>
                            <w:noWrap/>
                            <w:vAlign w:val="bottom"/>
                            <w:hideMark/>
                          </w:tcPr>
                          <w:p w14:paraId="59E337A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A2</w:t>
                            </w:r>
                          </w:p>
                        </w:tc>
                        <w:tc>
                          <w:tcPr>
                            <w:tcW w:w="960" w:type="dxa"/>
                            <w:tcBorders>
                              <w:top w:val="nil"/>
                              <w:left w:val="nil"/>
                              <w:bottom w:val="single" w:sz="4" w:space="0" w:color="auto"/>
                              <w:right w:val="single" w:sz="4" w:space="0" w:color="auto"/>
                            </w:tcBorders>
                            <w:shd w:val="clear" w:color="auto" w:fill="auto"/>
                            <w:noWrap/>
                            <w:vAlign w:val="bottom"/>
                            <w:hideMark/>
                          </w:tcPr>
                          <w:p w14:paraId="7CD9E35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A3</w:t>
                            </w:r>
                          </w:p>
                        </w:tc>
                        <w:tc>
                          <w:tcPr>
                            <w:tcW w:w="960" w:type="dxa"/>
                            <w:tcBorders>
                              <w:top w:val="nil"/>
                              <w:left w:val="nil"/>
                              <w:bottom w:val="single" w:sz="4" w:space="0" w:color="auto"/>
                              <w:right w:val="single" w:sz="4" w:space="0" w:color="auto"/>
                            </w:tcBorders>
                            <w:shd w:val="clear" w:color="auto" w:fill="auto"/>
                            <w:noWrap/>
                            <w:vAlign w:val="bottom"/>
                            <w:hideMark/>
                          </w:tcPr>
                          <w:p w14:paraId="4DF3883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A4</w:t>
                            </w:r>
                          </w:p>
                        </w:tc>
                        <w:tc>
                          <w:tcPr>
                            <w:tcW w:w="960" w:type="dxa"/>
                            <w:tcBorders>
                              <w:top w:val="nil"/>
                              <w:left w:val="nil"/>
                              <w:bottom w:val="single" w:sz="4" w:space="0" w:color="auto"/>
                              <w:right w:val="single" w:sz="4" w:space="0" w:color="auto"/>
                            </w:tcBorders>
                            <w:shd w:val="clear" w:color="auto" w:fill="auto"/>
                            <w:noWrap/>
                            <w:vAlign w:val="bottom"/>
                            <w:hideMark/>
                          </w:tcPr>
                          <w:p w14:paraId="12BDEA3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A5</w:t>
                            </w:r>
                          </w:p>
                        </w:tc>
                        <w:tc>
                          <w:tcPr>
                            <w:tcW w:w="718" w:type="dxa"/>
                            <w:vMerge/>
                            <w:tcBorders>
                              <w:top w:val="single" w:sz="4" w:space="0" w:color="auto"/>
                              <w:left w:val="single" w:sz="4" w:space="0" w:color="auto"/>
                              <w:bottom w:val="single" w:sz="4" w:space="0" w:color="auto"/>
                              <w:right w:val="single" w:sz="4" w:space="0" w:color="auto"/>
                            </w:tcBorders>
                            <w:vAlign w:val="center"/>
                            <w:hideMark/>
                          </w:tcPr>
                          <w:p w14:paraId="1ACF3552" w14:textId="77777777" w:rsidR="002668C9" w:rsidRPr="007272BF" w:rsidRDefault="002668C9" w:rsidP="0074418A">
                            <w:pPr>
                              <w:rPr>
                                <w:rFonts w:eastAsia="Times New Roman" w:cs="Times New Roman"/>
                                <w:b/>
                                <w:bCs/>
                                <w:color w:val="000000"/>
                                <w:lang w:eastAsia="en-GB"/>
                              </w:rPr>
                            </w:pPr>
                          </w:p>
                        </w:tc>
                      </w:tr>
                      <w:tr w:rsidR="002668C9" w:rsidRPr="007272BF" w14:paraId="45E15A37" w14:textId="77777777" w:rsidTr="00613B9B">
                        <w:trPr>
                          <w:trHeight w:val="290"/>
                        </w:trPr>
                        <w:tc>
                          <w:tcPr>
                            <w:tcW w:w="2068" w:type="dxa"/>
                            <w:tcBorders>
                              <w:top w:val="nil"/>
                              <w:left w:val="single" w:sz="4" w:space="0" w:color="auto"/>
                              <w:bottom w:val="nil"/>
                              <w:right w:val="single" w:sz="4" w:space="0" w:color="auto"/>
                            </w:tcBorders>
                            <w:shd w:val="clear" w:color="auto" w:fill="auto"/>
                            <w:noWrap/>
                            <w:vAlign w:val="bottom"/>
                          </w:tcPr>
                          <w:p w14:paraId="3D1FAAA1" w14:textId="77777777" w:rsidR="002668C9" w:rsidRPr="007272BF" w:rsidRDefault="002668C9" w:rsidP="0074418A">
                            <w:pPr>
                              <w:rPr>
                                <w:rFonts w:eastAsia="Times New Roman" w:cs="Times New Roman"/>
                                <w:i/>
                                <w:iCs/>
                                <w:color w:val="000000"/>
                                <w:lang w:eastAsia="en-GB"/>
                              </w:rPr>
                            </w:pPr>
                            <w:bookmarkStart w:id="23" w:name="_Hlk95909159"/>
                            <w:r w:rsidRPr="007272BF">
                              <w:rPr>
                                <w:rFonts w:eastAsia="Times New Roman" w:cs="Times New Roman"/>
                                <w:i/>
                                <w:iCs/>
                                <w:color w:val="000000"/>
                                <w:lang w:eastAsia="en-GB"/>
                              </w:rPr>
                              <w:t>ICH E8, 1998</w:t>
                            </w:r>
                          </w:p>
                        </w:tc>
                        <w:tc>
                          <w:tcPr>
                            <w:tcW w:w="960" w:type="dxa"/>
                            <w:tcBorders>
                              <w:top w:val="nil"/>
                              <w:left w:val="nil"/>
                              <w:bottom w:val="nil"/>
                              <w:right w:val="single" w:sz="4" w:space="0" w:color="auto"/>
                            </w:tcBorders>
                            <w:shd w:val="clear" w:color="auto" w:fill="auto"/>
                            <w:noWrap/>
                            <w:vAlign w:val="bottom"/>
                          </w:tcPr>
                          <w:p w14:paraId="02E1C71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2AA0A19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tcPr>
                          <w:p w14:paraId="6F62FF1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tcPr>
                          <w:p w14:paraId="43E0BD7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tcPr>
                          <w:p w14:paraId="1FD078C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BB67D9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2FD5AD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0C9267B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67A16BC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6B0E07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AA075B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tcPr>
                          <w:p w14:paraId="38D1060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2</w:t>
                            </w:r>
                          </w:p>
                        </w:tc>
                      </w:tr>
                      <w:tr w:rsidR="002668C9" w:rsidRPr="007272BF" w14:paraId="49158A5A" w14:textId="77777777" w:rsidTr="00613B9B">
                        <w:trPr>
                          <w:trHeight w:val="290"/>
                        </w:trPr>
                        <w:tc>
                          <w:tcPr>
                            <w:tcW w:w="2068" w:type="dxa"/>
                            <w:tcBorders>
                              <w:top w:val="nil"/>
                              <w:left w:val="single" w:sz="4" w:space="0" w:color="auto"/>
                              <w:bottom w:val="nil"/>
                              <w:right w:val="single" w:sz="4" w:space="0" w:color="auto"/>
                            </w:tcBorders>
                            <w:shd w:val="clear" w:color="auto" w:fill="auto"/>
                            <w:noWrap/>
                            <w:vAlign w:val="bottom"/>
                          </w:tcPr>
                          <w:p w14:paraId="714ECCBD"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ICH E9, 1999</w:t>
                            </w:r>
                          </w:p>
                        </w:tc>
                        <w:tc>
                          <w:tcPr>
                            <w:tcW w:w="960" w:type="dxa"/>
                            <w:tcBorders>
                              <w:top w:val="nil"/>
                              <w:left w:val="nil"/>
                              <w:bottom w:val="nil"/>
                              <w:right w:val="single" w:sz="4" w:space="0" w:color="auto"/>
                            </w:tcBorders>
                            <w:shd w:val="clear" w:color="auto" w:fill="D0CECE" w:themeFill="background2" w:themeFillShade="E6"/>
                            <w:noWrap/>
                            <w:vAlign w:val="bottom"/>
                          </w:tcPr>
                          <w:p w14:paraId="771169E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tcPr>
                          <w:p w14:paraId="72192E9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tcPr>
                          <w:p w14:paraId="4B1C548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tcPr>
                          <w:p w14:paraId="18E4AA5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tcPr>
                          <w:p w14:paraId="1768CFB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tcPr>
                          <w:p w14:paraId="2AF6353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tcPr>
                          <w:p w14:paraId="42654C1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tcPr>
                          <w:p w14:paraId="4325BE0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tcPr>
                          <w:p w14:paraId="19F866B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tcPr>
                          <w:p w14:paraId="698A4A1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7948F74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tcPr>
                          <w:p w14:paraId="7F4304A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8</w:t>
                            </w:r>
                          </w:p>
                        </w:tc>
                      </w:tr>
                      <w:tr w:rsidR="002668C9" w:rsidRPr="007272BF" w14:paraId="0144E77F" w14:textId="77777777" w:rsidTr="00613B9B">
                        <w:trPr>
                          <w:trHeight w:val="290"/>
                        </w:trPr>
                        <w:tc>
                          <w:tcPr>
                            <w:tcW w:w="2068" w:type="dxa"/>
                            <w:tcBorders>
                              <w:top w:val="nil"/>
                              <w:left w:val="single" w:sz="4" w:space="0" w:color="auto"/>
                              <w:bottom w:val="nil"/>
                              <w:right w:val="single" w:sz="4" w:space="0" w:color="auto"/>
                            </w:tcBorders>
                            <w:shd w:val="clear" w:color="auto" w:fill="auto"/>
                            <w:noWrap/>
                            <w:vAlign w:val="bottom"/>
                          </w:tcPr>
                          <w:p w14:paraId="5A696DE5"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Jackson, 2010</w:t>
                            </w:r>
                          </w:p>
                        </w:tc>
                        <w:tc>
                          <w:tcPr>
                            <w:tcW w:w="960" w:type="dxa"/>
                            <w:tcBorders>
                              <w:top w:val="nil"/>
                              <w:left w:val="nil"/>
                              <w:bottom w:val="nil"/>
                              <w:right w:val="single" w:sz="4" w:space="0" w:color="auto"/>
                            </w:tcBorders>
                            <w:shd w:val="clear" w:color="auto" w:fill="D0CECE" w:themeFill="background2" w:themeFillShade="E6"/>
                            <w:noWrap/>
                            <w:vAlign w:val="bottom"/>
                          </w:tcPr>
                          <w:p w14:paraId="19A9C3C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tcPr>
                          <w:p w14:paraId="20C998F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tcPr>
                          <w:p w14:paraId="70FE217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60575F2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tcPr>
                          <w:p w14:paraId="12EA0B3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tcPr>
                          <w:p w14:paraId="37BC679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51DDD67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679037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2B87F36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tcPr>
                          <w:p w14:paraId="1992AA1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tcPr>
                          <w:p w14:paraId="2A92FF4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718" w:type="dxa"/>
                            <w:tcBorders>
                              <w:top w:val="nil"/>
                              <w:left w:val="nil"/>
                              <w:bottom w:val="nil"/>
                              <w:right w:val="single" w:sz="4" w:space="0" w:color="auto"/>
                            </w:tcBorders>
                            <w:shd w:val="clear" w:color="auto" w:fill="auto"/>
                            <w:noWrap/>
                            <w:vAlign w:val="bottom"/>
                          </w:tcPr>
                          <w:p w14:paraId="6457397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5</w:t>
                            </w:r>
                          </w:p>
                        </w:tc>
                      </w:tr>
                      <w:tr w:rsidR="002668C9" w:rsidRPr="007272BF" w14:paraId="458FF5ED" w14:textId="77777777" w:rsidTr="0074418A">
                        <w:trPr>
                          <w:trHeight w:val="290"/>
                        </w:trPr>
                        <w:tc>
                          <w:tcPr>
                            <w:tcW w:w="2068" w:type="dxa"/>
                            <w:tcBorders>
                              <w:top w:val="nil"/>
                              <w:left w:val="single" w:sz="4" w:space="0" w:color="auto"/>
                              <w:bottom w:val="nil"/>
                              <w:right w:val="single" w:sz="4" w:space="0" w:color="auto"/>
                            </w:tcBorders>
                            <w:shd w:val="clear" w:color="auto" w:fill="auto"/>
                            <w:noWrap/>
                            <w:vAlign w:val="bottom"/>
                          </w:tcPr>
                          <w:p w14:paraId="4B71B55F"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Jager, 2011</w:t>
                            </w:r>
                          </w:p>
                        </w:tc>
                        <w:tc>
                          <w:tcPr>
                            <w:tcW w:w="960" w:type="dxa"/>
                            <w:tcBorders>
                              <w:top w:val="nil"/>
                              <w:left w:val="nil"/>
                              <w:bottom w:val="nil"/>
                              <w:right w:val="single" w:sz="4" w:space="0" w:color="auto"/>
                            </w:tcBorders>
                            <w:shd w:val="clear" w:color="auto" w:fill="auto"/>
                            <w:noWrap/>
                            <w:vAlign w:val="bottom"/>
                          </w:tcPr>
                          <w:p w14:paraId="6447ED3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664CF1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5468A8D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E2184D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76F1EBF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9F5737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85B59E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039492D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75D2041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4F4CDB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0E849EA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tcPr>
                          <w:p w14:paraId="10C736D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0</w:t>
                            </w:r>
                          </w:p>
                        </w:tc>
                      </w:tr>
                      <w:tr w:rsidR="002668C9" w:rsidRPr="007272BF" w14:paraId="380119BB" w14:textId="77777777" w:rsidTr="0074418A">
                        <w:trPr>
                          <w:trHeight w:val="290"/>
                        </w:trPr>
                        <w:tc>
                          <w:tcPr>
                            <w:tcW w:w="2068" w:type="dxa"/>
                            <w:tcBorders>
                              <w:top w:val="nil"/>
                              <w:left w:val="single" w:sz="4" w:space="0" w:color="auto"/>
                              <w:bottom w:val="nil"/>
                              <w:right w:val="single" w:sz="4" w:space="0" w:color="auto"/>
                            </w:tcBorders>
                            <w:shd w:val="clear" w:color="auto" w:fill="auto"/>
                            <w:noWrap/>
                            <w:vAlign w:val="bottom"/>
                          </w:tcPr>
                          <w:p w14:paraId="3EDA6FCC"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Gamble, 2017</w:t>
                            </w:r>
                          </w:p>
                        </w:tc>
                        <w:tc>
                          <w:tcPr>
                            <w:tcW w:w="960" w:type="dxa"/>
                            <w:tcBorders>
                              <w:top w:val="nil"/>
                              <w:left w:val="nil"/>
                              <w:bottom w:val="nil"/>
                              <w:right w:val="single" w:sz="4" w:space="0" w:color="auto"/>
                            </w:tcBorders>
                            <w:shd w:val="clear" w:color="auto" w:fill="auto"/>
                            <w:noWrap/>
                            <w:vAlign w:val="bottom"/>
                          </w:tcPr>
                          <w:p w14:paraId="5CFFB1C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585358B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07F13E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762BAAA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043EE72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7C36308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5EFE2A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ED75BE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6EDF6C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220F0C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4C2F7B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tcPr>
                          <w:p w14:paraId="36A6CC8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0</w:t>
                            </w:r>
                          </w:p>
                        </w:tc>
                      </w:tr>
                      <w:tr w:rsidR="002668C9" w:rsidRPr="007272BF" w14:paraId="1482AF52" w14:textId="77777777" w:rsidTr="0074418A">
                        <w:trPr>
                          <w:trHeight w:val="290"/>
                        </w:trPr>
                        <w:tc>
                          <w:tcPr>
                            <w:tcW w:w="2068" w:type="dxa"/>
                            <w:tcBorders>
                              <w:top w:val="nil"/>
                              <w:left w:val="single" w:sz="4" w:space="0" w:color="auto"/>
                              <w:bottom w:val="nil"/>
                              <w:right w:val="single" w:sz="4" w:space="0" w:color="auto"/>
                            </w:tcBorders>
                            <w:shd w:val="clear" w:color="auto" w:fill="auto"/>
                            <w:noWrap/>
                            <w:vAlign w:val="bottom"/>
                          </w:tcPr>
                          <w:p w14:paraId="1D44E7BD"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Kalil, 2010</w:t>
                            </w:r>
                          </w:p>
                        </w:tc>
                        <w:tc>
                          <w:tcPr>
                            <w:tcW w:w="960" w:type="dxa"/>
                            <w:tcBorders>
                              <w:top w:val="nil"/>
                              <w:left w:val="nil"/>
                              <w:bottom w:val="nil"/>
                              <w:right w:val="single" w:sz="4" w:space="0" w:color="auto"/>
                            </w:tcBorders>
                            <w:shd w:val="clear" w:color="auto" w:fill="auto"/>
                            <w:noWrap/>
                            <w:vAlign w:val="bottom"/>
                          </w:tcPr>
                          <w:p w14:paraId="777AF81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38CF15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114304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E8C4C0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774CE87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5C7F84E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231AAA6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5107D70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4D12EC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57FCCFE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8C0A69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tcPr>
                          <w:p w14:paraId="31C2AD6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0</w:t>
                            </w:r>
                          </w:p>
                        </w:tc>
                      </w:tr>
                      <w:tr w:rsidR="002668C9" w:rsidRPr="007272BF" w14:paraId="3AC4A9DB" w14:textId="77777777" w:rsidTr="0074418A">
                        <w:trPr>
                          <w:trHeight w:val="290"/>
                        </w:trPr>
                        <w:tc>
                          <w:tcPr>
                            <w:tcW w:w="2068" w:type="dxa"/>
                            <w:tcBorders>
                              <w:top w:val="nil"/>
                              <w:left w:val="single" w:sz="4" w:space="0" w:color="auto"/>
                              <w:bottom w:val="nil"/>
                              <w:right w:val="single" w:sz="4" w:space="0" w:color="auto"/>
                            </w:tcBorders>
                            <w:shd w:val="clear" w:color="auto" w:fill="auto"/>
                            <w:noWrap/>
                            <w:vAlign w:val="bottom"/>
                          </w:tcPr>
                          <w:p w14:paraId="748C9608"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Kent, 2010</w:t>
                            </w:r>
                          </w:p>
                        </w:tc>
                        <w:tc>
                          <w:tcPr>
                            <w:tcW w:w="960" w:type="dxa"/>
                            <w:tcBorders>
                              <w:top w:val="nil"/>
                              <w:left w:val="nil"/>
                              <w:bottom w:val="nil"/>
                              <w:right w:val="single" w:sz="4" w:space="0" w:color="auto"/>
                            </w:tcBorders>
                            <w:shd w:val="clear" w:color="auto" w:fill="auto"/>
                            <w:noWrap/>
                            <w:vAlign w:val="bottom"/>
                          </w:tcPr>
                          <w:p w14:paraId="5064A86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09DDFE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03A42C6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C48A38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9B5E3F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71F7022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2C1A44F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06D4BDE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2A87132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AF681C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7DDD9B7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tcPr>
                          <w:p w14:paraId="39A2EF5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0</w:t>
                            </w:r>
                          </w:p>
                        </w:tc>
                      </w:tr>
                      <w:tr w:rsidR="002668C9" w:rsidRPr="007272BF" w14:paraId="4B4C1760" w14:textId="77777777" w:rsidTr="0074418A">
                        <w:trPr>
                          <w:trHeight w:val="290"/>
                        </w:trPr>
                        <w:tc>
                          <w:tcPr>
                            <w:tcW w:w="2068" w:type="dxa"/>
                            <w:tcBorders>
                              <w:top w:val="nil"/>
                              <w:left w:val="single" w:sz="4" w:space="0" w:color="auto"/>
                              <w:bottom w:val="nil"/>
                              <w:right w:val="single" w:sz="4" w:space="0" w:color="auto"/>
                            </w:tcBorders>
                            <w:shd w:val="clear" w:color="auto" w:fill="auto"/>
                            <w:noWrap/>
                            <w:vAlign w:val="bottom"/>
                          </w:tcPr>
                          <w:p w14:paraId="25B51AD1"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Lang, 2015</w:t>
                            </w:r>
                          </w:p>
                        </w:tc>
                        <w:tc>
                          <w:tcPr>
                            <w:tcW w:w="960" w:type="dxa"/>
                            <w:tcBorders>
                              <w:top w:val="nil"/>
                              <w:left w:val="nil"/>
                              <w:bottom w:val="nil"/>
                              <w:right w:val="single" w:sz="4" w:space="0" w:color="auto"/>
                            </w:tcBorders>
                            <w:shd w:val="clear" w:color="auto" w:fill="auto"/>
                            <w:noWrap/>
                            <w:vAlign w:val="bottom"/>
                          </w:tcPr>
                          <w:p w14:paraId="2FD278C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86F39C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E07C9C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2BD4AC4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8E15F6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916D7A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C5CE41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2A6EA7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87DEC9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21E92A8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09114B3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tcPr>
                          <w:p w14:paraId="777E81F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0</w:t>
                            </w:r>
                          </w:p>
                        </w:tc>
                      </w:tr>
                      <w:tr w:rsidR="002668C9" w:rsidRPr="007272BF" w14:paraId="3603E24A" w14:textId="77777777" w:rsidTr="0052553E">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41299E75" w14:textId="77777777" w:rsidR="002668C9" w:rsidRPr="007272BF" w:rsidRDefault="002668C9" w:rsidP="00880152">
                            <w:pPr>
                              <w:rPr>
                                <w:rFonts w:eastAsia="Times New Roman" w:cs="Times New Roman"/>
                                <w:i/>
                                <w:iCs/>
                                <w:color w:val="000000"/>
                                <w:lang w:eastAsia="en-GB"/>
                              </w:rPr>
                            </w:pPr>
                            <w:r w:rsidRPr="007272BF">
                              <w:rPr>
                                <w:rFonts w:eastAsia="Times New Roman" w:cs="Times New Roman"/>
                                <w:i/>
                                <w:iCs/>
                                <w:color w:val="000000"/>
                                <w:lang w:eastAsia="en-GB"/>
                              </w:rPr>
                              <w:t>MHRA, 2021</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74B0CD83"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DC900B8"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632D5C7F"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5E42632E"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33E3BCE5"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42D26739"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1CCEBADE"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41E3A33A"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54F9B3F9"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0A7A3160"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0CC4E228"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7824C76F"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4</w:t>
                            </w:r>
                          </w:p>
                        </w:tc>
                      </w:tr>
                      <w:tr w:rsidR="002668C9" w:rsidRPr="007272BF" w14:paraId="0BDEC584" w14:textId="77777777" w:rsidTr="0052553E">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4E0CF930" w14:textId="77777777" w:rsidR="002668C9" w:rsidRPr="007272BF" w:rsidRDefault="002668C9" w:rsidP="00880152">
                            <w:pPr>
                              <w:rPr>
                                <w:rFonts w:eastAsia="Times New Roman" w:cs="Times New Roman"/>
                                <w:i/>
                                <w:iCs/>
                                <w:color w:val="000000"/>
                                <w:lang w:eastAsia="en-GB"/>
                              </w:rPr>
                            </w:pPr>
                            <w:r w:rsidRPr="007272BF">
                              <w:rPr>
                                <w:rFonts w:eastAsia="Times New Roman" w:cs="Times New Roman"/>
                                <w:i/>
                                <w:iCs/>
                                <w:color w:val="000000"/>
                                <w:lang w:eastAsia="en-GB"/>
                              </w:rPr>
                              <w:t>NIHR Toolkit, 2016</w:t>
                            </w:r>
                          </w:p>
                        </w:tc>
                        <w:tc>
                          <w:tcPr>
                            <w:tcW w:w="960" w:type="dxa"/>
                            <w:tcBorders>
                              <w:top w:val="nil"/>
                              <w:left w:val="nil"/>
                              <w:bottom w:val="nil"/>
                              <w:right w:val="single" w:sz="4" w:space="0" w:color="auto"/>
                            </w:tcBorders>
                            <w:shd w:val="clear" w:color="auto" w:fill="auto"/>
                            <w:noWrap/>
                            <w:vAlign w:val="bottom"/>
                            <w:hideMark/>
                          </w:tcPr>
                          <w:p w14:paraId="62C08B24"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0FA6C2B7"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0B88A9C5"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14E5A264"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4893962B"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60F4C02B"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87D1594"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61B18E14"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3A481C2"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0912F048"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3698B6ED"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1BAE617D" w14:textId="77777777" w:rsidR="002668C9" w:rsidRPr="007272BF" w:rsidRDefault="002668C9" w:rsidP="00880152">
                            <w:pPr>
                              <w:jc w:val="center"/>
                              <w:rPr>
                                <w:rFonts w:eastAsia="Times New Roman" w:cs="Times New Roman"/>
                                <w:color w:val="000000"/>
                                <w:lang w:eastAsia="en-GB"/>
                              </w:rPr>
                            </w:pPr>
                            <w:r w:rsidRPr="007272BF">
                              <w:rPr>
                                <w:rFonts w:eastAsia="Times New Roman" w:cs="Times New Roman"/>
                                <w:color w:val="000000"/>
                                <w:lang w:eastAsia="en-GB"/>
                              </w:rPr>
                              <w:t>3</w:t>
                            </w:r>
                          </w:p>
                        </w:tc>
                      </w:tr>
                      <w:tr w:rsidR="002668C9" w:rsidRPr="007272BF" w14:paraId="3F985CD4" w14:textId="77777777" w:rsidTr="00880152">
                        <w:trPr>
                          <w:trHeight w:val="290"/>
                        </w:trPr>
                        <w:tc>
                          <w:tcPr>
                            <w:tcW w:w="2068" w:type="dxa"/>
                            <w:tcBorders>
                              <w:top w:val="nil"/>
                              <w:left w:val="single" w:sz="4" w:space="0" w:color="auto"/>
                              <w:right w:val="single" w:sz="4" w:space="0" w:color="auto"/>
                            </w:tcBorders>
                            <w:shd w:val="clear" w:color="auto" w:fill="auto"/>
                            <w:noWrap/>
                            <w:vAlign w:val="bottom"/>
                          </w:tcPr>
                          <w:p w14:paraId="7C4C08E7"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Schoot, 2017</w:t>
                            </w:r>
                          </w:p>
                        </w:tc>
                        <w:tc>
                          <w:tcPr>
                            <w:tcW w:w="960" w:type="dxa"/>
                            <w:tcBorders>
                              <w:top w:val="nil"/>
                              <w:left w:val="nil"/>
                              <w:right w:val="single" w:sz="4" w:space="0" w:color="auto"/>
                            </w:tcBorders>
                            <w:shd w:val="clear" w:color="auto" w:fill="auto"/>
                            <w:noWrap/>
                            <w:vAlign w:val="bottom"/>
                          </w:tcPr>
                          <w:p w14:paraId="0BFE8FB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3FDC147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7909901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7EE9960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622E468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24540F0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47D1F1B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5C32AF5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1F7E008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3FE776B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right w:val="single" w:sz="4" w:space="0" w:color="auto"/>
                            </w:tcBorders>
                            <w:shd w:val="clear" w:color="auto" w:fill="auto"/>
                            <w:noWrap/>
                            <w:vAlign w:val="bottom"/>
                          </w:tcPr>
                          <w:p w14:paraId="2DC30AE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right w:val="single" w:sz="4" w:space="0" w:color="auto"/>
                            </w:tcBorders>
                            <w:shd w:val="clear" w:color="auto" w:fill="auto"/>
                            <w:noWrap/>
                            <w:vAlign w:val="bottom"/>
                          </w:tcPr>
                          <w:p w14:paraId="2E85018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0</w:t>
                            </w:r>
                          </w:p>
                        </w:tc>
                      </w:tr>
                      <w:tr w:rsidR="002668C9" w:rsidRPr="007272BF" w14:paraId="2C23D1E3" w14:textId="77777777" w:rsidTr="00880152">
                        <w:trPr>
                          <w:trHeight w:val="290"/>
                        </w:trPr>
                        <w:tc>
                          <w:tcPr>
                            <w:tcW w:w="2068" w:type="dxa"/>
                            <w:tcBorders>
                              <w:top w:val="nil"/>
                              <w:left w:val="single" w:sz="4" w:space="0" w:color="auto"/>
                              <w:bottom w:val="single" w:sz="4" w:space="0" w:color="auto"/>
                              <w:right w:val="single" w:sz="4" w:space="0" w:color="auto"/>
                            </w:tcBorders>
                            <w:shd w:val="clear" w:color="auto" w:fill="auto"/>
                            <w:noWrap/>
                            <w:vAlign w:val="bottom"/>
                          </w:tcPr>
                          <w:p w14:paraId="532E011D"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Schreiber, 2016</w:t>
                            </w:r>
                          </w:p>
                        </w:tc>
                        <w:tc>
                          <w:tcPr>
                            <w:tcW w:w="960" w:type="dxa"/>
                            <w:tcBorders>
                              <w:top w:val="nil"/>
                              <w:left w:val="nil"/>
                              <w:bottom w:val="single" w:sz="4" w:space="0" w:color="auto"/>
                              <w:right w:val="single" w:sz="4" w:space="0" w:color="auto"/>
                            </w:tcBorders>
                            <w:shd w:val="clear" w:color="auto" w:fill="auto"/>
                            <w:noWrap/>
                            <w:vAlign w:val="bottom"/>
                          </w:tcPr>
                          <w:p w14:paraId="26ED960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03A1FC0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784ECF8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027BEA8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66E0DBF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5B64536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32E1574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09DD76F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1028A79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02B2DE0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tcPr>
                          <w:p w14:paraId="22FC313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single" w:sz="4" w:space="0" w:color="auto"/>
                              <w:right w:val="single" w:sz="4" w:space="0" w:color="auto"/>
                            </w:tcBorders>
                            <w:shd w:val="clear" w:color="auto" w:fill="auto"/>
                            <w:noWrap/>
                            <w:vAlign w:val="bottom"/>
                          </w:tcPr>
                          <w:p w14:paraId="3FF81AA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0</w:t>
                            </w:r>
                          </w:p>
                        </w:tc>
                      </w:tr>
                      <w:bookmarkEnd w:id="23"/>
                    </w:tbl>
                    <w:p w14:paraId="7537BB0B" w14:textId="77777777" w:rsidR="002668C9" w:rsidRDefault="002668C9" w:rsidP="002668C9">
                      <w:pPr>
                        <w:rPr>
                          <w:rFonts w:asciiTheme="minorHAnsi" w:eastAsia="Times New Roman" w:hAnsiTheme="minorHAnsi" w:cs="Calibri"/>
                        </w:rPr>
                      </w:pPr>
                    </w:p>
                    <w:p w14:paraId="760F7D12" w14:textId="77777777" w:rsidR="002668C9" w:rsidRDefault="002668C9" w:rsidP="002668C9"/>
                    <w:p w14:paraId="4B3E00EB" w14:textId="77777777" w:rsidR="002668C9" w:rsidRPr="00F177D8" w:rsidRDefault="002668C9" w:rsidP="002668C9"/>
                  </w:txbxContent>
                </v:textbox>
                <w10:anchorlock/>
              </v:shape>
            </w:pict>
          </mc:Fallback>
        </mc:AlternateContent>
      </w:r>
      <w:r>
        <w:br w:type="page"/>
      </w:r>
    </w:p>
    <w:p w14:paraId="51D610A4" w14:textId="03E91DDD" w:rsidR="002668C9" w:rsidRPr="00EE5492" w:rsidRDefault="002668C9" w:rsidP="00EE5492">
      <w:r>
        <w:rPr>
          <w:noProof/>
        </w:rPr>
        <w:lastRenderedPageBreak/>
        <mc:AlternateContent>
          <mc:Choice Requires="wps">
            <w:drawing>
              <wp:inline distT="0" distB="0" distL="0" distR="0" wp14:anchorId="3322F5DA" wp14:editId="5F3E77A6">
                <wp:extent cx="8805600" cy="5256000"/>
                <wp:effectExtent l="3175" t="0" r="0" b="0"/>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05600" cy="5256000"/>
                        </a:xfrm>
                        <a:prstGeom prst="rect">
                          <a:avLst/>
                        </a:prstGeom>
                        <a:solidFill>
                          <a:srgbClr val="FFFFFF"/>
                        </a:solidFill>
                        <a:ln w="9525">
                          <a:noFill/>
                          <a:miter lim="800000"/>
                          <a:headEnd/>
                          <a:tailEnd/>
                        </a:ln>
                      </wps:spPr>
                      <wps:txbx>
                        <w:txbxContent>
                          <w:p w14:paraId="76606610" w14:textId="327E8667" w:rsidR="002668C9" w:rsidRDefault="002668C9" w:rsidP="002668C9">
                            <w:pPr>
                              <w:pStyle w:val="Caption"/>
                              <w:keepNext/>
                              <w:spacing w:line="360" w:lineRule="auto"/>
                            </w:pPr>
                            <w:r>
                              <w:t xml:space="preserve">Supplementary Table 1: Key criteria coverage across documents summary </w:t>
                            </w:r>
                          </w:p>
                          <w:tbl>
                            <w:tblPr>
                              <w:tblW w:w="13346" w:type="dxa"/>
                              <w:tblLook w:val="04A0" w:firstRow="1" w:lastRow="0" w:firstColumn="1" w:lastColumn="0" w:noHBand="0" w:noVBand="1"/>
                            </w:tblPr>
                            <w:tblGrid>
                              <w:gridCol w:w="2068"/>
                              <w:gridCol w:w="960"/>
                              <w:gridCol w:w="960"/>
                              <w:gridCol w:w="960"/>
                              <w:gridCol w:w="960"/>
                              <w:gridCol w:w="960"/>
                              <w:gridCol w:w="960"/>
                              <w:gridCol w:w="960"/>
                              <w:gridCol w:w="960"/>
                              <w:gridCol w:w="960"/>
                              <w:gridCol w:w="960"/>
                              <w:gridCol w:w="960"/>
                              <w:gridCol w:w="718"/>
                            </w:tblGrid>
                            <w:tr w:rsidR="002668C9" w:rsidRPr="007272BF" w14:paraId="72569DA4" w14:textId="77777777" w:rsidTr="00EB36D2">
                              <w:trPr>
                                <w:trHeight w:val="290"/>
                                <w:tblHeader/>
                              </w:trPr>
                              <w:tc>
                                <w:tcPr>
                                  <w:tcW w:w="20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B38779C" w14:textId="77777777" w:rsidR="002668C9" w:rsidRPr="007272BF"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Document</w:t>
                                  </w:r>
                                </w:p>
                              </w:tc>
                              <w:tc>
                                <w:tcPr>
                                  <w:tcW w:w="10560" w:type="dxa"/>
                                  <w:gridSpan w:val="11"/>
                                  <w:tcBorders>
                                    <w:top w:val="single" w:sz="4" w:space="0" w:color="auto"/>
                                    <w:left w:val="nil"/>
                                    <w:bottom w:val="single" w:sz="4" w:space="0" w:color="auto"/>
                                    <w:right w:val="single" w:sz="4" w:space="0" w:color="auto"/>
                                  </w:tcBorders>
                                  <w:shd w:val="clear" w:color="auto" w:fill="auto"/>
                                  <w:noWrap/>
                                  <w:vAlign w:val="bottom"/>
                                  <w:hideMark/>
                                </w:tcPr>
                                <w:p w14:paraId="705188FD" w14:textId="77777777" w:rsidR="002668C9" w:rsidRPr="00490779" w:rsidRDefault="002668C9" w:rsidP="0074418A">
                                  <w:pPr>
                                    <w:jc w:val="center"/>
                                    <w:rPr>
                                      <w:rFonts w:eastAsia="Times New Roman" w:cs="Times New Roman"/>
                                      <w:b/>
                                      <w:bCs/>
                                      <w:color w:val="000000"/>
                                      <w:vertAlign w:val="superscript"/>
                                      <w:lang w:eastAsia="en-GB"/>
                                    </w:rPr>
                                  </w:pPr>
                                  <w:r w:rsidRPr="007272BF">
                                    <w:rPr>
                                      <w:rFonts w:eastAsia="Times New Roman" w:cs="Times New Roman"/>
                                      <w:b/>
                                      <w:bCs/>
                                      <w:color w:val="000000"/>
                                      <w:lang w:eastAsia="en-GB"/>
                                    </w:rPr>
                                    <w:t>Key criteria</w:t>
                                  </w:r>
                                  <w:r>
                                    <w:rPr>
                                      <w:rFonts w:eastAsia="Times New Roman" w:cs="Times New Roman"/>
                                      <w:b/>
                                      <w:bCs/>
                                      <w:color w:val="000000"/>
                                      <w:lang w:eastAsia="en-GB"/>
                                    </w:rPr>
                                    <w:t xml:space="preserve"> </w:t>
                                  </w:r>
                                  <w:r>
                                    <w:rPr>
                                      <w:rFonts w:eastAsia="Times New Roman" w:cs="Times New Roman"/>
                                      <w:b/>
                                      <w:bCs/>
                                      <w:color w:val="000000"/>
                                      <w:vertAlign w:val="superscript"/>
                                      <w:lang w:eastAsia="en-GB"/>
                                    </w:rPr>
                                    <w:t>A</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152B7" w14:textId="77777777" w:rsidR="002668C9"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Total</w:t>
                                  </w:r>
                                </w:p>
                                <w:p w14:paraId="64CEF33F" w14:textId="77777777" w:rsidR="002668C9" w:rsidRPr="007272BF" w:rsidRDefault="002668C9" w:rsidP="0074418A">
                                  <w:pPr>
                                    <w:jc w:val="center"/>
                                    <w:rPr>
                                      <w:rFonts w:eastAsia="Times New Roman" w:cs="Times New Roman"/>
                                      <w:bCs/>
                                      <w:color w:val="000000"/>
                                      <w:lang w:eastAsia="en-GB"/>
                                    </w:rPr>
                                  </w:pPr>
                                  <w:r>
                                    <w:rPr>
                                      <w:rFonts w:eastAsia="Times New Roman" w:cs="Times New Roman"/>
                                      <w:bCs/>
                                      <w:color w:val="000000"/>
                                      <w:lang w:eastAsia="en-GB"/>
                                    </w:rPr>
                                    <w:t>n</w:t>
                                  </w:r>
                                </w:p>
                              </w:tc>
                            </w:tr>
                            <w:tr w:rsidR="002668C9" w:rsidRPr="007272BF" w14:paraId="699DB47F" w14:textId="77777777" w:rsidTr="00EB36D2">
                              <w:trPr>
                                <w:trHeight w:val="290"/>
                                <w:tblHeader/>
                              </w:trPr>
                              <w:tc>
                                <w:tcPr>
                                  <w:tcW w:w="2068" w:type="dxa"/>
                                  <w:vMerge/>
                                  <w:tcBorders>
                                    <w:top w:val="single" w:sz="4" w:space="0" w:color="auto"/>
                                    <w:left w:val="single" w:sz="4" w:space="0" w:color="auto"/>
                                    <w:bottom w:val="single" w:sz="4" w:space="0" w:color="000000"/>
                                    <w:right w:val="single" w:sz="4" w:space="0" w:color="auto"/>
                                  </w:tcBorders>
                                  <w:vAlign w:val="center"/>
                                  <w:hideMark/>
                                </w:tcPr>
                                <w:p w14:paraId="7FEA80AE" w14:textId="77777777" w:rsidR="002668C9" w:rsidRPr="007272BF" w:rsidRDefault="002668C9" w:rsidP="0074418A">
                                  <w:pPr>
                                    <w:rPr>
                                      <w:rFonts w:eastAsia="Times New Roman" w:cs="Times New Roman"/>
                                      <w:b/>
                                      <w:bCs/>
                                      <w:color w:val="000000"/>
                                      <w:lang w:eastAsia="en-GB"/>
                                    </w:rPr>
                                  </w:pP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25786D3" w14:textId="77777777" w:rsidR="002668C9" w:rsidRPr="007272BF"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Design</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2DC30FB" w14:textId="77777777" w:rsidR="002668C9" w:rsidRPr="007272BF"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Analysis</w:t>
                                  </w:r>
                                </w:p>
                              </w:tc>
                              <w:tc>
                                <w:tcPr>
                                  <w:tcW w:w="718" w:type="dxa"/>
                                  <w:vMerge/>
                                  <w:tcBorders>
                                    <w:top w:val="single" w:sz="4" w:space="0" w:color="auto"/>
                                    <w:left w:val="single" w:sz="4" w:space="0" w:color="auto"/>
                                    <w:bottom w:val="single" w:sz="4" w:space="0" w:color="auto"/>
                                    <w:right w:val="single" w:sz="4" w:space="0" w:color="auto"/>
                                  </w:tcBorders>
                                  <w:vAlign w:val="center"/>
                                  <w:hideMark/>
                                </w:tcPr>
                                <w:p w14:paraId="644FEF56" w14:textId="77777777" w:rsidR="002668C9" w:rsidRPr="007272BF" w:rsidRDefault="002668C9" w:rsidP="0074418A">
                                  <w:pPr>
                                    <w:rPr>
                                      <w:rFonts w:eastAsia="Times New Roman" w:cs="Times New Roman"/>
                                      <w:b/>
                                      <w:bCs/>
                                      <w:color w:val="000000"/>
                                      <w:lang w:eastAsia="en-GB"/>
                                    </w:rPr>
                                  </w:pPr>
                                </w:p>
                              </w:tc>
                            </w:tr>
                            <w:tr w:rsidR="002668C9" w:rsidRPr="007272BF" w14:paraId="4EB35E1B" w14:textId="77777777" w:rsidTr="00EB36D2">
                              <w:trPr>
                                <w:trHeight w:val="290"/>
                                <w:tblHeader/>
                              </w:trPr>
                              <w:tc>
                                <w:tcPr>
                                  <w:tcW w:w="2068" w:type="dxa"/>
                                  <w:vMerge/>
                                  <w:tcBorders>
                                    <w:top w:val="single" w:sz="4" w:space="0" w:color="auto"/>
                                    <w:left w:val="single" w:sz="4" w:space="0" w:color="auto"/>
                                    <w:bottom w:val="single" w:sz="4" w:space="0" w:color="000000"/>
                                    <w:right w:val="single" w:sz="4" w:space="0" w:color="auto"/>
                                  </w:tcBorders>
                                  <w:vAlign w:val="center"/>
                                  <w:hideMark/>
                                </w:tcPr>
                                <w:p w14:paraId="62224872" w14:textId="77777777" w:rsidR="002668C9" w:rsidRPr="007272BF" w:rsidRDefault="002668C9" w:rsidP="0074418A">
                                  <w:pPr>
                                    <w:rPr>
                                      <w:rFonts w:eastAsia="Times New Roman" w:cs="Times New Roman"/>
                                      <w:b/>
                                      <w:bCs/>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5842353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D1</w:t>
                                  </w:r>
                                </w:p>
                              </w:tc>
                              <w:tc>
                                <w:tcPr>
                                  <w:tcW w:w="960" w:type="dxa"/>
                                  <w:tcBorders>
                                    <w:top w:val="nil"/>
                                    <w:left w:val="nil"/>
                                    <w:bottom w:val="single" w:sz="4" w:space="0" w:color="auto"/>
                                    <w:right w:val="single" w:sz="4" w:space="0" w:color="auto"/>
                                  </w:tcBorders>
                                  <w:shd w:val="clear" w:color="auto" w:fill="auto"/>
                                  <w:noWrap/>
                                  <w:vAlign w:val="bottom"/>
                                  <w:hideMark/>
                                </w:tcPr>
                                <w:p w14:paraId="7F00B68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D2</w:t>
                                  </w:r>
                                </w:p>
                              </w:tc>
                              <w:tc>
                                <w:tcPr>
                                  <w:tcW w:w="960" w:type="dxa"/>
                                  <w:tcBorders>
                                    <w:top w:val="nil"/>
                                    <w:left w:val="nil"/>
                                    <w:bottom w:val="single" w:sz="4" w:space="0" w:color="auto"/>
                                    <w:right w:val="single" w:sz="4" w:space="0" w:color="auto"/>
                                  </w:tcBorders>
                                  <w:shd w:val="clear" w:color="auto" w:fill="auto"/>
                                  <w:noWrap/>
                                  <w:vAlign w:val="bottom"/>
                                  <w:hideMark/>
                                </w:tcPr>
                                <w:p w14:paraId="5968402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D3</w:t>
                                  </w:r>
                                </w:p>
                              </w:tc>
                              <w:tc>
                                <w:tcPr>
                                  <w:tcW w:w="960" w:type="dxa"/>
                                  <w:tcBorders>
                                    <w:top w:val="nil"/>
                                    <w:left w:val="nil"/>
                                    <w:bottom w:val="single" w:sz="4" w:space="0" w:color="auto"/>
                                    <w:right w:val="single" w:sz="4" w:space="0" w:color="auto"/>
                                  </w:tcBorders>
                                  <w:shd w:val="clear" w:color="auto" w:fill="auto"/>
                                  <w:noWrap/>
                                  <w:vAlign w:val="bottom"/>
                                  <w:hideMark/>
                                </w:tcPr>
                                <w:p w14:paraId="0F72C90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D4</w:t>
                                  </w:r>
                                </w:p>
                              </w:tc>
                              <w:tc>
                                <w:tcPr>
                                  <w:tcW w:w="960" w:type="dxa"/>
                                  <w:tcBorders>
                                    <w:top w:val="nil"/>
                                    <w:left w:val="nil"/>
                                    <w:bottom w:val="single" w:sz="4" w:space="0" w:color="auto"/>
                                    <w:right w:val="single" w:sz="4" w:space="0" w:color="auto"/>
                                  </w:tcBorders>
                                  <w:shd w:val="clear" w:color="auto" w:fill="auto"/>
                                  <w:noWrap/>
                                  <w:vAlign w:val="bottom"/>
                                  <w:hideMark/>
                                </w:tcPr>
                                <w:p w14:paraId="4197D53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D5</w:t>
                                  </w:r>
                                </w:p>
                              </w:tc>
                              <w:tc>
                                <w:tcPr>
                                  <w:tcW w:w="960" w:type="dxa"/>
                                  <w:tcBorders>
                                    <w:top w:val="nil"/>
                                    <w:left w:val="nil"/>
                                    <w:bottom w:val="single" w:sz="4" w:space="0" w:color="auto"/>
                                    <w:right w:val="single" w:sz="4" w:space="0" w:color="auto"/>
                                  </w:tcBorders>
                                  <w:shd w:val="clear" w:color="auto" w:fill="auto"/>
                                  <w:noWrap/>
                                  <w:vAlign w:val="bottom"/>
                                  <w:hideMark/>
                                </w:tcPr>
                                <w:p w14:paraId="78DC2CA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D6</w:t>
                                  </w:r>
                                </w:p>
                              </w:tc>
                              <w:tc>
                                <w:tcPr>
                                  <w:tcW w:w="960" w:type="dxa"/>
                                  <w:tcBorders>
                                    <w:top w:val="nil"/>
                                    <w:left w:val="nil"/>
                                    <w:bottom w:val="single" w:sz="4" w:space="0" w:color="auto"/>
                                    <w:right w:val="single" w:sz="4" w:space="0" w:color="auto"/>
                                  </w:tcBorders>
                                  <w:shd w:val="clear" w:color="auto" w:fill="auto"/>
                                  <w:noWrap/>
                                  <w:vAlign w:val="bottom"/>
                                  <w:hideMark/>
                                </w:tcPr>
                                <w:p w14:paraId="31A9AB9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A1</w:t>
                                  </w:r>
                                </w:p>
                              </w:tc>
                              <w:tc>
                                <w:tcPr>
                                  <w:tcW w:w="960" w:type="dxa"/>
                                  <w:tcBorders>
                                    <w:top w:val="nil"/>
                                    <w:left w:val="nil"/>
                                    <w:bottom w:val="single" w:sz="4" w:space="0" w:color="auto"/>
                                    <w:right w:val="single" w:sz="4" w:space="0" w:color="auto"/>
                                  </w:tcBorders>
                                  <w:shd w:val="clear" w:color="auto" w:fill="auto"/>
                                  <w:noWrap/>
                                  <w:vAlign w:val="bottom"/>
                                  <w:hideMark/>
                                </w:tcPr>
                                <w:p w14:paraId="55282D7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A2</w:t>
                                  </w:r>
                                </w:p>
                              </w:tc>
                              <w:tc>
                                <w:tcPr>
                                  <w:tcW w:w="960" w:type="dxa"/>
                                  <w:tcBorders>
                                    <w:top w:val="nil"/>
                                    <w:left w:val="nil"/>
                                    <w:bottom w:val="single" w:sz="4" w:space="0" w:color="auto"/>
                                    <w:right w:val="single" w:sz="4" w:space="0" w:color="auto"/>
                                  </w:tcBorders>
                                  <w:shd w:val="clear" w:color="auto" w:fill="auto"/>
                                  <w:noWrap/>
                                  <w:vAlign w:val="bottom"/>
                                  <w:hideMark/>
                                </w:tcPr>
                                <w:p w14:paraId="01664E1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A3</w:t>
                                  </w:r>
                                </w:p>
                              </w:tc>
                              <w:tc>
                                <w:tcPr>
                                  <w:tcW w:w="960" w:type="dxa"/>
                                  <w:tcBorders>
                                    <w:top w:val="nil"/>
                                    <w:left w:val="nil"/>
                                    <w:bottom w:val="single" w:sz="4" w:space="0" w:color="auto"/>
                                    <w:right w:val="single" w:sz="4" w:space="0" w:color="auto"/>
                                  </w:tcBorders>
                                  <w:shd w:val="clear" w:color="auto" w:fill="auto"/>
                                  <w:noWrap/>
                                  <w:vAlign w:val="bottom"/>
                                  <w:hideMark/>
                                </w:tcPr>
                                <w:p w14:paraId="4CCE598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A4</w:t>
                                  </w:r>
                                </w:p>
                              </w:tc>
                              <w:tc>
                                <w:tcPr>
                                  <w:tcW w:w="960" w:type="dxa"/>
                                  <w:tcBorders>
                                    <w:top w:val="nil"/>
                                    <w:left w:val="nil"/>
                                    <w:bottom w:val="single" w:sz="4" w:space="0" w:color="auto"/>
                                    <w:right w:val="single" w:sz="4" w:space="0" w:color="auto"/>
                                  </w:tcBorders>
                                  <w:shd w:val="clear" w:color="auto" w:fill="auto"/>
                                  <w:noWrap/>
                                  <w:vAlign w:val="bottom"/>
                                  <w:hideMark/>
                                </w:tcPr>
                                <w:p w14:paraId="234CE74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A5</w:t>
                                  </w:r>
                                </w:p>
                              </w:tc>
                              <w:tc>
                                <w:tcPr>
                                  <w:tcW w:w="718" w:type="dxa"/>
                                  <w:vMerge/>
                                  <w:tcBorders>
                                    <w:top w:val="single" w:sz="4" w:space="0" w:color="auto"/>
                                    <w:left w:val="single" w:sz="4" w:space="0" w:color="auto"/>
                                    <w:bottom w:val="single" w:sz="4" w:space="0" w:color="auto"/>
                                    <w:right w:val="single" w:sz="4" w:space="0" w:color="auto"/>
                                  </w:tcBorders>
                                  <w:vAlign w:val="center"/>
                                  <w:hideMark/>
                                </w:tcPr>
                                <w:p w14:paraId="5851A1A7" w14:textId="77777777" w:rsidR="002668C9" w:rsidRPr="007272BF" w:rsidRDefault="002668C9" w:rsidP="0074418A">
                                  <w:pPr>
                                    <w:rPr>
                                      <w:rFonts w:eastAsia="Times New Roman" w:cs="Times New Roman"/>
                                      <w:b/>
                                      <w:bCs/>
                                      <w:color w:val="000000"/>
                                      <w:lang w:eastAsia="en-GB"/>
                                    </w:rPr>
                                  </w:pPr>
                                </w:p>
                              </w:tc>
                            </w:tr>
                            <w:tr w:rsidR="002668C9" w:rsidRPr="007272BF" w14:paraId="02BAA9E3" w14:textId="77777777" w:rsidTr="00613B9B">
                              <w:trPr>
                                <w:trHeight w:val="290"/>
                              </w:trPr>
                              <w:tc>
                                <w:tcPr>
                                  <w:tcW w:w="2068" w:type="dxa"/>
                                  <w:tcBorders>
                                    <w:top w:val="nil"/>
                                    <w:left w:val="single" w:sz="4" w:space="0" w:color="auto"/>
                                    <w:bottom w:val="nil"/>
                                    <w:right w:val="single" w:sz="4" w:space="0" w:color="auto"/>
                                  </w:tcBorders>
                                  <w:shd w:val="clear" w:color="auto" w:fill="auto"/>
                                  <w:noWrap/>
                                  <w:vAlign w:val="bottom"/>
                                </w:tcPr>
                                <w:p w14:paraId="522E14DD" w14:textId="77777777" w:rsidR="002668C9" w:rsidRPr="007272BF" w:rsidRDefault="002668C9" w:rsidP="00613B9B">
                                  <w:pPr>
                                    <w:rPr>
                                      <w:rFonts w:eastAsia="Times New Roman" w:cs="Times New Roman"/>
                                      <w:i/>
                                      <w:iCs/>
                                      <w:color w:val="000000"/>
                                      <w:lang w:eastAsia="en-GB"/>
                                    </w:rPr>
                                  </w:pPr>
                                  <w:bookmarkStart w:id="24" w:name="_Hlk95909203"/>
                                  <w:r>
                                    <w:rPr>
                                      <w:rFonts w:eastAsia="Times New Roman" w:cs="Times New Roman"/>
                                      <w:i/>
                                      <w:iCs/>
                                      <w:color w:val="000000"/>
                                      <w:lang w:eastAsia="en-GB"/>
                                    </w:rPr>
                                    <w:t>Schultz, 2011</w:t>
                                  </w:r>
                                </w:p>
                              </w:tc>
                              <w:tc>
                                <w:tcPr>
                                  <w:tcW w:w="960" w:type="dxa"/>
                                  <w:tcBorders>
                                    <w:top w:val="nil"/>
                                    <w:left w:val="nil"/>
                                    <w:bottom w:val="nil"/>
                                    <w:right w:val="single" w:sz="4" w:space="0" w:color="auto"/>
                                  </w:tcBorders>
                                  <w:shd w:val="clear" w:color="auto" w:fill="D0CECE" w:themeFill="background2" w:themeFillShade="E6"/>
                                  <w:noWrap/>
                                  <w:vAlign w:val="bottom"/>
                                </w:tcPr>
                                <w:p w14:paraId="4CE34112"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tcPr>
                                <w:p w14:paraId="454420C3"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tcPr>
                                <w:p w14:paraId="61A9AEC8"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tcPr>
                                <w:p w14:paraId="45A3159C"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C80CB2E"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3FF5E75"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6D77191"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522C90F4"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2C1D336"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0D067AE"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626465E"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tcPr>
                                <w:p w14:paraId="45665AEA"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2</w:t>
                                  </w:r>
                                </w:p>
                              </w:tc>
                            </w:tr>
                            <w:tr w:rsidR="002668C9" w:rsidRPr="007272BF" w14:paraId="21DC3C1A"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00C2B276"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Vanhie et al, 2016</w:t>
                                  </w:r>
                                </w:p>
                              </w:tc>
                              <w:tc>
                                <w:tcPr>
                                  <w:tcW w:w="960" w:type="dxa"/>
                                  <w:tcBorders>
                                    <w:top w:val="nil"/>
                                    <w:left w:val="nil"/>
                                    <w:bottom w:val="nil"/>
                                    <w:right w:val="single" w:sz="4" w:space="0" w:color="auto"/>
                                  </w:tcBorders>
                                  <w:shd w:val="clear" w:color="auto" w:fill="auto"/>
                                  <w:noWrap/>
                                  <w:vAlign w:val="bottom"/>
                                  <w:hideMark/>
                                </w:tcPr>
                                <w:p w14:paraId="484518A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1DCEC86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20EC178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1C4E66C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06CA0C5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1047CE2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DBC8DA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35921CB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4163D63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E1EF2D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4573F0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5218F0D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1</w:t>
                                  </w:r>
                                </w:p>
                              </w:tc>
                            </w:tr>
                            <w:tr w:rsidR="002668C9" w:rsidRPr="007272BF" w14:paraId="7FB01635"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18FA7CAD"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Wang, 2007</w:t>
                                  </w:r>
                                </w:p>
                              </w:tc>
                              <w:tc>
                                <w:tcPr>
                                  <w:tcW w:w="960" w:type="dxa"/>
                                  <w:tcBorders>
                                    <w:top w:val="nil"/>
                                    <w:left w:val="nil"/>
                                    <w:bottom w:val="nil"/>
                                    <w:right w:val="single" w:sz="4" w:space="0" w:color="auto"/>
                                  </w:tcBorders>
                                  <w:shd w:val="clear" w:color="auto" w:fill="auto"/>
                                  <w:noWrap/>
                                  <w:vAlign w:val="bottom"/>
                                  <w:hideMark/>
                                </w:tcPr>
                                <w:p w14:paraId="5C8DBA6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4435258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45ECE47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C06575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0A518CD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594944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6008696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3DBFEAD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06A0CE7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621E547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409B6F3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2607435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0</w:t>
                                  </w:r>
                                </w:p>
                              </w:tc>
                            </w:tr>
                            <w:tr w:rsidR="002668C9" w:rsidRPr="007272BF" w14:paraId="6A1D16E7" w14:textId="77777777" w:rsidTr="00EB36D2">
                              <w:trPr>
                                <w:trHeight w:val="290"/>
                              </w:trPr>
                              <w:tc>
                                <w:tcPr>
                                  <w:tcW w:w="2068" w:type="dxa"/>
                                  <w:tcBorders>
                                    <w:top w:val="nil"/>
                                    <w:left w:val="single" w:sz="4" w:space="0" w:color="auto"/>
                                    <w:bottom w:val="single" w:sz="4" w:space="0" w:color="auto"/>
                                    <w:right w:val="single" w:sz="4" w:space="0" w:color="auto"/>
                                  </w:tcBorders>
                                  <w:shd w:val="clear" w:color="auto" w:fill="auto"/>
                                  <w:noWrap/>
                                  <w:vAlign w:val="bottom"/>
                                  <w:hideMark/>
                                </w:tcPr>
                                <w:p w14:paraId="2150DDC6"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Zwarenstein, 2008</w:t>
                                  </w:r>
                                </w:p>
                              </w:tc>
                              <w:tc>
                                <w:tcPr>
                                  <w:tcW w:w="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3658CBC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078E326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7530CAE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single" w:sz="4" w:space="0" w:color="auto"/>
                                    <w:right w:val="single" w:sz="4" w:space="0" w:color="auto"/>
                                  </w:tcBorders>
                                  <w:shd w:val="clear" w:color="auto" w:fill="auto"/>
                                  <w:noWrap/>
                                  <w:vAlign w:val="bottom"/>
                                  <w:hideMark/>
                                </w:tcPr>
                                <w:p w14:paraId="6BE5A55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6404B9C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2457993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4F9D232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5A5B538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7CA06E9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31C0273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33AD736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single" w:sz="4" w:space="0" w:color="auto"/>
                                    <w:right w:val="single" w:sz="4" w:space="0" w:color="auto"/>
                                  </w:tcBorders>
                                  <w:shd w:val="clear" w:color="auto" w:fill="auto"/>
                                  <w:noWrap/>
                                  <w:vAlign w:val="bottom"/>
                                  <w:hideMark/>
                                </w:tcPr>
                                <w:p w14:paraId="202FF02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3</w:t>
                                  </w:r>
                                </w:p>
                              </w:tc>
                            </w:tr>
                            <w:tr w:rsidR="002668C9" w:rsidRPr="007272BF" w14:paraId="76AB4C9E" w14:textId="77777777" w:rsidTr="00EB36D2">
                              <w:trPr>
                                <w:trHeight w:val="290"/>
                              </w:trPr>
                              <w:tc>
                                <w:tcPr>
                                  <w:tcW w:w="2068" w:type="dxa"/>
                                  <w:tcBorders>
                                    <w:top w:val="nil"/>
                                    <w:left w:val="single" w:sz="4" w:space="0" w:color="auto"/>
                                    <w:bottom w:val="single" w:sz="4" w:space="0" w:color="auto"/>
                                    <w:right w:val="single" w:sz="4" w:space="0" w:color="auto"/>
                                  </w:tcBorders>
                                  <w:shd w:val="clear" w:color="auto" w:fill="auto"/>
                                  <w:noWrap/>
                                  <w:vAlign w:val="bottom"/>
                                  <w:hideMark/>
                                </w:tcPr>
                                <w:p w14:paraId="79049D17" w14:textId="77777777" w:rsidR="002668C9" w:rsidRDefault="002668C9" w:rsidP="0074418A">
                                  <w:pPr>
                                    <w:rPr>
                                      <w:rFonts w:eastAsia="Times New Roman" w:cs="Times New Roman"/>
                                      <w:b/>
                                      <w:bCs/>
                                      <w:color w:val="000000"/>
                                      <w:lang w:eastAsia="en-GB"/>
                                    </w:rPr>
                                  </w:pPr>
                                  <w:r w:rsidRPr="007272BF">
                                    <w:rPr>
                                      <w:rFonts w:eastAsia="Times New Roman" w:cs="Times New Roman"/>
                                      <w:b/>
                                      <w:bCs/>
                                      <w:color w:val="000000"/>
                                      <w:lang w:eastAsia="en-GB"/>
                                    </w:rPr>
                                    <w:t>Total</w:t>
                                  </w:r>
                                  <w:r>
                                    <w:rPr>
                                      <w:rFonts w:eastAsia="Times New Roman" w:cs="Times New Roman"/>
                                      <w:b/>
                                      <w:bCs/>
                                      <w:color w:val="000000"/>
                                      <w:lang w:eastAsia="en-GB"/>
                                    </w:rPr>
                                    <w:t xml:space="preserve"> </w:t>
                                  </w:r>
                                </w:p>
                                <w:p w14:paraId="410B8141" w14:textId="77777777" w:rsidR="002668C9" w:rsidRPr="007C43D8" w:rsidRDefault="002668C9" w:rsidP="0074418A">
                                  <w:pPr>
                                    <w:rPr>
                                      <w:rFonts w:eastAsia="Times New Roman" w:cs="Times New Roman"/>
                                      <w:bCs/>
                                      <w:color w:val="000000"/>
                                      <w:lang w:eastAsia="en-GB"/>
                                    </w:rPr>
                                  </w:pPr>
                                  <w:r>
                                    <w:rPr>
                                      <w:rFonts w:eastAsia="Times New Roman" w:cs="Times New Roman"/>
                                      <w:color w:val="000000"/>
                                      <w:lang w:eastAsia="en-GB"/>
                                    </w:rPr>
                                    <w:t>n (n/28%)</w:t>
                                  </w:r>
                                </w:p>
                              </w:tc>
                              <w:tc>
                                <w:tcPr>
                                  <w:tcW w:w="960" w:type="dxa"/>
                                  <w:tcBorders>
                                    <w:top w:val="nil"/>
                                    <w:left w:val="nil"/>
                                    <w:bottom w:val="single" w:sz="4" w:space="0" w:color="auto"/>
                                    <w:right w:val="single" w:sz="4" w:space="0" w:color="auto"/>
                                  </w:tcBorders>
                                  <w:shd w:val="clear" w:color="auto" w:fill="auto"/>
                                  <w:noWrap/>
                                  <w:vAlign w:val="bottom"/>
                                  <w:hideMark/>
                                </w:tcPr>
                                <w:p w14:paraId="716A64D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11</w:t>
                                  </w:r>
                                  <w:r>
                                    <w:rPr>
                                      <w:rFonts w:eastAsia="Times New Roman" w:cs="Times New Roman"/>
                                      <w:color w:val="000000"/>
                                      <w:lang w:eastAsia="en-GB"/>
                                    </w:rPr>
                                    <w:t xml:space="preserve"> (39%)</w:t>
                                  </w:r>
                                </w:p>
                              </w:tc>
                              <w:tc>
                                <w:tcPr>
                                  <w:tcW w:w="960" w:type="dxa"/>
                                  <w:tcBorders>
                                    <w:top w:val="nil"/>
                                    <w:left w:val="nil"/>
                                    <w:bottom w:val="single" w:sz="4" w:space="0" w:color="auto"/>
                                    <w:right w:val="single" w:sz="4" w:space="0" w:color="auto"/>
                                  </w:tcBorders>
                                  <w:shd w:val="clear" w:color="auto" w:fill="auto"/>
                                  <w:noWrap/>
                                  <w:vAlign w:val="bottom"/>
                                  <w:hideMark/>
                                </w:tcPr>
                                <w:p w14:paraId="19AC72B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13</w:t>
                                  </w:r>
                                  <w:r>
                                    <w:rPr>
                                      <w:rFonts w:eastAsia="Times New Roman" w:cs="Times New Roman"/>
                                      <w:color w:val="000000"/>
                                      <w:lang w:eastAsia="en-GB"/>
                                    </w:rPr>
                                    <w:t xml:space="preserve"> (46%)</w:t>
                                  </w:r>
                                </w:p>
                              </w:tc>
                              <w:tc>
                                <w:tcPr>
                                  <w:tcW w:w="960" w:type="dxa"/>
                                  <w:tcBorders>
                                    <w:top w:val="nil"/>
                                    <w:left w:val="nil"/>
                                    <w:bottom w:val="single" w:sz="4" w:space="0" w:color="auto"/>
                                    <w:right w:val="single" w:sz="4" w:space="0" w:color="auto"/>
                                  </w:tcBorders>
                                  <w:shd w:val="clear" w:color="auto" w:fill="auto"/>
                                  <w:noWrap/>
                                  <w:vAlign w:val="bottom"/>
                                  <w:hideMark/>
                                </w:tcPr>
                                <w:p w14:paraId="07B996D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15</w:t>
                                  </w:r>
                                  <w:r>
                                    <w:rPr>
                                      <w:rFonts w:eastAsia="Times New Roman" w:cs="Times New Roman"/>
                                      <w:color w:val="000000"/>
                                      <w:lang w:eastAsia="en-GB"/>
                                    </w:rPr>
                                    <w:t xml:space="preserve"> (54%)</w:t>
                                  </w:r>
                                </w:p>
                              </w:tc>
                              <w:tc>
                                <w:tcPr>
                                  <w:tcW w:w="960" w:type="dxa"/>
                                  <w:tcBorders>
                                    <w:top w:val="nil"/>
                                    <w:left w:val="nil"/>
                                    <w:bottom w:val="single" w:sz="4" w:space="0" w:color="auto"/>
                                    <w:right w:val="single" w:sz="4" w:space="0" w:color="auto"/>
                                  </w:tcBorders>
                                  <w:shd w:val="clear" w:color="auto" w:fill="auto"/>
                                  <w:noWrap/>
                                  <w:vAlign w:val="bottom"/>
                                  <w:hideMark/>
                                </w:tcPr>
                                <w:p w14:paraId="75DCB76E" w14:textId="77777777" w:rsidR="002668C9"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8</w:t>
                                  </w:r>
                                  <w:r>
                                    <w:rPr>
                                      <w:rFonts w:eastAsia="Times New Roman" w:cs="Times New Roman"/>
                                      <w:color w:val="000000"/>
                                      <w:lang w:eastAsia="en-GB"/>
                                    </w:rPr>
                                    <w:t xml:space="preserve"> </w:t>
                                  </w:r>
                                </w:p>
                                <w:p w14:paraId="2F75E46F"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14:paraId="58C93856" w14:textId="77777777" w:rsidR="002668C9"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8</w:t>
                                  </w:r>
                                  <w:r>
                                    <w:rPr>
                                      <w:rFonts w:eastAsia="Times New Roman" w:cs="Times New Roman"/>
                                      <w:color w:val="000000"/>
                                      <w:lang w:eastAsia="en-GB"/>
                                    </w:rPr>
                                    <w:t xml:space="preserve"> </w:t>
                                  </w:r>
                                </w:p>
                                <w:p w14:paraId="3A83160E"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14:paraId="51F1F69E" w14:textId="77777777" w:rsidR="002668C9" w:rsidRDefault="002668C9" w:rsidP="0074418A">
                                  <w:pPr>
                                    <w:jc w:val="center"/>
                                    <w:rPr>
                                      <w:rFonts w:eastAsia="Times New Roman" w:cs="Times New Roman"/>
                                      <w:color w:val="000000"/>
                                      <w:lang w:eastAsia="en-GB"/>
                                    </w:rPr>
                                  </w:pPr>
                                  <w:r>
                                    <w:rPr>
                                      <w:rFonts w:eastAsia="Times New Roman" w:cs="Times New Roman"/>
                                      <w:color w:val="000000"/>
                                      <w:lang w:eastAsia="en-GB"/>
                                    </w:rPr>
                                    <w:t xml:space="preserve">6 </w:t>
                                  </w:r>
                                </w:p>
                                <w:p w14:paraId="4A8EFBF1"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(21%)</w:t>
                                  </w:r>
                                </w:p>
                              </w:tc>
                              <w:tc>
                                <w:tcPr>
                                  <w:tcW w:w="960" w:type="dxa"/>
                                  <w:tcBorders>
                                    <w:top w:val="nil"/>
                                    <w:left w:val="nil"/>
                                    <w:bottom w:val="single" w:sz="4" w:space="0" w:color="auto"/>
                                    <w:right w:val="single" w:sz="4" w:space="0" w:color="auto"/>
                                  </w:tcBorders>
                                  <w:shd w:val="clear" w:color="auto" w:fill="auto"/>
                                  <w:noWrap/>
                                  <w:vAlign w:val="bottom"/>
                                  <w:hideMark/>
                                </w:tcPr>
                                <w:p w14:paraId="6A641FA5" w14:textId="77777777" w:rsidR="002668C9"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2</w:t>
                                  </w:r>
                                  <w:r>
                                    <w:rPr>
                                      <w:rFonts w:eastAsia="Times New Roman" w:cs="Times New Roman"/>
                                      <w:color w:val="000000"/>
                                      <w:lang w:eastAsia="en-GB"/>
                                    </w:rPr>
                                    <w:t xml:space="preserve"> </w:t>
                                  </w:r>
                                </w:p>
                                <w:p w14:paraId="1E1EE7A4"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22A94B3B" w14:textId="77777777" w:rsidR="002668C9"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2</w:t>
                                  </w:r>
                                  <w:r>
                                    <w:rPr>
                                      <w:rFonts w:eastAsia="Times New Roman" w:cs="Times New Roman"/>
                                      <w:color w:val="000000"/>
                                      <w:lang w:eastAsia="en-GB"/>
                                    </w:rPr>
                                    <w:t xml:space="preserve"> </w:t>
                                  </w:r>
                                </w:p>
                                <w:p w14:paraId="53B7E94E"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517E2B21" w14:textId="77777777" w:rsidR="002668C9" w:rsidRDefault="002668C9" w:rsidP="0074418A">
                                  <w:pPr>
                                    <w:jc w:val="center"/>
                                    <w:rPr>
                                      <w:rFonts w:eastAsia="Times New Roman" w:cs="Times New Roman"/>
                                      <w:color w:val="000000"/>
                                      <w:lang w:eastAsia="en-GB"/>
                                    </w:rPr>
                                  </w:pPr>
                                  <w:r>
                                    <w:rPr>
                                      <w:rFonts w:eastAsia="Times New Roman" w:cs="Times New Roman"/>
                                      <w:color w:val="000000"/>
                                      <w:lang w:eastAsia="en-GB"/>
                                    </w:rPr>
                                    <w:t xml:space="preserve">6 </w:t>
                                  </w:r>
                                </w:p>
                                <w:p w14:paraId="70496A00"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(21%)</w:t>
                                  </w:r>
                                </w:p>
                              </w:tc>
                              <w:tc>
                                <w:tcPr>
                                  <w:tcW w:w="960" w:type="dxa"/>
                                  <w:tcBorders>
                                    <w:top w:val="nil"/>
                                    <w:left w:val="nil"/>
                                    <w:bottom w:val="single" w:sz="4" w:space="0" w:color="auto"/>
                                    <w:right w:val="single" w:sz="4" w:space="0" w:color="auto"/>
                                  </w:tcBorders>
                                  <w:shd w:val="clear" w:color="auto" w:fill="auto"/>
                                  <w:noWrap/>
                                  <w:vAlign w:val="bottom"/>
                                  <w:hideMark/>
                                </w:tcPr>
                                <w:p w14:paraId="4B747A1C" w14:textId="77777777" w:rsidR="002668C9"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4</w:t>
                                  </w:r>
                                  <w:r>
                                    <w:rPr>
                                      <w:rFonts w:eastAsia="Times New Roman" w:cs="Times New Roman"/>
                                      <w:color w:val="000000"/>
                                      <w:lang w:eastAsia="en-GB"/>
                                    </w:rPr>
                                    <w:t xml:space="preserve"> </w:t>
                                  </w:r>
                                </w:p>
                                <w:p w14:paraId="4E7D649B"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(14%)</w:t>
                                  </w:r>
                                </w:p>
                              </w:tc>
                              <w:tc>
                                <w:tcPr>
                                  <w:tcW w:w="960" w:type="dxa"/>
                                  <w:tcBorders>
                                    <w:top w:val="nil"/>
                                    <w:left w:val="nil"/>
                                    <w:bottom w:val="single" w:sz="4" w:space="0" w:color="auto"/>
                                    <w:right w:val="single" w:sz="4" w:space="0" w:color="auto"/>
                                  </w:tcBorders>
                                  <w:shd w:val="clear" w:color="auto" w:fill="auto"/>
                                  <w:noWrap/>
                                  <w:vAlign w:val="bottom"/>
                                  <w:hideMark/>
                                </w:tcPr>
                                <w:p w14:paraId="3B895F62" w14:textId="77777777" w:rsidR="002668C9"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5</w:t>
                                  </w:r>
                                  <w:r>
                                    <w:rPr>
                                      <w:rFonts w:eastAsia="Times New Roman" w:cs="Times New Roman"/>
                                      <w:color w:val="000000"/>
                                      <w:lang w:eastAsia="en-GB"/>
                                    </w:rPr>
                                    <w:t xml:space="preserve"> </w:t>
                                  </w:r>
                                </w:p>
                                <w:p w14:paraId="201CFA9C"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(18%)</w:t>
                                  </w:r>
                                </w:p>
                              </w:tc>
                              <w:tc>
                                <w:tcPr>
                                  <w:tcW w:w="718" w:type="dxa"/>
                                  <w:tcBorders>
                                    <w:top w:val="nil"/>
                                    <w:left w:val="nil"/>
                                    <w:bottom w:val="nil"/>
                                    <w:right w:val="nil"/>
                                  </w:tcBorders>
                                  <w:shd w:val="clear" w:color="auto" w:fill="auto"/>
                                  <w:noWrap/>
                                  <w:vAlign w:val="bottom"/>
                                  <w:hideMark/>
                                </w:tcPr>
                                <w:p w14:paraId="12C6FB81" w14:textId="77777777" w:rsidR="002668C9" w:rsidRPr="007272BF" w:rsidRDefault="002668C9" w:rsidP="0074418A">
                                  <w:pPr>
                                    <w:jc w:val="center"/>
                                    <w:rPr>
                                      <w:rFonts w:eastAsia="Times New Roman" w:cs="Times New Roman"/>
                                      <w:color w:val="000000"/>
                                      <w:lang w:eastAsia="en-GB"/>
                                    </w:rPr>
                                  </w:pPr>
                                </w:p>
                              </w:tc>
                            </w:tr>
                          </w:tbl>
                          <w:bookmarkEnd w:id="24"/>
                          <w:p w14:paraId="24A7318D" w14:textId="77777777" w:rsidR="002668C9" w:rsidRPr="00880152" w:rsidRDefault="002668C9" w:rsidP="002668C9">
                            <w:pPr>
                              <w:rPr>
                                <w:lang w:val="en-US"/>
                              </w:rPr>
                            </w:pPr>
                            <w:r>
                              <w:rPr>
                                <w:vertAlign w:val="superscript"/>
                                <w:lang w:val="en-US"/>
                              </w:rPr>
                              <w:t>A</w:t>
                            </w:r>
                            <w:r>
                              <w:rPr>
                                <w:lang w:val="en-US"/>
                              </w:rPr>
                              <w:t xml:space="preserve"> </w:t>
                            </w:r>
                            <w:r>
                              <w:rPr>
                                <w:b/>
                                <w:lang w:val="en-US"/>
                              </w:rPr>
                              <w:t xml:space="preserve">Key criteria: </w:t>
                            </w:r>
                            <w:r>
                              <w:rPr>
                                <w:lang w:val="en-US"/>
                              </w:rPr>
                              <w:t>D1: Choosing a trial design; D2: Considering who will deliver the intervention; D3: Ensuring that the intervention is standardised; D4: Anticipating changes in delivery over time; D5: Estimating the sample size; D6: Ensuring balance of treatment within centre and treatment provider; A1: When the randomization was stratified; A2: When analyzing the primary outcome; A3: Analysing multicenter trials; A4: Methods for investigating the learning curve; A5: Methods for investigating clustering.</w:t>
                            </w:r>
                          </w:p>
                        </w:txbxContent>
                      </wps:txbx>
                      <wps:bodyPr rot="0" vert="horz" wrap="square" lIns="91440" tIns="45720" rIns="91440" bIns="45720" anchor="t" anchorCtr="0">
                        <a:noAutofit/>
                      </wps:bodyPr>
                    </wps:wsp>
                  </a:graphicData>
                </a:graphic>
              </wp:inline>
            </w:drawing>
          </mc:Choice>
          <mc:Fallback>
            <w:pict>
              <v:shape w14:anchorId="3322F5DA" id="Text Box 211" o:spid="_x0000_s1029" type="#_x0000_t202" style="width:693.35pt;height:413.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RRFgIAAA0EAAAOAAAAZHJzL2Uyb0RvYy54bWysU9uO2jAQfa/Uf7D8XgIUKBsRVlu2VJW2&#10;F2nbD3Bsh1h1PO7YkNCv79ggQNu3qnmwZjyTM3POjFf3Q2fZQWMw4Co+GY05006CMm5X8R/ft2+W&#10;nIUonBIWnK74UQd+v379atX7Uk+hBas0MgJxoex9xdsYfVkUQba6E2EEXjsKNoCdiOTirlAoekLv&#10;bDEdjxdFD6g8gtQh0O3jKcjXGb9ptIxfmyboyGzFqbeYT8xnnc5ivRLlDoVvjTy3If6hi04YR0Uv&#10;UI8iCrZH8xdUZyRCgCaOJHQFNI2ROnMgNpPxCzbPrfA6cyFxgr/IFP4frPxyePbfkMXhPQw0wEwi&#10;+CeQPwNzsGmF2+kHROhbLRQVniTJit6H8vxrkjqUIYHU/WdQNGSxj5CBhgY7hkCqTxY0LfryNdFm&#10;VIzmcbzMQA+RSbpcLsfzBeUxSbH5NNl5SoUoE1rS2GOIHzV0LBkVRxpyhhWHpxBTd9eUlB7AGrU1&#10;1mYHd/XGIjsIWoht/jKhF2nWsb7id1Q/IztI/+dd6UykhbWmo1ZPjPJ1UueDU9mOwtiTTZ1Yd5Yr&#10;KXTSKg71wIyq+NtUOqlXgzqSflkpok7viXi1gL8562k3Kx5+7QVqzuwnRzO4m8xmaZmzM5u/m5KD&#10;t5H6NiKcJKiKR85O5ibmB5DkcPBAs2pMlu3aybll2rms5vl9pKW+9XPW9RWv/wAAAP//AwBQSwME&#10;FAAGAAgAAAAhAKFicCnfAAAABgEAAA8AAABkcnMvZG93bnJldi54bWxMj09Lw0AQxe+C32EZwYvY&#10;jVWSGLMpUvxDL4JVhN622TEJZmdDdtpGP72jF708GN7jvd+Ui8n3ao9j7AIZuJgloJDq4DpqDLy+&#10;3J/noCJbcrYPhAY+McKiOj4qbeHCgZ5xv+ZGSQnFwhpomYdC61i36G2chQFJvPcwestyjo12oz1I&#10;ue/1PElS7W1HstDaAZct1h/rnTeQPT6lG176r27zkKyu7878arh6M+b0ZLq9AcU48V8YfvAFHSph&#10;2oYduah6A/II/6p4+TzLQG0ldJmnGeiq1P/xq28AAAD//wMAUEsBAi0AFAAGAAgAAAAhALaDOJL+&#10;AAAA4QEAABMAAAAAAAAAAAAAAAAAAAAAAFtDb250ZW50X1R5cGVzXS54bWxQSwECLQAUAAYACAAA&#10;ACEAOP0h/9YAAACUAQAACwAAAAAAAAAAAAAAAAAvAQAAX3JlbHMvLnJlbHNQSwECLQAUAAYACAAA&#10;ACEAqUIUURYCAAANBAAADgAAAAAAAAAAAAAAAAAuAgAAZHJzL2Uyb0RvYy54bWxQSwECLQAUAAYA&#10;CAAAACEAoWJwKd8AAAAGAQAADwAAAAAAAAAAAAAAAABwBAAAZHJzL2Rvd25yZXYueG1sUEsFBgAA&#10;AAAEAAQA8wAAAHwFAAAAAA==&#10;" stroked="f">
                <v:textbox>
                  <w:txbxContent>
                    <w:p w14:paraId="76606610" w14:textId="327E8667" w:rsidR="002668C9" w:rsidRDefault="002668C9" w:rsidP="002668C9">
                      <w:pPr>
                        <w:pStyle w:val="Caption"/>
                        <w:keepNext/>
                        <w:spacing w:line="360" w:lineRule="auto"/>
                      </w:pPr>
                      <w:r>
                        <w:t xml:space="preserve">Supplementary Table 1: Key criteria coverage across documents summary </w:t>
                      </w:r>
                    </w:p>
                    <w:tbl>
                      <w:tblPr>
                        <w:tblW w:w="13346" w:type="dxa"/>
                        <w:tblLook w:val="04A0" w:firstRow="1" w:lastRow="0" w:firstColumn="1" w:lastColumn="0" w:noHBand="0" w:noVBand="1"/>
                      </w:tblPr>
                      <w:tblGrid>
                        <w:gridCol w:w="2068"/>
                        <w:gridCol w:w="960"/>
                        <w:gridCol w:w="960"/>
                        <w:gridCol w:w="960"/>
                        <w:gridCol w:w="960"/>
                        <w:gridCol w:w="960"/>
                        <w:gridCol w:w="960"/>
                        <w:gridCol w:w="960"/>
                        <w:gridCol w:w="960"/>
                        <w:gridCol w:w="960"/>
                        <w:gridCol w:w="960"/>
                        <w:gridCol w:w="960"/>
                        <w:gridCol w:w="718"/>
                      </w:tblGrid>
                      <w:tr w:rsidR="002668C9" w:rsidRPr="007272BF" w14:paraId="72569DA4" w14:textId="77777777" w:rsidTr="00EB36D2">
                        <w:trPr>
                          <w:trHeight w:val="290"/>
                          <w:tblHeader/>
                        </w:trPr>
                        <w:tc>
                          <w:tcPr>
                            <w:tcW w:w="20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B38779C" w14:textId="77777777" w:rsidR="002668C9" w:rsidRPr="007272BF"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Document</w:t>
                            </w:r>
                          </w:p>
                        </w:tc>
                        <w:tc>
                          <w:tcPr>
                            <w:tcW w:w="10560" w:type="dxa"/>
                            <w:gridSpan w:val="11"/>
                            <w:tcBorders>
                              <w:top w:val="single" w:sz="4" w:space="0" w:color="auto"/>
                              <w:left w:val="nil"/>
                              <w:bottom w:val="single" w:sz="4" w:space="0" w:color="auto"/>
                              <w:right w:val="single" w:sz="4" w:space="0" w:color="auto"/>
                            </w:tcBorders>
                            <w:shd w:val="clear" w:color="auto" w:fill="auto"/>
                            <w:noWrap/>
                            <w:vAlign w:val="bottom"/>
                            <w:hideMark/>
                          </w:tcPr>
                          <w:p w14:paraId="705188FD" w14:textId="77777777" w:rsidR="002668C9" w:rsidRPr="00490779" w:rsidRDefault="002668C9" w:rsidP="0074418A">
                            <w:pPr>
                              <w:jc w:val="center"/>
                              <w:rPr>
                                <w:rFonts w:eastAsia="Times New Roman" w:cs="Times New Roman"/>
                                <w:b/>
                                <w:bCs/>
                                <w:color w:val="000000"/>
                                <w:vertAlign w:val="superscript"/>
                                <w:lang w:eastAsia="en-GB"/>
                              </w:rPr>
                            </w:pPr>
                            <w:r w:rsidRPr="007272BF">
                              <w:rPr>
                                <w:rFonts w:eastAsia="Times New Roman" w:cs="Times New Roman"/>
                                <w:b/>
                                <w:bCs/>
                                <w:color w:val="000000"/>
                                <w:lang w:eastAsia="en-GB"/>
                              </w:rPr>
                              <w:t>Key criteria</w:t>
                            </w:r>
                            <w:r>
                              <w:rPr>
                                <w:rFonts w:eastAsia="Times New Roman" w:cs="Times New Roman"/>
                                <w:b/>
                                <w:bCs/>
                                <w:color w:val="000000"/>
                                <w:lang w:eastAsia="en-GB"/>
                              </w:rPr>
                              <w:t xml:space="preserve"> </w:t>
                            </w:r>
                            <w:r>
                              <w:rPr>
                                <w:rFonts w:eastAsia="Times New Roman" w:cs="Times New Roman"/>
                                <w:b/>
                                <w:bCs/>
                                <w:color w:val="000000"/>
                                <w:vertAlign w:val="superscript"/>
                                <w:lang w:eastAsia="en-GB"/>
                              </w:rPr>
                              <w:t>A</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152B7" w14:textId="77777777" w:rsidR="002668C9"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Total</w:t>
                            </w:r>
                          </w:p>
                          <w:p w14:paraId="64CEF33F" w14:textId="77777777" w:rsidR="002668C9" w:rsidRPr="007272BF" w:rsidRDefault="002668C9" w:rsidP="0074418A">
                            <w:pPr>
                              <w:jc w:val="center"/>
                              <w:rPr>
                                <w:rFonts w:eastAsia="Times New Roman" w:cs="Times New Roman"/>
                                <w:bCs/>
                                <w:color w:val="000000"/>
                                <w:lang w:eastAsia="en-GB"/>
                              </w:rPr>
                            </w:pPr>
                            <w:r>
                              <w:rPr>
                                <w:rFonts w:eastAsia="Times New Roman" w:cs="Times New Roman"/>
                                <w:bCs/>
                                <w:color w:val="000000"/>
                                <w:lang w:eastAsia="en-GB"/>
                              </w:rPr>
                              <w:t>n</w:t>
                            </w:r>
                          </w:p>
                        </w:tc>
                      </w:tr>
                      <w:tr w:rsidR="002668C9" w:rsidRPr="007272BF" w14:paraId="699DB47F" w14:textId="77777777" w:rsidTr="00EB36D2">
                        <w:trPr>
                          <w:trHeight w:val="290"/>
                          <w:tblHeader/>
                        </w:trPr>
                        <w:tc>
                          <w:tcPr>
                            <w:tcW w:w="2068" w:type="dxa"/>
                            <w:vMerge/>
                            <w:tcBorders>
                              <w:top w:val="single" w:sz="4" w:space="0" w:color="auto"/>
                              <w:left w:val="single" w:sz="4" w:space="0" w:color="auto"/>
                              <w:bottom w:val="single" w:sz="4" w:space="0" w:color="000000"/>
                              <w:right w:val="single" w:sz="4" w:space="0" w:color="auto"/>
                            </w:tcBorders>
                            <w:vAlign w:val="center"/>
                            <w:hideMark/>
                          </w:tcPr>
                          <w:p w14:paraId="7FEA80AE" w14:textId="77777777" w:rsidR="002668C9" w:rsidRPr="007272BF" w:rsidRDefault="002668C9" w:rsidP="0074418A">
                            <w:pPr>
                              <w:rPr>
                                <w:rFonts w:eastAsia="Times New Roman" w:cs="Times New Roman"/>
                                <w:b/>
                                <w:bCs/>
                                <w:color w:val="000000"/>
                                <w:lang w:eastAsia="en-GB"/>
                              </w:rPr>
                            </w:pP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25786D3" w14:textId="77777777" w:rsidR="002668C9" w:rsidRPr="007272BF"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Design</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2DC30FB" w14:textId="77777777" w:rsidR="002668C9" w:rsidRPr="007272BF" w:rsidRDefault="002668C9" w:rsidP="0074418A">
                            <w:pPr>
                              <w:jc w:val="center"/>
                              <w:rPr>
                                <w:rFonts w:eastAsia="Times New Roman" w:cs="Times New Roman"/>
                                <w:b/>
                                <w:bCs/>
                                <w:color w:val="000000"/>
                                <w:lang w:eastAsia="en-GB"/>
                              </w:rPr>
                            </w:pPr>
                            <w:r w:rsidRPr="007272BF">
                              <w:rPr>
                                <w:rFonts w:eastAsia="Times New Roman" w:cs="Times New Roman"/>
                                <w:b/>
                                <w:bCs/>
                                <w:color w:val="000000"/>
                                <w:lang w:eastAsia="en-GB"/>
                              </w:rPr>
                              <w:t>Analysis</w:t>
                            </w:r>
                          </w:p>
                        </w:tc>
                        <w:tc>
                          <w:tcPr>
                            <w:tcW w:w="718" w:type="dxa"/>
                            <w:vMerge/>
                            <w:tcBorders>
                              <w:top w:val="single" w:sz="4" w:space="0" w:color="auto"/>
                              <w:left w:val="single" w:sz="4" w:space="0" w:color="auto"/>
                              <w:bottom w:val="single" w:sz="4" w:space="0" w:color="auto"/>
                              <w:right w:val="single" w:sz="4" w:space="0" w:color="auto"/>
                            </w:tcBorders>
                            <w:vAlign w:val="center"/>
                            <w:hideMark/>
                          </w:tcPr>
                          <w:p w14:paraId="644FEF56" w14:textId="77777777" w:rsidR="002668C9" w:rsidRPr="007272BF" w:rsidRDefault="002668C9" w:rsidP="0074418A">
                            <w:pPr>
                              <w:rPr>
                                <w:rFonts w:eastAsia="Times New Roman" w:cs="Times New Roman"/>
                                <w:b/>
                                <w:bCs/>
                                <w:color w:val="000000"/>
                                <w:lang w:eastAsia="en-GB"/>
                              </w:rPr>
                            </w:pPr>
                          </w:p>
                        </w:tc>
                      </w:tr>
                      <w:tr w:rsidR="002668C9" w:rsidRPr="007272BF" w14:paraId="4EB35E1B" w14:textId="77777777" w:rsidTr="00EB36D2">
                        <w:trPr>
                          <w:trHeight w:val="290"/>
                          <w:tblHeader/>
                        </w:trPr>
                        <w:tc>
                          <w:tcPr>
                            <w:tcW w:w="2068" w:type="dxa"/>
                            <w:vMerge/>
                            <w:tcBorders>
                              <w:top w:val="single" w:sz="4" w:space="0" w:color="auto"/>
                              <w:left w:val="single" w:sz="4" w:space="0" w:color="auto"/>
                              <w:bottom w:val="single" w:sz="4" w:space="0" w:color="000000"/>
                              <w:right w:val="single" w:sz="4" w:space="0" w:color="auto"/>
                            </w:tcBorders>
                            <w:vAlign w:val="center"/>
                            <w:hideMark/>
                          </w:tcPr>
                          <w:p w14:paraId="62224872" w14:textId="77777777" w:rsidR="002668C9" w:rsidRPr="007272BF" w:rsidRDefault="002668C9" w:rsidP="0074418A">
                            <w:pPr>
                              <w:rPr>
                                <w:rFonts w:eastAsia="Times New Roman" w:cs="Times New Roman"/>
                                <w:b/>
                                <w:bCs/>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5842353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D1</w:t>
                            </w:r>
                          </w:p>
                        </w:tc>
                        <w:tc>
                          <w:tcPr>
                            <w:tcW w:w="960" w:type="dxa"/>
                            <w:tcBorders>
                              <w:top w:val="nil"/>
                              <w:left w:val="nil"/>
                              <w:bottom w:val="single" w:sz="4" w:space="0" w:color="auto"/>
                              <w:right w:val="single" w:sz="4" w:space="0" w:color="auto"/>
                            </w:tcBorders>
                            <w:shd w:val="clear" w:color="auto" w:fill="auto"/>
                            <w:noWrap/>
                            <w:vAlign w:val="bottom"/>
                            <w:hideMark/>
                          </w:tcPr>
                          <w:p w14:paraId="7F00B68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D2</w:t>
                            </w:r>
                          </w:p>
                        </w:tc>
                        <w:tc>
                          <w:tcPr>
                            <w:tcW w:w="960" w:type="dxa"/>
                            <w:tcBorders>
                              <w:top w:val="nil"/>
                              <w:left w:val="nil"/>
                              <w:bottom w:val="single" w:sz="4" w:space="0" w:color="auto"/>
                              <w:right w:val="single" w:sz="4" w:space="0" w:color="auto"/>
                            </w:tcBorders>
                            <w:shd w:val="clear" w:color="auto" w:fill="auto"/>
                            <w:noWrap/>
                            <w:vAlign w:val="bottom"/>
                            <w:hideMark/>
                          </w:tcPr>
                          <w:p w14:paraId="5968402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D3</w:t>
                            </w:r>
                          </w:p>
                        </w:tc>
                        <w:tc>
                          <w:tcPr>
                            <w:tcW w:w="960" w:type="dxa"/>
                            <w:tcBorders>
                              <w:top w:val="nil"/>
                              <w:left w:val="nil"/>
                              <w:bottom w:val="single" w:sz="4" w:space="0" w:color="auto"/>
                              <w:right w:val="single" w:sz="4" w:space="0" w:color="auto"/>
                            </w:tcBorders>
                            <w:shd w:val="clear" w:color="auto" w:fill="auto"/>
                            <w:noWrap/>
                            <w:vAlign w:val="bottom"/>
                            <w:hideMark/>
                          </w:tcPr>
                          <w:p w14:paraId="0F72C90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D4</w:t>
                            </w:r>
                          </w:p>
                        </w:tc>
                        <w:tc>
                          <w:tcPr>
                            <w:tcW w:w="960" w:type="dxa"/>
                            <w:tcBorders>
                              <w:top w:val="nil"/>
                              <w:left w:val="nil"/>
                              <w:bottom w:val="single" w:sz="4" w:space="0" w:color="auto"/>
                              <w:right w:val="single" w:sz="4" w:space="0" w:color="auto"/>
                            </w:tcBorders>
                            <w:shd w:val="clear" w:color="auto" w:fill="auto"/>
                            <w:noWrap/>
                            <w:vAlign w:val="bottom"/>
                            <w:hideMark/>
                          </w:tcPr>
                          <w:p w14:paraId="4197D53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D5</w:t>
                            </w:r>
                          </w:p>
                        </w:tc>
                        <w:tc>
                          <w:tcPr>
                            <w:tcW w:w="960" w:type="dxa"/>
                            <w:tcBorders>
                              <w:top w:val="nil"/>
                              <w:left w:val="nil"/>
                              <w:bottom w:val="single" w:sz="4" w:space="0" w:color="auto"/>
                              <w:right w:val="single" w:sz="4" w:space="0" w:color="auto"/>
                            </w:tcBorders>
                            <w:shd w:val="clear" w:color="auto" w:fill="auto"/>
                            <w:noWrap/>
                            <w:vAlign w:val="bottom"/>
                            <w:hideMark/>
                          </w:tcPr>
                          <w:p w14:paraId="78DC2CA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D6</w:t>
                            </w:r>
                          </w:p>
                        </w:tc>
                        <w:tc>
                          <w:tcPr>
                            <w:tcW w:w="960" w:type="dxa"/>
                            <w:tcBorders>
                              <w:top w:val="nil"/>
                              <w:left w:val="nil"/>
                              <w:bottom w:val="single" w:sz="4" w:space="0" w:color="auto"/>
                              <w:right w:val="single" w:sz="4" w:space="0" w:color="auto"/>
                            </w:tcBorders>
                            <w:shd w:val="clear" w:color="auto" w:fill="auto"/>
                            <w:noWrap/>
                            <w:vAlign w:val="bottom"/>
                            <w:hideMark/>
                          </w:tcPr>
                          <w:p w14:paraId="31A9AB9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A1</w:t>
                            </w:r>
                          </w:p>
                        </w:tc>
                        <w:tc>
                          <w:tcPr>
                            <w:tcW w:w="960" w:type="dxa"/>
                            <w:tcBorders>
                              <w:top w:val="nil"/>
                              <w:left w:val="nil"/>
                              <w:bottom w:val="single" w:sz="4" w:space="0" w:color="auto"/>
                              <w:right w:val="single" w:sz="4" w:space="0" w:color="auto"/>
                            </w:tcBorders>
                            <w:shd w:val="clear" w:color="auto" w:fill="auto"/>
                            <w:noWrap/>
                            <w:vAlign w:val="bottom"/>
                            <w:hideMark/>
                          </w:tcPr>
                          <w:p w14:paraId="55282D7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A2</w:t>
                            </w:r>
                          </w:p>
                        </w:tc>
                        <w:tc>
                          <w:tcPr>
                            <w:tcW w:w="960" w:type="dxa"/>
                            <w:tcBorders>
                              <w:top w:val="nil"/>
                              <w:left w:val="nil"/>
                              <w:bottom w:val="single" w:sz="4" w:space="0" w:color="auto"/>
                              <w:right w:val="single" w:sz="4" w:space="0" w:color="auto"/>
                            </w:tcBorders>
                            <w:shd w:val="clear" w:color="auto" w:fill="auto"/>
                            <w:noWrap/>
                            <w:vAlign w:val="bottom"/>
                            <w:hideMark/>
                          </w:tcPr>
                          <w:p w14:paraId="01664E1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A3</w:t>
                            </w:r>
                          </w:p>
                        </w:tc>
                        <w:tc>
                          <w:tcPr>
                            <w:tcW w:w="960" w:type="dxa"/>
                            <w:tcBorders>
                              <w:top w:val="nil"/>
                              <w:left w:val="nil"/>
                              <w:bottom w:val="single" w:sz="4" w:space="0" w:color="auto"/>
                              <w:right w:val="single" w:sz="4" w:space="0" w:color="auto"/>
                            </w:tcBorders>
                            <w:shd w:val="clear" w:color="auto" w:fill="auto"/>
                            <w:noWrap/>
                            <w:vAlign w:val="bottom"/>
                            <w:hideMark/>
                          </w:tcPr>
                          <w:p w14:paraId="4CCE598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A4</w:t>
                            </w:r>
                          </w:p>
                        </w:tc>
                        <w:tc>
                          <w:tcPr>
                            <w:tcW w:w="960" w:type="dxa"/>
                            <w:tcBorders>
                              <w:top w:val="nil"/>
                              <w:left w:val="nil"/>
                              <w:bottom w:val="single" w:sz="4" w:space="0" w:color="auto"/>
                              <w:right w:val="single" w:sz="4" w:space="0" w:color="auto"/>
                            </w:tcBorders>
                            <w:shd w:val="clear" w:color="auto" w:fill="auto"/>
                            <w:noWrap/>
                            <w:vAlign w:val="bottom"/>
                            <w:hideMark/>
                          </w:tcPr>
                          <w:p w14:paraId="234CE74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A5</w:t>
                            </w:r>
                          </w:p>
                        </w:tc>
                        <w:tc>
                          <w:tcPr>
                            <w:tcW w:w="718" w:type="dxa"/>
                            <w:vMerge/>
                            <w:tcBorders>
                              <w:top w:val="single" w:sz="4" w:space="0" w:color="auto"/>
                              <w:left w:val="single" w:sz="4" w:space="0" w:color="auto"/>
                              <w:bottom w:val="single" w:sz="4" w:space="0" w:color="auto"/>
                              <w:right w:val="single" w:sz="4" w:space="0" w:color="auto"/>
                            </w:tcBorders>
                            <w:vAlign w:val="center"/>
                            <w:hideMark/>
                          </w:tcPr>
                          <w:p w14:paraId="5851A1A7" w14:textId="77777777" w:rsidR="002668C9" w:rsidRPr="007272BF" w:rsidRDefault="002668C9" w:rsidP="0074418A">
                            <w:pPr>
                              <w:rPr>
                                <w:rFonts w:eastAsia="Times New Roman" w:cs="Times New Roman"/>
                                <w:b/>
                                <w:bCs/>
                                <w:color w:val="000000"/>
                                <w:lang w:eastAsia="en-GB"/>
                              </w:rPr>
                            </w:pPr>
                          </w:p>
                        </w:tc>
                      </w:tr>
                      <w:tr w:rsidR="002668C9" w:rsidRPr="007272BF" w14:paraId="02BAA9E3" w14:textId="77777777" w:rsidTr="00613B9B">
                        <w:trPr>
                          <w:trHeight w:val="290"/>
                        </w:trPr>
                        <w:tc>
                          <w:tcPr>
                            <w:tcW w:w="2068" w:type="dxa"/>
                            <w:tcBorders>
                              <w:top w:val="nil"/>
                              <w:left w:val="single" w:sz="4" w:space="0" w:color="auto"/>
                              <w:bottom w:val="nil"/>
                              <w:right w:val="single" w:sz="4" w:space="0" w:color="auto"/>
                            </w:tcBorders>
                            <w:shd w:val="clear" w:color="auto" w:fill="auto"/>
                            <w:noWrap/>
                            <w:vAlign w:val="bottom"/>
                          </w:tcPr>
                          <w:p w14:paraId="522E14DD" w14:textId="77777777" w:rsidR="002668C9" w:rsidRPr="007272BF" w:rsidRDefault="002668C9" w:rsidP="00613B9B">
                            <w:pPr>
                              <w:rPr>
                                <w:rFonts w:eastAsia="Times New Roman" w:cs="Times New Roman"/>
                                <w:i/>
                                <w:iCs/>
                                <w:color w:val="000000"/>
                                <w:lang w:eastAsia="en-GB"/>
                              </w:rPr>
                            </w:pPr>
                            <w:bookmarkStart w:id="25" w:name="_Hlk95909203"/>
                            <w:r>
                              <w:rPr>
                                <w:rFonts w:eastAsia="Times New Roman" w:cs="Times New Roman"/>
                                <w:i/>
                                <w:iCs/>
                                <w:color w:val="000000"/>
                                <w:lang w:eastAsia="en-GB"/>
                              </w:rPr>
                              <w:t>Schultz, 2011</w:t>
                            </w:r>
                          </w:p>
                        </w:tc>
                        <w:tc>
                          <w:tcPr>
                            <w:tcW w:w="960" w:type="dxa"/>
                            <w:tcBorders>
                              <w:top w:val="nil"/>
                              <w:left w:val="nil"/>
                              <w:bottom w:val="nil"/>
                              <w:right w:val="single" w:sz="4" w:space="0" w:color="auto"/>
                            </w:tcBorders>
                            <w:shd w:val="clear" w:color="auto" w:fill="D0CECE" w:themeFill="background2" w:themeFillShade="E6"/>
                            <w:noWrap/>
                            <w:vAlign w:val="bottom"/>
                          </w:tcPr>
                          <w:p w14:paraId="4CE34112"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tcPr>
                          <w:p w14:paraId="454420C3"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tcPr>
                          <w:p w14:paraId="61A9AEC8"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tcPr>
                          <w:p w14:paraId="45A3159C"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C80CB2E"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3FF5E75"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6D77191"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522C90F4"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12C1D336"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30D067AE"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tcPr>
                          <w:p w14:paraId="4626465E"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tcPr>
                          <w:p w14:paraId="45665AEA" w14:textId="77777777" w:rsidR="002668C9" w:rsidRPr="007272BF" w:rsidRDefault="002668C9" w:rsidP="00613B9B">
                            <w:pPr>
                              <w:jc w:val="center"/>
                              <w:rPr>
                                <w:rFonts w:eastAsia="Times New Roman" w:cs="Times New Roman"/>
                                <w:color w:val="000000"/>
                                <w:lang w:eastAsia="en-GB"/>
                              </w:rPr>
                            </w:pPr>
                            <w:r>
                              <w:rPr>
                                <w:rFonts w:eastAsia="Times New Roman" w:cs="Times New Roman"/>
                                <w:color w:val="000000"/>
                                <w:lang w:eastAsia="en-GB"/>
                              </w:rPr>
                              <w:t>2</w:t>
                            </w:r>
                          </w:p>
                        </w:tc>
                      </w:tr>
                      <w:tr w:rsidR="002668C9" w:rsidRPr="007272BF" w14:paraId="21DC3C1A"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00C2B276"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Vanhie et al, 2016</w:t>
                            </w:r>
                          </w:p>
                        </w:tc>
                        <w:tc>
                          <w:tcPr>
                            <w:tcW w:w="960" w:type="dxa"/>
                            <w:tcBorders>
                              <w:top w:val="nil"/>
                              <w:left w:val="nil"/>
                              <w:bottom w:val="nil"/>
                              <w:right w:val="single" w:sz="4" w:space="0" w:color="auto"/>
                            </w:tcBorders>
                            <w:shd w:val="clear" w:color="auto" w:fill="auto"/>
                            <w:noWrap/>
                            <w:vAlign w:val="bottom"/>
                            <w:hideMark/>
                          </w:tcPr>
                          <w:p w14:paraId="484518A2"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1DCEC86F"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D0CECE" w:themeFill="background2" w:themeFillShade="E6"/>
                            <w:noWrap/>
                            <w:vAlign w:val="bottom"/>
                            <w:hideMark/>
                          </w:tcPr>
                          <w:p w14:paraId="20EC178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nil"/>
                              <w:right w:val="single" w:sz="4" w:space="0" w:color="auto"/>
                            </w:tcBorders>
                            <w:shd w:val="clear" w:color="auto" w:fill="auto"/>
                            <w:noWrap/>
                            <w:vAlign w:val="bottom"/>
                            <w:hideMark/>
                          </w:tcPr>
                          <w:p w14:paraId="1C4E66C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06CA0C5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1047CE2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DBC8DA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35921CB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4163D63E"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E1EF2D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4573F0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5218F0D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1</w:t>
                            </w:r>
                          </w:p>
                        </w:tc>
                      </w:tr>
                      <w:tr w:rsidR="002668C9" w:rsidRPr="007272BF" w14:paraId="7FB01635" w14:textId="77777777" w:rsidTr="00EB36D2">
                        <w:trPr>
                          <w:trHeight w:val="290"/>
                        </w:trPr>
                        <w:tc>
                          <w:tcPr>
                            <w:tcW w:w="2068" w:type="dxa"/>
                            <w:tcBorders>
                              <w:top w:val="nil"/>
                              <w:left w:val="single" w:sz="4" w:space="0" w:color="auto"/>
                              <w:bottom w:val="nil"/>
                              <w:right w:val="single" w:sz="4" w:space="0" w:color="auto"/>
                            </w:tcBorders>
                            <w:shd w:val="clear" w:color="auto" w:fill="auto"/>
                            <w:noWrap/>
                            <w:vAlign w:val="bottom"/>
                            <w:hideMark/>
                          </w:tcPr>
                          <w:p w14:paraId="18FA7CAD"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Wang, 2007</w:t>
                            </w:r>
                          </w:p>
                        </w:tc>
                        <w:tc>
                          <w:tcPr>
                            <w:tcW w:w="960" w:type="dxa"/>
                            <w:tcBorders>
                              <w:top w:val="nil"/>
                              <w:left w:val="nil"/>
                              <w:bottom w:val="nil"/>
                              <w:right w:val="single" w:sz="4" w:space="0" w:color="auto"/>
                            </w:tcBorders>
                            <w:shd w:val="clear" w:color="auto" w:fill="auto"/>
                            <w:noWrap/>
                            <w:vAlign w:val="bottom"/>
                            <w:hideMark/>
                          </w:tcPr>
                          <w:p w14:paraId="5C8DBA6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4435258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45ECE47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2C06575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0A518CD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75949441"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60086963"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3DBFEAD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06A0CE7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621E547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nil"/>
                              <w:right w:val="single" w:sz="4" w:space="0" w:color="auto"/>
                            </w:tcBorders>
                            <w:shd w:val="clear" w:color="auto" w:fill="auto"/>
                            <w:noWrap/>
                            <w:vAlign w:val="bottom"/>
                            <w:hideMark/>
                          </w:tcPr>
                          <w:p w14:paraId="409B6F3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nil"/>
                              <w:right w:val="single" w:sz="4" w:space="0" w:color="auto"/>
                            </w:tcBorders>
                            <w:shd w:val="clear" w:color="auto" w:fill="auto"/>
                            <w:noWrap/>
                            <w:vAlign w:val="bottom"/>
                            <w:hideMark/>
                          </w:tcPr>
                          <w:p w14:paraId="2607435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0</w:t>
                            </w:r>
                          </w:p>
                        </w:tc>
                      </w:tr>
                      <w:tr w:rsidR="002668C9" w:rsidRPr="007272BF" w14:paraId="6A1D16E7" w14:textId="77777777" w:rsidTr="00EB36D2">
                        <w:trPr>
                          <w:trHeight w:val="290"/>
                        </w:trPr>
                        <w:tc>
                          <w:tcPr>
                            <w:tcW w:w="2068" w:type="dxa"/>
                            <w:tcBorders>
                              <w:top w:val="nil"/>
                              <w:left w:val="single" w:sz="4" w:space="0" w:color="auto"/>
                              <w:bottom w:val="single" w:sz="4" w:space="0" w:color="auto"/>
                              <w:right w:val="single" w:sz="4" w:space="0" w:color="auto"/>
                            </w:tcBorders>
                            <w:shd w:val="clear" w:color="auto" w:fill="auto"/>
                            <w:noWrap/>
                            <w:vAlign w:val="bottom"/>
                            <w:hideMark/>
                          </w:tcPr>
                          <w:p w14:paraId="2150DDC6" w14:textId="77777777" w:rsidR="002668C9" w:rsidRPr="007272BF" w:rsidRDefault="002668C9" w:rsidP="0074418A">
                            <w:pPr>
                              <w:rPr>
                                <w:rFonts w:eastAsia="Times New Roman" w:cs="Times New Roman"/>
                                <w:i/>
                                <w:iCs/>
                                <w:color w:val="000000"/>
                                <w:lang w:eastAsia="en-GB"/>
                              </w:rPr>
                            </w:pPr>
                            <w:r w:rsidRPr="007272BF">
                              <w:rPr>
                                <w:rFonts w:eastAsia="Times New Roman" w:cs="Times New Roman"/>
                                <w:i/>
                                <w:iCs/>
                                <w:color w:val="000000"/>
                                <w:lang w:eastAsia="en-GB"/>
                              </w:rPr>
                              <w:t>Zwarenstein, 2008</w:t>
                            </w:r>
                          </w:p>
                        </w:tc>
                        <w:tc>
                          <w:tcPr>
                            <w:tcW w:w="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3658CBC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078E326A"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7530CAEC"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Yes</w:t>
                            </w:r>
                          </w:p>
                        </w:tc>
                        <w:tc>
                          <w:tcPr>
                            <w:tcW w:w="960" w:type="dxa"/>
                            <w:tcBorders>
                              <w:top w:val="nil"/>
                              <w:left w:val="nil"/>
                              <w:bottom w:val="single" w:sz="4" w:space="0" w:color="auto"/>
                              <w:right w:val="single" w:sz="4" w:space="0" w:color="auto"/>
                            </w:tcBorders>
                            <w:shd w:val="clear" w:color="auto" w:fill="auto"/>
                            <w:noWrap/>
                            <w:vAlign w:val="bottom"/>
                            <w:hideMark/>
                          </w:tcPr>
                          <w:p w14:paraId="6BE5A556"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6404B9C5"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24579934"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4F9D232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5A5B5388"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7CA06E9B"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31C0273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14:paraId="33AD7360"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No</w:t>
                            </w:r>
                          </w:p>
                        </w:tc>
                        <w:tc>
                          <w:tcPr>
                            <w:tcW w:w="718" w:type="dxa"/>
                            <w:tcBorders>
                              <w:top w:val="nil"/>
                              <w:left w:val="nil"/>
                              <w:bottom w:val="single" w:sz="4" w:space="0" w:color="auto"/>
                              <w:right w:val="single" w:sz="4" w:space="0" w:color="auto"/>
                            </w:tcBorders>
                            <w:shd w:val="clear" w:color="auto" w:fill="auto"/>
                            <w:noWrap/>
                            <w:vAlign w:val="bottom"/>
                            <w:hideMark/>
                          </w:tcPr>
                          <w:p w14:paraId="202FF02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3</w:t>
                            </w:r>
                          </w:p>
                        </w:tc>
                      </w:tr>
                      <w:tr w:rsidR="002668C9" w:rsidRPr="007272BF" w14:paraId="76AB4C9E" w14:textId="77777777" w:rsidTr="00EB36D2">
                        <w:trPr>
                          <w:trHeight w:val="290"/>
                        </w:trPr>
                        <w:tc>
                          <w:tcPr>
                            <w:tcW w:w="2068" w:type="dxa"/>
                            <w:tcBorders>
                              <w:top w:val="nil"/>
                              <w:left w:val="single" w:sz="4" w:space="0" w:color="auto"/>
                              <w:bottom w:val="single" w:sz="4" w:space="0" w:color="auto"/>
                              <w:right w:val="single" w:sz="4" w:space="0" w:color="auto"/>
                            </w:tcBorders>
                            <w:shd w:val="clear" w:color="auto" w:fill="auto"/>
                            <w:noWrap/>
                            <w:vAlign w:val="bottom"/>
                            <w:hideMark/>
                          </w:tcPr>
                          <w:p w14:paraId="79049D17" w14:textId="77777777" w:rsidR="002668C9" w:rsidRDefault="002668C9" w:rsidP="0074418A">
                            <w:pPr>
                              <w:rPr>
                                <w:rFonts w:eastAsia="Times New Roman" w:cs="Times New Roman"/>
                                <w:b/>
                                <w:bCs/>
                                <w:color w:val="000000"/>
                                <w:lang w:eastAsia="en-GB"/>
                              </w:rPr>
                            </w:pPr>
                            <w:r w:rsidRPr="007272BF">
                              <w:rPr>
                                <w:rFonts w:eastAsia="Times New Roman" w:cs="Times New Roman"/>
                                <w:b/>
                                <w:bCs/>
                                <w:color w:val="000000"/>
                                <w:lang w:eastAsia="en-GB"/>
                              </w:rPr>
                              <w:t>Total</w:t>
                            </w:r>
                            <w:r>
                              <w:rPr>
                                <w:rFonts w:eastAsia="Times New Roman" w:cs="Times New Roman"/>
                                <w:b/>
                                <w:bCs/>
                                <w:color w:val="000000"/>
                                <w:lang w:eastAsia="en-GB"/>
                              </w:rPr>
                              <w:t xml:space="preserve"> </w:t>
                            </w:r>
                          </w:p>
                          <w:p w14:paraId="410B8141" w14:textId="77777777" w:rsidR="002668C9" w:rsidRPr="007C43D8" w:rsidRDefault="002668C9" w:rsidP="0074418A">
                            <w:pPr>
                              <w:rPr>
                                <w:rFonts w:eastAsia="Times New Roman" w:cs="Times New Roman"/>
                                <w:bCs/>
                                <w:color w:val="000000"/>
                                <w:lang w:eastAsia="en-GB"/>
                              </w:rPr>
                            </w:pPr>
                            <w:r>
                              <w:rPr>
                                <w:rFonts w:eastAsia="Times New Roman" w:cs="Times New Roman"/>
                                <w:color w:val="000000"/>
                                <w:lang w:eastAsia="en-GB"/>
                              </w:rPr>
                              <w:t>n (n/28%)</w:t>
                            </w:r>
                          </w:p>
                        </w:tc>
                        <w:tc>
                          <w:tcPr>
                            <w:tcW w:w="960" w:type="dxa"/>
                            <w:tcBorders>
                              <w:top w:val="nil"/>
                              <w:left w:val="nil"/>
                              <w:bottom w:val="single" w:sz="4" w:space="0" w:color="auto"/>
                              <w:right w:val="single" w:sz="4" w:space="0" w:color="auto"/>
                            </w:tcBorders>
                            <w:shd w:val="clear" w:color="auto" w:fill="auto"/>
                            <w:noWrap/>
                            <w:vAlign w:val="bottom"/>
                            <w:hideMark/>
                          </w:tcPr>
                          <w:p w14:paraId="716A64DD"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11</w:t>
                            </w:r>
                            <w:r>
                              <w:rPr>
                                <w:rFonts w:eastAsia="Times New Roman" w:cs="Times New Roman"/>
                                <w:color w:val="000000"/>
                                <w:lang w:eastAsia="en-GB"/>
                              </w:rPr>
                              <w:t xml:space="preserve"> (39%)</w:t>
                            </w:r>
                          </w:p>
                        </w:tc>
                        <w:tc>
                          <w:tcPr>
                            <w:tcW w:w="960" w:type="dxa"/>
                            <w:tcBorders>
                              <w:top w:val="nil"/>
                              <w:left w:val="nil"/>
                              <w:bottom w:val="single" w:sz="4" w:space="0" w:color="auto"/>
                              <w:right w:val="single" w:sz="4" w:space="0" w:color="auto"/>
                            </w:tcBorders>
                            <w:shd w:val="clear" w:color="auto" w:fill="auto"/>
                            <w:noWrap/>
                            <w:vAlign w:val="bottom"/>
                            <w:hideMark/>
                          </w:tcPr>
                          <w:p w14:paraId="19AC72B7"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13</w:t>
                            </w:r>
                            <w:r>
                              <w:rPr>
                                <w:rFonts w:eastAsia="Times New Roman" w:cs="Times New Roman"/>
                                <w:color w:val="000000"/>
                                <w:lang w:eastAsia="en-GB"/>
                              </w:rPr>
                              <w:t xml:space="preserve"> (46%)</w:t>
                            </w:r>
                          </w:p>
                        </w:tc>
                        <w:tc>
                          <w:tcPr>
                            <w:tcW w:w="960" w:type="dxa"/>
                            <w:tcBorders>
                              <w:top w:val="nil"/>
                              <w:left w:val="nil"/>
                              <w:bottom w:val="single" w:sz="4" w:space="0" w:color="auto"/>
                              <w:right w:val="single" w:sz="4" w:space="0" w:color="auto"/>
                            </w:tcBorders>
                            <w:shd w:val="clear" w:color="auto" w:fill="auto"/>
                            <w:noWrap/>
                            <w:vAlign w:val="bottom"/>
                            <w:hideMark/>
                          </w:tcPr>
                          <w:p w14:paraId="07B996D9" w14:textId="77777777" w:rsidR="002668C9" w:rsidRPr="007272BF"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15</w:t>
                            </w:r>
                            <w:r>
                              <w:rPr>
                                <w:rFonts w:eastAsia="Times New Roman" w:cs="Times New Roman"/>
                                <w:color w:val="000000"/>
                                <w:lang w:eastAsia="en-GB"/>
                              </w:rPr>
                              <w:t xml:space="preserve"> (54%)</w:t>
                            </w:r>
                          </w:p>
                        </w:tc>
                        <w:tc>
                          <w:tcPr>
                            <w:tcW w:w="960" w:type="dxa"/>
                            <w:tcBorders>
                              <w:top w:val="nil"/>
                              <w:left w:val="nil"/>
                              <w:bottom w:val="single" w:sz="4" w:space="0" w:color="auto"/>
                              <w:right w:val="single" w:sz="4" w:space="0" w:color="auto"/>
                            </w:tcBorders>
                            <w:shd w:val="clear" w:color="auto" w:fill="auto"/>
                            <w:noWrap/>
                            <w:vAlign w:val="bottom"/>
                            <w:hideMark/>
                          </w:tcPr>
                          <w:p w14:paraId="75DCB76E" w14:textId="77777777" w:rsidR="002668C9"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8</w:t>
                            </w:r>
                            <w:r>
                              <w:rPr>
                                <w:rFonts w:eastAsia="Times New Roman" w:cs="Times New Roman"/>
                                <w:color w:val="000000"/>
                                <w:lang w:eastAsia="en-GB"/>
                              </w:rPr>
                              <w:t xml:space="preserve"> </w:t>
                            </w:r>
                          </w:p>
                          <w:p w14:paraId="2F75E46F"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14:paraId="58C93856" w14:textId="77777777" w:rsidR="002668C9"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8</w:t>
                            </w:r>
                            <w:r>
                              <w:rPr>
                                <w:rFonts w:eastAsia="Times New Roman" w:cs="Times New Roman"/>
                                <w:color w:val="000000"/>
                                <w:lang w:eastAsia="en-GB"/>
                              </w:rPr>
                              <w:t xml:space="preserve"> </w:t>
                            </w:r>
                          </w:p>
                          <w:p w14:paraId="3A83160E"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14:paraId="51F1F69E" w14:textId="77777777" w:rsidR="002668C9" w:rsidRDefault="002668C9" w:rsidP="0074418A">
                            <w:pPr>
                              <w:jc w:val="center"/>
                              <w:rPr>
                                <w:rFonts w:eastAsia="Times New Roman" w:cs="Times New Roman"/>
                                <w:color w:val="000000"/>
                                <w:lang w:eastAsia="en-GB"/>
                              </w:rPr>
                            </w:pPr>
                            <w:r>
                              <w:rPr>
                                <w:rFonts w:eastAsia="Times New Roman" w:cs="Times New Roman"/>
                                <w:color w:val="000000"/>
                                <w:lang w:eastAsia="en-GB"/>
                              </w:rPr>
                              <w:t xml:space="preserve">6 </w:t>
                            </w:r>
                          </w:p>
                          <w:p w14:paraId="4A8EFBF1"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(21%)</w:t>
                            </w:r>
                          </w:p>
                        </w:tc>
                        <w:tc>
                          <w:tcPr>
                            <w:tcW w:w="960" w:type="dxa"/>
                            <w:tcBorders>
                              <w:top w:val="nil"/>
                              <w:left w:val="nil"/>
                              <w:bottom w:val="single" w:sz="4" w:space="0" w:color="auto"/>
                              <w:right w:val="single" w:sz="4" w:space="0" w:color="auto"/>
                            </w:tcBorders>
                            <w:shd w:val="clear" w:color="auto" w:fill="auto"/>
                            <w:noWrap/>
                            <w:vAlign w:val="bottom"/>
                            <w:hideMark/>
                          </w:tcPr>
                          <w:p w14:paraId="6A641FA5" w14:textId="77777777" w:rsidR="002668C9"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2</w:t>
                            </w:r>
                            <w:r>
                              <w:rPr>
                                <w:rFonts w:eastAsia="Times New Roman" w:cs="Times New Roman"/>
                                <w:color w:val="000000"/>
                                <w:lang w:eastAsia="en-GB"/>
                              </w:rPr>
                              <w:t xml:space="preserve"> </w:t>
                            </w:r>
                          </w:p>
                          <w:p w14:paraId="1E1EE7A4"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22A94B3B" w14:textId="77777777" w:rsidR="002668C9"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2</w:t>
                            </w:r>
                            <w:r>
                              <w:rPr>
                                <w:rFonts w:eastAsia="Times New Roman" w:cs="Times New Roman"/>
                                <w:color w:val="000000"/>
                                <w:lang w:eastAsia="en-GB"/>
                              </w:rPr>
                              <w:t xml:space="preserve"> </w:t>
                            </w:r>
                          </w:p>
                          <w:p w14:paraId="53B7E94E"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517E2B21" w14:textId="77777777" w:rsidR="002668C9" w:rsidRDefault="002668C9" w:rsidP="0074418A">
                            <w:pPr>
                              <w:jc w:val="center"/>
                              <w:rPr>
                                <w:rFonts w:eastAsia="Times New Roman" w:cs="Times New Roman"/>
                                <w:color w:val="000000"/>
                                <w:lang w:eastAsia="en-GB"/>
                              </w:rPr>
                            </w:pPr>
                            <w:r>
                              <w:rPr>
                                <w:rFonts w:eastAsia="Times New Roman" w:cs="Times New Roman"/>
                                <w:color w:val="000000"/>
                                <w:lang w:eastAsia="en-GB"/>
                              </w:rPr>
                              <w:t xml:space="preserve">6 </w:t>
                            </w:r>
                          </w:p>
                          <w:p w14:paraId="70496A00"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(21%)</w:t>
                            </w:r>
                          </w:p>
                        </w:tc>
                        <w:tc>
                          <w:tcPr>
                            <w:tcW w:w="960" w:type="dxa"/>
                            <w:tcBorders>
                              <w:top w:val="nil"/>
                              <w:left w:val="nil"/>
                              <w:bottom w:val="single" w:sz="4" w:space="0" w:color="auto"/>
                              <w:right w:val="single" w:sz="4" w:space="0" w:color="auto"/>
                            </w:tcBorders>
                            <w:shd w:val="clear" w:color="auto" w:fill="auto"/>
                            <w:noWrap/>
                            <w:vAlign w:val="bottom"/>
                            <w:hideMark/>
                          </w:tcPr>
                          <w:p w14:paraId="4B747A1C" w14:textId="77777777" w:rsidR="002668C9"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4</w:t>
                            </w:r>
                            <w:r>
                              <w:rPr>
                                <w:rFonts w:eastAsia="Times New Roman" w:cs="Times New Roman"/>
                                <w:color w:val="000000"/>
                                <w:lang w:eastAsia="en-GB"/>
                              </w:rPr>
                              <w:t xml:space="preserve"> </w:t>
                            </w:r>
                          </w:p>
                          <w:p w14:paraId="4E7D649B"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(14%)</w:t>
                            </w:r>
                          </w:p>
                        </w:tc>
                        <w:tc>
                          <w:tcPr>
                            <w:tcW w:w="960" w:type="dxa"/>
                            <w:tcBorders>
                              <w:top w:val="nil"/>
                              <w:left w:val="nil"/>
                              <w:bottom w:val="single" w:sz="4" w:space="0" w:color="auto"/>
                              <w:right w:val="single" w:sz="4" w:space="0" w:color="auto"/>
                            </w:tcBorders>
                            <w:shd w:val="clear" w:color="auto" w:fill="auto"/>
                            <w:noWrap/>
                            <w:vAlign w:val="bottom"/>
                            <w:hideMark/>
                          </w:tcPr>
                          <w:p w14:paraId="3B895F62" w14:textId="77777777" w:rsidR="002668C9" w:rsidRDefault="002668C9" w:rsidP="0074418A">
                            <w:pPr>
                              <w:jc w:val="center"/>
                              <w:rPr>
                                <w:rFonts w:eastAsia="Times New Roman" w:cs="Times New Roman"/>
                                <w:color w:val="000000"/>
                                <w:lang w:eastAsia="en-GB"/>
                              </w:rPr>
                            </w:pPr>
                            <w:r w:rsidRPr="007272BF">
                              <w:rPr>
                                <w:rFonts w:eastAsia="Times New Roman" w:cs="Times New Roman"/>
                                <w:color w:val="000000"/>
                                <w:lang w:eastAsia="en-GB"/>
                              </w:rPr>
                              <w:t>5</w:t>
                            </w:r>
                            <w:r>
                              <w:rPr>
                                <w:rFonts w:eastAsia="Times New Roman" w:cs="Times New Roman"/>
                                <w:color w:val="000000"/>
                                <w:lang w:eastAsia="en-GB"/>
                              </w:rPr>
                              <w:t xml:space="preserve"> </w:t>
                            </w:r>
                          </w:p>
                          <w:p w14:paraId="201CFA9C" w14:textId="77777777" w:rsidR="002668C9" w:rsidRPr="007272BF" w:rsidRDefault="002668C9" w:rsidP="0074418A">
                            <w:pPr>
                              <w:jc w:val="center"/>
                              <w:rPr>
                                <w:rFonts w:eastAsia="Times New Roman" w:cs="Times New Roman"/>
                                <w:color w:val="000000"/>
                                <w:lang w:eastAsia="en-GB"/>
                              </w:rPr>
                            </w:pPr>
                            <w:r>
                              <w:rPr>
                                <w:rFonts w:eastAsia="Times New Roman" w:cs="Times New Roman"/>
                                <w:color w:val="000000"/>
                                <w:lang w:eastAsia="en-GB"/>
                              </w:rPr>
                              <w:t>(18%)</w:t>
                            </w:r>
                          </w:p>
                        </w:tc>
                        <w:tc>
                          <w:tcPr>
                            <w:tcW w:w="718" w:type="dxa"/>
                            <w:tcBorders>
                              <w:top w:val="nil"/>
                              <w:left w:val="nil"/>
                              <w:bottom w:val="nil"/>
                              <w:right w:val="nil"/>
                            </w:tcBorders>
                            <w:shd w:val="clear" w:color="auto" w:fill="auto"/>
                            <w:noWrap/>
                            <w:vAlign w:val="bottom"/>
                            <w:hideMark/>
                          </w:tcPr>
                          <w:p w14:paraId="12C6FB81" w14:textId="77777777" w:rsidR="002668C9" w:rsidRPr="007272BF" w:rsidRDefault="002668C9" w:rsidP="0074418A">
                            <w:pPr>
                              <w:jc w:val="center"/>
                              <w:rPr>
                                <w:rFonts w:eastAsia="Times New Roman" w:cs="Times New Roman"/>
                                <w:color w:val="000000"/>
                                <w:lang w:eastAsia="en-GB"/>
                              </w:rPr>
                            </w:pPr>
                          </w:p>
                        </w:tc>
                      </w:tr>
                    </w:tbl>
                    <w:bookmarkEnd w:id="25"/>
                    <w:p w14:paraId="24A7318D" w14:textId="77777777" w:rsidR="002668C9" w:rsidRPr="00880152" w:rsidRDefault="002668C9" w:rsidP="002668C9">
                      <w:pPr>
                        <w:rPr>
                          <w:lang w:val="en-US"/>
                        </w:rPr>
                      </w:pPr>
                      <w:r>
                        <w:rPr>
                          <w:vertAlign w:val="superscript"/>
                          <w:lang w:val="en-US"/>
                        </w:rPr>
                        <w:t>A</w:t>
                      </w:r>
                      <w:r>
                        <w:rPr>
                          <w:lang w:val="en-US"/>
                        </w:rPr>
                        <w:t xml:space="preserve"> </w:t>
                      </w:r>
                      <w:r>
                        <w:rPr>
                          <w:b/>
                          <w:lang w:val="en-US"/>
                        </w:rPr>
                        <w:t xml:space="preserve">Key criteria: </w:t>
                      </w:r>
                      <w:r>
                        <w:rPr>
                          <w:lang w:val="en-US"/>
                        </w:rPr>
                        <w:t>D1: Choosing a trial design; D2: Considering who will deliver the intervention; D3: Ensuring that the intervention is standardised; D4: Anticipating changes in delivery over time; D5: Estimating the sample size; D6: Ensuring balance of treatment within centre and treatment provider; A1: When the randomization was stratified; A2: When analyzing the primary outcome; A3: Analysing multicenter trials; A4: Methods for investigating the learning curve; A5: Methods for investigating clustering.</w:t>
                      </w:r>
                    </w:p>
                  </w:txbxContent>
                </v:textbox>
                <w10:anchorlock/>
              </v:shape>
            </w:pict>
          </mc:Fallback>
        </mc:AlternateContent>
      </w:r>
    </w:p>
    <w:sectPr w:rsidR="002668C9" w:rsidRPr="00EE5492" w:rsidSect="00166726">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63DC" w14:textId="77777777" w:rsidR="00E332CA" w:rsidRDefault="00E332CA" w:rsidP="00E332CA">
      <w:pPr>
        <w:spacing w:line="240" w:lineRule="auto"/>
      </w:pPr>
      <w:r>
        <w:separator/>
      </w:r>
    </w:p>
  </w:endnote>
  <w:endnote w:type="continuationSeparator" w:id="0">
    <w:p w14:paraId="332FA7ED" w14:textId="77777777" w:rsidR="00E332CA" w:rsidRDefault="00E332CA" w:rsidP="00E33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B411" w14:textId="77777777" w:rsidR="00FE5B38" w:rsidRDefault="00FE5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2B80" w14:textId="77777777" w:rsidR="00FE5B38" w:rsidRDefault="00FE5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DE62" w14:textId="77777777" w:rsidR="00FE5B38" w:rsidRDefault="00FE5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7572" w14:textId="77777777" w:rsidR="00E332CA" w:rsidRDefault="00E332CA" w:rsidP="00E332CA">
      <w:pPr>
        <w:spacing w:line="240" w:lineRule="auto"/>
      </w:pPr>
      <w:r>
        <w:separator/>
      </w:r>
    </w:p>
  </w:footnote>
  <w:footnote w:type="continuationSeparator" w:id="0">
    <w:p w14:paraId="3448FE58" w14:textId="77777777" w:rsidR="00E332CA" w:rsidRDefault="00E332CA" w:rsidP="00E332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04D6" w14:textId="77777777" w:rsidR="00FE5B38" w:rsidRDefault="00FE5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47896"/>
      <w:docPartObj>
        <w:docPartGallery w:val="Page Numbers (Top of Page)"/>
        <w:docPartUnique/>
      </w:docPartObj>
    </w:sdtPr>
    <w:sdtEndPr>
      <w:rPr>
        <w:noProof/>
      </w:rPr>
    </w:sdtEndPr>
    <w:sdtContent>
      <w:p w14:paraId="6961CD1F" w14:textId="70237B33" w:rsidR="00E332CA" w:rsidRDefault="00E332C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6F312C" w14:textId="77777777" w:rsidR="00E332CA" w:rsidRDefault="00E33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C267" w14:textId="77777777" w:rsidR="00FE5B38" w:rsidRDefault="00FE5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685"/>
    <w:multiLevelType w:val="multilevel"/>
    <w:tmpl w:val="DC5C47FA"/>
    <w:lvl w:ilvl="0">
      <w:start w:val="1"/>
      <w:numFmt w:val="decimal"/>
      <w:pStyle w:val="Heading1"/>
      <w:suff w:val="space"/>
      <w:lvlText w:val="Chapter %1"/>
      <w:lvlJc w:val="left"/>
      <w:pPr>
        <w:ind w:left="0" w:firstLine="0"/>
      </w:pPr>
      <w:rPr>
        <w:rFonts w:hint="default"/>
        <w:i w:val="0"/>
      </w:rPr>
    </w:lvl>
    <w:lvl w:ilvl="1">
      <w:start w:val="1"/>
      <w:numFmt w:val="decimal"/>
      <w:pStyle w:val="Heading2"/>
      <w:suff w:val="nothing"/>
      <w:lvlText w:val="%1.%2."/>
      <w:lvlJc w:val="left"/>
      <w:pPr>
        <w:ind w:left="284" w:firstLine="0"/>
      </w:pPr>
      <w:rPr>
        <w:rFonts w:hint="default"/>
        <w:sz w:val="26"/>
        <w:szCs w:val="26"/>
      </w:rPr>
    </w:lvl>
    <w:lvl w:ilvl="2">
      <w:start w:val="1"/>
      <w:numFmt w:val="decimal"/>
      <w:pStyle w:val="Heading3"/>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10ED15A9"/>
    <w:multiLevelType w:val="multilevel"/>
    <w:tmpl w:val="4A0C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B2E35"/>
    <w:multiLevelType w:val="hybridMultilevel"/>
    <w:tmpl w:val="D3309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BE3"/>
    <w:multiLevelType w:val="hybridMultilevel"/>
    <w:tmpl w:val="9ECEDCF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2F7D4A"/>
    <w:multiLevelType w:val="hybridMultilevel"/>
    <w:tmpl w:val="9ECEDCF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960D27"/>
    <w:multiLevelType w:val="multilevel"/>
    <w:tmpl w:val="4A9E0A42"/>
    <w:lvl w:ilvl="0">
      <w:start w:val="1"/>
      <w:numFmt w:val="decimal"/>
      <w:suff w:val="space"/>
      <w:lvlText w:val="Chapter %1"/>
      <w:lvlJc w:val="left"/>
      <w:pPr>
        <w:ind w:left="0" w:firstLine="0"/>
      </w:pPr>
      <w:rPr>
        <w:rFonts w:hint="default"/>
      </w:rPr>
    </w:lvl>
    <w:lvl w:ilvl="1">
      <w:start w:val="1"/>
      <w:numFmt w:val="decimal"/>
      <w:suff w:val="nothing"/>
      <w:lvlText w:val="%1.%2."/>
      <w:lvlJc w:val="left"/>
      <w:pPr>
        <w:ind w:left="284" w:firstLine="0"/>
      </w:pPr>
      <w:rPr>
        <w:rFonts w:hint="default"/>
      </w:rPr>
    </w:lvl>
    <w:lvl w:ilvl="2">
      <w:start w:val="1"/>
      <w:numFmt w:val="decimal"/>
      <w:suff w:val="nothing"/>
      <w:lvlText w:val="%1.%2.%3."/>
      <w:lvlJc w:val="left"/>
      <w:pPr>
        <w:ind w:left="568" w:firstLine="0"/>
      </w:pPr>
      <w:rPr>
        <w:rFonts w:hint="default"/>
      </w:rPr>
    </w:lvl>
    <w:lvl w:ilvl="3">
      <w:start w:val="1"/>
      <w:numFmt w:val="decimal"/>
      <w:pStyle w:val="Heading4"/>
      <w:suff w:val="space"/>
      <w:lvlText w:val="%1.%2.%3.%4"/>
      <w:lvlJc w:val="left"/>
      <w:pPr>
        <w:ind w:left="852" w:firstLine="0"/>
      </w:pPr>
      <w:rPr>
        <w:rFonts w:hint="default"/>
      </w:rPr>
    </w:lvl>
    <w:lvl w:ilvl="4">
      <w:start w:val="1"/>
      <w:numFmt w:val="none"/>
      <w:suff w:val="nothing"/>
      <w:lvlText w:val=""/>
      <w:lvlJc w:val="left"/>
      <w:pPr>
        <w:ind w:left="1136" w:firstLine="0"/>
      </w:pPr>
      <w:rPr>
        <w:rFonts w:hint="default"/>
      </w:rPr>
    </w:lvl>
    <w:lvl w:ilvl="5">
      <w:start w:val="1"/>
      <w:numFmt w:val="none"/>
      <w:suff w:val="nothing"/>
      <w:lvlText w:val=""/>
      <w:lvlJc w:val="left"/>
      <w:pPr>
        <w:ind w:left="1420" w:firstLine="0"/>
      </w:pPr>
      <w:rPr>
        <w:rFonts w:hint="default"/>
      </w:rPr>
    </w:lvl>
    <w:lvl w:ilvl="6">
      <w:start w:val="1"/>
      <w:numFmt w:val="none"/>
      <w:suff w:val="nothing"/>
      <w:lvlText w:val=""/>
      <w:lvlJc w:val="left"/>
      <w:pPr>
        <w:ind w:left="1704" w:firstLine="0"/>
      </w:pPr>
      <w:rPr>
        <w:rFonts w:hint="default"/>
      </w:rPr>
    </w:lvl>
    <w:lvl w:ilvl="7">
      <w:start w:val="1"/>
      <w:numFmt w:val="none"/>
      <w:suff w:val="nothing"/>
      <w:lvlText w:val=""/>
      <w:lvlJc w:val="left"/>
      <w:pPr>
        <w:ind w:left="1988" w:firstLine="0"/>
      </w:pPr>
      <w:rPr>
        <w:rFonts w:hint="default"/>
      </w:rPr>
    </w:lvl>
    <w:lvl w:ilvl="8">
      <w:start w:val="1"/>
      <w:numFmt w:val="none"/>
      <w:suff w:val="nothing"/>
      <w:lvlText w:val=""/>
      <w:lvlJc w:val="left"/>
      <w:pPr>
        <w:ind w:left="2272" w:firstLine="0"/>
      </w:pPr>
      <w:rPr>
        <w:rFonts w:hint="default"/>
      </w:rPr>
    </w:lvl>
  </w:abstractNum>
  <w:abstractNum w:abstractNumId="6" w15:restartNumberingAfterBreak="0">
    <w:nsid w:val="25B435F6"/>
    <w:multiLevelType w:val="hybridMultilevel"/>
    <w:tmpl w:val="A200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D31AB"/>
    <w:multiLevelType w:val="hybridMultilevel"/>
    <w:tmpl w:val="7828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D49EF"/>
    <w:multiLevelType w:val="hybridMultilevel"/>
    <w:tmpl w:val="56961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455E1E"/>
    <w:multiLevelType w:val="hybridMultilevel"/>
    <w:tmpl w:val="9ECEDCF2"/>
    <w:lvl w:ilvl="0" w:tplc="51A6AFB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2463113">
    <w:abstractNumId w:val="0"/>
  </w:num>
  <w:num w:numId="2" w16cid:durableId="2102796010">
    <w:abstractNumId w:val="5"/>
  </w:num>
  <w:num w:numId="3" w16cid:durableId="1875993583">
    <w:abstractNumId w:val="7"/>
  </w:num>
  <w:num w:numId="4" w16cid:durableId="557015001">
    <w:abstractNumId w:val="2"/>
  </w:num>
  <w:num w:numId="5" w16cid:durableId="793209147">
    <w:abstractNumId w:val="6"/>
  </w:num>
  <w:num w:numId="6" w16cid:durableId="550504241">
    <w:abstractNumId w:val="1"/>
  </w:num>
  <w:num w:numId="7" w16cid:durableId="2033872018">
    <w:abstractNumId w:val="8"/>
  </w:num>
  <w:num w:numId="8" w16cid:durableId="1400588755">
    <w:abstractNumId w:val="9"/>
  </w:num>
  <w:num w:numId="9" w16cid:durableId="1194146265">
    <w:abstractNumId w:val="4"/>
  </w:num>
  <w:num w:numId="10" w16cid:durableId="810751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95"/>
    <w:rsid w:val="0002229F"/>
    <w:rsid w:val="00044301"/>
    <w:rsid w:val="0006139E"/>
    <w:rsid w:val="00062728"/>
    <w:rsid w:val="00070709"/>
    <w:rsid w:val="00075FB9"/>
    <w:rsid w:val="00097F67"/>
    <w:rsid w:val="000B66E8"/>
    <w:rsid w:val="000D207F"/>
    <w:rsid w:val="000E1EC1"/>
    <w:rsid w:val="0011130B"/>
    <w:rsid w:val="00152F26"/>
    <w:rsid w:val="0016077C"/>
    <w:rsid w:val="00166726"/>
    <w:rsid w:val="001769E9"/>
    <w:rsid w:val="0019213E"/>
    <w:rsid w:val="00194C8B"/>
    <w:rsid w:val="00194DCD"/>
    <w:rsid w:val="001A03E6"/>
    <w:rsid w:val="001B53FC"/>
    <w:rsid w:val="001E4F4A"/>
    <w:rsid w:val="001F2447"/>
    <w:rsid w:val="00202C90"/>
    <w:rsid w:val="002369DE"/>
    <w:rsid w:val="002668C9"/>
    <w:rsid w:val="002B0C95"/>
    <w:rsid w:val="002E120F"/>
    <w:rsid w:val="00313553"/>
    <w:rsid w:val="00313D73"/>
    <w:rsid w:val="00355FF3"/>
    <w:rsid w:val="00365BB2"/>
    <w:rsid w:val="00396BF3"/>
    <w:rsid w:val="003B25B6"/>
    <w:rsid w:val="003C25A2"/>
    <w:rsid w:val="003C30BC"/>
    <w:rsid w:val="00440081"/>
    <w:rsid w:val="00497904"/>
    <w:rsid w:val="004C6894"/>
    <w:rsid w:val="004E3665"/>
    <w:rsid w:val="0051217E"/>
    <w:rsid w:val="005412D4"/>
    <w:rsid w:val="00557162"/>
    <w:rsid w:val="00563F4B"/>
    <w:rsid w:val="005808CD"/>
    <w:rsid w:val="005A3B05"/>
    <w:rsid w:val="005A674D"/>
    <w:rsid w:val="005B2167"/>
    <w:rsid w:val="005C3F67"/>
    <w:rsid w:val="00622302"/>
    <w:rsid w:val="006538A0"/>
    <w:rsid w:val="00671AFA"/>
    <w:rsid w:val="0067498F"/>
    <w:rsid w:val="00674A67"/>
    <w:rsid w:val="0069462A"/>
    <w:rsid w:val="006B6CDD"/>
    <w:rsid w:val="006E4C7A"/>
    <w:rsid w:val="00706EC6"/>
    <w:rsid w:val="007176C4"/>
    <w:rsid w:val="00720EA2"/>
    <w:rsid w:val="0072478B"/>
    <w:rsid w:val="007433D3"/>
    <w:rsid w:val="00767C8D"/>
    <w:rsid w:val="007F3983"/>
    <w:rsid w:val="007F740D"/>
    <w:rsid w:val="008224D7"/>
    <w:rsid w:val="00835A9E"/>
    <w:rsid w:val="00853149"/>
    <w:rsid w:val="00874AE2"/>
    <w:rsid w:val="008A07AD"/>
    <w:rsid w:val="008B0137"/>
    <w:rsid w:val="008B78B3"/>
    <w:rsid w:val="008C152A"/>
    <w:rsid w:val="008C1EC4"/>
    <w:rsid w:val="008C59F1"/>
    <w:rsid w:val="008F1C0D"/>
    <w:rsid w:val="008F4253"/>
    <w:rsid w:val="008F4B18"/>
    <w:rsid w:val="00901BA8"/>
    <w:rsid w:val="0090434A"/>
    <w:rsid w:val="009066A9"/>
    <w:rsid w:val="00910324"/>
    <w:rsid w:val="009153D3"/>
    <w:rsid w:val="009B4AEF"/>
    <w:rsid w:val="009C3DA4"/>
    <w:rsid w:val="009D6970"/>
    <w:rsid w:val="00A1535A"/>
    <w:rsid w:val="00A231A6"/>
    <w:rsid w:val="00A4480B"/>
    <w:rsid w:val="00A5456B"/>
    <w:rsid w:val="00A5761E"/>
    <w:rsid w:val="00AB5C68"/>
    <w:rsid w:val="00AC5945"/>
    <w:rsid w:val="00AD47A3"/>
    <w:rsid w:val="00AE155C"/>
    <w:rsid w:val="00AE30E0"/>
    <w:rsid w:val="00B2202A"/>
    <w:rsid w:val="00B3312F"/>
    <w:rsid w:val="00B4011A"/>
    <w:rsid w:val="00B4205B"/>
    <w:rsid w:val="00B541BA"/>
    <w:rsid w:val="00B867A2"/>
    <w:rsid w:val="00BA7A2F"/>
    <w:rsid w:val="00BB0259"/>
    <w:rsid w:val="00BB14C3"/>
    <w:rsid w:val="00BE6053"/>
    <w:rsid w:val="00BF6B7F"/>
    <w:rsid w:val="00C11048"/>
    <w:rsid w:val="00C3278C"/>
    <w:rsid w:val="00C52E6B"/>
    <w:rsid w:val="00C55BD8"/>
    <w:rsid w:val="00C616F3"/>
    <w:rsid w:val="00C676FA"/>
    <w:rsid w:val="00C704D0"/>
    <w:rsid w:val="00C819D4"/>
    <w:rsid w:val="00C83E6D"/>
    <w:rsid w:val="00C90CC1"/>
    <w:rsid w:val="00C95E47"/>
    <w:rsid w:val="00CA08A6"/>
    <w:rsid w:val="00CA19EC"/>
    <w:rsid w:val="00CA3B68"/>
    <w:rsid w:val="00CE20ED"/>
    <w:rsid w:val="00CF6CBD"/>
    <w:rsid w:val="00D27F87"/>
    <w:rsid w:val="00D33D18"/>
    <w:rsid w:val="00DB3813"/>
    <w:rsid w:val="00DB6F39"/>
    <w:rsid w:val="00DC05A9"/>
    <w:rsid w:val="00DD6B64"/>
    <w:rsid w:val="00DE2B69"/>
    <w:rsid w:val="00DF334F"/>
    <w:rsid w:val="00DF39CA"/>
    <w:rsid w:val="00DF53A5"/>
    <w:rsid w:val="00E10291"/>
    <w:rsid w:val="00E20BBA"/>
    <w:rsid w:val="00E21A21"/>
    <w:rsid w:val="00E332CA"/>
    <w:rsid w:val="00E37017"/>
    <w:rsid w:val="00E54704"/>
    <w:rsid w:val="00E835D2"/>
    <w:rsid w:val="00EB4FCC"/>
    <w:rsid w:val="00EC75D7"/>
    <w:rsid w:val="00ED2863"/>
    <w:rsid w:val="00ED2F79"/>
    <w:rsid w:val="00EE5492"/>
    <w:rsid w:val="00EE59A3"/>
    <w:rsid w:val="00F078FC"/>
    <w:rsid w:val="00F26713"/>
    <w:rsid w:val="00F409D0"/>
    <w:rsid w:val="00F4768C"/>
    <w:rsid w:val="00F74127"/>
    <w:rsid w:val="00FB2CED"/>
    <w:rsid w:val="00FC5828"/>
    <w:rsid w:val="00FC7A33"/>
    <w:rsid w:val="00FD19B8"/>
    <w:rsid w:val="00FE5B38"/>
    <w:rsid w:val="00FE5B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FBC5F1"/>
  <w15:chartTrackingRefBased/>
  <w15:docId w15:val="{1084CFCF-1BC6-457D-866A-2DBFCBBC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C95"/>
    <w:pPr>
      <w:spacing w:after="0" w:line="480" w:lineRule="auto"/>
      <w:jc w:val="both"/>
    </w:pPr>
    <w:rPr>
      <w:rFonts w:ascii="Times New Roman" w:hAnsi="Times New Roman"/>
    </w:rPr>
  </w:style>
  <w:style w:type="paragraph" w:styleId="Heading1">
    <w:name w:val="heading 1"/>
    <w:aliases w:val="Heading 1 SOP"/>
    <w:basedOn w:val="Normal"/>
    <w:next w:val="Normal"/>
    <w:link w:val="Heading1Char"/>
    <w:uiPriority w:val="9"/>
    <w:qFormat/>
    <w:rsid w:val="002B0C95"/>
    <w:pPr>
      <w:keepNext/>
      <w:keepLines/>
      <w:numPr>
        <w:numId w:val="1"/>
      </w:numPr>
      <w:pBdr>
        <w:bottom w:val="single" w:sz="4" w:space="1" w:color="auto"/>
      </w:pBdr>
      <w:spacing w:before="240"/>
      <w:outlineLvl w:val="0"/>
    </w:pPr>
    <w:rPr>
      <w:rFonts w:eastAsiaTheme="majorEastAsia" w:cstheme="majorBidi"/>
      <w:sz w:val="32"/>
      <w:szCs w:val="32"/>
    </w:rPr>
  </w:style>
  <w:style w:type="paragraph" w:styleId="Heading2">
    <w:name w:val="heading 2"/>
    <w:aliases w:val="Heading 2 SOP"/>
    <w:basedOn w:val="Normal"/>
    <w:next w:val="Normal"/>
    <w:link w:val="Heading2Char"/>
    <w:uiPriority w:val="9"/>
    <w:unhideWhenUsed/>
    <w:qFormat/>
    <w:rsid w:val="002B0C95"/>
    <w:pPr>
      <w:keepNext/>
      <w:keepLines/>
      <w:numPr>
        <w:ilvl w:val="1"/>
        <w:numId w:val="1"/>
      </w:numPr>
      <w:spacing w:before="40"/>
      <w:outlineLvl w:val="1"/>
    </w:pPr>
    <w:rPr>
      <w:rFonts w:eastAsiaTheme="majorEastAsia" w:cstheme="majorBidi"/>
      <w:color w:val="1F3864" w:themeColor="accent1" w:themeShade="80"/>
      <w:sz w:val="26"/>
      <w:szCs w:val="26"/>
    </w:rPr>
  </w:style>
  <w:style w:type="paragraph" w:styleId="Heading3">
    <w:name w:val="heading 3"/>
    <w:aliases w:val="Heading 3 SOP"/>
    <w:basedOn w:val="Normal"/>
    <w:next w:val="Normal"/>
    <w:link w:val="Heading3Char"/>
    <w:uiPriority w:val="9"/>
    <w:unhideWhenUsed/>
    <w:qFormat/>
    <w:rsid w:val="002B0C95"/>
    <w:pPr>
      <w:keepNext/>
      <w:keepLines/>
      <w:numPr>
        <w:ilvl w:val="2"/>
        <w:numId w:val="1"/>
      </w:numPr>
      <w:spacing w:before="40"/>
      <w:outlineLvl w:val="2"/>
    </w:pPr>
    <w:rPr>
      <w:rFonts w:eastAsiaTheme="majorEastAsia" w:cstheme="majorBidi"/>
      <w:color w:val="1F3763" w:themeColor="accent1" w:themeShade="7F"/>
      <w:sz w:val="24"/>
      <w:szCs w:val="24"/>
    </w:rPr>
  </w:style>
  <w:style w:type="paragraph" w:styleId="Heading4">
    <w:name w:val="heading 4"/>
    <w:aliases w:val="Heading 4 SOP"/>
    <w:basedOn w:val="Heading3"/>
    <w:next w:val="Normal"/>
    <w:link w:val="Heading4Char"/>
    <w:uiPriority w:val="9"/>
    <w:unhideWhenUsed/>
    <w:qFormat/>
    <w:rsid w:val="002B0C95"/>
    <w:pPr>
      <w:numPr>
        <w:ilvl w:val="3"/>
        <w:numId w:val="2"/>
      </w:numPr>
      <w:outlineLvl w:val="3"/>
    </w:pPr>
    <w:rPr>
      <w:sz w:val="22"/>
    </w:rPr>
  </w:style>
  <w:style w:type="paragraph" w:styleId="Heading5">
    <w:name w:val="heading 5"/>
    <w:basedOn w:val="Normal"/>
    <w:next w:val="Normal"/>
    <w:link w:val="Heading5Char"/>
    <w:uiPriority w:val="9"/>
    <w:unhideWhenUsed/>
    <w:qFormat/>
    <w:rsid w:val="002B0C9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B0C9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B0C9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B0C9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B0C9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P Char"/>
    <w:basedOn w:val="DefaultParagraphFont"/>
    <w:link w:val="Heading1"/>
    <w:uiPriority w:val="9"/>
    <w:rsid w:val="002B0C95"/>
    <w:rPr>
      <w:rFonts w:ascii="Times New Roman" w:eastAsiaTheme="majorEastAsia" w:hAnsi="Times New Roman" w:cstheme="majorBidi"/>
      <w:sz w:val="32"/>
      <w:szCs w:val="32"/>
    </w:rPr>
  </w:style>
  <w:style w:type="character" w:customStyle="1" w:styleId="Heading2Char">
    <w:name w:val="Heading 2 Char"/>
    <w:aliases w:val="Heading 2 SOP Char"/>
    <w:basedOn w:val="DefaultParagraphFont"/>
    <w:link w:val="Heading2"/>
    <w:uiPriority w:val="9"/>
    <w:rsid w:val="002B0C95"/>
    <w:rPr>
      <w:rFonts w:ascii="Times New Roman" w:eastAsiaTheme="majorEastAsia" w:hAnsi="Times New Roman" w:cstheme="majorBidi"/>
      <w:color w:val="1F3864" w:themeColor="accent1" w:themeShade="80"/>
      <w:sz w:val="26"/>
      <w:szCs w:val="26"/>
    </w:rPr>
  </w:style>
  <w:style w:type="character" w:customStyle="1" w:styleId="Heading3Char">
    <w:name w:val="Heading 3 Char"/>
    <w:aliases w:val="Heading 3 SOP Char"/>
    <w:basedOn w:val="DefaultParagraphFont"/>
    <w:link w:val="Heading3"/>
    <w:uiPriority w:val="9"/>
    <w:rsid w:val="002B0C95"/>
    <w:rPr>
      <w:rFonts w:ascii="Times New Roman" w:eastAsiaTheme="majorEastAsia" w:hAnsi="Times New Roman" w:cstheme="majorBidi"/>
      <w:color w:val="1F3763" w:themeColor="accent1" w:themeShade="7F"/>
      <w:sz w:val="24"/>
      <w:szCs w:val="24"/>
    </w:rPr>
  </w:style>
  <w:style w:type="character" w:customStyle="1" w:styleId="Heading4Char">
    <w:name w:val="Heading 4 Char"/>
    <w:aliases w:val="Heading 4 SOP Char"/>
    <w:basedOn w:val="DefaultParagraphFont"/>
    <w:link w:val="Heading4"/>
    <w:uiPriority w:val="9"/>
    <w:rsid w:val="002B0C95"/>
    <w:rPr>
      <w:rFonts w:ascii="Times New Roman" w:eastAsiaTheme="majorEastAsia" w:hAnsi="Times New Roman" w:cstheme="majorBidi"/>
      <w:color w:val="1F3763" w:themeColor="accent1" w:themeShade="7F"/>
      <w:szCs w:val="24"/>
    </w:rPr>
  </w:style>
  <w:style w:type="character" w:customStyle="1" w:styleId="Heading5Char">
    <w:name w:val="Heading 5 Char"/>
    <w:basedOn w:val="DefaultParagraphFont"/>
    <w:link w:val="Heading5"/>
    <w:uiPriority w:val="9"/>
    <w:rsid w:val="002B0C9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B0C9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2B0C9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2B0C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B0C9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next w:val="Normal"/>
    <w:uiPriority w:val="34"/>
    <w:qFormat/>
    <w:rsid w:val="002B0C95"/>
    <w:pPr>
      <w:ind w:left="720"/>
      <w:contextualSpacing/>
    </w:pPr>
  </w:style>
  <w:style w:type="paragraph" w:styleId="Caption">
    <w:name w:val="caption"/>
    <w:basedOn w:val="Normal"/>
    <w:next w:val="Normal"/>
    <w:uiPriority w:val="35"/>
    <w:unhideWhenUsed/>
    <w:qFormat/>
    <w:rsid w:val="002B0C95"/>
    <w:rPr>
      <w:i/>
      <w:iCs/>
      <w:color w:val="44546A" w:themeColor="text2"/>
      <w:szCs w:val="18"/>
    </w:rPr>
  </w:style>
  <w:style w:type="character" w:styleId="LineNumber">
    <w:name w:val="line number"/>
    <w:basedOn w:val="DefaultParagraphFont"/>
    <w:uiPriority w:val="99"/>
    <w:semiHidden/>
    <w:unhideWhenUsed/>
    <w:rsid w:val="00166726"/>
  </w:style>
  <w:style w:type="paragraph" w:styleId="Header">
    <w:name w:val="header"/>
    <w:basedOn w:val="Normal"/>
    <w:link w:val="HeaderChar"/>
    <w:uiPriority w:val="99"/>
    <w:unhideWhenUsed/>
    <w:rsid w:val="00E332CA"/>
    <w:pPr>
      <w:tabs>
        <w:tab w:val="center" w:pos="4513"/>
        <w:tab w:val="right" w:pos="9026"/>
      </w:tabs>
      <w:spacing w:line="240" w:lineRule="auto"/>
    </w:pPr>
  </w:style>
  <w:style w:type="character" w:customStyle="1" w:styleId="HeaderChar">
    <w:name w:val="Header Char"/>
    <w:basedOn w:val="DefaultParagraphFont"/>
    <w:link w:val="Header"/>
    <w:uiPriority w:val="99"/>
    <w:rsid w:val="00E332CA"/>
    <w:rPr>
      <w:rFonts w:ascii="Times New Roman" w:hAnsi="Times New Roman"/>
    </w:rPr>
  </w:style>
  <w:style w:type="paragraph" w:styleId="Footer">
    <w:name w:val="footer"/>
    <w:basedOn w:val="Normal"/>
    <w:link w:val="FooterChar"/>
    <w:uiPriority w:val="99"/>
    <w:unhideWhenUsed/>
    <w:rsid w:val="00E332CA"/>
    <w:pPr>
      <w:tabs>
        <w:tab w:val="center" w:pos="4513"/>
        <w:tab w:val="right" w:pos="9026"/>
      </w:tabs>
      <w:spacing w:line="240" w:lineRule="auto"/>
    </w:pPr>
  </w:style>
  <w:style w:type="character" w:customStyle="1" w:styleId="FooterChar">
    <w:name w:val="Footer Char"/>
    <w:basedOn w:val="DefaultParagraphFont"/>
    <w:link w:val="Footer"/>
    <w:uiPriority w:val="99"/>
    <w:rsid w:val="00E332CA"/>
    <w:rPr>
      <w:rFonts w:ascii="Times New Roman" w:hAnsi="Times New Roman"/>
    </w:rPr>
  </w:style>
  <w:style w:type="character" w:styleId="Hyperlink">
    <w:name w:val="Hyperlink"/>
    <w:basedOn w:val="DefaultParagraphFont"/>
    <w:uiPriority w:val="99"/>
    <w:unhideWhenUsed/>
    <w:rsid w:val="002668C9"/>
    <w:rPr>
      <w:strike w:val="0"/>
      <w:dstrike w:val="0"/>
      <w:color w:val="007398"/>
      <w:u w:val="none"/>
      <w:effect w:val="none"/>
      <w:shd w:val="clear" w:color="auto" w:fill="auto"/>
    </w:rPr>
  </w:style>
  <w:style w:type="character" w:styleId="Emphasis">
    <w:name w:val="Emphasis"/>
    <w:basedOn w:val="DefaultParagraphFont"/>
    <w:uiPriority w:val="20"/>
    <w:qFormat/>
    <w:rsid w:val="002668C9"/>
    <w:rPr>
      <w:i/>
      <w:iCs/>
    </w:rPr>
  </w:style>
  <w:style w:type="character" w:customStyle="1" w:styleId="highwire-cite-authors">
    <w:name w:val="highwire-cite-authors"/>
    <w:basedOn w:val="DefaultParagraphFont"/>
    <w:rsid w:val="002668C9"/>
  </w:style>
  <w:style w:type="character" w:customStyle="1" w:styleId="nlm-surname">
    <w:name w:val="nlm-surname"/>
    <w:basedOn w:val="DefaultParagraphFont"/>
    <w:rsid w:val="002668C9"/>
  </w:style>
  <w:style w:type="character" w:customStyle="1" w:styleId="nlm-given-names">
    <w:name w:val="nlm-given-names"/>
    <w:basedOn w:val="DefaultParagraphFont"/>
    <w:rsid w:val="002668C9"/>
  </w:style>
  <w:style w:type="character" w:customStyle="1" w:styleId="highwire-cite-title2">
    <w:name w:val="highwire-cite-title2"/>
    <w:basedOn w:val="DefaultParagraphFont"/>
    <w:rsid w:val="002668C9"/>
  </w:style>
  <w:style w:type="character" w:customStyle="1" w:styleId="highwire-cite-metadata-journal">
    <w:name w:val="highwire-cite-metadata-journal"/>
    <w:basedOn w:val="DefaultParagraphFont"/>
    <w:rsid w:val="002668C9"/>
  </w:style>
  <w:style w:type="character" w:customStyle="1" w:styleId="highwire-cite-metadata-date">
    <w:name w:val="highwire-cite-metadata-date"/>
    <w:basedOn w:val="DefaultParagraphFont"/>
    <w:rsid w:val="002668C9"/>
  </w:style>
  <w:style w:type="character" w:customStyle="1" w:styleId="highwire-cite-metadata-volume">
    <w:name w:val="highwire-cite-metadata-volume"/>
    <w:basedOn w:val="DefaultParagraphFont"/>
    <w:rsid w:val="002668C9"/>
  </w:style>
  <w:style w:type="character" w:customStyle="1" w:styleId="article-doi">
    <w:name w:val="article-doi"/>
    <w:basedOn w:val="DefaultParagraphFont"/>
    <w:rsid w:val="002668C9"/>
  </w:style>
  <w:style w:type="character" w:styleId="UnresolvedMention">
    <w:name w:val="Unresolved Mention"/>
    <w:basedOn w:val="DefaultParagraphFont"/>
    <w:uiPriority w:val="99"/>
    <w:semiHidden/>
    <w:unhideWhenUsed/>
    <w:rsid w:val="00C95E47"/>
    <w:rPr>
      <w:color w:val="605E5C"/>
      <w:shd w:val="clear" w:color="auto" w:fill="E1DFDD"/>
    </w:rPr>
  </w:style>
  <w:style w:type="character" w:styleId="CommentReference">
    <w:name w:val="annotation reference"/>
    <w:basedOn w:val="DefaultParagraphFont"/>
    <w:uiPriority w:val="99"/>
    <w:semiHidden/>
    <w:unhideWhenUsed/>
    <w:rsid w:val="00CA19EC"/>
    <w:rPr>
      <w:sz w:val="16"/>
      <w:szCs w:val="16"/>
    </w:rPr>
  </w:style>
  <w:style w:type="paragraph" w:styleId="CommentText">
    <w:name w:val="annotation text"/>
    <w:basedOn w:val="Normal"/>
    <w:link w:val="CommentTextChar"/>
    <w:uiPriority w:val="99"/>
    <w:unhideWhenUsed/>
    <w:rsid w:val="00CA19EC"/>
    <w:pPr>
      <w:spacing w:line="240" w:lineRule="auto"/>
    </w:pPr>
    <w:rPr>
      <w:sz w:val="20"/>
      <w:szCs w:val="20"/>
    </w:rPr>
  </w:style>
  <w:style w:type="character" w:customStyle="1" w:styleId="CommentTextChar">
    <w:name w:val="Comment Text Char"/>
    <w:basedOn w:val="DefaultParagraphFont"/>
    <w:link w:val="CommentText"/>
    <w:uiPriority w:val="99"/>
    <w:rsid w:val="00CA19E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19EC"/>
    <w:rPr>
      <w:b/>
      <w:bCs/>
    </w:rPr>
  </w:style>
  <w:style w:type="character" w:customStyle="1" w:styleId="CommentSubjectChar">
    <w:name w:val="Comment Subject Char"/>
    <w:basedOn w:val="CommentTextChar"/>
    <w:link w:val="CommentSubject"/>
    <w:uiPriority w:val="99"/>
    <w:semiHidden/>
    <w:rsid w:val="00CA19EC"/>
    <w:rPr>
      <w:rFonts w:ascii="Times New Roman" w:hAnsi="Times New Roman"/>
      <w:b/>
      <w:bCs/>
      <w:sz w:val="20"/>
      <w:szCs w:val="20"/>
    </w:rPr>
  </w:style>
  <w:style w:type="paragraph" w:customStyle="1" w:styleId="EndNoteBibliography">
    <w:name w:val="EndNote Bibliography"/>
    <w:basedOn w:val="Normal"/>
    <w:link w:val="EndNoteBibliographyChar"/>
    <w:rsid w:val="00E20BBA"/>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E20BBA"/>
    <w:rPr>
      <w:rFonts w:ascii="Times New Roman" w:hAnsi="Times New Roman" w:cs="Times New Roman"/>
      <w:noProof/>
      <w:lang w:val="en-US"/>
    </w:rPr>
  </w:style>
  <w:style w:type="table" w:styleId="TableGrid">
    <w:name w:val="Table Grid"/>
    <w:basedOn w:val="TableNormal"/>
    <w:uiPriority w:val="39"/>
    <w:rsid w:val="0055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33D3"/>
    <w:pPr>
      <w:spacing w:before="100" w:beforeAutospacing="1" w:after="100" w:afterAutospacing="1" w:line="240" w:lineRule="auto"/>
      <w:jc w:val="left"/>
    </w:pPr>
    <w:rPr>
      <w:rFonts w:eastAsia="Times New Roman" w:cs="Times New Roman"/>
      <w:sz w:val="24"/>
      <w:szCs w:val="24"/>
      <w:lang w:eastAsia="en-GB"/>
    </w:rPr>
  </w:style>
  <w:style w:type="paragraph" w:styleId="Revision">
    <w:name w:val="Revision"/>
    <w:hidden/>
    <w:uiPriority w:val="99"/>
    <w:semiHidden/>
    <w:rsid w:val="00674A67"/>
    <w:pPr>
      <w:spacing w:after="0" w:line="240" w:lineRule="auto"/>
    </w:pPr>
    <w:rPr>
      <w:rFonts w:ascii="Times New Roman" w:hAnsi="Times New Roman"/>
    </w:rPr>
  </w:style>
  <w:style w:type="character" w:customStyle="1" w:styleId="cf01">
    <w:name w:val="cf01"/>
    <w:basedOn w:val="DefaultParagraphFont"/>
    <w:rsid w:val="00C11048"/>
    <w:rPr>
      <w:rFonts w:ascii="Segoe UI" w:hAnsi="Segoe UI" w:cs="Segoe UI" w:hint="default"/>
      <w:sz w:val="18"/>
      <w:szCs w:val="18"/>
    </w:rPr>
  </w:style>
  <w:style w:type="paragraph" w:customStyle="1" w:styleId="pf0">
    <w:name w:val="pf0"/>
    <w:basedOn w:val="Normal"/>
    <w:rsid w:val="00EB4FCC"/>
    <w:pPr>
      <w:spacing w:before="100" w:beforeAutospacing="1" w:after="100" w:afterAutospacing="1" w:line="240" w:lineRule="auto"/>
      <w:jc w:val="left"/>
    </w:pPr>
    <w:rPr>
      <w:rFonts w:eastAsia="Times New Roman" w:cs="Times New Roman"/>
      <w:sz w:val="24"/>
      <w:szCs w:val="24"/>
      <w:lang w:eastAsia="en-GB"/>
    </w:rPr>
  </w:style>
  <w:style w:type="character" w:styleId="FollowedHyperlink">
    <w:name w:val="FollowedHyperlink"/>
    <w:basedOn w:val="DefaultParagraphFont"/>
    <w:uiPriority w:val="99"/>
    <w:semiHidden/>
    <w:unhideWhenUsed/>
    <w:rsid w:val="00075FB9"/>
    <w:rPr>
      <w:color w:val="954F72" w:themeColor="followedHyperlink"/>
      <w:u w:val="single"/>
    </w:rPr>
  </w:style>
  <w:style w:type="paragraph" w:styleId="PlainText">
    <w:name w:val="Plain Text"/>
    <w:basedOn w:val="Normal"/>
    <w:link w:val="PlainTextChar"/>
    <w:uiPriority w:val="99"/>
    <w:unhideWhenUsed/>
    <w:rsid w:val="00097F67"/>
    <w:pPr>
      <w:spacing w:line="240" w:lineRule="auto"/>
      <w:jc w:val="left"/>
    </w:pPr>
    <w:rPr>
      <w:rFonts w:ascii="Calibri" w:hAnsi="Calibri"/>
      <w:szCs w:val="21"/>
    </w:rPr>
  </w:style>
  <w:style w:type="character" w:customStyle="1" w:styleId="PlainTextChar">
    <w:name w:val="Plain Text Char"/>
    <w:basedOn w:val="DefaultParagraphFont"/>
    <w:link w:val="PlainText"/>
    <w:uiPriority w:val="99"/>
    <w:rsid w:val="00097F6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1580">
      <w:bodyDiv w:val="1"/>
      <w:marLeft w:val="0"/>
      <w:marRight w:val="0"/>
      <w:marTop w:val="0"/>
      <w:marBottom w:val="0"/>
      <w:divBdr>
        <w:top w:val="none" w:sz="0" w:space="0" w:color="auto"/>
        <w:left w:val="none" w:sz="0" w:space="0" w:color="auto"/>
        <w:bottom w:val="none" w:sz="0" w:space="0" w:color="auto"/>
        <w:right w:val="none" w:sz="0" w:space="0" w:color="auto"/>
      </w:divBdr>
    </w:div>
    <w:div w:id="289677972">
      <w:bodyDiv w:val="1"/>
      <w:marLeft w:val="0"/>
      <w:marRight w:val="0"/>
      <w:marTop w:val="0"/>
      <w:marBottom w:val="0"/>
      <w:divBdr>
        <w:top w:val="none" w:sz="0" w:space="0" w:color="auto"/>
        <w:left w:val="none" w:sz="0" w:space="0" w:color="auto"/>
        <w:bottom w:val="none" w:sz="0" w:space="0" w:color="auto"/>
        <w:right w:val="none" w:sz="0" w:space="0" w:color="auto"/>
      </w:divBdr>
    </w:div>
    <w:div w:id="778599969">
      <w:bodyDiv w:val="1"/>
      <w:marLeft w:val="0"/>
      <w:marRight w:val="0"/>
      <w:marTop w:val="0"/>
      <w:marBottom w:val="0"/>
      <w:divBdr>
        <w:top w:val="none" w:sz="0" w:space="0" w:color="auto"/>
        <w:left w:val="none" w:sz="0" w:space="0" w:color="auto"/>
        <w:bottom w:val="none" w:sz="0" w:space="0" w:color="auto"/>
        <w:right w:val="none" w:sz="0" w:space="0" w:color="auto"/>
      </w:divBdr>
    </w:div>
    <w:div w:id="1476871552">
      <w:bodyDiv w:val="1"/>
      <w:marLeft w:val="0"/>
      <w:marRight w:val="0"/>
      <w:marTop w:val="0"/>
      <w:marBottom w:val="0"/>
      <w:divBdr>
        <w:top w:val="none" w:sz="0" w:space="0" w:color="auto"/>
        <w:left w:val="none" w:sz="0" w:space="0" w:color="auto"/>
        <w:bottom w:val="none" w:sz="0" w:space="0" w:color="auto"/>
        <w:right w:val="none" w:sz="0" w:space="0" w:color="auto"/>
      </w:divBdr>
    </w:div>
    <w:div w:id="21309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a.europa.eu/en/adjustment-baseline-covariates-clinical-trials" TargetMode="External"/><Relationship Id="rId18" Type="http://schemas.openxmlformats.org/officeDocument/2006/relationships/hyperlink" Target="https://mrc.ukri.org/documents/pdf/complex-interventions-guidance/" TargetMode="External"/><Relationship Id="rId26" Type="http://schemas.openxmlformats.org/officeDocument/2006/relationships/hyperlink" Target="http://www.ncbi.nlm.nih.gov/pubmed/19001484" TargetMode="External"/><Relationship Id="rId3" Type="http://schemas.openxmlformats.org/officeDocument/2006/relationships/customXml" Target="../customXml/item3.xml"/><Relationship Id="rId21" Type="http://schemas.openxmlformats.org/officeDocument/2006/relationships/hyperlink" Target="https://database.ich.org/sites/default/files/E6_R2_Addendum.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ct-toolkit.ac.uk/routemap/trial-planning-and-design/downloads/planning-a-randomised-controlled-trial.pdf/" TargetMode="External"/><Relationship Id="rId25" Type="http://schemas.openxmlformats.org/officeDocument/2006/relationships/hyperlink" Target="http://www.ncbi.nlm.nih.gov/pubmed?term=22951546"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t-toolkit.ac.uk/routemap/trial-planning-and-design/downloads/planning-a-randomised-controlled-trial.pdf/" TargetMode="External"/><Relationship Id="rId20" Type="http://schemas.openxmlformats.org/officeDocument/2006/relationships/hyperlink" Target="https://database.ich.org/sites/default/files/E3_Guideline.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zabeth.conroy@ndorms.ox.ac.uk" TargetMode="External"/><Relationship Id="rId24" Type="http://schemas.openxmlformats.org/officeDocument/2006/relationships/hyperlink" Target="https://www.ncbi.nlm.nih.gov/pubmed/28630973"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89415/Statistical_considerations_clinical_investigations_-_May_2021.pdf" TargetMode="External"/><Relationship Id="rId23" Type="http://schemas.openxmlformats.org/officeDocument/2006/relationships/hyperlink" Target="https://assets.publishing.service.gov.uk/government/uploads/system/uploads/attachment_data/file/989415/Statistical_considerations_clinical_investigations_-_May_2021.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ma.europa.eu/en/documents/scientific-guideline/guideline-adjustment-baseline-covariates-clinical-trials_en.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rc.ukri.org/documents/pdf/complex-interventions-guidance/" TargetMode="External"/><Relationship Id="rId22" Type="http://schemas.openxmlformats.org/officeDocument/2006/relationships/hyperlink" Target="https://www.ema.europa.eu/en/documents/scientific-guideline/ich-e-8-general-considerations-clinical-trials-step-5_en.pdf" TargetMode="External"/><Relationship Id="rId27" Type="http://schemas.openxmlformats.org/officeDocument/2006/relationships/hyperlink" Target="http://www.ncbi.nlm.nih.gov/pubmed/19001484"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1" ma:contentTypeDescription="Create a new document." ma:contentTypeScope="" ma:versionID="2329a506d9f737c5c9362a411e13b4e7">
  <xsd:schema xmlns:xsd="http://www.w3.org/2001/XMLSchema" xmlns:xs="http://www.w3.org/2001/XMLSchema" xmlns:p="http://schemas.microsoft.com/office/2006/metadata/properties" xmlns:ns3="2c43926a-b248-4fb5-8692-7f03bd5c687b" xmlns:ns4="2c0728d4-b628-46ac-beb8-1847ad0e6c02" targetNamespace="http://schemas.microsoft.com/office/2006/metadata/properties" ma:root="true" ma:fieldsID="624478d612b5d2d98eb36a1689bd9083" ns3:_="" ns4:_="">
    <xsd:import namespace="2c43926a-b248-4fb5-8692-7f03bd5c687b"/>
    <xsd:import namespace="2c0728d4-b628-46ac-beb8-1847ad0e6c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29952-DBDF-49EB-9B55-DCA8AA778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3926a-b248-4fb5-8692-7f03bd5c687b"/>
    <ds:schemaRef ds:uri="2c0728d4-b628-46ac-beb8-1847ad0e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37CFE-6144-4807-92F5-8274273302C7}">
  <ds:schemaRefs>
    <ds:schemaRef ds:uri="http://schemas.microsoft.com/sharepoint/v3/contenttype/forms"/>
  </ds:schemaRefs>
</ds:datastoreItem>
</file>

<file path=customXml/itemProps3.xml><?xml version="1.0" encoding="utf-8"?>
<ds:datastoreItem xmlns:ds="http://schemas.openxmlformats.org/officeDocument/2006/customXml" ds:itemID="{7388F3E7-EF3D-4E60-8186-D9A197164A22}">
  <ds:schemaRef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2c0728d4-b628-46ac-beb8-1847ad0e6c02"/>
    <ds:schemaRef ds:uri="2c43926a-b248-4fb5-8692-7f03bd5c687b"/>
  </ds:schemaRefs>
</ds:datastoreItem>
</file>

<file path=customXml/itemProps4.xml><?xml version="1.0" encoding="utf-8"?>
<ds:datastoreItem xmlns:ds="http://schemas.openxmlformats.org/officeDocument/2006/customXml" ds:itemID="{07B90865-D0FE-4E8E-BA4B-6DE41006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7838</Words>
  <Characters>44683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Conroy</dc:creator>
  <cp:keywords/>
  <dc:description/>
  <cp:lastModifiedBy>Elizabeth Conroy</cp:lastModifiedBy>
  <cp:revision>2</cp:revision>
  <dcterms:created xsi:type="dcterms:W3CDTF">2022-08-03T08:28:00Z</dcterms:created>
  <dcterms:modified xsi:type="dcterms:W3CDTF">2022-08-03T08:28:00Z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