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0DBD2" w14:textId="7A1CBC40" w:rsidR="0050755A" w:rsidRPr="00F4113B" w:rsidRDefault="0050755A" w:rsidP="00E65CEB">
      <w:pPr>
        <w:spacing w:line="480" w:lineRule="auto"/>
        <w:rPr>
          <w:b/>
          <w:bCs/>
          <w:sz w:val="32"/>
          <w:szCs w:val="32"/>
        </w:rPr>
      </w:pPr>
      <w:r w:rsidRPr="00F4113B">
        <w:rPr>
          <w:b/>
          <w:bCs/>
          <w:sz w:val="32"/>
          <w:szCs w:val="32"/>
        </w:rPr>
        <w:t>Two Logics of Non-Re</w:t>
      </w:r>
      <w:r w:rsidR="001C76B5" w:rsidRPr="00F4113B">
        <w:rPr>
          <w:b/>
          <w:bCs/>
          <w:sz w:val="32"/>
          <w:szCs w:val="32"/>
        </w:rPr>
        <w:t>currence</w:t>
      </w:r>
      <w:r w:rsidR="000C1350" w:rsidRPr="00F4113B">
        <w:rPr>
          <w:b/>
          <w:bCs/>
          <w:sz w:val="32"/>
          <w:szCs w:val="32"/>
        </w:rPr>
        <w:t xml:space="preserve"> after </w:t>
      </w:r>
      <w:r w:rsidR="0082211C" w:rsidRPr="00F4113B">
        <w:rPr>
          <w:b/>
          <w:bCs/>
          <w:sz w:val="32"/>
          <w:szCs w:val="32"/>
        </w:rPr>
        <w:t xml:space="preserve">Civil </w:t>
      </w:r>
      <w:r w:rsidR="000C1350" w:rsidRPr="00F4113B">
        <w:rPr>
          <w:b/>
          <w:bCs/>
          <w:sz w:val="32"/>
          <w:szCs w:val="32"/>
        </w:rPr>
        <w:t>Conflict</w:t>
      </w:r>
    </w:p>
    <w:p w14:paraId="05BB0990" w14:textId="77777777" w:rsidR="00E65CEB" w:rsidRDefault="00E65CEB" w:rsidP="00E65CEB">
      <w:pPr>
        <w:spacing w:line="480" w:lineRule="auto"/>
        <w:rPr>
          <w:b/>
          <w:bCs/>
        </w:rPr>
      </w:pPr>
    </w:p>
    <w:p w14:paraId="57BB645B" w14:textId="106ECCFF" w:rsidR="0050755A" w:rsidRPr="00E65CEB" w:rsidRDefault="00E65CEB" w:rsidP="00E65CEB">
      <w:pPr>
        <w:spacing w:line="480" w:lineRule="auto"/>
        <w:rPr>
          <w:b/>
          <w:bCs/>
        </w:rPr>
      </w:pPr>
      <w:r w:rsidRPr="00E65CEB">
        <w:rPr>
          <w:b/>
          <w:bCs/>
        </w:rPr>
        <w:t>Abstract</w:t>
      </w:r>
    </w:p>
    <w:p w14:paraId="0DB1B697" w14:textId="085D8253" w:rsidR="00E65CEB" w:rsidRDefault="00E65CEB" w:rsidP="00E65CEB">
      <w:pPr>
        <w:spacing w:line="480" w:lineRule="auto"/>
        <w:jc w:val="both"/>
        <w:rPr>
          <w:rFonts w:eastAsiaTheme="minorHAnsi"/>
          <w:lang w:val="en-GB" w:eastAsia="en-US"/>
        </w:rPr>
      </w:pPr>
      <w:r w:rsidRPr="00E65CEB">
        <w:rPr>
          <w:rFonts w:eastAsiaTheme="minorHAnsi"/>
          <w:lang w:val="en-GB" w:eastAsia="en-US"/>
        </w:rPr>
        <w:t>This article examines the interactions of two under</w:t>
      </w:r>
      <w:r w:rsidR="0031227B">
        <w:rPr>
          <w:rFonts w:eastAsiaTheme="minorHAnsi"/>
          <w:lang w:val="en-GB" w:eastAsia="en-US"/>
        </w:rPr>
        <w:t>-</w:t>
      </w:r>
      <w:r w:rsidRPr="00E65CEB">
        <w:rPr>
          <w:rFonts w:eastAsiaTheme="minorHAnsi"/>
          <w:lang w:val="en-GB" w:eastAsia="en-US"/>
        </w:rPr>
        <w:t xml:space="preserve">theorised means to forestall recurrence of violence </w:t>
      </w:r>
      <w:r w:rsidR="00625DB5">
        <w:rPr>
          <w:rFonts w:eastAsiaTheme="minorHAnsi"/>
          <w:lang w:val="en-GB" w:eastAsia="en-US"/>
        </w:rPr>
        <w:t xml:space="preserve">and human rights abuses </w:t>
      </w:r>
      <w:r w:rsidRPr="00E65CEB">
        <w:rPr>
          <w:rFonts w:eastAsiaTheme="minorHAnsi"/>
          <w:lang w:val="en-GB" w:eastAsia="en-US"/>
        </w:rPr>
        <w:t>after conflict with two very different, but by no means mutually incompatible, logics. The first of these is guarantees of non-recurrence</w:t>
      </w:r>
      <w:r w:rsidR="00D33227">
        <w:rPr>
          <w:rFonts w:eastAsiaTheme="minorHAnsi"/>
          <w:lang w:val="en-GB" w:eastAsia="en-US"/>
        </w:rPr>
        <w:t xml:space="preserve"> (GNRs)</w:t>
      </w:r>
      <w:r w:rsidRPr="00E65CEB">
        <w:rPr>
          <w:rFonts w:eastAsiaTheme="minorHAnsi"/>
          <w:lang w:val="en-GB" w:eastAsia="en-US"/>
        </w:rPr>
        <w:t xml:space="preserve">, a branch of transitional justice characterised by a deeply formalist, institutionalised logic. The second is political settlements characterised by a highly informal logic. This article explores the conceptual terrain between these two logics of non-recurrence. It demonstrates a mismatch between the faith of transitional justice policy-makers in the centrality of </w:t>
      </w:r>
      <w:r w:rsidR="00D33227">
        <w:rPr>
          <w:rFonts w:eastAsiaTheme="minorHAnsi"/>
          <w:lang w:val="en-GB" w:eastAsia="en-US"/>
        </w:rPr>
        <w:t xml:space="preserve">GNRs </w:t>
      </w:r>
      <w:r w:rsidRPr="00E65CEB">
        <w:rPr>
          <w:rFonts w:eastAsiaTheme="minorHAnsi"/>
          <w:lang w:val="en-GB" w:eastAsia="en-US"/>
        </w:rPr>
        <w:t xml:space="preserve">to non-recurrence, on the one hand, and the actual process of guarding against conflict resumption as it is shaped extra-institutionally by the informal practices that underpin settlements, on the other. Post-conflict states generally place greater faith in the informal logic of settlements than the institutionalist logic of GNRs. Arguing that the prospects for non-recurrence are not fully captured if we focus only on the legal and institutional attributes of the state, it shows that settlements evolve or disintegrate incrementally over time. This critically conditions when </w:t>
      </w:r>
      <w:r w:rsidR="00D33227">
        <w:rPr>
          <w:rFonts w:eastAsiaTheme="minorHAnsi"/>
          <w:lang w:val="en-GB" w:eastAsia="en-US"/>
        </w:rPr>
        <w:t>GNRs</w:t>
      </w:r>
      <w:r w:rsidRPr="00E65CEB">
        <w:rPr>
          <w:rFonts w:eastAsiaTheme="minorHAnsi"/>
          <w:lang w:val="en-GB" w:eastAsia="en-US"/>
        </w:rPr>
        <w:t xml:space="preserve"> are essential and efficacious. Put another way, the fate of </w:t>
      </w:r>
      <w:r w:rsidR="00D33227">
        <w:rPr>
          <w:rFonts w:eastAsiaTheme="minorHAnsi"/>
          <w:lang w:val="en-GB" w:eastAsia="en-US"/>
        </w:rPr>
        <w:t>GNRs</w:t>
      </w:r>
      <w:r w:rsidRPr="00E65CEB">
        <w:rPr>
          <w:rFonts w:eastAsiaTheme="minorHAnsi"/>
          <w:lang w:val="en-GB" w:eastAsia="en-US"/>
        </w:rPr>
        <w:t xml:space="preserve"> in </w:t>
      </w:r>
      <w:r w:rsidRPr="00E65CEB">
        <w:rPr>
          <w:rFonts w:eastAsiaTheme="minorHAnsi"/>
          <w:i/>
          <w:iCs/>
          <w:lang w:val="en-GB" w:eastAsia="en-US"/>
        </w:rPr>
        <w:t>particular</w:t>
      </w:r>
      <w:r w:rsidRPr="00E65CEB">
        <w:rPr>
          <w:rFonts w:eastAsiaTheme="minorHAnsi"/>
          <w:lang w:val="en-GB" w:eastAsia="en-US"/>
        </w:rPr>
        <w:t xml:space="preserve"> institutions depends on how settlements </w:t>
      </w:r>
      <w:r w:rsidRPr="00E65CEB">
        <w:rPr>
          <w:rFonts w:eastAsiaTheme="minorHAnsi"/>
          <w:i/>
          <w:iCs/>
          <w:lang w:val="en-GB" w:eastAsia="en-US"/>
        </w:rPr>
        <w:t>in general</w:t>
      </w:r>
      <w:r w:rsidRPr="00E65CEB">
        <w:rPr>
          <w:rFonts w:eastAsiaTheme="minorHAnsi"/>
          <w:lang w:val="en-GB" w:eastAsia="en-US"/>
        </w:rPr>
        <w:t xml:space="preserve"> maintain the peace. Transitional justice theorists should be open to the possibility that guarantees of non-repetition are the fruit, not the precondition, of social order. </w:t>
      </w:r>
    </w:p>
    <w:p w14:paraId="347D8194" w14:textId="77777777" w:rsidR="00D33227" w:rsidRPr="00E65CEB" w:rsidRDefault="00D33227" w:rsidP="00E65CEB">
      <w:pPr>
        <w:spacing w:line="480" w:lineRule="auto"/>
        <w:jc w:val="both"/>
      </w:pPr>
    </w:p>
    <w:p w14:paraId="18CCEA48" w14:textId="3D254B71" w:rsidR="001C76B5" w:rsidRPr="00D33227" w:rsidRDefault="001E4801" w:rsidP="00E65CEB">
      <w:pPr>
        <w:autoSpaceDE w:val="0"/>
        <w:autoSpaceDN w:val="0"/>
        <w:adjustRightInd w:val="0"/>
        <w:spacing w:line="480" w:lineRule="auto"/>
        <w:rPr>
          <w:b/>
          <w:bCs/>
          <w:lang w:val="en-GB"/>
        </w:rPr>
      </w:pPr>
      <w:r w:rsidRPr="00D33227">
        <w:rPr>
          <w:b/>
          <w:bCs/>
          <w:lang w:val="en-GB"/>
        </w:rPr>
        <w:t>Word count: 12, 600 words</w:t>
      </w:r>
      <w:r w:rsidR="00880C92" w:rsidRPr="00D33227">
        <w:rPr>
          <w:b/>
          <w:bCs/>
          <w:lang w:val="en-GB"/>
        </w:rPr>
        <w:t xml:space="preserve"> (excluding abstract)</w:t>
      </w:r>
    </w:p>
    <w:p w14:paraId="51B84B2B" w14:textId="2628A4E9" w:rsidR="001E4801" w:rsidRDefault="001E4801" w:rsidP="00E65CEB">
      <w:pPr>
        <w:autoSpaceDE w:val="0"/>
        <w:autoSpaceDN w:val="0"/>
        <w:adjustRightInd w:val="0"/>
        <w:spacing w:line="480" w:lineRule="auto"/>
        <w:rPr>
          <w:lang w:val="en-GB"/>
        </w:rPr>
      </w:pPr>
    </w:p>
    <w:p w14:paraId="004B54E4" w14:textId="650464ED" w:rsidR="001E4801" w:rsidRDefault="001E4801" w:rsidP="00E65CEB">
      <w:pPr>
        <w:autoSpaceDE w:val="0"/>
        <w:autoSpaceDN w:val="0"/>
        <w:adjustRightInd w:val="0"/>
        <w:spacing w:line="480" w:lineRule="auto"/>
        <w:rPr>
          <w:lang w:val="en-GB"/>
        </w:rPr>
      </w:pPr>
    </w:p>
    <w:p w14:paraId="74A0B77B" w14:textId="77777777" w:rsidR="001E4801" w:rsidRDefault="001E4801" w:rsidP="00E65CEB">
      <w:pPr>
        <w:autoSpaceDE w:val="0"/>
        <w:autoSpaceDN w:val="0"/>
        <w:adjustRightInd w:val="0"/>
        <w:spacing w:line="480" w:lineRule="auto"/>
        <w:rPr>
          <w:lang w:val="en-GB"/>
        </w:rPr>
      </w:pPr>
    </w:p>
    <w:p w14:paraId="5DA8B90F" w14:textId="77777777" w:rsidR="001E4801" w:rsidRPr="00B34C19" w:rsidRDefault="001E4801" w:rsidP="00E65CEB">
      <w:pPr>
        <w:autoSpaceDE w:val="0"/>
        <w:autoSpaceDN w:val="0"/>
        <w:adjustRightInd w:val="0"/>
        <w:spacing w:line="480" w:lineRule="auto"/>
        <w:rPr>
          <w:lang w:val="en-GB"/>
        </w:rPr>
      </w:pPr>
    </w:p>
    <w:p w14:paraId="0E8B4BF4" w14:textId="25E45BC1" w:rsidR="0013267D" w:rsidRPr="00F4113B" w:rsidRDefault="00D75A75" w:rsidP="00E65CEB">
      <w:pPr>
        <w:autoSpaceDE w:val="0"/>
        <w:autoSpaceDN w:val="0"/>
        <w:adjustRightInd w:val="0"/>
        <w:spacing w:line="480" w:lineRule="auto"/>
        <w:jc w:val="both"/>
        <w:rPr>
          <w:b/>
          <w:bCs/>
          <w:color w:val="000000"/>
          <w:sz w:val="28"/>
          <w:szCs w:val="28"/>
          <w:lang w:val="en-GB"/>
        </w:rPr>
      </w:pPr>
      <w:r w:rsidRPr="00F4113B">
        <w:rPr>
          <w:b/>
          <w:bCs/>
          <w:color w:val="000000"/>
          <w:sz w:val="28"/>
          <w:szCs w:val="28"/>
          <w:lang w:val="en-GB"/>
        </w:rPr>
        <w:t xml:space="preserve">1. </w:t>
      </w:r>
      <w:r w:rsidR="0013267D" w:rsidRPr="00F4113B">
        <w:rPr>
          <w:b/>
          <w:bCs/>
          <w:color w:val="000000"/>
          <w:sz w:val="28"/>
          <w:szCs w:val="28"/>
          <w:lang w:val="en-GB"/>
        </w:rPr>
        <w:t>Introduction</w:t>
      </w:r>
      <w:r w:rsidR="0061701E" w:rsidRPr="00F4113B">
        <w:rPr>
          <w:b/>
          <w:bCs/>
          <w:color w:val="000000"/>
          <w:sz w:val="28"/>
          <w:szCs w:val="28"/>
          <w:lang w:val="en-GB"/>
        </w:rPr>
        <w:t>: The Permanent Risk of Conflict Recurrence</w:t>
      </w:r>
    </w:p>
    <w:p w14:paraId="035E80FB" w14:textId="77777777" w:rsidR="0013267D" w:rsidRPr="00B34C19" w:rsidRDefault="0013267D" w:rsidP="00E65CEB">
      <w:pPr>
        <w:autoSpaceDE w:val="0"/>
        <w:autoSpaceDN w:val="0"/>
        <w:adjustRightInd w:val="0"/>
        <w:spacing w:line="480" w:lineRule="auto"/>
        <w:jc w:val="both"/>
        <w:rPr>
          <w:color w:val="000000"/>
          <w:lang w:val="en-GB"/>
        </w:rPr>
      </w:pPr>
    </w:p>
    <w:p w14:paraId="50818D81" w14:textId="3F084E76" w:rsidR="004052CB" w:rsidRPr="00B34C19" w:rsidRDefault="004C66E2" w:rsidP="00E65CEB">
      <w:pPr>
        <w:autoSpaceDE w:val="0"/>
        <w:autoSpaceDN w:val="0"/>
        <w:adjustRightInd w:val="0"/>
        <w:spacing w:line="480" w:lineRule="auto"/>
        <w:jc w:val="both"/>
        <w:rPr>
          <w:color w:val="000000"/>
        </w:rPr>
      </w:pPr>
      <w:r w:rsidRPr="00B34C19">
        <w:rPr>
          <w:color w:val="000000"/>
          <w:lang w:val="en-GB"/>
        </w:rPr>
        <w:t xml:space="preserve">Between 1989 and 2020, nearly </w:t>
      </w:r>
      <w:r w:rsidRPr="00B34C19">
        <w:t>half of all conflict episodes recurred, and almost 20% have recurred three or more times.</w:t>
      </w:r>
      <w:r w:rsidRPr="00B34C19">
        <w:rPr>
          <w:rStyle w:val="FootnoteReference"/>
        </w:rPr>
        <w:footnoteReference w:id="1"/>
      </w:r>
      <w:r w:rsidRPr="00B34C19">
        <w:t xml:space="preserve"> </w:t>
      </w:r>
      <w:r w:rsidR="008162FB" w:rsidRPr="00B34C19">
        <w:rPr>
          <w:lang w:val="en-GB"/>
        </w:rPr>
        <w:t xml:space="preserve">Intermittent cycles of war and peace are the norm in many countries. </w:t>
      </w:r>
      <w:r w:rsidR="00F75CC1" w:rsidRPr="00B34C19">
        <w:rPr>
          <w:lang w:val="en-GB"/>
        </w:rPr>
        <w:t xml:space="preserve">This </w:t>
      </w:r>
      <w:r w:rsidR="008162FB" w:rsidRPr="00B34C19">
        <w:rPr>
          <w:lang w:val="en-GB"/>
        </w:rPr>
        <w:t>i</w:t>
      </w:r>
      <w:r w:rsidR="00F75CC1" w:rsidRPr="00B34C19">
        <w:rPr>
          <w:lang w:val="en-GB"/>
        </w:rPr>
        <w:t xml:space="preserve">s so notwithstanding the </w:t>
      </w:r>
      <w:r w:rsidR="008162FB" w:rsidRPr="00B34C19">
        <w:rPr>
          <w:lang w:val="en-GB"/>
        </w:rPr>
        <w:t>deployment</w:t>
      </w:r>
      <w:r w:rsidR="00F75CC1" w:rsidRPr="00B34C19">
        <w:rPr>
          <w:lang w:val="en-GB"/>
        </w:rPr>
        <w:t xml:space="preserve"> of peacebuilding missions and billions of dollars in post</w:t>
      </w:r>
      <w:r w:rsidR="00825441" w:rsidRPr="00B34C19">
        <w:rPr>
          <w:lang w:val="en-GB"/>
        </w:rPr>
        <w:t>-</w:t>
      </w:r>
      <w:r w:rsidR="00F75CC1" w:rsidRPr="00B34C19">
        <w:rPr>
          <w:lang w:val="en-GB"/>
        </w:rPr>
        <w:t xml:space="preserve">conflict development aid. </w:t>
      </w:r>
      <w:r w:rsidR="00B830C6" w:rsidRPr="00B34C19">
        <w:rPr>
          <w:lang w:val="en-GB"/>
        </w:rPr>
        <w:t xml:space="preserve">Former antagonists </w:t>
      </w:r>
      <w:r w:rsidR="0082211C" w:rsidRPr="00B34C19">
        <w:rPr>
          <w:lang w:val="en-GB"/>
        </w:rPr>
        <w:t xml:space="preserve">may </w:t>
      </w:r>
      <w:r w:rsidR="00B830C6" w:rsidRPr="00B34C19">
        <w:rPr>
          <w:lang w:val="en-GB"/>
        </w:rPr>
        <w:t xml:space="preserve">fear recurrence because perceived benefits of an earlier agreed peace accrue unevenly to one group, or because there are fears about the current intentions of </w:t>
      </w:r>
      <w:r w:rsidR="004522EC" w:rsidRPr="00B34C19">
        <w:rPr>
          <w:lang w:val="en-GB"/>
        </w:rPr>
        <w:t xml:space="preserve">the </w:t>
      </w:r>
      <w:r w:rsidR="00B830C6" w:rsidRPr="00B34C19">
        <w:rPr>
          <w:lang w:val="en-GB"/>
        </w:rPr>
        <w:t>recent</w:t>
      </w:r>
      <w:r w:rsidR="004522EC" w:rsidRPr="00B34C19">
        <w:rPr>
          <w:lang w:val="en-GB"/>
        </w:rPr>
        <w:t>ly</w:t>
      </w:r>
      <w:r w:rsidR="00B830C6" w:rsidRPr="00B34C19">
        <w:rPr>
          <w:lang w:val="en-GB"/>
        </w:rPr>
        <w:t xml:space="preserve"> </w:t>
      </w:r>
      <w:r w:rsidR="004522EC" w:rsidRPr="00B34C19">
        <w:rPr>
          <w:lang w:val="en-GB"/>
        </w:rPr>
        <w:t>opposed side</w:t>
      </w:r>
      <w:r w:rsidR="00B830C6" w:rsidRPr="00B34C19">
        <w:rPr>
          <w:lang w:val="en-GB"/>
        </w:rPr>
        <w:t xml:space="preserve">, or because socio-economic conditions </w:t>
      </w:r>
      <w:r w:rsidR="00C73117" w:rsidRPr="00B34C19">
        <w:rPr>
          <w:lang w:val="en-GB"/>
        </w:rPr>
        <w:t xml:space="preserve">that led to conflict </w:t>
      </w:r>
      <w:r w:rsidR="00B830C6" w:rsidRPr="00B34C19">
        <w:rPr>
          <w:lang w:val="en-GB"/>
        </w:rPr>
        <w:t>remain entrenched.</w:t>
      </w:r>
      <w:r w:rsidR="004052CB" w:rsidRPr="00B34C19">
        <w:rPr>
          <w:lang w:val="en-GB"/>
        </w:rPr>
        <w:t xml:space="preserve"> As examples as diverse as Timor-Leste, </w:t>
      </w:r>
      <w:r w:rsidR="004052CB" w:rsidRPr="00B34C19">
        <w:rPr>
          <w:color w:val="000000"/>
          <w:lang w:val="en-GB"/>
        </w:rPr>
        <w:t xml:space="preserve">Afghanistan, Côte d’Ivoire, Mozambique, Liberia and </w:t>
      </w:r>
      <w:r w:rsidR="00C36780" w:rsidRPr="00B34C19">
        <w:rPr>
          <w:color w:val="000000"/>
          <w:lang w:val="en-GB"/>
        </w:rPr>
        <w:t>South Sudan</w:t>
      </w:r>
      <w:r w:rsidR="004052CB" w:rsidRPr="00B34C19">
        <w:rPr>
          <w:color w:val="000000"/>
          <w:lang w:val="en-GB"/>
        </w:rPr>
        <w:t xml:space="preserve"> show us, </w:t>
      </w:r>
      <w:r w:rsidR="004052CB" w:rsidRPr="00B34C19">
        <w:rPr>
          <w:lang w:val="en-GB"/>
        </w:rPr>
        <w:t>transition from conflict is never a clean break from the past.</w:t>
      </w:r>
      <w:r w:rsidR="004052CB" w:rsidRPr="00B34C19">
        <w:rPr>
          <w:color w:val="000000"/>
          <w:lang w:val="en-GB"/>
        </w:rPr>
        <w:t xml:space="preserve"> There is no </w:t>
      </w:r>
      <w:r w:rsidR="004052CB" w:rsidRPr="00B34C19">
        <w:rPr>
          <w:i/>
          <w:iCs/>
          <w:color w:val="000000"/>
          <w:lang w:val="en-GB"/>
        </w:rPr>
        <w:t>a priori</w:t>
      </w:r>
      <w:r w:rsidR="004052CB" w:rsidRPr="00B34C19">
        <w:rPr>
          <w:color w:val="000000"/>
          <w:lang w:val="en-GB"/>
        </w:rPr>
        <w:t xml:space="preserve"> reason to believe all factions or all citizens will automatically</w:t>
      </w:r>
      <w:r w:rsidR="004052CB" w:rsidRPr="00B34C19">
        <w:rPr>
          <w:lang w:val="en-GB"/>
        </w:rPr>
        <w:t xml:space="preserve"> </w:t>
      </w:r>
      <w:r w:rsidR="004052CB" w:rsidRPr="00B34C19">
        <w:rPr>
          <w:color w:val="000000"/>
          <w:lang w:val="en-GB"/>
        </w:rPr>
        <w:t xml:space="preserve">accept and comply with a peace settlement. </w:t>
      </w:r>
      <w:r w:rsidR="004522EC" w:rsidRPr="00B34C19">
        <w:rPr>
          <w:color w:val="000000"/>
          <w:lang w:val="en-GB"/>
        </w:rPr>
        <w:t>The prime insecurity dilemma stems from the fact that the main parties to a domestic conflict cannot credibly ensure that their antagonists will honour the agreements they have committed to in contexts where there are no</w:t>
      </w:r>
      <w:r w:rsidR="002D483F" w:rsidRPr="00B34C19">
        <w:rPr>
          <w:color w:val="000000"/>
          <w:lang w:val="en-GB"/>
        </w:rPr>
        <w:t xml:space="preserve"> fully</w:t>
      </w:r>
      <w:r w:rsidR="004522EC" w:rsidRPr="00B34C19">
        <w:rPr>
          <w:color w:val="000000"/>
          <w:lang w:val="en-GB"/>
        </w:rPr>
        <w:t xml:space="preserve"> functional</w:t>
      </w:r>
      <w:r w:rsidR="002D483F" w:rsidRPr="00B34C19">
        <w:rPr>
          <w:color w:val="000000"/>
          <w:lang w:val="en-GB"/>
        </w:rPr>
        <w:t xml:space="preserve"> </w:t>
      </w:r>
      <w:r w:rsidR="004522EC" w:rsidRPr="00B34C19">
        <w:rPr>
          <w:color w:val="000000"/>
          <w:lang w:val="en-GB"/>
        </w:rPr>
        <w:t xml:space="preserve">institutions to ensure enforcement prior to </w:t>
      </w:r>
      <w:r w:rsidR="008162FB" w:rsidRPr="00B34C19">
        <w:rPr>
          <w:color w:val="000000"/>
          <w:lang w:val="en-GB"/>
        </w:rPr>
        <w:t>(</w:t>
      </w:r>
      <w:r w:rsidR="002D483F" w:rsidRPr="00B34C19">
        <w:rPr>
          <w:color w:val="000000"/>
          <w:lang w:val="en-GB"/>
        </w:rPr>
        <w:t>and after</w:t>
      </w:r>
      <w:r w:rsidR="008162FB" w:rsidRPr="00B34C19">
        <w:rPr>
          <w:color w:val="000000"/>
          <w:lang w:val="en-GB"/>
        </w:rPr>
        <w:t>)</w:t>
      </w:r>
      <w:r w:rsidR="002D483F" w:rsidRPr="00B34C19">
        <w:rPr>
          <w:color w:val="000000"/>
          <w:lang w:val="en-GB"/>
        </w:rPr>
        <w:t xml:space="preserve"> </w:t>
      </w:r>
      <w:r w:rsidR="004522EC" w:rsidRPr="00B34C19">
        <w:rPr>
          <w:color w:val="000000"/>
          <w:lang w:val="en-GB"/>
        </w:rPr>
        <w:t>disarmament</w:t>
      </w:r>
      <w:r w:rsidR="008162FB" w:rsidRPr="00B34C19">
        <w:rPr>
          <w:color w:val="000000"/>
          <w:lang w:val="en-GB"/>
        </w:rPr>
        <w:t xml:space="preserve"> and </w:t>
      </w:r>
      <w:r w:rsidR="004522EC" w:rsidRPr="00B34C19">
        <w:rPr>
          <w:color w:val="000000"/>
          <w:lang w:val="en-GB"/>
        </w:rPr>
        <w:t>demobili</w:t>
      </w:r>
      <w:r w:rsidR="008162FB" w:rsidRPr="00B34C19">
        <w:rPr>
          <w:color w:val="000000"/>
          <w:lang w:val="en-GB"/>
        </w:rPr>
        <w:t>s</w:t>
      </w:r>
      <w:r w:rsidR="004522EC" w:rsidRPr="00B34C19">
        <w:rPr>
          <w:color w:val="000000"/>
          <w:lang w:val="en-GB"/>
        </w:rPr>
        <w:t>ation.</w:t>
      </w:r>
      <w:r w:rsidR="004522EC" w:rsidRPr="00B34C19">
        <w:rPr>
          <w:rStyle w:val="FootnoteReference"/>
          <w:color w:val="000000"/>
          <w:lang w:val="en-GB"/>
        </w:rPr>
        <w:footnoteReference w:id="2"/>
      </w:r>
      <w:r w:rsidR="00F456EE" w:rsidRPr="00B34C19">
        <w:rPr>
          <w:color w:val="000000"/>
          <w:lang w:val="en-GB"/>
        </w:rPr>
        <w:t xml:space="preserve"> This all the </w:t>
      </w:r>
      <w:r w:rsidR="002D483F" w:rsidRPr="00B34C19">
        <w:rPr>
          <w:color w:val="000000"/>
          <w:lang w:val="en-GB"/>
        </w:rPr>
        <w:t>more so</w:t>
      </w:r>
      <w:r w:rsidR="00F456EE" w:rsidRPr="00B34C19">
        <w:rPr>
          <w:color w:val="000000"/>
          <w:lang w:val="en-GB"/>
        </w:rPr>
        <w:t xml:space="preserve"> in post-conflict ecologies characterised by fragmented authority and where neither party decisively destroys the combat </w:t>
      </w:r>
      <w:r w:rsidR="00F456EE" w:rsidRPr="00B34C19">
        <w:rPr>
          <w:color w:val="000000"/>
          <w:lang w:val="en-GB"/>
        </w:rPr>
        <w:lastRenderedPageBreak/>
        <w:t>capacity of the other.</w:t>
      </w:r>
      <w:r w:rsidR="00F456EE" w:rsidRPr="00B34C19">
        <w:rPr>
          <w:rStyle w:val="FootnoteReference"/>
          <w:color w:val="000000"/>
          <w:lang w:val="en-GB"/>
        </w:rPr>
        <w:footnoteReference w:id="3"/>
      </w:r>
      <w:r w:rsidR="00F456EE" w:rsidRPr="00B34C19">
        <w:rPr>
          <w:color w:val="000000"/>
          <w:lang w:val="en-GB"/>
        </w:rPr>
        <w:t xml:space="preserve"> </w:t>
      </w:r>
      <w:r w:rsidR="00EE156B" w:rsidRPr="00B34C19">
        <w:rPr>
          <w:color w:val="000000"/>
          <w:lang w:val="en-GB"/>
        </w:rPr>
        <w:t xml:space="preserve">A clean victory for one side or the other </w:t>
      </w:r>
      <w:r w:rsidR="00BB41E5" w:rsidRPr="00B34C19">
        <w:rPr>
          <w:color w:val="000000"/>
          <w:lang w:val="en-GB"/>
        </w:rPr>
        <w:t xml:space="preserve">is the result </w:t>
      </w:r>
      <w:r w:rsidR="0082211C" w:rsidRPr="00B34C19">
        <w:rPr>
          <w:color w:val="000000"/>
          <w:lang w:val="en-GB"/>
        </w:rPr>
        <w:t>that</w:t>
      </w:r>
      <w:r w:rsidR="00BB41E5" w:rsidRPr="00B34C19">
        <w:rPr>
          <w:color w:val="000000"/>
          <w:lang w:val="en-GB"/>
        </w:rPr>
        <w:t xml:space="preserve"> is most likely to produce stable peace.</w:t>
      </w:r>
      <w:r w:rsidR="00BB41E5" w:rsidRPr="00B34C19">
        <w:rPr>
          <w:rStyle w:val="FootnoteReference"/>
          <w:color w:val="000000"/>
          <w:lang w:val="en-GB"/>
        </w:rPr>
        <w:footnoteReference w:id="4"/>
      </w:r>
      <w:r w:rsidR="00BB41E5" w:rsidRPr="00B34C19">
        <w:rPr>
          <w:color w:val="000000"/>
          <w:lang w:val="en-GB"/>
        </w:rPr>
        <w:t xml:space="preserve"> Even where this occurs, without some measure of tacit consent </w:t>
      </w:r>
      <w:r w:rsidR="00C73117" w:rsidRPr="00B34C19">
        <w:rPr>
          <w:color w:val="000000"/>
          <w:lang w:val="en-GB"/>
        </w:rPr>
        <w:t>the</w:t>
      </w:r>
      <w:r w:rsidR="00BB41E5" w:rsidRPr="00B34C19">
        <w:rPr>
          <w:color w:val="000000"/>
          <w:lang w:val="en-GB"/>
        </w:rPr>
        <w:t xml:space="preserve"> costs </w:t>
      </w:r>
      <w:r w:rsidR="002D483F" w:rsidRPr="00B34C19">
        <w:rPr>
          <w:color w:val="000000"/>
          <w:lang w:val="en-GB"/>
        </w:rPr>
        <w:t xml:space="preserve">of </w:t>
      </w:r>
      <w:r w:rsidR="00C73117" w:rsidRPr="00B34C19">
        <w:rPr>
          <w:color w:val="000000"/>
          <w:lang w:val="en-GB"/>
        </w:rPr>
        <w:t>repressing</w:t>
      </w:r>
      <w:r w:rsidR="00BB41E5" w:rsidRPr="00B34C19">
        <w:rPr>
          <w:color w:val="000000"/>
          <w:lang w:val="en-GB"/>
        </w:rPr>
        <w:t xml:space="preserve"> the defeated group </w:t>
      </w:r>
      <w:r w:rsidR="00C73117" w:rsidRPr="00B34C19">
        <w:rPr>
          <w:color w:val="000000"/>
          <w:lang w:val="en-GB"/>
        </w:rPr>
        <w:t>may prove prohibitively high.</w:t>
      </w:r>
      <w:r w:rsidR="00BB41E5" w:rsidRPr="00B34C19">
        <w:rPr>
          <w:rStyle w:val="FootnoteReference"/>
          <w:color w:val="000000"/>
          <w:lang w:val="en-GB"/>
        </w:rPr>
        <w:footnoteReference w:id="5"/>
      </w:r>
      <w:r w:rsidR="00BB41E5" w:rsidRPr="00B34C19">
        <w:rPr>
          <w:color w:val="000000"/>
          <w:lang w:val="en-GB"/>
        </w:rPr>
        <w:t xml:space="preserve"> </w:t>
      </w:r>
      <w:r w:rsidR="00F456EE" w:rsidRPr="00B34C19">
        <w:rPr>
          <w:color w:val="000000"/>
          <w:lang w:val="en-GB"/>
        </w:rPr>
        <w:t xml:space="preserve">Violence and non-violence </w:t>
      </w:r>
      <w:r w:rsidR="00F456EE" w:rsidRPr="00B34C19">
        <w:rPr>
          <w:lang w:val="en-GB"/>
        </w:rPr>
        <w:t>‘often co-exist in tandem as part of the broader landscape of postconflict political order’</w:t>
      </w:r>
      <w:r w:rsidR="006558F9" w:rsidRPr="00B34C19">
        <w:rPr>
          <w:rStyle w:val="FootnoteReference"/>
          <w:lang w:val="en-GB"/>
        </w:rPr>
        <w:footnoteReference w:id="6"/>
      </w:r>
      <w:r w:rsidR="006558F9" w:rsidRPr="00B34C19">
        <w:rPr>
          <w:lang w:val="en-GB"/>
        </w:rPr>
        <w:t xml:space="preserve"> and the threat of full-blown recurrence always looms</w:t>
      </w:r>
      <w:r w:rsidR="00EE156B" w:rsidRPr="00B34C19">
        <w:rPr>
          <w:lang w:val="en-GB"/>
        </w:rPr>
        <w:t>. As the World Bank notes:</w:t>
      </w:r>
    </w:p>
    <w:p w14:paraId="135D2987" w14:textId="782BF396" w:rsidR="00EE156B" w:rsidRPr="00B34C19" w:rsidRDefault="00EE156B" w:rsidP="00E65CEB">
      <w:pPr>
        <w:autoSpaceDE w:val="0"/>
        <w:autoSpaceDN w:val="0"/>
        <w:adjustRightInd w:val="0"/>
        <w:spacing w:line="480" w:lineRule="auto"/>
        <w:ind w:left="454" w:right="454"/>
        <w:jc w:val="both"/>
        <w:rPr>
          <w:lang w:val="en-GB"/>
        </w:rPr>
      </w:pPr>
      <w:r w:rsidRPr="00B34C19">
        <w:rPr>
          <w:lang w:val="en-GB"/>
        </w:rPr>
        <w:t>‘Once a country stumbles into civil war, its risk of further conflict soars. Conflict weakens the economy and leaves a legacy of atrocities. It also creates leaders and organizations that have invested in skills and equipment that are only useful for violence.’</w:t>
      </w:r>
      <w:r w:rsidRPr="00B34C19">
        <w:rPr>
          <w:rStyle w:val="FootnoteReference"/>
          <w:lang w:val="en-GB"/>
        </w:rPr>
        <w:footnoteReference w:id="7"/>
      </w:r>
    </w:p>
    <w:p w14:paraId="6F85B160" w14:textId="408B9EE0" w:rsidR="00DE11B4" w:rsidRDefault="00DE11B4" w:rsidP="00E65CEB">
      <w:pPr>
        <w:autoSpaceDE w:val="0"/>
        <w:autoSpaceDN w:val="0"/>
        <w:adjustRightInd w:val="0"/>
        <w:spacing w:line="480" w:lineRule="auto"/>
        <w:jc w:val="both"/>
        <w:rPr>
          <w:lang w:val="en-GB"/>
        </w:rPr>
      </w:pPr>
      <w:r w:rsidRPr="00B34C19">
        <w:rPr>
          <w:lang w:val="en-GB"/>
        </w:rPr>
        <w:t>Peace agreements, at most, offer a stable instability.</w:t>
      </w:r>
      <w:r w:rsidR="00E85EC5" w:rsidRPr="00B34C19">
        <w:rPr>
          <w:lang w:val="en-GB"/>
        </w:rPr>
        <w:t xml:space="preserve"> Progress from this state is uncertain, partial and non-linear.</w:t>
      </w:r>
    </w:p>
    <w:p w14:paraId="475AD39D" w14:textId="0274F885" w:rsidR="00F4113B" w:rsidRDefault="00F4113B" w:rsidP="00E65CEB">
      <w:pPr>
        <w:autoSpaceDE w:val="0"/>
        <w:autoSpaceDN w:val="0"/>
        <w:adjustRightInd w:val="0"/>
        <w:spacing w:line="480" w:lineRule="auto"/>
        <w:jc w:val="both"/>
        <w:rPr>
          <w:lang w:val="en-GB"/>
        </w:rPr>
      </w:pPr>
    </w:p>
    <w:p w14:paraId="5C6EA88F" w14:textId="781BC072" w:rsidR="00F4113B" w:rsidRPr="00F4113B" w:rsidRDefault="0012594B" w:rsidP="00E65CEB">
      <w:pPr>
        <w:autoSpaceDE w:val="0"/>
        <w:autoSpaceDN w:val="0"/>
        <w:adjustRightInd w:val="0"/>
        <w:spacing w:line="480" w:lineRule="auto"/>
        <w:jc w:val="both"/>
        <w:rPr>
          <w:b/>
          <w:bCs/>
          <w:i/>
          <w:iCs/>
          <w:lang w:val="en-GB"/>
        </w:rPr>
      </w:pPr>
      <w:r w:rsidRPr="00EE19A1">
        <w:rPr>
          <w:b/>
          <w:bCs/>
          <w:lang w:val="en-GB"/>
        </w:rPr>
        <w:t>1.1</w:t>
      </w:r>
      <w:r w:rsidR="00F4113B" w:rsidRPr="00EE19A1">
        <w:rPr>
          <w:b/>
          <w:bCs/>
          <w:lang w:val="en-GB"/>
        </w:rPr>
        <w:t>.</w:t>
      </w:r>
      <w:r w:rsidR="00F4113B" w:rsidRPr="00F4113B">
        <w:rPr>
          <w:b/>
          <w:bCs/>
          <w:i/>
          <w:iCs/>
          <w:lang w:val="en-GB"/>
        </w:rPr>
        <w:t xml:space="preserve"> Reducing the Risk </w:t>
      </w:r>
    </w:p>
    <w:p w14:paraId="620B88A3" w14:textId="77777777" w:rsidR="00DE11B4" w:rsidRPr="00B34C19" w:rsidRDefault="00DE11B4" w:rsidP="00E65CEB">
      <w:pPr>
        <w:autoSpaceDE w:val="0"/>
        <w:autoSpaceDN w:val="0"/>
        <w:adjustRightInd w:val="0"/>
        <w:spacing w:line="480" w:lineRule="auto"/>
        <w:rPr>
          <w:lang w:val="en-GB"/>
        </w:rPr>
      </w:pPr>
    </w:p>
    <w:p w14:paraId="6F0FDD9E" w14:textId="098899C4" w:rsidR="002D483F" w:rsidRPr="00B34C19" w:rsidRDefault="006558F9" w:rsidP="00E65CEB">
      <w:pPr>
        <w:autoSpaceDE w:val="0"/>
        <w:autoSpaceDN w:val="0"/>
        <w:adjustRightInd w:val="0"/>
        <w:spacing w:line="480" w:lineRule="auto"/>
        <w:jc w:val="both"/>
        <w:rPr>
          <w:color w:val="000000"/>
        </w:rPr>
      </w:pPr>
      <w:r w:rsidRPr="00B34C19">
        <w:rPr>
          <w:lang w:val="en-GB"/>
        </w:rPr>
        <w:t xml:space="preserve">Domestic leaders and the international community introduce a number of </w:t>
      </w:r>
      <w:r w:rsidR="00C36780" w:rsidRPr="00B34C19">
        <w:rPr>
          <w:lang w:val="en-GB"/>
        </w:rPr>
        <w:t>measures</w:t>
      </w:r>
      <w:r w:rsidRPr="00B34C19">
        <w:rPr>
          <w:lang w:val="en-GB"/>
        </w:rPr>
        <w:t xml:space="preserve"> to </w:t>
      </w:r>
      <w:r w:rsidR="00560883" w:rsidRPr="00B34C19">
        <w:rPr>
          <w:lang w:val="en-GB"/>
        </w:rPr>
        <w:t xml:space="preserve">reduce </w:t>
      </w:r>
      <w:r w:rsidRPr="00B34C19">
        <w:rPr>
          <w:lang w:val="en-GB"/>
        </w:rPr>
        <w:t xml:space="preserve">this </w:t>
      </w:r>
      <w:r w:rsidR="002D483F" w:rsidRPr="00B34C19">
        <w:rPr>
          <w:lang w:val="en-GB"/>
        </w:rPr>
        <w:t xml:space="preserve">risk of </w:t>
      </w:r>
      <w:r w:rsidRPr="00B34C19">
        <w:rPr>
          <w:lang w:val="en-GB"/>
        </w:rPr>
        <w:t>recurrence</w:t>
      </w:r>
      <w:r w:rsidR="00103983" w:rsidRPr="00B34C19">
        <w:rPr>
          <w:lang w:val="en-GB"/>
        </w:rPr>
        <w:t xml:space="preserve">. </w:t>
      </w:r>
      <w:r w:rsidR="002D483F" w:rsidRPr="00B34C19">
        <w:rPr>
          <w:lang w:val="en-GB"/>
        </w:rPr>
        <w:t xml:space="preserve">Peacekeepers can physically separate antagonists. </w:t>
      </w:r>
      <w:r w:rsidR="00103983" w:rsidRPr="00B34C19">
        <w:rPr>
          <w:lang w:val="en-GB"/>
        </w:rPr>
        <w:t>Peace agreements attempt to deal with immediate security concerns</w:t>
      </w:r>
      <w:r w:rsidR="00357EF7" w:rsidRPr="00B34C19">
        <w:rPr>
          <w:lang w:val="en-GB"/>
        </w:rPr>
        <w:t>, executive or regional power-sharing</w:t>
      </w:r>
      <w:r w:rsidR="00103983" w:rsidRPr="00B34C19">
        <w:rPr>
          <w:lang w:val="en-GB"/>
        </w:rPr>
        <w:t xml:space="preserve"> and </w:t>
      </w:r>
      <w:r w:rsidR="00103983" w:rsidRPr="00B34C19">
        <w:rPr>
          <w:lang w:val="en-GB"/>
        </w:rPr>
        <w:lastRenderedPageBreak/>
        <w:t xml:space="preserve">more long-term structural issues </w:t>
      </w:r>
      <w:r w:rsidR="002D483F" w:rsidRPr="00B34C19">
        <w:rPr>
          <w:lang w:val="en-GB"/>
        </w:rPr>
        <w:t>(e.g.</w:t>
      </w:r>
      <w:r w:rsidR="001017D7" w:rsidRPr="00B34C19">
        <w:rPr>
          <w:lang w:val="en-GB"/>
        </w:rPr>
        <w:t xml:space="preserve"> </w:t>
      </w:r>
      <w:r w:rsidR="00103983" w:rsidRPr="00B34C19">
        <w:rPr>
          <w:lang w:val="en-GB"/>
        </w:rPr>
        <w:t>land, natural resources, antidiscrimination, welfare and the rights of groups like women or indigenous communities</w:t>
      </w:r>
      <w:r w:rsidR="002D483F" w:rsidRPr="00B34C19">
        <w:rPr>
          <w:lang w:val="en-GB"/>
        </w:rPr>
        <w:t>)</w:t>
      </w:r>
      <w:r w:rsidR="00103983" w:rsidRPr="00B34C19">
        <w:rPr>
          <w:lang w:val="en-GB"/>
        </w:rPr>
        <w:t>.</w:t>
      </w:r>
      <w:r w:rsidR="009928D8" w:rsidRPr="00B34C19">
        <w:rPr>
          <w:lang w:val="en-GB"/>
        </w:rPr>
        <w:t xml:space="preserve"> </w:t>
      </w:r>
      <w:r w:rsidR="001017D7" w:rsidRPr="00B34C19">
        <w:rPr>
          <w:lang w:val="en-GB"/>
        </w:rPr>
        <w:t xml:space="preserve">New constitutions </w:t>
      </w:r>
      <w:r w:rsidR="00671DB4" w:rsidRPr="00B34C19">
        <w:rPr>
          <w:lang w:val="en-GB"/>
        </w:rPr>
        <w:t>attempt</w:t>
      </w:r>
      <w:r w:rsidR="00825441" w:rsidRPr="00B34C19">
        <w:rPr>
          <w:lang w:val="en-GB"/>
        </w:rPr>
        <w:t xml:space="preserve"> to ensure </w:t>
      </w:r>
      <w:r w:rsidR="001017D7" w:rsidRPr="00B34C19">
        <w:rPr>
          <w:lang w:val="en-GB"/>
        </w:rPr>
        <w:t xml:space="preserve">that previously abrogated rights </w:t>
      </w:r>
      <w:r w:rsidR="001017D7" w:rsidRPr="00B34C19">
        <w:rPr>
          <w:color w:val="000000"/>
        </w:rPr>
        <w:t>will be respected</w:t>
      </w:r>
      <w:r w:rsidR="001017D7" w:rsidRPr="00B34C19">
        <w:rPr>
          <w:i/>
          <w:iCs/>
          <w:color w:val="000000"/>
        </w:rPr>
        <w:t xml:space="preserve"> </w:t>
      </w:r>
      <w:r w:rsidR="001017D7" w:rsidRPr="00B34C19">
        <w:rPr>
          <w:color w:val="000000"/>
        </w:rPr>
        <w:t>by the state.</w:t>
      </w:r>
      <w:r w:rsidR="001017D7" w:rsidRPr="00B34C19">
        <w:rPr>
          <w:lang w:val="en-GB"/>
        </w:rPr>
        <w:t xml:space="preserve"> Peacebuilding and statebuilding try to address institutional and other democratic governance weaknesses to insulate a polity against degeneration back into conflict. </w:t>
      </w:r>
      <w:r w:rsidR="00103983" w:rsidRPr="00B34C19">
        <w:rPr>
          <w:lang w:val="en-GB"/>
        </w:rPr>
        <w:t>Many economic development activities are undertaken with a view to non-recurrence.</w:t>
      </w:r>
      <w:r w:rsidR="009928D8" w:rsidRPr="00B34C19">
        <w:rPr>
          <w:lang w:val="en-GB"/>
        </w:rPr>
        <w:t xml:space="preserve"> Economic improvement and employment </w:t>
      </w:r>
      <w:r w:rsidR="009928D8" w:rsidRPr="00B34C19">
        <w:rPr>
          <w:color w:val="000000"/>
        </w:rPr>
        <w:t xml:space="preserve">can have a major, if unmeasurable, </w:t>
      </w:r>
      <w:r w:rsidR="002D483F" w:rsidRPr="00B34C19">
        <w:rPr>
          <w:color w:val="000000"/>
        </w:rPr>
        <w:t>effect</w:t>
      </w:r>
      <w:r w:rsidR="009928D8" w:rsidRPr="00B34C19">
        <w:rPr>
          <w:color w:val="000000"/>
        </w:rPr>
        <w:t xml:space="preserve"> on issues of violence and conflict.</w:t>
      </w:r>
      <w:r w:rsidR="00287340" w:rsidRPr="00B34C19">
        <w:rPr>
          <w:color w:val="000000"/>
        </w:rPr>
        <w:t xml:space="preserve"> </w:t>
      </w:r>
    </w:p>
    <w:p w14:paraId="32E8248B" w14:textId="77777777" w:rsidR="002D483F" w:rsidRPr="00B34C19" w:rsidRDefault="002D483F" w:rsidP="00E65CEB">
      <w:pPr>
        <w:autoSpaceDE w:val="0"/>
        <w:autoSpaceDN w:val="0"/>
        <w:adjustRightInd w:val="0"/>
        <w:spacing w:line="480" w:lineRule="auto"/>
        <w:jc w:val="both"/>
        <w:rPr>
          <w:color w:val="000000"/>
        </w:rPr>
      </w:pPr>
    </w:p>
    <w:p w14:paraId="4512D3A3" w14:textId="49A6935C" w:rsidR="00F03EFC" w:rsidRPr="00B34C19" w:rsidRDefault="00287340" w:rsidP="00E65CEB">
      <w:pPr>
        <w:autoSpaceDE w:val="0"/>
        <w:autoSpaceDN w:val="0"/>
        <w:adjustRightInd w:val="0"/>
        <w:spacing w:line="480" w:lineRule="auto"/>
        <w:jc w:val="both"/>
        <w:rPr>
          <w:lang w:val="en-GB"/>
        </w:rPr>
      </w:pPr>
      <w:r w:rsidRPr="00B34C19">
        <w:rPr>
          <w:color w:val="000000"/>
        </w:rPr>
        <w:t>Sadly</w:t>
      </w:r>
      <w:r w:rsidR="00C36780" w:rsidRPr="00B34C19">
        <w:rPr>
          <w:color w:val="000000"/>
        </w:rPr>
        <w:t>,</w:t>
      </w:r>
      <w:r w:rsidRPr="00B34C19">
        <w:rPr>
          <w:color w:val="000000"/>
        </w:rPr>
        <w:t xml:space="preserve"> </w:t>
      </w:r>
      <w:r w:rsidR="00C36780" w:rsidRPr="00B34C19">
        <w:rPr>
          <w:color w:val="000000"/>
        </w:rPr>
        <w:t>the record over the last 30 years show</w:t>
      </w:r>
      <w:r w:rsidR="001C2F93" w:rsidRPr="00B34C19">
        <w:rPr>
          <w:color w:val="000000"/>
        </w:rPr>
        <w:t>s</w:t>
      </w:r>
      <w:r w:rsidR="00C36780" w:rsidRPr="00B34C19">
        <w:rPr>
          <w:color w:val="000000"/>
        </w:rPr>
        <w:t xml:space="preserve"> that </w:t>
      </w:r>
      <w:r w:rsidRPr="00B34C19">
        <w:rPr>
          <w:color w:val="000000"/>
        </w:rPr>
        <w:t xml:space="preserve">most of these reforms to spur </w:t>
      </w:r>
      <w:r w:rsidRPr="00B34C19">
        <w:rPr>
          <w:lang w:val="en-GB"/>
        </w:rPr>
        <w:t>broader societal</w:t>
      </w:r>
      <w:r w:rsidRPr="00B34C19">
        <w:rPr>
          <w:color w:val="000000"/>
        </w:rPr>
        <w:t xml:space="preserve"> </w:t>
      </w:r>
      <w:r w:rsidRPr="00B34C19">
        <w:rPr>
          <w:lang w:val="en-GB"/>
        </w:rPr>
        <w:t>transformations have at best been minimally or partially carried out. There is an unwillingness, therefore</w:t>
      </w:r>
      <w:r w:rsidR="00142882" w:rsidRPr="00B34C19">
        <w:rPr>
          <w:lang w:val="en-GB"/>
        </w:rPr>
        <w:t>,</w:t>
      </w:r>
      <w:r w:rsidRPr="00B34C19">
        <w:rPr>
          <w:lang w:val="en-GB"/>
        </w:rPr>
        <w:t xml:space="preserve"> to assume all </w:t>
      </w:r>
      <w:r w:rsidR="0082211C" w:rsidRPr="00B34C19">
        <w:rPr>
          <w:lang w:val="en-GB"/>
        </w:rPr>
        <w:t xml:space="preserve">of </w:t>
      </w:r>
      <w:r w:rsidRPr="00B34C19">
        <w:rPr>
          <w:lang w:val="en-GB"/>
        </w:rPr>
        <w:t xml:space="preserve">these initiatives </w:t>
      </w:r>
      <w:r w:rsidR="00326D85" w:rsidRPr="00B34C19">
        <w:rPr>
          <w:lang w:val="en-GB"/>
        </w:rPr>
        <w:t>are</w:t>
      </w:r>
      <w:r w:rsidRPr="00B34C19">
        <w:rPr>
          <w:lang w:val="en-GB"/>
        </w:rPr>
        <w:t xml:space="preserve"> a sufficient</w:t>
      </w:r>
      <w:r w:rsidR="00326D85" w:rsidRPr="00B34C19">
        <w:rPr>
          <w:lang w:val="en-GB"/>
        </w:rPr>
        <w:t xml:space="preserve"> </w:t>
      </w:r>
      <w:r w:rsidRPr="00B34C19">
        <w:rPr>
          <w:lang w:val="en-GB"/>
        </w:rPr>
        <w:t xml:space="preserve">guarantee that </w:t>
      </w:r>
      <w:r w:rsidR="00326D85" w:rsidRPr="00B34C19">
        <w:rPr>
          <w:lang w:val="en-GB"/>
        </w:rPr>
        <w:t xml:space="preserve">(relative) peace will endure. </w:t>
      </w:r>
      <w:r w:rsidR="003B6AA9" w:rsidRPr="00B34C19">
        <w:rPr>
          <w:lang w:val="en-GB"/>
        </w:rPr>
        <w:t>‘Post-conflict’, as Doornbos argues, should not be taken literally as a description of what happens when guns go silent.</w:t>
      </w:r>
      <w:r w:rsidR="003B6AA9" w:rsidRPr="00B34C19">
        <w:rPr>
          <w:rStyle w:val="FootnoteReference"/>
          <w:lang w:val="en-GB"/>
        </w:rPr>
        <w:footnoteReference w:id="8"/>
      </w:r>
      <w:r w:rsidR="00DE11B4" w:rsidRPr="00B34C19">
        <w:rPr>
          <w:lang w:val="en-GB"/>
        </w:rPr>
        <w:t xml:space="preserve"> </w:t>
      </w:r>
      <w:r w:rsidR="00CD73B6" w:rsidRPr="00B34C19">
        <w:rPr>
          <w:lang w:val="en-GB"/>
        </w:rPr>
        <w:t>The underlying conflicts</w:t>
      </w:r>
      <w:r w:rsidR="0099571A" w:rsidRPr="00B34C19">
        <w:rPr>
          <w:lang w:val="en-GB"/>
        </w:rPr>
        <w:t>, identity polarisation</w:t>
      </w:r>
      <w:r w:rsidR="00CD73B6" w:rsidRPr="00B34C19">
        <w:rPr>
          <w:lang w:val="en-GB"/>
        </w:rPr>
        <w:t xml:space="preserve"> </w:t>
      </w:r>
      <w:r w:rsidR="0099571A" w:rsidRPr="00B34C19">
        <w:rPr>
          <w:lang w:val="en-GB"/>
        </w:rPr>
        <w:t xml:space="preserve">and inter-elite struggles </w:t>
      </w:r>
      <w:r w:rsidR="00CD73B6" w:rsidRPr="00B34C19">
        <w:rPr>
          <w:lang w:val="en-GB"/>
        </w:rPr>
        <w:t xml:space="preserve">that </w:t>
      </w:r>
      <w:r w:rsidR="007E4B68" w:rsidRPr="00B34C19">
        <w:rPr>
          <w:lang w:val="en-GB"/>
        </w:rPr>
        <w:t>underpinned</w:t>
      </w:r>
      <w:r w:rsidR="00CD73B6" w:rsidRPr="00B34C19">
        <w:rPr>
          <w:lang w:val="en-GB"/>
        </w:rPr>
        <w:t xml:space="preserve"> conflict are never truly dormant.</w:t>
      </w:r>
      <w:r w:rsidR="007E4B68" w:rsidRPr="00B34C19">
        <w:rPr>
          <w:lang w:val="en-GB"/>
        </w:rPr>
        <w:t xml:space="preserve"> Many of the factors that catalysed fighting remain intact. State capacity is often lowest after conflict</w:t>
      </w:r>
      <w:r w:rsidR="00F03EFC" w:rsidRPr="00B34C19">
        <w:rPr>
          <w:lang w:val="en-GB"/>
        </w:rPr>
        <w:t xml:space="preserve"> as administrative structures are dismantled or criminalised, permitting prolonged opposition to governments</w:t>
      </w:r>
      <w:r w:rsidR="007E4B68" w:rsidRPr="00B34C19">
        <w:rPr>
          <w:lang w:val="en-GB"/>
        </w:rPr>
        <w:t xml:space="preserve">. </w:t>
      </w:r>
      <w:r w:rsidR="00F03EFC" w:rsidRPr="00B34C19">
        <w:rPr>
          <w:lang w:val="en-GB"/>
        </w:rPr>
        <w:t>Conflict depresses economic growth, which in turn increases the risk of conflict recurrence.</w:t>
      </w:r>
      <w:r w:rsidR="00F03EFC" w:rsidRPr="00B34C19">
        <w:rPr>
          <w:rStyle w:val="FootnoteReference"/>
          <w:lang w:val="en-GB"/>
        </w:rPr>
        <w:footnoteReference w:id="9"/>
      </w:r>
      <w:r w:rsidR="00F03EFC" w:rsidRPr="00B34C19">
        <w:rPr>
          <w:lang w:val="en-GB"/>
        </w:rPr>
        <w:t xml:space="preserve"> </w:t>
      </w:r>
      <w:r w:rsidR="00FB0743" w:rsidRPr="00B34C19">
        <w:rPr>
          <w:lang w:val="en-GB"/>
        </w:rPr>
        <w:t xml:space="preserve">Renewed hostilities </w:t>
      </w:r>
      <w:r w:rsidR="002D483F" w:rsidRPr="00B34C19">
        <w:rPr>
          <w:lang w:val="en-GB"/>
        </w:rPr>
        <w:t>promise</w:t>
      </w:r>
      <w:r w:rsidR="00F03EFC" w:rsidRPr="00B34C19">
        <w:rPr>
          <w:lang w:val="en-GB"/>
        </w:rPr>
        <w:t xml:space="preserve"> an alternative system of profit</w:t>
      </w:r>
      <w:r w:rsidR="001E7B33" w:rsidRPr="00B34C19">
        <w:rPr>
          <w:lang w:val="en-GB"/>
        </w:rPr>
        <w:t xml:space="preserve"> as armed group</w:t>
      </w:r>
      <w:r w:rsidR="003E6606" w:rsidRPr="00B34C19">
        <w:rPr>
          <w:lang w:val="en-GB"/>
        </w:rPr>
        <w:t xml:space="preserve">s </w:t>
      </w:r>
      <w:r w:rsidR="001E7B33" w:rsidRPr="00B34C19">
        <w:rPr>
          <w:lang w:val="en-GB"/>
        </w:rPr>
        <w:t>endeavour to capture valuable and exportable resources</w:t>
      </w:r>
      <w:r w:rsidR="00960EC9" w:rsidRPr="00B34C19">
        <w:rPr>
          <w:lang w:val="en-GB"/>
        </w:rPr>
        <w:t>.</w:t>
      </w:r>
      <w:r w:rsidR="00BC0918" w:rsidRPr="00B34C19">
        <w:rPr>
          <w:rStyle w:val="FootnoteReference"/>
          <w:lang w:val="en-GB"/>
        </w:rPr>
        <w:footnoteReference w:id="10"/>
      </w:r>
      <w:r w:rsidR="00960EC9" w:rsidRPr="00B34C19">
        <w:rPr>
          <w:lang w:val="en-GB"/>
        </w:rPr>
        <w:t xml:space="preserve"> Environmental shocks and high ethnic fragmentation </w:t>
      </w:r>
      <w:r w:rsidR="00226584" w:rsidRPr="00B34C19">
        <w:rPr>
          <w:lang w:val="en-GB"/>
        </w:rPr>
        <w:t xml:space="preserve">loom large. </w:t>
      </w:r>
      <w:r w:rsidR="00FA78F2" w:rsidRPr="00B34C19">
        <w:rPr>
          <w:lang w:val="en-GB"/>
        </w:rPr>
        <w:t xml:space="preserve">Social, emotional and ideological factors can also push resort to </w:t>
      </w:r>
      <w:r w:rsidR="00FA78F2" w:rsidRPr="00B34C19">
        <w:rPr>
          <w:lang w:val="en-GB"/>
        </w:rPr>
        <w:lastRenderedPageBreak/>
        <w:t>violence.</w:t>
      </w:r>
      <w:r w:rsidR="00FA78F2" w:rsidRPr="00B34C19">
        <w:rPr>
          <w:rStyle w:val="FootnoteReference"/>
          <w:lang w:val="en-GB"/>
        </w:rPr>
        <w:footnoteReference w:id="11"/>
      </w:r>
      <w:r w:rsidR="00FA78F2" w:rsidRPr="00B34C19">
        <w:rPr>
          <w:lang w:val="en-GB"/>
        </w:rPr>
        <w:t xml:space="preserve"> </w:t>
      </w:r>
      <w:r w:rsidR="00226584" w:rsidRPr="00B34C19">
        <w:rPr>
          <w:lang w:val="en-GB"/>
        </w:rPr>
        <w:t xml:space="preserve">The low level of social cohesion exacerbates this sense of domestic insecurity. </w:t>
      </w:r>
      <w:r w:rsidR="00960EC9" w:rsidRPr="00B34C19">
        <w:rPr>
          <w:lang w:val="en-GB"/>
        </w:rPr>
        <w:t xml:space="preserve">Conflict can quickly engulf even those </w:t>
      </w:r>
      <w:r w:rsidR="00A35DF0" w:rsidRPr="00B34C19">
        <w:rPr>
          <w:lang w:val="en-GB"/>
        </w:rPr>
        <w:t xml:space="preserve">post-conflict </w:t>
      </w:r>
      <w:r w:rsidR="00960EC9" w:rsidRPr="00B34C19">
        <w:rPr>
          <w:lang w:val="en-GB"/>
        </w:rPr>
        <w:t xml:space="preserve">states like </w:t>
      </w:r>
      <w:r w:rsidR="001C2F93" w:rsidRPr="00B34C19">
        <w:rPr>
          <w:lang w:val="en-GB"/>
        </w:rPr>
        <w:t>Timor</w:t>
      </w:r>
      <w:r w:rsidR="00142882" w:rsidRPr="00B34C19">
        <w:rPr>
          <w:lang w:val="en-GB"/>
        </w:rPr>
        <w:t>-</w:t>
      </w:r>
      <w:r w:rsidR="001C2F93" w:rsidRPr="00B34C19">
        <w:rPr>
          <w:lang w:val="en-GB"/>
        </w:rPr>
        <w:t>Leste</w:t>
      </w:r>
      <w:r w:rsidR="00960EC9" w:rsidRPr="00B34C19">
        <w:rPr>
          <w:lang w:val="en-GB"/>
        </w:rPr>
        <w:t xml:space="preserve"> and </w:t>
      </w:r>
      <w:r w:rsidR="001C2F93" w:rsidRPr="00B34C19">
        <w:rPr>
          <w:lang w:val="en-GB"/>
        </w:rPr>
        <w:t>Mali</w:t>
      </w:r>
      <w:r w:rsidR="00960EC9" w:rsidRPr="00B34C19">
        <w:rPr>
          <w:lang w:val="en-GB"/>
        </w:rPr>
        <w:t xml:space="preserve"> that at one point appeared relatively stable.</w:t>
      </w:r>
    </w:p>
    <w:p w14:paraId="1044CEA8" w14:textId="77777777" w:rsidR="00F03EFC" w:rsidRPr="00B34C19" w:rsidRDefault="00F03EFC" w:rsidP="00E65CEB">
      <w:pPr>
        <w:autoSpaceDE w:val="0"/>
        <w:autoSpaceDN w:val="0"/>
        <w:adjustRightInd w:val="0"/>
        <w:spacing w:line="480" w:lineRule="auto"/>
        <w:jc w:val="both"/>
        <w:rPr>
          <w:lang w:val="en-GB"/>
        </w:rPr>
      </w:pPr>
    </w:p>
    <w:p w14:paraId="2281ACD5" w14:textId="58AA96D0" w:rsidR="001C2F93" w:rsidRPr="00B34C19" w:rsidRDefault="00FA78F2" w:rsidP="00E65CEB">
      <w:pPr>
        <w:spacing w:line="480" w:lineRule="auto"/>
        <w:jc w:val="both"/>
      </w:pPr>
      <w:r w:rsidRPr="00B34C19">
        <w:rPr>
          <w:lang w:val="en-GB"/>
        </w:rPr>
        <w:t>States in the developing world, and post-conflict ones particularly, are shaped by this constant risk of violence.</w:t>
      </w:r>
      <w:r w:rsidR="008B326A" w:rsidRPr="00B34C19">
        <w:rPr>
          <w:lang w:val="en-GB"/>
        </w:rPr>
        <w:t xml:space="preserve"> </w:t>
      </w:r>
      <w:r w:rsidR="00E47814" w:rsidRPr="00B34C19">
        <w:rPr>
          <w:lang w:val="en-GB"/>
        </w:rPr>
        <w:t>The internal vulnerabilities of states are compounded by uncontrollable external environments, producing</w:t>
      </w:r>
      <w:r w:rsidR="000F0942" w:rsidRPr="00B34C19">
        <w:rPr>
          <w:lang w:val="en-GB"/>
        </w:rPr>
        <w:t xml:space="preserve"> states described variously as</w:t>
      </w:r>
      <w:r w:rsidR="00E47814" w:rsidRPr="00B34C19">
        <w:rPr>
          <w:lang w:val="en-GB"/>
        </w:rPr>
        <w:t xml:space="preserve"> </w:t>
      </w:r>
      <w:r w:rsidR="000F0942" w:rsidRPr="00B34C19">
        <w:rPr>
          <w:lang w:val="en-GB"/>
        </w:rPr>
        <w:t>‘insecurity regimes’</w:t>
      </w:r>
      <w:r w:rsidR="00A35DF0" w:rsidRPr="00B34C19">
        <w:rPr>
          <w:lang w:val="en-GB"/>
        </w:rPr>
        <w:t xml:space="preserve"> </w:t>
      </w:r>
      <w:r w:rsidR="0098255E" w:rsidRPr="00B34C19">
        <w:rPr>
          <w:lang w:val="en-GB"/>
        </w:rPr>
        <w:t>where the rules of political and economic life do not exist or are consistently violated, producing intense competition.</w:t>
      </w:r>
      <w:r w:rsidR="003E6606" w:rsidRPr="00B34C19">
        <w:rPr>
          <w:rStyle w:val="FootnoteReference"/>
          <w:lang w:val="en-GB"/>
        </w:rPr>
        <w:footnoteReference w:id="12"/>
      </w:r>
      <w:r w:rsidR="003E6606" w:rsidRPr="00B34C19">
        <w:rPr>
          <w:lang w:val="en-GB"/>
        </w:rPr>
        <w:t xml:space="preserve"> </w:t>
      </w:r>
      <w:r w:rsidR="0098255E" w:rsidRPr="00B34C19">
        <w:rPr>
          <w:lang w:val="en-GB"/>
        </w:rPr>
        <w:t xml:space="preserve"> Where high levels of dissensus exist over the fundamental parameters of political life, violence ‘may thus not be the reflection </w:t>
      </w:r>
      <w:r w:rsidR="00615AD7" w:rsidRPr="00B34C19">
        <w:t>of political crisis, but may be a core characteristic of the very functioning and reproduction of a political order.’</w:t>
      </w:r>
      <w:r w:rsidR="00615AD7" w:rsidRPr="00B34C19">
        <w:rPr>
          <w:rStyle w:val="FootnoteReference"/>
        </w:rPr>
        <w:footnoteReference w:id="13"/>
      </w:r>
      <w:r w:rsidR="00615AD7" w:rsidRPr="00B34C19">
        <w:t xml:space="preserve"> Indeed, the latent capacity for violence may affect politics as much, if not more, than actual violence.</w:t>
      </w:r>
      <w:r w:rsidR="00615AD7" w:rsidRPr="00B34C19">
        <w:rPr>
          <w:rStyle w:val="FootnoteReference"/>
        </w:rPr>
        <w:footnoteReference w:id="14"/>
      </w:r>
      <w:r w:rsidR="0026333E" w:rsidRPr="00B34C19">
        <w:t xml:space="preserve"> In most states outside the OECD world where violence has largely been caged by institutions, the ‘primary concern’ is to reduce latent or patent violence.</w:t>
      </w:r>
      <w:r w:rsidR="0026333E" w:rsidRPr="00B34C19">
        <w:rPr>
          <w:rStyle w:val="FootnoteReference"/>
        </w:rPr>
        <w:footnoteReference w:id="15"/>
      </w:r>
      <w:r w:rsidR="0026333E" w:rsidRPr="00B34C19">
        <w:t xml:space="preserve"> </w:t>
      </w:r>
      <w:r w:rsidR="003B6AA9" w:rsidRPr="00B34C19">
        <w:rPr>
          <w:lang w:val="en-GB"/>
        </w:rPr>
        <w:t xml:space="preserve">A </w:t>
      </w:r>
      <w:r w:rsidR="0082211C" w:rsidRPr="00B34C19">
        <w:rPr>
          <w:lang w:val="en-GB"/>
        </w:rPr>
        <w:t>‘</w:t>
      </w:r>
      <w:r w:rsidR="003B6AA9" w:rsidRPr="00B34C19">
        <w:rPr>
          <w:lang w:val="en-GB"/>
        </w:rPr>
        <w:t>security first’ mentality tends to predominate</w:t>
      </w:r>
      <w:r w:rsidR="0026333E" w:rsidRPr="00B34C19">
        <w:rPr>
          <w:lang w:val="en-GB"/>
        </w:rPr>
        <w:t>.</w:t>
      </w:r>
      <w:r w:rsidR="003B6AA9" w:rsidRPr="00B34C19">
        <w:rPr>
          <w:rStyle w:val="FootnoteReference"/>
          <w:lang w:val="en-GB"/>
        </w:rPr>
        <w:footnoteReference w:id="16"/>
      </w:r>
      <w:r w:rsidR="006F4BAE" w:rsidRPr="00B34C19">
        <w:rPr>
          <w:lang w:val="en-GB"/>
        </w:rPr>
        <w:t xml:space="preserve"> Fragile, low-capacity states are therefore pragmatic, focusing on </w:t>
      </w:r>
      <w:r w:rsidR="000C6CE2" w:rsidRPr="00B34C19">
        <w:rPr>
          <w:lang w:val="en-GB"/>
        </w:rPr>
        <w:t>that which secures a negative peace</w:t>
      </w:r>
      <w:r w:rsidR="006F4BAE" w:rsidRPr="00B34C19">
        <w:rPr>
          <w:lang w:val="en-GB"/>
        </w:rPr>
        <w:t xml:space="preserve">, as opposed to broader, more human-security based approaches </w:t>
      </w:r>
      <w:r w:rsidR="00DE7DB3" w:rsidRPr="00B34C19">
        <w:rPr>
          <w:lang w:val="en-GB"/>
        </w:rPr>
        <w:t xml:space="preserve">that </w:t>
      </w:r>
      <w:r w:rsidR="00DE7DB3" w:rsidRPr="00B34C19">
        <w:rPr>
          <w:lang w:val="en-GB"/>
        </w:rPr>
        <w:lastRenderedPageBreak/>
        <w:t>address welfare, services or livelihoods.</w:t>
      </w:r>
      <w:r w:rsidR="00DE7DB3" w:rsidRPr="00B34C19">
        <w:rPr>
          <w:rStyle w:val="FootnoteReference"/>
          <w:lang w:val="en-GB"/>
        </w:rPr>
        <w:footnoteReference w:id="17"/>
      </w:r>
      <w:r w:rsidR="003E5D52" w:rsidRPr="00B34C19">
        <w:rPr>
          <w:lang w:val="en-GB"/>
        </w:rPr>
        <w:t xml:space="preserve"> As Ayoob argues, paradigms and policies that do not take these immense vulnerabilities as central or that do not make security their centrepiece will lack ‘sufficient power to explain Third World behaviour internally or externally.’</w:t>
      </w:r>
      <w:r w:rsidR="003E5D52" w:rsidRPr="00B34C19">
        <w:rPr>
          <w:rStyle w:val="FootnoteReference"/>
          <w:lang w:val="en-GB"/>
        </w:rPr>
        <w:footnoteReference w:id="18"/>
      </w:r>
      <w:r w:rsidR="009C4BA0" w:rsidRPr="00B34C19">
        <w:rPr>
          <w:lang w:val="en-GB"/>
        </w:rPr>
        <w:t xml:space="preserve"> Other vulnerabilities, be they ecological or economic, are seldom viewed as the </w:t>
      </w:r>
      <w:r w:rsidR="009C4BA0" w:rsidRPr="00B34C19">
        <w:rPr>
          <w:i/>
          <w:iCs/>
          <w:lang w:val="en-GB"/>
        </w:rPr>
        <w:t>most</w:t>
      </w:r>
      <w:r w:rsidR="009C4BA0" w:rsidRPr="00B34C19">
        <w:rPr>
          <w:lang w:val="en-GB"/>
        </w:rPr>
        <w:t xml:space="preserve"> acute or proximate danger of conflict recurrence relative to </w:t>
      </w:r>
      <w:r w:rsidR="001C2F93" w:rsidRPr="00B34C19">
        <w:rPr>
          <w:lang w:val="en-GB"/>
        </w:rPr>
        <w:t xml:space="preserve">the risk </w:t>
      </w:r>
      <w:r w:rsidR="00142882" w:rsidRPr="00B34C19">
        <w:rPr>
          <w:lang w:val="en-GB"/>
        </w:rPr>
        <w:t xml:space="preserve">that </w:t>
      </w:r>
      <w:r w:rsidR="009C4BA0" w:rsidRPr="00B34C19">
        <w:rPr>
          <w:lang w:val="en-GB"/>
        </w:rPr>
        <w:t>elite</w:t>
      </w:r>
      <w:r w:rsidR="001C2F93" w:rsidRPr="00B34C19">
        <w:rPr>
          <w:lang w:val="en-GB"/>
        </w:rPr>
        <w:t>s</w:t>
      </w:r>
      <w:r w:rsidR="009C4BA0" w:rsidRPr="00B34C19">
        <w:rPr>
          <w:lang w:val="en-GB"/>
        </w:rPr>
        <w:t xml:space="preserve"> </w:t>
      </w:r>
      <w:r w:rsidR="001C2F93" w:rsidRPr="00B34C19">
        <w:rPr>
          <w:lang w:val="en-GB"/>
        </w:rPr>
        <w:t>pursue political goals through violence</w:t>
      </w:r>
      <w:r w:rsidR="009C4BA0" w:rsidRPr="00B34C19">
        <w:rPr>
          <w:lang w:val="en-GB"/>
        </w:rPr>
        <w:t>.</w:t>
      </w:r>
      <w:r w:rsidR="009C4BA0" w:rsidRPr="00B34C19">
        <w:t xml:space="preserve"> </w:t>
      </w:r>
    </w:p>
    <w:p w14:paraId="450FCDC9" w14:textId="77777777" w:rsidR="001C2F93" w:rsidRPr="00B34C19" w:rsidRDefault="001C2F93" w:rsidP="00E65CEB">
      <w:pPr>
        <w:spacing w:line="480" w:lineRule="auto"/>
        <w:jc w:val="both"/>
      </w:pPr>
    </w:p>
    <w:p w14:paraId="56FAC3EE" w14:textId="7B4B4586" w:rsidR="00DE7DB3" w:rsidRDefault="00326D85" w:rsidP="00E65CEB">
      <w:pPr>
        <w:spacing w:line="480" w:lineRule="auto"/>
        <w:jc w:val="both"/>
        <w:rPr>
          <w:lang w:val="en-GB"/>
        </w:rPr>
      </w:pPr>
      <w:r w:rsidRPr="00B34C19">
        <w:rPr>
          <w:lang w:val="en-GB"/>
        </w:rPr>
        <w:t>The strengths and weaknesses of initiatives</w:t>
      </w:r>
      <w:r w:rsidR="00DE7DB3" w:rsidRPr="00B34C19">
        <w:rPr>
          <w:lang w:val="en-GB"/>
        </w:rPr>
        <w:t xml:space="preserve"> </w:t>
      </w:r>
      <w:r w:rsidR="009C4BA0" w:rsidRPr="00B34C19">
        <w:rPr>
          <w:lang w:val="en-GB"/>
        </w:rPr>
        <w:t xml:space="preserve">to grapple with these difficulties </w:t>
      </w:r>
      <w:r w:rsidR="00DE7DB3" w:rsidRPr="00B34C19">
        <w:rPr>
          <w:lang w:val="en-GB"/>
        </w:rPr>
        <w:t>like peacebuilding, power-sharing and statebuilding</w:t>
      </w:r>
      <w:r w:rsidRPr="00B34C19">
        <w:rPr>
          <w:lang w:val="en-GB"/>
        </w:rPr>
        <w:t xml:space="preserve"> are well understood and will not be explored in this article, though they form an indispensable background to the discussion </w:t>
      </w:r>
      <w:r w:rsidR="008E6692" w:rsidRPr="00B34C19">
        <w:rPr>
          <w:lang w:val="en-GB"/>
        </w:rPr>
        <w:t>herein</w:t>
      </w:r>
      <w:r w:rsidRPr="00B34C19">
        <w:rPr>
          <w:lang w:val="en-GB"/>
        </w:rPr>
        <w:t>. This article examines the interactions of two further, less theorised and less understood means to forestall recurrence of violence with two very different, but by no means</w:t>
      </w:r>
      <w:r w:rsidR="00B10451" w:rsidRPr="00B34C19">
        <w:rPr>
          <w:lang w:val="en-GB"/>
        </w:rPr>
        <w:t xml:space="preserve"> mutually</w:t>
      </w:r>
      <w:r w:rsidRPr="00B34C19">
        <w:rPr>
          <w:lang w:val="en-GB"/>
        </w:rPr>
        <w:t xml:space="preserve"> incompatible</w:t>
      </w:r>
      <w:r w:rsidR="00B10451" w:rsidRPr="00B34C19">
        <w:rPr>
          <w:lang w:val="en-GB"/>
        </w:rPr>
        <w:t>,</w:t>
      </w:r>
      <w:r w:rsidRPr="00B34C19">
        <w:rPr>
          <w:lang w:val="en-GB"/>
        </w:rPr>
        <w:t xml:space="preserve"> logics. </w:t>
      </w:r>
      <w:r w:rsidR="000C6CE2" w:rsidRPr="00B34C19">
        <w:rPr>
          <w:lang w:val="en-GB"/>
        </w:rPr>
        <w:t xml:space="preserve">The first of these </w:t>
      </w:r>
      <w:r w:rsidR="00A35DF0" w:rsidRPr="00B34C19">
        <w:rPr>
          <w:lang w:val="en-GB"/>
        </w:rPr>
        <w:t>is</w:t>
      </w:r>
      <w:r w:rsidR="00DE7DB3" w:rsidRPr="00B34C19">
        <w:rPr>
          <w:lang w:val="en-GB"/>
        </w:rPr>
        <w:t xml:space="preserve"> Guarantees of Non-Recurrence (or Guarantees of Non-Repetition</w:t>
      </w:r>
      <w:r w:rsidR="00DE7DB3" w:rsidRPr="00B34C19">
        <w:rPr>
          <w:rStyle w:val="FootnoteReference"/>
          <w:lang w:val="en-GB"/>
        </w:rPr>
        <w:footnoteReference w:id="19"/>
      </w:r>
      <w:r w:rsidR="00DE7DB3" w:rsidRPr="00B34C19">
        <w:rPr>
          <w:lang w:val="en-GB"/>
        </w:rPr>
        <w:t xml:space="preserve"> – hereinafter GNRs), a branch of transitional justice (TJ) born of soft </w:t>
      </w:r>
      <w:r w:rsidR="002A5365" w:rsidRPr="00B34C19">
        <w:rPr>
          <w:lang w:val="en-GB"/>
        </w:rPr>
        <w:t xml:space="preserve">international law </w:t>
      </w:r>
      <w:r w:rsidR="00DE7DB3" w:rsidRPr="00B34C19">
        <w:rPr>
          <w:lang w:val="en-GB"/>
        </w:rPr>
        <w:t xml:space="preserve">and international human rights </w:t>
      </w:r>
      <w:r w:rsidR="00773078" w:rsidRPr="00B34C19">
        <w:rPr>
          <w:lang w:val="en-GB"/>
        </w:rPr>
        <w:t xml:space="preserve">law </w:t>
      </w:r>
      <w:r w:rsidR="00473443" w:rsidRPr="00B34C19">
        <w:rPr>
          <w:lang w:val="en-GB"/>
        </w:rPr>
        <w:t>characterised</w:t>
      </w:r>
      <w:r w:rsidR="00DE7DB3" w:rsidRPr="00B34C19">
        <w:rPr>
          <w:lang w:val="en-GB"/>
        </w:rPr>
        <w:t xml:space="preserve"> by a deeply formalist, institutionalised logic</w:t>
      </w:r>
      <w:r w:rsidR="000C6CE2" w:rsidRPr="00B34C19">
        <w:rPr>
          <w:lang w:val="en-GB"/>
        </w:rPr>
        <w:t xml:space="preserve">. The second </w:t>
      </w:r>
      <w:r w:rsidR="00A35DF0" w:rsidRPr="00B34C19">
        <w:rPr>
          <w:lang w:val="en-GB"/>
        </w:rPr>
        <w:t>is</w:t>
      </w:r>
      <w:r w:rsidR="00DE7DB3" w:rsidRPr="00B34C19">
        <w:rPr>
          <w:lang w:val="en-GB"/>
        </w:rPr>
        <w:t xml:space="preserve"> </w:t>
      </w:r>
      <w:r w:rsidR="00773078" w:rsidRPr="00B34C19">
        <w:rPr>
          <w:lang w:val="en-GB"/>
        </w:rPr>
        <w:t xml:space="preserve">political </w:t>
      </w:r>
      <w:r w:rsidR="00DE7DB3" w:rsidRPr="00B34C19">
        <w:rPr>
          <w:lang w:val="en-GB"/>
        </w:rPr>
        <w:t>settlement</w:t>
      </w:r>
      <w:r w:rsidR="000C6CE2" w:rsidRPr="00B34C19">
        <w:rPr>
          <w:lang w:val="en-GB"/>
        </w:rPr>
        <w:t>s</w:t>
      </w:r>
      <w:r w:rsidR="00473443" w:rsidRPr="00B34C19">
        <w:rPr>
          <w:lang w:val="en-GB"/>
        </w:rPr>
        <w:t xml:space="preserve"> characterised </w:t>
      </w:r>
      <w:r w:rsidR="00DE7DB3" w:rsidRPr="00B34C19">
        <w:rPr>
          <w:lang w:val="en-GB"/>
        </w:rPr>
        <w:t xml:space="preserve">by a highly informal logic. </w:t>
      </w:r>
      <w:r w:rsidR="00473443" w:rsidRPr="00B34C19">
        <w:rPr>
          <w:lang w:val="en-GB"/>
        </w:rPr>
        <w:t>Both of t</w:t>
      </w:r>
      <w:r w:rsidR="00DE7DB3" w:rsidRPr="00B34C19">
        <w:rPr>
          <w:lang w:val="en-GB"/>
        </w:rPr>
        <w:t>hese approaches</w:t>
      </w:r>
      <w:r w:rsidR="00841B7D" w:rsidRPr="00B34C19">
        <w:rPr>
          <w:lang w:val="en-GB"/>
        </w:rPr>
        <w:t xml:space="preserve"> make proven </w:t>
      </w:r>
      <w:r w:rsidR="000C6CE2" w:rsidRPr="00B34C19">
        <w:rPr>
          <w:lang w:val="en-GB"/>
        </w:rPr>
        <w:t xml:space="preserve">security </w:t>
      </w:r>
      <w:r w:rsidR="00841B7D" w:rsidRPr="00B34C19">
        <w:rPr>
          <w:lang w:val="en-GB"/>
        </w:rPr>
        <w:t xml:space="preserve">vulnerabilities their focus, but disagree on what the main vulnerabilities are. This in turn affects their dominant </w:t>
      </w:r>
      <w:r w:rsidR="00773078" w:rsidRPr="00B34C19">
        <w:rPr>
          <w:lang w:val="en-GB"/>
        </w:rPr>
        <w:t xml:space="preserve">formalist and informalist </w:t>
      </w:r>
      <w:r w:rsidR="00841B7D" w:rsidRPr="00B34C19">
        <w:rPr>
          <w:lang w:val="en-GB"/>
        </w:rPr>
        <w:t>lo</w:t>
      </w:r>
      <w:r w:rsidR="00773078" w:rsidRPr="00B34C19">
        <w:rPr>
          <w:lang w:val="en-GB"/>
        </w:rPr>
        <w:t>gics</w:t>
      </w:r>
      <w:r w:rsidR="00841B7D" w:rsidRPr="00B34C19">
        <w:rPr>
          <w:lang w:val="en-GB"/>
        </w:rPr>
        <w:t>.</w:t>
      </w:r>
    </w:p>
    <w:p w14:paraId="11B7303A" w14:textId="77777777" w:rsidR="00F4113B" w:rsidRDefault="00F4113B" w:rsidP="00E65CEB">
      <w:pPr>
        <w:spacing w:line="480" w:lineRule="auto"/>
        <w:jc w:val="both"/>
        <w:rPr>
          <w:lang w:val="en-GB"/>
        </w:rPr>
      </w:pPr>
    </w:p>
    <w:p w14:paraId="1F40AEEB" w14:textId="0F83426B" w:rsidR="00F4113B" w:rsidRDefault="00F4113B" w:rsidP="00E65CEB">
      <w:pPr>
        <w:spacing w:line="480" w:lineRule="auto"/>
        <w:jc w:val="both"/>
        <w:rPr>
          <w:lang w:val="en-GB"/>
        </w:rPr>
      </w:pPr>
    </w:p>
    <w:p w14:paraId="3997BC91" w14:textId="407AEA35" w:rsidR="00F4113B" w:rsidRPr="00F4113B" w:rsidRDefault="0012594B" w:rsidP="00E65CEB">
      <w:pPr>
        <w:spacing w:line="480" w:lineRule="auto"/>
        <w:jc w:val="both"/>
        <w:rPr>
          <w:b/>
          <w:bCs/>
          <w:i/>
          <w:iCs/>
          <w:lang w:val="en-GB"/>
        </w:rPr>
      </w:pPr>
      <w:r w:rsidRPr="00EE19A1">
        <w:rPr>
          <w:b/>
          <w:bCs/>
          <w:lang w:val="en-GB"/>
        </w:rPr>
        <w:t>1.2</w:t>
      </w:r>
      <w:r w:rsidR="00F4113B" w:rsidRPr="00EE19A1">
        <w:rPr>
          <w:b/>
          <w:bCs/>
          <w:lang w:val="en-GB"/>
        </w:rPr>
        <w:t>.</w:t>
      </w:r>
      <w:r w:rsidR="00F4113B" w:rsidRPr="00F4113B">
        <w:rPr>
          <w:b/>
          <w:bCs/>
          <w:i/>
          <w:iCs/>
          <w:lang w:val="en-GB"/>
        </w:rPr>
        <w:t xml:space="preserve"> Divergent </w:t>
      </w:r>
      <w:r w:rsidR="00E41D89">
        <w:rPr>
          <w:b/>
          <w:bCs/>
          <w:i/>
          <w:iCs/>
          <w:lang w:val="en-GB"/>
        </w:rPr>
        <w:t>l</w:t>
      </w:r>
      <w:r w:rsidR="00F4113B" w:rsidRPr="00F4113B">
        <w:rPr>
          <w:b/>
          <w:bCs/>
          <w:i/>
          <w:iCs/>
          <w:lang w:val="en-GB"/>
        </w:rPr>
        <w:t>ogics</w:t>
      </w:r>
      <w:r w:rsidR="00E41D89">
        <w:rPr>
          <w:b/>
          <w:bCs/>
          <w:i/>
          <w:iCs/>
          <w:lang w:val="en-GB"/>
        </w:rPr>
        <w:t xml:space="preserve"> in the shadow of violence</w:t>
      </w:r>
    </w:p>
    <w:p w14:paraId="1852D459" w14:textId="77777777" w:rsidR="00DE7DB3" w:rsidRPr="00B34C19" w:rsidRDefault="00DE7DB3" w:rsidP="00E65CEB">
      <w:pPr>
        <w:autoSpaceDE w:val="0"/>
        <w:autoSpaceDN w:val="0"/>
        <w:adjustRightInd w:val="0"/>
        <w:spacing w:line="480" w:lineRule="auto"/>
        <w:jc w:val="both"/>
        <w:rPr>
          <w:lang w:val="en-GB"/>
        </w:rPr>
      </w:pPr>
    </w:p>
    <w:p w14:paraId="510D5DE1" w14:textId="0C5AF361" w:rsidR="00CF09E0" w:rsidRPr="00B34C19" w:rsidRDefault="001B36E9" w:rsidP="00E65CEB">
      <w:pPr>
        <w:autoSpaceDE w:val="0"/>
        <w:autoSpaceDN w:val="0"/>
        <w:adjustRightInd w:val="0"/>
        <w:spacing w:line="480" w:lineRule="auto"/>
        <w:jc w:val="both"/>
        <w:rPr>
          <w:lang w:val="en-GB"/>
        </w:rPr>
      </w:pPr>
      <w:r w:rsidRPr="00B34C19">
        <w:rPr>
          <w:lang w:val="en-GB"/>
        </w:rPr>
        <w:t>GNRs</w:t>
      </w:r>
      <w:r w:rsidRPr="00B34C19">
        <w:rPr>
          <w:color w:val="000000"/>
        </w:rPr>
        <w:t xml:space="preserve"> </w:t>
      </w:r>
      <w:r w:rsidR="00741709" w:rsidRPr="00B34C19">
        <w:rPr>
          <w:color w:val="000000"/>
        </w:rPr>
        <w:t>are best understood as ‘</w:t>
      </w:r>
      <w:r w:rsidR="00741709" w:rsidRPr="00B34C19">
        <w:rPr>
          <w:color w:val="000000"/>
          <w:lang w:val="en-GB"/>
        </w:rPr>
        <w:t>institutional reforms aimed at preventing a recurrence of violations’</w:t>
      </w:r>
      <w:r w:rsidR="00741709" w:rsidRPr="00B34C19">
        <w:rPr>
          <w:rStyle w:val="FootnoteReference"/>
          <w:color w:val="000000"/>
          <w:lang w:val="en-GB"/>
        </w:rPr>
        <w:footnoteReference w:id="20"/>
      </w:r>
      <w:r w:rsidR="00741709" w:rsidRPr="00B34C19">
        <w:rPr>
          <w:color w:val="000000"/>
          <w:lang w:val="en-GB"/>
        </w:rPr>
        <w:t xml:space="preserve"> or as ‘</w:t>
      </w:r>
      <w:r w:rsidR="00741709" w:rsidRPr="00B34C19">
        <w:rPr>
          <w:lang w:val="en-GB"/>
        </w:rPr>
        <w:t>concrete interventions that oblige institutions of the state and jointly contribute to diminishing the likelihood of repeated violence.’</w:t>
      </w:r>
      <w:r w:rsidR="00741709" w:rsidRPr="00B34C19">
        <w:rPr>
          <w:rStyle w:val="FootnoteReference"/>
          <w:lang w:val="en-GB"/>
        </w:rPr>
        <w:footnoteReference w:id="21"/>
      </w:r>
      <w:r w:rsidR="005677DC" w:rsidRPr="00B34C19">
        <w:rPr>
          <w:lang w:val="en-GB"/>
        </w:rPr>
        <w:t xml:space="preserve"> </w:t>
      </w:r>
      <w:r w:rsidR="00CB1775" w:rsidRPr="00B34C19">
        <w:rPr>
          <w:lang w:val="en-GB"/>
        </w:rPr>
        <w:t>Narrower than peace agreements, t</w:t>
      </w:r>
      <w:r w:rsidR="005677DC" w:rsidRPr="00B34C19">
        <w:rPr>
          <w:lang w:val="en-GB"/>
        </w:rPr>
        <w:t xml:space="preserve">hey are introduced in post-conflict states when there is a risk of repetition of </w:t>
      </w:r>
      <w:r w:rsidR="00CB1775" w:rsidRPr="00B34C19">
        <w:rPr>
          <w:i/>
          <w:iCs/>
          <w:lang w:val="en-GB"/>
        </w:rPr>
        <w:t>specific</w:t>
      </w:r>
      <w:r w:rsidR="00CB1775" w:rsidRPr="00B34C19">
        <w:rPr>
          <w:lang w:val="en-GB"/>
        </w:rPr>
        <w:t xml:space="preserve"> forms of </w:t>
      </w:r>
      <w:r w:rsidR="005677DC" w:rsidRPr="00B34C19">
        <w:rPr>
          <w:lang w:val="en-GB"/>
        </w:rPr>
        <w:t xml:space="preserve">violence to target the institutions that perpetrated, facilitated, condoned or failed to prevent past abuses. </w:t>
      </w:r>
      <w:r w:rsidR="006615AE" w:rsidRPr="00B34C19">
        <w:rPr>
          <w:lang w:val="en-GB"/>
        </w:rPr>
        <w:t xml:space="preserve">GNRs have emerged as the </w:t>
      </w:r>
      <w:r w:rsidR="00375C12" w:rsidRPr="00B34C19">
        <w:rPr>
          <w:lang w:val="en-GB"/>
        </w:rPr>
        <w:t>fourth pillar</w:t>
      </w:r>
      <w:r w:rsidR="006615AE" w:rsidRPr="00B34C19">
        <w:rPr>
          <w:lang w:val="en-GB"/>
        </w:rPr>
        <w:t xml:space="preserve"> of TJ after </w:t>
      </w:r>
      <w:r w:rsidR="00C36780" w:rsidRPr="00B34C19">
        <w:rPr>
          <w:lang w:val="en-GB"/>
        </w:rPr>
        <w:t>trials, truth commissions</w:t>
      </w:r>
      <w:r w:rsidR="00375C12" w:rsidRPr="00B34C19">
        <w:rPr>
          <w:lang w:val="en-GB"/>
        </w:rPr>
        <w:t xml:space="preserve"> and</w:t>
      </w:r>
      <w:r w:rsidR="00C36780" w:rsidRPr="00B34C19">
        <w:rPr>
          <w:lang w:val="en-GB"/>
        </w:rPr>
        <w:t xml:space="preserve"> reparations</w:t>
      </w:r>
      <w:r w:rsidR="00375C12" w:rsidRPr="00B34C19">
        <w:rPr>
          <w:lang w:val="en-GB"/>
        </w:rPr>
        <w:t>. They</w:t>
      </w:r>
      <w:r w:rsidR="00C36780" w:rsidRPr="00B34C19">
        <w:rPr>
          <w:lang w:val="en-GB"/>
        </w:rPr>
        <w:t xml:space="preserve"> </w:t>
      </w:r>
      <w:r w:rsidR="00116C56" w:rsidRPr="00B34C19">
        <w:rPr>
          <w:lang w:val="en-GB"/>
        </w:rPr>
        <w:t>flow from a realisation that in the aftermath of conflict or authoritarianism</w:t>
      </w:r>
      <w:r w:rsidR="00A35DF0" w:rsidRPr="00B34C19">
        <w:rPr>
          <w:lang w:val="en-GB"/>
        </w:rPr>
        <w:t>,</w:t>
      </w:r>
      <w:r w:rsidR="00116C56" w:rsidRPr="00B34C19">
        <w:rPr>
          <w:lang w:val="en-GB"/>
        </w:rPr>
        <w:t xml:space="preserve"> measures of </w:t>
      </w:r>
      <w:r w:rsidR="00375C12" w:rsidRPr="00B34C19">
        <w:rPr>
          <w:lang w:val="en-GB"/>
        </w:rPr>
        <w:t xml:space="preserve">criminal accountability, </w:t>
      </w:r>
      <w:r w:rsidR="00A35DF0" w:rsidRPr="00B34C19">
        <w:rPr>
          <w:lang w:val="en-GB"/>
        </w:rPr>
        <w:t xml:space="preserve"> </w:t>
      </w:r>
      <w:r w:rsidR="00375C12" w:rsidRPr="00B34C19">
        <w:rPr>
          <w:lang w:val="en-GB"/>
        </w:rPr>
        <w:t>testimony</w:t>
      </w:r>
      <w:r w:rsidR="00116C56" w:rsidRPr="00B34C19">
        <w:rPr>
          <w:lang w:val="en-GB"/>
        </w:rPr>
        <w:t xml:space="preserve"> or </w:t>
      </w:r>
      <w:r w:rsidR="00375C12" w:rsidRPr="00B34C19">
        <w:rPr>
          <w:lang w:val="en-GB"/>
        </w:rPr>
        <w:t>redress</w:t>
      </w:r>
      <w:r w:rsidR="00116C56" w:rsidRPr="00B34C19">
        <w:rPr>
          <w:lang w:val="en-GB"/>
        </w:rPr>
        <w:t xml:space="preserve"> </w:t>
      </w:r>
      <w:r w:rsidR="009B20F5" w:rsidRPr="00B34C19">
        <w:rPr>
          <w:lang w:val="en-GB"/>
        </w:rPr>
        <w:t xml:space="preserve">alone or </w:t>
      </w:r>
      <w:r w:rsidR="009B20F5" w:rsidRPr="00B34C19">
        <w:rPr>
          <w:i/>
          <w:iCs/>
          <w:lang w:val="en-GB"/>
        </w:rPr>
        <w:t>in toto</w:t>
      </w:r>
      <w:r w:rsidR="009B20F5" w:rsidRPr="00B34C19">
        <w:rPr>
          <w:lang w:val="en-GB"/>
        </w:rPr>
        <w:t xml:space="preserve"> were critically limited without attending to </w:t>
      </w:r>
      <w:r w:rsidR="00116C56" w:rsidRPr="00B34C19">
        <w:rPr>
          <w:lang w:val="en-GB"/>
        </w:rPr>
        <w:t>institutional and other more permanent reforms</w:t>
      </w:r>
      <w:r w:rsidR="009B20F5" w:rsidRPr="00B34C19">
        <w:rPr>
          <w:lang w:val="en-GB"/>
        </w:rPr>
        <w:t xml:space="preserve"> that could (negatively) prevent recurrence and (positively) vindicate the norm-based trust in institutions that underpin meaningful reconciliation.</w:t>
      </w:r>
      <w:r w:rsidR="004A53EE" w:rsidRPr="00B34C19">
        <w:rPr>
          <w:rStyle w:val="FootnoteReference"/>
          <w:lang w:val="en-GB"/>
        </w:rPr>
        <w:footnoteReference w:id="22"/>
      </w:r>
      <w:r w:rsidR="004A53EE" w:rsidRPr="00B34C19">
        <w:rPr>
          <w:lang w:val="en-GB"/>
        </w:rPr>
        <w:t xml:space="preserve"> In essence, GNRs attempt to </w:t>
      </w:r>
      <w:r w:rsidR="00AE6089" w:rsidRPr="00B34C19">
        <w:rPr>
          <w:lang w:val="en-GB"/>
        </w:rPr>
        <w:t xml:space="preserve">make institutions that otherwise might use violence </w:t>
      </w:r>
      <w:r w:rsidR="00811879" w:rsidRPr="00B34C19">
        <w:rPr>
          <w:lang w:val="en-GB"/>
        </w:rPr>
        <w:t xml:space="preserve">or repression </w:t>
      </w:r>
      <w:r w:rsidR="00AE6089" w:rsidRPr="00B34C19">
        <w:rPr>
          <w:lang w:val="en-GB"/>
        </w:rPr>
        <w:t>to maintain systems of exclusion within society less abusive and more rational through legislation and other multi-disciplinary measures. They</w:t>
      </w:r>
      <w:r w:rsidR="004A53EE" w:rsidRPr="00B34C19">
        <w:rPr>
          <w:lang w:val="en-GB"/>
        </w:rPr>
        <w:t xml:space="preserve"> take three main (</w:t>
      </w:r>
      <w:r w:rsidR="00CB1775" w:rsidRPr="00B34C19">
        <w:rPr>
          <w:lang w:val="en-GB"/>
        </w:rPr>
        <w:t>and somewhat overlapping</w:t>
      </w:r>
      <w:r w:rsidR="004A53EE" w:rsidRPr="00B34C19">
        <w:rPr>
          <w:lang w:val="en-GB"/>
        </w:rPr>
        <w:t>) forms</w:t>
      </w:r>
      <w:r w:rsidR="00CB1775" w:rsidRPr="00B34C19">
        <w:rPr>
          <w:lang w:val="en-GB"/>
        </w:rPr>
        <w:t>, namely security reforms</w:t>
      </w:r>
      <w:r w:rsidR="000C6CE2" w:rsidRPr="00B34C19">
        <w:rPr>
          <w:lang w:val="en-GB"/>
        </w:rPr>
        <w:t>, bureaucratic re</w:t>
      </w:r>
      <w:r w:rsidR="00811879" w:rsidRPr="00B34C19">
        <w:rPr>
          <w:lang w:val="en-GB"/>
        </w:rPr>
        <w:t>organisation</w:t>
      </w:r>
      <w:r w:rsidR="00CB1775" w:rsidRPr="00B34C19">
        <w:rPr>
          <w:lang w:val="en-GB"/>
        </w:rPr>
        <w:t xml:space="preserve"> and vetting.</w:t>
      </w:r>
      <w:r w:rsidR="00CF09E0" w:rsidRPr="00B34C19">
        <w:rPr>
          <w:lang w:val="en-GB"/>
        </w:rPr>
        <w:t xml:space="preserve"> They are premised on the usual TJ faith in the efficacy </w:t>
      </w:r>
      <w:r w:rsidR="00CF09E0" w:rsidRPr="00B34C19">
        <w:rPr>
          <w:lang w:val="en-GB"/>
        </w:rPr>
        <w:lastRenderedPageBreak/>
        <w:t>of a unique transitional window of opportunity that permits transformation of old ideolog</w:t>
      </w:r>
      <w:r w:rsidR="00811879" w:rsidRPr="00B34C19">
        <w:rPr>
          <w:lang w:val="en-GB"/>
        </w:rPr>
        <w:t>ies and structures</w:t>
      </w:r>
      <w:r w:rsidR="00CF09E0" w:rsidRPr="00B34C19">
        <w:rPr>
          <w:lang w:val="en-GB"/>
        </w:rPr>
        <w:t xml:space="preserve"> that permitted earlier abuses.</w:t>
      </w:r>
      <w:r w:rsidR="00CF09E0" w:rsidRPr="00B34C19">
        <w:rPr>
          <w:rStyle w:val="FootnoteReference"/>
          <w:lang w:val="en-GB"/>
        </w:rPr>
        <w:footnoteReference w:id="23"/>
      </w:r>
      <w:r w:rsidR="00CF09E0" w:rsidRPr="00B34C19">
        <w:rPr>
          <w:lang w:val="en-GB"/>
        </w:rPr>
        <w:t xml:space="preserve"> </w:t>
      </w:r>
    </w:p>
    <w:p w14:paraId="3C712368" w14:textId="77777777" w:rsidR="00CF09E0" w:rsidRPr="00B34C19" w:rsidRDefault="00CF09E0" w:rsidP="00E65CEB">
      <w:pPr>
        <w:autoSpaceDE w:val="0"/>
        <w:autoSpaceDN w:val="0"/>
        <w:adjustRightInd w:val="0"/>
        <w:spacing w:line="480" w:lineRule="auto"/>
        <w:jc w:val="both"/>
        <w:rPr>
          <w:lang w:val="en-GB"/>
        </w:rPr>
      </w:pPr>
    </w:p>
    <w:p w14:paraId="3AFCC994" w14:textId="52B52FA1" w:rsidR="00FB0743" w:rsidRPr="00B34C19" w:rsidRDefault="00E47814" w:rsidP="00E65CEB">
      <w:pPr>
        <w:spacing w:line="480" w:lineRule="auto"/>
        <w:jc w:val="both"/>
        <w:rPr>
          <w:lang w:val="en-GB"/>
        </w:rPr>
      </w:pPr>
      <w:r w:rsidRPr="00B34C19">
        <w:rPr>
          <w:lang w:val="en-GB"/>
        </w:rPr>
        <w:t xml:space="preserve">Implicit in the notion of GNRs is the idea that where conflict occurs, it is exceptional and a problem to be solved through reform. </w:t>
      </w:r>
      <w:r w:rsidR="00375C12" w:rsidRPr="00B34C19">
        <w:rPr>
          <w:lang w:val="en-GB"/>
        </w:rPr>
        <w:t>However, a</w:t>
      </w:r>
      <w:r w:rsidR="0026333E" w:rsidRPr="00B34C19">
        <w:rPr>
          <w:lang w:val="en-GB"/>
        </w:rPr>
        <w:t xml:space="preserve">s much of the preceding </w:t>
      </w:r>
      <w:r w:rsidR="006F4BAE" w:rsidRPr="00B34C19">
        <w:rPr>
          <w:lang w:val="en-GB"/>
        </w:rPr>
        <w:t>discussion has made clear, violence</w:t>
      </w:r>
      <w:r w:rsidR="00811879" w:rsidRPr="00B34C19">
        <w:rPr>
          <w:lang w:val="en-GB"/>
        </w:rPr>
        <w:t xml:space="preserve"> (or the threat thereof)</w:t>
      </w:r>
      <w:r w:rsidR="006F4BAE" w:rsidRPr="00B34C19">
        <w:rPr>
          <w:lang w:val="en-GB"/>
        </w:rPr>
        <w:t xml:space="preserve"> is </w:t>
      </w:r>
      <w:r w:rsidR="00811879" w:rsidRPr="00B34C19">
        <w:rPr>
          <w:lang w:val="en-GB"/>
        </w:rPr>
        <w:t>instead</w:t>
      </w:r>
      <w:r w:rsidR="006F4BAE" w:rsidRPr="00B34C19">
        <w:rPr>
          <w:lang w:val="en-GB"/>
        </w:rPr>
        <w:t xml:space="preserve"> a permanent fact of </w:t>
      </w:r>
      <w:r w:rsidR="00473443" w:rsidRPr="00B34C19">
        <w:rPr>
          <w:lang w:val="en-GB"/>
        </w:rPr>
        <w:t>socio-political</w:t>
      </w:r>
      <w:r w:rsidR="006F4BAE" w:rsidRPr="00B34C19">
        <w:rPr>
          <w:lang w:val="en-GB"/>
        </w:rPr>
        <w:t xml:space="preserve"> life. </w:t>
      </w:r>
      <w:r w:rsidR="00AE6089" w:rsidRPr="00B34C19">
        <w:rPr>
          <w:lang w:val="en-GB"/>
        </w:rPr>
        <w:t>Th</w:t>
      </w:r>
      <w:r w:rsidR="006F4BAE" w:rsidRPr="00B34C19">
        <w:rPr>
          <w:lang w:val="en-GB"/>
        </w:rPr>
        <w:t>e</w:t>
      </w:r>
      <w:r w:rsidR="00AE6089" w:rsidRPr="00B34C19">
        <w:rPr>
          <w:lang w:val="en-GB"/>
        </w:rPr>
        <w:t xml:space="preserve"> emphasis on institutional reform and faith in a transformational moment </w:t>
      </w:r>
      <w:r w:rsidR="006F4BAE" w:rsidRPr="00B34C19">
        <w:rPr>
          <w:lang w:val="en-GB"/>
        </w:rPr>
        <w:t xml:space="preserve">in GNR </w:t>
      </w:r>
      <w:r w:rsidR="00AE6089" w:rsidRPr="00B34C19">
        <w:rPr>
          <w:lang w:val="en-GB"/>
        </w:rPr>
        <w:t>is conspicuous by its absence in</w:t>
      </w:r>
      <w:r w:rsidR="00375C12" w:rsidRPr="00B34C19">
        <w:rPr>
          <w:lang w:val="en-GB"/>
        </w:rPr>
        <w:t xml:space="preserve"> the</w:t>
      </w:r>
      <w:r w:rsidR="00AE6089" w:rsidRPr="00B34C19">
        <w:rPr>
          <w:lang w:val="en-GB"/>
        </w:rPr>
        <w:t xml:space="preserve"> parallel process of informal </w:t>
      </w:r>
      <w:r w:rsidR="006C32D5" w:rsidRPr="00B34C19">
        <w:rPr>
          <w:lang w:val="en-GB"/>
        </w:rPr>
        <w:t xml:space="preserve">political </w:t>
      </w:r>
      <w:r w:rsidR="00AE6089" w:rsidRPr="00B34C19">
        <w:rPr>
          <w:lang w:val="en-GB"/>
        </w:rPr>
        <w:t>settlements</w:t>
      </w:r>
      <w:r w:rsidR="006C32D5" w:rsidRPr="00B34C19">
        <w:rPr>
          <w:lang w:val="en-GB"/>
        </w:rPr>
        <w:t xml:space="preserve">. </w:t>
      </w:r>
      <w:r w:rsidR="006C32D5" w:rsidRPr="00B34C19">
        <w:t>These can be understood as ‘a common, if hard fought-for, understanding, or a series of tacit and more explicit agreements, usually among elites, about the distribution of power and resources and the nature of the linkages between state and society’.</w:t>
      </w:r>
      <w:r w:rsidR="00DE11B4" w:rsidRPr="00B34C19">
        <w:rPr>
          <w:rStyle w:val="FootnoteReference"/>
        </w:rPr>
        <w:footnoteReference w:id="24"/>
      </w:r>
      <w:r w:rsidR="006C32D5" w:rsidRPr="00B34C19">
        <w:t xml:space="preserve"> </w:t>
      </w:r>
      <w:r w:rsidR="000F5ECA" w:rsidRPr="00B34C19">
        <w:t xml:space="preserve">While GNRs emphasise the need to constrain state actors, settlements </w:t>
      </w:r>
      <w:r w:rsidR="00FB0743" w:rsidRPr="00B34C19">
        <w:t xml:space="preserve">stem from </w:t>
      </w:r>
      <w:r w:rsidR="00473443" w:rsidRPr="00B34C19">
        <w:t>a</w:t>
      </w:r>
      <w:r w:rsidR="000F5ECA" w:rsidRPr="00B34C19">
        <w:t xml:space="preserve"> post-Hobbesian </w:t>
      </w:r>
      <w:r w:rsidR="00473443" w:rsidRPr="00B34C19">
        <w:t>acknowledgment</w:t>
      </w:r>
      <w:r w:rsidR="000F5ECA" w:rsidRPr="00B34C19">
        <w:t xml:space="preserve"> that </w:t>
      </w:r>
      <w:r w:rsidR="007A7AD5" w:rsidRPr="00B34C19">
        <w:t xml:space="preserve">in the developing world </w:t>
      </w:r>
      <w:r w:rsidR="000F5ECA" w:rsidRPr="00B34C19">
        <w:t xml:space="preserve">the </w:t>
      </w:r>
      <w:r w:rsidR="000F5ECA" w:rsidRPr="00B34C19">
        <w:rPr>
          <w:lang w:val="en-GB"/>
        </w:rPr>
        <w:t xml:space="preserve">potential for violence is </w:t>
      </w:r>
      <w:r w:rsidR="000F5ECA" w:rsidRPr="00B34C19">
        <w:rPr>
          <w:i/>
          <w:iCs/>
          <w:lang w:val="en-GB"/>
        </w:rPr>
        <w:t>prevalent</w:t>
      </w:r>
      <w:r w:rsidR="000F5ECA" w:rsidRPr="00B34C19">
        <w:rPr>
          <w:lang w:val="en-GB"/>
        </w:rPr>
        <w:t xml:space="preserve"> throughout society, as opposed to </w:t>
      </w:r>
      <w:r w:rsidR="000F5ECA" w:rsidRPr="00B34C19">
        <w:rPr>
          <w:i/>
          <w:iCs/>
          <w:lang w:val="en-GB"/>
        </w:rPr>
        <w:t>concentrated</w:t>
      </w:r>
      <w:r w:rsidR="000F5ECA" w:rsidRPr="00B34C19">
        <w:rPr>
          <w:lang w:val="en-GB"/>
        </w:rPr>
        <w:t xml:space="preserve"> in the state or any of its institutions. The state </w:t>
      </w:r>
      <w:r w:rsidR="00375C12" w:rsidRPr="00B34C19">
        <w:rPr>
          <w:lang w:val="en-GB"/>
        </w:rPr>
        <w:t xml:space="preserve">and its institutions </w:t>
      </w:r>
      <w:r w:rsidR="000F5ECA" w:rsidRPr="00B34C19">
        <w:rPr>
          <w:lang w:val="en-GB"/>
        </w:rPr>
        <w:t>do not enjoy a monopoly of violence.</w:t>
      </w:r>
      <w:r w:rsidR="000F5ECA" w:rsidRPr="00B34C19">
        <w:rPr>
          <w:rStyle w:val="FootnoteReference"/>
          <w:lang w:val="en-GB"/>
        </w:rPr>
        <w:footnoteReference w:id="25"/>
      </w:r>
      <w:r w:rsidR="000F5ECA" w:rsidRPr="00B34C19">
        <w:t xml:space="preserve"> </w:t>
      </w:r>
      <w:r w:rsidR="008D7AD7" w:rsidRPr="00B34C19">
        <w:t>Other</w:t>
      </w:r>
      <w:r w:rsidR="00375C12" w:rsidRPr="00B34C19">
        <w:t>s</w:t>
      </w:r>
      <w:r w:rsidR="008D7AD7" w:rsidRPr="00B34C19">
        <w:t xml:space="preserve"> have </w:t>
      </w:r>
      <w:r w:rsidR="00375C12" w:rsidRPr="00B34C19">
        <w:t xml:space="preserve">an </w:t>
      </w:r>
      <w:r w:rsidR="00807E23" w:rsidRPr="00B34C19">
        <w:t>tacitly accepted</w:t>
      </w:r>
      <w:r w:rsidR="008D7AD7" w:rsidRPr="00B34C19">
        <w:t xml:space="preserve"> power to rebel, co-opt elements of the security services, hire mercenaries or catalyse economically costly </w:t>
      </w:r>
      <w:r w:rsidR="00A62232" w:rsidRPr="00B34C19">
        <w:t>p</w:t>
      </w:r>
      <w:r w:rsidR="008D7AD7" w:rsidRPr="00B34C19">
        <w:t xml:space="preserve">rotests. </w:t>
      </w:r>
      <w:r w:rsidR="000F5ECA" w:rsidRPr="00B34C19">
        <w:t>W</w:t>
      </w:r>
      <w:r w:rsidR="00FB0743" w:rsidRPr="00B34C19">
        <w:t xml:space="preserve">hen conflict breaks out, it generally emerges from networks of elite factions and the most obvious route to peace is when arrangements can be agreed among them that </w:t>
      </w:r>
      <w:r w:rsidR="007A7AD5" w:rsidRPr="00B34C19">
        <w:t>sustainably</w:t>
      </w:r>
      <w:r w:rsidR="00FB0743" w:rsidRPr="00B34C19">
        <w:t xml:space="preserve"> reduce the level of violence. </w:t>
      </w:r>
      <w:r w:rsidR="007A7AD5" w:rsidRPr="00B34C19">
        <w:rPr>
          <w:color w:val="000000"/>
          <w:lang w:val="en-GB"/>
        </w:rPr>
        <w:t>In this sense, the state is</w:t>
      </w:r>
      <w:r w:rsidR="008D7AD7" w:rsidRPr="00B34C19">
        <w:rPr>
          <w:color w:val="000000"/>
          <w:lang w:val="en-GB"/>
        </w:rPr>
        <w:t xml:space="preserve"> less a unitary actor than</w:t>
      </w:r>
      <w:r w:rsidR="007A7AD5" w:rsidRPr="00B34C19">
        <w:rPr>
          <w:color w:val="000000"/>
          <w:lang w:val="en-GB"/>
        </w:rPr>
        <w:t xml:space="preserve"> a ‘field of power, marked by a threat of violence’ </w:t>
      </w:r>
      <w:r w:rsidR="007A7AD5" w:rsidRPr="00B34C19">
        <w:rPr>
          <w:color w:val="000000"/>
          <w:lang w:val="en-GB"/>
        </w:rPr>
        <w:lastRenderedPageBreak/>
        <w:t>that is ever-present, an arena for acute competition between elites and the group they represent</w:t>
      </w:r>
      <w:r w:rsidR="000F60E6" w:rsidRPr="00B34C19">
        <w:rPr>
          <w:color w:val="000000"/>
          <w:lang w:val="en-GB"/>
        </w:rPr>
        <w:t xml:space="preserve"> or </w:t>
      </w:r>
      <w:r w:rsidR="007A7AD5" w:rsidRPr="00B34C19">
        <w:rPr>
          <w:color w:val="000000"/>
          <w:lang w:val="en-GB"/>
        </w:rPr>
        <w:t>muster, all pursuing their own interests.</w:t>
      </w:r>
      <w:r w:rsidR="007A7AD5" w:rsidRPr="00B34C19">
        <w:rPr>
          <w:rStyle w:val="FootnoteReference"/>
          <w:color w:val="000000"/>
          <w:lang w:val="en-GB"/>
        </w:rPr>
        <w:footnoteReference w:id="26"/>
      </w:r>
      <w:r w:rsidR="007A7AD5" w:rsidRPr="00B34C19">
        <w:rPr>
          <w:color w:val="000000"/>
          <w:lang w:val="en-GB"/>
        </w:rPr>
        <w:t xml:space="preserve"> </w:t>
      </w:r>
      <w:r w:rsidR="007A7AD5" w:rsidRPr="00B34C19">
        <w:rPr>
          <w:lang w:val="en-GB"/>
        </w:rPr>
        <w:t xml:space="preserve"> </w:t>
      </w:r>
    </w:p>
    <w:p w14:paraId="1102F0C7" w14:textId="77777777" w:rsidR="00FB0743" w:rsidRPr="00B34C19" w:rsidRDefault="00FB0743" w:rsidP="00E65CEB">
      <w:pPr>
        <w:spacing w:line="480" w:lineRule="auto"/>
      </w:pPr>
    </w:p>
    <w:p w14:paraId="2272F6D1" w14:textId="3BC1CF00" w:rsidR="00B10451" w:rsidRDefault="006C32D5" w:rsidP="00E65CEB">
      <w:pPr>
        <w:spacing w:line="480" w:lineRule="auto"/>
        <w:jc w:val="both"/>
        <w:rPr>
          <w:color w:val="000000"/>
          <w:lang w:val="en-GB"/>
        </w:rPr>
      </w:pPr>
      <w:r w:rsidRPr="00B34C19">
        <w:t xml:space="preserve">Formal institutions like the </w:t>
      </w:r>
      <w:r w:rsidR="00A62232" w:rsidRPr="00B34C19">
        <w:t>security</w:t>
      </w:r>
      <w:r w:rsidRPr="00B34C19">
        <w:t xml:space="preserve"> services and civil service can be subject to</w:t>
      </w:r>
      <w:r w:rsidR="007A7AD5" w:rsidRPr="00B34C19">
        <w:t xml:space="preserve"> </w:t>
      </w:r>
      <w:r w:rsidRPr="00B34C19">
        <w:t xml:space="preserve">settlement. However, </w:t>
      </w:r>
      <w:r w:rsidR="007A7AD5" w:rsidRPr="00B34C19">
        <w:rPr>
          <w:color w:val="000000"/>
          <w:lang w:val="en-GB"/>
        </w:rPr>
        <w:t xml:space="preserve">unlike GNRs, the dominant logic </w:t>
      </w:r>
      <w:r w:rsidR="00A62232" w:rsidRPr="00B34C19">
        <w:rPr>
          <w:color w:val="000000"/>
          <w:lang w:val="en-GB"/>
        </w:rPr>
        <w:t xml:space="preserve">in settlements </w:t>
      </w:r>
      <w:r w:rsidR="007A7AD5" w:rsidRPr="00B34C19">
        <w:rPr>
          <w:color w:val="000000"/>
          <w:lang w:val="en-GB"/>
        </w:rPr>
        <w:t xml:space="preserve">places little emphasis on formal institutions because even if consolidated and reformed control of institutions can be </w:t>
      </w:r>
      <w:r w:rsidR="00A62232" w:rsidRPr="00B34C19">
        <w:rPr>
          <w:color w:val="000000"/>
          <w:lang w:val="en-GB"/>
        </w:rPr>
        <w:t>achiev</w:t>
      </w:r>
      <w:r w:rsidR="007A7AD5" w:rsidRPr="00B34C19">
        <w:rPr>
          <w:color w:val="000000"/>
          <w:lang w:val="en-GB"/>
        </w:rPr>
        <w:t>ed, the capacity for violence is dispersed far beyond them through an elite with links that stretch deep into society.</w:t>
      </w:r>
      <w:r w:rsidR="007A7AD5" w:rsidRPr="00B34C19">
        <w:rPr>
          <w:rStyle w:val="FootnoteReference"/>
          <w:color w:val="000000"/>
          <w:lang w:val="en-GB"/>
        </w:rPr>
        <w:footnoteReference w:id="27"/>
      </w:r>
      <w:r w:rsidR="007A7AD5" w:rsidRPr="00B34C19">
        <w:t xml:space="preserve"> </w:t>
      </w:r>
      <w:r w:rsidR="000F60E6" w:rsidRPr="00B34C19">
        <w:t>Consequently, w</w:t>
      </w:r>
      <w:r w:rsidR="006911CB" w:rsidRPr="00B34C19">
        <w:t xml:space="preserve">hile GNRs are premised on eliminating the rights-abusing potential of state institutions, </w:t>
      </w:r>
      <w:r w:rsidR="006911CB" w:rsidRPr="00B34C19">
        <w:rPr>
          <w:color w:val="000000"/>
          <w:lang w:val="en-GB"/>
        </w:rPr>
        <w:t>there is a general acceptance</w:t>
      </w:r>
      <w:r w:rsidR="00A62232" w:rsidRPr="00B34C19">
        <w:rPr>
          <w:color w:val="000000"/>
          <w:lang w:val="en-GB"/>
        </w:rPr>
        <w:t xml:space="preserve"> in settlement</w:t>
      </w:r>
      <w:r w:rsidR="00807E23" w:rsidRPr="00B34C19">
        <w:rPr>
          <w:color w:val="000000"/>
          <w:lang w:val="en-GB"/>
        </w:rPr>
        <w:t xml:space="preserve"> theory</w:t>
      </w:r>
      <w:r w:rsidR="006911CB" w:rsidRPr="00B34C19">
        <w:rPr>
          <w:color w:val="000000"/>
          <w:lang w:val="en-GB"/>
        </w:rPr>
        <w:t xml:space="preserve"> that violence, or the threat thereof, can be ‘intrinsic’ to </w:t>
      </w:r>
      <w:r w:rsidR="00A62232" w:rsidRPr="00B34C19">
        <w:rPr>
          <w:color w:val="000000"/>
          <w:lang w:val="en-GB"/>
        </w:rPr>
        <w:t>a given settlement</w:t>
      </w:r>
      <w:r w:rsidR="006911CB" w:rsidRPr="00B34C19">
        <w:rPr>
          <w:color w:val="000000"/>
          <w:lang w:val="en-GB"/>
        </w:rPr>
        <w:t>, used instrumentally by those inside and outside it to influence the process.</w:t>
      </w:r>
      <w:r w:rsidR="006911CB" w:rsidRPr="00B34C19">
        <w:rPr>
          <w:rStyle w:val="FootnoteReference"/>
          <w:color w:val="000000"/>
          <w:lang w:val="en-GB"/>
        </w:rPr>
        <w:footnoteReference w:id="28"/>
      </w:r>
      <w:r w:rsidR="006911CB" w:rsidRPr="00B34C19">
        <w:rPr>
          <w:color w:val="000000"/>
          <w:lang w:val="en-GB"/>
        </w:rPr>
        <w:t xml:space="preserve"> </w:t>
      </w:r>
      <w:r w:rsidR="007A7AD5" w:rsidRPr="00B34C19">
        <w:t>T</w:t>
      </w:r>
      <w:r w:rsidRPr="00B34C19">
        <w:t>he rules of the game</w:t>
      </w:r>
      <w:r w:rsidR="00DE11B4" w:rsidRPr="00B34C19">
        <w:rPr>
          <w:rFonts w:ascii="Arial" w:hAnsi="Arial" w:cs="Arial"/>
        </w:rPr>
        <w:t xml:space="preserve"> </w:t>
      </w:r>
      <w:r w:rsidRPr="00B34C19">
        <w:t xml:space="preserve">that underpin political settlements are </w:t>
      </w:r>
      <w:r w:rsidR="00B10451" w:rsidRPr="00B34C19">
        <w:rPr>
          <w:lang w:val="en-GB"/>
        </w:rPr>
        <w:t xml:space="preserve">premised </w:t>
      </w:r>
      <w:r w:rsidRPr="00B34C19">
        <w:rPr>
          <w:lang w:val="en-GB"/>
        </w:rPr>
        <w:t>to a greater degree</w:t>
      </w:r>
      <w:r w:rsidR="00B10451" w:rsidRPr="00B34C19">
        <w:rPr>
          <w:lang w:val="en-GB"/>
        </w:rPr>
        <w:t xml:space="preserve"> on back-stage, </w:t>
      </w:r>
      <w:r w:rsidRPr="00B34C19">
        <w:rPr>
          <w:lang w:val="en-GB"/>
        </w:rPr>
        <w:t>informal</w:t>
      </w:r>
      <w:r w:rsidR="00DE11B4" w:rsidRPr="00B34C19">
        <w:rPr>
          <w:lang w:val="en-GB"/>
        </w:rPr>
        <w:t xml:space="preserve"> and</w:t>
      </w:r>
      <w:r w:rsidRPr="00B34C19">
        <w:rPr>
          <w:lang w:val="en-GB"/>
        </w:rPr>
        <w:t xml:space="preserve"> </w:t>
      </w:r>
      <w:r w:rsidR="00B10451" w:rsidRPr="00B34C19">
        <w:rPr>
          <w:lang w:val="en-GB"/>
        </w:rPr>
        <w:t>extra-institutional interactions among elites</w:t>
      </w:r>
      <w:r w:rsidR="007A7AD5" w:rsidRPr="00B34C19">
        <w:rPr>
          <w:lang w:val="en-GB"/>
        </w:rPr>
        <w:t>. They may</w:t>
      </w:r>
      <w:r w:rsidR="00B10451" w:rsidRPr="00B34C19">
        <w:rPr>
          <w:lang w:val="en-GB"/>
        </w:rPr>
        <w:t xml:space="preserve"> </w:t>
      </w:r>
      <w:r w:rsidR="00B10451" w:rsidRPr="00B34C19">
        <w:rPr>
          <w:color w:val="000000"/>
          <w:lang w:val="en-GB"/>
        </w:rPr>
        <w:t>preserv</w:t>
      </w:r>
      <w:r w:rsidR="007A7AD5" w:rsidRPr="00B34C19">
        <w:rPr>
          <w:color w:val="000000"/>
          <w:lang w:val="en-GB"/>
        </w:rPr>
        <w:t>e</w:t>
      </w:r>
      <w:r w:rsidR="00B10451" w:rsidRPr="00B34C19">
        <w:rPr>
          <w:color w:val="000000"/>
          <w:lang w:val="en-GB"/>
        </w:rPr>
        <w:t xml:space="preserve"> the outward appearance</w:t>
      </w:r>
      <w:r w:rsidR="00B10451" w:rsidRPr="00B34C19">
        <w:rPr>
          <w:lang w:val="en-GB"/>
        </w:rPr>
        <w:t xml:space="preserve"> </w:t>
      </w:r>
      <w:r w:rsidR="00B10451" w:rsidRPr="00B34C19">
        <w:rPr>
          <w:color w:val="000000"/>
          <w:lang w:val="en-GB"/>
        </w:rPr>
        <w:t xml:space="preserve">of formal </w:t>
      </w:r>
      <w:r w:rsidR="00807E23" w:rsidRPr="00B34C19">
        <w:rPr>
          <w:color w:val="000000"/>
          <w:lang w:val="en-GB"/>
        </w:rPr>
        <w:t>peacebuilding</w:t>
      </w:r>
      <w:r w:rsidR="007A7AD5" w:rsidRPr="00B34C19">
        <w:rPr>
          <w:color w:val="000000"/>
          <w:lang w:val="en-GB"/>
        </w:rPr>
        <w:t xml:space="preserve">, but </w:t>
      </w:r>
      <w:r w:rsidR="006911CB" w:rsidRPr="00B34C19">
        <w:rPr>
          <w:color w:val="000000"/>
          <w:lang w:val="en-GB"/>
        </w:rPr>
        <w:t xml:space="preserve">place greater faith </w:t>
      </w:r>
      <w:r w:rsidR="007A7AD5" w:rsidRPr="00B34C19">
        <w:rPr>
          <w:color w:val="000000"/>
          <w:lang w:val="en-GB"/>
        </w:rPr>
        <w:t xml:space="preserve">on </w:t>
      </w:r>
      <w:r w:rsidR="006911CB" w:rsidRPr="00B34C19">
        <w:rPr>
          <w:color w:val="000000"/>
          <w:lang w:val="en-GB"/>
        </w:rPr>
        <w:t>neopatrimonial and/or clientelist rents to reduce the likelihood of violence</w:t>
      </w:r>
      <w:r w:rsidR="00807E23" w:rsidRPr="00B34C19">
        <w:rPr>
          <w:color w:val="000000"/>
          <w:lang w:val="en-GB"/>
        </w:rPr>
        <w:t>.</w:t>
      </w:r>
    </w:p>
    <w:p w14:paraId="152F1A1B" w14:textId="4B092EE3" w:rsidR="00F4113B" w:rsidRDefault="00F4113B" w:rsidP="00E65CEB">
      <w:pPr>
        <w:spacing w:line="480" w:lineRule="auto"/>
        <w:jc w:val="both"/>
        <w:rPr>
          <w:color w:val="000000"/>
          <w:lang w:val="en-GB"/>
        </w:rPr>
      </w:pPr>
    </w:p>
    <w:p w14:paraId="3A589355" w14:textId="31C3892E" w:rsidR="00F4113B" w:rsidRPr="00F4113B" w:rsidRDefault="0012594B" w:rsidP="00E65CEB">
      <w:pPr>
        <w:spacing w:line="480" w:lineRule="auto"/>
        <w:jc w:val="both"/>
        <w:rPr>
          <w:b/>
          <w:bCs/>
          <w:i/>
          <w:iCs/>
          <w:color w:val="000000"/>
          <w:lang w:val="en-GB"/>
        </w:rPr>
      </w:pPr>
      <w:r w:rsidRPr="00EE19A1">
        <w:rPr>
          <w:b/>
          <w:bCs/>
          <w:color w:val="000000"/>
          <w:lang w:val="en-GB"/>
        </w:rPr>
        <w:t>1.3</w:t>
      </w:r>
      <w:r w:rsidR="00F4113B" w:rsidRPr="00EE19A1">
        <w:rPr>
          <w:b/>
          <w:bCs/>
          <w:color w:val="000000"/>
          <w:lang w:val="en-GB"/>
        </w:rPr>
        <w:t>.</w:t>
      </w:r>
      <w:r w:rsidR="00F4113B" w:rsidRPr="00F4113B">
        <w:rPr>
          <w:b/>
          <w:bCs/>
          <w:i/>
          <w:iCs/>
          <w:color w:val="000000"/>
          <w:lang w:val="en-GB"/>
        </w:rPr>
        <w:t xml:space="preserve"> Outline of the argument</w:t>
      </w:r>
    </w:p>
    <w:p w14:paraId="43E24237" w14:textId="5A12FDF6" w:rsidR="007A7AD5" w:rsidRPr="00B34C19" w:rsidRDefault="007A7AD5" w:rsidP="00E65CEB">
      <w:pPr>
        <w:spacing w:line="480" w:lineRule="auto"/>
        <w:jc w:val="both"/>
        <w:rPr>
          <w:color w:val="000000"/>
          <w:lang w:val="en-GB"/>
        </w:rPr>
      </w:pPr>
    </w:p>
    <w:p w14:paraId="276ABD34" w14:textId="03B53230" w:rsidR="001074CB" w:rsidRPr="00B34C19" w:rsidRDefault="006911CB" w:rsidP="00E65CEB">
      <w:pPr>
        <w:autoSpaceDE w:val="0"/>
        <w:autoSpaceDN w:val="0"/>
        <w:adjustRightInd w:val="0"/>
        <w:spacing w:line="480" w:lineRule="auto"/>
        <w:jc w:val="both"/>
        <w:rPr>
          <w:color w:val="000000"/>
          <w:lang w:val="en-GB"/>
        </w:rPr>
      </w:pPr>
      <w:r w:rsidRPr="00B34C19">
        <w:rPr>
          <w:lang w:val="en-GB"/>
        </w:rPr>
        <w:lastRenderedPageBreak/>
        <w:t xml:space="preserve">This article is an effort to explore for the first time the relationship between GNRs and settlements. </w:t>
      </w:r>
      <w:r w:rsidR="000368BC" w:rsidRPr="00B34C19">
        <w:rPr>
          <w:color w:val="000000"/>
          <w:lang w:val="en-GB"/>
        </w:rPr>
        <w:t>While settlements are considered the ‘primary factor’ in the success or otherwise of peacebuilding,</w:t>
      </w:r>
      <w:r w:rsidR="000368BC" w:rsidRPr="00B34C19">
        <w:rPr>
          <w:rStyle w:val="FootnoteReference"/>
          <w:color w:val="000000"/>
          <w:lang w:val="en-GB"/>
        </w:rPr>
        <w:footnoteReference w:id="29"/>
      </w:r>
      <w:r w:rsidR="000368BC" w:rsidRPr="00B34C19">
        <w:rPr>
          <w:color w:val="000000"/>
          <w:lang w:val="en-GB"/>
        </w:rPr>
        <w:t xml:space="preserve"> they have largely been neglected within TJ notwithstanding the field’s early roots in elite pacts in democratisation.</w:t>
      </w:r>
      <w:r w:rsidR="000368BC" w:rsidRPr="00B34C19">
        <w:rPr>
          <w:rStyle w:val="FootnoteReference"/>
          <w:color w:val="000000"/>
          <w:lang w:val="en-GB"/>
        </w:rPr>
        <w:footnoteReference w:id="30"/>
      </w:r>
      <w:r w:rsidRPr="00B34C19">
        <w:rPr>
          <w:lang w:val="en-GB"/>
        </w:rPr>
        <w:t xml:space="preserve"> </w:t>
      </w:r>
      <w:r w:rsidR="00841DD0" w:rsidRPr="00B34C19">
        <w:rPr>
          <w:lang w:val="en-GB"/>
        </w:rPr>
        <w:t>Furthermore, t</w:t>
      </w:r>
      <w:r w:rsidRPr="00B34C19">
        <w:rPr>
          <w:lang w:val="en-GB"/>
        </w:rPr>
        <w:t>here is a near-universal consensus in the literature that notwithstanding its sudden prominence in TJ theory and practice, GNRs are ‘the least developed element of transitional justice.’</w:t>
      </w:r>
      <w:r w:rsidRPr="00B34C19">
        <w:rPr>
          <w:rStyle w:val="FootnoteReference"/>
          <w:lang w:val="en-GB"/>
        </w:rPr>
        <w:footnoteReference w:id="31"/>
      </w:r>
      <w:r w:rsidRPr="00B34C19">
        <w:rPr>
          <w:lang w:val="en-GB"/>
        </w:rPr>
        <w:t xml:space="preserve"> Articles on GNRs are replete with references to their ‘understudied’ nature in conceptual and empirical terms</w:t>
      </w:r>
      <w:r w:rsidRPr="00B34C19">
        <w:rPr>
          <w:rStyle w:val="FootnoteReference"/>
          <w:lang w:val="en-GB"/>
        </w:rPr>
        <w:footnoteReference w:id="32"/>
      </w:r>
      <w:r w:rsidRPr="00B34C19">
        <w:rPr>
          <w:lang w:val="en-GB"/>
        </w:rPr>
        <w:t xml:space="preserve"> and the ‘scant attention’ they get in theory and policy.</w:t>
      </w:r>
      <w:r w:rsidRPr="00B34C19">
        <w:rPr>
          <w:rStyle w:val="FootnoteReference"/>
          <w:lang w:val="en-GB"/>
        </w:rPr>
        <w:footnoteReference w:id="33"/>
      </w:r>
      <w:r w:rsidR="00841DD0" w:rsidRPr="00B34C19">
        <w:rPr>
          <w:lang w:val="en-GB"/>
        </w:rPr>
        <w:t xml:space="preserve"> </w:t>
      </w:r>
      <w:r w:rsidR="000F60E6" w:rsidRPr="00B34C19">
        <w:rPr>
          <w:lang w:val="en-GB"/>
        </w:rPr>
        <w:t>In an attempt to redress some of this undertheorisation, t</w:t>
      </w:r>
      <w:r w:rsidR="00841DD0" w:rsidRPr="00B34C19">
        <w:rPr>
          <w:lang w:val="en-GB"/>
        </w:rPr>
        <w:t>his article attempts to ponder the conceptual terrain between the two logics of non-recurrence, one inherently formal and the other inherently informal. The article avoids a stark dualism between the two</w:t>
      </w:r>
      <w:r w:rsidR="009848FC" w:rsidRPr="00B34C19">
        <w:rPr>
          <w:lang w:val="en-GB"/>
        </w:rPr>
        <w:t xml:space="preserve"> logics</w:t>
      </w:r>
      <w:r w:rsidR="00841DD0" w:rsidRPr="00B34C19">
        <w:rPr>
          <w:lang w:val="en-GB"/>
        </w:rPr>
        <w:t xml:space="preserve"> – both GNRs and settlements, after all, pull in the same direction by acknowledging known vulnerabilities and attempt to mitigate forcefully against them. </w:t>
      </w:r>
      <w:r w:rsidR="00E64020" w:rsidRPr="00B34C19">
        <w:rPr>
          <w:lang w:val="en-GB"/>
        </w:rPr>
        <w:t xml:space="preserve">Any difference in logic is not about goals, but about the method of reaching it. </w:t>
      </w:r>
      <w:r w:rsidR="009848FC" w:rsidRPr="00B34C19">
        <w:rPr>
          <w:lang w:val="en-GB"/>
        </w:rPr>
        <w:t xml:space="preserve">As Sections </w:t>
      </w:r>
      <w:r w:rsidR="006403B0" w:rsidRPr="00B34C19">
        <w:rPr>
          <w:lang w:val="en-GB"/>
        </w:rPr>
        <w:t>2</w:t>
      </w:r>
      <w:r w:rsidR="009848FC" w:rsidRPr="00B34C19">
        <w:rPr>
          <w:lang w:val="en-GB"/>
        </w:rPr>
        <w:t xml:space="preserve"> and </w:t>
      </w:r>
      <w:r w:rsidR="006403B0" w:rsidRPr="00B34C19">
        <w:rPr>
          <w:lang w:val="en-GB"/>
        </w:rPr>
        <w:t>3</w:t>
      </w:r>
      <w:r w:rsidR="009848FC" w:rsidRPr="00B34C19">
        <w:rPr>
          <w:lang w:val="en-GB"/>
        </w:rPr>
        <w:t xml:space="preserve"> </w:t>
      </w:r>
      <w:r w:rsidR="009848FC" w:rsidRPr="00B34C19">
        <w:rPr>
          <w:lang w:val="en-GB"/>
        </w:rPr>
        <w:lastRenderedPageBreak/>
        <w:t>argue, b</w:t>
      </w:r>
      <w:r w:rsidR="001074CB" w:rsidRPr="00B34C19">
        <w:rPr>
          <w:lang w:val="en-GB"/>
        </w:rPr>
        <w:t>oth approaches mark a departure from the whiggish logic of the liberal peace</w:t>
      </w:r>
      <w:r w:rsidR="00C6636B" w:rsidRPr="00B34C19">
        <w:rPr>
          <w:lang w:val="en-GB"/>
        </w:rPr>
        <w:t xml:space="preserve"> – GNRs do so</w:t>
      </w:r>
      <w:r w:rsidR="001074CB" w:rsidRPr="00B34C19">
        <w:rPr>
          <w:lang w:val="en-GB"/>
        </w:rPr>
        <w:t xml:space="preserve"> by serving as a form of what Paris describes as institutionalisation before liberalisation</w:t>
      </w:r>
      <w:r w:rsidR="000F60E6" w:rsidRPr="00B34C19">
        <w:rPr>
          <w:lang w:val="en-GB"/>
        </w:rPr>
        <w:t>,</w:t>
      </w:r>
      <w:r w:rsidR="009848FC" w:rsidRPr="00B34C19">
        <w:rPr>
          <w:rStyle w:val="FootnoteReference"/>
          <w:lang w:val="en-GB"/>
        </w:rPr>
        <w:footnoteReference w:id="34"/>
      </w:r>
      <w:r w:rsidR="001074CB" w:rsidRPr="00B34C19">
        <w:rPr>
          <w:lang w:val="en-GB"/>
        </w:rPr>
        <w:t xml:space="preserve"> </w:t>
      </w:r>
      <w:r w:rsidR="000F60E6" w:rsidRPr="00B34C19">
        <w:rPr>
          <w:lang w:val="en-GB"/>
        </w:rPr>
        <w:t>while</w:t>
      </w:r>
      <w:r w:rsidR="001074CB" w:rsidRPr="00B34C19">
        <w:rPr>
          <w:lang w:val="en-GB"/>
        </w:rPr>
        <w:t xml:space="preserve"> </w:t>
      </w:r>
      <w:r w:rsidR="00C6636B" w:rsidRPr="00B34C19">
        <w:rPr>
          <w:lang w:val="en-GB"/>
        </w:rPr>
        <w:t>settlements do so</w:t>
      </w:r>
      <w:r w:rsidR="001074CB" w:rsidRPr="00B34C19">
        <w:rPr>
          <w:lang w:val="en-GB"/>
        </w:rPr>
        <w:t xml:space="preserve"> by consciously</w:t>
      </w:r>
      <w:r w:rsidR="009848FC" w:rsidRPr="00B34C19">
        <w:rPr>
          <w:lang w:val="en-GB"/>
        </w:rPr>
        <w:t xml:space="preserve"> circumventing</w:t>
      </w:r>
      <w:r w:rsidR="001074CB" w:rsidRPr="00B34C19">
        <w:rPr>
          <w:lang w:val="en-GB"/>
        </w:rPr>
        <w:t xml:space="preserve"> the competitiveness of market and democratic competition. </w:t>
      </w:r>
      <w:r w:rsidR="000E05E0" w:rsidRPr="00B34C19">
        <w:rPr>
          <w:lang w:val="en-GB"/>
        </w:rPr>
        <w:t xml:space="preserve">Both logics are realist and take institutional </w:t>
      </w:r>
      <w:r w:rsidR="00E64020" w:rsidRPr="00B34C19">
        <w:rPr>
          <w:lang w:val="en-GB"/>
        </w:rPr>
        <w:t>limitations</w:t>
      </w:r>
      <w:r w:rsidR="000E05E0" w:rsidRPr="00B34C19">
        <w:rPr>
          <w:lang w:val="en-GB"/>
        </w:rPr>
        <w:t xml:space="preserve"> </w:t>
      </w:r>
      <w:r w:rsidR="00E64020" w:rsidRPr="00B34C19">
        <w:rPr>
          <w:lang w:val="en-GB"/>
        </w:rPr>
        <w:t xml:space="preserve">of the state </w:t>
      </w:r>
      <w:r w:rsidR="0069671C" w:rsidRPr="00B34C19">
        <w:rPr>
          <w:lang w:val="en-GB"/>
        </w:rPr>
        <w:t>to pursue rational policies with reasonable effic</w:t>
      </w:r>
      <w:r w:rsidR="00807E23" w:rsidRPr="00B34C19">
        <w:rPr>
          <w:lang w:val="en-GB"/>
        </w:rPr>
        <w:t>acy</w:t>
      </w:r>
      <w:r w:rsidR="0069671C" w:rsidRPr="00B34C19">
        <w:rPr>
          <w:lang w:val="en-GB"/>
        </w:rPr>
        <w:t xml:space="preserve"> </w:t>
      </w:r>
      <w:r w:rsidR="000E05E0" w:rsidRPr="00B34C19">
        <w:rPr>
          <w:lang w:val="en-GB"/>
        </w:rPr>
        <w:t>as their starting point</w:t>
      </w:r>
      <w:r w:rsidR="0069671C" w:rsidRPr="00B34C19">
        <w:rPr>
          <w:lang w:val="en-GB"/>
        </w:rPr>
        <w:t xml:space="preserve">. Consequently, they </w:t>
      </w:r>
      <w:r w:rsidR="000E05E0" w:rsidRPr="00B34C19">
        <w:rPr>
          <w:lang w:val="en-GB"/>
        </w:rPr>
        <w:t>prioritis</w:t>
      </w:r>
      <w:r w:rsidR="0069671C" w:rsidRPr="00B34C19">
        <w:rPr>
          <w:lang w:val="en-GB"/>
        </w:rPr>
        <w:t>e</w:t>
      </w:r>
      <w:r w:rsidR="000E05E0" w:rsidRPr="00B34C19">
        <w:rPr>
          <w:lang w:val="en-GB"/>
        </w:rPr>
        <w:t xml:space="preserve"> non-violence over the </w:t>
      </w:r>
      <w:r w:rsidR="000E05E0" w:rsidRPr="00B34C19">
        <w:rPr>
          <w:i/>
          <w:iCs/>
          <w:lang w:val="en-GB"/>
        </w:rPr>
        <w:t>do everything</w:t>
      </w:r>
      <w:r w:rsidR="000E05E0" w:rsidRPr="00B34C19">
        <w:rPr>
          <w:lang w:val="en-GB"/>
        </w:rPr>
        <w:t xml:space="preserve"> ethos in contemporary peacebuilding </w:t>
      </w:r>
      <w:r w:rsidR="00F753ED" w:rsidRPr="00B34C19">
        <w:rPr>
          <w:lang w:val="en-GB"/>
        </w:rPr>
        <w:t xml:space="preserve">and TJ </w:t>
      </w:r>
      <w:r w:rsidR="000E05E0" w:rsidRPr="00B34C19">
        <w:rPr>
          <w:lang w:val="en-GB"/>
        </w:rPr>
        <w:t>of inclusive growth, gender equality, environmental sustainability and good governance that states seldom proved capable of achieving even before conflict.</w:t>
      </w:r>
    </w:p>
    <w:p w14:paraId="3FE2CF75" w14:textId="77777777" w:rsidR="001074CB" w:rsidRPr="00B34C19" w:rsidRDefault="001074CB" w:rsidP="00E65CEB">
      <w:pPr>
        <w:autoSpaceDE w:val="0"/>
        <w:autoSpaceDN w:val="0"/>
        <w:adjustRightInd w:val="0"/>
        <w:spacing w:line="480" w:lineRule="auto"/>
        <w:jc w:val="both"/>
        <w:rPr>
          <w:lang w:val="en-GB"/>
        </w:rPr>
      </w:pPr>
    </w:p>
    <w:p w14:paraId="48ABF47D" w14:textId="421393CD" w:rsidR="006911CB" w:rsidRPr="00B34C19" w:rsidRDefault="00841DD0" w:rsidP="00E65CEB">
      <w:pPr>
        <w:autoSpaceDE w:val="0"/>
        <w:autoSpaceDN w:val="0"/>
        <w:adjustRightInd w:val="0"/>
        <w:spacing w:line="480" w:lineRule="auto"/>
        <w:jc w:val="both"/>
        <w:rPr>
          <w:lang w:val="en-GB"/>
        </w:rPr>
      </w:pPr>
      <w:r w:rsidRPr="00B34C19">
        <w:rPr>
          <w:lang w:val="en-GB"/>
        </w:rPr>
        <w:t>The two logics are not in inherent opposition to each other, though both logics have obvious potential for tension</w:t>
      </w:r>
      <w:r w:rsidR="007067AF" w:rsidRPr="00B34C19">
        <w:rPr>
          <w:lang w:val="en-GB"/>
        </w:rPr>
        <w:t>. I do not argue that GNRs are distorted by a neopatrimonial preference for weak institutions, though this is a possibility depending on context</w:t>
      </w:r>
      <w:r w:rsidR="006403B0" w:rsidRPr="00B34C19">
        <w:rPr>
          <w:lang w:val="en-GB"/>
        </w:rPr>
        <w:t xml:space="preserve"> – as Section 4 argues, GNRs do not spell an end to the ability to derive rents in the short or medium terms</w:t>
      </w:r>
      <w:r w:rsidR="007067AF" w:rsidRPr="00B34C19">
        <w:rPr>
          <w:lang w:val="en-GB"/>
        </w:rPr>
        <w:t xml:space="preserve">. </w:t>
      </w:r>
      <w:r w:rsidR="006403B0" w:rsidRPr="00B34C19">
        <w:rPr>
          <w:lang w:val="en-GB"/>
        </w:rPr>
        <w:t>Nor do I argue</w:t>
      </w:r>
      <w:r w:rsidR="007067AF" w:rsidRPr="00B34C19">
        <w:rPr>
          <w:lang w:val="en-GB"/>
        </w:rPr>
        <w:t xml:space="preserve"> that settlement elites inevitably capture, instrumentalize or subvert institutional changes to maximize their  economic, military, and political agendas, though this is also possible</w:t>
      </w:r>
      <w:r w:rsidR="006403B0" w:rsidRPr="00B34C19">
        <w:rPr>
          <w:lang w:val="en-GB"/>
        </w:rPr>
        <w:t xml:space="preserve"> – GNR</w:t>
      </w:r>
      <w:r w:rsidR="00F753ED" w:rsidRPr="00B34C19">
        <w:rPr>
          <w:lang w:val="en-GB"/>
        </w:rPr>
        <w:t>s</w:t>
      </w:r>
      <w:r w:rsidR="006403B0" w:rsidRPr="00B34C19">
        <w:rPr>
          <w:lang w:val="en-GB"/>
        </w:rPr>
        <w:t xml:space="preserve"> seldom touch established patronage arrangements</w:t>
      </w:r>
      <w:r w:rsidR="00940199" w:rsidRPr="00B34C19">
        <w:rPr>
          <w:lang w:val="en-GB"/>
        </w:rPr>
        <w:t>, and in this respect may prove relatively non-contentious</w:t>
      </w:r>
      <w:r w:rsidR="006403B0" w:rsidRPr="00B34C19">
        <w:rPr>
          <w:lang w:val="en-GB"/>
        </w:rPr>
        <w:t>.</w:t>
      </w:r>
      <w:r w:rsidR="008D57D1" w:rsidRPr="00B34C19">
        <w:rPr>
          <w:lang w:val="en-GB"/>
        </w:rPr>
        <w:t xml:space="preserve"> </w:t>
      </w:r>
      <w:r w:rsidR="006403B0" w:rsidRPr="00B34C19">
        <w:t xml:space="preserve">The purpose of this article is neither to show inevitable shortcomings of GNRs nor to advocate a major change in their structure. </w:t>
      </w:r>
      <w:r w:rsidR="005A7F0F" w:rsidRPr="00B34C19">
        <w:t>It does, however, show that</w:t>
      </w:r>
      <w:r w:rsidR="00E64020" w:rsidRPr="00B34C19">
        <w:t xml:space="preserve"> the underlying ontology of GNRs can offer only a partial reading of the politics of non-recurrence. As such, </w:t>
      </w:r>
      <w:r w:rsidR="005A7F0F" w:rsidRPr="00B34C19">
        <w:t>sections 2 and 3</w:t>
      </w:r>
      <w:r w:rsidR="0004305C" w:rsidRPr="00B34C19">
        <w:t xml:space="preserve"> demonstrate the mismatch between the TJ faith in the centrality of GNRs to non-recurrence, on the one hand, and the actual process of guarding against conflict resumption as it is shaped extra-institutionally by </w:t>
      </w:r>
      <w:r w:rsidR="00C6636B" w:rsidRPr="00B34C19">
        <w:t>the</w:t>
      </w:r>
      <w:r w:rsidR="0004305C" w:rsidRPr="00B34C19">
        <w:t xml:space="preserve"> informal practices that underpin settlements</w:t>
      </w:r>
      <w:r w:rsidR="001838D5" w:rsidRPr="00B34C19">
        <w:t xml:space="preserve">, on the </w:t>
      </w:r>
      <w:r w:rsidR="001838D5" w:rsidRPr="00B34C19">
        <w:lastRenderedPageBreak/>
        <w:t>other</w:t>
      </w:r>
      <w:r w:rsidR="0004305C" w:rsidRPr="00B34C19">
        <w:t xml:space="preserve">. The second </w:t>
      </w:r>
      <w:r w:rsidR="00F753ED" w:rsidRPr="00B34C19">
        <w:t xml:space="preserve">purpose </w:t>
      </w:r>
      <w:r w:rsidR="0004305C" w:rsidRPr="00B34C19">
        <w:t xml:space="preserve">is to show how </w:t>
      </w:r>
      <w:r w:rsidR="005A51A5" w:rsidRPr="00B34C19">
        <w:t xml:space="preserve">settlements evolve or disintegrate incrementally, critically conditioning </w:t>
      </w:r>
      <w:r w:rsidR="001838D5" w:rsidRPr="00B34C19">
        <w:t>when and how GNRs</w:t>
      </w:r>
      <w:r w:rsidR="005A51A5" w:rsidRPr="00B34C19">
        <w:t xml:space="preserve"> </w:t>
      </w:r>
      <w:r w:rsidR="001838D5" w:rsidRPr="00B34C19">
        <w:t>are efficacious</w:t>
      </w:r>
      <w:r w:rsidR="005A51A5" w:rsidRPr="00B34C19">
        <w:t xml:space="preserve"> </w:t>
      </w:r>
      <w:r w:rsidR="00F753ED" w:rsidRPr="00B34C19">
        <w:t>(explored in Section 4)</w:t>
      </w:r>
      <w:r w:rsidR="005A51A5" w:rsidRPr="00B34C19">
        <w:t xml:space="preserve">.  </w:t>
      </w:r>
    </w:p>
    <w:p w14:paraId="24E3FD18" w14:textId="597159AF" w:rsidR="001A69FC" w:rsidRPr="00B34C19" w:rsidRDefault="001A69FC" w:rsidP="00E65CEB">
      <w:pPr>
        <w:autoSpaceDE w:val="0"/>
        <w:autoSpaceDN w:val="0"/>
        <w:adjustRightInd w:val="0"/>
        <w:spacing w:line="480" w:lineRule="auto"/>
        <w:jc w:val="both"/>
        <w:rPr>
          <w:lang w:val="en-GB"/>
        </w:rPr>
      </w:pPr>
    </w:p>
    <w:p w14:paraId="6233E349" w14:textId="79404AAC" w:rsidR="001F5800" w:rsidRPr="00B34C19" w:rsidRDefault="001F5800" w:rsidP="00E65CEB">
      <w:pPr>
        <w:autoSpaceDE w:val="0"/>
        <w:autoSpaceDN w:val="0"/>
        <w:adjustRightInd w:val="0"/>
        <w:spacing w:line="480" w:lineRule="auto"/>
        <w:jc w:val="both"/>
        <w:rPr>
          <w:lang w:val="en-GB"/>
        </w:rPr>
      </w:pPr>
      <w:r w:rsidRPr="00B34C19">
        <w:rPr>
          <w:lang w:val="en-GB"/>
        </w:rPr>
        <w:t>As McEvoy notes, we need to be more honest about the ambiguities and trade-offs inherent to the real world of TJ practice</w:t>
      </w:r>
      <w:r w:rsidR="001A69FC" w:rsidRPr="00B34C19">
        <w:rPr>
          <w:lang w:val="en-GB"/>
        </w:rPr>
        <w:t>.</w:t>
      </w:r>
      <w:r w:rsidRPr="00B34C19">
        <w:rPr>
          <w:rStyle w:val="FootnoteReference"/>
          <w:lang w:val="en-GB"/>
        </w:rPr>
        <w:footnoteReference w:id="35"/>
      </w:r>
      <w:r w:rsidR="001A69FC" w:rsidRPr="00B34C19">
        <w:rPr>
          <w:lang w:val="en-GB"/>
        </w:rPr>
        <w:t xml:space="preserve"> Part of this honesty involves eschewing the comfort of liberal-legalist perspective that valorises </w:t>
      </w:r>
      <w:r w:rsidR="000B07D3" w:rsidRPr="00B34C19">
        <w:rPr>
          <w:lang w:val="en-GB"/>
        </w:rPr>
        <w:t>improved visible</w:t>
      </w:r>
      <w:r w:rsidR="001A69FC" w:rsidRPr="00B34C19">
        <w:rPr>
          <w:lang w:val="en-GB"/>
        </w:rPr>
        <w:t xml:space="preserve"> formal institutions to the exclusi</w:t>
      </w:r>
      <w:r w:rsidR="000B07D3" w:rsidRPr="00B34C19">
        <w:rPr>
          <w:lang w:val="en-GB"/>
        </w:rPr>
        <w:t>on</w:t>
      </w:r>
      <w:r w:rsidR="001A69FC" w:rsidRPr="00B34C19">
        <w:rPr>
          <w:lang w:val="en-GB"/>
        </w:rPr>
        <w:t xml:space="preserve"> of </w:t>
      </w:r>
      <w:r w:rsidR="000B07D3" w:rsidRPr="00B34C19">
        <w:rPr>
          <w:lang w:val="en-GB"/>
        </w:rPr>
        <w:t>invisible in</w:t>
      </w:r>
      <w:r w:rsidR="001A69FC" w:rsidRPr="00B34C19">
        <w:rPr>
          <w:lang w:val="en-GB"/>
        </w:rPr>
        <w:t xml:space="preserve">formal </w:t>
      </w:r>
      <w:r w:rsidR="000B07D3" w:rsidRPr="00B34C19">
        <w:rPr>
          <w:lang w:val="en-GB"/>
        </w:rPr>
        <w:t xml:space="preserve">norms, discourse and cultural practices. </w:t>
      </w:r>
      <w:r w:rsidR="007D2C67" w:rsidRPr="00B34C19">
        <w:rPr>
          <w:lang w:val="en-GB"/>
        </w:rPr>
        <w:t xml:space="preserve">Any political culture will manifest </w:t>
      </w:r>
      <w:r w:rsidR="00940199" w:rsidRPr="00B34C19">
        <w:rPr>
          <w:lang w:val="en-GB"/>
        </w:rPr>
        <w:t xml:space="preserve">hidden but </w:t>
      </w:r>
      <w:r w:rsidR="007D2C67" w:rsidRPr="00B34C19">
        <w:rPr>
          <w:lang w:val="en-GB"/>
        </w:rPr>
        <w:t xml:space="preserve">taken-for-granted self-understandings among the ruling coalition(s) that define appropriate behaviour – the prospects for non-recurrence are not fully captured if we focus only on the legal and institutional attributes of the state. </w:t>
      </w:r>
      <w:r w:rsidR="009E776E" w:rsidRPr="00B34C19">
        <w:rPr>
          <w:lang w:val="en-GB"/>
        </w:rPr>
        <w:t>Norms like GNR ‘never enter a normative vacuum but instead emerge in a highly normative space where they must compete with other norms and perceptions of interest.’</w:t>
      </w:r>
      <w:r w:rsidR="009E776E" w:rsidRPr="00B34C19">
        <w:rPr>
          <w:rStyle w:val="FootnoteReference"/>
          <w:lang w:val="en-GB"/>
        </w:rPr>
        <w:footnoteReference w:id="36"/>
      </w:r>
      <w:r w:rsidR="00940199" w:rsidRPr="00B34C19">
        <w:rPr>
          <w:lang w:val="en-GB"/>
        </w:rPr>
        <w:t xml:space="preserve"> </w:t>
      </w:r>
      <w:r w:rsidR="00115D96" w:rsidRPr="00B34C19">
        <w:rPr>
          <w:lang w:val="en-GB"/>
        </w:rPr>
        <w:t>Peace is as much, if not more, a matter of elite interest as it is of institutional</w:t>
      </w:r>
      <w:r w:rsidR="004937D3" w:rsidRPr="00B34C19">
        <w:rPr>
          <w:lang w:val="en-GB"/>
        </w:rPr>
        <w:t xml:space="preserve"> reform</w:t>
      </w:r>
      <w:r w:rsidR="00115D96" w:rsidRPr="00B34C19">
        <w:rPr>
          <w:lang w:val="en-GB"/>
        </w:rPr>
        <w:t xml:space="preserve">. The fate of GNRs in </w:t>
      </w:r>
      <w:r w:rsidR="00115D96" w:rsidRPr="00B34C19">
        <w:rPr>
          <w:i/>
          <w:iCs/>
          <w:lang w:val="en-GB"/>
        </w:rPr>
        <w:t>particular</w:t>
      </w:r>
      <w:r w:rsidR="00115D96" w:rsidRPr="00B34C19">
        <w:rPr>
          <w:lang w:val="en-GB"/>
        </w:rPr>
        <w:t xml:space="preserve"> institutions depends on how settlements </w:t>
      </w:r>
      <w:r w:rsidR="00115D96" w:rsidRPr="00B34C19">
        <w:rPr>
          <w:i/>
          <w:iCs/>
          <w:lang w:val="en-GB"/>
        </w:rPr>
        <w:t>in general</w:t>
      </w:r>
      <w:r w:rsidR="00115D96" w:rsidRPr="00B34C19">
        <w:rPr>
          <w:lang w:val="en-GB"/>
        </w:rPr>
        <w:t xml:space="preserve"> maintain the peace.</w:t>
      </w:r>
      <w:r w:rsidR="004937D3" w:rsidRPr="00B34C19">
        <w:rPr>
          <w:lang w:val="en-GB"/>
        </w:rPr>
        <w:t xml:space="preserve"> We cannot theorise the potential effect </w:t>
      </w:r>
      <w:r w:rsidR="00D016FA" w:rsidRPr="00B34C19">
        <w:rPr>
          <w:lang w:val="en-GB"/>
        </w:rPr>
        <w:t xml:space="preserve">of formal change </w:t>
      </w:r>
      <w:r w:rsidR="004937D3" w:rsidRPr="00B34C19">
        <w:rPr>
          <w:lang w:val="en-GB"/>
        </w:rPr>
        <w:t>without comprehending their fit with</w:t>
      </w:r>
      <w:r w:rsidR="00D016FA" w:rsidRPr="00B34C19">
        <w:rPr>
          <w:lang w:val="en-GB"/>
        </w:rPr>
        <w:t>in broader</w:t>
      </w:r>
      <w:r w:rsidR="004937D3" w:rsidRPr="00B34C19">
        <w:rPr>
          <w:lang w:val="en-GB"/>
        </w:rPr>
        <w:t xml:space="preserve"> informal modes of preventing conflict.</w:t>
      </w:r>
      <w:r w:rsidR="00D016FA" w:rsidRPr="00B34C19">
        <w:rPr>
          <w:rStyle w:val="FootnoteReference"/>
          <w:lang w:val="en-GB"/>
        </w:rPr>
        <w:footnoteReference w:id="37"/>
      </w:r>
      <w:r w:rsidR="004937D3" w:rsidRPr="00B34C19">
        <w:rPr>
          <w:lang w:val="en-GB"/>
        </w:rPr>
        <w:t xml:space="preserve"> </w:t>
      </w:r>
      <w:r w:rsidR="002361F9" w:rsidRPr="00B34C19">
        <w:rPr>
          <w:lang w:val="en-GB"/>
        </w:rPr>
        <w:t xml:space="preserve"> As a first cut at examining the role of GNRs within a broader socio-political environment, t</w:t>
      </w:r>
      <w:r w:rsidR="00D016FA" w:rsidRPr="00B34C19">
        <w:rPr>
          <w:lang w:val="en-GB"/>
        </w:rPr>
        <w:t xml:space="preserve">he rest of this article therefore </w:t>
      </w:r>
      <w:r w:rsidR="007770EE" w:rsidRPr="00B34C19">
        <w:rPr>
          <w:lang w:val="en-GB"/>
        </w:rPr>
        <w:t>situates</w:t>
      </w:r>
      <w:r w:rsidR="00D016FA" w:rsidRPr="00B34C19">
        <w:rPr>
          <w:lang w:val="en-GB"/>
        </w:rPr>
        <w:t xml:space="preserve"> the normative institutionalist logic of GNRs </w:t>
      </w:r>
      <w:r w:rsidR="007770EE" w:rsidRPr="00B34C19">
        <w:rPr>
          <w:lang w:val="en-GB"/>
        </w:rPr>
        <w:t xml:space="preserve">within the evolving relational settlement politics at the heart of the developing world </w:t>
      </w:r>
      <w:r w:rsidR="007770EE" w:rsidRPr="00B34C19">
        <w:rPr>
          <w:lang w:val="en-GB"/>
        </w:rPr>
        <w:lastRenderedPageBreak/>
        <w:t>security solution</w:t>
      </w:r>
      <w:r w:rsidR="002361F9" w:rsidRPr="00B34C19">
        <w:rPr>
          <w:lang w:val="en-GB"/>
        </w:rPr>
        <w:t xml:space="preserve">, </w:t>
      </w:r>
      <w:r w:rsidR="007770EE" w:rsidRPr="00B34C19">
        <w:rPr>
          <w:lang w:val="en-GB"/>
        </w:rPr>
        <w:t>push</w:t>
      </w:r>
      <w:r w:rsidR="002361F9" w:rsidRPr="00B34C19">
        <w:rPr>
          <w:lang w:val="en-GB"/>
        </w:rPr>
        <w:t>ing</w:t>
      </w:r>
      <w:r w:rsidR="007770EE" w:rsidRPr="00B34C19">
        <w:rPr>
          <w:lang w:val="en-GB"/>
        </w:rPr>
        <w:t xml:space="preserve"> beyond idealised models of change</w:t>
      </w:r>
      <w:r w:rsidR="00B86ABD" w:rsidRPr="00B34C19">
        <w:rPr>
          <w:lang w:val="en-GB"/>
        </w:rPr>
        <w:t xml:space="preserve"> and broaden</w:t>
      </w:r>
      <w:r w:rsidR="002361F9" w:rsidRPr="00B34C19">
        <w:rPr>
          <w:lang w:val="en-GB"/>
        </w:rPr>
        <w:t>ing</w:t>
      </w:r>
      <w:r w:rsidR="00B86ABD" w:rsidRPr="00B34C19">
        <w:rPr>
          <w:lang w:val="en-GB"/>
        </w:rPr>
        <w:t xml:space="preserve"> attention</w:t>
      </w:r>
      <w:r w:rsidR="002361F9" w:rsidRPr="00B34C19">
        <w:rPr>
          <w:lang w:val="en-GB"/>
        </w:rPr>
        <w:t xml:space="preserve"> beyond technical solutions</w:t>
      </w:r>
      <w:r w:rsidR="007770EE" w:rsidRPr="00B34C19">
        <w:rPr>
          <w:lang w:val="en-GB"/>
        </w:rPr>
        <w:t>.</w:t>
      </w:r>
    </w:p>
    <w:p w14:paraId="78AC836F" w14:textId="0D3B2F44" w:rsidR="003D04E1" w:rsidRPr="00B34C19" w:rsidRDefault="003D04E1" w:rsidP="00E65CEB">
      <w:pPr>
        <w:autoSpaceDE w:val="0"/>
        <w:autoSpaceDN w:val="0"/>
        <w:adjustRightInd w:val="0"/>
        <w:spacing w:line="480" w:lineRule="auto"/>
        <w:jc w:val="both"/>
        <w:rPr>
          <w:lang w:val="en-GB"/>
        </w:rPr>
      </w:pPr>
    </w:p>
    <w:p w14:paraId="7C227E4F" w14:textId="53B30579" w:rsidR="00AE6089" w:rsidRPr="00B34C19" w:rsidRDefault="00AE6089" w:rsidP="00E65CEB">
      <w:pPr>
        <w:autoSpaceDE w:val="0"/>
        <w:autoSpaceDN w:val="0"/>
        <w:adjustRightInd w:val="0"/>
        <w:spacing w:line="480" w:lineRule="auto"/>
        <w:jc w:val="both"/>
        <w:rPr>
          <w:lang w:val="en-GB"/>
        </w:rPr>
      </w:pPr>
    </w:p>
    <w:p w14:paraId="15E5C767" w14:textId="7DE8396A" w:rsidR="007F6A48" w:rsidRPr="00F4113B" w:rsidRDefault="00D75A75" w:rsidP="00E65CEB">
      <w:pPr>
        <w:autoSpaceDE w:val="0"/>
        <w:autoSpaceDN w:val="0"/>
        <w:adjustRightInd w:val="0"/>
        <w:spacing w:line="480" w:lineRule="auto"/>
        <w:jc w:val="both"/>
        <w:rPr>
          <w:b/>
          <w:bCs/>
          <w:sz w:val="28"/>
          <w:szCs w:val="28"/>
          <w:lang w:val="en-GB"/>
        </w:rPr>
      </w:pPr>
      <w:r w:rsidRPr="00F4113B">
        <w:rPr>
          <w:b/>
          <w:bCs/>
          <w:sz w:val="28"/>
          <w:szCs w:val="28"/>
          <w:lang w:val="en-GB"/>
        </w:rPr>
        <w:t xml:space="preserve">2. </w:t>
      </w:r>
      <w:r w:rsidR="007F6A48" w:rsidRPr="00F4113B">
        <w:rPr>
          <w:b/>
          <w:bCs/>
          <w:sz w:val="28"/>
          <w:szCs w:val="28"/>
          <w:lang w:val="en-GB"/>
        </w:rPr>
        <w:t>The Institutional Logic of GNRs</w:t>
      </w:r>
    </w:p>
    <w:p w14:paraId="73DB2CEA" w14:textId="3A570CFC" w:rsidR="007F6A48" w:rsidRPr="00B34C19" w:rsidRDefault="007F6A48" w:rsidP="00E65CEB">
      <w:pPr>
        <w:autoSpaceDE w:val="0"/>
        <w:autoSpaceDN w:val="0"/>
        <w:adjustRightInd w:val="0"/>
        <w:spacing w:line="480" w:lineRule="auto"/>
        <w:jc w:val="both"/>
        <w:rPr>
          <w:lang w:val="en-GB"/>
        </w:rPr>
      </w:pPr>
    </w:p>
    <w:p w14:paraId="28F56B71" w14:textId="3CCAA20F" w:rsidR="007F64D4" w:rsidRPr="00B34C19" w:rsidRDefault="007F6A48" w:rsidP="00E65CEB">
      <w:pPr>
        <w:autoSpaceDE w:val="0"/>
        <w:autoSpaceDN w:val="0"/>
        <w:adjustRightInd w:val="0"/>
        <w:spacing w:line="480" w:lineRule="auto"/>
        <w:jc w:val="both"/>
        <w:rPr>
          <w:lang w:val="en-GB"/>
        </w:rPr>
      </w:pPr>
      <w:r w:rsidRPr="00B34C19">
        <w:rPr>
          <w:lang w:val="en-GB"/>
        </w:rPr>
        <w:t xml:space="preserve">GNRs as a concept can be said to have crystallised in the </w:t>
      </w:r>
      <w:r w:rsidR="007F64D4" w:rsidRPr="00B34C19">
        <w:rPr>
          <w:lang w:val="en-GB"/>
        </w:rPr>
        <w:t xml:space="preserve">UN </w:t>
      </w:r>
      <w:r w:rsidRPr="00B34C19">
        <w:rPr>
          <w:lang w:val="en-GB"/>
        </w:rPr>
        <w:t>Special Rapporteur</w:t>
      </w:r>
      <w:r w:rsidR="007F64D4" w:rsidRPr="00B34C19">
        <w:rPr>
          <w:lang w:val="en-GB"/>
        </w:rPr>
        <w:t xml:space="preserve"> for TJ</w:t>
      </w:r>
      <w:r w:rsidRPr="00B34C19">
        <w:rPr>
          <w:lang w:val="en-GB"/>
        </w:rPr>
        <w:t xml:space="preserve">’s </w:t>
      </w:r>
      <w:r w:rsidR="00ED3C87" w:rsidRPr="00B34C19">
        <w:rPr>
          <w:lang w:val="en-GB"/>
        </w:rPr>
        <w:t>dedicated r</w:t>
      </w:r>
      <w:r w:rsidRPr="00B34C19">
        <w:rPr>
          <w:lang w:val="en-GB"/>
        </w:rPr>
        <w:t>eport</w:t>
      </w:r>
      <w:r w:rsidR="00ED3C87" w:rsidRPr="00B34C19">
        <w:rPr>
          <w:lang w:val="en-GB"/>
        </w:rPr>
        <w:t xml:space="preserve"> elaborating a framework for state policies on GNRs in 2015</w:t>
      </w:r>
      <w:r w:rsidR="007F64D4" w:rsidRPr="00B34C19">
        <w:rPr>
          <w:lang w:val="en-GB"/>
        </w:rPr>
        <w:t>.</w:t>
      </w:r>
      <w:r w:rsidR="009377BA" w:rsidRPr="00B34C19">
        <w:rPr>
          <w:rStyle w:val="FootnoteReference"/>
          <w:lang w:val="en-GB"/>
        </w:rPr>
        <w:footnoteReference w:id="38"/>
      </w:r>
      <w:r w:rsidRPr="00B34C19">
        <w:rPr>
          <w:lang w:val="en-GB"/>
        </w:rPr>
        <w:t xml:space="preserve"> </w:t>
      </w:r>
      <w:r w:rsidR="007F64D4" w:rsidRPr="00B34C19">
        <w:rPr>
          <w:lang w:val="en-GB"/>
        </w:rPr>
        <w:t xml:space="preserve">However, </w:t>
      </w:r>
      <w:r w:rsidRPr="00B34C19">
        <w:rPr>
          <w:lang w:val="en-GB"/>
        </w:rPr>
        <w:t xml:space="preserve">the roots of the concept can be found in international law on state responsibility, international human rights law, </w:t>
      </w:r>
      <w:r w:rsidR="00423185" w:rsidRPr="00B34C19">
        <w:rPr>
          <w:lang w:val="en-GB"/>
        </w:rPr>
        <w:t xml:space="preserve">UN </w:t>
      </w:r>
      <w:r w:rsidRPr="00B34C19">
        <w:rPr>
          <w:lang w:val="en-GB"/>
        </w:rPr>
        <w:t xml:space="preserve">soft law on non-impunity and reparations, as well as TJ’s own </w:t>
      </w:r>
      <w:r w:rsidR="00B45199" w:rsidRPr="00B34C19">
        <w:rPr>
          <w:lang w:val="en-GB"/>
        </w:rPr>
        <w:t xml:space="preserve">normative </w:t>
      </w:r>
      <w:r w:rsidRPr="00B34C19">
        <w:rPr>
          <w:lang w:val="en-GB"/>
        </w:rPr>
        <w:t>development.</w:t>
      </w:r>
      <w:r w:rsidR="00BC5985" w:rsidRPr="00B34C19">
        <w:rPr>
          <w:lang w:val="en-GB"/>
        </w:rPr>
        <w:t xml:space="preserve"> As regards the first of these, </w:t>
      </w:r>
      <w:r w:rsidR="007961C8" w:rsidRPr="00B34C19">
        <w:rPr>
          <w:lang w:val="en-GB"/>
        </w:rPr>
        <w:t xml:space="preserve">under </w:t>
      </w:r>
      <w:r w:rsidR="007961C8" w:rsidRPr="00B34C19">
        <w:rPr>
          <w:color w:val="000000"/>
          <w:lang w:val="en-GB"/>
        </w:rPr>
        <w:t xml:space="preserve">the law of state responsibility as it evolved from early diplomatic practice to the seminal </w:t>
      </w:r>
      <w:r w:rsidR="007961C8" w:rsidRPr="00B34C19">
        <w:rPr>
          <w:i/>
          <w:iCs/>
          <w:color w:val="000000"/>
          <w:lang w:val="en-GB"/>
        </w:rPr>
        <w:t>La Grand</w:t>
      </w:r>
      <w:r w:rsidR="007961C8" w:rsidRPr="00B34C19">
        <w:rPr>
          <w:color w:val="000000"/>
          <w:lang w:val="en-GB"/>
        </w:rPr>
        <w:t xml:space="preserve"> decision of the ICJ</w:t>
      </w:r>
      <w:r w:rsidR="009377BA" w:rsidRPr="00B34C19">
        <w:rPr>
          <w:rStyle w:val="FootnoteReference"/>
          <w:color w:val="000000"/>
          <w:lang w:val="en-GB"/>
        </w:rPr>
        <w:footnoteReference w:id="39"/>
      </w:r>
      <w:r w:rsidR="007961C8" w:rsidRPr="00B34C19">
        <w:rPr>
          <w:color w:val="000000"/>
          <w:lang w:val="en-GB"/>
        </w:rPr>
        <w:t xml:space="preserve"> and on to </w:t>
      </w:r>
      <w:r w:rsidR="007961C8" w:rsidRPr="00B34C19">
        <w:rPr>
          <w:lang w:val="en-GB"/>
        </w:rPr>
        <w:t>Article 30(b) of the International Law Commission’s Articles on Responsibility of States for Internationally Wrongful Acts</w:t>
      </w:r>
      <w:r w:rsidR="007961C8" w:rsidRPr="00B34C19">
        <w:rPr>
          <w:color w:val="000000"/>
          <w:lang w:val="en-GB"/>
        </w:rPr>
        <w:t>,</w:t>
      </w:r>
      <w:r w:rsidR="009377BA" w:rsidRPr="00B34C19">
        <w:rPr>
          <w:rStyle w:val="FootnoteReference"/>
          <w:color w:val="000000"/>
          <w:lang w:val="en-GB"/>
        </w:rPr>
        <w:footnoteReference w:id="40"/>
      </w:r>
      <w:r w:rsidR="007961C8" w:rsidRPr="00B34C19">
        <w:rPr>
          <w:color w:val="000000"/>
          <w:lang w:val="en-GB"/>
        </w:rPr>
        <w:t xml:space="preserve"> guarantees of non-recurrence </w:t>
      </w:r>
      <w:r w:rsidR="007961C8" w:rsidRPr="00B34C19">
        <w:rPr>
          <w:lang w:val="en-GB"/>
        </w:rPr>
        <w:t xml:space="preserve">are a possible (though not a necessary) </w:t>
      </w:r>
      <w:r w:rsidR="007961C8" w:rsidRPr="00B34C19">
        <w:rPr>
          <w:color w:val="000000"/>
          <w:lang w:val="en-GB"/>
        </w:rPr>
        <w:t>part of a state’s obligation to address responsibility for an internationally wrongful act.</w:t>
      </w:r>
      <w:r w:rsidR="00C16AC3" w:rsidRPr="00B34C19">
        <w:rPr>
          <w:lang w:val="en-GB"/>
        </w:rPr>
        <w:t xml:space="preserve"> </w:t>
      </w:r>
      <w:r w:rsidR="007F64D4" w:rsidRPr="00B34C19">
        <w:rPr>
          <w:lang w:val="en-GB"/>
        </w:rPr>
        <w:t xml:space="preserve"> Furthermore, </w:t>
      </w:r>
      <w:r w:rsidR="00ED3C87" w:rsidRPr="00B34C19">
        <w:rPr>
          <w:lang w:val="en-GB"/>
        </w:rPr>
        <w:t>GNRs</w:t>
      </w:r>
      <w:r w:rsidR="00C16AC3" w:rsidRPr="00B34C19">
        <w:rPr>
          <w:lang w:val="en-GB"/>
        </w:rPr>
        <w:t xml:space="preserve"> have long been a feature of international human rights law.  </w:t>
      </w:r>
      <w:r w:rsidR="00ED3C87" w:rsidRPr="00B34C19">
        <w:rPr>
          <w:color w:val="000000"/>
          <w:lang w:val="en-GB"/>
        </w:rPr>
        <w:t>The UN</w:t>
      </w:r>
      <w:r w:rsidR="00C16AC3" w:rsidRPr="00B34C19">
        <w:rPr>
          <w:color w:val="000000"/>
          <w:lang w:val="en-GB"/>
        </w:rPr>
        <w:t xml:space="preserve"> </w:t>
      </w:r>
      <w:r w:rsidR="00ED3C87" w:rsidRPr="00B34C19">
        <w:rPr>
          <w:color w:val="000000"/>
          <w:lang w:val="en-GB"/>
        </w:rPr>
        <w:t xml:space="preserve">Human Rights Committee </w:t>
      </w:r>
      <w:r w:rsidR="00C16AC3" w:rsidRPr="00B34C19">
        <w:rPr>
          <w:color w:val="000000"/>
          <w:lang w:val="en-GB"/>
        </w:rPr>
        <w:t xml:space="preserve">explained </w:t>
      </w:r>
      <w:r w:rsidR="00ED3C87" w:rsidRPr="00B34C19">
        <w:rPr>
          <w:color w:val="000000"/>
          <w:lang w:val="en-GB"/>
        </w:rPr>
        <w:t>in its General Comment 31 that the purposes</w:t>
      </w:r>
      <w:r w:rsidR="00C16AC3" w:rsidRPr="00B34C19">
        <w:rPr>
          <w:color w:val="000000"/>
          <w:lang w:val="en-GB"/>
        </w:rPr>
        <w:t xml:space="preserve"> </w:t>
      </w:r>
      <w:r w:rsidR="00ED3C87" w:rsidRPr="00B34C19">
        <w:rPr>
          <w:color w:val="000000"/>
          <w:lang w:val="en-GB"/>
        </w:rPr>
        <w:t xml:space="preserve">of </w:t>
      </w:r>
      <w:r w:rsidR="00AC7171" w:rsidRPr="00B34C19">
        <w:rPr>
          <w:color w:val="000000"/>
          <w:lang w:val="en-GB"/>
        </w:rPr>
        <w:t>Article 2 ICCPR ‘</w:t>
      </w:r>
      <w:r w:rsidR="00ED3C87" w:rsidRPr="00B34C19">
        <w:rPr>
          <w:color w:val="000000"/>
          <w:lang w:val="en-GB"/>
        </w:rPr>
        <w:t>would be defeated without an obligation … to take measures to</w:t>
      </w:r>
      <w:r w:rsidR="00C16AC3" w:rsidRPr="00B34C19">
        <w:rPr>
          <w:color w:val="000000"/>
          <w:lang w:val="en-GB"/>
        </w:rPr>
        <w:t xml:space="preserve"> </w:t>
      </w:r>
      <w:r w:rsidR="00ED3C87" w:rsidRPr="00B34C19">
        <w:rPr>
          <w:color w:val="000000"/>
          <w:lang w:val="en-GB"/>
        </w:rPr>
        <w:t xml:space="preserve">prevent a recurrence </w:t>
      </w:r>
      <w:r w:rsidR="00ED3C87" w:rsidRPr="00B34C19">
        <w:rPr>
          <w:color w:val="000000"/>
          <w:lang w:val="en-GB"/>
        </w:rPr>
        <w:lastRenderedPageBreak/>
        <w:t>of a violation of the Covenant</w:t>
      </w:r>
      <w:r w:rsidR="00C16AC3" w:rsidRPr="00B34C19">
        <w:rPr>
          <w:color w:val="000000"/>
          <w:lang w:val="en-GB"/>
        </w:rPr>
        <w:t xml:space="preserve"> [through] changes in the State Party’s laws or practices.’</w:t>
      </w:r>
      <w:r w:rsidR="00C16AC3" w:rsidRPr="00B34C19">
        <w:rPr>
          <w:rStyle w:val="FootnoteReference"/>
          <w:color w:val="000000"/>
          <w:lang w:val="en-GB"/>
        </w:rPr>
        <w:footnoteReference w:id="41"/>
      </w:r>
      <w:r w:rsidR="00AC7171" w:rsidRPr="00B34C19">
        <w:rPr>
          <w:lang w:val="en-GB"/>
        </w:rPr>
        <w:t xml:space="preserve"> </w:t>
      </w:r>
      <w:r w:rsidR="00CC557A" w:rsidRPr="00B34C19">
        <w:rPr>
          <w:color w:val="231F20"/>
          <w:lang w:val="en-GB"/>
        </w:rPr>
        <w:t>The relationship between reparation and prevention is a key feature of the jurisprudence of</w:t>
      </w:r>
      <w:r w:rsidR="00AC7171" w:rsidRPr="00B34C19">
        <w:rPr>
          <w:lang w:val="en-GB"/>
        </w:rPr>
        <w:t xml:space="preserve"> </w:t>
      </w:r>
      <w:r w:rsidR="00CC557A" w:rsidRPr="00B34C19">
        <w:rPr>
          <w:color w:val="231F20"/>
          <w:lang w:val="en-GB"/>
        </w:rPr>
        <w:t>human rights bodies and courts</w:t>
      </w:r>
      <w:r w:rsidR="000B509E" w:rsidRPr="00B34C19">
        <w:rPr>
          <w:color w:val="231F20"/>
          <w:lang w:val="en-GB"/>
        </w:rPr>
        <w:t xml:space="preserve">, most notably the </w:t>
      </w:r>
      <w:r w:rsidR="003D4421" w:rsidRPr="00B34C19">
        <w:rPr>
          <w:color w:val="231F20"/>
          <w:lang w:val="en-GB"/>
        </w:rPr>
        <w:t xml:space="preserve">decisions of the </w:t>
      </w:r>
      <w:r w:rsidR="000B509E" w:rsidRPr="00B34C19">
        <w:rPr>
          <w:color w:val="231F20"/>
          <w:lang w:val="en-GB"/>
        </w:rPr>
        <w:t>Inter-American Court of Human Rights</w:t>
      </w:r>
      <w:r w:rsidR="00AC7171" w:rsidRPr="00B34C19">
        <w:rPr>
          <w:color w:val="231F20"/>
          <w:lang w:val="en-GB"/>
        </w:rPr>
        <w:t xml:space="preserve"> on reparations</w:t>
      </w:r>
      <w:r w:rsidR="003D4421" w:rsidRPr="00B34C19">
        <w:rPr>
          <w:color w:val="231F20"/>
          <w:lang w:val="en-GB"/>
        </w:rPr>
        <w:t xml:space="preserve"> in </w:t>
      </w:r>
      <w:r w:rsidR="00AC7171" w:rsidRPr="00B34C19">
        <w:rPr>
          <w:color w:val="231F20"/>
          <w:lang w:val="en-GB"/>
        </w:rPr>
        <w:t>which t</w:t>
      </w:r>
      <w:r w:rsidR="000B509E" w:rsidRPr="00B34C19">
        <w:rPr>
          <w:lang w:val="en-GB"/>
        </w:rPr>
        <w:t xml:space="preserve">he Court has granted </w:t>
      </w:r>
      <w:r w:rsidR="00B45199" w:rsidRPr="00B34C19">
        <w:rPr>
          <w:lang w:val="en-GB"/>
        </w:rPr>
        <w:t xml:space="preserve">GNRs </w:t>
      </w:r>
      <w:r w:rsidR="00AC7171" w:rsidRPr="00B34C19">
        <w:rPr>
          <w:lang w:val="en-GB"/>
        </w:rPr>
        <w:t>in</w:t>
      </w:r>
      <w:r w:rsidR="000B509E" w:rsidRPr="00B34C19">
        <w:rPr>
          <w:lang w:val="en-GB"/>
        </w:rPr>
        <w:t xml:space="preserve"> both the individual and social dimensions.</w:t>
      </w:r>
      <w:r w:rsidR="00AC7171" w:rsidRPr="00B34C19">
        <w:rPr>
          <w:lang w:val="en-GB"/>
        </w:rPr>
        <w:t xml:space="preserve"> </w:t>
      </w:r>
      <w:r w:rsidR="000B509E" w:rsidRPr="00B34C19">
        <w:rPr>
          <w:lang w:val="en-GB"/>
        </w:rPr>
        <w:t>GNRs like</w:t>
      </w:r>
      <w:r w:rsidR="001F5800" w:rsidRPr="00B34C19">
        <w:rPr>
          <w:lang w:val="en-GB"/>
        </w:rPr>
        <w:t xml:space="preserve"> the creation of DNA databases to help identify disappeared persons</w:t>
      </w:r>
      <w:r w:rsidR="00AC7171" w:rsidRPr="00B34C19">
        <w:rPr>
          <w:rStyle w:val="FootnoteReference"/>
          <w:lang w:val="en-GB"/>
        </w:rPr>
        <w:footnoteReference w:id="42"/>
      </w:r>
      <w:r w:rsidR="001F5800" w:rsidRPr="00B34C19">
        <w:rPr>
          <w:lang w:val="en-GB"/>
        </w:rPr>
        <w:t xml:space="preserve"> and</w:t>
      </w:r>
      <w:r w:rsidR="00AC7171" w:rsidRPr="00B34C19">
        <w:rPr>
          <w:lang w:val="en-GB"/>
        </w:rPr>
        <w:t xml:space="preserve"> maintenance of</w:t>
      </w:r>
      <w:r w:rsidR="001F5800" w:rsidRPr="00B34C19">
        <w:rPr>
          <w:lang w:val="en-GB"/>
        </w:rPr>
        <w:t xml:space="preserve"> proper records about detainees </w:t>
      </w:r>
      <w:r w:rsidR="00AC7171" w:rsidRPr="00B34C19">
        <w:rPr>
          <w:lang w:val="en-GB"/>
        </w:rPr>
        <w:t>h</w:t>
      </w:r>
      <w:r w:rsidR="000B509E" w:rsidRPr="00B34C19">
        <w:rPr>
          <w:lang w:val="en-GB"/>
        </w:rPr>
        <w:t>ave been recommended,</w:t>
      </w:r>
      <w:r w:rsidR="001F5800" w:rsidRPr="00B34C19">
        <w:rPr>
          <w:rStyle w:val="FootnoteReference"/>
          <w:lang w:val="en-GB"/>
        </w:rPr>
        <w:footnoteReference w:id="43"/>
      </w:r>
      <w:r w:rsidR="000B509E" w:rsidRPr="00B34C19">
        <w:rPr>
          <w:lang w:val="en-GB"/>
        </w:rPr>
        <w:t xml:space="preserve"> </w:t>
      </w:r>
      <w:r w:rsidR="001F5800" w:rsidRPr="00B34C19">
        <w:rPr>
          <w:lang w:val="en-GB"/>
        </w:rPr>
        <w:t xml:space="preserve">as </w:t>
      </w:r>
      <w:r w:rsidR="003D4421" w:rsidRPr="00B34C19">
        <w:rPr>
          <w:lang w:val="en-GB"/>
        </w:rPr>
        <w:t>have</w:t>
      </w:r>
      <w:r w:rsidR="000B509E" w:rsidRPr="00B34C19">
        <w:rPr>
          <w:lang w:val="en-GB"/>
        </w:rPr>
        <w:t xml:space="preserve"> legislative measures which </w:t>
      </w:r>
      <w:r w:rsidR="007F64D4" w:rsidRPr="00B34C19">
        <w:rPr>
          <w:lang w:val="en-GB"/>
        </w:rPr>
        <w:t>‘</w:t>
      </w:r>
      <w:r w:rsidR="000B509E" w:rsidRPr="00B34C19">
        <w:rPr>
          <w:lang w:val="en-GB"/>
        </w:rPr>
        <w:t>identify and attempt to remedy a structural wrong that the court has recognized in</w:t>
      </w:r>
      <w:r w:rsidR="001F5800" w:rsidRPr="00B34C19">
        <w:rPr>
          <w:lang w:val="en-GB"/>
        </w:rPr>
        <w:t xml:space="preserve"> </w:t>
      </w:r>
      <w:r w:rsidR="000B509E" w:rsidRPr="00B34C19">
        <w:rPr>
          <w:lang w:val="en-GB"/>
        </w:rPr>
        <w:t>its examination of a case.</w:t>
      </w:r>
      <w:r w:rsidR="007F64D4" w:rsidRPr="00B34C19">
        <w:rPr>
          <w:lang w:val="en-GB"/>
        </w:rPr>
        <w:t>’</w:t>
      </w:r>
      <w:r w:rsidR="000B509E" w:rsidRPr="00B34C19">
        <w:rPr>
          <w:rStyle w:val="FootnoteReference"/>
          <w:lang w:val="en-GB"/>
        </w:rPr>
        <w:footnoteReference w:id="44"/>
      </w:r>
      <w:r w:rsidR="00423185" w:rsidRPr="00B34C19">
        <w:rPr>
          <w:lang w:val="en-GB"/>
        </w:rPr>
        <w:t xml:space="preserve"> </w:t>
      </w:r>
    </w:p>
    <w:p w14:paraId="0B612A09" w14:textId="77777777" w:rsidR="007F64D4" w:rsidRPr="00B34C19" w:rsidRDefault="007F64D4" w:rsidP="00E65CEB">
      <w:pPr>
        <w:autoSpaceDE w:val="0"/>
        <w:autoSpaceDN w:val="0"/>
        <w:adjustRightInd w:val="0"/>
        <w:spacing w:line="480" w:lineRule="auto"/>
        <w:jc w:val="both"/>
        <w:rPr>
          <w:lang w:val="en-GB"/>
        </w:rPr>
      </w:pPr>
    </w:p>
    <w:p w14:paraId="466AC609" w14:textId="668B2B14" w:rsidR="00E82605" w:rsidRPr="00B34C19" w:rsidRDefault="00423185" w:rsidP="00E65CEB">
      <w:pPr>
        <w:autoSpaceDE w:val="0"/>
        <w:autoSpaceDN w:val="0"/>
        <w:adjustRightInd w:val="0"/>
        <w:spacing w:line="480" w:lineRule="auto"/>
        <w:jc w:val="both"/>
        <w:rPr>
          <w:lang w:val="en-GB"/>
        </w:rPr>
      </w:pPr>
      <w:r w:rsidRPr="00B34C19">
        <w:rPr>
          <w:lang w:val="en-GB"/>
        </w:rPr>
        <w:t>The most comprehensive encapsulation</w:t>
      </w:r>
      <w:r w:rsidR="00B45199" w:rsidRPr="00B34C19">
        <w:rPr>
          <w:lang w:val="en-GB"/>
        </w:rPr>
        <w:t>s</w:t>
      </w:r>
      <w:r w:rsidRPr="00B34C19">
        <w:rPr>
          <w:lang w:val="en-GB"/>
        </w:rPr>
        <w:t xml:space="preserve"> o</w:t>
      </w:r>
      <w:r w:rsidR="00B45199" w:rsidRPr="00B34C19">
        <w:rPr>
          <w:lang w:val="en-GB"/>
        </w:rPr>
        <w:t>f</w:t>
      </w:r>
      <w:r w:rsidRPr="00B34C19">
        <w:rPr>
          <w:lang w:val="en-GB"/>
        </w:rPr>
        <w:t xml:space="preserve"> GNRs are found in two sets of UN soft law, </w:t>
      </w:r>
      <w:r w:rsidR="003F2EAC" w:rsidRPr="00B34C19">
        <w:rPr>
          <w:lang w:val="en-GB"/>
        </w:rPr>
        <w:t xml:space="preserve">the </w:t>
      </w:r>
      <w:r w:rsidR="003F2EAC" w:rsidRPr="00B34C19">
        <w:rPr>
          <w:i/>
          <w:iCs/>
          <w:lang w:val="en-GB"/>
        </w:rPr>
        <w:t>Updated Set of Principles to Combat</w:t>
      </w:r>
      <w:r w:rsidR="00672CDE" w:rsidRPr="00B34C19">
        <w:rPr>
          <w:i/>
          <w:iCs/>
          <w:lang w:val="en-GB"/>
        </w:rPr>
        <w:t xml:space="preserve"> </w:t>
      </w:r>
      <w:r w:rsidR="003F2EAC" w:rsidRPr="00B34C19">
        <w:rPr>
          <w:i/>
          <w:iCs/>
          <w:lang w:val="en-GB"/>
        </w:rPr>
        <w:t>Impunity</w:t>
      </w:r>
      <w:r w:rsidR="003F2EAC" w:rsidRPr="00B34C19">
        <w:rPr>
          <w:rStyle w:val="FootnoteReference"/>
          <w:lang w:val="en-GB"/>
        </w:rPr>
        <w:footnoteReference w:id="45"/>
      </w:r>
      <w:r w:rsidR="003F2EAC" w:rsidRPr="00B34C19">
        <w:rPr>
          <w:lang w:val="en-GB"/>
        </w:rPr>
        <w:t xml:space="preserve"> (where the section on GNR had become one of two subsets under the right to reparation</w:t>
      </w:r>
      <w:r w:rsidR="007F64D4" w:rsidRPr="00B34C19">
        <w:rPr>
          <w:lang w:val="en-GB"/>
        </w:rPr>
        <w:t>,</w:t>
      </w:r>
      <w:r w:rsidR="00BF22B6" w:rsidRPr="00B34C19">
        <w:rPr>
          <w:lang w:val="en-GB"/>
        </w:rPr>
        <w:t xml:space="preserve"> and as such emerged as a distinct obligation</w:t>
      </w:r>
      <w:r w:rsidR="003F2EAC" w:rsidRPr="00B34C19">
        <w:rPr>
          <w:lang w:val="en-GB"/>
        </w:rPr>
        <w:t xml:space="preserve">) and </w:t>
      </w:r>
      <w:r w:rsidR="00672CDE" w:rsidRPr="00B34C19">
        <w:rPr>
          <w:color w:val="231F20"/>
          <w:lang w:val="en-GB"/>
        </w:rPr>
        <w:t xml:space="preserve">the </w:t>
      </w:r>
      <w:r w:rsidR="00672CDE" w:rsidRPr="00B34C19">
        <w:rPr>
          <w:i/>
          <w:iCs/>
          <w:color w:val="000000"/>
          <w:lang w:val="en-GB"/>
        </w:rPr>
        <w:t>Basic Principles and Guidelines on the Right to a Remedy and Reparation for Victims of Gross Violations of International Human Rights Law and Serious Violations of International Humanitarian Law</w:t>
      </w:r>
      <w:r w:rsidR="00672CDE" w:rsidRPr="00B34C19">
        <w:rPr>
          <w:color w:val="000000"/>
          <w:lang w:val="en-GB"/>
        </w:rPr>
        <w:t>,</w:t>
      </w:r>
      <w:r w:rsidR="00672CDE" w:rsidRPr="00B34C19">
        <w:rPr>
          <w:rStyle w:val="FootnoteReference"/>
          <w:color w:val="000000"/>
          <w:lang w:val="en-GB"/>
        </w:rPr>
        <w:footnoteReference w:id="46"/>
      </w:r>
      <w:r w:rsidR="00672CDE" w:rsidRPr="00B34C19">
        <w:rPr>
          <w:color w:val="000000"/>
          <w:lang w:val="en-GB"/>
        </w:rPr>
        <w:t xml:space="preserve"> which listed GNRs as the fifth form of reparation after </w:t>
      </w:r>
      <w:r w:rsidR="00672CDE" w:rsidRPr="00B34C19">
        <w:rPr>
          <w:lang w:val="en-GB"/>
        </w:rPr>
        <w:t>restitution, compensation, rehabilitation and satisfaction.</w:t>
      </w:r>
      <w:r w:rsidR="007F64D4" w:rsidRPr="00B34C19">
        <w:rPr>
          <w:lang w:val="en-GB"/>
        </w:rPr>
        <w:t xml:space="preserve"> </w:t>
      </w:r>
      <w:r w:rsidR="00672CDE" w:rsidRPr="00B34C19">
        <w:t>While th</w:t>
      </w:r>
      <w:r w:rsidR="00BF22B6" w:rsidRPr="00B34C19">
        <w:t>ese soft law instruments</w:t>
      </w:r>
      <w:r w:rsidR="00672CDE" w:rsidRPr="00B34C19">
        <w:t xml:space="preserve"> influenced, and were influenced by, concurrent developments in </w:t>
      </w:r>
      <w:r w:rsidR="00B85416" w:rsidRPr="00B34C19">
        <w:t>TJ</w:t>
      </w:r>
      <w:r w:rsidR="00BF22B6" w:rsidRPr="00B34C19">
        <w:t>, th</w:t>
      </w:r>
      <w:r w:rsidR="00B85416" w:rsidRPr="00B34C19">
        <w:t>e</w:t>
      </w:r>
      <w:r w:rsidR="00BF22B6" w:rsidRPr="00B34C19">
        <w:t xml:space="preserve"> field’s </w:t>
      </w:r>
      <w:r w:rsidR="00BF22B6" w:rsidRPr="00B34C19">
        <w:rPr>
          <w:i/>
          <w:iCs/>
        </w:rPr>
        <w:t>nunca mas</w:t>
      </w:r>
      <w:r w:rsidR="00BF22B6" w:rsidRPr="00B34C19">
        <w:t xml:space="preserve"> (‘never again’) ethos </w:t>
      </w:r>
      <w:r w:rsidR="00BF22B6" w:rsidRPr="00B34C19">
        <w:lastRenderedPageBreak/>
        <w:t xml:space="preserve">has always emphasised </w:t>
      </w:r>
      <w:r w:rsidR="00E82605" w:rsidRPr="00B34C19">
        <w:t xml:space="preserve">a forward-looking determination to prevent past abuses from happening again that distinguished between </w:t>
      </w:r>
      <w:r w:rsidR="00E82605" w:rsidRPr="00B34C19">
        <w:rPr>
          <w:lang w:val="en-GB"/>
        </w:rPr>
        <w:t>repair of damage caused in the past from the prevention of their recurrence in the future.</w:t>
      </w:r>
      <w:r w:rsidR="00E82605" w:rsidRPr="00B34C19">
        <w:rPr>
          <w:rStyle w:val="FootnoteReference"/>
          <w:lang w:val="en-GB"/>
        </w:rPr>
        <w:footnoteReference w:id="47"/>
      </w:r>
      <w:r w:rsidR="00173AD6" w:rsidRPr="00B34C19">
        <w:rPr>
          <w:lang w:val="en-GB"/>
        </w:rPr>
        <w:t xml:space="preserve"> This impulse is most apparent in truth commission reports. In states as diverse as</w:t>
      </w:r>
      <w:r w:rsidR="00082880" w:rsidRPr="00B34C19">
        <w:rPr>
          <w:lang w:val="en-GB"/>
        </w:rPr>
        <w:t xml:space="preserve"> Sierra Leone, Peru, Guatemala, Thailand and Kenya t</w:t>
      </w:r>
      <w:r w:rsidR="00173AD6" w:rsidRPr="00B34C19">
        <w:rPr>
          <w:lang w:val="en-GB"/>
        </w:rPr>
        <w:t xml:space="preserve">hese commissions </w:t>
      </w:r>
      <w:r w:rsidR="003D4421" w:rsidRPr="00B34C19">
        <w:rPr>
          <w:lang w:val="en-GB"/>
        </w:rPr>
        <w:t xml:space="preserve">have </w:t>
      </w:r>
      <w:r w:rsidR="00B85416" w:rsidRPr="00B34C19">
        <w:rPr>
          <w:lang w:val="en-GB"/>
        </w:rPr>
        <w:t>attempt</w:t>
      </w:r>
      <w:r w:rsidR="003D4421" w:rsidRPr="00B34C19">
        <w:rPr>
          <w:lang w:val="en-GB"/>
        </w:rPr>
        <w:t>ed</w:t>
      </w:r>
      <w:r w:rsidR="00B85416" w:rsidRPr="00B34C19">
        <w:rPr>
          <w:lang w:val="en-GB"/>
        </w:rPr>
        <w:t xml:space="preserve"> to diagnose </w:t>
      </w:r>
      <w:r w:rsidR="00173AD6" w:rsidRPr="00B34C19">
        <w:rPr>
          <w:lang w:val="en-GB"/>
        </w:rPr>
        <w:t>the underlying</w:t>
      </w:r>
      <w:r w:rsidR="00B85416" w:rsidRPr="00B34C19">
        <w:rPr>
          <w:lang w:val="en-GB"/>
        </w:rPr>
        <w:t>,</w:t>
      </w:r>
      <w:r w:rsidR="00173AD6" w:rsidRPr="00B34C19">
        <w:rPr>
          <w:lang w:val="en-GB"/>
        </w:rPr>
        <w:t xml:space="preserve"> structural causes of </w:t>
      </w:r>
      <w:r w:rsidR="00B85416" w:rsidRPr="00B34C19">
        <w:rPr>
          <w:lang w:val="en-GB"/>
        </w:rPr>
        <w:t xml:space="preserve">recent </w:t>
      </w:r>
      <w:r w:rsidR="00173AD6" w:rsidRPr="00B34C19">
        <w:rPr>
          <w:lang w:val="en-GB"/>
        </w:rPr>
        <w:t>conflict</w:t>
      </w:r>
      <w:r w:rsidR="00B85416" w:rsidRPr="00B34C19">
        <w:rPr>
          <w:lang w:val="en-GB"/>
        </w:rPr>
        <w:t>.</w:t>
      </w:r>
      <w:r w:rsidR="00173AD6" w:rsidRPr="00B34C19">
        <w:rPr>
          <w:lang w:val="en-GB"/>
        </w:rPr>
        <w:t xml:space="preserve">  </w:t>
      </w:r>
      <w:r w:rsidR="00B85416" w:rsidRPr="00B34C19">
        <w:rPr>
          <w:lang w:val="en-GB"/>
        </w:rPr>
        <w:t>They</w:t>
      </w:r>
      <w:r w:rsidR="00173AD6" w:rsidRPr="00B34C19">
        <w:rPr>
          <w:lang w:val="en-GB"/>
        </w:rPr>
        <w:t xml:space="preserve"> </w:t>
      </w:r>
      <w:r w:rsidR="00173AD6" w:rsidRPr="00B34C19">
        <w:t xml:space="preserve">have been known to make hundreds of </w:t>
      </w:r>
      <w:r w:rsidR="00173AD6" w:rsidRPr="00B34C19">
        <w:rPr>
          <w:lang w:val="en-GB"/>
        </w:rPr>
        <w:t xml:space="preserve">recommendations </w:t>
      </w:r>
      <w:r w:rsidR="00145DAE" w:rsidRPr="00B34C19">
        <w:t>in their</w:t>
      </w:r>
      <w:r w:rsidR="00173AD6" w:rsidRPr="00B34C19">
        <w:t xml:space="preserve"> final report</w:t>
      </w:r>
      <w:r w:rsidR="00145DAE" w:rsidRPr="00B34C19">
        <w:t>s</w:t>
      </w:r>
      <w:r w:rsidR="00173AD6" w:rsidRPr="00B34C19">
        <w:t xml:space="preserve"> ‘</w:t>
      </w:r>
      <w:r w:rsidR="00173AD6" w:rsidRPr="00B34C19">
        <w:rPr>
          <w:lang w:val="en-GB"/>
        </w:rPr>
        <w:t>regarding institutional, administrative, legislative and constitutional measures to reform the police, the army, intelligence services, the criminal justice system, the judiciary and public bodies, the exploitation of natural resources and more generally governance.’</w:t>
      </w:r>
      <w:r w:rsidR="00173AD6" w:rsidRPr="00B34C19">
        <w:rPr>
          <w:rStyle w:val="FootnoteReference"/>
        </w:rPr>
        <w:footnoteReference w:id="48"/>
      </w:r>
    </w:p>
    <w:p w14:paraId="10266F1D" w14:textId="2D8172B8" w:rsidR="00D75A75" w:rsidRPr="00B34C19" w:rsidRDefault="00D75A75" w:rsidP="00E65CEB">
      <w:pPr>
        <w:autoSpaceDE w:val="0"/>
        <w:autoSpaceDN w:val="0"/>
        <w:adjustRightInd w:val="0"/>
        <w:spacing w:line="480" w:lineRule="auto"/>
        <w:jc w:val="both"/>
        <w:rPr>
          <w:lang w:val="en-GB"/>
        </w:rPr>
      </w:pPr>
    </w:p>
    <w:p w14:paraId="5A1AC5BF" w14:textId="4D4A5731" w:rsidR="00D75A75" w:rsidRPr="00B34C19" w:rsidRDefault="00D75A75" w:rsidP="00E65CEB">
      <w:pPr>
        <w:autoSpaceDE w:val="0"/>
        <w:autoSpaceDN w:val="0"/>
        <w:adjustRightInd w:val="0"/>
        <w:spacing w:line="480" w:lineRule="auto"/>
        <w:jc w:val="both"/>
        <w:rPr>
          <w:lang w:val="en-GB"/>
        </w:rPr>
      </w:pPr>
    </w:p>
    <w:p w14:paraId="37FFDB2D" w14:textId="1837D8FD" w:rsidR="00D75A75" w:rsidRPr="00B34C19" w:rsidRDefault="0012594B" w:rsidP="00E65CEB">
      <w:pPr>
        <w:autoSpaceDE w:val="0"/>
        <w:autoSpaceDN w:val="0"/>
        <w:adjustRightInd w:val="0"/>
        <w:spacing w:line="480" w:lineRule="auto"/>
        <w:jc w:val="both"/>
        <w:rPr>
          <w:b/>
          <w:bCs/>
          <w:i/>
          <w:iCs/>
          <w:lang w:val="en-GB"/>
        </w:rPr>
      </w:pPr>
      <w:r w:rsidRPr="00EE19A1">
        <w:rPr>
          <w:b/>
          <w:bCs/>
          <w:lang w:val="en-GB"/>
        </w:rPr>
        <w:t>2.1</w:t>
      </w:r>
      <w:r w:rsidR="00D75A75" w:rsidRPr="00EE19A1">
        <w:rPr>
          <w:b/>
          <w:bCs/>
          <w:lang w:val="en-GB"/>
        </w:rPr>
        <w:t>.</w:t>
      </w:r>
      <w:r w:rsidR="00D75A75" w:rsidRPr="00B34C19">
        <w:rPr>
          <w:b/>
          <w:bCs/>
          <w:i/>
          <w:iCs/>
          <w:lang w:val="en-GB"/>
        </w:rPr>
        <w:t xml:space="preserve"> The </w:t>
      </w:r>
      <w:r w:rsidR="00AF120D" w:rsidRPr="00B34C19">
        <w:rPr>
          <w:b/>
          <w:bCs/>
          <w:i/>
          <w:iCs/>
          <w:lang w:val="en-GB"/>
        </w:rPr>
        <w:t xml:space="preserve">Formalist </w:t>
      </w:r>
      <w:r w:rsidR="00D75A75" w:rsidRPr="00B34C19">
        <w:rPr>
          <w:b/>
          <w:bCs/>
          <w:i/>
          <w:iCs/>
          <w:lang w:val="en-GB"/>
        </w:rPr>
        <w:t>Scope of GNRs</w:t>
      </w:r>
    </w:p>
    <w:p w14:paraId="06C22880" w14:textId="4CF579D3" w:rsidR="00672CDE" w:rsidRPr="00B34C19" w:rsidRDefault="00672CDE" w:rsidP="00E65CEB">
      <w:pPr>
        <w:autoSpaceDE w:val="0"/>
        <w:autoSpaceDN w:val="0"/>
        <w:adjustRightInd w:val="0"/>
        <w:spacing w:line="480" w:lineRule="auto"/>
        <w:jc w:val="both"/>
      </w:pPr>
    </w:p>
    <w:p w14:paraId="3874AF98" w14:textId="6A7001A4" w:rsidR="00207410" w:rsidRPr="00B34C19" w:rsidRDefault="00814804" w:rsidP="00E65CEB">
      <w:pPr>
        <w:autoSpaceDE w:val="0"/>
        <w:autoSpaceDN w:val="0"/>
        <w:adjustRightInd w:val="0"/>
        <w:spacing w:line="480" w:lineRule="auto"/>
        <w:jc w:val="both"/>
        <w:rPr>
          <w:color w:val="000000"/>
          <w:lang w:val="en-GB"/>
        </w:rPr>
      </w:pPr>
      <w:r w:rsidRPr="00B34C19">
        <w:t xml:space="preserve">While no two </w:t>
      </w:r>
      <w:r w:rsidR="003D4421" w:rsidRPr="00B34C19">
        <w:t>post-conflict ecologies</w:t>
      </w:r>
      <w:r w:rsidRPr="00B34C19">
        <w:t xml:space="preserve"> are the same, the influence of these legal developments have meant that GNRs </w:t>
      </w:r>
      <w:r w:rsidR="003D4421" w:rsidRPr="00B34C19">
        <w:t xml:space="preserve">as a form of transitional justice </w:t>
      </w:r>
      <w:r w:rsidRPr="00B34C19">
        <w:t xml:space="preserve">tend to be dominated by an admixture of three </w:t>
      </w:r>
      <w:r w:rsidRPr="00B34C19">
        <w:rPr>
          <w:lang w:val="en-GB"/>
        </w:rPr>
        <w:t xml:space="preserve">overlapping approaches, namely security sector reforms, </w:t>
      </w:r>
      <w:r w:rsidR="00783236" w:rsidRPr="00B34C19">
        <w:rPr>
          <w:lang w:val="en-GB"/>
        </w:rPr>
        <w:t>bureaucratic reorganisation</w:t>
      </w:r>
      <w:r w:rsidRPr="00B34C19">
        <w:rPr>
          <w:lang w:val="en-GB"/>
        </w:rPr>
        <w:t xml:space="preserve"> and vetting</w:t>
      </w:r>
      <w:r w:rsidR="00605177" w:rsidRPr="00B34C19">
        <w:rPr>
          <w:lang w:val="en-GB"/>
        </w:rPr>
        <w:t>, to prevent future abuses</w:t>
      </w:r>
      <w:r w:rsidRPr="00B34C19">
        <w:rPr>
          <w:lang w:val="en-GB"/>
        </w:rPr>
        <w:t>.</w:t>
      </w:r>
      <w:r w:rsidR="00605177" w:rsidRPr="00B34C19">
        <w:rPr>
          <w:lang w:val="en-GB"/>
        </w:rPr>
        <w:t xml:space="preserve"> These foci make clear that GNRs are not maximalist, whole-of-state approaches to </w:t>
      </w:r>
      <w:r w:rsidR="005575DD" w:rsidRPr="00B34C19">
        <w:rPr>
          <w:lang w:val="en-GB"/>
        </w:rPr>
        <w:t>establish conditions of good governance or human rights</w:t>
      </w:r>
      <w:r w:rsidR="00783236" w:rsidRPr="00B34C19">
        <w:rPr>
          <w:lang w:val="en-GB"/>
        </w:rPr>
        <w:t>. Instead,</w:t>
      </w:r>
      <w:r w:rsidR="00442958" w:rsidRPr="00B34C19">
        <w:rPr>
          <w:lang w:val="en-GB"/>
        </w:rPr>
        <w:t xml:space="preserve"> they are rooted in a response to </w:t>
      </w:r>
      <w:r w:rsidR="003D4421" w:rsidRPr="00B34C19">
        <w:rPr>
          <w:lang w:val="en-GB"/>
        </w:rPr>
        <w:t xml:space="preserve">specific </w:t>
      </w:r>
      <w:r w:rsidR="00442958" w:rsidRPr="00B34C19">
        <w:rPr>
          <w:lang w:val="en-GB"/>
        </w:rPr>
        <w:t>prior insecurit</w:t>
      </w:r>
      <w:r w:rsidR="003D4421" w:rsidRPr="00B34C19">
        <w:rPr>
          <w:lang w:val="en-GB"/>
        </w:rPr>
        <w:t>ies</w:t>
      </w:r>
      <w:r w:rsidR="007B017A" w:rsidRPr="00B34C19">
        <w:rPr>
          <w:lang w:val="en-GB"/>
        </w:rPr>
        <w:t xml:space="preserve"> and are ‘fixated on sectors most closely related to violence,</w:t>
      </w:r>
      <w:r w:rsidR="007B017A" w:rsidRPr="00B34C19">
        <w:rPr>
          <w:rStyle w:val="FootnoteReference"/>
          <w:lang w:val="en-GB"/>
        </w:rPr>
        <w:footnoteReference w:id="49"/>
      </w:r>
      <w:r w:rsidR="007B017A" w:rsidRPr="00B34C19">
        <w:rPr>
          <w:lang w:val="en-GB"/>
        </w:rPr>
        <w:t xml:space="preserve"> such as military or security forces’ or the nexus of state security, </w:t>
      </w:r>
      <w:r w:rsidR="007B017A" w:rsidRPr="00B34C19">
        <w:rPr>
          <w:lang w:val="en-GB"/>
        </w:rPr>
        <w:lastRenderedPageBreak/>
        <w:t>governance and rule of law</w:t>
      </w:r>
      <w:r w:rsidR="00957AE4" w:rsidRPr="00B34C19">
        <w:rPr>
          <w:lang w:val="en-GB"/>
        </w:rPr>
        <w:t xml:space="preserve"> most responsible for restraining them.</w:t>
      </w:r>
      <w:r w:rsidR="00957AE4" w:rsidRPr="00B34C19">
        <w:rPr>
          <w:rStyle w:val="FootnoteReference"/>
          <w:lang w:val="en-GB"/>
        </w:rPr>
        <w:footnoteReference w:id="50"/>
      </w:r>
      <w:r w:rsidR="00957AE4" w:rsidRPr="00B34C19">
        <w:rPr>
          <w:lang w:val="en-GB"/>
        </w:rPr>
        <w:t xml:space="preserve"> </w:t>
      </w:r>
      <w:r w:rsidR="005575DD" w:rsidRPr="00B34C19">
        <w:rPr>
          <w:lang w:val="en-GB"/>
        </w:rPr>
        <w:t>While GNRs as they evolved from state accountability principles and the case-law of human rights courts</w:t>
      </w:r>
      <w:r w:rsidR="00783236" w:rsidRPr="00B34C19">
        <w:rPr>
          <w:lang w:val="en-GB"/>
        </w:rPr>
        <w:t>/institutions</w:t>
      </w:r>
      <w:r w:rsidR="005575DD" w:rsidRPr="00B34C19">
        <w:rPr>
          <w:lang w:val="en-GB"/>
        </w:rPr>
        <w:t xml:space="preserve"> emphasised responses to individual acts</w:t>
      </w:r>
      <w:r w:rsidR="00CB1508" w:rsidRPr="00B34C19">
        <w:rPr>
          <w:lang w:val="en-GB"/>
        </w:rPr>
        <w:t xml:space="preserve"> (</w:t>
      </w:r>
      <w:r w:rsidR="00783236" w:rsidRPr="00B34C19">
        <w:rPr>
          <w:lang w:val="en-GB"/>
        </w:rPr>
        <w:t>e.g.</w:t>
      </w:r>
      <w:r w:rsidR="00F17BB4" w:rsidRPr="00B34C19">
        <w:rPr>
          <w:lang w:val="en-GB"/>
        </w:rPr>
        <w:t xml:space="preserve"> ripping down walls in police stations to reduce ill-treatment in Georgia</w:t>
      </w:r>
      <w:r w:rsidR="00CB1508" w:rsidRPr="00B34C19">
        <w:rPr>
          <w:lang w:val="en-GB"/>
        </w:rPr>
        <w:t>)</w:t>
      </w:r>
      <w:r w:rsidR="005575DD" w:rsidRPr="00B34C19">
        <w:rPr>
          <w:lang w:val="en-GB"/>
        </w:rPr>
        <w:t>,</w:t>
      </w:r>
      <w:r w:rsidR="00F17BB4" w:rsidRPr="00B34C19">
        <w:rPr>
          <w:rStyle w:val="FootnoteReference"/>
          <w:lang w:val="en-GB"/>
        </w:rPr>
        <w:footnoteReference w:id="51"/>
      </w:r>
      <w:r w:rsidR="005575DD" w:rsidRPr="00B34C19">
        <w:rPr>
          <w:lang w:val="en-GB"/>
        </w:rPr>
        <w:t xml:space="preserve"> in the context of transitional justice</w:t>
      </w:r>
      <w:r w:rsidR="00CB1508" w:rsidRPr="00B34C19">
        <w:rPr>
          <w:lang w:val="en-GB"/>
        </w:rPr>
        <w:t>, GNRs for</w:t>
      </w:r>
      <w:r w:rsidR="005575DD" w:rsidRPr="00B34C19">
        <w:rPr>
          <w:lang w:val="en-GB"/>
        </w:rPr>
        <w:t xml:space="preserve"> </w:t>
      </w:r>
      <w:r w:rsidR="00CB1508" w:rsidRPr="00B34C19">
        <w:rPr>
          <w:lang w:val="en-GB"/>
        </w:rPr>
        <w:t xml:space="preserve">specific abuses </w:t>
      </w:r>
      <w:r w:rsidR="005575DD" w:rsidRPr="00B34C19">
        <w:rPr>
          <w:lang w:val="en-GB"/>
        </w:rPr>
        <w:t xml:space="preserve">are inseparable from </w:t>
      </w:r>
      <w:r w:rsidR="00CB1508" w:rsidRPr="00B34C19">
        <w:rPr>
          <w:lang w:val="en-GB"/>
        </w:rPr>
        <w:t xml:space="preserve">a somewhat broader response to </w:t>
      </w:r>
      <w:r w:rsidR="005575DD" w:rsidRPr="00B34C19">
        <w:rPr>
          <w:lang w:val="en-GB"/>
        </w:rPr>
        <w:t>background circumstances of civil conflict</w:t>
      </w:r>
      <w:r w:rsidR="00CB1508" w:rsidRPr="00B34C19">
        <w:rPr>
          <w:lang w:val="en-GB"/>
        </w:rPr>
        <w:t>, systemic crime</w:t>
      </w:r>
      <w:r w:rsidR="005575DD" w:rsidRPr="00B34C19">
        <w:rPr>
          <w:lang w:val="en-GB"/>
        </w:rPr>
        <w:t xml:space="preserve"> </w:t>
      </w:r>
      <w:r w:rsidR="00CB1508" w:rsidRPr="00B34C19">
        <w:rPr>
          <w:lang w:val="en-GB"/>
        </w:rPr>
        <w:t>and/</w:t>
      </w:r>
      <w:r w:rsidR="005575DD" w:rsidRPr="00B34C19">
        <w:rPr>
          <w:lang w:val="en-GB"/>
        </w:rPr>
        <w:t>or authoritarian oppression.</w:t>
      </w:r>
      <w:r w:rsidR="00207410" w:rsidRPr="00B34C19">
        <w:rPr>
          <w:color w:val="000000"/>
          <w:lang w:val="en-GB"/>
        </w:rPr>
        <w:t xml:space="preserve"> </w:t>
      </w:r>
      <w:r w:rsidR="0039099E" w:rsidRPr="00B34C19">
        <w:rPr>
          <w:color w:val="000000"/>
          <w:lang w:val="en-GB"/>
        </w:rPr>
        <w:t xml:space="preserve">While </w:t>
      </w:r>
      <w:r w:rsidR="003D4421" w:rsidRPr="00B34C19">
        <w:rPr>
          <w:color w:val="000000"/>
          <w:lang w:val="en-GB"/>
        </w:rPr>
        <w:t>GNRs</w:t>
      </w:r>
      <w:r w:rsidR="0039099E" w:rsidRPr="00B34C19">
        <w:rPr>
          <w:color w:val="000000"/>
          <w:lang w:val="en-GB"/>
        </w:rPr>
        <w:t xml:space="preserve"> are possible in relation to individual issues like gender-based violence</w:t>
      </w:r>
      <w:r w:rsidR="0039099E" w:rsidRPr="00B34C19">
        <w:rPr>
          <w:rStyle w:val="FootnoteReference"/>
          <w:color w:val="000000"/>
          <w:lang w:val="en-GB"/>
        </w:rPr>
        <w:footnoteReference w:id="52"/>
      </w:r>
      <w:r w:rsidR="0039099E" w:rsidRPr="00B34C19">
        <w:rPr>
          <w:color w:val="000000"/>
          <w:lang w:val="en-GB"/>
        </w:rPr>
        <w:t xml:space="preserve"> or corporate land rights abuses,</w:t>
      </w:r>
      <w:r w:rsidR="0039099E" w:rsidRPr="00B34C19">
        <w:rPr>
          <w:rStyle w:val="FootnoteReference"/>
          <w:color w:val="000000"/>
          <w:lang w:val="en-GB"/>
        </w:rPr>
        <w:footnoteReference w:id="53"/>
      </w:r>
      <w:r w:rsidR="0039099E" w:rsidRPr="00B34C19">
        <w:rPr>
          <w:color w:val="000000"/>
          <w:lang w:val="en-GB"/>
        </w:rPr>
        <w:t xml:space="preserve"> </w:t>
      </w:r>
      <w:r w:rsidR="00207410" w:rsidRPr="00B34C19">
        <w:rPr>
          <w:color w:val="000000"/>
          <w:lang w:val="en-GB"/>
        </w:rPr>
        <w:t>‘</w:t>
      </w:r>
      <w:r w:rsidR="0039099E" w:rsidRPr="00B34C19">
        <w:rPr>
          <w:color w:val="000000"/>
          <w:lang w:val="en-GB"/>
        </w:rPr>
        <w:t>s</w:t>
      </w:r>
      <w:r w:rsidR="00207410" w:rsidRPr="00B34C19">
        <w:rPr>
          <w:color w:val="000000"/>
          <w:lang w:val="en-GB"/>
        </w:rPr>
        <w:t xml:space="preserve">ystem’ crimes like genocide, crimes against humanity and war requires both </w:t>
      </w:r>
      <w:r w:rsidR="00E33158" w:rsidRPr="00B34C19">
        <w:rPr>
          <w:color w:val="000000"/>
          <w:lang w:val="en-GB"/>
        </w:rPr>
        <w:t xml:space="preserve">collective </w:t>
      </w:r>
      <w:r w:rsidR="00207410" w:rsidRPr="00B34C19">
        <w:rPr>
          <w:color w:val="000000"/>
          <w:lang w:val="en-GB"/>
        </w:rPr>
        <w:t>political will and a degree of organi</w:t>
      </w:r>
      <w:r w:rsidR="00E33158" w:rsidRPr="00B34C19">
        <w:rPr>
          <w:color w:val="000000"/>
          <w:lang w:val="en-GB"/>
        </w:rPr>
        <w:t>s</w:t>
      </w:r>
      <w:r w:rsidR="00207410" w:rsidRPr="00B34C19">
        <w:rPr>
          <w:color w:val="000000"/>
          <w:lang w:val="en-GB"/>
        </w:rPr>
        <w:t xml:space="preserve">ation across planners and executants, and </w:t>
      </w:r>
      <w:r w:rsidR="00E33158" w:rsidRPr="00B34C19">
        <w:rPr>
          <w:color w:val="000000"/>
          <w:lang w:val="en-GB"/>
        </w:rPr>
        <w:t xml:space="preserve">therefore </w:t>
      </w:r>
      <w:r w:rsidR="00207410" w:rsidRPr="00B34C19">
        <w:rPr>
          <w:color w:val="000000"/>
          <w:lang w:val="en-GB"/>
        </w:rPr>
        <w:t>demand systemic reform.</w:t>
      </w:r>
      <w:r w:rsidR="00E33158" w:rsidRPr="00B34C19">
        <w:rPr>
          <w:rStyle w:val="FootnoteReference"/>
          <w:color w:val="000000"/>
          <w:lang w:val="en-GB"/>
        </w:rPr>
        <w:footnoteReference w:id="54"/>
      </w:r>
      <w:r w:rsidR="00061805" w:rsidRPr="00B34C19">
        <w:rPr>
          <w:color w:val="000000"/>
          <w:lang w:val="en-GB"/>
        </w:rPr>
        <w:t xml:space="preserve"> </w:t>
      </w:r>
      <w:r w:rsidR="0052538C" w:rsidRPr="00B34C19">
        <w:rPr>
          <w:color w:val="000000"/>
          <w:lang w:val="en-GB"/>
        </w:rPr>
        <w:t xml:space="preserve"> The Special Rapporteur for TJ accepts that GNRs are not meant to address ‘isolated violations’, but should focus on systemic abuses perpetuated by state bodies or institutions.</w:t>
      </w:r>
      <w:r w:rsidR="0052538C" w:rsidRPr="00B34C19">
        <w:rPr>
          <w:rStyle w:val="FootnoteReference"/>
          <w:color w:val="000000"/>
          <w:lang w:val="en-GB"/>
        </w:rPr>
        <w:footnoteReference w:id="55"/>
      </w:r>
      <w:r w:rsidR="000E48C8" w:rsidRPr="00B34C19">
        <w:rPr>
          <w:color w:val="000000"/>
          <w:lang w:val="en-GB"/>
        </w:rPr>
        <w:t xml:space="preserve"> </w:t>
      </w:r>
      <w:r w:rsidR="004D3186" w:rsidRPr="00B34C19">
        <w:rPr>
          <w:color w:val="000000"/>
          <w:lang w:val="en-GB"/>
        </w:rPr>
        <w:t xml:space="preserve">On this view, the purpose of GNRs </w:t>
      </w:r>
      <w:r w:rsidR="00D64536" w:rsidRPr="00B34C19">
        <w:rPr>
          <w:color w:val="000000"/>
          <w:lang w:val="en-GB"/>
        </w:rPr>
        <w:t xml:space="preserve">could stretch as far as </w:t>
      </w:r>
      <w:r w:rsidR="00783236" w:rsidRPr="00B34C19">
        <w:rPr>
          <w:color w:val="000000"/>
          <w:lang w:val="en-GB"/>
        </w:rPr>
        <w:t>helping to</w:t>
      </w:r>
      <w:r w:rsidR="00FD1BE1" w:rsidRPr="00B34C19">
        <w:rPr>
          <w:color w:val="000000"/>
          <w:lang w:val="en-GB"/>
        </w:rPr>
        <w:t xml:space="preserve"> </w:t>
      </w:r>
      <w:r w:rsidR="004D3186" w:rsidRPr="00B34C19">
        <w:rPr>
          <w:color w:val="000000"/>
          <w:lang w:val="en-GB"/>
        </w:rPr>
        <w:t>prevent an entire conflict or regime from recurring.</w:t>
      </w:r>
      <w:r w:rsidR="004D3186" w:rsidRPr="00B34C19">
        <w:rPr>
          <w:rStyle w:val="FootnoteReference"/>
          <w:color w:val="000000"/>
          <w:lang w:val="en-GB"/>
        </w:rPr>
        <w:footnoteReference w:id="56"/>
      </w:r>
    </w:p>
    <w:p w14:paraId="2044C258" w14:textId="77777777" w:rsidR="00207410" w:rsidRPr="00B34C19" w:rsidRDefault="00207410" w:rsidP="00E65CEB">
      <w:pPr>
        <w:autoSpaceDE w:val="0"/>
        <w:autoSpaceDN w:val="0"/>
        <w:adjustRightInd w:val="0"/>
        <w:spacing w:line="480" w:lineRule="auto"/>
        <w:jc w:val="both"/>
        <w:rPr>
          <w:lang w:val="en-GB"/>
        </w:rPr>
      </w:pPr>
    </w:p>
    <w:p w14:paraId="4685B8DD" w14:textId="07868233" w:rsidR="00FA7C36" w:rsidRPr="00B34C19" w:rsidRDefault="000C5CE6" w:rsidP="00E65CEB">
      <w:pPr>
        <w:autoSpaceDE w:val="0"/>
        <w:autoSpaceDN w:val="0"/>
        <w:adjustRightInd w:val="0"/>
        <w:spacing w:line="480" w:lineRule="auto"/>
        <w:jc w:val="both"/>
        <w:rPr>
          <w:color w:val="000000"/>
          <w:lang w:val="en-GB"/>
        </w:rPr>
      </w:pPr>
      <w:r w:rsidRPr="00B34C19">
        <w:lastRenderedPageBreak/>
        <w:t xml:space="preserve">Because militaries prosecute the war effort (and as such are the most likely source of human rights obligations) and because under </w:t>
      </w:r>
      <w:r w:rsidRPr="00B34C19">
        <w:rPr>
          <w:color w:val="000000"/>
          <w:lang w:val="en-GB"/>
        </w:rPr>
        <w:t xml:space="preserve">authoritarian rule the security </w:t>
      </w:r>
      <w:r w:rsidR="004D3186" w:rsidRPr="00B34C19">
        <w:rPr>
          <w:color w:val="000000"/>
          <w:lang w:val="en-GB"/>
        </w:rPr>
        <w:t xml:space="preserve">services </w:t>
      </w:r>
      <w:r w:rsidRPr="00B34C19">
        <w:rPr>
          <w:color w:val="000000"/>
          <w:lang w:val="en-GB"/>
        </w:rPr>
        <w:t xml:space="preserve">assume a lynchpin role in regime survival by combating political opponents, </w:t>
      </w:r>
      <w:r w:rsidRPr="00B34C19">
        <w:t>GNRs have often resembled the broader and more highly developed field of policy and practice that is security sector reform (SSR).</w:t>
      </w:r>
      <w:r w:rsidR="0003257B" w:rsidRPr="00B34C19">
        <w:t xml:space="preserve"> GNRs extract from this broad SSR menu those aspects most pertinent to prevent</w:t>
      </w:r>
      <w:r w:rsidR="00263B5A" w:rsidRPr="00B34C19">
        <w:t>ing</w:t>
      </w:r>
      <w:r w:rsidR="0003257B" w:rsidRPr="00B34C19">
        <w:t xml:space="preserve"> recurrence of a </w:t>
      </w:r>
      <w:r w:rsidR="00263B5A" w:rsidRPr="00B34C19">
        <w:t>specific</w:t>
      </w:r>
      <w:r w:rsidR="0003257B" w:rsidRPr="00B34C19">
        <w:t xml:space="preserve"> abuse or abuses</w:t>
      </w:r>
      <w:r w:rsidR="00FD1BE1" w:rsidRPr="00B34C19">
        <w:t xml:space="preserve"> and connect them to identified instances of victimhood</w:t>
      </w:r>
      <w:r w:rsidR="0003257B" w:rsidRPr="00B34C19">
        <w:t xml:space="preserve">. The Special Rapporteur’s report on GNRs, for example, specified </w:t>
      </w:r>
      <w:r w:rsidR="0003257B" w:rsidRPr="00B34C19">
        <w:rPr>
          <w:lang w:val="en-GB"/>
        </w:rPr>
        <w:t xml:space="preserve">establishing civilian control over security forces, (re)defining and/or clarifying the role of the military and the police, narrowing the jurisdiction of military justice, streamlining the security forces </w:t>
      </w:r>
      <w:r w:rsidR="008D0ED7" w:rsidRPr="00B34C19">
        <w:rPr>
          <w:lang w:val="en-GB"/>
        </w:rPr>
        <w:t xml:space="preserve">and </w:t>
      </w:r>
      <w:r w:rsidR="0003257B" w:rsidRPr="00B34C19">
        <w:rPr>
          <w:lang w:val="en-GB"/>
        </w:rPr>
        <w:t>eliminating military prerogatives.</w:t>
      </w:r>
      <w:r w:rsidR="0003257B" w:rsidRPr="00B34C19">
        <w:rPr>
          <w:rStyle w:val="FootnoteReference"/>
          <w:lang w:val="en-GB"/>
        </w:rPr>
        <w:footnoteReference w:id="57"/>
      </w:r>
      <w:r w:rsidR="00F17BB4" w:rsidRPr="00B34C19">
        <w:rPr>
          <w:lang w:val="en-GB"/>
        </w:rPr>
        <w:t xml:space="preserve"> Human rights training, establishing and enforcing a codes of conduct and ethnic balancing have also served as GNRs vis-à-vis the military, police and intelligence services.</w:t>
      </w:r>
      <w:r w:rsidR="00F17BB4" w:rsidRPr="00B34C19">
        <w:rPr>
          <w:rStyle w:val="FootnoteReference"/>
          <w:lang w:val="en-GB"/>
        </w:rPr>
        <w:footnoteReference w:id="58"/>
      </w:r>
      <w:r w:rsidR="00E33158" w:rsidRPr="00B34C19">
        <w:rPr>
          <w:lang w:val="en-GB"/>
        </w:rPr>
        <w:t xml:space="preserve"> </w:t>
      </w:r>
      <w:r w:rsidR="004935A4" w:rsidRPr="00B34C19">
        <w:rPr>
          <w:lang w:val="en-GB"/>
        </w:rPr>
        <w:t>Textbook examples include</w:t>
      </w:r>
      <w:r w:rsidR="00E33158" w:rsidRPr="00B34C19">
        <w:rPr>
          <w:lang w:val="en-GB"/>
        </w:rPr>
        <w:t xml:space="preserve"> the </w:t>
      </w:r>
      <w:r w:rsidR="00E33158" w:rsidRPr="00B34C19">
        <w:rPr>
          <w:color w:val="000000"/>
          <w:lang w:val="en-GB"/>
        </w:rPr>
        <w:t xml:space="preserve">Guatemalan </w:t>
      </w:r>
      <w:r w:rsidR="00E33158" w:rsidRPr="00B34C19">
        <w:rPr>
          <w:i/>
          <w:iCs/>
          <w:color w:val="000000"/>
        </w:rPr>
        <w:t>Commission for Historical Clarification</w:t>
      </w:r>
      <w:r w:rsidR="00783236" w:rsidRPr="00B34C19">
        <w:rPr>
          <w:color w:val="000000"/>
        </w:rPr>
        <w:t xml:space="preserve"> when it</w:t>
      </w:r>
      <w:r w:rsidR="00E33158" w:rsidRPr="00B34C19">
        <w:rPr>
          <w:i/>
          <w:iCs/>
          <w:color w:val="000000"/>
        </w:rPr>
        <w:t xml:space="preserve"> </w:t>
      </w:r>
      <w:r w:rsidR="00FA7C36" w:rsidRPr="00B34C19">
        <w:rPr>
          <w:color w:val="000000"/>
          <w:lang w:val="en-GB"/>
        </w:rPr>
        <w:t>recommended</w:t>
      </w:r>
      <w:r w:rsidR="00E33158" w:rsidRPr="00B34C19">
        <w:rPr>
          <w:color w:val="000000"/>
          <w:lang w:val="en-GB"/>
        </w:rPr>
        <w:t xml:space="preserve"> defined structures</w:t>
      </w:r>
      <w:r w:rsidR="00783236" w:rsidRPr="00B34C19">
        <w:rPr>
          <w:color w:val="000000"/>
          <w:lang w:val="en-GB"/>
        </w:rPr>
        <w:t xml:space="preserve"> </w:t>
      </w:r>
      <w:r w:rsidR="00E33158" w:rsidRPr="00B34C19">
        <w:rPr>
          <w:color w:val="000000"/>
          <w:lang w:val="en-GB"/>
        </w:rPr>
        <w:t xml:space="preserve">and limits </w:t>
      </w:r>
      <w:r w:rsidR="00783236" w:rsidRPr="00B34C19">
        <w:rPr>
          <w:color w:val="000000"/>
          <w:lang w:val="en-GB"/>
        </w:rPr>
        <w:t>for</w:t>
      </w:r>
      <w:r w:rsidR="00E33158" w:rsidRPr="00B34C19">
        <w:rPr>
          <w:color w:val="000000"/>
          <w:lang w:val="en-GB"/>
        </w:rPr>
        <w:t xml:space="preserve"> civil and military intelligence</w:t>
      </w:r>
      <w:r w:rsidR="00783236" w:rsidRPr="00B34C19">
        <w:rPr>
          <w:color w:val="000000"/>
          <w:lang w:val="en-GB"/>
        </w:rPr>
        <w:t xml:space="preserve"> agencies</w:t>
      </w:r>
      <w:r w:rsidR="00E33158" w:rsidRPr="00B34C19">
        <w:rPr>
          <w:color w:val="000000"/>
          <w:lang w:val="en-GB"/>
        </w:rPr>
        <w:t xml:space="preserve">, </w:t>
      </w:r>
      <w:r w:rsidR="00783236" w:rsidRPr="00B34C19">
        <w:rPr>
          <w:color w:val="000000"/>
          <w:lang w:val="en-GB"/>
        </w:rPr>
        <w:t xml:space="preserve">particularly </w:t>
      </w:r>
      <w:r w:rsidR="00E33158" w:rsidRPr="00B34C19">
        <w:rPr>
          <w:color w:val="000000"/>
          <w:lang w:val="en-GB"/>
        </w:rPr>
        <w:t>restricting the latter to exclusively military affairs</w:t>
      </w:r>
      <w:r w:rsidR="00783236" w:rsidRPr="00B34C19">
        <w:rPr>
          <w:color w:val="000000"/>
          <w:lang w:val="en-GB"/>
        </w:rPr>
        <w:t>.</w:t>
      </w:r>
      <w:r w:rsidR="00E33158" w:rsidRPr="00B34C19">
        <w:rPr>
          <w:rStyle w:val="FootnoteReference"/>
          <w:color w:val="000000"/>
          <w:lang w:val="en-GB"/>
        </w:rPr>
        <w:footnoteReference w:id="59"/>
      </w:r>
      <w:r w:rsidR="00FA7C36" w:rsidRPr="00B34C19">
        <w:rPr>
          <w:color w:val="000000"/>
          <w:lang w:val="en-GB"/>
        </w:rPr>
        <w:t xml:space="preserve"> </w:t>
      </w:r>
      <w:r w:rsidR="00783236" w:rsidRPr="00B34C19">
        <w:rPr>
          <w:color w:val="000000"/>
          <w:lang w:val="en-GB"/>
        </w:rPr>
        <w:t>Another would be</w:t>
      </w:r>
      <w:r w:rsidR="00FA7C36" w:rsidRPr="00B34C19">
        <w:rPr>
          <w:color w:val="000000"/>
          <w:lang w:val="en-GB"/>
        </w:rPr>
        <w:t xml:space="preserve"> Peru’s adoption of a law (initially recommended by its truth commission) obliging members of the military to disobey orders that contradict  human rights standards.</w:t>
      </w:r>
      <w:r w:rsidR="00FA7C36" w:rsidRPr="00B34C19">
        <w:rPr>
          <w:rStyle w:val="FootnoteReference"/>
          <w:color w:val="000000"/>
          <w:lang w:val="en-GB"/>
        </w:rPr>
        <w:footnoteReference w:id="60"/>
      </w:r>
    </w:p>
    <w:p w14:paraId="02F1EA10" w14:textId="15AD0A82" w:rsidR="004951B8" w:rsidRPr="00B34C19" w:rsidRDefault="004951B8" w:rsidP="00E65CEB">
      <w:pPr>
        <w:autoSpaceDE w:val="0"/>
        <w:autoSpaceDN w:val="0"/>
        <w:adjustRightInd w:val="0"/>
        <w:spacing w:line="480" w:lineRule="auto"/>
        <w:jc w:val="both"/>
        <w:rPr>
          <w:color w:val="000000"/>
          <w:lang w:val="en-GB"/>
        </w:rPr>
      </w:pPr>
    </w:p>
    <w:p w14:paraId="5F757AB0" w14:textId="70F3596D" w:rsidR="00D50B95" w:rsidRPr="00B34C19" w:rsidRDefault="004951B8" w:rsidP="00E65CEB">
      <w:pPr>
        <w:autoSpaceDE w:val="0"/>
        <w:autoSpaceDN w:val="0"/>
        <w:adjustRightInd w:val="0"/>
        <w:spacing w:line="480" w:lineRule="auto"/>
        <w:jc w:val="both"/>
      </w:pPr>
      <w:r w:rsidRPr="00B34C19">
        <w:rPr>
          <w:color w:val="000000"/>
          <w:lang w:val="en-GB"/>
        </w:rPr>
        <w:t xml:space="preserve">While security sector reforms are the most imperative forms of GNR in the aftermath </w:t>
      </w:r>
      <w:r w:rsidR="00EB1D8B" w:rsidRPr="00B34C19">
        <w:rPr>
          <w:color w:val="000000"/>
          <w:lang w:val="en-GB"/>
        </w:rPr>
        <w:t>o</w:t>
      </w:r>
      <w:r w:rsidRPr="00B34C19">
        <w:rPr>
          <w:color w:val="000000"/>
          <w:lang w:val="en-GB"/>
        </w:rPr>
        <w:t xml:space="preserve">f conflict, the potential of vetting or lustration programmes (defined herein as ‘a formal process for the identification and removal of individuals responsible for abuses, especially from police, </w:t>
      </w:r>
      <w:r w:rsidRPr="00B34C19">
        <w:rPr>
          <w:color w:val="000000"/>
          <w:lang w:val="en-GB"/>
        </w:rPr>
        <w:lastRenderedPageBreak/>
        <w:t>prison services, the army and the judiciary’</w:t>
      </w:r>
      <w:r w:rsidR="00EB1D8B" w:rsidRPr="00B34C19">
        <w:rPr>
          <w:color w:val="000000"/>
          <w:lang w:val="en-GB"/>
        </w:rPr>
        <w:t>)</w:t>
      </w:r>
      <w:r w:rsidRPr="00B34C19">
        <w:rPr>
          <w:rStyle w:val="FootnoteReference"/>
          <w:color w:val="000000"/>
          <w:lang w:val="en-GB"/>
        </w:rPr>
        <w:footnoteReference w:id="61"/>
      </w:r>
      <w:r w:rsidRPr="00B34C19">
        <w:rPr>
          <w:color w:val="000000"/>
          <w:lang w:val="en-GB"/>
        </w:rPr>
        <w:t xml:space="preserve"> ha</w:t>
      </w:r>
      <w:r w:rsidR="00FF3F2C" w:rsidRPr="00B34C19">
        <w:rPr>
          <w:color w:val="000000"/>
          <w:lang w:val="en-GB"/>
        </w:rPr>
        <w:t>s</w:t>
      </w:r>
      <w:r w:rsidRPr="00B34C19">
        <w:rPr>
          <w:color w:val="000000"/>
          <w:lang w:val="en-GB"/>
        </w:rPr>
        <w:t xml:space="preserve"> </w:t>
      </w:r>
      <w:r w:rsidR="00C46574" w:rsidRPr="00B34C19">
        <w:rPr>
          <w:color w:val="000000"/>
          <w:lang w:val="en-GB"/>
        </w:rPr>
        <w:t>tended to play first fiddle in discussions</w:t>
      </w:r>
      <w:r w:rsidR="00FF3F2C" w:rsidRPr="00B34C19">
        <w:rPr>
          <w:color w:val="000000"/>
          <w:lang w:val="en-GB"/>
        </w:rPr>
        <w:t xml:space="preserve"> about GNRs. Vetting made up half of the initial </w:t>
      </w:r>
      <w:r w:rsidR="00FF3F2C" w:rsidRPr="00B34C19">
        <w:rPr>
          <w:lang w:val="en-GB"/>
        </w:rPr>
        <w:t xml:space="preserve">1997 version of the aforementioned </w:t>
      </w:r>
      <w:r w:rsidR="00FF3F2C" w:rsidRPr="00B34C19">
        <w:rPr>
          <w:color w:val="000000"/>
          <w:lang w:val="en-GB"/>
        </w:rPr>
        <w:t xml:space="preserve"> </w:t>
      </w:r>
      <w:r w:rsidR="00FF3F2C" w:rsidRPr="00B34C19">
        <w:rPr>
          <w:i/>
          <w:iCs/>
          <w:lang w:val="en-GB"/>
        </w:rPr>
        <w:t>Principles to Combat Impunity</w:t>
      </w:r>
      <w:r w:rsidR="00FF3F2C" w:rsidRPr="00B34C19">
        <w:rPr>
          <w:lang w:val="en-GB"/>
        </w:rPr>
        <w:t xml:space="preserve"> and dominated the discussion of GNR in the UN Secretary-General’s seminal 2004 </w:t>
      </w:r>
      <w:r w:rsidR="00C46574" w:rsidRPr="00B34C19">
        <w:rPr>
          <w:i/>
          <w:iCs/>
          <w:lang w:val="en-GB"/>
        </w:rPr>
        <w:t>R</w:t>
      </w:r>
      <w:r w:rsidR="00FF3F2C" w:rsidRPr="00B34C19">
        <w:rPr>
          <w:i/>
          <w:iCs/>
          <w:lang w:val="en-GB"/>
        </w:rPr>
        <w:t xml:space="preserve">eport on the rule of law and transitional justice in conflict and postconflict </w:t>
      </w:r>
      <w:r w:rsidR="00C46574" w:rsidRPr="00B34C19">
        <w:rPr>
          <w:i/>
          <w:iCs/>
          <w:lang w:val="en-GB"/>
        </w:rPr>
        <w:t>s</w:t>
      </w:r>
      <w:r w:rsidR="00FF3F2C" w:rsidRPr="00B34C19">
        <w:rPr>
          <w:i/>
          <w:iCs/>
          <w:lang w:val="en-GB"/>
        </w:rPr>
        <w:t>ocieties</w:t>
      </w:r>
      <w:r w:rsidR="00FF3F2C" w:rsidRPr="00B34C19">
        <w:rPr>
          <w:lang w:val="en-GB"/>
        </w:rPr>
        <w:t>.</w:t>
      </w:r>
      <w:r w:rsidR="00FF3F2C" w:rsidRPr="00B34C19">
        <w:rPr>
          <w:rStyle w:val="FootnoteReference"/>
          <w:lang w:val="en-GB"/>
        </w:rPr>
        <w:footnoteReference w:id="62"/>
      </w:r>
      <w:r w:rsidR="00FF3F2C" w:rsidRPr="00B34C19">
        <w:rPr>
          <w:lang w:val="en-GB"/>
        </w:rPr>
        <w:t xml:space="preserve"> In essence, vetting requires </w:t>
      </w:r>
      <w:r w:rsidR="00B03268" w:rsidRPr="00B34C19">
        <w:rPr>
          <w:lang w:val="en-GB"/>
        </w:rPr>
        <w:t xml:space="preserve">an assessment of an individual’s </w:t>
      </w:r>
      <w:r w:rsidR="00FF3F2C" w:rsidRPr="00B34C19">
        <w:rPr>
          <w:color w:val="000000"/>
          <w:lang w:val="en-GB"/>
        </w:rPr>
        <w:t>adherence</w:t>
      </w:r>
      <w:r w:rsidR="00B03268" w:rsidRPr="00B34C19">
        <w:rPr>
          <w:lang w:val="en-GB"/>
        </w:rPr>
        <w:t xml:space="preserve"> </w:t>
      </w:r>
      <w:r w:rsidR="00FF3F2C" w:rsidRPr="00B34C19">
        <w:rPr>
          <w:color w:val="000000"/>
          <w:lang w:val="en-GB"/>
        </w:rPr>
        <w:t>to relevant standards of human rights and professional conduct to determine suitability for</w:t>
      </w:r>
      <w:r w:rsidR="00B03268" w:rsidRPr="00B34C19">
        <w:rPr>
          <w:lang w:val="en-GB"/>
        </w:rPr>
        <w:t xml:space="preserve"> </w:t>
      </w:r>
      <w:r w:rsidR="00C31CFD" w:rsidRPr="00B34C19">
        <w:rPr>
          <w:lang w:val="en-GB"/>
        </w:rPr>
        <w:t xml:space="preserve">continued </w:t>
      </w:r>
      <w:r w:rsidR="00FF3F2C" w:rsidRPr="00B34C19">
        <w:rPr>
          <w:color w:val="000000"/>
          <w:lang w:val="en-GB"/>
        </w:rPr>
        <w:t xml:space="preserve">public employment. </w:t>
      </w:r>
      <w:r w:rsidR="00B03268" w:rsidRPr="00B34C19">
        <w:rPr>
          <w:color w:val="000000"/>
          <w:lang w:val="en-GB"/>
        </w:rPr>
        <w:t xml:space="preserve"> Premised on the theory </w:t>
      </w:r>
      <w:r w:rsidR="00B03268" w:rsidRPr="00B34C19">
        <w:rPr>
          <w:lang w:val="en-GB"/>
        </w:rPr>
        <w:t xml:space="preserve">that bad </w:t>
      </w:r>
      <w:r w:rsidR="002D2051" w:rsidRPr="00B34C19">
        <w:rPr>
          <w:lang w:val="en-GB"/>
        </w:rPr>
        <w:t>institutional apples could</w:t>
      </w:r>
      <w:r w:rsidR="00B03268" w:rsidRPr="00B34C19">
        <w:rPr>
          <w:lang w:val="en-GB"/>
        </w:rPr>
        <w:t xml:space="preserve"> </w:t>
      </w:r>
      <w:r w:rsidR="00C46574" w:rsidRPr="00B34C19">
        <w:rPr>
          <w:lang w:val="en-GB"/>
        </w:rPr>
        <w:t>perpetuat</w:t>
      </w:r>
      <w:r w:rsidR="00B03268" w:rsidRPr="00B34C19">
        <w:rPr>
          <w:lang w:val="en-GB"/>
        </w:rPr>
        <w:t>e</w:t>
      </w:r>
      <w:r w:rsidR="002D2051" w:rsidRPr="00B34C19">
        <w:rPr>
          <w:color w:val="000000"/>
          <w:lang w:val="en-GB"/>
        </w:rPr>
        <w:t xml:space="preserve"> </w:t>
      </w:r>
      <w:r w:rsidR="00B03268" w:rsidRPr="00B34C19">
        <w:rPr>
          <w:lang w:val="en-GB"/>
        </w:rPr>
        <w:t xml:space="preserve">old patterns of </w:t>
      </w:r>
      <w:r w:rsidR="002D2051" w:rsidRPr="00B34C19">
        <w:rPr>
          <w:lang w:val="en-GB"/>
        </w:rPr>
        <w:t>abusive behaviour</w:t>
      </w:r>
      <w:r w:rsidR="00B03268" w:rsidRPr="00B34C19">
        <w:rPr>
          <w:lang w:val="en-GB"/>
        </w:rPr>
        <w:t xml:space="preserve"> even in </w:t>
      </w:r>
      <w:r w:rsidR="002D2051" w:rsidRPr="00B34C19">
        <w:rPr>
          <w:lang w:val="en-GB"/>
        </w:rPr>
        <w:t xml:space="preserve">reformed bodies </w:t>
      </w:r>
      <w:r w:rsidR="00B03268" w:rsidRPr="00B34C19">
        <w:rPr>
          <w:lang w:val="en-GB"/>
        </w:rPr>
        <w:t xml:space="preserve">and therefore </w:t>
      </w:r>
      <w:r w:rsidR="002D2051" w:rsidRPr="00B34C19">
        <w:rPr>
          <w:lang w:val="en-GB"/>
        </w:rPr>
        <w:t>jeopardise</w:t>
      </w:r>
      <w:r w:rsidR="002D2051" w:rsidRPr="00B34C19">
        <w:rPr>
          <w:color w:val="000000"/>
          <w:lang w:val="en-GB"/>
        </w:rPr>
        <w:t xml:space="preserve"> </w:t>
      </w:r>
      <w:r w:rsidR="002D2051" w:rsidRPr="00B34C19">
        <w:rPr>
          <w:lang w:val="en-GB"/>
        </w:rPr>
        <w:t>the wider transition, v</w:t>
      </w:r>
      <w:r w:rsidR="00B03268" w:rsidRPr="00B34C19">
        <w:rPr>
          <w:lang w:val="en-GB"/>
        </w:rPr>
        <w:t xml:space="preserve">etting </w:t>
      </w:r>
      <w:r w:rsidR="002D2051" w:rsidRPr="00B34C19">
        <w:rPr>
          <w:lang w:val="en-GB"/>
        </w:rPr>
        <w:t>has most commonly concentrated on the</w:t>
      </w:r>
      <w:r w:rsidR="00B03268" w:rsidRPr="00B34C19">
        <w:rPr>
          <w:lang w:val="en-GB"/>
        </w:rPr>
        <w:t xml:space="preserve"> militar</w:t>
      </w:r>
      <w:r w:rsidR="002D2051" w:rsidRPr="00B34C19">
        <w:rPr>
          <w:lang w:val="en-GB"/>
        </w:rPr>
        <w:t>y/</w:t>
      </w:r>
      <w:r w:rsidR="00B03268" w:rsidRPr="00B34C19">
        <w:rPr>
          <w:lang w:val="en-GB"/>
        </w:rPr>
        <w:t xml:space="preserve">security </w:t>
      </w:r>
      <w:r w:rsidR="002D2051" w:rsidRPr="00B34C19">
        <w:rPr>
          <w:lang w:val="en-GB"/>
        </w:rPr>
        <w:t xml:space="preserve">sectors and </w:t>
      </w:r>
      <w:r w:rsidR="00B03268" w:rsidRPr="00B34C19">
        <w:rPr>
          <w:lang w:val="en-GB"/>
        </w:rPr>
        <w:t>judiciary</w:t>
      </w:r>
      <w:r w:rsidR="008734EB" w:rsidRPr="00B34C19">
        <w:rPr>
          <w:lang w:val="en-GB"/>
        </w:rPr>
        <w:t>, though it can be extended to other entities like the civil service</w:t>
      </w:r>
      <w:r w:rsidR="00B03268" w:rsidRPr="00B34C19">
        <w:rPr>
          <w:lang w:val="en-GB"/>
        </w:rPr>
        <w:t xml:space="preserve">. </w:t>
      </w:r>
      <w:r w:rsidR="000F4504" w:rsidRPr="00B34C19">
        <w:rPr>
          <w:lang w:val="en-GB"/>
        </w:rPr>
        <w:t xml:space="preserve">Vetting laws </w:t>
      </w:r>
      <w:r w:rsidR="006A6948" w:rsidRPr="00B34C19">
        <w:rPr>
          <w:lang w:val="en-GB"/>
        </w:rPr>
        <w:t xml:space="preserve">in countries like the former Czechoslovakia, Chile, Poland and Iraq </w:t>
      </w:r>
      <w:r w:rsidR="000F4504" w:rsidRPr="00B34C19">
        <w:rPr>
          <w:lang w:val="en-GB"/>
        </w:rPr>
        <w:t>permit</w:t>
      </w:r>
      <w:r w:rsidR="006A6948" w:rsidRPr="00B34C19">
        <w:rPr>
          <w:lang w:val="en-GB"/>
        </w:rPr>
        <w:t>ted</w:t>
      </w:r>
      <w:r w:rsidR="000F4504" w:rsidRPr="00B34C19">
        <w:rPr>
          <w:lang w:val="en-GB"/>
        </w:rPr>
        <w:t xml:space="preserve"> the post-conflict or post-authoritarian state to </w:t>
      </w:r>
      <w:r w:rsidR="00F41140" w:rsidRPr="00B34C19">
        <w:rPr>
          <w:lang w:val="en-GB"/>
        </w:rPr>
        <w:t>impose</w:t>
      </w:r>
      <w:r w:rsidR="000F4504" w:rsidRPr="00B34C19">
        <w:rPr>
          <w:lang w:val="en-GB"/>
        </w:rPr>
        <w:t xml:space="preserve"> certain conditions for holding particular positions </w:t>
      </w:r>
      <w:r w:rsidR="00F41140" w:rsidRPr="00B34C19">
        <w:rPr>
          <w:lang w:val="en-GB"/>
        </w:rPr>
        <w:t xml:space="preserve">and </w:t>
      </w:r>
      <w:r w:rsidR="000F4504" w:rsidRPr="00B34C19">
        <w:rPr>
          <w:lang w:val="en-GB"/>
        </w:rPr>
        <w:t>for dismissing public servants who do not meet the conditions stipulated.</w:t>
      </w:r>
      <w:r w:rsidR="006A6948" w:rsidRPr="00B34C19">
        <w:rPr>
          <w:rStyle w:val="FootnoteReference"/>
          <w:lang w:val="en-GB"/>
        </w:rPr>
        <w:footnoteReference w:id="63"/>
      </w:r>
      <w:r w:rsidR="000F4504" w:rsidRPr="00B34C19">
        <w:rPr>
          <w:lang w:val="en-GB"/>
        </w:rPr>
        <w:t xml:space="preserve"> </w:t>
      </w:r>
      <w:r w:rsidR="006E3E28" w:rsidRPr="00B34C19">
        <w:rPr>
          <w:lang w:val="en-GB"/>
        </w:rPr>
        <w:t xml:space="preserve">For example, judicial screening occurred in </w:t>
      </w:r>
      <w:r w:rsidR="006A578F" w:rsidRPr="00B34C19">
        <w:rPr>
          <w:lang w:val="en-GB"/>
        </w:rPr>
        <w:t>Bosnia</w:t>
      </w:r>
      <w:r w:rsidR="006E3E28" w:rsidRPr="00B34C19">
        <w:rPr>
          <w:lang w:val="en-GB"/>
        </w:rPr>
        <w:t xml:space="preserve"> to remove judges complicit in past abuses.</w:t>
      </w:r>
      <w:r w:rsidR="006E3E28" w:rsidRPr="00B34C19">
        <w:rPr>
          <w:rStyle w:val="FootnoteReference"/>
          <w:lang w:val="en-GB"/>
        </w:rPr>
        <w:footnoteReference w:id="64"/>
      </w:r>
      <w:r w:rsidR="006E3E28" w:rsidRPr="00B34C19">
        <w:rPr>
          <w:lang w:val="en-GB"/>
        </w:rPr>
        <w:t xml:space="preserve"> </w:t>
      </w:r>
      <w:r w:rsidR="00B03268" w:rsidRPr="00B34C19">
        <w:rPr>
          <w:lang w:val="en-GB"/>
        </w:rPr>
        <w:t>El Salvador</w:t>
      </w:r>
      <w:r w:rsidR="002D2051" w:rsidRPr="00B34C19">
        <w:rPr>
          <w:lang w:val="en-GB"/>
        </w:rPr>
        <w:t>’s</w:t>
      </w:r>
      <w:r w:rsidR="00B03268" w:rsidRPr="00B34C19">
        <w:rPr>
          <w:lang w:val="en-GB"/>
        </w:rPr>
        <w:t xml:space="preserve"> peace accords </w:t>
      </w:r>
      <w:r w:rsidR="002D2051" w:rsidRPr="00B34C19">
        <w:rPr>
          <w:lang w:val="en-GB"/>
        </w:rPr>
        <w:t>established an ad hoc commission</w:t>
      </w:r>
      <w:r w:rsidR="00B03268" w:rsidRPr="00B34C19">
        <w:rPr>
          <w:lang w:val="en-GB"/>
        </w:rPr>
        <w:t xml:space="preserve"> that recommended the dismissal of </w:t>
      </w:r>
      <w:r w:rsidR="000566AB" w:rsidRPr="00B34C19">
        <w:rPr>
          <w:lang w:val="en-GB"/>
        </w:rPr>
        <w:t>most of the army’s high command as a threat to the new order</w:t>
      </w:r>
      <w:r w:rsidR="00B03268" w:rsidRPr="00B34C19">
        <w:rPr>
          <w:lang w:val="en-GB"/>
        </w:rPr>
        <w:t>.</w:t>
      </w:r>
      <w:r w:rsidR="002D2051" w:rsidRPr="00B34C19">
        <w:rPr>
          <w:rStyle w:val="FootnoteReference"/>
          <w:lang w:val="en-GB"/>
        </w:rPr>
        <w:footnoteReference w:id="65"/>
      </w:r>
      <w:r w:rsidR="000F4504" w:rsidRPr="00B34C19">
        <w:rPr>
          <w:lang w:val="en-GB"/>
        </w:rPr>
        <w:t xml:space="preserve"> The </w:t>
      </w:r>
      <w:r w:rsidR="007A1B84" w:rsidRPr="00B34C19">
        <w:rPr>
          <w:lang w:val="en-GB"/>
        </w:rPr>
        <w:t xml:space="preserve">original </w:t>
      </w:r>
      <w:r w:rsidR="000F4504" w:rsidRPr="00B34C19">
        <w:rPr>
          <w:lang w:val="en-GB"/>
        </w:rPr>
        <w:t xml:space="preserve">1997 </w:t>
      </w:r>
      <w:r w:rsidR="000F4504" w:rsidRPr="00B34C19">
        <w:rPr>
          <w:i/>
          <w:iCs/>
          <w:lang w:val="en-GB"/>
        </w:rPr>
        <w:t xml:space="preserve">Principles to Combat </w:t>
      </w:r>
      <w:r w:rsidR="000F4504" w:rsidRPr="00B34C19">
        <w:rPr>
          <w:i/>
          <w:iCs/>
          <w:lang w:val="en-GB"/>
        </w:rPr>
        <w:lastRenderedPageBreak/>
        <w:t>Impunity</w:t>
      </w:r>
      <w:r w:rsidR="000F4504" w:rsidRPr="00B34C19">
        <w:rPr>
          <w:lang w:val="en-GB"/>
        </w:rPr>
        <w:t xml:space="preserve"> emphasised that administrative measures of this ilk should be of a preventive, </w:t>
      </w:r>
      <w:r w:rsidR="00824278" w:rsidRPr="00B34C19">
        <w:rPr>
          <w:lang w:val="en-GB"/>
        </w:rPr>
        <w:t>as opposed to</w:t>
      </w:r>
      <w:r w:rsidR="000F4504" w:rsidRPr="00B34C19">
        <w:rPr>
          <w:lang w:val="en-GB"/>
        </w:rPr>
        <w:t xml:space="preserve"> punitive</w:t>
      </w:r>
      <w:r w:rsidR="00824278" w:rsidRPr="00B34C19">
        <w:rPr>
          <w:lang w:val="en-GB"/>
        </w:rPr>
        <w:t>,</w:t>
      </w:r>
      <w:r w:rsidR="000F4504" w:rsidRPr="00B34C19">
        <w:rPr>
          <w:lang w:val="en-GB"/>
        </w:rPr>
        <w:t xml:space="preserve"> character</w:t>
      </w:r>
      <w:r w:rsidR="00D50B95" w:rsidRPr="00B34C19">
        <w:rPr>
          <w:lang w:val="en-GB"/>
        </w:rPr>
        <w:t>,</w:t>
      </w:r>
      <w:r w:rsidR="000F4504" w:rsidRPr="00B34C19">
        <w:rPr>
          <w:rStyle w:val="FootnoteReference"/>
          <w:lang w:val="en-GB"/>
        </w:rPr>
        <w:footnoteReference w:id="66"/>
      </w:r>
      <w:r w:rsidR="00D50B95" w:rsidRPr="00B34C19">
        <w:rPr>
          <w:lang w:val="en-GB"/>
        </w:rPr>
        <w:t xml:space="preserve"> </w:t>
      </w:r>
      <w:r w:rsidR="00824278" w:rsidRPr="00B34C19">
        <w:rPr>
          <w:lang w:val="en-GB"/>
        </w:rPr>
        <w:t xml:space="preserve">as well as </w:t>
      </w:r>
      <w:r w:rsidR="00D50B95" w:rsidRPr="00B34C19">
        <w:rPr>
          <w:lang w:val="en-GB"/>
        </w:rPr>
        <w:t xml:space="preserve">individualised and evidence-based so as to distinguish them from purges based on mere membership of a body or organisation. </w:t>
      </w:r>
      <w:r w:rsidR="008734EB" w:rsidRPr="00B34C19">
        <w:rPr>
          <w:lang w:val="en-GB"/>
        </w:rPr>
        <w:t xml:space="preserve">Best practice may import </w:t>
      </w:r>
      <w:r w:rsidR="008734EB" w:rsidRPr="00B34C19">
        <w:t>‘targeted vetting,’ an approach stipulating tightly defined categories of officials, ranks or sectors of an institution</w:t>
      </w:r>
      <w:r w:rsidR="00C31CFD" w:rsidRPr="00B34C19">
        <w:t>. It is</w:t>
      </w:r>
      <w:r w:rsidR="008734EB" w:rsidRPr="00B34C19">
        <w:t xml:space="preserve"> aimed at isolating and removing spoiler</w:t>
      </w:r>
      <w:r w:rsidR="00824278" w:rsidRPr="00B34C19">
        <w:t>s or</w:t>
      </w:r>
      <w:r w:rsidR="008734EB" w:rsidRPr="00B34C19">
        <w:t xml:space="preserve"> protection networks most likely to </w:t>
      </w:r>
      <w:r w:rsidR="00D77D3D" w:rsidRPr="00B34C19">
        <w:t xml:space="preserve">sabotage peace or </w:t>
      </w:r>
      <w:r w:rsidR="008734EB" w:rsidRPr="00B34C19">
        <w:t>catalyse recurrence of abuses.</w:t>
      </w:r>
      <w:r w:rsidR="008734EB" w:rsidRPr="00B34C19">
        <w:rPr>
          <w:rStyle w:val="FootnoteReference"/>
        </w:rPr>
        <w:footnoteReference w:id="67"/>
      </w:r>
    </w:p>
    <w:p w14:paraId="01B8C5BE" w14:textId="2886B269" w:rsidR="00D50B95" w:rsidRPr="00B34C19" w:rsidRDefault="00D50B95" w:rsidP="00E65CEB">
      <w:pPr>
        <w:autoSpaceDE w:val="0"/>
        <w:autoSpaceDN w:val="0"/>
        <w:adjustRightInd w:val="0"/>
        <w:spacing w:line="480" w:lineRule="auto"/>
        <w:jc w:val="both"/>
        <w:rPr>
          <w:lang w:val="en-GB"/>
        </w:rPr>
      </w:pPr>
    </w:p>
    <w:p w14:paraId="1A4A5198" w14:textId="47FA6257" w:rsidR="006B0406" w:rsidRPr="00B34C19" w:rsidRDefault="006A6948" w:rsidP="00E65CEB">
      <w:pPr>
        <w:autoSpaceDE w:val="0"/>
        <w:autoSpaceDN w:val="0"/>
        <w:adjustRightInd w:val="0"/>
        <w:spacing w:line="480" w:lineRule="auto"/>
        <w:jc w:val="both"/>
        <w:rPr>
          <w:lang w:val="en-GB"/>
        </w:rPr>
      </w:pPr>
      <w:r w:rsidRPr="00B34C19">
        <w:rPr>
          <w:lang w:val="en-GB"/>
        </w:rPr>
        <w:t xml:space="preserve">Of course, </w:t>
      </w:r>
      <w:r w:rsidRPr="00B34C19">
        <w:rPr>
          <w:color w:val="000000"/>
          <w:lang w:val="en-GB"/>
        </w:rPr>
        <w:t xml:space="preserve">merely denying access to </w:t>
      </w:r>
      <w:r w:rsidR="00B900EB" w:rsidRPr="00B34C19">
        <w:rPr>
          <w:color w:val="000000"/>
          <w:lang w:val="en-GB"/>
        </w:rPr>
        <w:t>official positions or removing bad actors are</w:t>
      </w:r>
      <w:r w:rsidRPr="00B34C19">
        <w:rPr>
          <w:color w:val="000000"/>
          <w:lang w:val="en-GB"/>
        </w:rPr>
        <w:t xml:space="preserve"> insufficient to turn complicit </w:t>
      </w:r>
      <w:r w:rsidR="00B900EB" w:rsidRPr="00B34C19">
        <w:rPr>
          <w:color w:val="000000"/>
          <w:lang w:val="en-GB"/>
        </w:rPr>
        <w:t xml:space="preserve">sectors of the state into </w:t>
      </w:r>
      <w:r w:rsidRPr="00B34C19">
        <w:rPr>
          <w:color w:val="000000"/>
          <w:lang w:val="en-GB"/>
        </w:rPr>
        <w:t xml:space="preserve">reliable guarantors of rights. </w:t>
      </w:r>
      <w:r w:rsidR="00B900EB" w:rsidRPr="00B34C19">
        <w:rPr>
          <w:color w:val="000000"/>
          <w:lang w:val="en-GB"/>
        </w:rPr>
        <w:t xml:space="preserve">More positive, forward-looking </w:t>
      </w:r>
      <w:r w:rsidRPr="00B34C19">
        <w:rPr>
          <w:color w:val="000000"/>
          <w:lang w:val="en-GB"/>
        </w:rPr>
        <w:t>structural changes are necessary</w:t>
      </w:r>
      <w:r w:rsidR="00B900EB" w:rsidRPr="00B34C19">
        <w:rPr>
          <w:color w:val="000000"/>
          <w:lang w:val="en-GB"/>
        </w:rPr>
        <w:t xml:space="preserve"> to ensure</w:t>
      </w:r>
      <w:r w:rsidR="006D29C7" w:rsidRPr="00B34C19">
        <w:rPr>
          <w:color w:val="000000"/>
          <w:lang w:val="en-GB"/>
        </w:rPr>
        <w:t xml:space="preserve"> that</w:t>
      </w:r>
      <w:r w:rsidR="00B900EB" w:rsidRPr="00B34C19">
        <w:rPr>
          <w:color w:val="000000"/>
          <w:lang w:val="en-GB"/>
        </w:rPr>
        <w:t xml:space="preserve"> </w:t>
      </w:r>
      <w:r w:rsidR="006A578F" w:rsidRPr="00B34C19">
        <w:rPr>
          <w:color w:val="000000"/>
          <w:lang w:val="en-GB"/>
        </w:rPr>
        <w:t>institutional safeguards against past abuse patterns</w:t>
      </w:r>
      <w:r w:rsidR="00B900EB" w:rsidRPr="00B34C19">
        <w:rPr>
          <w:color w:val="000000"/>
          <w:lang w:val="en-GB"/>
        </w:rPr>
        <w:t xml:space="preserve"> </w:t>
      </w:r>
      <w:r w:rsidR="006A578F" w:rsidRPr="00B34C19">
        <w:rPr>
          <w:color w:val="000000"/>
          <w:lang w:val="en-GB"/>
        </w:rPr>
        <w:t>are</w:t>
      </w:r>
      <w:r w:rsidR="00B900EB" w:rsidRPr="00B34C19">
        <w:rPr>
          <w:color w:val="000000"/>
          <w:lang w:val="en-GB"/>
        </w:rPr>
        <w:t xml:space="preserve"> not purely dependent on the virtue of particular individuals. Wide-ranging and merit-based recruitment, security of tenure</w:t>
      </w:r>
      <w:r w:rsidR="00824278" w:rsidRPr="00B34C19">
        <w:rPr>
          <w:color w:val="000000"/>
          <w:lang w:val="en-GB"/>
        </w:rPr>
        <w:t>,</w:t>
      </w:r>
      <w:r w:rsidR="00B900EB" w:rsidRPr="00B34C19">
        <w:rPr>
          <w:color w:val="000000"/>
          <w:lang w:val="en-GB"/>
        </w:rPr>
        <w:t xml:space="preserve"> adequate remuneration conditions and transparent disciplinary processes are among the measures proposed to strengthen judicial independence.</w:t>
      </w:r>
      <w:r w:rsidR="00B900EB" w:rsidRPr="00B34C19">
        <w:rPr>
          <w:rStyle w:val="FootnoteReference"/>
          <w:color w:val="000000"/>
          <w:lang w:val="en-GB"/>
        </w:rPr>
        <w:footnoteReference w:id="68"/>
      </w:r>
      <w:r w:rsidR="00B900EB" w:rsidRPr="00B34C19">
        <w:rPr>
          <w:color w:val="000000"/>
          <w:lang w:val="en-GB"/>
        </w:rPr>
        <w:t xml:space="preserve"> These have analogues in the security services.</w:t>
      </w:r>
      <w:r w:rsidR="00F32F9F" w:rsidRPr="00B34C19">
        <w:rPr>
          <w:color w:val="000000"/>
          <w:lang w:val="en-GB"/>
        </w:rPr>
        <w:t xml:space="preserve"> </w:t>
      </w:r>
      <w:r w:rsidR="003B61B8" w:rsidRPr="00B34C19">
        <w:rPr>
          <w:color w:val="000000"/>
          <w:lang w:val="en-GB"/>
        </w:rPr>
        <w:t xml:space="preserve">Vetting in this sense is </w:t>
      </w:r>
      <w:r w:rsidR="00C31CFD" w:rsidRPr="00B34C19">
        <w:rPr>
          <w:color w:val="000000"/>
          <w:lang w:val="en-GB"/>
        </w:rPr>
        <w:t>merely</w:t>
      </w:r>
      <w:r w:rsidR="003B61B8" w:rsidRPr="00B34C19">
        <w:rPr>
          <w:color w:val="000000"/>
          <w:lang w:val="en-GB"/>
        </w:rPr>
        <w:t xml:space="preserve"> a subset of broader institutional reforms with a longer-term</w:t>
      </w:r>
      <w:r w:rsidR="006B0406" w:rsidRPr="00B34C19">
        <w:rPr>
          <w:color w:val="000000"/>
          <w:lang w:val="en-GB"/>
        </w:rPr>
        <w:t>, often incremental,</w:t>
      </w:r>
      <w:r w:rsidR="003B61B8" w:rsidRPr="00B34C19">
        <w:rPr>
          <w:color w:val="000000"/>
          <w:lang w:val="en-GB"/>
        </w:rPr>
        <w:t xml:space="preserve"> impact</w:t>
      </w:r>
      <w:r w:rsidR="006B0406" w:rsidRPr="00B34C19">
        <w:rPr>
          <w:color w:val="000000"/>
          <w:lang w:val="en-GB"/>
        </w:rPr>
        <w:t xml:space="preserve">. These can include legislative reforms (e.g. </w:t>
      </w:r>
      <w:r w:rsidR="006B0406" w:rsidRPr="00B34C19">
        <w:rPr>
          <w:lang w:val="en-GB"/>
        </w:rPr>
        <w:t>amending laws to reflect international</w:t>
      </w:r>
      <w:r w:rsidR="006B0406" w:rsidRPr="00B34C19">
        <w:rPr>
          <w:color w:val="000000"/>
          <w:lang w:val="en-GB"/>
        </w:rPr>
        <w:t xml:space="preserve"> </w:t>
      </w:r>
      <w:r w:rsidR="006B0406" w:rsidRPr="00B34C19">
        <w:rPr>
          <w:lang w:val="en-GB"/>
        </w:rPr>
        <w:t xml:space="preserve">human rights </w:t>
      </w:r>
      <w:r w:rsidR="006B0406" w:rsidRPr="00B34C19">
        <w:rPr>
          <w:lang w:val="en-GB"/>
        </w:rPr>
        <w:lastRenderedPageBreak/>
        <w:t>norms), codes of conduct, human rights and professionali</w:t>
      </w:r>
      <w:r w:rsidR="00ED3098" w:rsidRPr="00B34C19">
        <w:rPr>
          <w:lang w:val="en-GB"/>
        </w:rPr>
        <w:t>s</w:t>
      </w:r>
      <w:r w:rsidR="006B0406" w:rsidRPr="00B34C19">
        <w:rPr>
          <w:lang w:val="en-GB"/>
        </w:rPr>
        <w:t>ation</w:t>
      </w:r>
      <w:r w:rsidR="00C31CFD" w:rsidRPr="00B34C19">
        <w:rPr>
          <w:lang w:val="en-GB"/>
        </w:rPr>
        <w:t xml:space="preserve"> of</w:t>
      </w:r>
      <w:r w:rsidR="006B0406" w:rsidRPr="00B34C19">
        <w:rPr>
          <w:lang w:val="en-GB"/>
        </w:rPr>
        <w:t xml:space="preserve"> training</w:t>
      </w:r>
      <w:r w:rsidR="008826C8" w:rsidRPr="00B34C19">
        <w:rPr>
          <w:lang w:val="en-GB"/>
        </w:rPr>
        <w:t>,</w:t>
      </w:r>
      <w:r w:rsidR="006B0406" w:rsidRPr="00B34C19">
        <w:rPr>
          <w:rStyle w:val="FootnoteReference"/>
          <w:lang w:val="en-GB"/>
        </w:rPr>
        <w:footnoteReference w:id="69"/>
      </w:r>
      <w:r w:rsidR="008826C8" w:rsidRPr="00B34C19">
        <w:rPr>
          <w:lang w:val="en-GB"/>
        </w:rPr>
        <w:t xml:space="preserve"> measures to provide legal certainty in land ownership and protection against forced evictions</w:t>
      </w:r>
      <w:r w:rsidR="00C31CFD" w:rsidRPr="00B34C19">
        <w:rPr>
          <w:lang w:val="en-GB"/>
        </w:rPr>
        <w:t>.</w:t>
      </w:r>
      <w:r w:rsidR="008826C8" w:rsidRPr="00B34C19">
        <w:rPr>
          <w:rStyle w:val="FootnoteReference"/>
          <w:lang w:val="en-GB"/>
        </w:rPr>
        <w:footnoteReference w:id="70"/>
      </w:r>
      <w:r w:rsidR="008826C8" w:rsidRPr="00B34C19">
        <w:rPr>
          <w:lang w:val="en-GB"/>
        </w:rPr>
        <w:t xml:space="preserve"> </w:t>
      </w:r>
      <w:r w:rsidR="00C31CFD" w:rsidRPr="00B34C19">
        <w:rPr>
          <w:lang w:val="en-GB"/>
        </w:rPr>
        <w:t xml:space="preserve">Other examples include </w:t>
      </w:r>
      <w:r w:rsidR="008826C8" w:rsidRPr="00B34C19">
        <w:t>ratification of treaties concerning gross human rights violations and serious violations of international humanitarian law</w:t>
      </w:r>
      <w:r w:rsidR="008826C8" w:rsidRPr="00B34C19">
        <w:rPr>
          <w:rStyle w:val="FootnoteReference"/>
        </w:rPr>
        <w:footnoteReference w:id="71"/>
      </w:r>
      <w:r w:rsidR="008826C8" w:rsidRPr="00B34C19">
        <w:t xml:space="preserve"> and constitutional reforms like those in Kenya and Sri Lanka limiting powers that has </w:t>
      </w:r>
      <w:r w:rsidR="00C64173" w:rsidRPr="00B34C19">
        <w:t>previously</w:t>
      </w:r>
      <w:r w:rsidR="008826C8" w:rsidRPr="00B34C19">
        <w:t xml:space="preserve"> accrued to the office of </w:t>
      </w:r>
      <w:r w:rsidR="00C31CFD" w:rsidRPr="00B34C19">
        <w:t>P</w:t>
      </w:r>
      <w:r w:rsidR="008826C8" w:rsidRPr="00B34C19">
        <w:t>resident.</w:t>
      </w:r>
      <w:r w:rsidR="008826C8" w:rsidRPr="00B34C19">
        <w:rPr>
          <w:rStyle w:val="FootnoteReference"/>
        </w:rPr>
        <w:footnoteReference w:id="72"/>
      </w:r>
      <w:r w:rsidR="006B0406" w:rsidRPr="00B34C19">
        <w:rPr>
          <w:lang w:val="en-GB"/>
        </w:rPr>
        <w:t xml:space="preserve"> </w:t>
      </w:r>
    </w:p>
    <w:p w14:paraId="29C67126" w14:textId="3CEF8204" w:rsidR="00D75A75" w:rsidRPr="00B34C19" w:rsidRDefault="00D75A75" w:rsidP="00E65CEB">
      <w:pPr>
        <w:autoSpaceDE w:val="0"/>
        <w:autoSpaceDN w:val="0"/>
        <w:adjustRightInd w:val="0"/>
        <w:spacing w:line="480" w:lineRule="auto"/>
        <w:jc w:val="both"/>
        <w:rPr>
          <w:lang w:val="en-GB"/>
        </w:rPr>
      </w:pPr>
    </w:p>
    <w:p w14:paraId="4B5BAAAB" w14:textId="16AF4C72" w:rsidR="00D75A75" w:rsidRPr="00B34C19" w:rsidRDefault="00D75A75" w:rsidP="00E65CEB">
      <w:pPr>
        <w:autoSpaceDE w:val="0"/>
        <w:autoSpaceDN w:val="0"/>
        <w:adjustRightInd w:val="0"/>
        <w:spacing w:line="480" w:lineRule="auto"/>
        <w:jc w:val="both"/>
        <w:rPr>
          <w:lang w:val="en-GB"/>
        </w:rPr>
      </w:pPr>
    </w:p>
    <w:p w14:paraId="5E148196" w14:textId="0EFD96DE" w:rsidR="00D75A75" w:rsidRPr="00B34C19" w:rsidRDefault="0012594B" w:rsidP="00E65CEB">
      <w:pPr>
        <w:autoSpaceDE w:val="0"/>
        <w:autoSpaceDN w:val="0"/>
        <w:adjustRightInd w:val="0"/>
        <w:spacing w:line="480" w:lineRule="auto"/>
        <w:jc w:val="both"/>
        <w:rPr>
          <w:b/>
          <w:bCs/>
          <w:i/>
          <w:iCs/>
          <w:lang w:val="en-GB"/>
        </w:rPr>
      </w:pPr>
      <w:r w:rsidRPr="00EE19A1">
        <w:rPr>
          <w:b/>
          <w:bCs/>
          <w:lang w:val="en-GB"/>
        </w:rPr>
        <w:t>2.2</w:t>
      </w:r>
      <w:r w:rsidR="00D75A75" w:rsidRPr="00EE19A1">
        <w:rPr>
          <w:b/>
          <w:bCs/>
          <w:lang w:val="en-GB"/>
        </w:rPr>
        <w:t>.</w:t>
      </w:r>
      <w:r w:rsidR="00D75A75" w:rsidRPr="00B34C19">
        <w:rPr>
          <w:b/>
          <w:bCs/>
          <w:i/>
          <w:iCs/>
          <w:lang w:val="en-GB"/>
        </w:rPr>
        <w:t xml:space="preserve">  A </w:t>
      </w:r>
      <w:r w:rsidR="00AF120D" w:rsidRPr="00B34C19">
        <w:rPr>
          <w:b/>
          <w:bCs/>
          <w:i/>
          <w:iCs/>
          <w:lang w:val="en-GB"/>
        </w:rPr>
        <w:t>realistic view of institutions</w:t>
      </w:r>
    </w:p>
    <w:p w14:paraId="358F053F" w14:textId="6979F666" w:rsidR="006B0406" w:rsidRPr="00B34C19" w:rsidRDefault="006B0406" w:rsidP="00E65CEB">
      <w:pPr>
        <w:autoSpaceDE w:val="0"/>
        <w:autoSpaceDN w:val="0"/>
        <w:adjustRightInd w:val="0"/>
        <w:spacing w:line="480" w:lineRule="auto"/>
        <w:jc w:val="both"/>
        <w:rPr>
          <w:color w:val="000000"/>
          <w:lang w:val="en-GB"/>
        </w:rPr>
      </w:pPr>
    </w:p>
    <w:p w14:paraId="446AFD7B" w14:textId="307C5E67" w:rsidR="00963E71" w:rsidRPr="00B34C19" w:rsidRDefault="00B36B3A" w:rsidP="00E65CEB">
      <w:pPr>
        <w:autoSpaceDE w:val="0"/>
        <w:autoSpaceDN w:val="0"/>
        <w:adjustRightInd w:val="0"/>
        <w:spacing w:line="480" w:lineRule="auto"/>
        <w:jc w:val="both"/>
        <w:rPr>
          <w:color w:val="000000"/>
          <w:lang w:val="en-GB"/>
        </w:rPr>
      </w:pPr>
      <w:r w:rsidRPr="00B34C19">
        <w:rPr>
          <w:color w:val="000000"/>
          <w:lang w:val="en-GB"/>
        </w:rPr>
        <w:t>What should be clear from the foregoing is that GNR</w:t>
      </w:r>
      <w:r w:rsidR="006D29C7" w:rsidRPr="00B34C19">
        <w:rPr>
          <w:color w:val="000000"/>
          <w:lang w:val="en-GB"/>
        </w:rPr>
        <w:t>s</w:t>
      </w:r>
      <w:r w:rsidRPr="00B34C19">
        <w:rPr>
          <w:color w:val="000000"/>
          <w:lang w:val="en-GB"/>
        </w:rPr>
        <w:t xml:space="preserve"> as understood by TJ practitioners and scholars (as always, the gaps between the two are porous) reflects an ethos of institutionalism, a faith that reformed institutions can mitigate against a return to conflict generally and/or specific iterations of violence. </w:t>
      </w:r>
      <w:r w:rsidR="00963E71" w:rsidRPr="00B34C19">
        <w:rPr>
          <w:color w:val="000000"/>
          <w:lang w:val="en-GB"/>
        </w:rPr>
        <w:t>As Davidovic notes, GNRs are understood in this narrow institutional sense by transitional states, by donor supporters like the EU (equating GNR with institutional reform) and by the intellectual centre of praxis in the field, namely the International Center for Transitional Justice (again equating GNR with institutional reform).</w:t>
      </w:r>
      <w:r w:rsidR="00963E71" w:rsidRPr="00B34C19">
        <w:rPr>
          <w:rStyle w:val="FootnoteReference"/>
          <w:color w:val="000000"/>
          <w:lang w:val="en-GB"/>
        </w:rPr>
        <w:footnoteReference w:id="73"/>
      </w:r>
    </w:p>
    <w:p w14:paraId="18B2D793" w14:textId="3C7188EA" w:rsidR="00306334" w:rsidRPr="00B34C19" w:rsidRDefault="00B36B3A" w:rsidP="00E65CEB">
      <w:pPr>
        <w:autoSpaceDE w:val="0"/>
        <w:autoSpaceDN w:val="0"/>
        <w:adjustRightInd w:val="0"/>
        <w:spacing w:line="480" w:lineRule="auto"/>
        <w:jc w:val="both"/>
        <w:rPr>
          <w:color w:val="000000"/>
          <w:lang w:val="en-GB"/>
        </w:rPr>
      </w:pPr>
      <w:r w:rsidRPr="00B34C19">
        <w:rPr>
          <w:color w:val="000000"/>
          <w:lang w:val="en-GB"/>
        </w:rPr>
        <w:t>It is symptomatic of a broader, modernising confidence within the discipline that states possess the potential ‘to free themselves from anything that oppresses them or keeps them from developing.’</w:t>
      </w:r>
      <w:r w:rsidRPr="00B34C19">
        <w:rPr>
          <w:rStyle w:val="FootnoteReference"/>
          <w:color w:val="000000"/>
          <w:lang w:val="en-GB"/>
        </w:rPr>
        <w:footnoteReference w:id="74"/>
      </w:r>
      <w:r w:rsidRPr="00B34C19">
        <w:rPr>
          <w:color w:val="000000"/>
          <w:lang w:val="en-GB"/>
        </w:rPr>
        <w:t xml:space="preserve"> </w:t>
      </w:r>
      <w:r w:rsidR="00E615D4" w:rsidRPr="00B34C19">
        <w:rPr>
          <w:color w:val="000000"/>
          <w:lang w:val="en-GB"/>
        </w:rPr>
        <w:t xml:space="preserve">This faith is not blind, however. Almost every discussion of GNRs shows </w:t>
      </w:r>
      <w:r w:rsidR="00E615D4" w:rsidRPr="00B34C19">
        <w:rPr>
          <w:color w:val="000000"/>
          <w:lang w:val="en-GB"/>
        </w:rPr>
        <w:lastRenderedPageBreak/>
        <w:t>awareness of its limitations</w:t>
      </w:r>
      <w:r w:rsidR="00374DCD" w:rsidRPr="00B34C19">
        <w:rPr>
          <w:color w:val="000000"/>
          <w:lang w:val="en-GB"/>
        </w:rPr>
        <w:t xml:space="preserve">, </w:t>
      </w:r>
      <w:r w:rsidRPr="00B34C19">
        <w:rPr>
          <w:color w:val="000000"/>
          <w:lang w:val="en-GB"/>
        </w:rPr>
        <w:t>with a consistent admission</w:t>
      </w:r>
      <w:r w:rsidR="00374DCD" w:rsidRPr="00B34C19">
        <w:rPr>
          <w:color w:val="000000"/>
          <w:lang w:val="en-GB"/>
        </w:rPr>
        <w:t xml:space="preserve"> that the very idea of a </w:t>
      </w:r>
      <w:r w:rsidR="00374DCD" w:rsidRPr="00B34C19">
        <w:rPr>
          <w:i/>
          <w:iCs/>
          <w:color w:val="000000"/>
          <w:lang w:val="en-GB"/>
        </w:rPr>
        <w:t>guarantee</w:t>
      </w:r>
      <w:r w:rsidR="00374DCD" w:rsidRPr="00B34C19">
        <w:rPr>
          <w:color w:val="000000"/>
          <w:lang w:val="en-GB"/>
        </w:rPr>
        <w:t xml:space="preserve"> of non-repetition </w:t>
      </w:r>
      <w:r w:rsidR="00F17806" w:rsidRPr="00B34C19">
        <w:rPr>
          <w:color w:val="000000"/>
          <w:lang w:val="en-GB"/>
        </w:rPr>
        <w:t>‘</w:t>
      </w:r>
      <w:r w:rsidR="00374DCD" w:rsidRPr="00B34C19">
        <w:rPr>
          <w:color w:val="000000"/>
          <w:lang w:val="en-GB"/>
        </w:rPr>
        <w:t xml:space="preserve">is something of a misnomer given that </w:t>
      </w:r>
      <w:r w:rsidR="00374DCD" w:rsidRPr="00B34C19">
        <w:rPr>
          <w:lang w:val="en-GB"/>
        </w:rPr>
        <w:t>that</w:t>
      </w:r>
      <w:r w:rsidR="00374DCD" w:rsidRPr="00B34C19">
        <w:rPr>
          <w:color w:val="000000"/>
          <w:lang w:val="en-GB"/>
        </w:rPr>
        <w:t xml:space="preserve"> </w:t>
      </w:r>
      <w:r w:rsidR="00374DCD" w:rsidRPr="00B34C19">
        <w:rPr>
          <w:lang w:val="en-GB"/>
        </w:rPr>
        <w:t>non-recurrence can never be definitively guaranteed by any measure or set thereof.</w:t>
      </w:r>
      <w:r w:rsidR="00374DCD" w:rsidRPr="00B34C19">
        <w:rPr>
          <w:rStyle w:val="FootnoteReference"/>
          <w:lang w:val="en-GB"/>
        </w:rPr>
        <w:footnoteReference w:id="75"/>
      </w:r>
      <w:r w:rsidR="00AB2310" w:rsidRPr="00B34C19">
        <w:rPr>
          <w:lang w:val="en-GB"/>
        </w:rPr>
        <w:t xml:space="preserve"> There is </w:t>
      </w:r>
      <w:r w:rsidR="00CC3D3A" w:rsidRPr="00B34C19">
        <w:rPr>
          <w:lang w:val="en-GB"/>
        </w:rPr>
        <w:t xml:space="preserve">an acknowledged </w:t>
      </w:r>
      <w:r w:rsidR="00AB2310" w:rsidRPr="00B34C19">
        <w:rPr>
          <w:lang w:val="en-GB"/>
        </w:rPr>
        <w:t>weakness in the empirical record of success in achieving significant transformation</w:t>
      </w:r>
      <w:r w:rsidR="00CC3D3A" w:rsidRPr="00B34C19">
        <w:rPr>
          <w:lang w:val="en-GB"/>
        </w:rPr>
        <w:t>,</w:t>
      </w:r>
      <w:r w:rsidR="00CE4CF1" w:rsidRPr="00B34C19">
        <w:rPr>
          <w:rStyle w:val="FootnoteReference"/>
          <w:lang w:val="en-GB"/>
        </w:rPr>
        <w:footnoteReference w:id="76"/>
      </w:r>
      <w:r w:rsidR="00CC3D3A" w:rsidRPr="00B34C19">
        <w:rPr>
          <w:lang w:val="en-GB"/>
        </w:rPr>
        <w:t xml:space="preserve"> and an explicit disavowal that</w:t>
      </w:r>
      <w:r w:rsidR="000D03BB" w:rsidRPr="00B34C19">
        <w:rPr>
          <w:lang w:val="en-GB"/>
        </w:rPr>
        <w:t xml:space="preserve"> prevention can be achieved </w:t>
      </w:r>
      <w:r w:rsidR="00F17806" w:rsidRPr="00B34C19">
        <w:rPr>
          <w:lang w:val="en-GB"/>
        </w:rPr>
        <w:t>via</w:t>
      </w:r>
      <w:r w:rsidR="000D03BB" w:rsidRPr="00B34C19">
        <w:rPr>
          <w:lang w:val="en-GB"/>
        </w:rPr>
        <w:t xml:space="preserve"> institutional </w:t>
      </w:r>
      <w:r w:rsidR="00824278" w:rsidRPr="00B34C19">
        <w:rPr>
          <w:lang w:val="en-GB"/>
        </w:rPr>
        <w:t>re-</w:t>
      </w:r>
      <w:r w:rsidR="000D03BB" w:rsidRPr="00B34C19">
        <w:rPr>
          <w:lang w:val="en-GB"/>
        </w:rPr>
        <w:t>engineering alone.</w:t>
      </w:r>
      <w:r w:rsidR="000D03BB" w:rsidRPr="00B34C19">
        <w:rPr>
          <w:rStyle w:val="FootnoteReference"/>
          <w:lang w:val="en-GB"/>
        </w:rPr>
        <w:footnoteReference w:id="77"/>
      </w:r>
      <w:r w:rsidR="000D03BB" w:rsidRPr="00B34C19">
        <w:rPr>
          <w:lang w:val="en-GB"/>
        </w:rPr>
        <w:t xml:space="preserve"> </w:t>
      </w:r>
      <w:r w:rsidR="00C36649" w:rsidRPr="00B34C19">
        <w:rPr>
          <w:lang w:val="en-GB"/>
        </w:rPr>
        <w:t>GNRs are hostage to too many fortunes outside the control of their promoters and implementers</w:t>
      </w:r>
      <w:r w:rsidR="00C76D8D" w:rsidRPr="00B34C19">
        <w:rPr>
          <w:lang w:val="en-GB"/>
        </w:rPr>
        <w:t xml:space="preserve"> like political will or administrative </w:t>
      </w:r>
      <w:r w:rsidR="00EB03BC" w:rsidRPr="00B34C19">
        <w:rPr>
          <w:lang w:val="en-GB"/>
        </w:rPr>
        <w:t>capacity</w:t>
      </w:r>
      <w:r w:rsidR="00C36649" w:rsidRPr="00B34C19">
        <w:rPr>
          <w:lang w:val="en-GB"/>
        </w:rPr>
        <w:t>. Post-conflict governments may lack capacity to fully comply with international legal standards</w:t>
      </w:r>
      <w:r w:rsidR="00C76D8D" w:rsidRPr="00B34C19">
        <w:rPr>
          <w:lang w:val="en-GB"/>
        </w:rPr>
        <w:t>;</w:t>
      </w:r>
      <w:r w:rsidR="00C36649" w:rsidRPr="00B34C19">
        <w:rPr>
          <w:rStyle w:val="FootnoteReference"/>
          <w:lang w:val="en-GB"/>
        </w:rPr>
        <w:footnoteReference w:id="78"/>
      </w:r>
      <w:r w:rsidR="00C76D8D" w:rsidRPr="00B34C19">
        <w:rPr>
          <w:lang w:val="en-GB"/>
        </w:rPr>
        <w:t xml:space="preserve"> resource constraints may lead to non-implementation of recommendations/plans;</w:t>
      </w:r>
      <w:r w:rsidR="00944326" w:rsidRPr="00B34C19">
        <w:rPr>
          <w:lang w:val="en-GB"/>
        </w:rPr>
        <w:t xml:space="preserve"> no GNR can fully incorporate the underlying incompatibilities like ethnicity or regional discrimination that </w:t>
      </w:r>
      <w:r w:rsidR="00A34563" w:rsidRPr="00B34C19">
        <w:rPr>
          <w:lang w:val="en-GB"/>
        </w:rPr>
        <w:t>led to conflict;</w:t>
      </w:r>
      <w:r w:rsidR="00A34563" w:rsidRPr="00B34C19">
        <w:rPr>
          <w:rStyle w:val="FootnoteReference"/>
          <w:lang w:val="en-GB"/>
        </w:rPr>
        <w:footnoteReference w:id="79"/>
      </w:r>
      <w:r w:rsidR="00A34563" w:rsidRPr="00B34C19">
        <w:rPr>
          <w:lang w:val="en-GB"/>
        </w:rPr>
        <w:t xml:space="preserve"> governments may prove unwilling, reluctant or actively thwarting participants in some instances;</w:t>
      </w:r>
      <w:r w:rsidR="00A34563" w:rsidRPr="00B34C19">
        <w:rPr>
          <w:rStyle w:val="FootnoteReference"/>
          <w:lang w:val="en-GB"/>
        </w:rPr>
        <w:footnoteReference w:id="80"/>
      </w:r>
      <w:r w:rsidR="009718D3" w:rsidRPr="00B34C19">
        <w:rPr>
          <w:lang w:val="en-GB"/>
        </w:rPr>
        <w:t xml:space="preserve">institutional reform is inherently difficult given that path dependencies make the </w:t>
      </w:r>
      <w:r w:rsidR="009718D3" w:rsidRPr="00B34C19">
        <w:rPr>
          <w:lang w:val="en-GB"/>
        </w:rPr>
        <w:lastRenderedPageBreak/>
        <w:t>cost of change high</w:t>
      </w:r>
      <w:r w:rsidR="00721092" w:rsidRPr="00B34C19">
        <w:rPr>
          <w:lang w:val="en-GB"/>
        </w:rPr>
        <w:t>.</w:t>
      </w:r>
      <w:r w:rsidR="00AB2310" w:rsidRPr="00B34C19">
        <w:rPr>
          <w:rStyle w:val="FootnoteReference"/>
          <w:lang w:val="en-GB"/>
        </w:rPr>
        <w:footnoteReference w:id="81"/>
      </w:r>
      <w:r w:rsidR="00306334" w:rsidRPr="00B34C19">
        <w:rPr>
          <w:lang w:val="en-GB"/>
        </w:rPr>
        <w:t xml:space="preserve"> </w:t>
      </w:r>
      <w:r w:rsidR="00306334" w:rsidRPr="00B34C19">
        <w:rPr>
          <w:color w:val="000000"/>
          <w:lang w:val="en-GB"/>
        </w:rPr>
        <w:t>GNRs have sometimes proven ‘difficult to conceptualise and implement’</w:t>
      </w:r>
      <w:r w:rsidR="00306334" w:rsidRPr="00B34C19">
        <w:rPr>
          <w:rStyle w:val="FootnoteReference"/>
          <w:color w:val="000000"/>
          <w:lang w:val="en-GB"/>
        </w:rPr>
        <w:footnoteReference w:id="82"/>
      </w:r>
      <w:r w:rsidR="00306334" w:rsidRPr="00B34C19">
        <w:rPr>
          <w:color w:val="000000"/>
          <w:lang w:val="en-GB"/>
        </w:rPr>
        <w:t xml:space="preserve"> – a handy rule of thumb is that the more generic or trivial a GNR </w:t>
      </w:r>
      <w:r w:rsidR="00F17806" w:rsidRPr="00B34C19">
        <w:rPr>
          <w:color w:val="000000"/>
          <w:lang w:val="en-GB"/>
        </w:rPr>
        <w:t xml:space="preserve">recommendation </w:t>
      </w:r>
      <w:r w:rsidR="00306334" w:rsidRPr="00B34C19">
        <w:rPr>
          <w:color w:val="000000"/>
          <w:lang w:val="en-GB"/>
        </w:rPr>
        <w:t>is, the less likely it is to be successfully implemented.</w:t>
      </w:r>
      <w:r w:rsidR="00306334" w:rsidRPr="00B34C19">
        <w:rPr>
          <w:rStyle w:val="FootnoteReference"/>
          <w:color w:val="000000"/>
          <w:lang w:val="en-GB"/>
        </w:rPr>
        <w:footnoteReference w:id="83"/>
      </w:r>
      <w:r w:rsidR="00306334" w:rsidRPr="00B34C19">
        <w:rPr>
          <w:color w:val="000000"/>
          <w:lang w:val="en-GB"/>
        </w:rPr>
        <w:t xml:space="preserve"> </w:t>
      </w:r>
      <w:r w:rsidR="0056361C" w:rsidRPr="00B34C19">
        <w:rPr>
          <w:lang w:val="en-GB"/>
        </w:rPr>
        <w:t>In states like El Salvador and Guatemala, post-conflict GNRs ultimately ‘did not effectively dismantle the structures in security institutions that had allowed abuses to occur during the conflicts’,</w:t>
      </w:r>
      <w:r w:rsidR="0056361C" w:rsidRPr="00B34C19">
        <w:rPr>
          <w:rStyle w:val="FootnoteReference"/>
          <w:lang w:val="en-GB"/>
        </w:rPr>
        <w:footnoteReference w:id="84"/>
      </w:r>
      <w:r w:rsidR="0056361C" w:rsidRPr="00B34C19">
        <w:rPr>
          <w:lang w:val="en-GB"/>
        </w:rPr>
        <w:t xml:space="preserve"> as was also the case in Chile.</w:t>
      </w:r>
      <w:r w:rsidR="0056361C" w:rsidRPr="00B34C19">
        <w:rPr>
          <w:rStyle w:val="FootnoteReference"/>
          <w:lang w:val="en-GB"/>
        </w:rPr>
        <w:footnoteReference w:id="85"/>
      </w:r>
      <w:r w:rsidR="00306334" w:rsidRPr="00B34C19">
        <w:rPr>
          <w:lang w:val="en-GB"/>
        </w:rPr>
        <w:t xml:space="preserve"> Even where violations stopped or were significantly reduced, </w:t>
      </w:r>
      <w:r w:rsidR="00306334" w:rsidRPr="00B34C19">
        <w:rPr>
          <w:color w:val="000000"/>
          <w:lang w:val="en-GB"/>
        </w:rPr>
        <w:t>t</w:t>
      </w:r>
      <w:r w:rsidR="00306334" w:rsidRPr="00B34C19">
        <w:rPr>
          <w:lang w:val="en-GB"/>
        </w:rPr>
        <w:t>here are  inherent methodological challenges in assessing the extent to which GNR measures</w:t>
      </w:r>
      <w:r w:rsidR="00306334" w:rsidRPr="00B34C19">
        <w:rPr>
          <w:color w:val="000000"/>
          <w:lang w:val="en-GB"/>
        </w:rPr>
        <w:t xml:space="preserve"> </w:t>
      </w:r>
      <w:r w:rsidR="00306334" w:rsidRPr="00B34C19">
        <w:rPr>
          <w:lang w:val="en-GB"/>
        </w:rPr>
        <w:t>impacted states’ behaviour.</w:t>
      </w:r>
      <w:r w:rsidR="00306334" w:rsidRPr="00B34C19">
        <w:rPr>
          <w:rStyle w:val="FootnoteReference"/>
          <w:lang w:val="en-GB"/>
        </w:rPr>
        <w:footnoteReference w:id="86"/>
      </w:r>
      <w:r w:rsidR="009718D3" w:rsidRPr="00B34C19">
        <w:rPr>
          <w:lang w:val="en-GB"/>
        </w:rPr>
        <w:t xml:space="preserve"> As Duthie argues, ‘it is wise to be modest about assigning responsibility for outcomes and in general to avoid attributing them to any single process or cause’ when it comes to prevention.</w:t>
      </w:r>
      <w:r w:rsidR="009718D3" w:rsidRPr="00B34C19">
        <w:rPr>
          <w:rStyle w:val="FootnoteReference"/>
          <w:lang w:val="en-GB"/>
        </w:rPr>
        <w:footnoteReference w:id="87"/>
      </w:r>
    </w:p>
    <w:p w14:paraId="621C5A54" w14:textId="77777777" w:rsidR="0056361C" w:rsidRPr="00B34C19" w:rsidRDefault="0056361C" w:rsidP="00E65CEB">
      <w:pPr>
        <w:autoSpaceDE w:val="0"/>
        <w:autoSpaceDN w:val="0"/>
        <w:adjustRightInd w:val="0"/>
        <w:spacing w:line="480" w:lineRule="auto"/>
        <w:jc w:val="both"/>
        <w:rPr>
          <w:color w:val="000000"/>
          <w:lang w:val="en-GB"/>
        </w:rPr>
      </w:pPr>
    </w:p>
    <w:p w14:paraId="28B40F46" w14:textId="5054625C" w:rsidR="00A60936" w:rsidRDefault="009718D3" w:rsidP="00E65CEB">
      <w:pPr>
        <w:autoSpaceDE w:val="0"/>
        <w:autoSpaceDN w:val="0"/>
        <w:adjustRightInd w:val="0"/>
        <w:spacing w:line="480" w:lineRule="auto"/>
        <w:jc w:val="both"/>
        <w:rPr>
          <w:color w:val="000000"/>
          <w:lang w:val="en-GB"/>
        </w:rPr>
      </w:pPr>
      <w:r w:rsidRPr="00B34C19">
        <w:rPr>
          <w:color w:val="000000"/>
          <w:lang w:val="en-GB"/>
        </w:rPr>
        <w:t>This modesty brings us to the paradox of GNRs – they have the most ambitious title of all TJ mechanisms, but</w:t>
      </w:r>
      <w:r w:rsidR="00824278" w:rsidRPr="00B34C19">
        <w:rPr>
          <w:color w:val="000000"/>
          <w:lang w:val="en-GB"/>
        </w:rPr>
        <w:t xml:space="preserve"> are</w:t>
      </w:r>
      <w:r w:rsidRPr="00B34C19">
        <w:rPr>
          <w:color w:val="000000"/>
          <w:lang w:val="en-GB"/>
        </w:rPr>
        <w:t xml:space="preserve"> (usually) the most realistic in remit.</w:t>
      </w:r>
      <w:r w:rsidR="00BC5B68" w:rsidRPr="00B34C19">
        <w:rPr>
          <w:color w:val="000000"/>
          <w:lang w:val="en-GB"/>
        </w:rPr>
        <w:t xml:space="preserve"> As the preceding focus on vetting, security sector reform, </w:t>
      </w:r>
      <w:r w:rsidR="004B226C" w:rsidRPr="00B34C19">
        <w:rPr>
          <w:color w:val="000000"/>
          <w:lang w:val="en-GB"/>
        </w:rPr>
        <w:t>integrity and accountability capacities</w:t>
      </w:r>
      <w:r w:rsidR="00BC5B68" w:rsidRPr="00B34C19">
        <w:rPr>
          <w:color w:val="000000"/>
          <w:lang w:val="en-GB"/>
        </w:rPr>
        <w:t xml:space="preserve"> would suggest, GNRs target institutions connected to abuses, not the </w:t>
      </w:r>
      <w:r w:rsidR="002639C8" w:rsidRPr="00B34C19">
        <w:rPr>
          <w:color w:val="000000"/>
          <w:lang w:val="en-GB"/>
        </w:rPr>
        <w:t>intersectional and structural</w:t>
      </w:r>
      <w:r w:rsidR="00BC5B68" w:rsidRPr="00B34C19">
        <w:rPr>
          <w:color w:val="000000"/>
          <w:lang w:val="en-GB"/>
        </w:rPr>
        <w:t xml:space="preserve"> circumstantial matrix </w:t>
      </w:r>
      <w:r w:rsidR="00BC5B68" w:rsidRPr="00B34C19">
        <w:rPr>
          <w:color w:val="000000"/>
          <w:lang w:val="en-GB"/>
        </w:rPr>
        <w:lastRenderedPageBreak/>
        <w:t>surrounding those abuses. They address specific risks</w:t>
      </w:r>
      <w:r w:rsidR="004B226C" w:rsidRPr="00B34C19">
        <w:rPr>
          <w:color w:val="000000"/>
          <w:lang w:val="en-GB"/>
        </w:rPr>
        <w:t xml:space="preserve"> that flow from specific structures or systems</w:t>
      </w:r>
      <w:r w:rsidR="000A23E2" w:rsidRPr="00B34C19">
        <w:rPr>
          <w:color w:val="000000"/>
          <w:lang w:val="en-GB"/>
        </w:rPr>
        <w:t>, immediate causes in state structures as opposed to root causes</w:t>
      </w:r>
      <w:r w:rsidR="004B226C" w:rsidRPr="00B34C19">
        <w:rPr>
          <w:color w:val="000000"/>
          <w:lang w:val="en-GB"/>
        </w:rPr>
        <w:t xml:space="preserve">. </w:t>
      </w:r>
      <w:r w:rsidR="00D87A3C" w:rsidRPr="00B34C19">
        <w:rPr>
          <w:color w:val="000000"/>
          <w:lang w:val="en-GB"/>
        </w:rPr>
        <w:t>While some warn that GNRs might become over</w:t>
      </w:r>
      <w:r w:rsidR="00AE5A20" w:rsidRPr="00B34C19">
        <w:rPr>
          <w:color w:val="000000"/>
          <w:lang w:val="en-GB"/>
        </w:rPr>
        <w:t xml:space="preserve">ly </w:t>
      </w:r>
      <w:r w:rsidR="00D87A3C" w:rsidRPr="00B34C19">
        <w:rPr>
          <w:color w:val="000000"/>
          <w:lang w:val="en-GB"/>
        </w:rPr>
        <w:t xml:space="preserve">ambitious </w:t>
      </w:r>
      <w:r w:rsidR="00AE5A20" w:rsidRPr="00B34C19">
        <w:rPr>
          <w:color w:val="000000"/>
          <w:lang w:val="en-GB"/>
        </w:rPr>
        <w:t xml:space="preserve">or unduly </w:t>
      </w:r>
      <w:r w:rsidR="00D87A3C" w:rsidRPr="00B34C19">
        <w:rPr>
          <w:color w:val="000000"/>
          <w:lang w:val="en-GB"/>
        </w:rPr>
        <w:t>complex,</w:t>
      </w:r>
      <w:r w:rsidR="00D87A3C" w:rsidRPr="00B34C19">
        <w:rPr>
          <w:rStyle w:val="FootnoteReference"/>
          <w:color w:val="000000"/>
          <w:lang w:val="en-GB"/>
        </w:rPr>
        <w:footnoteReference w:id="88"/>
      </w:r>
      <w:r w:rsidR="00D87A3C" w:rsidRPr="00B34C19">
        <w:rPr>
          <w:color w:val="000000"/>
          <w:lang w:val="en-GB"/>
        </w:rPr>
        <w:t xml:space="preserve"> they</w:t>
      </w:r>
      <w:r w:rsidR="008A75F0" w:rsidRPr="00B34C19">
        <w:rPr>
          <w:color w:val="000000"/>
          <w:lang w:val="en-GB"/>
        </w:rPr>
        <w:t xml:space="preserve"> tend to focus on the last links in the chain of causation</w:t>
      </w:r>
      <w:r w:rsidR="00DB08AA" w:rsidRPr="00B34C19">
        <w:rPr>
          <w:color w:val="000000"/>
          <w:lang w:val="en-GB"/>
        </w:rPr>
        <w:t>, implying a tight connection between the violation and the proposed guarantee.</w:t>
      </w:r>
      <w:r w:rsidR="00DB08AA" w:rsidRPr="00B34C19">
        <w:rPr>
          <w:rStyle w:val="FootnoteReference"/>
          <w:color w:val="000000"/>
          <w:lang w:val="en-GB"/>
        </w:rPr>
        <w:footnoteReference w:id="89"/>
      </w:r>
      <w:r w:rsidR="008A75F0" w:rsidRPr="00B34C19">
        <w:rPr>
          <w:color w:val="000000"/>
          <w:lang w:val="en-GB"/>
        </w:rPr>
        <w:t xml:space="preserve"> </w:t>
      </w:r>
      <w:r w:rsidR="00BC5B68" w:rsidRPr="00B34C19">
        <w:rPr>
          <w:color w:val="000000"/>
          <w:lang w:val="en-GB"/>
        </w:rPr>
        <w:t>As Mayer-Rieckh puts it</w:t>
      </w:r>
    </w:p>
    <w:p w14:paraId="504E4F18" w14:textId="77777777" w:rsidR="00D221DA" w:rsidRPr="00B34C19" w:rsidRDefault="00D221DA" w:rsidP="00E65CEB">
      <w:pPr>
        <w:autoSpaceDE w:val="0"/>
        <w:autoSpaceDN w:val="0"/>
        <w:adjustRightInd w:val="0"/>
        <w:spacing w:line="480" w:lineRule="auto"/>
        <w:jc w:val="both"/>
        <w:rPr>
          <w:color w:val="000000"/>
          <w:lang w:val="en-GB"/>
        </w:rPr>
      </w:pPr>
    </w:p>
    <w:p w14:paraId="5DF4DC0B" w14:textId="673D263B" w:rsidR="00BC5B68" w:rsidRDefault="00BC5B68" w:rsidP="00E65CEB">
      <w:pPr>
        <w:autoSpaceDE w:val="0"/>
        <w:autoSpaceDN w:val="0"/>
        <w:adjustRightInd w:val="0"/>
        <w:spacing w:line="480" w:lineRule="auto"/>
        <w:ind w:left="454" w:right="454"/>
        <w:jc w:val="both"/>
        <w:rPr>
          <w:lang w:val="en-GB"/>
        </w:rPr>
      </w:pPr>
      <w:r w:rsidRPr="00B34C19">
        <w:rPr>
          <w:color w:val="000000"/>
          <w:lang w:val="en-GB"/>
        </w:rPr>
        <w:t>‘</w:t>
      </w:r>
      <w:r w:rsidRPr="00B34C19">
        <w:rPr>
          <w:lang w:val="en-GB"/>
        </w:rPr>
        <w:t>Preventing recurrence is not dealing with an abstract threat but is confronting specific acts that were committed in the past and may be committed again in the future, and that can be studied in terms of their causes, effects, agents, resources and structures used to make them happen.’</w:t>
      </w:r>
      <w:r w:rsidRPr="00B34C19">
        <w:rPr>
          <w:rStyle w:val="FootnoteReference"/>
          <w:lang w:val="en-GB"/>
        </w:rPr>
        <w:footnoteReference w:id="90"/>
      </w:r>
    </w:p>
    <w:p w14:paraId="2FF08F75" w14:textId="77777777" w:rsidR="00D221DA" w:rsidRPr="00B34C19" w:rsidRDefault="00D221DA" w:rsidP="00E65CEB">
      <w:pPr>
        <w:autoSpaceDE w:val="0"/>
        <w:autoSpaceDN w:val="0"/>
        <w:adjustRightInd w:val="0"/>
        <w:spacing w:line="480" w:lineRule="auto"/>
        <w:ind w:left="454" w:right="454"/>
        <w:jc w:val="both"/>
        <w:rPr>
          <w:lang w:val="en-GB"/>
        </w:rPr>
      </w:pPr>
    </w:p>
    <w:p w14:paraId="4D59AD0E" w14:textId="52623434" w:rsidR="00D87A3C" w:rsidRPr="00B34C19" w:rsidRDefault="00D87A3C" w:rsidP="00E65CEB">
      <w:pPr>
        <w:autoSpaceDE w:val="0"/>
        <w:autoSpaceDN w:val="0"/>
        <w:adjustRightInd w:val="0"/>
        <w:spacing w:line="480" w:lineRule="auto"/>
        <w:jc w:val="both"/>
      </w:pPr>
      <w:r w:rsidRPr="00B34C19">
        <w:rPr>
          <w:color w:val="000000"/>
          <w:lang w:val="en-GB"/>
        </w:rPr>
        <w:t xml:space="preserve">It is because of this focus on law, administration and </w:t>
      </w:r>
      <w:r w:rsidR="000F2EC6" w:rsidRPr="00B34C19">
        <w:rPr>
          <w:color w:val="000000"/>
          <w:lang w:val="en-GB"/>
        </w:rPr>
        <w:t xml:space="preserve">behaviour of </w:t>
      </w:r>
      <w:r w:rsidRPr="00B34C19">
        <w:rPr>
          <w:color w:val="000000"/>
          <w:lang w:val="en-GB"/>
        </w:rPr>
        <w:t>state officials that GNRs are generally understood as ‘narrow.’</w:t>
      </w:r>
      <w:r w:rsidRPr="00B34C19">
        <w:rPr>
          <w:rStyle w:val="FootnoteReference"/>
          <w:color w:val="000000"/>
          <w:lang w:val="en-GB"/>
        </w:rPr>
        <w:footnoteReference w:id="91"/>
      </w:r>
      <w:r w:rsidR="003925CB" w:rsidRPr="00B34C19">
        <w:rPr>
          <w:color w:val="000000"/>
          <w:lang w:val="en-GB"/>
        </w:rPr>
        <w:t xml:space="preserve"> The main interests underlying GNRs </w:t>
      </w:r>
      <w:r w:rsidR="003925CB" w:rsidRPr="00B34C19">
        <w:t>are ‘practical’ in the sense that the subject matter of the guarantee ‘can be concretely acted upon’ and forms ‘a fit object of rational policymaking’ on a spectrum from the easily actionable to the more ambitious.</w:t>
      </w:r>
      <w:r w:rsidR="003925CB" w:rsidRPr="00B34C19">
        <w:rPr>
          <w:rStyle w:val="FootnoteReference"/>
        </w:rPr>
        <w:footnoteReference w:id="92"/>
      </w:r>
      <w:r w:rsidR="003925CB" w:rsidRPr="00B34C19">
        <w:t xml:space="preserve"> </w:t>
      </w:r>
    </w:p>
    <w:p w14:paraId="1C798F1A" w14:textId="7E73949C" w:rsidR="00E75C36" w:rsidRPr="00B34C19" w:rsidRDefault="00E75C36" w:rsidP="00E65CEB">
      <w:pPr>
        <w:autoSpaceDE w:val="0"/>
        <w:autoSpaceDN w:val="0"/>
        <w:adjustRightInd w:val="0"/>
        <w:spacing w:line="480" w:lineRule="auto"/>
        <w:jc w:val="both"/>
      </w:pPr>
    </w:p>
    <w:p w14:paraId="33191F68" w14:textId="65D6A0A3" w:rsidR="00E75C36" w:rsidRPr="00B34C19" w:rsidRDefault="00E75C36" w:rsidP="00E65CEB">
      <w:pPr>
        <w:autoSpaceDE w:val="0"/>
        <w:autoSpaceDN w:val="0"/>
        <w:adjustRightInd w:val="0"/>
        <w:spacing w:line="480" w:lineRule="auto"/>
        <w:jc w:val="both"/>
      </w:pPr>
    </w:p>
    <w:p w14:paraId="75DD6E78" w14:textId="60E08A4C" w:rsidR="00E75C36" w:rsidRPr="00B34C19" w:rsidRDefault="0012594B" w:rsidP="00E65CEB">
      <w:pPr>
        <w:autoSpaceDE w:val="0"/>
        <w:autoSpaceDN w:val="0"/>
        <w:adjustRightInd w:val="0"/>
        <w:spacing w:line="480" w:lineRule="auto"/>
        <w:jc w:val="both"/>
        <w:rPr>
          <w:b/>
          <w:bCs/>
          <w:i/>
          <w:iCs/>
          <w:color w:val="000000"/>
        </w:rPr>
      </w:pPr>
      <w:r w:rsidRPr="00EE19A1">
        <w:rPr>
          <w:b/>
          <w:bCs/>
        </w:rPr>
        <w:t>2.3</w:t>
      </w:r>
      <w:r w:rsidR="00E75C36" w:rsidRPr="00EE19A1">
        <w:rPr>
          <w:b/>
          <w:bCs/>
        </w:rPr>
        <w:t>.</w:t>
      </w:r>
      <w:r w:rsidR="00E75C36" w:rsidRPr="00B34C19">
        <w:rPr>
          <w:b/>
          <w:bCs/>
          <w:i/>
          <w:iCs/>
        </w:rPr>
        <w:t xml:space="preserve"> Advantages of the </w:t>
      </w:r>
      <w:r w:rsidR="00E75C36" w:rsidRPr="00B34C19">
        <w:rPr>
          <w:b/>
          <w:bCs/>
          <w:i/>
          <w:iCs/>
          <w:color w:val="000000"/>
          <w:lang w:val="en-GB"/>
        </w:rPr>
        <w:t>legal-institutionalist approach</w:t>
      </w:r>
    </w:p>
    <w:p w14:paraId="1FAD6100" w14:textId="77777777" w:rsidR="00D87A3C" w:rsidRPr="00B34C19" w:rsidRDefault="00D87A3C" w:rsidP="00E65CEB">
      <w:pPr>
        <w:autoSpaceDE w:val="0"/>
        <w:autoSpaceDN w:val="0"/>
        <w:adjustRightInd w:val="0"/>
        <w:spacing w:line="480" w:lineRule="auto"/>
        <w:jc w:val="both"/>
        <w:rPr>
          <w:color w:val="000000"/>
          <w:lang w:val="en-GB"/>
        </w:rPr>
      </w:pPr>
    </w:p>
    <w:p w14:paraId="5326307B" w14:textId="77777777" w:rsidR="00CE30E8" w:rsidRPr="00B34C19" w:rsidRDefault="008D1CB9" w:rsidP="00E65CEB">
      <w:pPr>
        <w:autoSpaceDE w:val="0"/>
        <w:autoSpaceDN w:val="0"/>
        <w:adjustRightInd w:val="0"/>
        <w:spacing w:line="480" w:lineRule="auto"/>
        <w:jc w:val="both"/>
        <w:rPr>
          <w:color w:val="000000"/>
          <w:lang w:val="en-GB"/>
        </w:rPr>
      </w:pPr>
      <w:r w:rsidRPr="00B34C19">
        <w:rPr>
          <w:color w:val="000000"/>
          <w:lang w:val="en-GB"/>
        </w:rPr>
        <w:lastRenderedPageBreak/>
        <w:t xml:space="preserve">GNRs therefore emphasise the prosaic review of policy and legislation, harmonisation of practices, </w:t>
      </w:r>
      <w:r w:rsidR="00395DAF" w:rsidRPr="00B34C19">
        <w:rPr>
          <w:color w:val="000000"/>
          <w:lang w:val="en-GB"/>
        </w:rPr>
        <w:t xml:space="preserve">legislative adjustment, </w:t>
      </w:r>
      <w:r w:rsidRPr="00B34C19">
        <w:rPr>
          <w:color w:val="000000"/>
          <w:lang w:val="en-GB"/>
        </w:rPr>
        <w:t xml:space="preserve">oversight, </w:t>
      </w:r>
      <w:r w:rsidR="000330E8" w:rsidRPr="00B34C19">
        <w:rPr>
          <w:color w:val="000000"/>
          <w:lang w:val="en-GB"/>
        </w:rPr>
        <w:t>procedural safeguards and slow consolidation.</w:t>
      </w:r>
      <w:r w:rsidR="00F30489" w:rsidRPr="00B34C19">
        <w:rPr>
          <w:color w:val="000000"/>
          <w:lang w:val="en-GB"/>
        </w:rPr>
        <w:t xml:space="preserve"> In this sense, GNRs capture some of TJ’s historic legal-institutionalist impetus</w:t>
      </w:r>
      <w:r w:rsidR="00F17806" w:rsidRPr="00B34C19">
        <w:rPr>
          <w:color w:val="000000"/>
          <w:lang w:val="en-GB"/>
        </w:rPr>
        <w:t>, but crucially</w:t>
      </w:r>
      <w:r w:rsidR="00F30489" w:rsidRPr="00B34C19">
        <w:rPr>
          <w:color w:val="000000"/>
          <w:lang w:val="en-GB"/>
        </w:rPr>
        <w:t xml:space="preserve"> without replicating three key </w:t>
      </w:r>
      <w:r w:rsidR="004E2B9F" w:rsidRPr="00B34C19">
        <w:rPr>
          <w:color w:val="000000"/>
          <w:lang w:val="en-GB"/>
        </w:rPr>
        <w:t>criticism</w:t>
      </w:r>
      <w:r w:rsidR="00F30489" w:rsidRPr="00B34C19">
        <w:rPr>
          <w:color w:val="000000"/>
          <w:lang w:val="en-GB"/>
        </w:rPr>
        <w:t>s</w:t>
      </w:r>
      <w:r w:rsidR="004E2B9F" w:rsidRPr="00B34C19">
        <w:rPr>
          <w:color w:val="000000"/>
          <w:lang w:val="en-GB"/>
        </w:rPr>
        <w:t xml:space="preserve"> of the field</w:t>
      </w:r>
      <w:r w:rsidR="00F30489" w:rsidRPr="00B34C19">
        <w:rPr>
          <w:color w:val="000000"/>
          <w:lang w:val="en-GB"/>
        </w:rPr>
        <w:t xml:space="preserve">. </w:t>
      </w:r>
    </w:p>
    <w:p w14:paraId="36573646" w14:textId="21BB7927" w:rsidR="00CE30E8" w:rsidRPr="00B34C19" w:rsidRDefault="00F30489" w:rsidP="00E65CEB">
      <w:pPr>
        <w:pStyle w:val="ListParagraph"/>
        <w:numPr>
          <w:ilvl w:val="0"/>
          <w:numId w:val="4"/>
        </w:numPr>
        <w:autoSpaceDE w:val="0"/>
        <w:autoSpaceDN w:val="0"/>
        <w:adjustRightInd w:val="0"/>
        <w:spacing w:line="480" w:lineRule="auto"/>
        <w:jc w:val="both"/>
        <w:rPr>
          <w:rFonts w:ascii="Times New Roman" w:hAnsi="Times New Roman" w:cs="Times New Roman"/>
          <w:lang w:val="en-GB"/>
        </w:rPr>
      </w:pPr>
      <w:r w:rsidRPr="00B34C19">
        <w:rPr>
          <w:rFonts w:ascii="Times New Roman" w:hAnsi="Times New Roman" w:cs="Times New Roman"/>
          <w:color w:val="000000"/>
          <w:lang w:val="en-GB"/>
        </w:rPr>
        <w:t xml:space="preserve">The first </w:t>
      </w:r>
      <w:r w:rsidR="004E2B9F" w:rsidRPr="00B34C19">
        <w:rPr>
          <w:rFonts w:ascii="Times New Roman" w:hAnsi="Times New Roman" w:cs="Times New Roman"/>
          <w:color w:val="000000"/>
          <w:lang w:val="en-GB"/>
        </w:rPr>
        <w:t>criticism</w:t>
      </w:r>
      <w:r w:rsidRPr="00B34C19">
        <w:rPr>
          <w:rFonts w:ascii="Times New Roman" w:hAnsi="Times New Roman" w:cs="Times New Roman"/>
          <w:color w:val="000000"/>
          <w:lang w:val="en-GB"/>
        </w:rPr>
        <w:t xml:space="preserve"> is the field’s misguided modernist or technicist faith</w:t>
      </w:r>
      <w:r w:rsidR="00CE30E8" w:rsidRPr="00B34C19">
        <w:rPr>
          <w:rFonts w:ascii="Times New Roman" w:hAnsi="Times New Roman" w:cs="Times New Roman"/>
          <w:lang w:val="en-GB"/>
        </w:rPr>
        <w:t xml:space="preserve"> </w:t>
      </w:r>
      <w:r w:rsidRPr="00B34C19">
        <w:rPr>
          <w:rFonts w:ascii="Times New Roman" w:hAnsi="Times New Roman" w:cs="Times New Roman"/>
          <w:lang w:val="en-GB"/>
        </w:rPr>
        <w:t>that post-conflict societies can be understood and manipulated and that societies will respond ’rationally or at least predictably’ to a given project.</w:t>
      </w:r>
      <w:r w:rsidR="004E2B9F" w:rsidRPr="00B34C19">
        <w:rPr>
          <w:rStyle w:val="FootnoteReference"/>
          <w:rFonts w:ascii="Times New Roman" w:hAnsi="Times New Roman" w:cs="Times New Roman"/>
          <w:lang w:val="en-GB"/>
        </w:rPr>
        <w:footnoteReference w:id="93"/>
      </w:r>
      <w:r w:rsidR="004E2B9F" w:rsidRPr="00B34C19">
        <w:rPr>
          <w:rFonts w:ascii="Times New Roman" w:hAnsi="Times New Roman" w:cs="Times New Roman"/>
          <w:lang w:val="en-GB"/>
        </w:rPr>
        <w:t xml:space="preserve"> </w:t>
      </w:r>
      <w:r w:rsidR="0033680B" w:rsidRPr="00B34C19">
        <w:rPr>
          <w:rFonts w:ascii="Times New Roman" w:hAnsi="Times New Roman" w:cs="Times New Roman"/>
          <w:lang w:val="en-GB"/>
        </w:rPr>
        <w:t>GNRs mitigate this tendency insofar as they have a much more limited remit in reshaping national infrastructures and laws, as opposed to changing attitudes, relationships and ideologies that are the objective of other mechanisms. In this sense, GNRs are rationalist and technocratic like other TJ mechanisms, but do not share their utopian bent.</w:t>
      </w:r>
      <w:r w:rsidR="0033680B" w:rsidRPr="00B34C19">
        <w:rPr>
          <w:rStyle w:val="FootnoteReference"/>
          <w:rFonts w:ascii="Times New Roman" w:hAnsi="Times New Roman" w:cs="Times New Roman"/>
          <w:lang w:val="en-GB"/>
        </w:rPr>
        <w:footnoteReference w:id="94"/>
      </w:r>
      <w:r w:rsidR="000C1C79" w:rsidRPr="00B34C19">
        <w:rPr>
          <w:rFonts w:ascii="Times New Roman" w:hAnsi="Times New Roman" w:cs="Times New Roman"/>
          <w:lang w:val="en-GB"/>
        </w:rPr>
        <w:t xml:space="preserve"> </w:t>
      </w:r>
    </w:p>
    <w:p w14:paraId="3F3DDBF9" w14:textId="77777777" w:rsidR="00CE30E8" w:rsidRPr="00B34C19" w:rsidRDefault="004E2B9F" w:rsidP="00E65CEB">
      <w:pPr>
        <w:pStyle w:val="ListParagraph"/>
        <w:numPr>
          <w:ilvl w:val="0"/>
          <w:numId w:val="4"/>
        </w:numPr>
        <w:autoSpaceDE w:val="0"/>
        <w:autoSpaceDN w:val="0"/>
        <w:adjustRightInd w:val="0"/>
        <w:spacing w:line="480" w:lineRule="auto"/>
        <w:jc w:val="both"/>
        <w:rPr>
          <w:rFonts w:ascii="Times New Roman" w:hAnsi="Times New Roman" w:cs="Times New Roman"/>
          <w:lang w:val="en-GB"/>
        </w:rPr>
      </w:pPr>
      <w:r w:rsidRPr="00B34C19">
        <w:rPr>
          <w:rFonts w:ascii="Times New Roman" w:hAnsi="Times New Roman" w:cs="Times New Roman"/>
          <w:lang w:val="en-GB"/>
        </w:rPr>
        <w:t xml:space="preserve">The second, and related, criticism is that </w:t>
      </w:r>
      <w:r w:rsidR="00061686" w:rsidRPr="00B34C19">
        <w:rPr>
          <w:rFonts w:ascii="Times New Roman" w:hAnsi="Times New Roman" w:cs="Times New Roman"/>
          <w:lang w:val="en-GB"/>
        </w:rPr>
        <w:t>TJ lacks a theory of change that explains how its various projects (truth commissions, trials, reparations) actually lead to stipulated outcomes (reconciliation, peace, democratisation).</w:t>
      </w:r>
      <w:r w:rsidR="00061686" w:rsidRPr="00B34C19">
        <w:rPr>
          <w:rStyle w:val="FootnoteReference"/>
          <w:rFonts w:ascii="Times New Roman" w:hAnsi="Times New Roman" w:cs="Times New Roman"/>
          <w:lang w:val="en-GB"/>
        </w:rPr>
        <w:footnoteReference w:id="95"/>
      </w:r>
      <w:r w:rsidR="00061686" w:rsidRPr="00B34C19">
        <w:rPr>
          <w:rFonts w:ascii="Times New Roman" w:hAnsi="Times New Roman" w:cs="Times New Roman"/>
          <w:lang w:val="en-GB"/>
        </w:rPr>
        <w:t xml:space="preserve"> </w:t>
      </w:r>
      <w:r w:rsidR="000C1C79" w:rsidRPr="00B34C19">
        <w:rPr>
          <w:rFonts w:ascii="Times New Roman" w:hAnsi="Times New Roman" w:cs="Times New Roman"/>
          <w:lang w:val="en-GB"/>
        </w:rPr>
        <w:t xml:space="preserve">However, theories of change are more clear with regard to GNRs than other mechanisms insofar as the former show a </w:t>
      </w:r>
      <w:r w:rsidR="000C1C79" w:rsidRPr="00B34C19">
        <w:rPr>
          <w:rFonts w:ascii="Times New Roman" w:hAnsi="Times New Roman" w:cs="Times New Roman"/>
          <w:color w:val="000000"/>
          <w:lang w:val="en-GB"/>
        </w:rPr>
        <w:t xml:space="preserve">pronounced emphasis on feasibility in terms of </w:t>
      </w:r>
      <w:r w:rsidR="000C1C79" w:rsidRPr="00B34C19">
        <w:rPr>
          <w:rFonts w:ascii="Times New Roman" w:hAnsi="Times New Roman" w:cs="Times New Roman"/>
          <w:color w:val="000000"/>
        </w:rPr>
        <w:t>resources, capacities and skills available to the government or implementing agency at hand, as well as timeframes.</w:t>
      </w:r>
      <w:r w:rsidR="000C1C79" w:rsidRPr="00B34C19">
        <w:rPr>
          <w:rStyle w:val="FootnoteReference"/>
          <w:rFonts w:ascii="Times New Roman" w:hAnsi="Times New Roman" w:cs="Times New Roman"/>
          <w:color w:val="000000"/>
        </w:rPr>
        <w:footnoteReference w:id="96"/>
      </w:r>
      <w:r w:rsidR="000C1C79" w:rsidRPr="00B34C19">
        <w:rPr>
          <w:rFonts w:ascii="Times New Roman" w:hAnsi="Times New Roman" w:cs="Times New Roman"/>
          <w:color w:val="000000"/>
        </w:rPr>
        <w:t xml:space="preserve">  Progress may be unsteady, non-linear and not in fact guaranteed, but GNRs take place in the realm of </w:t>
      </w:r>
      <w:r w:rsidR="000C1C79" w:rsidRPr="00B34C19">
        <w:rPr>
          <w:rFonts w:ascii="Times New Roman" w:hAnsi="Times New Roman" w:cs="Times New Roman"/>
          <w:lang w:val="en-GB"/>
        </w:rPr>
        <w:t xml:space="preserve">‘small calibrated actions, constant attention to shifting contexts, and slow </w:t>
      </w:r>
      <w:r w:rsidR="000C1C79" w:rsidRPr="00B34C19">
        <w:rPr>
          <w:rFonts w:ascii="Times New Roman" w:hAnsi="Times New Roman" w:cs="Times New Roman"/>
          <w:lang w:val="en-GB"/>
        </w:rPr>
        <w:lastRenderedPageBreak/>
        <w:t>steering towards desired outcomes’ that balance principle and pragmatism better than other TJ mechanisms.</w:t>
      </w:r>
      <w:r w:rsidR="000C1C79" w:rsidRPr="00B34C19">
        <w:rPr>
          <w:rStyle w:val="FootnoteReference"/>
          <w:rFonts w:ascii="Times New Roman" w:hAnsi="Times New Roman" w:cs="Times New Roman"/>
          <w:lang w:val="en-GB"/>
        </w:rPr>
        <w:footnoteReference w:id="97"/>
      </w:r>
      <w:r w:rsidR="000C1C79" w:rsidRPr="00B34C19">
        <w:rPr>
          <w:rFonts w:ascii="Times New Roman" w:hAnsi="Times New Roman" w:cs="Times New Roman"/>
          <w:lang w:val="en-GB"/>
        </w:rPr>
        <w:t xml:space="preserve"> </w:t>
      </w:r>
    </w:p>
    <w:p w14:paraId="3283DB10" w14:textId="61803845" w:rsidR="00DF4E23" w:rsidRPr="00B34C19" w:rsidRDefault="00061686" w:rsidP="00E65CEB">
      <w:pPr>
        <w:pStyle w:val="ListParagraph"/>
        <w:numPr>
          <w:ilvl w:val="0"/>
          <w:numId w:val="4"/>
        </w:numPr>
        <w:autoSpaceDE w:val="0"/>
        <w:autoSpaceDN w:val="0"/>
        <w:adjustRightInd w:val="0"/>
        <w:spacing w:line="480" w:lineRule="auto"/>
        <w:jc w:val="both"/>
        <w:rPr>
          <w:rFonts w:ascii="Times New Roman" w:hAnsi="Times New Roman" w:cs="Times New Roman"/>
          <w:lang w:val="en-GB"/>
        </w:rPr>
      </w:pPr>
      <w:r w:rsidRPr="00B34C19">
        <w:rPr>
          <w:rFonts w:ascii="Times New Roman" w:hAnsi="Times New Roman" w:cs="Times New Roman"/>
          <w:lang w:val="en-GB"/>
        </w:rPr>
        <w:t xml:space="preserve">A third criticism </w:t>
      </w:r>
      <w:r w:rsidR="000C1C79" w:rsidRPr="00B34C19">
        <w:rPr>
          <w:rFonts w:ascii="Times New Roman" w:hAnsi="Times New Roman" w:cs="Times New Roman"/>
          <w:lang w:val="en-GB"/>
        </w:rPr>
        <w:t>generally levelled at TJ is that it</w:t>
      </w:r>
      <w:r w:rsidRPr="00B34C19">
        <w:rPr>
          <w:rFonts w:ascii="Times New Roman" w:hAnsi="Times New Roman" w:cs="Times New Roman"/>
          <w:lang w:val="en-GB"/>
        </w:rPr>
        <w:t xml:space="preserve"> insufficiently takes into account the weakly institutionalised nature of post-conflict states</w:t>
      </w:r>
      <w:r w:rsidR="000C1C79" w:rsidRPr="00B34C19">
        <w:rPr>
          <w:rFonts w:ascii="Times New Roman" w:hAnsi="Times New Roman" w:cs="Times New Roman"/>
          <w:lang w:val="en-GB"/>
        </w:rPr>
        <w:t>, thereby</w:t>
      </w:r>
      <w:r w:rsidRPr="00B34C19">
        <w:rPr>
          <w:rFonts w:ascii="Times New Roman" w:hAnsi="Times New Roman" w:cs="Times New Roman"/>
          <w:lang w:val="en-GB"/>
        </w:rPr>
        <w:t xml:space="preserve"> </w:t>
      </w:r>
      <w:r w:rsidR="000C1C79" w:rsidRPr="00B34C19">
        <w:rPr>
          <w:rFonts w:ascii="Times New Roman" w:hAnsi="Times New Roman" w:cs="Times New Roman"/>
          <w:lang w:val="en-GB"/>
        </w:rPr>
        <w:t>making</w:t>
      </w:r>
      <w:r w:rsidRPr="00B34C19">
        <w:rPr>
          <w:rFonts w:ascii="Times New Roman" w:hAnsi="Times New Roman" w:cs="Times New Roman"/>
          <w:lang w:val="en-GB"/>
        </w:rPr>
        <w:t xml:space="preserve"> technicist planning so misguided </w:t>
      </w:r>
      <w:r w:rsidR="00F75DD9" w:rsidRPr="00B34C19">
        <w:rPr>
          <w:rFonts w:ascii="Times New Roman" w:hAnsi="Times New Roman" w:cs="Times New Roman"/>
          <w:lang w:val="en-GB"/>
        </w:rPr>
        <w:t>and</w:t>
      </w:r>
      <w:r w:rsidRPr="00B34C19">
        <w:rPr>
          <w:rFonts w:ascii="Times New Roman" w:hAnsi="Times New Roman" w:cs="Times New Roman"/>
          <w:lang w:val="en-GB"/>
        </w:rPr>
        <w:t xml:space="preserve"> theories of change so fanciful.</w:t>
      </w:r>
      <w:r w:rsidRPr="00B34C19">
        <w:rPr>
          <w:rStyle w:val="FootnoteReference"/>
          <w:rFonts w:ascii="Times New Roman" w:hAnsi="Times New Roman" w:cs="Times New Roman"/>
          <w:lang w:val="en-GB"/>
        </w:rPr>
        <w:footnoteReference w:id="98"/>
      </w:r>
      <w:r w:rsidR="00F75DD9" w:rsidRPr="00B34C19">
        <w:rPr>
          <w:rFonts w:ascii="Times New Roman" w:hAnsi="Times New Roman" w:cs="Times New Roman"/>
          <w:lang w:val="en-GB"/>
        </w:rPr>
        <w:t xml:space="preserve"> </w:t>
      </w:r>
      <w:r w:rsidR="000C1C79" w:rsidRPr="00B34C19">
        <w:rPr>
          <w:rFonts w:ascii="Times New Roman" w:hAnsi="Times New Roman" w:cs="Times New Roman"/>
          <w:lang w:val="en-GB"/>
        </w:rPr>
        <w:t>However</w:t>
      </w:r>
      <w:r w:rsidR="003E270F" w:rsidRPr="00B34C19">
        <w:rPr>
          <w:rFonts w:ascii="Times New Roman" w:hAnsi="Times New Roman" w:cs="Times New Roman"/>
          <w:lang w:val="en-GB"/>
        </w:rPr>
        <w:t>,</w:t>
      </w:r>
      <w:r w:rsidR="009333CC" w:rsidRPr="00B34C19">
        <w:rPr>
          <w:rFonts w:ascii="Times New Roman" w:hAnsi="Times New Roman" w:cs="Times New Roman"/>
          <w:lang w:val="en-GB"/>
        </w:rPr>
        <w:t xml:space="preserve"> </w:t>
      </w:r>
      <w:r w:rsidR="00FA0CBD" w:rsidRPr="00B34C19">
        <w:rPr>
          <w:rFonts w:ascii="Times New Roman" w:hAnsi="Times New Roman" w:cs="Times New Roman"/>
          <w:color w:val="000000"/>
          <w:lang w:val="en-GB"/>
        </w:rPr>
        <w:t>the explicit reliance on systemic reform and capacity</w:t>
      </w:r>
      <w:r w:rsidR="00AE5A20" w:rsidRPr="00B34C19">
        <w:rPr>
          <w:rFonts w:ascii="Times New Roman" w:hAnsi="Times New Roman" w:cs="Times New Roman"/>
          <w:color w:val="000000"/>
          <w:lang w:val="en-GB"/>
        </w:rPr>
        <w:t>-</w:t>
      </w:r>
      <w:r w:rsidR="00FA0CBD" w:rsidRPr="00B34C19">
        <w:rPr>
          <w:rFonts w:ascii="Times New Roman" w:hAnsi="Times New Roman" w:cs="Times New Roman"/>
          <w:color w:val="000000"/>
          <w:lang w:val="en-GB"/>
        </w:rPr>
        <w:t>building implicitly</w:t>
      </w:r>
      <w:r w:rsidR="00FA0CBD" w:rsidRPr="00B34C19">
        <w:rPr>
          <w:rFonts w:ascii="Times New Roman" w:hAnsi="Times New Roman" w:cs="Times New Roman"/>
          <w:lang w:val="en-GB"/>
        </w:rPr>
        <w:t xml:space="preserve"> means that</w:t>
      </w:r>
      <w:r w:rsidR="009333CC" w:rsidRPr="00B34C19">
        <w:rPr>
          <w:rFonts w:ascii="Times New Roman" w:hAnsi="Times New Roman" w:cs="Times New Roman"/>
          <w:lang w:val="en-GB"/>
        </w:rPr>
        <w:t xml:space="preserve"> GNRs take the state’s institutional fallibility as a starting point, as opposed to an obstacle to be wished away. </w:t>
      </w:r>
      <w:r w:rsidR="00DF4E23" w:rsidRPr="00B34C19">
        <w:rPr>
          <w:rFonts w:ascii="Times New Roman" w:hAnsi="Times New Roman" w:cs="Times New Roman"/>
          <w:lang w:val="en-GB"/>
        </w:rPr>
        <w:t>Perhaps reflecting its late emergence as a prime TJ mechanism</w:t>
      </w:r>
      <w:r w:rsidR="002E51D6" w:rsidRPr="00B34C19">
        <w:rPr>
          <w:rFonts w:ascii="Times New Roman" w:hAnsi="Times New Roman" w:cs="Times New Roman"/>
          <w:lang w:val="en-GB"/>
        </w:rPr>
        <w:t xml:space="preserve"> when ma</w:t>
      </w:r>
      <w:r w:rsidR="003E270F" w:rsidRPr="00B34C19">
        <w:rPr>
          <w:rFonts w:ascii="Times New Roman" w:hAnsi="Times New Roman" w:cs="Times New Roman"/>
          <w:lang w:val="en-GB"/>
        </w:rPr>
        <w:t>n</w:t>
      </w:r>
      <w:r w:rsidR="002E51D6" w:rsidRPr="00B34C19">
        <w:rPr>
          <w:rFonts w:ascii="Times New Roman" w:hAnsi="Times New Roman" w:cs="Times New Roman"/>
          <w:lang w:val="en-GB"/>
        </w:rPr>
        <w:t xml:space="preserve">y of </w:t>
      </w:r>
      <w:r w:rsidR="003E270F" w:rsidRPr="00B34C19">
        <w:rPr>
          <w:rFonts w:ascii="Times New Roman" w:hAnsi="Times New Roman" w:cs="Times New Roman"/>
          <w:lang w:val="en-GB"/>
        </w:rPr>
        <w:t>the latter’s</w:t>
      </w:r>
      <w:r w:rsidR="002E51D6" w:rsidRPr="00B34C19">
        <w:rPr>
          <w:rFonts w:ascii="Times New Roman" w:hAnsi="Times New Roman" w:cs="Times New Roman"/>
          <w:lang w:val="en-GB"/>
        </w:rPr>
        <w:t xml:space="preserve"> promises proved illusory</w:t>
      </w:r>
      <w:r w:rsidR="00DF4E23" w:rsidRPr="00B34C19">
        <w:rPr>
          <w:rFonts w:ascii="Times New Roman" w:hAnsi="Times New Roman" w:cs="Times New Roman"/>
          <w:lang w:val="en-GB"/>
        </w:rPr>
        <w:t>, what is deemed necessary and feasible in a GNR is explicitly tied to the specific institutional context.</w:t>
      </w:r>
      <w:r w:rsidR="00DF4E23" w:rsidRPr="00B34C19">
        <w:rPr>
          <w:rStyle w:val="FootnoteReference"/>
          <w:rFonts w:ascii="Times New Roman" w:hAnsi="Times New Roman" w:cs="Times New Roman"/>
          <w:lang w:val="en-GB"/>
        </w:rPr>
        <w:footnoteReference w:id="99"/>
      </w:r>
      <w:r w:rsidR="00E245FB" w:rsidRPr="00B34C19">
        <w:rPr>
          <w:rFonts w:ascii="Times New Roman" w:hAnsi="Times New Roman" w:cs="Times New Roman"/>
          <w:lang w:val="en-GB"/>
        </w:rPr>
        <w:t xml:space="preserve"> </w:t>
      </w:r>
      <w:r w:rsidR="004F0BC1" w:rsidRPr="00B34C19">
        <w:rPr>
          <w:rFonts w:ascii="Times New Roman" w:hAnsi="Times New Roman" w:cs="Times New Roman"/>
          <w:lang w:val="en-GB"/>
        </w:rPr>
        <w:t>There is, nevertheless, a modest hope that greater oversight and accountability can improve public trust in the relevant institutions.</w:t>
      </w:r>
      <w:r w:rsidR="004F0BC1" w:rsidRPr="00B34C19">
        <w:rPr>
          <w:rStyle w:val="FootnoteReference"/>
          <w:rFonts w:ascii="Times New Roman" w:hAnsi="Times New Roman" w:cs="Times New Roman"/>
          <w:lang w:val="en-GB"/>
        </w:rPr>
        <w:footnoteReference w:id="100"/>
      </w:r>
    </w:p>
    <w:p w14:paraId="7A664148" w14:textId="77777777" w:rsidR="00061686" w:rsidRPr="00B34C19" w:rsidRDefault="00061686" w:rsidP="00E65CEB">
      <w:pPr>
        <w:autoSpaceDE w:val="0"/>
        <w:autoSpaceDN w:val="0"/>
        <w:adjustRightInd w:val="0"/>
        <w:spacing w:line="480" w:lineRule="auto"/>
        <w:jc w:val="both"/>
        <w:rPr>
          <w:lang w:val="en-GB"/>
        </w:rPr>
      </w:pPr>
    </w:p>
    <w:p w14:paraId="0064A8FB" w14:textId="11DAE1D6" w:rsidR="00065BA3" w:rsidRPr="00B34C19" w:rsidRDefault="001473C1" w:rsidP="00E65CEB">
      <w:pPr>
        <w:autoSpaceDE w:val="0"/>
        <w:autoSpaceDN w:val="0"/>
        <w:adjustRightInd w:val="0"/>
        <w:spacing w:line="480" w:lineRule="auto"/>
        <w:jc w:val="both"/>
        <w:rPr>
          <w:color w:val="000000"/>
          <w:lang w:val="en-GB"/>
        </w:rPr>
      </w:pPr>
      <w:r w:rsidRPr="00B34C19">
        <w:rPr>
          <w:lang w:val="en-GB"/>
        </w:rPr>
        <w:t xml:space="preserve">Some scholars have expressed frustration with </w:t>
      </w:r>
      <w:r w:rsidR="0097018A" w:rsidRPr="00B34C19">
        <w:rPr>
          <w:lang w:val="en-GB"/>
        </w:rPr>
        <w:t>this narrow remit</w:t>
      </w:r>
      <w:r w:rsidRPr="00B34C19">
        <w:rPr>
          <w:lang w:val="en-GB"/>
        </w:rPr>
        <w:t>.</w:t>
      </w:r>
      <w:r w:rsidR="003E270F" w:rsidRPr="00B34C19">
        <w:rPr>
          <w:rStyle w:val="FootnoteReference"/>
          <w:lang w:val="en-GB"/>
        </w:rPr>
        <w:footnoteReference w:id="101"/>
      </w:r>
      <w:r w:rsidRPr="00B34C19">
        <w:rPr>
          <w:lang w:val="en-GB"/>
        </w:rPr>
        <w:t xml:space="preserve">  The Special Rapporteur </w:t>
      </w:r>
      <w:r w:rsidR="00FB4B3F" w:rsidRPr="00B34C19">
        <w:rPr>
          <w:lang w:val="en-GB"/>
        </w:rPr>
        <w:t>argues GNRs should go beyond institutional engineering to incorporate</w:t>
      </w:r>
      <w:r w:rsidRPr="00B34C19">
        <w:rPr>
          <w:lang w:val="en-GB"/>
        </w:rPr>
        <w:t xml:space="preserve"> support for civil society’s role in aggregating grassroots voices and cultural interventions in areas like education and the arts.</w:t>
      </w:r>
      <w:r w:rsidR="008F380A" w:rsidRPr="00B34C19">
        <w:rPr>
          <w:rStyle w:val="FootnoteReference"/>
          <w:lang w:val="en-GB"/>
        </w:rPr>
        <w:footnoteReference w:id="102"/>
      </w:r>
      <w:r w:rsidR="008F380A" w:rsidRPr="00B34C19">
        <w:rPr>
          <w:lang w:val="en-GB"/>
        </w:rPr>
        <w:t xml:space="preserve"> Others, more ambitiously, </w:t>
      </w:r>
      <w:r w:rsidRPr="00B34C19">
        <w:rPr>
          <w:lang w:val="en-GB"/>
        </w:rPr>
        <w:t>a</w:t>
      </w:r>
      <w:r w:rsidR="008F380A" w:rsidRPr="00B34C19">
        <w:rPr>
          <w:lang w:val="en-GB"/>
        </w:rPr>
        <w:t xml:space="preserve">rgue GNRs should </w:t>
      </w:r>
      <w:r w:rsidRPr="00B34C19">
        <w:rPr>
          <w:lang w:val="en-GB"/>
        </w:rPr>
        <w:t xml:space="preserve">address economic root causes of </w:t>
      </w:r>
      <w:r w:rsidR="00F72EC3" w:rsidRPr="00B34C19">
        <w:rPr>
          <w:lang w:val="en-GB"/>
        </w:rPr>
        <w:t xml:space="preserve">renewed </w:t>
      </w:r>
      <w:r w:rsidRPr="00B34C19">
        <w:rPr>
          <w:lang w:val="en-GB"/>
        </w:rPr>
        <w:t>violence associated with exclusion</w:t>
      </w:r>
      <w:r w:rsidR="008B0B4F" w:rsidRPr="00B34C19">
        <w:rPr>
          <w:lang w:val="en-GB"/>
        </w:rPr>
        <w:t xml:space="preserve"> </w:t>
      </w:r>
      <w:r w:rsidRPr="00B34C19">
        <w:rPr>
          <w:lang w:val="en-GB"/>
        </w:rPr>
        <w:t>through corrective and distributive measures</w:t>
      </w:r>
      <w:r w:rsidR="0059269A" w:rsidRPr="00B34C19">
        <w:rPr>
          <w:lang w:val="en-GB"/>
        </w:rPr>
        <w:t xml:space="preserve"> given </w:t>
      </w:r>
      <w:r w:rsidR="0059269A" w:rsidRPr="00B34C19">
        <w:rPr>
          <w:lang w:val="en-GB"/>
        </w:rPr>
        <w:lastRenderedPageBreak/>
        <w:t>the general failure of peace agreements to do so i</w:t>
      </w:r>
      <w:r w:rsidR="009F43F3" w:rsidRPr="00B34C19">
        <w:rPr>
          <w:lang w:val="en-GB"/>
        </w:rPr>
        <w:t>n</w:t>
      </w:r>
      <w:r w:rsidR="0059269A" w:rsidRPr="00B34C19">
        <w:rPr>
          <w:lang w:val="en-GB"/>
        </w:rPr>
        <w:t xml:space="preserve"> design or implementation</w:t>
      </w:r>
      <w:r w:rsidRPr="00B34C19">
        <w:rPr>
          <w:lang w:val="en-GB"/>
        </w:rPr>
        <w:t>.</w:t>
      </w:r>
      <w:r w:rsidR="008B0B4F" w:rsidRPr="00B34C19">
        <w:rPr>
          <w:rStyle w:val="FootnoteReference"/>
          <w:lang w:val="en-GB"/>
        </w:rPr>
        <w:t xml:space="preserve"> </w:t>
      </w:r>
      <w:r w:rsidR="008B0B4F" w:rsidRPr="00B34C19">
        <w:rPr>
          <w:rStyle w:val="FootnoteReference"/>
          <w:lang w:val="en-GB"/>
        </w:rPr>
        <w:footnoteReference w:id="103"/>
      </w:r>
      <w:r w:rsidR="0097018A" w:rsidRPr="00B34C19">
        <w:rPr>
          <w:lang w:val="en-GB"/>
        </w:rPr>
        <w:t xml:space="preserve"> </w:t>
      </w:r>
      <w:r w:rsidR="008F380A" w:rsidRPr="00B34C19">
        <w:rPr>
          <w:color w:val="000000"/>
          <w:lang w:val="en-GB"/>
        </w:rPr>
        <w:t xml:space="preserve">There is little doubt that </w:t>
      </w:r>
      <w:r w:rsidR="008F380A" w:rsidRPr="00B34C19">
        <w:rPr>
          <w:lang w:val="en-GB"/>
        </w:rPr>
        <w:t>economic deprivation and discrimination are key drivers of past violence and potential drivers of recurrence</w:t>
      </w:r>
      <w:r w:rsidR="00F72EC3" w:rsidRPr="00B34C19">
        <w:rPr>
          <w:lang w:val="en-GB"/>
        </w:rPr>
        <w:t xml:space="preserve">. </w:t>
      </w:r>
      <w:r w:rsidR="0097018A" w:rsidRPr="00B34C19">
        <w:rPr>
          <w:lang w:val="en-GB"/>
        </w:rPr>
        <w:t>Roht-Arriaza argues GNRs could facilitate some transformative goals, threading a line between the insufficiency of current measures and the ever-present risks of over-reach and overpromising that accompany most transformative agenda</w:t>
      </w:r>
      <w:r w:rsidR="00AE5A20" w:rsidRPr="00B34C19">
        <w:rPr>
          <w:lang w:val="en-GB"/>
        </w:rPr>
        <w:t>s</w:t>
      </w:r>
      <w:r w:rsidR="0097018A" w:rsidRPr="00B34C19">
        <w:rPr>
          <w:lang w:val="en-GB"/>
        </w:rPr>
        <w:t>.</w:t>
      </w:r>
      <w:r w:rsidR="0097018A" w:rsidRPr="00B34C19">
        <w:rPr>
          <w:rStyle w:val="FootnoteReference"/>
          <w:lang w:val="en-GB"/>
        </w:rPr>
        <w:footnoteReference w:id="104"/>
      </w:r>
      <w:r w:rsidR="0059269A" w:rsidRPr="00B34C19">
        <w:rPr>
          <w:lang w:val="en-GB"/>
        </w:rPr>
        <w:t xml:space="preserve"> </w:t>
      </w:r>
      <w:r w:rsidR="006604C5" w:rsidRPr="00B34C19">
        <w:rPr>
          <w:lang w:val="en-GB"/>
        </w:rPr>
        <w:t>She points to Chapter 10 of Colombia’s victims’ law that incorporates a wide range of preventative acts, like training for de-mining, education to combat violence against women and children and reintegration of child soldiers</w:t>
      </w:r>
      <w:r w:rsidR="004D19E5" w:rsidRPr="00B34C19">
        <w:rPr>
          <w:lang w:val="en-GB"/>
        </w:rPr>
        <w:t>.</w:t>
      </w:r>
      <w:r w:rsidR="006604C5" w:rsidRPr="00B34C19">
        <w:rPr>
          <w:rStyle w:val="FootnoteReference"/>
          <w:lang w:val="en-GB"/>
        </w:rPr>
        <w:footnoteReference w:id="105"/>
      </w:r>
      <w:r w:rsidR="004D19E5" w:rsidRPr="00B34C19">
        <w:rPr>
          <w:lang w:val="en-GB"/>
        </w:rPr>
        <w:t xml:space="preserve"> While commendably expansive, this falls short of meaningfully addressing issues of poverty and </w:t>
      </w:r>
      <w:r w:rsidR="003E270F" w:rsidRPr="00B34C19">
        <w:rPr>
          <w:lang w:val="en-GB"/>
        </w:rPr>
        <w:t xml:space="preserve">land </w:t>
      </w:r>
      <w:r w:rsidR="004D19E5" w:rsidRPr="00B34C19">
        <w:rPr>
          <w:lang w:val="en-GB"/>
        </w:rPr>
        <w:t xml:space="preserve">dispossession that underpin that </w:t>
      </w:r>
      <w:r w:rsidR="00AE5A20" w:rsidRPr="00B34C19">
        <w:rPr>
          <w:lang w:val="en-GB"/>
        </w:rPr>
        <w:t xml:space="preserve">particular </w:t>
      </w:r>
      <w:r w:rsidR="004D19E5" w:rsidRPr="00B34C19">
        <w:rPr>
          <w:lang w:val="en-GB"/>
        </w:rPr>
        <w:t>conflict. T</w:t>
      </w:r>
      <w:r w:rsidR="00527F1A" w:rsidRPr="00B34C19">
        <w:rPr>
          <w:lang w:val="en-GB"/>
        </w:rPr>
        <w:t xml:space="preserve">he causes, effects, agents, resources and structures at play </w:t>
      </w:r>
      <w:r w:rsidR="00FB4B3F" w:rsidRPr="00B34C19">
        <w:rPr>
          <w:lang w:val="en-GB"/>
        </w:rPr>
        <w:t xml:space="preserve">when we discuss poverty, racism and inequality </w:t>
      </w:r>
      <w:r w:rsidR="00527F1A" w:rsidRPr="00B34C19">
        <w:rPr>
          <w:lang w:val="en-GB"/>
        </w:rPr>
        <w:t>are more amorphous than with institutional reform, as i</w:t>
      </w:r>
      <w:r w:rsidR="00EC368F" w:rsidRPr="00B34C19">
        <w:rPr>
          <w:lang w:val="en-GB"/>
        </w:rPr>
        <w:t>s</w:t>
      </w:r>
      <w:r w:rsidR="00527F1A" w:rsidRPr="00B34C19">
        <w:rPr>
          <w:lang w:val="en-GB"/>
        </w:rPr>
        <w:t xml:space="preserve"> the</w:t>
      </w:r>
      <w:r w:rsidR="001D4E9B" w:rsidRPr="00B34C19">
        <w:rPr>
          <w:lang w:val="en-GB"/>
        </w:rPr>
        <w:t>ir</w:t>
      </w:r>
      <w:r w:rsidR="00527F1A" w:rsidRPr="00B34C19">
        <w:rPr>
          <w:lang w:val="en-GB"/>
        </w:rPr>
        <w:t xml:space="preserve"> link to a specific past abuse.</w:t>
      </w:r>
      <w:r w:rsidR="00527F1A" w:rsidRPr="00B34C19">
        <w:rPr>
          <w:color w:val="000000"/>
          <w:lang w:val="en-GB"/>
        </w:rPr>
        <w:t xml:space="preserve"> The potentially </w:t>
      </w:r>
      <w:r w:rsidR="00065BA3" w:rsidRPr="00B34C19">
        <w:rPr>
          <w:color w:val="000000"/>
          <w:lang w:val="en-GB"/>
        </w:rPr>
        <w:t>‘decisive policy descriptions’</w:t>
      </w:r>
      <w:r w:rsidR="00527F1A" w:rsidRPr="00B34C19">
        <w:rPr>
          <w:color w:val="000000"/>
          <w:lang w:val="en-GB"/>
        </w:rPr>
        <w:t xml:space="preserve"> GNRs offer in the institutional realm</w:t>
      </w:r>
      <w:r w:rsidR="0059269A" w:rsidRPr="00B34C19">
        <w:rPr>
          <w:rStyle w:val="FootnoteReference"/>
          <w:color w:val="000000"/>
          <w:lang w:val="en-GB"/>
        </w:rPr>
        <w:footnoteReference w:id="106"/>
      </w:r>
      <w:r w:rsidR="0059269A" w:rsidRPr="00B34C19">
        <w:rPr>
          <w:color w:val="000000"/>
          <w:lang w:val="en-GB"/>
        </w:rPr>
        <w:t xml:space="preserve"> may not flow naturally from a </w:t>
      </w:r>
      <w:r w:rsidR="0059269A" w:rsidRPr="00B34C19">
        <w:rPr>
          <w:lang w:val="en-GB"/>
        </w:rPr>
        <w:t>discussion of patterns</w:t>
      </w:r>
      <w:r w:rsidR="0059269A" w:rsidRPr="00B34C19">
        <w:rPr>
          <w:color w:val="000000"/>
          <w:lang w:val="en-GB"/>
        </w:rPr>
        <w:t xml:space="preserve"> </w:t>
      </w:r>
      <w:r w:rsidR="0059269A" w:rsidRPr="00B34C19">
        <w:rPr>
          <w:lang w:val="en-GB"/>
        </w:rPr>
        <w:t xml:space="preserve">of exclusion, </w:t>
      </w:r>
      <w:r w:rsidR="001D4E9B" w:rsidRPr="00B34C19">
        <w:rPr>
          <w:lang w:val="en-GB"/>
        </w:rPr>
        <w:t>marginalization</w:t>
      </w:r>
      <w:r w:rsidR="0059269A" w:rsidRPr="00B34C19">
        <w:rPr>
          <w:lang w:val="en-GB"/>
        </w:rPr>
        <w:t xml:space="preserve"> and discrimination</w:t>
      </w:r>
      <w:r w:rsidR="00527F1A" w:rsidRPr="00B34C19">
        <w:rPr>
          <w:color w:val="000000"/>
          <w:lang w:val="en-GB"/>
        </w:rPr>
        <w:t xml:space="preserve">. </w:t>
      </w:r>
      <w:r w:rsidR="00FA0CBD" w:rsidRPr="00B34C19">
        <w:rPr>
          <w:color w:val="000000"/>
          <w:lang w:val="en-GB"/>
        </w:rPr>
        <w:t>Even those supportive of expanding GNRs accept that t</w:t>
      </w:r>
      <w:r w:rsidR="00527F1A" w:rsidRPr="00B34C19">
        <w:rPr>
          <w:color w:val="000000"/>
          <w:lang w:val="en-GB"/>
        </w:rPr>
        <w:t xml:space="preserve">here is a risk that if conceived </w:t>
      </w:r>
      <w:r w:rsidR="00784DAD" w:rsidRPr="00B34C19">
        <w:rPr>
          <w:color w:val="000000"/>
          <w:lang w:val="en-GB"/>
        </w:rPr>
        <w:t>as</w:t>
      </w:r>
      <w:r w:rsidR="00527F1A" w:rsidRPr="00B34C19">
        <w:rPr>
          <w:color w:val="000000"/>
          <w:lang w:val="en-GB"/>
        </w:rPr>
        <w:t xml:space="preserve"> widely</w:t>
      </w:r>
      <w:r w:rsidR="00784DAD" w:rsidRPr="00B34C19">
        <w:rPr>
          <w:color w:val="000000"/>
          <w:lang w:val="en-GB"/>
        </w:rPr>
        <w:t xml:space="preserve"> as </w:t>
      </w:r>
      <w:r w:rsidR="003E270F" w:rsidRPr="00B34C19">
        <w:rPr>
          <w:color w:val="000000"/>
          <w:lang w:val="en-GB"/>
        </w:rPr>
        <w:t xml:space="preserve">a state’s </w:t>
      </w:r>
      <w:r w:rsidR="00784DAD" w:rsidRPr="00B34C19">
        <w:rPr>
          <w:color w:val="000000"/>
          <w:lang w:val="en-GB"/>
        </w:rPr>
        <w:t>entire economic model</w:t>
      </w:r>
      <w:r w:rsidR="00527F1A" w:rsidRPr="00B34C19">
        <w:rPr>
          <w:color w:val="000000"/>
          <w:lang w:val="en-GB"/>
        </w:rPr>
        <w:t>, GNRs might become conflated with development.</w:t>
      </w:r>
      <w:r w:rsidR="00527F1A" w:rsidRPr="00B34C19">
        <w:rPr>
          <w:rStyle w:val="FootnoteReference"/>
          <w:color w:val="000000"/>
          <w:lang w:val="en-GB"/>
        </w:rPr>
        <w:footnoteReference w:id="107"/>
      </w:r>
    </w:p>
    <w:p w14:paraId="5CA149B0" w14:textId="3294BC61" w:rsidR="003B502D" w:rsidRPr="00B34C19" w:rsidRDefault="003B502D" w:rsidP="00E65CEB">
      <w:pPr>
        <w:autoSpaceDE w:val="0"/>
        <w:autoSpaceDN w:val="0"/>
        <w:adjustRightInd w:val="0"/>
        <w:spacing w:line="480" w:lineRule="auto"/>
        <w:jc w:val="both"/>
        <w:rPr>
          <w:color w:val="000000"/>
          <w:lang w:val="en-GB"/>
        </w:rPr>
      </w:pPr>
    </w:p>
    <w:p w14:paraId="4E316376" w14:textId="47624219" w:rsidR="003B502D" w:rsidRPr="00B34C19" w:rsidRDefault="003B502D" w:rsidP="00E65CEB">
      <w:pPr>
        <w:autoSpaceDE w:val="0"/>
        <w:autoSpaceDN w:val="0"/>
        <w:adjustRightInd w:val="0"/>
        <w:spacing w:line="480" w:lineRule="auto"/>
        <w:jc w:val="both"/>
        <w:rPr>
          <w:color w:val="000000"/>
          <w:lang w:val="en-GB"/>
        </w:rPr>
      </w:pPr>
      <w:r w:rsidRPr="00B34C19">
        <w:rPr>
          <w:color w:val="000000"/>
          <w:lang w:val="en-GB"/>
        </w:rPr>
        <w:t xml:space="preserve">It should be clear from the foregoing that GNRs have a deeply institutionalist logic insofar as it emphasises the organisations, rules and norms that govern behaviour. The acceptance that </w:t>
      </w:r>
      <w:r w:rsidRPr="00B34C19">
        <w:rPr>
          <w:color w:val="000000"/>
          <w:lang w:val="en-GB"/>
        </w:rPr>
        <w:lastRenderedPageBreak/>
        <w:t>GNRs cannot in fact guarantee non-recurrence</w:t>
      </w:r>
      <w:r w:rsidR="00BD443D" w:rsidRPr="00B34C19">
        <w:rPr>
          <w:color w:val="000000"/>
          <w:lang w:val="en-GB"/>
        </w:rPr>
        <w:t xml:space="preserve"> </w:t>
      </w:r>
      <w:r w:rsidRPr="00B34C19">
        <w:rPr>
          <w:color w:val="000000"/>
          <w:lang w:val="en-GB"/>
        </w:rPr>
        <w:t>signals an awareness that</w:t>
      </w:r>
      <w:r w:rsidR="00BD443D" w:rsidRPr="00B34C19">
        <w:rPr>
          <w:color w:val="000000"/>
          <w:lang w:val="en-GB"/>
        </w:rPr>
        <w:t xml:space="preserve"> these reformist projects are bound up in, and conditioned by, broader socio-political developments. It is to this that attention now turns.</w:t>
      </w:r>
    </w:p>
    <w:p w14:paraId="61CF6EF9" w14:textId="77777777" w:rsidR="00E75C36" w:rsidRPr="00B34C19" w:rsidRDefault="00E75C36" w:rsidP="00E65CEB">
      <w:pPr>
        <w:autoSpaceDE w:val="0"/>
        <w:autoSpaceDN w:val="0"/>
        <w:adjustRightInd w:val="0"/>
        <w:spacing w:line="480" w:lineRule="auto"/>
        <w:jc w:val="both"/>
        <w:rPr>
          <w:color w:val="000000"/>
          <w:lang w:val="en-GB"/>
        </w:rPr>
      </w:pPr>
    </w:p>
    <w:p w14:paraId="3EAC3545" w14:textId="79759F32" w:rsidR="008D1CB9" w:rsidRPr="00B34C19" w:rsidRDefault="008D1CB9" w:rsidP="00E65CEB">
      <w:pPr>
        <w:autoSpaceDE w:val="0"/>
        <w:autoSpaceDN w:val="0"/>
        <w:adjustRightInd w:val="0"/>
        <w:spacing w:line="480" w:lineRule="auto"/>
        <w:jc w:val="both"/>
        <w:rPr>
          <w:color w:val="000000"/>
          <w:lang w:val="en-GB"/>
        </w:rPr>
      </w:pPr>
    </w:p>
    <w:p w14:paraId="306948A3" w14:textId="49E1849E" w:rsidR="004C12A3" w:rsidRPr="00F4113B" w:rsidRDefault="00E75C36" w:rsidP="00E65CEB">
      <w:pPr>
        <w:autoSpaceDE w:val="0"/>
        <w:autoSpaceDN w:val="0"/>
        <w:adjustRightInd w:val="0"/>
        <w:spacing w:line="480" w:lineRule="auto"/>
        <w:jc w:val="both"/>
        <w:rPr>
          <w:b/>
          <w:bCs/>
          <w:color w:val="000000"/>
          <w:sz w:val="28"/>
          <w:szCs w:val="28"/>
          <w:lang w:val="en-GB"/>
        </w:rPr>
      </w:pPr>
      <w:r w:rsidRPr="00F4113B">
        <w:rPr>
          <w:b/>
          <w:bCs/>
          <w:color w:val="000000"/>
          <w:sz w:val="28"/>
          <w:szCs w:val="28"/>
          <w:lang w:val="en-GB"/>
        </w:rPr>
        <w:t xml:space="preserve">3. </w:t>
      </w:r>
      <w:r w:rsidR="004C12A3" w:rsidRPr="00F4113B">
        <w:rPr>
          <w:b/>
          <w:bCs/>
          <w:color w:val="000000"/>
          <w:sz w:val="28"/>
          <w:szCs w:val="28"/>
          <w:lang w:val="en-GB"/>
        </w:rPr>
        <w:t>The Informal Logic of Settlements</w:t>
      </w:r>
    </w:p>
    <w:p w14:paraId="14AA5F8C" w14:textId="77777777" w:rsidR="008D1CB9" w:rsidRPr="00B34C19" w:rsidRDefault="008D1CB9" w:rsidP="00E65CEB">
      <w:pPr>
        <w:autoSpaceDE w:val="0"/>
        <w:autoSpaceDN w:val="0"/>
        <w:adjustRightInd w:val="0"/>
        <w:spacing w:line="480" w:lineRule="auto"/>
        <w:jc w:val="both"/>
        <w:rPr>
          <w:color w:val="000000"/>
          <w:lang w:val="en-GB"/>
        </w:rPr>
      </w:pPr>
    </w:p>
    <w:p w14:paraId="356D031A" w14:textId="19BDB3FB" w:rsidR="00FB4B3F" w:rsidRPr="00B34C19" w:rsidRDefault="00386AFD" w:rsidP="00E65CEB">
      <w:pPr>
        <w:spacing w:line="480" w:lineRule="auto"/>
        <w:jc w:val="both"/>
        <w:rPr>
          <w:color w:val="000000"/>
          <w:lang w:val="en-GB"/>
        </w:rPr>
      </w:pPr>
      <w:r w:rsidRPr="00B34C19">
        <w:rPr>
          <w:color w:val="000000"/>
          <w:lang w:val="en-GB"/>
        </w:rPr>
        <w:t>As their explicit reliance on systemic reform and capacity</w:t>
      </w:r>
      <w:r w:rsidR="003C0D93" w:rsidRPr="00B34C19">
        <w:rPr>
          <w:color w:val="000000"/>
          <w:lang w:val="en-GB"/>
        </w:rPr>
        <w:t>-</w:t>
      </w:r>
      <w:r w:rsidRPr="00B34C19">
        <w:rPr>
          <w:color w:val="000000"/>
          <w:lang w:val="en-GB"/>
        </w:rPr>
        <w:t xml:space="preserve">building imply, </w:t>
      </w:r>
      <w:r w:rsidR="00457BF9" w:rsidRPr="00B34C19">
        <w:rPr>
          <w:color w:val="000000"/>
          <w:lang w:val="en-GB"/>
        </w:rPr>
        <w:t>GNRs are premised on the assumption that stability is best secured by legitimate institutional arrangements</w:t>
      </w:r>
      <w:r w:rsidRPr="00B34C19">
        <w:rPr>
          <w:color w:val="000000"/>
          <w:lang w:val="en-GB"/>
        </w:rPr>
        <w:t xml:space="preserve"> that </w:t>
      </w:r>
      <w:r w:rsidR="00C86FE7" w:rsidRPr="00B34C19">
        <w:rPr>
          <w:color w:val="000000"/>
          <w:lang w:val="en-GB"/>
        </w:rPr>
        <w:t xml:space="preserve">prevent abuses </w:t>
      </w:r>
      <w:r w:rsidR="006E3258" w:rsidRPr="00B34C19">
        <w:rPr>
          <w:color w:val="000000"/>
          <w:lang w:val="en-GB"/>
        </w:rPr>
        <w:t xml:space="preserve">by overweening institutions like the civil service, army or police. However, even if these institutions are reformed, there may still be no </w:t>
      </w:r>
      <w:r w:rsidR="00CA26BE" w:rsidRPr="00B34C19">
        <w:rPr>
          <w:color w:val="000000"/>
          <w:lang w:val="en-GB"/>
        </w:rPr>
        <w:t xml:space="preserve">shared </w:t>
      </w:r>
      <w:r w:rsidR="006E3258" w:rsidRPr="00B34C19">
        <w:rPr>
          <w:color w:val="000000"/>
          <w:lang w:val="en-GB"/>
        </w:rPr>
        <w:t>sense</w:t>
      </w:r>
      <w:r w:rsidR="00CA26BE" w:rsidRPr="00B34C19">
        <w:rPr>
          <w:color w:val="000000"/>
          <w:lang w:val="en-GB"/>
        </w:rPr>
        <w:t xml:space="preserve"> among </w:t>
      </w:r>
      <w:r w:rsidR="00574BA2" w:rsidRPr="00B34C19">
        <w:rPr>
          <w:color w:val="000000"/>
          <w:lang w:val="en-GB"/>
        </w:rPr>
        <w:t>antagonists</w:t>
      </w:r>
      <w:r w:rsidR="006E3258" w:rsidRPr="00B34C19">
        <w:rPr>
          <w:color w:val="000000"/>
          <w:lang w:val="en-GB"/>
        </w:rPr>
        <w:t xml:space="preserve"> that institutions can replicate the function they serve in the West in </w:t>
      </w:r>
      <w:r w:rsidR="006B49F5" w:rsidRPr="00B34C19">
        <w:rPr>
          <w:color w:val="000000"/>
          <w:lang w:val="en-GB"/>
        </w:rPr>
        <w:t>cabining politics within acceptable limits or ensuring stability through rules that channel collective action.</w:t>
      </w:r>
      <w:r w:rsidR="006E3258" w:rsidRPr="00B34C19">
        <w:rPr>
          <w:rStyle w:val="FootnoteReference"/>
          <w:color w:val="000000"/>
          <w:lang w:val="en-GB"/>
        </w:rPr>
        <w:footnoteReference w:id="108"/>
      </w:r>
      <w:r w:rsidR="00BA7692" w:rsidRPr="00B34C19">
        <w:rPr>
          <w:color w:val="000000"/>
          <w:lang w:val="en-GB"/>
        </w:rPr>
        <w:t xml:space="preserve"> Far from being overweening, institutions in </w:t>
      </w:r>
      <w:r w:rsidR="00D33787" w:rsidRPr="00B34C19">
        <w:rPr>
          <w:color w:val="000000"/>
          <w:lang w:val="en-GB"/>
        </w:rPr>
        <w:t>the developing world</w:t>
      </w:r>
      <w:r w:rsidR="00BA7692" w:rsidRPr="00B34C19">
        <w:rPr>
          <w:color w:val="000000"/>
          <w:lang w:val="en-GB"/>
        </w:rPr>
        <w:t xml:space="preserve"> have little constraining effect. </w:t>
      </w:r>
      <w:r w:rsidR="009418F5" w:rsidRPr="00B34C19">
        <w:rPr>
          <w:color w:val="000000"/>
          <w:lang w:val="en-GB"/>
        </w:rPr>
        <w:t>In many artificially constructed post-colonial states, the use of the exchequer to strengthen personalistic rule enfeebled the state as an instrument for organising, exerting and reproducing administrative power.</w:t>
      </w:r>
      <w:r w:rsidR="003056F5" w:rsidRPr="00B34C19">
        <w:rPr>
          <w:color w:val="000000"/>
          <w:lang w:val="en-GB"/>
        </w:rPr>
        <w:t xml:space="preserve"> </w:t>
      </w:r>
      <w:r w:rsidR="003056F5" w:rsidRPr="00B34C19">
        <w:t xml:space="preserve">Even good faith reforms </w:t>
      </w:r>
      <w:r w:rsidR="006B49F5" w:rsidRPr="00B34C19">
        <w:t xml:space="preserve">with  some degree of </w:t>
      </w:r>
      <w:r w:rsidR="003056F5" w:rsidRPr="00B34C19">
        <w:t>political</w:t>
      </w:r>
      <w:r w:rsidR="003C0D93" w:rsidRPr="00B34C19">
        <w:t xml:space="preserve"> will</w:t>
      </w:r>
      <w:r w:rsidR="003056F5" w:rsidRPr="00B34C19">
        <w:t xml:space="preserve"> tend to fail because they endanger the patronage systems through which weak states are maintained.</w:t>
      </w:r>
      <w:r w:rsidR="003056F5" w:rsidRPr="00B34C19">
        <w:rPr>
          <w:rStyle w:val="FootnoteReference"/>
        </w:rPr>
        <w:footnoteReference w:id="109"/>
      </w:r>
      <w:r w:rsidR="00545838" w:rsidRPr="00B34C19">
        <w:rPr>
          <w:color w:val="000000"/>
          <w:lang w:val="en-GB"/>
        </w:rPr>
        <w:t xml:space="preserve"> There exist competing locations of authority that may be weaker than the state in coercive capacity but nevertheless enjoy greater political legitimacy in the eyes of many. This lack of legitimacy </w:t>
      </w:r>
      <w:r w:rsidR="003056F5" w:rsidRPr="00B34C19">
        <w:rPr>
          <w:color w:val="000000"/>
          <w:lang w:val="en-GB"/>
        </w:rPr>
        <w:t xml:space="preserve">further </w:t>
      </w:r>
      <w:r w:rsidR="00545838" w:rsidRPr="00B34C19">
        <w:rPr>
          <w:color w:val="000000"/>
          <w:lang w:val="en-GB"/>
        </w:rPr>
        <w:t xml:space="preserve">reduces the power of institutions. </w:t>
      </w:r>
      <w:r w:rsidR="00536359" w:rsidRPr="00B34C19">
        <w:rPr>
          <w:color w:val="000000"/>
          <w:lang w:val="en-GB"/>
        </w:rPr>
        <w:t>Developing world i</w:t>
      </w:r>
      <w:r w:rsidR="00545838" w:rsidRPr="00B34C19">
        <w:rPr>
          <w:color w:val="000000"/>
          <w:lang w:val="en-GB"/>
        </w:rPr>
        <w:t xml:space="preserve">nstitutions </w:t>
      </w:r>
      <w:r w:rsidR="00985299" w:rsidRPr="00B34C19">
        <w:rPr>
          <w:color w:val="000000"/>
          <w:lang w:val="en-GB"/>
        </w:rPr>
        <w:t xml:space="preserve">therefore </w:t>
      </w:r>
      <w:r w:rsidR="00985299" w:rsidRPr="00B34C19">
        <w:rPr>
          <w:color w:val="000000"/>
          <w:lang w:val="en-GB"/>
        </w:rPr>
        <w:lastRenderedPageBreak/>
        <w:t xml:space="preserve">operate not on the basis of the Weberian rationality of autonomous and </w:t>
      </w:r>
      <w:r w:rsidR="00704BD2" w:rsidRPr="00B34C19">
        <w:rPr>
          <w:color w:val="000000"/>
          <w:lang w:val="en-GB"/>
        </w:rPr>
        <w:t xml:space="preserve">all-powerful </w:t>
      </w:r>
      <w:r w:rsidR="00985299" w:rsidRPr="00B34C19">
        <w:rPr>
          <w:color w:val="000000"/>
          <w:lang w:val="en-GB"/>
        </w:rPr>
        <w:t>meritocratic bureaucracies. Even in peacetime, government</w:t>
      </w:r>
      <w:r w:rsidR="006B49F5" w:rsidRPr="00B34C19">
        <w:rPr>
          <w:color w:val="000000"/>
          <w:lang w:val="en-GB"/>
        </w:rPr>
        <w:t>s</w:t>
      </w:r>
      <w:r w:rsidR="00985299" w:rsidRPr="00B34C19">
        <w:rPr>
          <w:color w:val="000000"/>
          <w:lang w:val="en-GB"/>
        </w:rPr>
        <w:t xml:space="preserve"> are generally ‘in varying degrees</w:t>
      </w:r>
      <w:r w:rsidR="00985299" w:rsidRPr="00B34C19">
        <w:t xml:space="preserve"> fragile, arbitrary, representative only of narrow interests and thus lack credibility; legal institutions are neither impartial nor influential; and politics tend to be unstable or deeply conflictual.’</w:t>
      </w:r>
      <w:r w:rsidR="00985299" w:rsidRPr="00B34C19">
        <w:rPr>
          <w:rStyle w:val="FootnoteReference"/>
        </w:rPr>
        <w:footnoteReference w:id="110"/>
      </w:r>
      <w:r w:rsidR="00C31892" w:rsidRPr="00B34C19">
        <w:t xml:space="preserve"> </w:t>
      </w:r>
      <w:r w:rsidR="006B49F5" w:rsidRPr="00B34C19">
        <w:t xml:space="preserve">As a result, </w:t>
      </w:r>
      <w:r w:rsidR="006B49F5" w:rsidRPr="00B34C19">
        <w:rPr>
          <w:color w:val="000000"/>
          <w:lang w:val="en-GB"/>
        </w:rPr>
        <w:t>t</w:t>
      </w:r>
      <w:r w:rsidR="00BA7692" w:rsidRPr="00B34C19">
        <w:rPr>
          <w:color w:val="000000"/>
          <w:lang w:val="en-GB"/>
        </w:rPr>
        <w:t>he design of formal state institutions, in the sense of rules o</w:t>
      </w:r>
      <w:r w:rsidR="003C0D93" w:rsidRPr="00B34C19">
        <w:rPr>
          <w:color w:val="000000"/>
          <w:lang w:val="en-GB"/>
        </w:rPr>
        <w:t>r</w:t>
      </w:r>
      <w:r w:rsidR="00BA7692" w:rsidRPr="00B34C19">
        <w:rPr>
          <w:color w:val="000000"/>
          <w:lang w:val="en-GB"/>
        </w:rPr>
        <w:t xml:space="preserve"> norms that govern behaviour, seldom determines economic or political outcomes.</w:t>
      </w:r>
      <w:r w:rsidR="00BA7692" w:rsidRPr="00B34C19">
        <w:rPr>
          <w:rStyle w:val="FootnoteReference"/>
          <w:color w:val="000000"/>
          <w:lang w:val="en-GB"/>
        </w:rPr>
        <w:footnoteReference w:id="111"/>
      </w:r>
      <w:r w:rsidR="00C31892" w:rsidRPr="00B34C19">
        <w:rPr>
          <w:color w:val="000000"/>
          <w:lang w:val="en-GB"/>
        </w:rPr>
        <w:t xml:space="preserve"> In situation</w:t>
      </w:r>
      <w:r w:rsidR="006B49F5" w:rsidRPr="00B34C19">
        <w:rPr>
          <w:color w:val="000000"/>
          <w:lang w:val="en-GB"/>
        </w:rPr>
        <w:t>s</w:t>
      </w:r>
      <w:r w:rsidR="00C31892" w:rsidRPr="00B34C19">
        <w:rPr>
          <w:color w:val="000000"/>
          <w:lang w:val="en-GB"/>
        </w:rPr>
        <w:t xml:space="preserve">, therefore, where institutional rules </w:t>
      </w:r>
      <w:r w:rsidR="006B49F5" w:rsidRPr="00B34C19">
        <w:rPr>
          <w:color w:val="000000"/>
          <w:lang w:val="en-GB"/>
        </w:rPr>
        <w:t>are</w:t>
      </w:r>
      <w:r w:rsidR="00C31892" w:rsidRPr="00B34C19">
        <w:rPr>
          <w:color w:val="000000"/>
          <w:lang w:val="en-GB"/>
        </w:rPr>
        <w:t xml:space="preserve"> contested and routinely violated, actors </w:t>
      </w:r>
      <w:r w:rsidR="00B31A2E" w:rsidRPr="00B34C19">
        <w:rPr>
          <w:color w:val="000000"/>
          <w:lang w:val="en-GB"/>
        </w:rPr>
        <w:t xml:space="preserve">‘may develop expectations of instability’, creating </w:t>
      </w:r>
      <w:r w:rsidR="00536359" w:rsidRPr="00B34C19">
        <w:rPr>
          <w:color w:val="000000"/>
          <w:lang w:val="en-GB"/>
        </w:rPr>
        <w:t xml:space="preserve">what Levitsky and Murillo call </w:t>
      </w:r>
      <w:r w:rsidR="00B31A2E" w:rsidRPr="00B34C19">
        <w:rPr>
          <w:color w:val="000000"/>
          <w:lang w:val="en-GB"/>
        </w:rPr>
        <w:t>an ‘institutional instability trap’ where</w:t>
      </w:r>
      <w:r w:rsidR="00536359" w:rsidRPr="00B34C19">
        <w:rPr>
          <w:color w:val="000000"/>
          <w:lang w:val="en-GB"/>
        </w:rPr>
        <w:t>by</w:t>
      </w:r>
      <w:r w:rsidR="00B31A2E" w:rsidRPr="00B34C19">
        <w:rPr>
          <w:color w:val="000000"/>
          <w:lang w:val="en-GB"/>
        </w:rPr>
        <w:t xml:space="preserve"> powerful actors neither rely on institutions nor invest in them</w:t>
      </w:r>
      <w:r w:rsidR="00C31892" w:rsidRPr="00B34C19">
        <w:rPr>
          <w:color w:val="000000"/>
          <w:lang w:val="en-GB"/>
        </w:rPr>
        <w:t>.</w:t>
      </w:r>
      <w:r w:rsidR="00C31892" w:rsidRPr="00B34C19">
        <w:rPr>
          <w:rStyle w:val="FootnoteReference"/>
          <w:color w:val="000000"/>
          <w:lang w:val="en-GB"/>
        </w:rPr>
        <w:footnoteReference w:id="112"/>
      </w:r>
      <w:r w:rsidR="00C31892" w:rsidRPr="00B34C19">
        <w:rPr>
          <w:color w:val="000000"/>
          <w:lang w:val="en-GB"/>
        </w:rPr>
        <w:t xml:space="preserve"> </w:t>
      </w:r>
      <w:r w:rsidR="00B31A2E" w:rsidRPr="00B34C19">
        <w:rPr>
          <w:color w:val="000000"/>
          <w:lang w:val="en-GB"/>
        </w:rPr>
        <w:t xml:space="preserve">They may maintain faith in some institutions (for example, reformed security forces) but  also rely </w:t>
      </w:r>
      <w:r w:rsidR="006B49F5" w:rsidRPr="00B34C19">
        <w:rPr>
          <w:color w:val="000000"/>
          <w:lang w:val="en-GB"/>
        </w:rPr>
        <w:t xml:space="preserve">to a greater degree </w:t>
      </w:r>
      <w:r w:rsidR="00B31A2E" w:rsidRPr="00B34C19">
        <w:rPr>
          <w:color w:val="000000"/>
          <w:lang w:val="en-GB"/>
        </w:rPr>
        <w:t xml:space="preserve">on </w:t>
      </w:r>
      <w:r w:rsidR="006B49F5" w:rsidRPr="00B34C19">
        <w:rPr>
          <w:color w:val="000000"/>
          <w:lang w:val="en-GB"/>
        </w:rPr>
        <w:t xml:space="preserve">long-familiar </w:t>
      </w:r>
      <w:r w:rsidR="00B31A2E" w:rsidRPr="00B34C19">
        <w:rPr>
          <w:color w:val="000000"/>
          <w:lang w:val="en-GB"/>
        </w:rPr>
        <w:t>‘extrainstitutional’ options.</w:t>
      </w:r>
      <w:r w:rsidR="00B31A2E" w:rsidRPr="00B34C19">
        <w:rPr>
          <w:rStyle w:val="FootnoteReference"/>
          <w:color w:val="000000"/>
          <w:lang w:val="en-GB"/>
        </w:rPr>
        <w:footnoteReference w:id="113"/>
      </w:r>
      <w:r w:rsidR="00C31892" w:rsidRPr="00B34C19">
        <w:rPr>
          <w:color w:val="000000"/>
          <w:lang w:val="en-GB"/>
        </w:rPr>
        <w:t xml:space="preserve"> </w:t>
      </w:r>
      <w:r w:rsidR="0032725B" w:rsidRPr="00B34C19">
        <w:rPr>
          <w:color w:val="000000"/>
          <w:lang w:val="en-GB"/>
        </w:rPr>
        <w:t xml:space="preserve">It should be clear, therefore, that </w:t>
      </w:r>
      <w:r w:rsidR="003016DE" w:rsidRPr="00B34C19">
        <w:rPr>
          <w:color w:val="000000"/>
          <w:lang w:val="en-GB"/>
        </w:rPr>
        <w:t>advocates for</w:t>
      </w:r>
      <w:r w:rsidR="0032725B" w:rsidRPr="00B34C19">
        <w:rPr>
          <w:color w:val="000000"/>
          <w:lang w:val="en-GB"/>
        </w:rPr>
        <w:t xml:space="preserve"> GNR</w:t>
      </w:r>
      <w:r w:rsidR="003016DE" w:rsidRPr="00B34C19">
        <w:rPr>
          <w:color w:val="000000"/>
          <w:lang w:val="en-GB"/>
        </w:rPr>
        <w:t xml:space="preserve">s </w:t>
      </w:r>
      <w:r w:rsidR="0032725B" w:rsidRPr="00B34C19">
        <w:rPr>
          <w:color w:val="000000"/>
          <w:lang w:val="en-GB"/>
        </w:rPr>
        <w:t xml:space="preserve">might over-emphasise </w:t>
      </w:r>
      <w:r w:rsidR="003016DE" w:rsidRPr="00B34C19">
        <w:rPr>
          <w:color w:val="000000"/>
          <w:lang w:val="en-GB"/>
        </w:rPr>
        <w:t xml:space="preserve">their </w:t>
      </w:r>
      <w:r w:rsidR="00536359" w:rsidRPr="00B34C19">
        <w:rPr>
          <w:color w:val="000000"/>
          <w:lang w:val="en-GB"/>
        </w:rPr>
        <w:t>relative importance</w:t>
      </w:r>
      <w:r w:rsidR="0032725B" w:rsidRPr="00B34C19">
        <w:rPr>
          <w:color w:val="000000"/>
          <w:lang w:val="en-GB"/>
        </w:rPr>
        <w:t xml:space="preserve"> to short- and medium-term pacification because the literature</w:t>
      </w:r>
      <w:r w:rsidR="008901A5" w:rsidRPr="00B34C19">
        <w:rPr>
          <w:color w:val="000000"/>
          <w:lang w:val="en-GB"/>
        </w:rPr>
        <w:t>’s implicit theory of change</w:t>
      </w:r>
      <w:r w:rsidR="0032725B" w:rsidRPr="00B34C19">
        <w:rPr>
          <w:color w:val="000000"/>
          <w:lang w:val="en-GB"/>
        </w:rPr>
        <w:t xml:space="preserve"> inadequately captures how little </w:t>
      </w:r>
      <w:r w:rsidR="003016DE" w:rsidRPr="00B34C19">
        <w:rPr>
          <w:color w:val="000000"/>
          <w:lang w:val="en-GB"/>
        </w:rPr>
        <w:t>dependence is</w:t>
      </w:r>
      <w:r w:rsidR="0032725B" w:rsidRPr="00B34C19">
        <w:rPr>
          <w:color w:val="000000"/>
          <w:lang w:val="en-GB"/>
        </w:rPr>
        <w:t xml:space="preserve"> attached to formal institutions</w:t>
      </w:r>
      <w:r w:rsidR="00DF22B6" w:rsidRPr="00B34C19">
        <w:rPr>
          <w:color w:val="000000"/>
          <w:lang w:val="en-GB"/>
        </w:rPr>
        <w:t xml:space="preserve"> in political life</w:t>
      </w:r>
      <w:r w:rsidR="0032725B" w:rsidRPr="00B34C19">
        <w:rPr>
          <w:color w:val="000000"/>
          <w:lang w:val="en-GB"/>
        </w:rPr>
        <w:t>.</w:t>
      </w:r>
      <w:r w:rsidR="008901A5" w:rsidRPr="00B34C19">
        <w:rPr>
          <w:color w:val="000000"/>
          <w:lang w:val="en-GB"/>
        </w:rPr>
        <w:t xml:space="preserve"> </w:t>
      </w:r>
    </w:p>
    <w:p w14:paraId="14A0BF5D" w14:textId="77777777" w:rsidR="00FB4B3F" w:rsidRPr="00B34C19" w:rsidRDefault="00FB4B3F" w:rsidP="00E65CEB">
      <w:pPr>
        <w:autoSpaceDE w:val="0"/>
        <w:autoSpaceDN w:val="0"/>
        <w:adjustRightInd w:val="0"/>
        <w:spacing w:line="480" w:lineRule="auto"/>
        <w:rPr>
          <w:lang w:val="en-GB"/>
        </w:rPr>
      </w:pPr>
    </w:p>
    <w:p w14:paraId="3D14CD7A" w14:textId="70645FDD" w:rsidR="00C948BF" w:rsidRPr="00B34C19" w:rsidRDefault="005E0CE3" w:rsidP="00E65CEB">
      <w:pPr>
        <w:autoSpaceDE w:val="0"/>
        <w:autoSpaceDN w:val="0"/>
        <w:adjustRightInd w:val="0"/>
        <w:spacing w:line="480" w:lineRule="auto"/>
        <w:jc w:val="both"/>
        <w:rPr>
          <w:color w:val="000000"/>
          <w:lang w:val="en-GB"/>
        </w:rPr>
      </w:pPr>
      <w:r w:rsidRPr="00B34C19">
        <w:rPr>
          <w:color w:val="000000"/>
          <w:lang w:val="en-GB"/>
        </w:rPr>
        <w:t>Settlements are how states cope with the permanence of threat and th</w:t>
      </w:r>
      <w:r w:rsidR="00DF22B6" w:rsidRPr="00B34C19">
        <w:rPr>
          <w:color w:val="000000"/>
          <w:lang w:val="en-GB"/>
        </w:rPr>
        <w:t>is</w:t>
      </w:r>
      <w:r w:rsidRPr="00B34C19">
        <w:rPr>
          <w:color w:val="000000"/>
          <w:lang w:val="en-GB"/>
        </w:rPr>
        <w:t xml:space="preserve"> inability of institutions to regulate state and society. </w:t>
      </w:r>
      <w:r w:rsidR="003F4BB8" w:rsidRPr="00B34C19">
        <w:rPr>
          <w:color w:val="000000"/>
          <w:lang w:val="en-GB"/>
        </w:rPr>
        <w:t xml:space="preserve">As befits a somewhat amorphous and intuitive concept, there are </w:t>
      </w:r>
      <w:r w:rsidR="003F4BB8" w:rsidRPr="00B34C19">
        <w:rPr>
          <w:color w:val="000000"/>
          <w:lang w:val="en-GB"/>
        </w:rPr>
        <w:lastRenderedPageBreak/>
        <w:t>any number of non-contradictory definitions</w:t>
      </w:r>
      <w:r w:rsidR="00E2329D" w:rsidRPr="00B34C19">
        <w:rPr>
          <w:color w:val="000000"/>
          <w:lang w:val="en-GB"/>
        </w:rPr>
        <w:t xml:space="preserve"> (Laws offers sixteen of them!),</w:t>
      </w:r>
      <w:r w:rsidR="00E2329D" w:rsidRPr="00B34C19">
        <w:rPr>
          <w:rStyle w:val="FootnoteReference"/>
          <w:color w:val="000000"/>
          <w:lang w:val="en-GB"/>
        </w:rPr>
        <w:footnoteReference w:id="114"/>
      </w:r>
      <w:r w:rsidR="00E2329D" w:rsidRPr="00B34C19">
        <w:rPr>
          <w:color w:val="000000"/>
          <w:lang w:val="en-GB"/>
        </w:rPr>
        <w:t xml:space="preserve"> one of which has been employed already.</w:t>
      </w:r>
      <w:r w:rsidR="00E2329D" w:rsidRPr="00B34C19">
        <w:rPr>
          <w:rStyle w:val="FootnoteReference"/>
          <w:color w:val="000000"/>
          <w:lang w:val="en-GB"/>
        </w:rPr>
        <w:footnoteReference w:id="115"/>
      </w:r>
      <w:r w:rsidR="003F4BB8" w:rsidRPr="00B34C19">
        <w:rPr>
          <w:color w:val="000000"/>
          <w:lang w:val="en-GB"/>
        </w:rPr>
        <w:t xml:space="preserve"> </w:t>
      </w:r>
      <w:r w:rsidR="00CB55C8" w:rsidRPr="00B34C19">
        <w:rPr>
          <w:color w:val="000000"/>
          <w:lang w:val="en-GB"/>
        </w:rPr>
        <w:t>The unifying element in all of them ‘is the idea of a tacit agreement among the most powerful members of a society about the conditions under which they are prepared to engage in some form of peaceful competition, rather than resort to violence.’</w:t>
      </w:r>
      <w:r w:rsidR="00CB55C8" w:rsidRPr="00B34C19">
        <w:rPr>
          <w:rStyle w:val="FootnoteReference"/>
          <w:color w:val="000000"/>
          <w:lang w:val="en-GB"/>
        </w:rPr>
        <w:footnoteReference w:id="116"/>
      </w:r>
      <w:r w:rsidR="003F4BB8" w:rsidRPr="00B34C19">
        <w:rPr>
          <w:color w:val="000000"/>
          <w:lang w:val="en-GB"/>
        </w:rPr>
        <w:t xml:space="preserve"> </w:t>
      </w:r>
      <w:r w:rsidR="00BA574D" w:rsidRPr="00B34C19">
        <w:rPr>
          <w:color w:val="000000"/>
          <w:lang w:val="en-GB"/>
        </w:rPr>
        <w:t xml:space="preserve">Essentially, </w:t>
      </w:r>
      <w:r w:rsidR="00C948BF" w:rsidRPr="00B34C19">
        <w:rPr>
          <w:color w:val="000000"/>
          <w:lang w:val="en-GB"/>
        </w:rPr>
        <w:t>the concept</w:t>
      </w:r>
      <w:r w:rsidR="00BA574D" w:rsidRPr="00B34C19">
        <w:rPr>
          <w:color w:val="000000"/>
          <w:lang w:val="en-GB"/>
        </w:rPr>
        <w:t xml:space="preserve"> serves as a shorthand for describing how power relations are co-ordinated and applied over a prolonged period of time</w:t>
      </w:r>
      <w:r w:rsidR="009231DE" w:rsidRPr="00B34C19">
        <w:rPr>
          <w:color w:val="000000"/>
          <w:lang w:val="en-GB"/>
        </w:rPr>
        <w:t xml:space="preserve"> where institutions have historically proven unreliable</w:t>
      </w:r>
      <w:r w:rsidR="00BA574D" w:rsidRPr="00B34C19">
        <w:rPr>
          <w:color w:val="000000"/>
          <w:lang w:val="en-GB"/>
        </w:rPr>
        <w:t>.</w:t>
      </w:r>
      <w:r w:rsidR="00C948BF" w:rsidRPr="00B34C19">
        <w:rPr>
          <w:color w:val="000000"/>
          <w:lang w:val="en-GB"/>
        </w:rPr>
        <w:t xml:space="preserve"> </w:t>
      </w:r>
      <w:r w:rsidR="00A63192" w:rsidRPr="00B34C19">
        <w:rPr>
          <w:color w:val="000000"/>
          <w:lang w:val="en-GB"/>
        </w:rPr>
        <w:t>A durable s</w:t>
      </w:r>
      <w:r w:rsidR="00C948BF" w:rsidRPr="00B34C19">
        <w:rPr>
          <w:color w:val="000000"/>
          <w:lang w:val="en-GB"/>
        </w:rPr>
        <w:t>ettlement ‘is the precondition for politics’ anywhere</w:t>
      </w:r>
      <w:r w:rsidR="00C948BF" w:rsidRPr="00B34C19">
        <w:rPr>
          <w:rStyle w:val="FootnoteReference"/>
          <w:color w:val="000000"/>
          <w:lang w:val="en-GB"/>
        </w:rPr>
        <w:footnoteReference w:id="117"/>
      </w:r>
      <w:r w:rsidR="00A63192" w:rsidRPr="00B34C19">
        <w:rPr>
          <w:color w:val="000000"/>
          <w:lang w:val="en-GB"/>
        </w:rPr>
        <w:t xml:space="preserve"> and the ‘bedrock’ of any resilience.</w:t>
      </w:r>
      <w:r w:rsidR="00A63192" w:rsidRPr="00B34C19">
        <w:rPr>
          <w:rStyle w:val="FootnoteReference"/>
          <w:color w:val="000000"/>
          <w:lang w:val="en-GB"/>
        </w:rPr>
        <w:footnoteReference w:id="118"/>
      </w:r>
    </w:p>
    <w:p w14:paraId="52DEDE1C" w14:textId="621B9ADC" w:rsidR="00701F99" w:rsidRPr="00B34C19" w:rsidRDefault="00701F99" w:rsidP="00E65CEB">
      <w:pPr>
        <w:autoSpaceDE w:val="0"/>
        <w:autoSpaceDN w:val="0"/>
        <w:adjustRightInd w:val="0"/>
        <w:spacing w:line="480" w:lineRule="auto"/>
        <w:jc w:val="both"/>
        <w:rPr>
          <w:color w:val="000000"/>
          <w:lang w:val="en-GB"/>
        </w:rPr>
      </w:pPr>
    </w:p>
    <w:p w14:paraId="22D44F85" w14:textId="7080C6B3" w:rsidR="008D23B4" w:rsidRPr="00B34C19" w:rsidRDefault="006B49F5" w:rsidP="00E65CEB">
      <w:pPr>
        <w:autoSpaceDE w:val="0"/>
        <w:autoSpaceDN w:val="0"/>
        <w:adjustRightInd w:val="0"/>
        <w:spacing w:line="480" w:lineRule="auto"/>
        <w:jc w:val="both"/>
        <w:rPr>
          <w:color w:val="000000"/>
          <w:lang w:val="en-GB"/>
        </w:rPr>
      </w:pPr>
      <w:r w:rsidRPr="00B34C19">
        <w:rPr>
          <w:color w:val="000000"/>
          <w:lang w:val="en-GB"/>
        </w:rPr>
        <w:t>The concept of settlements developed from observations of political life</w:t>
      </w:r>
      <w:r w:rsidR="00A84FEB" w:rsidRPr="00B34C19">
        <w:rPr>
          <w:color w:val="000000"/>
          <w:lang w:val="en-GB"/>
        </w:rPr>
        <w:t xml:space="preserve"> by political econom</w:t>
      </w:r>
      <w:r w:rsidR="0086278A" w:rsidRPr="00B34C19">
        <w:rPr>
          <w:color w:val="000000"/>
          <w:lang w:val="en-GB"/>
        </w:rPr>
        <w:t>y and</w:t>
      </w:r>
      <w:r w:rsidR="00A84FEB" w:rsidRPr="00B34C19">
        <w:rPr>
          <w:color w:val="000000"/>
          <w:lang w:val="en-GB"/>
        </w:rPr>
        <w:t xml:space="preserve"> development specialist</w:t>
      </w:r>
      <w:r w:rsidR="0086278A" w:rsidRPr="00B34C19">
        <w:rPr>
          <w:color w:val="000000"/>
          <w:lang w:val="en-GB"/>
        </w:rPr>
        <w:t xml:space="preserve">s </w:t>
      </w:r>
      <w:r w:rsidR="00A84FEB" w:rsidRPr="00B34C19">
        <w:rPr>
          <w:color w:val="000000"/>
          <w:lang w:val="en-GB"/>
        </w:rPr>
        <w:t xml:space="preserve">to render legible the politics of development outside the </w:t>
      </w:r>
      <w:r w:rsidR="0006377B" w:rsidRPr="00B34C19">
        <w:rPr>
          <w:color w:val="000000"/>
          <w:lang w:val="en-GB"/>
        </w:rPr>
        <w:t>Global North</w:t>
      </w:r>
      <w:r w:rsidR="00A84FEB" w:rsidRPr="00B34C19">
        <w:rPr>
          <w:color w:val="000000"/>
          <w:lang w:val="en-GB"/>
        </w:rPr>
        <w:t>, and especially those states subjected to protracted conflict or fragility.</w:t>
      </w:r>
      <w:r w:rsidR="00A84FEB" w:rsidRPr="00B34C19">
        <w:rPr>
          <w:rStyle w:val="FootnoteReference"/>
          <w:color w:val="000000"/>
          <w:lang w:val="en-GB"/>
        </w:rPr>
        <w:footnoteReference w:id="119"/>
      </w:r>
      <w:r w:rsidR="00A84FEB" w:rsidRPr="00B34C19">
        <w:rPr>
          <w:color w:val="000000"/>
          <w:lang w:val="en-GB"/>
        </w:rPr>
        <w:t xml:space="preserve"> </w:t>
      </w:r>
      <w:r w:rsidR="0006377B" w:rsidRPr="00B34C19">
        <w:rPr>
          <w:color w:val="000000"/>
          <w:lang w:val="en-GB"/>
        </w:rPr>
        <w:t>Embraced by bodies like DFID</w:t>
      </w:r>
      <w:r w:rsidR="0006377B" w:rsidRPr="00B34C19">
        <w:rPr>
          <w:rStyle w:val="FootnoteReference"/>
          <w:color w:val="000000"/>
          <w:lang w:val="en-GB"/>
        </w:rPr>
        <w:footnoteReference w:id="120"/>
      </w:r>
      <w:r w:rsidR="0006377B" w:rsidRPr="00B34C19">
        <w:rPr>
          <w:color w:val="000000"/>
          <w:lang w:val="en-GB"/>
        </w:rPr>
        <w:t xml:space="preserve"> and the OECD,</w:t>
      </w:r>
      <w:r w:rsidR="001F0AA5" w:rsidRPr="00B34C19">
        <w:rPr>
          <w:rStyle w:val="FootnoteReference"/>
          <w:color w:val="000000"/>
          <w:lang w:val="en-GB"/>
        </w:rPr>
        <w:footnoteReference w:id="121"/>
      </w:r>
      <w:r w:rsidR="0006377B" w:rsidRPr="00B34C19">
        <w:rPr>
          <w:color w:val="000000"/>
          <w:lang w:val="en-GB"/>
        </w:rPr>
        <w:t xml:space="preserve"> </w:t>
      </w:r>
      <w:r w:rsidR="000861BB" w:rsidRPr="00B34C19">
        <w:rPr>
          <w:color w:val="000000"/>
          <w:lang w:val="en-GB"/>
        </w:rPr>
        <w:t>they can be seen as a departure from the naivety of liberal peacebuilding. S</w:t>
      </w:r>
      <w:r w:rsidR="00DF22B6" w:rsidRPr="00B34C19">
        <w:rPr>
          <w:color w:val="000000"/>
          <w:lang w:val="en-GB"/>
        </w:rPr>
        <w:t>ettlement theories</w:t>
      </w:r>
      <w:r w:rsidR="0086278A" w:rsidRPr="00B34C19">
        <w:rPr>
          <w:color w:val="000000"/>
          <w:lang w:val="en-GB"/>
        </w:rPr>
        <w:t xml:space="preserve"> draw </w:t>
      </w:r>
      <w:r w:rsidR="00704BD2" w:rsidRPr="00B34C19">
        <w:rPr>
          <w:color w:val="000000"/>
          <w:lang w:val="en-GB"/>
        </w:rPr>
        <w:t>o</w:t>
      </w:r>
      <w:r w:rsidR="00E02EC0" w:rsidRPr="00B34C19">
        <w:rPr>
          <w:color w:val="000000"/>
          <w:lang w:val="en-GB"/>
        </w:rPr>
        <w:t>n</w:t>
      </w:r>
      <w:r w:rsidR="00704BD2" w:rsidRPr="00B34C19">
        <w:rPr>
          <w:color w:val="000000"/>
          <w:lang w:val="en-GB"/>
        </w:rPr>
        <w:t xml:space="preserve"> </w:t>
      </w:r>
      <w:r w:rsidR="00E02EC0" w:rsidRPr="00B34C19">
        <w:rPr>
          <w:color w:val="000000"/>
          <w:lang w:val="en-GB"/>
        </w:rPr>
        <w:t>(</w:t>
      </w:r>
      <w:r w:rsidR="009231DE" w:rsidRPr="00B34C19">
        <w:rPr>
          <w:color w:val="000000"/>
          <w:lang w:val="en-GB"/>
        </w:rPr>
        <w:t xml:space="preserve">or </w:t>
      </w:r>
      <w:r w:rsidR="00DF22B6" w:rsidRPr="00B34C19">
        <w:rPr>
          <w:color w:val="000000"/>
          <w:lang w:val="en-GB"/>
        </w:rPr>
        <w:t>are</w:t>
      </w:r>
      <w:r w:rsidR="0086278A" w:rsidRPr="00B34C19">
        <w:rPr>
          <w:color w:val="000000"/>
          <w:lang w:val="en-GB"/>
        </w:rPr>
        <w:t xml:space="preserve"> influenced by</w:t>
      </w:r>
      <w:r w:rsidR="00E02EC0" w:rsidRPr="00B34C19">
        <w:rPr>
          <w:color w:val="000000"/>
          <w:lang w:val="en-GB"/>
        </w:rPr>
        <w:t>)</w:t>
      </w:r>
      <w:r w:rsidR="0086278A" w:rsidRPr="00B34C19">
        <w:rPr>
          <w:color w:val="000000"/>
          <w:lang w:val="en-GB"/>
        </w:rPr>
        <w:t xml:space="preserve"> social contract theory, institutionalist analysis and </w:t>
      </w:r>
      <w:r w:rsidR="0006377B" w:rsidRPr="00B34C19">
        <w:rPr>
          <w:color w:val="000000"/>
          <w:lang w:val="en-GB"/>
        </w:rPr>
        <w:t xml:space="preserve">sociological work positing the state as an arena of contestation </w:t>
      </w:r>
      <w:r w:rsidR="0006377B" w:rsidRPr="00B34C19">
        <w:rPr>
          <w:color w:val="000000"/>
          <w:lang w:val="en-GB"/>
        </w:rPr>
        <w:lastRenderedPageBreak/>
        <w:t xml:space="preserve">among different groups in society. </w:t>
      </w:r>
      <w:r w:rsidR="00066AFA" w:rsidRPr="00B34C19">
        <w:rPr>
          <w:color w:val="000000"/>
          <w:lang w:val="en-GB"/>
        </w:rPr>
        <w:t>Emerging from a critique of the primacy placed by New Institutional Economics on formal institutions, settlement has</w:t>
      </w:r>
      <w:r w:rsidR="00A84FEB" w:rsidRPr="00B34C19">
        <w:rPr>
          <w:color w:val="000000"/>
          <w:lang w:val="en-GB"/>
        </w:rPr>
        <w:t xml:space="preserve"> become the ‘epicentre</w:t>
      </w:r>
      <w:r w:rsidR="005B61DC" w:rsidRPr="00B34C19">
        <w:rPr>
          <w:color w:val="000000"/>
          <w:lang w:val="en-GB"/>
        </w:rPr>
        <w:t xml:space="preserve"> of political economy analysis’ in developing countries</w:t>
      </w:r>
      <w:r w:rsidR="00066AFA" w:rsidRPr="00B34C19">
        <w:rPr>
          <w:color w:val="000000"/>
          <w:lang w:val="en-GB"/>
        </w:rPr>
        <w:t>.</w:t>
      </w:r>
      <w:r w:rsidR="00066AFA" w:rsidRPr="00B34C19">
        <w:rPr>
          <w:rStyle w:val="FootnoteReference"/>
          <w:color w:val="000000"/>
          <w:lang w:val="en-GB"/>
        </w:rPr>
        <w:footnoteReference w:id="122"/>
      </w:r>
      <w:r w:rsidR="005B61DC" w:rsidRPr="00B34C19">
        <w:rPr>
          <w:color w:val="000000"/>
          <w:lang w:val="en-GB"/>
        </w:rPr>
        <w:t xml:space="preserve"> </w:t>
      </w:r>
      <w:r w:rsidR="0033144F" w:rsidRPr="00B34C19">
        <w:rPr>
          <w:color w:val="000000"/>
          <w:lang w:val="en-GB"/>
        </w:rPr>
        <w:t>The post-institutionalist turn represented by settlement analysis</w:t>
      </w:r>
      <w:r w:rsidR="00066AFA" w:rsidRPr="00B34C19">
        <w:rPr>
          <w:color w:val="000000"/>
          <w:lang w:val="en-GB"/>
        </w:rPr>
        <w:t xml:space="preserve"> permits</w:t>
      </w:r>
      <w:r w:rsidR="005B61DC" w:rsidRPr="00B34C19">
        <w:rPr>
          <w:color w:val="000000"/>
          <w:lang w:val="en-GB"/>
        </w:rPr>
        <w:t xml:space="preserve"> assessment of the underlying political arrangements</w:t>
      </w:r>
      <w:r w:rsidR="001F0AA5" w:rsidRPr="00B34C19">
        <w:rPr>
          <w:color w:val="000000"/>
          <w:lang w:val="en-GB"/>
        </w:rPr>
        <w:t xml:space="preserve"> prior to policy engagement</w:t>
      </w:r>
      <w:r w:rsidR="005B61DC" w:rsidRPr="00B34C19">
        <w:rPr>
          <w:color w:val="000000"/>
          <w:lang w:val="en-GB"/>
        </w:rPr>
        <w:t xml:space="preserve"> that might or might not foster capacity and elite commitment</w:t>
      </w:r>
      <w:r w:rsidR="0033144F" w:rsidRPr="00B34C19">
        <w:rPr>
          <w:color w:val="000000"/>
          <w:lang w:val="en-GB"/>
        </w:rPr>
        <w:t>,</w:t>
      </w:r>
      <w:r w:rsidR="00704BD2" w:rsidRPr="00B34C19">
        <w:rPr>
          <w:color w:val="000000"/>
          <w:lang w:val="en-GB"/>
        </w:rPr>
        <w:t xml:space="preserve"> and is</w:t>
      </w:r>
      <w:r w:rsidR="0033144F" w:rsidRPr="00B34C19">
        <w:rPr>
          <w:color w:val="000000"/>
          <w:lang w:val="en-GB"/>
        </w:rPr>
        <w:t xml:space="preserve"> used to partially explain state endurance, industrialisation, growth and welfare.</w:t>
      </w:r>
      <w:r w:rsidR="0033144F" w:rsidRPr="00B34C19">
        <w:rPr>
          <w:rStyle w:val="FootnoteReference"/>
          <w:color w:val="000000"/>
          <w:lang w:val="en-GB"/>
        </w:rPr>
        <w:footnoteReference w:id="123"/>
      </w:r>
      <w:r w:rsidR="0033144F" w:rsidRPr="00B34C19">
        <w:rPr>
          <w:color w:val="000000"/>
          <w:lang w:val="en-GB"/>
        </w:rPr>
        <w:t xml:space="preserve"> </w:t>
      </w:r>
      <w:r w:rsidR="00A753ED" w:rsidRPr="00B34C19">
        <w:rPr>
          <w:color w:val="000000"/>
          <w:lang w:val="en-GB"/>
        </w:rPr>
        <w:t>While settlements are justifiably criticised for blindspots in relation to inclusion (especially gender) and the role of ideas in political life,</w:t>
      </w:r>
      <w:r w:rsidR="00A753ED" w:rsidRPr="00B34C19">
        <w:rPr>
          <w:rStyle w:val="FootnoteReference"/>
          <w:color w:val="000000"/>
          <w:lang w:val="en-GB"/>
        </w:rPr>
        <w:footnoteReference w:id="124"/>
      </w:r>
      <w:r w:rsidR="00A753ED" w:rsidRPr="00B34C19">
        <w:rPr>
          <w:color w:val="000000"/>
          <w:lang w:val="en-GB"/>
        </w:rPr>
        <w:t xml:space="preserve"> </w:t>
      </w:r>
      <w:r w:rsidR="0033144F" w:rsidRPr="00B34C19">
        <w:rPr>
          <w:color w:val="000000"/>
          <w:lang w:val="en-GB"/>
        </w:rPr>
        <w:t xml:space="preserve"> </w:t>
      </w:r>
      <w:r w:rsidR="00A753ED" w:rsidRPr="00B34C19">
        <w:rPr>
          <w:color w:val="000000"/>
          <w:lang w:val="en-GB"/>
        </w:rPr>
        <w:t>their greatest strength lies in explaining</w:t>
      </w:r>
      <w:r w:rsidR="00701F99" w:rsidRPr="00B34C19">
        <w:rPr>
          <w:color w:val="000000"/>
          <w:lang w:val="en-GB"/>
        </w:rPr>
        <w:t xml:space="preserve"> non-recurrence</w:t>
      </w:r>
      <w:r w:rsidR="00BC69A6" w:rsidRPr="00B34C19">
        <w:rPr>
          <w:color w:val="000000"/>
          <w:lang w:val="en-GB"/>
        </w:rPr>
        <w:t>. Every polity that is ‘not in the midst of an all-out civil war is based on some kind of political settlement.’</w:t>
      </w:r>
      <w:r w:rsidR="00BC69A6" w:rsidRPr="00B34C19">
        <w:rPr>
          <w:rStyle w:val="FootnoteReference"/>
          <w:color w:val="000000"/>
          <w:lang w:val="en-GB"/>
        </w:rPr>
        <w:footnoteReference w:id="125"/>
      </w:r>
      <w:r w:rsidR="00BC69A6" w:rsidRPr="00B34C19">
        <w:rPr>
          <w:color w:val="000000"/>
          <w:lang w:val="en-GB"/>
        </w:rPr>
        <w:t xml:space="preserve"> </w:t>
      </w:r>
      <w:r w:rsidR="008D23B4" w:rsidRPr="00B34C19">
        <w:rPr>
          <w:color w:val="000000"/>
          <w:lang w:val="en-GB"/>
        </w:rPr>
        <w:t>As Parks and Cole argue, w</w:t>
      </w:r>
      <w:r w:rsidR="00BC69A6" w:rsidRPr="00B34C19">
        <w:rPr>
          <w:color w:val="000000"/>
          <w:lang w:val="en-GB"/>
        </w:rPr>
        <w:t xml:space="preserve">here the settlement breaks down, </w:t>
      </w:r>
      <w:r w:rsidR="008D23B4" w:rsidRPr="00B34C19">
        <w:rPr>
          <w:color w:val="000000"/>
          <w:lang w:val="en-GB"/>
        </w:rPr>
        <w:t xml:space="preserve">its </w:t>
      </w:r>
      <w:r w:rsidR="00BC69A6" w:rsidRPr="00B34C19">
        <w:rPr>
          <w:color w:val="000000"/>
          <w:lang w:val="en-GB"/>
        </w:rPr>
        <w:t xml:space="preserve">reconstruction </w:t>
      </w:r>
      <w:r w:rsidR="008D23B4" w:rsidRPr="00B34C19">
        <w:rPr>
          <w:color w:val="000000"/>
          <w:lang w:val="en-GB"/>
        </w:rPr>
        <w:t>will often prove the ‘</w:t>
      </w:r>
      <w:r w:rsidR="00701F99" w:rsidRPr="00B34C19">
        <w:rPr>
          <w:color w:val="000000"/>
          <w:lang w:val="en-GB"/>
        </w:rPr>
        <w:t>primary factor</w:t>
      </w:r>
      <w:r w:rsidR="008D23B4" w:rsidRPr="00B34C19">
        <w:rPr>
          <w:color w:val="000000"/>
          <w:lang w:val="en-GB"/>
        </w:rPr>
        <w:t>’</w:t>
      </w:r>
      <w:r w:rsidR="00701F99" w:rsidRPr="00B34C19">
        <w:rPr>
          <w:color w:val="000000"/>
          <w:lang w:val="en-GB"/>
        </w:rPr>
        <w:t xml:space="preserve"> in determining the </w:t>
      </w:r>
      <w:r w:rsidR="008D23B4" w:rsidRPr="00B34C19">
        <w:rPr>
          <w:color w:val="000000"/>
          <w:lang w:val="en-GB"/>
        </w:rPr>
        <w:t>success or otherwise of peacebuilding after war</w:t>
      </w:r>
      <w:r w:rsidR="00701F99" w:rsidRPr="00B34C19">
        <w:rPr>
          <w:color w:val="000000"/>
          <w:lang w:val="en-GB"/>
        </w:rPr>
        <w:t>.</w:t>
      </w:r>
      <w:r w:rsidR="00701F99" w:rsidRPr="00B34C19">
        <w:rPr>
          <w:rStyle w:val="FootnoteReference"/>
          <w:color w:val="000000"/>
          <w:lang w:val="en-GB"/>
        </w:rPr>
        <w:footnoteReference w:id="126"/>
      </w:r>
    </w:p>
    <w:p w14:paraId="0E0D56AA" w14:textId="77777777" w:rsidR="00D75A75" w:rsidRPr="00B34C19" w:rsidRDefault="00D75A75" w:rsidP="00E65CEB">
      <w:pPr>
        <w:autoSpaceDE w:val="0"/>
        <w:autoSpaceDN w:val="0"/>
        <w:adjustRightInd w:val="0"/>
        <w:spacing w:line="480" w:lineRule="auto"/>
        <w:jc w:val="both"/>
        <w:rPr>
          <w:color w:val="000000"/>
          <w:lang w:val="en-GB"/>
        </w:rPr>
      </w:pPr>
    </w:p>
    <w:p w14:paraId="56EAD62A" w14:textId="77777777" w:rsidR="008D23B4" w:rsidRPr="00B34C19" w:rsidRDefault="008D23B4" w:rsidP="00E65CEB">
      <w:pPr>
        <w:autoSpaceDE w:val="0"/>
        <w:autoSpaceDN w:val="0"/>
        <w:adjustRightInd w:val="0"/>
        <w:spacing w:line="480" w:lineRule="auto"/>
        <w:jc w:val="both"/>
        <w:rPr>
          <w:color w:val="000000"/>
          <w:lang w:val="en-GB"/>
        </w:rPr>
      </w:pPr>
    </w:p>
    <w:p w14:paraId="13A6DE35" w14:textId="25AC31BC" w:rsidR="000458A0" w:rsidRPr="00B34C19" w:rsidRDefault="0012594B" w:rsidP="00E65CEB">
      <w:pPr>
        <w:autoSpaceDE w:val="0"/>
        <w:autoSpaceDN w:val="0"/>
        <w:adjustRightInd w:val="0"/>
        <w:spacing w:line="480" w:lineRule="auto"/>
        <w:jc w:val="both"/>
        <w:rPr>
          <w:b/>
          <w:bCs/>
          <w:i/>
          <w:iCs/>
          <w:color w:val="000000"/>
          <w:lang w:val="en-GB"/>
        </w:rPr>
      </w:pPr>
      <w:r w:rsidRPr="00EE19A1">
        <w:rPr>
          <w:b/>
          <w:bCs/>
          <w:color w:val="000000"/>
          <w:lang w:val="en-GB"/>
        </w:rPr>
        <w:t>3.1</w:t>
      </w:r>
      <w:r w:rsidR="000458A0" w:rsidRPr="00EE19A1">
        <w:rPr>
          <w:b/>
          <w:bCs/>
          <w:color w:val="000000"/>
          <w:lang w:val="en-GB"/>
        </w:rPr>
        <w:t>.</w:t>
      </w:r>
      <w:r w:rsidR="000458A0" w:rsidRPr="00B34C19">
        <w:rPr>
          <w:b/>
          <w:bCs/>
          <w:i/>
          <w:iCs/>
          <w:color w:val="000000"/>
          <w:lang w:val="en-GB"/>
        </w:rPr>
        <w:t xml:space="preserve"> Distinguishing </w:t>
      </w:r>
      <w:r w:rsidR="00CE39A1" w:rsidRPr="00B34C19">
        <w:rPr>
          <w:b/>
          <w:bCs/>
          <w:i/>
          <w:iCs/>
          <w:color w:val="000000"/>
          <w:lang w:val="en-GB"/>
        </w:rPr>
        <w:t>s</w:t>
      </w:r>
      <w:r w:rsidR="000458A0" w:rsidRPr="00B34C19">
        <w:rPr>
          <w:b/>
          <w:bCs/>
          <w:i/>
          <w:iCs/>
          <w:color w:val="000000"/>
          <w:lang w:val="en-GB"/>
        </w:rPr>
        <w:t xml:space="preserve">ettlements from </w:t>
      </w:r>
      <w:r w:rsidR="00CE39A1" w:rsidRPr="00B34C19">
        <w:rPr>
          <w:b/>
          <w:bCs/>
          <w:i/>
          <w:iCs/>
          <w:color w:val="000000"/>
          <w:lang w:val="en-GB"/>
        </w:rPr>
        <w:t>p</w:t>
      </w:r>
      <w:r w:rsidR="000458A0" w:rsidRPr="00B34C19">
        <w:rPr>
          <w:b/>
          <w:bCs/>
          <w:i/>
          <w:iCs/>
          <w:color w:val="000000"/>
          <w:lang w:val="en-GB"/>
        </w:rPr>
        <w:t xml:space="preserve">eace </w:t>
      </w:r>
      <w:r w:rsidR="00CE39A1" w:rsidRPr="00B34C19">
        <w:rPr>
          <w:b/>
          <w:bCs/>
          <w:i/>
          <w:iCs/>
          <w:color w:val="000000"/>
          <w:lang w:val="en-GB"/>
        </w:rPr>
        <w:t>a</w:t>
      </w:r>
      <w:r w:rsidR="000458A0" w:rsidRPr="00B34C19">
        <w:rPr>
          <w:b/>
          <w:bCs/>
          <w:i/>
          <w:iCs/>
          <w:color w:val="000000"/>
          <w:lang w:val="en-GB"/>
        </w:rPr>
        <w:t>greements</w:t>
      </w:r>
    </w:p>
    <w:p w14:paraId="47EA0B91" w14:textId="77777777" w:rsidR="000458A0" w:rsidRPr="00B34C19" w:rsidRDefault="000458A0" w:rsidP="00E65CEB">
      <w:pPr>
        <w:autoSpaceDE w:val="0"/>
        <w:autoSpaceDN w:val="0"/>
        <w:adjustRightInd w:val="0"/>
        <w:spacing w:line="480" w:lineRule="auto"/>
        <w:jc w:val="both"/>
        <w:rPr>
          <w:color w:val="000000"/>
          <w:lang w:val="en-GB"/>
        </w:rPr>
      </w:pPr>
    </w:p>
    <w:p w14:paraId="0529F67A" w14:textId="4B1443BF" w:rsidR="00820662" w:rsidRDefault="00822618" w:rsidP="00E65CEB">
      <w:pPr>
        <w:autoSpaceDE w:val="0"/>
        <w:autoSpaceDN w:val="0"/>
        <w:adjustRightInd w:val="0"/>
        <w:spacing w:line="480" w:lineRule="auto"/>
        <w:jc w:val="both"/>
      </w:pPr>
      <w:r w:rsidRPr="00B34C19">
        <w:rPr>
          <w:color w:val="000000"/>
          <w:lang w:val="en-GB"/>
        </w:rPr>
        <w:lastRenderedPageBreak/>
        <w:t>In so positing, it is important to distinguish between</w:t>
      </w:r>
      <w:r w:rsidR="00BC69A6" w:rsidRPr="00B34C19">
        <w:rPr>
          <w:color w:val="000000"/>
          <w:lang w:val="en-GB"/>
        </w:rPr>
        <w:t xml:space="preserve"> settlements and peace agreements</w:t>
      </w:r>
      <w:r w:rsidR="003D649C" w:rsidRPr="00B34C19">
        <w:rPr>
          <w:color w:val="000000"/>
          <w:lang w:val="en-GB"/>
        </w:rPr>
        <w:t xml:space="preserve"> given the regrettable tendency to conflate the two</w:t>
      </w:r>
      <w:r w:rsidR="00BC69A6" w:rsidRPr="00B34C19">
        <w:rPr>
          <w:color w:val="000000"/>
          <w:lang w:val="en-GB"/>
        </w:rPr>
        <w:t>.</w:t>
      </w:r>
      <w:r w:rsidR="003D649C" w:rsidRPr="00B34C19">
        <w:rPr>
          <w:rStyle w:val="FootnoteReference"/>
          <w:color w:val="000000"/>
          <w:lang w:val="en-GB"/>
        </w:rPr>
        <w:footnoteReference w:id="127"/>
      </w:r>
      <w:r w:rsidR="00BC69A6" w:rsidRPr="00B34C19">
        <w:rPr>
          <w:color w:val="000000"/>
          <w:lang w:val="en-GB"/>
        </w:rPr>
        <w:t xml:space="preserve"> The former takes insecurity as the natural order of the social world and guards against it per</w:t>
      </w:r>
      <w:r w:rsidR="00E02EC0" w:rsidRPr="00B34C19">
        <w:rPr>
          <w:color w:val="000000"/>
          <w:lang w:val="en-GB"/>
        </w:rPr>
        <w:t>petual</w:t>
      </w:r>
      <w:r w:rsidR="00BC69A6" w:rsidRPr="00B34C19">
        <w:rPr>
          <w:color w:val="000000"/>
          <w:lang w:val="en-GB"/>
        </w:rPr>
        <w:t xml:space="preserve">ly; the latter responds exceptionally when the settlement breaks down. </w:t>
      </w:r>
      <w:r w:rsidR="00A87C2B" w:rsidRPr="00B34C19">
        <w:rPr>
          <w:color w:val="000000"/>
          <w:lang w:val="en-GB"/>
        </w:rPr>
        <w:t xml:space="preserve">Settlements are a </w:t>
      </w:r>
      <w:r w:rsidR="00A87C2B" w:rsidRPr="00B34C19">
        <w:rPr>
          <w:i/>
          <w:iCs/>
          <w:color w:val="000000"/>
          <w:lang w:val="en-GB"/>
        </w:rPr>
        <w:t>property</w:t>
      </w:r>
      <w:r w:rsidR="00A87C2B" w:rsidRPr="00B34C19">
        <w:rPr>
          <w:color w:val="000000"/>
          <w:lang w:val="en-GB"/>
        </w:rPr>
        <w:t xml:space="preserve"> of society in the sense of a consistent ongoing course of political conduct; peace agreements are </w:t>
      </w:r>
      <w:r w:rsidR="00AD4621" w:rsidRPr="00B34C19">
        <w:rPr>
          <w:color w:val="000000"/>
          <w:lang w:val="en-GB"/>
        </w:rPr>
        <w:t>discrete</w:t>
      </w:r>
      <w:r w:rsidR="002304FA" w:rsidRPr="00B34C19">
        <w:rPr>
          <w:color w:val="000000"/>
          <w:lang w:val="en-GB"/>
        </w:rPr>
        <w:t>, engineered</w:t>
      </w:r>
      <w:r w:rsidR="00AD13B0" w:rsidRPr="00B34C19">
        <w:rPr>
          <w:color w:val="000000"/>
          <w:lang w:val="en-GB"/>
        </w:rPr>
        <w:t xml:space="preserve"> </w:t>
      </w:r>
      <w:r w:rsidR="00A87C2B" w:rsidRPr="00B34C19">
        <w:rPr>
          <w:i/>
          <w:iCs/>
          <w:color w:val="000000"/>
          <w:lang w:val="en-GB"/>
        </w:rPr>
        <w:t>event</w:t>
      </w:r>
      <w:r w:rsidR="00AD4621" w:rsidRPr="00B34C19">
        <w:rPr>
          <w:i/>
          <w:iCs/>
          <w:color w:val="000000"/>
          <w:lang w:val="en-GB"/>
        </w:rPr>
        <w:t>s</w:t>
      </w:r>
      <w:r w:rsidR="00A87C2B" w:rsidRPr="00B34C19">
        <w:rPr>
          <w:color w:val="000000"/>
          <w:lang w:val="en-GB"/>
        </w:rPr>
        <w:t>.</w:t>
      </w:r>
      <w:r w:rsidR="00A87C2B" w:rsidRPr="00B34C19">
        <w:rPr>
          <w:rStyle w:val="FootnoteReference"/>
          <w:color w:val="000000"/>
          <w:lang w:val="en-GB"/>
        </w:rPr>
        <w:footnoteReference w:id="128"/>
      </w:r>
      <w:r w:rsidR="00AD13B0" w:rsidRPr="00B34C19">
        <w:rPr>
          <w:color w:val="000000"/>
          <w:lang w:val="en-GB"/>
        </w:rPr>
        <w:t xml:space="preserve"> </w:t>
      </w:r>
      <w:r w:rsidR="00F533C3" w:rsidRPr="00B34C19">
        <w:rPr>
          <w:color w:val="000000"/>
          <w:lang w:val="en-GB"/>
        </w:rPr>
        <w:t>Settlements are the product of many interactions; a peace agreement is</w:t>
      </w:r>
      <w:r w:rsidR="00E02EC0" w:rsidRPr="00B34C19">
        <w:rPr>
          <w:color w:val="000000"/>
          <w:lang w:val="en-GB"/>
        </w:rPr>
        <w:t xml:space="preserve"> usually</w:t>
      </w:r>
      <w:r w:rsidR="00F533C3" w:rsidRPr="00B34C19">
        <w:rPr>
          <w:color w:val="000000"/>
          <w:lang w:val="en-GB"/>
        </w:rPr>
        <w:t xml:space="preserve"> a single pact. </w:t>
      </w:r>
      <w:r w:rsidR="008D23B4" w:rsidRPr="00B34C19">
        <w:rPr>
          <w:color w:val="000000"/>
          <w:lang w:val="en-GB"/>
        </w:rPr>
        <w:t>In essence, s</w:t>
      </w:r>
      <w:r w:rsidR="00AD13B0" w:rsidRPr="00B34C19">
        <w:rPr>
          <w:color w:val="000000"/>
          <w:lang w:val="en-GB"/>
        </w:rPr>
        <w:t>ettlements constrain the open-ended and perpetual nature of state formation/</w:t>
      </w:r>
      <w:r w:rsidR="002304FA" w:rsidRPr="00B34C19">
        <w:rPr>
          <w:color w:val="000000"/>
          <w:lang w:val="en-GB"/>
        </w:rPr>
        <w:t>negotiation</w:t>
      </w:r>
      <w:r w:rsidR="00AD13B0" w:rsidRPr="00B34C19">
        <w:rPr>
          <w:color w:val="000000"/>
          <w:lang w:val="en-GB"/>
        </w:rPr>
        <w:t xml:space="preserve"> in the developing world where resources, power and identity are contested and </w:t>
      </w:r>
      <w:r w:rsidR="008D23B4" w:rsidRPr="00B34C19">
        <w:rPr>
          <w:color w:val="000000"/>
          <w:lang w:val="en-GB"/>
        </w:rPr>
        <w:t xml:space="preserve">where </w:t>
      </w:r>
      <w:r w:rsidR="00AD13B0" w:rsidRPr="00B34C19">
        <w:rPr>
          <w:color w:val="000000"/>
          <w:lang w:val="en-GB"/>
        </w:rPr>
        <w:t>violence represents a persistent risk.</w:t>
      </w:r>
      <w:r w:rsidR="00AD13B0" w:rsidRPr="00B34C19">
        <w:rPr>
          <w:rStyle w:val="FootnoteReference"/>
          <w:color w:val="000000"/>
          <w:lang w:val="en-GB"/>
        </w:rPr>
        <w:footnoteReference w:id="129"/>
      </w:r>
      <w:r w:rsidR="00AD13B0" w:rsidRPr="00B34C19">
        <w:rPr>
          <w:color w:val="000000"/>
          <w:lang w:val="en-GB"/>
        </w:rPr>
        <w:t xml:space="preserve"> </w:t>
      </w:r>
      <w:r w:rsidR="002304FA" w:rsidRPr="00B34C19">
        <w:rPr>
          <w:color w:val="000000"/>
          <w:lang w:val="en-GB"/>
        </w:rPr>
        <w:t xml:space="preserve">In many states, </w:t>
      </w:r>
      <w:r w:rsidR="00D220A6" w:rsidRPr="00B34C19">
        <w:rPr>
          <w:color w:val="000000"/>
          <w:lang w:val="en-GB"/>
        </w:rPr>
        <w:t xml:space="preserve">the contestation is such that </w:t>
      </w:r>
      <w:r w:rsidR="002304FA" w:rsidRPr="00B34C19">
        <w:rPr>
          <w:color w:val="000000"/>
          <w:lang w:val="en-GB"/>
        </w:rPr>
        <w:t>it is unclear whether states are becoming more congruent or more fissiparous – the destiny of a state and the fate of a given equilibrium are indeterminate.</w:t>
      </w:r>
      <w:r w:rsidR="00D220A6" w:rsidRPr="00B34C19">
        <w:rPr>
          <w:rStyle w:val="FootnoteReference"/>
          <w:color w:val="000000"/>
          <w:lang w:val="en-GB"/>
        </w:rPr>
        <w:footnoteReference w:id="130"/>
      </w:r>
      <w:r w:rsidR="00D220A6" w:rsidRPr="00B34C19">
        <w:rPr>
          <w:color w:val="000000"/>
          <w:lang w:val="en-GB"/>
        </w:rPr>
        <w:t xml:space="preserve"> </w:t>
      </w:r>
      <w:r w:rsidR="00AD4621" w:rsidRPr="00B34C19">
        <w:rPr>
          <w:color w:val="000000"/>
          <w:lang w:val="en-GB"/>
        </w:rPr>
        <w:t>If s</w:t>
      </w:r>
      <w:r w:rsidR="00D220A6" w:rsidRPr="00B34C19">
        <w:rPr>
          <w:color w:val="000000"/>
          <w:lang w:val="en-GB"/>
        </w:rPr>
        <w:t xml:space="preserve">ettlements </w:t>
      </w:r>
      <w:r w:rsidR="00AD4621" w:rsidRPr="00B34C19">
        <w:rPr>
          <w:color w:val="000000"/>
          <w:lang w:val="en-GB"/>
        </w:rPr>
        <w:t>represent successive equilibria that</w:t>
      </w:r>
      <w:r w:rsidR="00EC4468" w:rsidRPr="00B34C19">
        <w:rPr>
          <w:color w:val="000000"/>
          <w:lang w:val="en-GB"/>
        </w:rPr>
        <w:t xml:space="preserve"> superintend</w:t>
      </w:r>
      <w:r w:rsidR="00AD4621" w:rsidRPr="00B34C19">
        <w:rPr>
          <w:color w:val="000000"/>
          <w:lang w:val="en-GB"/>
        </w:rPr>
        <w:t xml:space="preserve"> this contestation, war represents the point where the equilibria bec</w:t>
      </w:r>
      <w:r w:rsidR="00463855" w:rsidRPr="00B34C19">
        <w:rPr>
          <w:color w:val="000000"/>
          <w:lang w:val="en-GB"/>
        </w:rPr>
        <w:t>a</w:t>
      </w:r>
      <w:r w:rsidR="00AD4621" w:rsidRPr="00B34C19">
        <w:rPr>
          <w:color w:val="000000"/>
          <w:lang w:val="en-GB"/>
        </w:rPr>
        <w:t>me dysfunctional</w:t>
      </w:r>
      <w:r w:rsidR="00EC64F3" w:rsidRPr="00B34C19">
        <w:rPr>
          <w:color w:val="000000"/>
          <w:lang w:val="en-GB"/>
        </w:rPr>
        <w:t xml:space="preserve"> after economic shock, breakdown in patronage, external </w:t>
      </w:r>
      <w:r w:rsidR="008D23B4" w:rsidRPr="00B34C19">
        <w:rPr>
          <w:color w:val="000000"/>
          <w:lang w:val="en-GB"/>
        </w:rPr>
        <w:t>destabilisation</w:t>
      </w:r>
      <w:r w:rsidR="00EC64F3" w:rsidRPr="00B34C19">
        <w:rPr>
          <w:color w:val="000000"/>
          <w:lang w:val="en-GB"/>
        </w:rPr>
        <w:t>. etc</w:t>
      </w:r>
      <w:r w:rsidR="00AD4621" w:rsidRPr="00B34C19">
        <w:rPr>
          <w:color w:val="000000"/>
          <w:lang w:val="en-GB"/>
        </w:rPr>
        <w:t>.</w:t>
      </w:r>
      <w:r w:rsidR="00463855" w:rsidRPr="00B34C19">
        <w:rPr>
          <w:color w:val="000000"/>
          <w:lang w:val="en-GB"/>
        </w:rPr>
        <w:t xml:space="preserve"> Peace agreements </w:t>
      </w:r>
      <w:r w:rsidR="00EC64F3" w:rsidRPr="00B34C19">
        <w:rPr>
          <w:color w:val="000000"/>
          <w:lang w:val="en-GB"/>
        </w:rPr>
        <w:t xml:space="preserve">after war attempt to </w:t>
      </w:r>
      <w:r w:rsidR="00AE72E4" w:rsidRPr="00B34C19">
        <w:rPr>
          <w:color w:val="000000"/>
          <w:lang w:val="en-GB"/>
        </w:rPr>
        <w:t xml:space="preserve">resolve the most acute disputes, </w:t>
      </w:r>
      <w:r w:rsidR="00463855" w:rsidRPr="00B34C19">
        <w:rPr>
          <w:color w:val="000000"/>
          <w:lang w:val="en-GB"/>
        </w:rPr>
        <w:t>demilitarise politics</w:t>
      </w:r>
      <w:r w:rsidR="00AE72E4" w:rsidRPr="00B34C19">
        <w:rPr>
          <w:color w:val="000000"/>
          <w:lang w:val="en-GB"/>
        </w:rPr>
        <w:t xml:space="preserve"> and attempt to rebuild trust, b</w:t>
      </w:r>
      <w:r w:rsidR="00463855" w:rsidRPr="00B34C19">
        <w:rPr>
          <w:color w:val="000000"/>
          <w:lang w:val="en-GB"/>
        </w:rPr>
        <w:t xml:space="preserve">ut </w:t>
      </w:r>
      <w:r w:rsidR="00B6794B" w:rsidRPr="00B34C19">
        <w:rPr>
          <w:color w:val="000000"/>
          <w:lang w:val="en-GB"/>
        </w:rPr>
        <w:t>deep-rooted social patterns and behaviours do not change easily.  I</w:t>
      </w:r>
      <w:r w:rsidR="00463855" w:rsidRPr="00B34C19">
        <w:rPr>
          <w:color w:val="000000"/>
          <w:lang w:val="en-GB"/>
        </w:rPr>
        <w:t xml:space="preserve">n this sense </w:t>
      </w:r>
      <w:r w:rsidR="008D23B4" w:rsidRPr="00B34C19">
        <w:rPr>
          <w:color w:val="000000"/>
          <w:lang w:val="en-GB"/>
        </w:rPr>
        <w:t xml:space="preserve">peace agreement </w:t>
      </w:r>
      <w:r w:rsidR="00AE72E4" w:rsidRPr="00B34C19">
        <w:rPr>
          <w:color w:val="000000"/>
          <w:lang w:val="en-GB"/>
        </w:rPr>
        <w:t xml:space="preserve">only </w:t>
      </w:r>
      <w:r w:rsidR="00463855" w:rsidRPr="00B34C19">
        <w:rPr>
          <w:color w:val="000000"/>
          <w:lang w:val="en-GB"/>
        </w:rPr>
        <w:t>serve as ‘rough markers’ distinguishing one settlement from another</w:t>
      </w:r>
      <w:r w:rsidR="009968D9" w:rsidRPr="00B34C19">
        <w:rPr>
          <w:color w:val="000000"/>
          <w:lang w:val="en-GB"/>
        </w:rPr>
        <w:t xml:space="preserve"> along a thread of continuity</w:t>
      </w:r>
      <w:r w:rsidR="00463855" w:rsidRPr="00B34C19">
        <w:rPr>
          <w:color w:val="000000"/>
          <w:lang w:val="en-GB"/>
        </w:rPr>
        <w:t>.</w:t>
      </w:r>
      <w:r w:rsidR="00463855" w:rsidRPr="00B34C19">
        <w:rPr>
          <w:rStyle w:val="FootnoteReference"/>
          <w:color w:val="000000"/>
          <w:lang w:val="en-GB"/>
        </w:rPr>
        <w:footnoteReference w:id="131"/>
      </w:r>
      <w:r w:rsidR="00AE72E4" w:rsidRPr="00B34C19">
        <w:rPr>
          <w:color w:val="000000"/>
          <w:lang w:val="en-GB"/>
        </w:rPr>
        <w:t xml:space="preserve"> They may attempt to refound the state through new institutions</w:t>
      </w:r>
      <w:r w:rsidR="006A4CFC" w:rsidRPr="00B34C19">
        <w:rPr>
          <w:color w:val="000000"/>
          <w:lang w:val="en-GB"/>
        </w:rPr>
        <w:t xml:space="preserve"> and include</w:t>
      </w:r>
      <w:r w:rsidR="00A213B6" w:rsidRPr="00B34C19">
        <w:rPr>
          <w:color w:val="000000"/>
          <w:lang w:val="en-GB"/>
        </w:rPr>
        <w:t xml:space="preserve"> new actors</w:t>
      </w:r>
      <w:r w:rsidR="00B6794B" w:rsidRPr="00B34C19">
        <w:rPr>
          <w:color w:val="000000"/>
          <w:lang w:val="en-GB"/>
        </w:rPr>
        <w:t xml:space="preserve"> or a new distribution of benefits</w:t>
      </w:r>
      <w:r w:rsidR="00AE72E4" w:rsidRPr="00B34C19">
        <w:rPr>
          <w:color w:val="000000"/>
          <w:lang w:val="en-GB"/>
        </w:rPr>
        <w:t xml:space="preserve">, but the underlying </w:t>
      </w:r>
      <w:r w:rsidR="000C543C" w:rsidRPr="00B34C19">
        <w:rPr>
          <w:color w:val="000000"/>
          <w:lang w:val="en-GB"/>
        </w:rPr>
        <w:t xml:space="preserve">patterns of state organisation endure through crisis and </w:t>
      </w:r>
      <w:r w:rsidR="000C543C" w:rsidRPr="00B34C19">
        <w:rPr>
          <w:color w:val="000000"/>
          <w:lang w:val="en-GB"/>
        </w:rPr>
        <w:lastRenderedPageBreak/>
        <w:t>reorganisation.</w:t>
      </w:r>
      <w:r w:rsidR="00A213B6" w:rsidRPr="00B34C19">
        <w:rPr>
          <w:rStyle w:val="FootnoteReference"/>
          <w:color w:val="000000"/>
          <w:lang w:val="en-GB"/>
        </w:rPr>
        <w:footnoteReference w:id="132"/>
      </w:r>
      <w:r w:rsidR="00A213B6" w:rsidRPr="00B34C19">
        <w:rPr>
          <w:color w:val="000000"/>
          <w:lang w:val="en-GB"/>
        </w:rPr>
        <w:t xml:space="preserve"> This is again a function of institutional weakness – new constitutions </w:t>
      </w:r>
      <w:r w:rsidR="00E02EC0" w:rsidRPr="00B34C19">
        <w:rPr>
          <w:color w:val="000000"/>
          <w:lang w:val="en-GB"/>
        </w:rPr>
        <w:t xml:space="preserve">are </w:t>
      </w:r>
      <w:r w:rsidR="00847A2C" w:rsidRPr="00B34C19">
        <w:rPr>
          <w:color w:val="000000"/>
          <w:lang w:val="en-GB"/>
        </w:rPr>
        <w:t>often too ‘static’ for the extended</w:t>
      </w:r>
      <w:r w:rsidR="00724DB8" w:rsidRPr="00B34C19">
        <w:t xml:space="preserve"> learning process</w:t>
      </w:r>
      <w:r w:rsidR="00847A2C" w:rsidRPr="00B34C19">
        <w:t xml:space="preserve"> that is a settlement</w:t>
      </w:r>
      <w:r w:rsidR="00724DB8" w:rsidRPr="00B34C19">
        <w:t>;</w:t>
      </w:r>
      <w:r w:rsidR="00724DB8" w:rsidRPr="00B34C19">
        <w:rPr>
          <w:rStyle w:val="FootnoteReference"/>
        </w:rPr>
        <w:footnoteReference w:id="133"/>
      </w:r>
      <w:r w:rsidR="00724DB8" w:rsidRPr="00B34C19">
        <w:t xml:space="preserve"> the ‘forced trust’ of power-sharing is dependent on elite consensus that may stretch beyond the peace agreement;</w:t>
      </w:r>
      <w:r w:rsidR="00724DB8" w:rsidRPr="00B34C19">
        <w:rPr>
          <w:rStyle w:val="FootnoteReference"/>
        </w:rPr>
        <w:footnoteReference w:id="134"/>
      </w:r>
      <w:r w:rsidR="00847A2C" w:rsidRPr="00B34C19">
        <w:t xml:space="preserve"> elections do more to broaden a settlement’s social foundations than foster liberal democracy</w:t>
      </w:r>
      <w:r w:rsidR="00D07564" w:rsidRPr="00B34C19">
        <w:t>; rule of law is traded for pragmatism</w:t>
      </w:r>
      <w:r w:rsidR="00847A2C" w:rsidRPr="00B34C19">
        <w:t>.</w:t>
      </w:r>
      <w:r w:rsidR="00D07564" w:rsidRPr="00B34C19">
        <w:rPr>
          <w:rStyle w:val="FootnoteReference"/>
        </w:rPr>
        <w:footnoteReference w:id="135"/>
      </w:r>
      <w:r w:rsidR="00820662" w:rsidRPr="00B34C19">
        <w:t xml:space="preserve"> </w:t>
      </w:r>
      <w:r w:rsidR="00495020" w:rsidRPr="00B34C19">
        <w:t>Settlement theory places more faith in the behaviour and inter-relations between elites to ground peace than economic development, civil society or norms of political constraint, to say nothing of GNRs.</w:t>
      </w:r>
    </w:p>
    <w:p w14:paraId="6377C895" w14:textId="77777777" w:rsidR="00F4113B" w:rsidRPr="00B34C19" w:rsidRDefault="00F4113B" w:rsidP="00E65CEB">
      <w:pPr>
        <w:autoSpaceDE w:val="0"/>
        <w:autoSpaceDN w:val="0"/>
        <w:adjustRightInd w:val="0"/>
        <w:spacing w:line="480" w:lineRule="auto"/>
        <w:jc w:val="both"/>
      </w:pPr>
    </w:p>
    <w:p w14:paraId="3030B558" w14:textId="57A9C809" w:rsidR="000458A0" w:rsidRPr="00B34C19" w:rsidRDefault="000458A0" w:rsidP="00E65CEB">
      <w:pPr>
        <w:autoSpaceDE w:val="0"/>
        <w:autoSpaceDN w:val="0"/>
        <w:adjustRightInd w:val="0"/>
        <w:spacing w:line="480" w:lineRule="auto"/>
        <w:jc w:val="both"/>
        <w:rPr>
          <w:b/>
          <w:bCs/>
          <w:i/>
          <w:iCs/>
        </w:rPr>
      </w:pPr>
    </w:p>
    <w:p w14:paraId="276BDDA8" w14:textId="61A2A63B" w:rsidR="000458A0" w:rsidRPr="00B34C19" w:rsidRDefault="0012594B" w:rsidP="00E65CEB">
      <w:pPr>
        <w:autoSpaceDE w:val="0"/>
        <w:autoSpaceDN w:val="0"/>
        <w:adjustRightInd w:val="0"/>
        <w:spacing w:line="480" w:lineRule="auto"/>
        <w:jc w:val="both"/>
        <w:rPr>
          <w:b/>
          <w:bCs/>
          <w:i/>
          <w:iCs/>
          <w:color w:val="000000"/>
        </w:rPr>
      </w:pPr>
      <w:r w:rsidRPr="00EE19A1">
        <w:rPr>
          <w:b/>
          <w:bCs/>
        </w:rPr>
        <w:t>3.2</w:t>
      </w:r>
      <w:r w:rsidR="000458A0" w:rsidRPr="00EE19A1">
        <w:rPr>
          <w:b/>
          <w:bCs/>
        </w:rPr>
        <w:t>.</w:t>
      </w:r>
      <w:r w:rsidR="000458A0" w:rsidRPr="00B34C19">
        <w:rPr>
          <w:b/>
          <w:bCs/>
          <w:i/>
          <w:iCs/>
        </w:rPr>
        <w:t xml:space="preserve"> An </w:t>
      </w:r>
      <w:r w:rsidR="00CE39A1" w:rsidRPr="00B34C19">
        <w:rPr>
          <w:b/>
          <w:bCs/>
          <w:i/>
          <w:iCs/>
        </w:rPr>
        <w:t>i</w:t>
      </w:r>
      <w:r w:rsidR="000458A0" w:rsidRPr="00B34C19">
        <w:rPr>
          <w:b/>
          <w:bCs/>
          <w:i/>
          <w:iCs/>
        </w:rPr>
        <w:t xml:space="preserve">nformal </w:t>
      </w:r>
      <w:r w:rsidR="00CE39A1" w:rsidRPr="00B34C19">
        <w:rPr>
          <w:b/>
          <w:bCs/>
          <w:i/>
          <w:iCs/>
        </w:rPr>
        <w:t>l</w:t>
      </w:r>
      <w:r w:rsidR="000458A0" w:rsidRPr="00B34C19">
        <w:rPr>
          <w:b/>
          <w:bCs/>
          <w:i/>
          <w:iCs/>
        </w:rPr>
        <w:t>ogic</w:t>
      </w:r>
    </w:p>
    <w:p w14:paraId="627EE409" w14:textId="01134DDD" w:rsidR="00463855" w:rsidRPr="00B34C19" w:rsidRDefault="00463855" w:rsidP="00E65CEB">
      <w:pPr>
        <w:autoSpaceDE w:val="0"/>
        <w:autoSpaceDN w:val="0"/>
        <w:adjustRightInd w:val="0"/>
        <w:spacing w:line="480" w:lineRule="auto"/>
        <w:jc w:val="both"/>
        <w:rPr>
          <w:color w:val="000000"/>
          <w:lang w:val="en-GB"/>
        </w:rPr>
      </w:pPr>
    </w:p>
    <w:p w14:paraId="0BFF9547" w14:textId="3039986E" w:rsidR="005E5E7D" w:rsidRPr="00B34C19" w:rsidRDefault="00EC64F3" w:rsidP="00E65CEB">
      <w:pPr>
        <w:autoSpaceDE w:val="0"/>
        <w:autoSpaceDN w:val="0"/>
        <w:adjustRightInd w:val="0"/>
        <w:spacing w:line="480" w:lineRule="auto"/>
        <w:jc w:val="both"/>
        <w:rPr>
          <w:color w:val="000000"/>
        </w:rPr>
      </w:pPr>
      <w:r w:rsidRPr="00B34C19">
        <w:rPr>
          <w:color w:val="000000"/>
          <w:lang w:val="en-GB"/>
        </w:rPr>
        <w:t xml:space="preserve">Settlements, </w:t>
      </w:r>
      <w:r w:rsidR="00820662" w:rsidRPr="00B34C19">
        <w:rPr>
          <w:color w:val="000000"/>
          <w:lang w:val="en-GB"/>
        </w:rPr>
        <w:t>insofar as they embody a</w:t>
      </w:r>
      <w:r w:rsidR="003A4B5E" w:rsidRPr="00B34C19">
        <w:rPr>
          <w:color w:val="000000"/>
          <w:lang w:val="en-GB"/>
        </w:rPr>
        <w:t xml:space="preserve"> sufficiently inclusive</w:t>
      </w:r>
      <w:r w:rsidR="00820662" w:rsidRPr="00B34C19">
        <w:rPr>
          <w:color w:val="000000"/>
          <w:lang w:val="en-GB"/>
        </w:rPr>
        <w:t xml:space="preserve"> </w:t>
      </w:r>
      <w:r w:rsidR="003A4B5E" w:rsidRPr="00B34C19">
        <w:rPr>
          <w:color w:val="000000"/>
          <w:lang w:val="en-GB"/>
        </w:rPr>
        <w:t>‘</w:t>
      </w:r>
      <w:r w:rsidR="00820662" w:rsidRPr="00B34C19">
        <w:rPr>
          <w:color w:val="000000"/>
          <w:lang w:val="en-GB"/>
        </w:rPr>
        <w:t>elite consensus on the preferability and means of avoiding violence’, manifest an inherently informal logic</w:t>
      </w:r>
      <w:r w:rsidR="004F085D" w:rsidRPr="00B34C19">
        <w:rPr>
          <w:color w:val="000000"/>
          <w:lang w:val="en-GB"/>
        </w:rPr>
        <w:t xml:space="preserve"> that international actors have little influence over</w:t>
      </w:r>
      <w:r w:rsidR="00820662" w:rsidRPr="00B34C19">
        <w:rPr>
          <w:color w:val="000000"/>
          <w:lang w:val="en-GB"/>
        </w:rPr>
        <w:t>.</w:t>
      </w:r>
      <w:r w:rsidR="00820662" w:rsidRPr="00B34C19">
        <w:rPr>
          <w:rStyle w:val="FootnoteReference"/>
          <w:color w:val="000000"/>
          <w:lang w:val="en-GB"/>
        </w:rPr>
        <w:footnoteReference w:id="136"/>
      </w:r>
      <w:r w:rsidR="00820662" w:rsidRPr="00B34C19">
        <w:rPr>
          <w:color w:val="000000"/>
          <w:lang w:val="en-GB"/>
        </w:rPr>
        <w:t xml:space="preserve"> They </w:t>
      </w:r>
      <w:r w:rsidRPr="00B34C19">
        <w:rPr>
          <w:color w:val="000000"/>
          <w:lang w:val="en-GB"/>
        </w:rPr>
        <w:t>augment</w:t>
      </w:r>
      <w:r w:rsidR="00C948BF" w:rsidRPr="00B34C19">
        <w:rPr>
          <w:color w:val="000000"/>
          <w:lang w:val="en-GB"/>
        </w:rPr>
        <w:t xml:space="preserve"> formal institutions</w:t>
      </w:r>
      <w:r w:rsidRPr="00B34C19">
        <w:rPr>
          <w:color w:val="000000"/>
          <w:lang w:val="en-GB"/>
        </w:rPr>
        <w:t xml:space="preserve"> like constitutions, power-sharing </w:t>
      </w:r>
      <w:r w:rsidR="00E02EC0" w:rsidRPr="00B34C19">
        <w:rPr>
          <w:color w:val="000000"/>
          <w:lang w:val="en-GB"/>
        </w:rPr>
        <w:t xml:space="preserve">and </w:t>
      </w:r>
      <w:r w:rsidRPr="00B34C19">
        <w:rPr>
          <w:color w:val="000000"/>
          <w:lang w:val="en-GB"/>
        </w:rPr>
        <w:t>elections</w:t>
      </w:r>
      <w:r w:rsidR="00C948BF" w:rsidRPr="00B34C19">
        <w:rPr>
          <w:color w:val="000000"/>
          <w:lang w:val="en-GB"/>
        </w:rPr>
        <w:t xml:space="preserve"> </w:t>
      </w:r>
      <w:r w:rsidR="00E11389" w:rsidRPr="00B34C19">
        <w:rPr>
          <w:color w:val="000000"/>
          <w:lang w:val="en-GB"/>
        </w:rPr>
        <w:t xml:space="preserve">readily </w:t>
      </w:r>
      <w:r w:rsidR="00AB413E" w:rsidRPr="00B34C19">
        <w:rPr>
          <w:color w:val="000000"/>
          <w:lang w:val="en-GB"/>
        </w:rPr>
        <w:t>observable</w:t>
      </w:r>
      <w:r w:rsidR="00E11389" w:rsidRPr="00B34C19">
        <w:rPr>
          <w:color w:val="000000"/>
          <w:lang w:val="en-GB"/>
        </w:rPr>
        <w:t xml:space="preserve"> to outside observers with</w:t>
      </w:r>
      <w:r w:rsidR="00AB413E" w:rsidRPr="00B34C19">
        <w:rPr>
          <w:color w:val="000000"/>
          <w:lang w:val="en-GB"/>
        </w:rPr>
        <w:t xml:space="preserve"> less observable in</w:t>
      </w:r>
      <w:r w:rsidR="00C948BF" w:rsidRPr="00B34C19">
        <w:rPr>
          <w:color w:val="000000"/>
          <w:lang w:val="en-GB"/>
        </w:rPr>
        <w:t>formal agreements</w:t>
      </w:r>
      <w:r w:rsidR="00E11389" w:rsidRPr="00B34C19">
        <w:rPr>
          <w:color w:val="000000"/>
          <w:lang w:val="en-GB"/>
        </w:rPr>
        <w:t xml:space="preserve"> to </w:t>
      </w:r>
      <w:r w:rsidR="00AB413E" w:rsidRPr="00B34C19">
        <w:rPr>
          <w:color w:val="000000"/>
          <w:lang w:val="en-GB"/>
        </w:rPr>
        <w:t xml:space="preserve">inculcate a credible commitment </w:t>
      </w:r>
      <w:r w:rsidR="003A4B5E" w:rsidRPr="00B34C19">
        <w:rPr>
          <w:color w:val="000000"/>
          <w:lang w:val="en-GB"/>
        </w:rPr>
        <w:t>between contending elites</w:t>
      </w:r>
      <w:r w:rsidR="00E02EC0" w:rsidRPr="00B34C19">
        <w:rPr>
          <w:color w:val="000000"/>
          <w:lang w:val="en-GB"/>
        </w:rPr>
        <w:t xml:space="preserve"> that</w:t>
      </w:r>
      <w:r w:rsidR="003A4B5E" w:rsidRPr="00B34C19">
        <w:rPr>
          <w:color w:val="000000"/>
          <w:lang w:val="en-GB"/>
        </w:rPr>
        <w:t xml:space="preserve"> they will not fight each other</w:t>
      </w:r>
      <w:r w:rsidR="00E11389" w:rsidRPr="00B34C19">
        <w:rPr>
          <w:color w:val="000000"/>
          <w:lang w:val="en-GB"/>
        </w:rPr>
        <w:t>.</w:t>
      </w:r>
      <w:r w:rsidR="00B6369E" w:rsidRPr="00B34C19">
        <w:rPr>
          <w:color w:val="000000"/>
          <w:lang w:val="en-GB"/>
        </w:rPr>
        <w:t xml:space="preserve"> </w:t>
      </w:r>
      <w:r w:rsidR="0070780F" w:rsidRPr="00B34C19">
        <w:rPr>
          <w:color w:val="000000"/>
          <w:lang w:val="en-GB"/>
        </w:rPr>
        <w:t>A s</w:t>
      </w:r>
      <w:r w:rsidR="00C948BF" w:rsidRPr="00B34C19">
        <w:rPr>
          <w:color w:val="000000"/>
          <w:lang w:val="en-GB"/>
        </w:rPr>
        <w:t>ettlement tend</w:t>
      </w:r>
      <w:r w:rsidR="0070780F" w:rsidRPr="00B34C19">
        <w:rPr>
          <w:color w:val="000000"/>
          <w:lang w:val="en-GB"/>
        </w:rPr>
        <w:t>s</w:t>
      </w:r>
      <w:r w:rsidR="00C948BF" w:rsidRPr="00B34C19">
        <w:rPr>
          <w:color w:val="000000"/>
          <w:lang w:val="en-GB"/>
        </w:rPr>
        <w:t xml:space="preserve"> to be unarticulated</w:t>
      </w:r>
      <w:r w:rsidR="00CE39A1" w:rsidRPr="00B34C19">
        <w:rPr>
          <w:color w:val="000000"/>
          <w:lang w:val="en-GB"/>
        </w:rPr>
        <w:t xml:space="preserve"> and unwritten but nevertheless shared</w:t>
      </w:r>
      <w:r w:rsidR="00F533C3" w:rsidRPr="00B34C19">
        <w:rPr>
          <w:color w:val="000000"/>
          <w:lang w:val="en-GB"/>
        </w:rPr>
        <w:t xml:space="preserve"> between a </w:t>
      </w:r>
      <w:r w:rsidR="00940DA2" w:rsidRPr="00B34C19">
        <w:rPr>
          <w:color w:val="000000"/>
          <w:lang w:val="en-GB"/>
        </w:rPr>
        <w:t>sufficiently</w:t>
      </w:r>
      <w:r w:rsidR="00F533C3" w:rsidRPr="00B34C19">
        <w:rPr>
          <w:color w:val="000000"/>
          <w:lang w:val="en-GB"/>
        </w:rPr>
        <w:t xml:space="preserve"> small number of </w:t>
      </w:r>
      <w:r w:rsidR="00DB11C4" w:rsidRPr="00B34C19">
        <w:rPr>
          <w:color w:val="000000"/>
          <w:lang w:val="en-GB"/>
        </w:rPr>
        <w:t>veto-players</w:t>
      </w:r>
      <w:r w:rsidR="00940DA2" w:rsidRPr="00B34C19">
        <w:rPr>
          <w:color w:val="000000"/>
          <w:lang w:val="en-GB"/>
        </w:rPr>
        <w:t xml:space="preserve"> to ensure the relevant elites have enough information </w:t>
      </w:r>
      <w:r w:rsidR="00940DA2" w:rsidRPr="00B34C19">
        <w:rPr>
          <w:color w:val="000000"/>
          <w:lang w:val="en-GB"/>
        </w:rPr>
        <w:lastRenderedPageBreak/>
        <w:t xml:space="preserve">about </w:t>
      </w:r>
      <w:r w:rsidR="00DB11C4" w:rsidRPr="00B34C19">
        <w:rPr>
          <w:color w:val="000000"/>
          <w:lang w:val="en-GB"/>
        </w:rPr>
        <w:t>each other’s</w:t>
      </w:r>
      <w:r w:rsidR="00940DA2" w:rsidRPr="00B34C19">
        <w:rPr>
          <w:color w:val="000000"/>
          <w:lang w:val="en-GB"/>
        </w:rPr>
        <w:t xml:space="preserve"> intentions.</w:t>
      </w:r>
      <w:r w:rsidR="00C948BF" w:rsidRPr="00B34C19">
        <w:rPr>
          <w:rStyle w:val="FootnoteReference"/>
          <w:color w:val="000000"/>
          <w:lang w:val="en-GB"/>
        </w:rPr>
        <w:footnoteReference w:id="137"/>
      </w:r>
      <w:r w:rsidR="00E11389" w:rsidRPr="00B34C19">
        <w:rPr>
          <w:color w:val="000000"/>
          <w:lang w:val="en-GB"/>
        </w:rPr>
        <w:t xml:space="preserve"> </w:t>
      </w:r>
      <w:r w:rsidR="009E6134" w:rsidRPr="00B34C19">
        <w:rPr>
          <w:color w:val="000000"/>
          <w:lang w:val="en-GB"/>
        </w:rPr>
        <w:t>Enduring s</w:t>
      </w:r>
      <w:r w:rsidR="00DB11C4" w:rsidRPr="00B34C19">
        <w:rPr>
          <w:color w:val="000000"/>
          <w:lang w:val="en-GB"/>
        </w:rPr>
        <w:t xml:space="preserve">ettlements </w:t>
      </w:r>
      <w:r w:rsidR="009E6134" w:rsidRPr="00B34C19">
        <w:rPr>
          <w:color w:val="000000"/>
          <w:lang w:val="en-GB"/>
        </w:rPr>
        <w:t>tend to</w:t>
      </w:r>
      <w:r w:rsidR="00DB11C4" w:rsidRPr="00B34C19">
        <w:rPr>
          <w:color w:val="000000"/>
          <w:lang w:val="en-GB"/>
        </w:rPr>
        <w:t xml:space="preserve"> filter</w:t>
      </w:r>
      <w:r w:rsidR="00993A0B" w:rsidRPr="00B34C19">
        <w:rPr>
          <w:color w:val="000000"/>
          <w:lang w:val="en-GB"/>
        </w:rPr>
        <w:t xml:space="preserve"> from the nation</w:t>
      </w:r>
      <w:r w:rsidR="00CE39A1" w:rsidRPr="00B34C19">
        <w:rPr>
          <w:color w:val="000000"/>
          <w:lang w:val="en-GB"/>
        </w:rPr>
        <w:t>al</w:t>
      </w:r>
      <w:r w:rsidR="00993A0B" w:rsidRPr="00B34C19">
        <w:rPr>
          <w:color w:val="000000"/>
          <w:lang w:val="en-GB"/>
        </w:rPr>
        <w:t xml:space="preserve"> to the regional to the local</w:t>
      </w:r>
      <w:r w:rsidR="00F72B68" w:rsidRPr="00B34C19">
        <w:rPr>
          <w:color w:val="000000"/>
          <w:lang w:val="en-GB"/>
        </w:rPr>
        <w:t>, a ‘sedimentation or tacit acceptance’ that can be sold to the people as</w:t>
      </w:r>
      <w:r w:rsidR="003C33FD" w:rsidRPr="00B34C19">
        <w:rPr>
          <w:color w:val="000000"/>
          <w:lang w:val="en-GB"/>
        </w:rPr>
        <w:t xml:space="preserve"> natural or right</w:t>
      </w:r>
      <w:r w:rsidR="00993A0B" w:rsidRPr="00B34C19">
        <w:rPr>
          <w:color w:val="000000"/>
          <w:lang w:val="en-GB"/>
        </w:rPr>
        <w:t>.</w:t>
      </w:r>
      <w:r w:rsidR="003C33FD" w:rsidRPr="00B34C19">
        <w:rPr>
          <w:rStyle w:val="FootnoteReference"/>
          <w:color w:val="000000"/>
          <w:lang w:val="en-GB"/>
        </w:rPr>
        <w:footnoteReference w:id="138"/>
      </w:r>
      <w:r w:rsidR="00993A0B" w:rsidRPr="00B34C19">
        <w:rPr>
          <w:color w:val="000000"/>
          <w:lang w:val="en-GB"/>
        </w:rPr>
        <w:t xml:space="preserve"> </w:t>
      </w:r>
      <w:r w:rsidR="00940DA2" w:rsidRPr="00B34C19">
        <w:rPr>
          <w:color w:val="000000"/>
          <w:lang w:val="en-GB"/>
        </w:rPr>
        <w:t xml:space="preserve">They </w:t>
      </w:r>
      <w:r w:rsidR="0002586F" w:rsidRPr="00B34C19">
        <w:rPr>
          <w:color w:val="000000"/>
          <w:lang w:val="en-GB"/>
        </w:rPr>
        <w:t xml:space="preserve">are </w:t>
      </w:r>
      <w:r w:rsidR="00E11389" w:rsidRPr="00B34C19">
        <w:rPr>
          <w:color w:val="000000"/>
          <w:lang w:val="en-GB"/>
        </w:rPr>
        <w:t xml:space="preserve">dependent </w:t>
      </w:r>
      <w:r w:rsidR="0070780F" w:rsidRPr="00B34C19">
        <w:rPr>
          <w:color w:val="000000"/>
          <w:lang w:val="en-GB"/>
        </w:rPr>
        <w:t>more on ‘a shared perception of its utility and fairness</w:t>
      </w:r>
      <w:r w:rsidR="0002586F" w:rsidRPr="00B34C19">
        <w:rPr>
          <w:color w:val="000000"/>
          <w:lang w:val="en-GB"/>
        </w:rPr>
        <w:t>,</w:t>
      </w:r>
      <w:r w:rsidR="0070780F" w:rsidRPr="00B34C19">
        <w:rPr>
          <w:color w:val="000000"/>
          <w:lang w:val="en-GB"/>
        </w:rPr>
        <w:t>’</w:t>
      </w:r>
      <w:r w:rsidR="00DB11C4" w:rsidRPr="00B34C19">
        <w:rPr>
          <w:color w:val="000000"/>
          <w:lang w:val="en-GB"/>
        </w:rPr>
        <w:t xml:space="preserve"> long-standing conventions </w:t>
      </w:r>
      <w:r w:rsidR="0002586F" w:rsidRPr="00B34C19">
        <w:rPr>
          <w:color w:val="000000"/>
          <w:lang w:val="en-GB"/>
        </w:rPr>
        <w:t xml:space="preserve">and routinised forms of behaviour </w:t>
      </w:r>
      <w:r w:rsidR="0070780F" w:rsidRPr="00B34C19">
        <w:rPr>
          <w:color w:val="000000"/>
          <w:lang w:val="en-GB"/>
        </w:rPr>
        <w:t>than any institutional guarantee.</w:t>
      </w:r>
      <w:r w:rsidR="0070780F" w:rsidRPr="00B34C19">
        <w:rPr>
          <w:rStyle w:val="FootnoteReference"/>
          <w:color w:val="000000"/>
          <w:lang w:val="en-GB"/>
        </w:rPr>
        <w:footnoteReference w:id="139"/>
      </w:r>
      <w:r w:rsidR="0070780F" w:rsidRPr="00B34C19">
        <w:rPr>
          <w:color w:val="000000"/>
          <w:lang w:val="en-GB"/>
        </w:rPr>
        <w:t xml:space="preserve"> There is an assumption that actors are rational, adopting a relationship of </w:t>
      </w:r>
      <w:r w:rsidR="00F533C3" w:rsidRPr="00B34C19">
        <w:rPr>
          <w:color w:val="000000"/>
          <w:lang w:val="en-GB"/>
        </w:rPr>
        <w:t xml:space="preserve">circumscribed </w:t>
      </w:r>
      <w:r w:rsidR="0070780F" w:rsidRPr="00B34C19">
        <w:rPr>
          <w:color w:val="000000"/>
          <w:lang w:val="en-GB"/>
        </w:rPr>
        <w:t xml:space="preserve">partisanship </w:t>
      </w:r>
      <w:r w:rsidR="00C03C21" w:rsidRPr="00B34C19">
        <w:rPr>
          <w:color w:val="000000"/>
          <w:lang w:val="en-GB"/>
        </w:rPr>
        <w:t xml:space="preserve">(‘negotiations-cum-confrontations’) </w:t>
      </w:r>
      <w:r w:rsidR="0070780F" w:rsidRPr="00B34C19">
        <w:rPr>
          <w:color w:val="000000"/>
          <w:lang w:val="en-GB"/>
        </w:rPr>
        <w:t>to tame politics.</w:t>
      </w:r>
      <w:r w:rsidR="00C03C21" w:rsidRPr="00B34C19">
        <w:rPr>
          <w:rStyle w:val="FootnoteReference"/>
          <w:color w:val="000000"/>
          <w:lang w:val="en-GB"/>
        </w:rPr>
        <w:footnoteReference w:id="140"/>
      </w:r>
      <w:r w:rsidR="003C33FD" w:rsidRPr="00B34C19">
        <w:rPr>
          <w:color w:val="000000"/>
          <w:lang w:val="en-GB"/>
        </w:rPr>
        <w:t xml:space="preserve"> </w:t>
      </w:r>
      <w:r w:rsidR="00891B4C" w:rsidRPr="00B34C19">
        <w:rPr>
          <w:color w:val="000000"/>
          <w:lang w:val="en-GB"/>
        </w:rPr>
        <w:t>Elites adapt to the ever-present reality of personalisation</w:t>
      </w:r>
      <w:r w:rsidR="009E6134" w:rsidRPr="00B34C19">
        <w:rPr>
          <w:color w:val="000000"/>
          <w:lang w:val="en-GB"/>
        </w:rPr>
        <w:t>,</w:t>
      </w:r>
      <w:r w:rsidR="00891B4C" w:rsidRPr="00B34C19">
        <w:rPr>
          <w:color w:val="000000"/>
          <w:lang w:val="en-GB"/>
        </w:rPr>
        <w:t xml:space="preserve"> factionalisation and the instrumentalization of violence through neopatrimonial allocations of rents</w:t>
      </w:r>
      <w:r w:rsidR="00EC4468" w:rsidRPr="00B34C19">
        <w:rPr>
          <w:color w:val="000000"/>
          <w:lang w:val="en-GB"/>
        </w:rPr>
        <w:t xml:space="preserve"> from resources and offices</w:t>
      </w:r>
      <w:r w:rsidR="00891B4C" w:rsidRPr="00B34C19">
        <w:rPr>
          <w:color w:val="000000"/>
          <w:lang w:val="en-GB"/>
        </w:rPr>
        <w:t xml:space="preserve">.  </w:t>
      </w:r>
      <w:r w:rsidR="00EC4468" w:rsidRPr="00B34C19">
        <w:rPr>
          <w:color w:val="000000"/>
          <w:lang w:val="en-GB"/>
        </w:rPr>
        <w:t>As Barma notes</w:t>
      </w:r>
      <w:r w:rsidR="00B34C19" w:rsidRPr="00B34C19">
        <w:rPr>
          <w:color w:val="000000"/>
          <w:lang w:val="en-GB"/>
        </w:rPr>
        <w:t>, ‘</w:t>
      </w:r>
      <w:r w:rsidR="00B34C19" w:rsidRPr="00B34C19">
        <w:t>t</w:t>
      </w:r>
      <w:r w:rsidR="00FE2210" w:rsidRPr="00B34C19">
        <w:t>he post-conflict reality … is that the political-economic incentives facing elites are such that it is easier and more profitable for them to distribute public rents and patronage goods to their clients in exchange for political support</w:t>
      </w:r>
      <w:r w:rsidR="00B34C19" w:rsidRPr="00B34C19">
        <w:t>’ to ensure stability than rely on reform of institutions.</w:t>
      </w:r>
      <w:r w:rsidR="00B34C19" w:rsidRPr="00B34C19">
        <w:rPr>
          <w:rStyle w:val="FootnoteReference"/>
        </w:rPr>
        <w:footnoteReference w:id="141"/>
      </w:r>
      <w:r w:rsidR="00B34C19" w:rsidRPr="00B34C19">
        <w:rPr>
          <w:color w:val="000000"/>
        </w:rPr>
        <w:t xml:space="preserve"> </w:t>
      </w:r>
      <w:r w:rsidR="00E828C8" w:rsidRPr="00B34C19">
        <w:rPr>
          <w:color w:val="000000"/>
          <w:lang w:val="en-GB"/>
        </w:rPr>
        <w:t xml:space="preserve">Examples </w:t>
      </w:r>
      <w:r w:rsidR="00B34C19" w:rsidRPr="00B34C19">
        <w:rPr>
          <w:color w:val="000000"/>
          <w:lang w:val="en-GB"/>
        </w:rPr>
        <w:t xml:space="preserve">of such neopatrimonalism </w:t>
      </w:r>
      <w:r w:rsidR="00E828C8" w:rsidRPr="00B34C19">
        <w:rPr>
          <w:color w:val="000000"/>
          <w:lang w:val="en-GB"/>
        </w:rPr>
        <w:t xml:space="preserve">are legion. </w:t>
      </w:r>
      <w:r w:rsidR="00F63589" w:rsidRPr="00B34C19">
        <w:rPr>
          <w:color w:val="000000"/>
          <w:lang w:val="en-GB"/>
        </w:rPr>
        <w:t>After renewed instability in the late 2000s, both the Solomon Island and Timor-Leste have regulated elite pacts through public spending systems to resolve political contests over the allocation of rents from resources.</w:t>
      </w:r>
      <w:r w:rsidR="00F63589" w:rsidRPr="00B34C19">
        <w:rPr>
          <w:rStyle w:val="FootnoteReference"/>
          <w:color w:val="000000"/>
          <w:lang w:val="en-GB"/>
        </w:rPr>
        <w:footnoteReference w:id="142"/>
      </w:r>
      <w:r w:rsidR="00891B4C" w:rsidRPr="00B34C19">
        <w:rPr>
          <w:color w:val="000000"/>
          <w:lang w:val="en-GB"/>
        </w:rPr>
        <w:t xml:space="preserve"> For over thirty years Uganda’s settlement has relied </w:t>
      </w:r>
      <w:r w:rsidR="004F433D" w:rsidRPr="00B34C19">
        <w:rPr>
          <w:color w:val="000000"/>
          <w:lang w:val="en-GB"/>
        </w:rPr>
        <w:t xml:space="preserve">more </w:t>
      </w:r>
      <w:r w:rsidR="00891B4C" w:rsidRPr="00B34C19">
        <w:rPr>
          <w:color w:val="000000"/>
          <w:lang w:val="en-GB"/>
        </w:rPr>
        <w:t>on a ‘deeply personalised and multi-levelled set of bargains’ held in place by the Musave</w:t>
      </w:r>
      <w:r w:rsidR="00532DD6" w:rsidRPr="00B34C19">
        <w:rPr>
          <w:color w:val="000000"/>
          <w:lang w:val="en-GB"/>
        </w:rPr>
        <w:t>n</w:t>
      </w:r>
      <w:r w:rsidR="00891B4C" w:rsidRPr="00B34C19">
        <w:rPr>
          <w:color w:val="000000"/>
          <w:lang w:val="en-GB"/>
        </w:rPr>
        <w:t xml:space="preserve">i regime than formal institutions of rule </w:t>
      </w:r>
      <w:r w:rsidR="00891B4C" w:rsidRPr="00B34C19">
        <w:rPr>
          <w:color w:val="000000"/>
          <w:lang w:val="en-GB"/>
        </w:rPr>
        <w:lastRenderedPageBreak/>
        <w:t>of law and democracy.</w:t>
      </w:r>
      <w:r w:rsidR="00891B4C" w:rsidRPr="00B34C19">
        <w:rPr>
          <w:rStyle w:val="FootnoteReference"/>
          <w:color w:val="000000"/>
          <w:lang w:val="en-GB"/>
        </w:rPr>
        <w:footnoteReference w:id="143"/>
      </w:r>
      <w:r w:rsidR="00891B4C" w:rsidRPr="00B34C19">
        <w:rPr>
          <w:color w:val="000000"/>
          <w:lang w:val="en-GB"/>
        </w:rPr>
        <w:t xml:space="preserve"> </w:t>
      </w:r>
      <w:r w:rsidR="005E5E7D" w:rsidRPr="00B34C19">
        <w:rPr>
          <w:rFonts w:eastAsiaTheme="minorHAnsi"/>
          <w:lang w:val="en-GB" w:eastAsia="en-US"/>
        </w:rPr>
        <w:t>In post-conflict Nepal, top-down financing of local patronage networks has served to reduce violence in remote areas by constructing economic and political linkages between local, sub-national and national elites.</w:t>
      </w:r>
      <w:r w:rsidR="005E5E7D" w:rsidRPr="00B34C19">
        <w:rPr>
          <w:rStyle w:val="FootnoteReference"/>
          <w:rFonts w:eastAsiaTheme="minorHAnsi"/>
          <w:lang w:val="en-GB" w:eastAsia="en-US"/>
        </w:rPr>
        <w:footnoteReference w:id="144"/>
      </w:r>
      <w:r w:rsidR="00B34C19" w:rsidRPr="00B34C19">
        <w:rPr>
          <w:rFonts w:eastAsiaTheme="minorHAnsi"/>
          <w:lang w:val="en-GB" w:eastAsia="en-US"/>
        </w:rPr>
        <w:t xml:space="preserve"> </w:t>
      </w:r>
      <w:r w:rsidR="00B34C19" w:rsidRPr="00B34C19">
        <w:rPr>
          <w:color w:val="000000"/>
          <w:lang w:val="en-GB"/>
        </w:rPr>
        <w:t>Post-genocide Rwanda enjoys a settlement characterised by ‘</w:t>
      </w:r>
      <w:r w:rsidR="00B34C19" w:rsidRPr="00B34C19">
        <w:t xml:space="preserve">a high degree of cohesion within the ruling coalition, strong control of political elites over lower-level factions, and little to no elite opposition’, thereby restraining </w:t>
      </w:r>
      <w:r w:rsidR="00B34C19" w:rsidRPr="00B34C19">
        <w:rPr>
          <w:color w:val="000000"/>
          <w:lang w:val="en-GB"/>
        </w:rPr>
        <w:t>tendencies towards ethnic division.</w:t>
      </w:r>
      <w:r w:rsidR="00B34C19" w:rsidRPr="00B34C19">
        <w:rPr>
          <w:rStyle w:val="FootnoteReference"/>
          <w:color w:val="000000"/>
          <w:lang w:val="en-GB"/>
        </w:rPr>
        <w:footnoteReference w:id="145"/>
      </w:r>
    </w:p>
    <w:p w14:paraId="1209E6D0" w14:textId="5C7875C4" w:rsidR="00E828C8" w:rsidRPr="00B34C19" w:rsidRDefault="00E828C8" w:rsidP="00E65CEB">
      <w:pPr>
        <w:spacing w:line="480" w:lineRule="auto"/>
        <w:jc w:val="both"/>
      </w:pPr>
    </w:p>
    <w:p w14:paraId="79F8C2DC" w14:textId="5971B6F2" w:rsidR="00F72B68" w:rsidRPr="00B34C19" w:rsidRDefault="00B6369E" w:rsidP="00E65CEB">
      <w:pPr>
        <w:spacing w:line="480" w:lineRule="auto"/>
        <w:jc w:val="both"/>
        <w:rPr>
          <w:color w:val="000000"/>
          <w:lang w:val="en-GB"/>
        </w:rPr>
      </w:pPr>
      <w:r w:rsidRPr="00B34C19">
        <w:rPr>
          <w:color w:val="000000"/>
          <w:lang w:val="en-GB"/>
        </w:rPr>
        <w:t>As Khan argues, t</w:t>
      </w:r>
      <w:r w:rsidR="000F1615" w:rsidRPr="00B34C19">
        <w:rPr>
          <w:color w:val="000000"/>
          <w:lang w:val="en-GB"/>
        </w:rPr>
        <w:t>h</w:t>
      </w:r>
      <w:r w:rsidRPr="00B34C19">
        <w:rPr>
          <w:color w:val="000000"/>
          <w:lang w:val="en-GB"/>
        </w:rPr>
        <w:t>ese settlements</w:t>
      </w:r>
      <w:r w:rsidR="000F1615" w:rsidRPr="00B34C19">
        <w:rPr>
          <w:color w:val="000000"/>
          <w:lang w:val="en-GB"/>
        </w:rPr>
        <w:t xml:space="preserve"> can endure </w:t>
      </w:r>
      <w:r w:rsidR="007449F1" w:rsidRPr="00B34C19">
        <w:rPr>
          <w:color w:val="000000"/>
          <w:lang w:val="en-GB"/>
        </w:rPr>
        <w:t xml:space="preserve">provided </w:t>
      </w:r>
      <w:r w:rsidR="000F1615" w:rsidRPr="00B34C19">
        <w:rPr>
          <w:color w:val="000000"/>
          <w:lang w:val="en-GB"/>
        </w:rPr>
        <w:t>there is compatibility between the power enjoyed by those within the settlement and the</w:t>
      </w:r>
      <w:r w:rsidR="00993217" w:rsidRPr="00B34C19">
        <w:rPr>
          <w:color w:val="000000"/>
          <w:lang w:val="en-GB"/>
        </w:rPr>
        <w:t xml:space="preserve"> distribution of benefits and power from particular institutional and resource configurations</w:t>
      </w:r>
      <w:r w:rsidR="007449F1" w:rsidRPr="00B34C19">
        <w:rPr>
          <w:color w:val="000000"/>
          <w:lang w:val="en-GB"/>
        </w:rPr>
        <w:t>.</w:t>
      </w:r>
      <w:r w:rsidR="00993217" w:rsidRPr="00B34C19">
        <w:rPr>
          <w:rStyle w:val="FootnoteReference"/>
          <w:color w:val="000000"/>
          <w:lang w:val="en-GB"/>
        </w:rPr>
        <w:t xml:space="preserve"> </w:t>
      </w:r>
      <w:r w:rsidR="00993217" w:rsidRPr="00B34C19">
        <w:rPr>
          <w:rStyle w:val="FootnoteReference"/>
          <w:color w:val="000000"/>
          <w:lang w:val="en-GB"/>
        </w:rPr>
        <w:footnoteReference w:id="146"/>
      </w:r>
      <w:r w:rsidR="00993217" w:rsidRPr="00B34C19">
        <w:rPr>
          <w:color w:val="000000"/>
          <w:lang w:val="en-GB"/>
        </w:rPr>
        <w:t xml:space="preserve"> Where </w:t>
      </w:r>
      <w:r w:rsidR="00532DD6" w:rsidRPr="00B34C19">
        <w:rPr>
          <w:color w:val="000000"/>
          <w:lang w:val="en-GB"/>
        </w:rPr>
        <w:t>power and benefits</w:t>
      </w:r>
      <w:r w:rsidR="00993217" w:rsidRPr="00B34C19">
        <w:rPr>
          <w:color w:val="000000"/>
          <w:lang w:val="en-GB"/>
        </w:rPr>
        <w:t xml:space="preserve"> become </w:t>
      </w:r>
      <w:r w:rsidR="00CE39A1" w:rsidRPr="00B34C19">
        <w:rPr>
          <w:color w:val="000000"/>
          <w:lang w:val="en-GB"/>
        </w:rPr>
        <w:t>imbalanced</w:t>
      </w:r>
      <w:r w:rsidR="00993217" w:rsidRPr="00B34C19">
        <w:rPr>
          <w:color w:val="000000"/>
          <w:lang w:val="en-GB"/>
        </w:rPr>
        <w:t>, violence may recur as factions fight to secure a share of wealth compatible with their de facto power.</w:t>
      </w:r>
      <w:r w:rsidR="00993217" w:rsidRPr="00B34C19">
        <w:rPr>
          <w:rStyle w:val="FootnoteReference"/>
          <w:color w:val="000000"/>
          <w:lang w:val="en-GB"/>
        </w:rPr>
        <w:footnoteReference w:id="147"/>
      </w:r>
      <w:r w:rsidR="00993217" w:rsidRPr="00B34C19">
        <w:rPr>
          <w:color w:val="000000"/>
          <w:lang w:val="en-GB"/>
        </w:rPr>
        <w:t xml:space="preserve"> Settlements </w:t>
      </w:r>
      <w:r w:rsidR="009F6AE2" w:rsidRPr="00B34C19">
        <w:rPr>
          <w:color w:val="000000"/>
          <w:lang w:val="en-GB"/>
        </w:rPr>
        <w:t xml:space="preserve">must </w:t>
      </w:r>
      <w:r w:rsidR="00993217" w:rsidRPr="00B34C19">
        <w:rPr>
          <w:color w:val="000000"/>
          <w:lang w:val="en-GB"/>
        </w:rPr>
        <w:t>respond dynamically, therefore, to the way economic, technological or demographic changes affect power and position</w:t>
      </w:r>
      <w:r w:rsidR="00532DD6" w:rsidRPr="00B34C19">
        <w:rPr>
          <w:color w:val="000000"/>
          <w:lang w:val="en-GB"/>
        </w:rPr>
        <w:t xml:space="preserve"> over the </w:t>
      </w:r>
      <w:r w:rsidR="00532DD6" w:rsidRPr="00B34C19">
        <w:rPr>
          <w:i/>
          <w:iCs/>
        </w:rPr>
        <w:t>longue durée</w:t>
      </w:r>
      <w:r w:rsidR="00993217" w:rsidRPr="00B34C19">
        <w:rPr>
          <w:color w:val="000000"/>
          <w:lang w:val="en-GB"/>
        </w:rPr>
        <w:t xml:space="preserve">. </w:t>
      </w:r>
      <w:r w:rsidR="004E4B6F" w:rsidRPr="00B34C19">
        <w:rPr>
          <w:color w:val="000000"/>
          <w:lang w:val="en-GB"/>
        </w:rPr>
        <w:t>Consequently</w:t>
      </w:r>
      <w:r w:rsidR="00F974F2" w:rsidRPr="00B34C19">
        <w:rPr>
          <w:color w:val="000000"/>
          <w:lang w:val="en-GB"/>
        </w:rPr>
        <w:t xml:space="preserve">, </w:t>
      </w:r>
      <w:r w:rsidR="009F6AE2" w:rsidRPr="00B34C19">
        <w:rPr>
          <w:color w:val="000000"/>
          <w:lang w:val="en-GB"/>
        </w:rPr>
        <w:t xml:space="preserve">political settlements analysis </w:t>
      </w:r>
      <w:r w:rsidR="00532DD6" w:rsidRPr="00B34C19">
        <w:rPr>
          <w:color w:val="000000"/>
          <w:lang w:val="en-GB"/>
        </w:rPr>
        <w:t>attends to power struggles over influence and resources between groups over years and generations rather than stat</w:t>
      </w:r>
      <w:r w:rsidR="004F433D" w:rsidRPr="00B34C19">
        <w:rPr>
          <w:color w:val="000000"/>
          <w:lang w:val="en-GB"/>
        </w:rPr>
        <w:t>ic</w:t>
      </w:r>
      <w:r w:rsidR="00532DD6" w:rsidRPr="00B34C19">
        <w:rPr>
          <w:color w:val="000000"/>
          <w:lang w:val="en-GB"/>
        </w:rPr>
        <w:t xml:space="preserve"> institutional outcomes </w:t>
      </w:r>
      <w:r w:rsidR="00532DD6" w:rsidRPr="00B34C19">
        <w:rPr>
          <w:color w:val="000000"/>
          <w:lang w:val="en-GB"/>
        </w:rPr>
        <w:lastRenderedPageBreak/>
        <w:t>of conflict.</w:t>
      </w:r>
      <w:r w:rsidR="009F6AE2" w:rsidRPr="00B34C19">
        <w:rPr>
          <w:rStyle w:val="FootnoteReference"/>
          <w:color w:val="000000"/>
          <w:lang w:val="en-GB"/>
        </w:rPr>
        <w:footnoteReference w:id="148"/>
      </w:r>
      <w:r w:rsidR="00056530" w:rsidRPr="00B34C19">
        <w:rPr>
          <w:color w:val="000000"/>
          <w:lang w:val="en-GB"/>
        </w:rPr>
        <w:t xml:space="preserve"> </w:t>
      </w:r>
      <w:r w:rsidR="009B0503" w:rsidRPr="00B34C19">
        <w:rPr>
          <w:color w:val="000000"/>
          <w:lang w:val="en-GB"/>
        </w:rPr>
        <w:t xml:space="preserve"> </w:t>
      </w:r>
      <w:r w:rsidR="009F6AE2" w:rsidRPr="00B34C19">
        <w:rPr>
          <w:color w:val="000000"/>
          <w:lang w:val="en-GB"/>
        </w:rPr>
        <w:t>Further</w:t>
      </w:r>
      <w:r w:rsidR="00CE39A1" w:rsidRPr="00B34C19">
        <w:rPr>
          <w:color w:val="000000"/>
          <w:lang w:val="en-GB"/>
        </w:rPr>
        <w:t>more</w:t>
      </w:r>
      <w:r w:rsidR="009F6AE2" w:rsidRPr="00B34C19">
        <w:rPr>
          <w:color w:val="000000"/>
          <w:lang w:val="en-GB"/>
        </w:rPr>
        <w:t xml:space="preserve">, </w:t>
      </w:r>
      <w:r w:rsidR="00F974F2" w:rsidRPr="00B34C19">
        <w:rPr>
          <w:color w:val="000000"/>
          <w:lang w:val="en-GB"/>
        </w:rPr>
        <w:t xml:space="preserve">the settlement does more </w:t>
      </w:r>
      <w:r w:rsidR="00007B12">
        <w:rPr>
          <w:color w:val="000000"/>
          <w:lang w:val="en-GB"/>
        </w:rPr>
        <w:t xml:space="preserve">to </w:t>
      </w:r>
      <w:r w:rsidR="00F974F2" w:rsidRPr="00B34C19">
        <w:rPr>
          <w:color w:val="000000"/>
          <w:lang w:val="en-GB"/>
        </w:rPr>
        <w:t>shape the state’s possibilities than formal institutions because (a) institutional autonomy is weakened by patrimonial concerns and (b) the emphasis on personalities and relationships serves to bypass institutions.</w:t>
      </w:r>
      <w:r w:rsidR="00F974F2" w:rsidRPr="00B34C19">
        <w:rPr>
          <w:rStyle w:val="FootnoteReference"/>
          <w:color w:val="000000"/>
          <w:lang w:val="en-GB"/>
        </w:rPr>
        <w:footnoteReference w:id="149"/>
      </w:r>
      <w:r w:rsidR="009B0503" w:rsidRPr="00B34C19">
        <w:rPr>
          <w:color w:val="000000"/>
          <w:lang w:val="en-GB"/>
        </w:rPr>
        <w:t xml:space="preserve"> It should be clear from this analysis that settlements are conservative processes, oriented more towards non-recurrence in the short-term than easing conflict by pursuing development, developing responsive governance or redressing horizontal inequalities. </w:t>
      </w:r>
      <w:r w:rsidR="00615CAF" w:rsidRPr="00B34C19">
        <w:rPr>
          <w:color w:val="000000"/>
          <w:lang w:val="en-GB"/>
        </w:rPr>
        <w:t>It is undeniable that settlements tend to be incompatible with many of the</w:t>
      </w:r>
      <w:r w:rsidR="00615CAF" w:rsidRPr="00B34C19">
        <w:rPr>
          <w:rFonts w:eastAsiaTheme="minorHAnsi"/>
          <w:lang w:val="en-GB" w:eastAsia="en-US"/>
        </w:rPr>
        <w:t xml:space="preserve"> political and legal normative commitments</w:t>
      </w:r>
      <w:r w:rsidR="00615CAF" w:rsidRPr="00B34C19">
        <w:rPr>
          <w:color w:val="000000"/>
          <w:lang w:val="en-GB"/>
        </w:rPr>
        <w:t xml:space="preserve"> </w:t>
      </w:r>
      <w:r w:rsidR="00615CAF" w:rsidRPr="00B34C19">
        <w:rPr>
          <w:rFonts w:eastAsiaTheme="minorHAnsi"/>
          <w:lang w:val="en-GB" w:eastAsia="en-US"/>
        </w:rPr>
        <w:t>to broader forms of inclusion that are typically argued to underpin sustainable peace</w:t>
      </w:r>
      <w:r w:rsidR="00A37632" w:rsidRPr="00B34C19">
        <w:rPr>
          <w:rFonts w:eastAsiaTheme="minorHAnsi"/>
          <w:lang w:val="en-GB" w:eastAsia="en-US"/>
        </w:rPr>
        <w:t>, even if it is doubtful international actors enjoy much capacity to influence them</w:t>
      </w:r>
      <w:r w:rsidR="004F085D" w:rsidRPr="00B34C19">
        <w:rPr>
          <w:color w:val="000000"/>
          <w:lang w:val="en-GB"/>
        </w:rPr>
        <w:t>.</w:t>
      </w:r>
      <w:r w:rsidR="00615CAF" w:rsidRPr="00B34C19">
        <w:rPr>
          <w:rStyle w:val="FootnoteReference"/>
          <w:color w:val="000000"/>
          <w:lang w:val="en-GB"/>
        </w:rPr>
        <w:footnoteReference w:id="150"/>
      </w:r>
      <w:r w:rsidR="004F085D" w:rsidRPr="00B34C19">
        <w:rPr>
          <w:color w:val="000000"/>
          <w:lang w:val="en-GB"/>
        </w:rPr>
        <w:t xml:space="preserve"> </w:t>
      </w:r>
      <w:r w:rsidR="00615CAF" w:rsidRPr="00B34C19">
        <w:rPr>
          <w:color w:val="000000"/>
          <w:lang w:val="en-GB"/>
        </w:rPr>
        <w:t xml:space="preserve">This </w:t>
      </w:r>
      <w:r w:rsidR="00A37632" w:rsidRPr="00B34C19">
        <w:rPr>
          <w:color w:val="000000"/>
          <w:lang w:val="en-GB"/>
        </w:rPr>
        <w:t>exclusion</w:t>
      </w:r>
      <w:r w:rsidR="00615CAF" w:rsidRPr="00B34C19">
        <w:rPr>
          <w:color w:val="000000"/>
          <w:lang w:val="en-GB"/>
        </w:rPr>
        <w:t xml:space="preserve"> is justified on the basis that ‘at a social level a relatively peaceful patrimonial structure usually produces less illfare than a warlord structure</w:t>
      </w:r>
      <w:r w:rsidR="00007B12">
        <w:rPr>
          <w:color w:val="000000"/>
          <w:lang w:val="en-GB"/>
        </w:rPr>
        <w:t>,</w:t>
      </w:r>
      <w:r w:rsidR="00615CAF" w:rsidRPr="00B34C19">
        <w:rPr>
          <w:color w:val="000000"/>
          <w:lang w:val="en-GB"/>
        </w:rPr>
        <w:t>’</w:t>
      </w:r>
      <w:r w:rsidR="00615CAF" w:rsidRPr="00B34C19">
        <w:rPr>
          <w:rStyle w:val="FootnoteReference"/>
          <w:color w:val="000000"/>
          <w:lang w:val="en-GB"/>
        </w:rPr>
        <w:footnoteReference w:id="151"/>
      </w:r>
      <w:r w:rsidR="00007B12">
        <w:rPr>
          <w:color w:val="000000"/>
          <w:lang w:val="en-GB"/>
        </w:rPr>
        <w:t xml:space="preserve"> even if this smacks of damnation by faint praise.</w:t>
      </w:r>
      <w:r w:rsidR="00A37632" w:rsidRPr="00B34C19">
        <w:rPr>
          <w:color w:val="000000"/>
          <w:lang w:val="en-GB"/>
        </w:rPr>
        <w:t xml:space="preserve"> Consequently, if informality governs the process of settlement, it also defines its assessment. </w:t>
      </w:r>
      <w:r w:rsidR="00F72B68" w:rsidRPr="00B34C19">
        <w:rPr>
          <w:color w:val="000000"/>
          <w:lang w:val="en-GB"/>
        </w:rPr>
        <w:t>A political settlement can be said to have (for want of a better word) settled ‘</w:t>
      </w:r>
      <w:r w:rsidR="00F72B68" w:rsidRPr="00B34C19">
        <w:rPr>
          <w:rStyle w:val="markedcontent"/>
        </w:rPr>
        <w:t>when (a) the most powerful groups in society are not actively challenging</w:t>
      </w:r>
      <w:r w:rsidR="00F72B68" w:rsidRPr="00B34C19">
        <w:t xml:space="preserve"> </w:t>
      </w:r>
      <w:r w:rsidR="00F72B68" w:rsidRPr="00B34C19">
        <w:rPr>
          <w:rStyle w:val="markedcontent"/>
        </w:rPr>
        <w:t>political arrangements, and (b) there has been a significant reduction in anti-systemic violence and other</w:t>
      </w:r>
      <w:r w:rsidR="00F72B68" w:rsidRPr="00B34C19">
        <w:t xml:space="preserve"> </w:t>
      </w:r>
      <w:r w:rsidR="00F72B68" w:rsidRPr="00B34C19">
        <w:rPr>
          <w:rStyle w:val="markedcontent"/>
        </w:rPr>
        <w:t>forms of disruption.’</w:t>
      </w:r>
      <w:r w:rsidR="00F72B68" w:rsidRPr="00B34C19">
        <w:rPr>
          <w:rStyle w:val="FootnoteReference"/>
        </w:rPr>
        <w:footnoteReference w:id="152"/>
      </w:r>
    </w:p>
    <w:p w14:paraId="7C1DB15B" w14:textId="4D5033E7" w:rsidR="00F72B68" w:rsidRPr="00B34C19" w:rsidRDefault="00F72B68" w:rsidP="00E65CEB">
      <w:pPr>
        <w:autoSpaceDE w:val="0"/>
        <w:autoSpaceDN w:val="0"/>
        <w:adjustRightInd w:val="0"/>
        <w:spacing w:line="480" w:lineRule="auto"/>
        <w:jc w:val="both"/>
        <w:rPr>
          <w:color w:val="000000"/>
          <w:lang w:val="en-GB"/>
        </w:rPr>
      </w:pPr>
    </w:p>
    <w:p w14:paraId="18E3F6AB" w14:textId="77777777" w:rsidR="0071115D" w:rsidRPr="00B34C19" w:rsidRDefault="0071115D" w:rsidP="00E65CEB">
      <w:pPr>
        <w:autoSpaceDE w:val="0"/>
        <w:autoSpaceDN w:val="0"/>
        <w:adjustRightInd w:val="0"/>
        <w:spacing w:line="480" w:lineRule="auto"/>
        <w:jc w:val="both"/>
        <w:rPr>
          <w:color w:val="000000"/>
          <w:lang w:val="en-GB"/>
        </w:rPr>
      </w:pPr>
    </w:p>
    <w:p w14:paraId="483EE399" w14:textId="3A6EF23F" w:rsidR="003F54A2" w:rsidRPr="00F4113B" w:rsidRDefault="0071115D" w:rsidP="00E65CEB">
      <w:pPr>
        <w:autoSpaceDE w:val="0"/>
        <w:autoSpaceDN w:val="0"/>
        <w:adjustRightInd w:val="0"/>
        <w:spacing w:line="480" w:lineRule="auto"/>
        <w:jc w:val="both"/>
        <w:rPr>
          <w:b/>
          <w:bCs/>
          <w:color w:val="000000"/>
          <w:sz w:val="28"/>
          <w:szCs w:val="28"/>
          <w:lang w:val="en-GB"/>
        </w:rPr>
      </w:pPr>
      <w:r w:rsidRPr="00F4113B">
        <w:rPr>
          <w:b/>
          <w:bCs/>
          <w:color w:val="000000"/>
          <w:sz w:val="28"/>
          <w:szCs w:val="28"/>
          <w:lang w:val="en-GB"/>
        </w:rPr>
        <w:t xml:space="preserve">4. </w:t>
      </w:r>
      <w:r w:rsidR="0061701E" w:rsidRPr="00F4113B">
        <w:rPr>
          <w:b/>
          <w:bCs/>
          <w:color w:val="000000"/>
          <w:sz w:val="28"/>
          <w:szCs w:val="28"/>
          <w:lang w:val="en-GB"/>
        </w:rPr>
        <w:t>The Co-existence of GNRs and Settlements</w:t>
      </w:r>
    </w:p>
    <w:p w14:paraId="02C7FAE9" w14:textId="3885ECDD" w:rsidR="003F54A2" w:rsidRPr="00B34C19" w:rsidRDefault="003F54A2" w:rsidP="00E65CEB">
      <w:pPr>
        <w:autoSpaceDE w:val="0"/>
        <w:autoSpaceDN w:val="0"/>
        <w:adjustRightInd w:val="0"/>
        <w:spacing w:line="480" w:lineRule="auto"/>
        <w:jc w:val="both"/>
        <w:rPr>
          <w:color w:val="000000"/>
          <w:lang w:val="en-GB"/>
        </w:rPr>
      </w:pPr>
    </w:p>
    <w:p w14:paraId="3B9BD9BA" w14:textId="4B2EE171" w:rsidR="00AF38B2" w:rsidRPr="00B34C19" w:rsidRDefault="0061701E" w:rsidP="00E65CEB">
      <w:pPr>
        <w:spacing w:line="480" w:lineRule="auto"/>
        <w:jc w:val="both"/>
      </w:pPr>
      <w:r w:rsidRPr="00B34C19">
        <w:rPr>
          <w:color w:val="000000"/>
          <w:lang w:val="en-GB"/>
        </w:rPr>
        <w:t xml:space="preserve">Thus far this paper has made three arguments. Firstly, forestalling violence represents the most pressing dilemma in </w:t>
      </w:r>
      <w:r w:rsidR="00885B6D" w:rsidRPr="00B34C19">
        <w:rPr>
          <w:color w:val="000000"/>
          <w:lang w:val="en-GB"/>
        </w:rPr>
        <w:t>the fragile states</w:t>
      </w:r>
      <w:r w:rsidRPr="00B34C19">
        <w:rPr>
          <w:color w:val="000000"/>
          <w:lang w:val="en-GB"/>
        </w:rPr>
        <w:t xml:space="preserve"> of the developing world. This is all the more so in states that have recently endured civil conflict. Secondly, GNRs have emerged within TJ as a feasible, measured and </w:t>
      </w:r>
      <w:r w:rsidR="00627D0C" w:rsidRPr="00B34C19">
        <w:rPr>
          <w:color w:val="000000"/>
          <w:lang w:val="en-GB"/>
        </w:rPr>
        <w:t>institution-based</w:t>
      </w:r>
      <w:r w:rsidRPr="00B34C19">
        <w:rPr>
          <w:color w:val="000000"/>
          <w:lang w:val="en-GB"/>
        </w:rPr>
        <w:t xml:space="preserve"> means of preventing violence, adopting a formalist logic that nevertheless takes seriously the institutional weakness of fragile states. Thirdly, and notwithstanding the commendably realist approach taken by GNRs, they are </w:t>
      </w:r>
      <w:r w:rsidR="00BE1B0C" w:rsidRPr="00B34C19">
        <w:rPr>
          <w:color w:val="000000"/>
          <w:lang w:val="en-GB"/>
        </w:rPr>
        <w:t>un</w:t>
      </w:r>
      <w:r w:rsidR="007D3BDB" w:rsidRPr="00B34C19">
        <w:rPr>
          <w:color w:val="000000"/>
          <w:lang w:val="en-GB"/>
        </w:rPr>
        <w:t xml:space="preserve">likely to be </w:t>
      </w:r>
      <w:r w:rsidR="00BE1B0C" w:rsidRPr="00B34C19">
        <w:rPr>
          <w:color w:val="000000"/>
          <w:lang w:val="en-GB"/>
        </w:rPr>
        <w:t>viewed as existentially important given</w:t>
      </w:r>
      <w:r w:rsidR="007D3BDB" w:rsidRPr="00B34C19">
        <w:rPr>
          <w:color w:val="000000"/>
          <w:lang w:val="en-GB"/>
        </w:rPr>
        <w:t xml:space="preserve"> the </w:t>
      </w:r>
      <w:r w:rsidR="009061B1" w:rsidRPr="00B34C19">
        <w:rPr>
          <w:color w:val="000000"/>
          <w:lang w:val="en-GB"/>
        </w:rPr>
        <w:t xml:space="preserve">pre-existing reliance on the </w:t>
      </w:r>
      <w:r w:rsidR="007D3BDB" w:rsidRPr="00B34C19">
        <w:rPr>
          <w:color w:val="000000"/>
          <w:lang w:val="en-GB"/>
        </w:rPr>
        <w:t>deeply informal logic of settlements</w:t>
      </w:r>
      <w:r w:rsidR="00AE5D60" w:rsidRPr="00B34C19">
        <w:rPr>
          <w:color w:val="000000"/>
          <w:lang w:val="en-GB"/>
        </w:rPr>
        <w:t xml:space="preserve">, a logic that also </w:t>
      </w:r>
      <w:r w:rsidR="00627D0C" w:rsidRPr="00B34C19">
        <w:rPr>
          <w:color w:val="000000"/>
          <w:lang w:val="en-GB"/>
        </w:rPr>
        <w:t>acknowledg</w:t>
      </w:r>
      <w:r w:rsidR="00AE5D60" w:rsidRPr="00B34C19">
        <w:rPr>
          <w:color w:val="000000"/>
          <w:lang w:val="en-GB"/>
        </w:rPr>
        <w:t>es</w:t>
      </w:r>
      <w:r w:rsidR="00627D0C" w:rsidRPr="00B34C19">
        <w:rPr>
          <w:color w:val="000000"/>
          <w:lang w:val="en-GB"/>
        </w:rPr>
        <w:t xml:space="preserve"> institutional weakness</w:t>
      </w:r>
      <w:r w:rsidR="007D3BDB" w:rsidRPr="00B34C19">
        <w:rPr>
          <w:color w:val="000000"/>
          <w:lang w:val="en-GB"/>
        </w:rPr>
        <w:t>. There is therefore a c</w:t>
      </w:r>
      <w:r w:rsidR="00352A34" w:rsidRPr="00B34C19">
        <w:rPr>
          <w:color w:val="000000"/>
          <w:lang w:val="en-GB"/>
        </w:rPr>
        <w:t xml:space="preserve">lear tension between the </w:t>
      </w:r>
      <w:r w:rsidR="007D3BDB" w:rsidRPr="00B34C19">
        <w:rPr>
          <w:color w:val="000000"/>
          <w:lang w:val="en-GB"/>
        </w:rPr>
        <w:t>normative and formalist emphasis</w:t>
      </w:r>
      <w:r w:rsidR="00352A34" w:rsidRPr="00B34C19">
        <w:rPr>
          <w:color w:val="000000"/>
          <w:lang w:val="en-GB"/>
        </w:rPr>
        <w:t xml:space="preserve"> of GNRs and what non-recurrence is often about in practice, namely consolidating informal </w:t>
      </w:r>
      <w:r w:rsidR="00627D0C" w:rsidRPr="00B34C19">
        <w:rPr>
          <w:color w:val="000000"/>
          <w:lang w:val="en-GB"/>
        </w:rPr>
        <w:t xml:space="preserve">and neopatrimonialist </w:t>
      </w:r>
      <w:r w:rsidR="00352A34" w:rsidRPr="00B34C19">
        <w:rPr>
          <w:color w:val="000000"/>
          <w:lang w:val="en-GB"/>
        </w:rPr>
        <w:t xml:space="preserve">commitments towards non-violence on the part of elites. </w:t>
      </w:r>
      <w:r w:rsidR="007D3BDB" w:rsidRPr="00B34C19">
        <w:rPr>
          <w:color w:val="000000"/>
          <w:lang w:val="en-GB"/>
        </w:rPr>
        <w:t>None of these tensions are insurmountable, even if the risk of GNRs being compromised by informalist logics is real</w:t>
      </w:r>
      <w:r w:rsidR="00885B6D" w:rsidRPr="00B34C19">
        <w:rPr>
          <w:color w:val="000000"/>
          <w:lang w:val="en-GB"/>
        </w:rPr>
        <w:t>, as noted below</w:t>
      </w:r>
      <w:r w:rsidR="007D3BDB" w:rsidRPr="00B34C19">
        <w:rPr>
          <w:color w:val="000000"/>
          <w:lang w:val="en-GB"/>
        </w:rPr>
        <w:t>. GNRs may or may not be embedded within settlements</w:t>
      </w:r>
      <w:r w:rsidR="00627D0C" w:rsidRPr="00B34C19">
        <w:rPr>
          <w:color w:val="000000"/>
          <w:lang w:val="en-GB"/>
        </w:rPr>
        <w:t xml:space="preserve">. </w:t>
      </w:r>
      <w:r w:rsidR="00480F7C" w:rsidRPr="00B34C19">
        <w:rPr>
          <w:color w:val="000000"/>
          <w:lang w:val="en-GB"/>
        </w:rPr>
        <w:t xml:space="preserve">There is no guarantee a given GNR in the </w:t>
      </w:r>
      <w:r w:rsidR="004C3663">
        <w:rPr>
          <w:color w:val="000000"/>
          <w:lang w:val="en-GB"/>
        </w:rPr>
        <w:t>army or police</w:t>
      </w:r>
      <w:r w:rsidR="00480F7C" w:rsidRPr="00B34C19">
        <w:rPr>
          <w:color w:val="000000"/>
          <w:lang w:val="en-GB"/>
        </w:rPr>
        <w:t>, regardless of how well it responds to pas</w:t>
      </w:r>
      <w:r w:rsidR="002F3793" w:rsidRPr="00B34C19">
        <w:rPr>
          <w:color w:val="000000"/>
          <w:lang w:val="en-GB"/>
        </w:rPr>
        <w:t>t</w:t>
      </w:r>
      <w:r w:rsidR="00480F7C" w:rsidRPr="00B34C19">
        <w:rPr>
          <w:color w:val="000000"/>
          <w:lang w:val="en-GB"/>
        </w:rPr>
        <w:t xml:space="preserve"> abuse, </w:t>
      </w:r>
      <w:r w:rsidR="002F3793" w:rsidRPr="00B34C19">
        <w:rPr>
          <w:color w:val="000000"/>
          <w:lang w:val="en-GB"/>
        </w:rPr>
        <w:t>will</w:t>
      </w:r>
      <w:r w:rsidR="00480F7C" w:rsidRPr="00B34C19">
        <w:rPr>
          <w:color w:val="000000"/>
          <w:lang w:val="en-GB"/>
        </w:rPr>
        <w:t xml:space="preserve"> affect the accepted rules of political life in a dominant coalition, influence the actors within in it or touch their main economic interests. </w:t>
      </w:r>
      <w:r w:rsidR="00105E68" w:rsidRPr="00B34C19">
        <w:rPr>
          <w:color w:val="000000"/>
          <w:lang w:val="en-GB"/>
        </w:rPr>
        <w:t>As McAuliffe notes, ‘</w:t>
      </w:r>
      <w:r w:rsidR="00105E68" w:rsidRPr="00B34C19">
        <w:t>the perceived right to torture, maim or kill are</w:t>
      </w:r>
      <w:r w:rsidR="004C3663">
        <w:t xml:space="preserve"> </w:t>
      </w:r>
      <w:r w:rsidR="00105E68" w:rsidRPr="00B34C19">
        <w:t>resources antagonists are content to give up</w:t>
      </w:r>
      <w:r w:rsidR="009061B1" w:rsidRPr="00B34C19">
        <w:t xml:space="preserve"> [after conflict]</w:t>
      </w:r>
      <w:r w:rsidR="00105E68" w:rsidRPr="00B34C19">
        <w:t>, while land, opportunities and</w:t>
      </w:r>
      <w:r w:rsidR="00105E68" w:rsidRPr="00B34C19">
        <w:br/>
        <w:t>natural resources are usually not.</w:t>
      </w:r>
      <w:r w:rsidR="00105E68" w:rsidRPr="00B34C19">
        <w:rPr>
          <w:color w:val="000000"/>
          <w:lang w:val="en-GB"/>
        </w:rPr>
        <w:t>’</w:t>
      </w:r>
      <w:r w:rsidR="00105E68" w:rsidRPr="00B34C19">
        <w:rPr>
          <w:rStyle w:val="FootnoteReference"/>
          <w:color w:val="000000"/>
          <w:lang w:val="en-GB"/>
        </w:rPr>
        <w:footnoteReference w:id="153"/>
      </w:r>
      <w:r w:rsidR="00105E68" w:rsidRPr="00B34C19">
        <w:t xml:space="preserve"> </w:t>
      </w:r>
      <w:r w:rsidR="00EF48CB" w:rsidRPr="00B34C19">
        <w:t>Reformed or vetted institutions may prove little more than ‘islands of effectiveness’ within wider dysfunction.</w:t>
      </w:r>
      <w:r w:rsidR="00EF48CB" w:rsidRPr="00B34C19">
        <w:rPr>
          <w:rStyle w:val="FootnoteReference"/>
        </w:rPr>
        <w:footnoteReference w:id="154"/>
      </w:r>
      <w:r w:rsidR="00EF48CB" w:rsidRPr="00B34C19">
        <w:t xml:space="preserve"> </w:t>
      </w:r>
    </w:p>
    <w:p w14:paraId="47D0853D" w14:textId="77777777" w:rsidR="00AF38B2" w:rsidRPr="00B34C19" w:rsidRDefault="00AF38B2" w:rsidP="00E65CEB">
      <w:pPr>
        <w:spacing w:line="480" w:lineRule="auto"/>
        <w:jc w:val="both"/>
      </w:pPr>
    </w:p>
    <w:p w14:paraId="4F292635" w14:textId="2E8A6829" w:rsidR="00AF38B2" w:rsidRPr="00B34C19" w:rsidRDefault="00664548" w:rsidP="00E65CEB">
      <w:pPr>
        <w:spacing w:line="480" w:lineRule="auto"/>
        <w:jc w:val="both"/>
      </w:pPr>
      <w:r w:rsidRPr="00B34C19">
        <w:t>At</w:t>
      </w:r>
      <w:r w:rsidR="00480F7C" w:rsidRPr="00B34C19">
        <w:rPr>
          <w:color w:val="000000"/>
          <w:lang w:val="en-GB"/>
        </w:rPr>
        <w:t xml:space="preserve"> the same time, </w:t>
      </w:r>
      <w:r w:rsidR="000A0AFC" w:rsidRPr="00B34C19">
        <w:rPr>
          <w:color w:val="000000"/>
          <w:lang w:val="en-GB"/>
        </w:rPr>
        <w:t>no settlement can exist without some formal institutional safeguards</w:t>
      </w:r>
      <w:r w:rsidR="00885B6D" w:rsidRPr="00B34C19">
        <w:rPr>
          <w:color w:val="000000"/>
          <w:lang w:val="en-GB"/>
        </w:rPr>
        <w:t>,</w:t>
      </w:r>
      <w:r w:rsidR="000A0AFC" w:rsidRPr="00B34C19">
        <w:rPr>
          <w:color w:val="000000"/>
          <w:lang w:val="en-GB"/>
        </w:rPr>
        <w:t xml:space="preserve"> and </w:t>
      </w:r>
      <w:r w:rsidR="00480F7C" w:rsidRPr="00B34C19">
        <w:rPr>
          <w:color w:val="000000"/>
          <w:lang w:val="en-GB"/>
        </w:rPr>
        <w:t>nothing about settlements</w:t>
      </w:r>
      <w:r w:rsidR="002F3793" w:rsidRPr="00B34C19">
        <w:rPr>
          <w:color w:val="000000"/>
          <w:lang w:val="en-GB"/>
        </w:rPr>
        <w:t xml:space="preserve"> inherently precludes </w:t>
      </w:r>
      <w:r w:rsidR="002F3793" w:rsidRPr="00B34C19">
        <w:rPr>
          <w:color w:val="000000"/>
          <w:u w:val="single"/>
          <w:lang w:val="en-GB"/>
        </w:rPr>
        <w:t>non</w:t>
      </w:r>
      <w:r w:rsidR="002F3793" w:rsidRPr="00B34C19">
        <w:rPr>
          <w:color w:val="000000"/>
          <w:lang w:val="en-GB"/>
        </w:rPr>
        <w:t>-patrimonialist ideas, norms or commitments.</w:t>
      </w:r>
      <w:r w:rsidR="002F3793" w:rsidRPr="00B34C19">
        <w:rPr>
          <w:rStyle w:val="FootnoteReference"/>
          <w:color w:val="000000"/>
          <w:lang w:val="en-GB"/>
        </w:rPr>
        <w:footnoteReference w:id="155"/>
      </w:r>
      <w:r w:rsidR="002F3793" w:rsidRPr="00B34C19">
        <w:rPr>
          <w:color w:val="000000"/>
          <w:lang w:val="en-GB"/>
        </w:rPr>
        <w:t xml:space="preserve"> </w:t>
      </w:r>
      <w:r w:rsidR="00627D0C" w:rsidRPr="00B34C19">
        <w:rPr>
          <w:color w:val="000000"/>
          <w:lang w:val="en-GB"/>
        </w:rPr>
        <w:t>M</w:t>
      </w:r>
      <w:r w:rsidR="007D3BDB" w:rsidRPr="00B34C19">
        <w:rPr>
          <w:color w:val="000000"/>
          <w:lang w:val="en-GB"/>
        </w:rPr>
        <w:t xml:space="preserve">uch depends on the degree to which </w:t>
      </w:r>
      <w:r w:rsidR="00B7681B" w:rsidRPr="00B34C19">
        <w:rPr>
          <w:color w:val="000000"/>
          <w:lang w:val="en-GB"/>
        </w:rPr>
        <w:t>GNRs</w:t>
      </w:r>
      <w:r w:rsidR="007D3BDB" w:rsidRPr="00B34C19">
        <w:rPr>
          <w:color w:val="000000"/>
          <w:lang w:val="en-GB"/>
        </w:rPr>
        <w:t xml:space="preserve"> are donor projects</w:t>
      </w:r>
      <w:r w:rsidR="00073122" w:rsidRPr="00B34C19">
        <w:rPr>
          <w:color w:val="000000"/>
          <w:lang w:val="en-GB"/>
        </w:rPr>
        <w:t xml:space="preserve"> </w:t>
      </w:r>
      <w:r w:rsidR="00AF38B2" w:rsidRPr="00B34C19">
        <w:rPr>
          <w:color w:val="000000"/>
          <w:lang w:val="en-GB"/>
        </w:rPr>
        <w:t xml:space="preserve">that national leaders </w:t>
      </w:r>
      <w:r w:rsidR="00073122" w:rsidRPr="00B34C19">
        <w:rPr>
          <w:color w:val="000000"/>
          <w:lang w:val="en-GB"/>
        </w:rPr>
        <w:t>acquiesce to with greater or lesser enthusiasm, on the one hand,</w:t>
      </w:r>
      <w:r w:rsidR="007D3BDB" w:rsidRPr="00B34C19">
        <w:rPr>
          <w:color w:val="000000"/>
          <w:lang w:val="en-GB"/>
        </w:rPr>
        <w:t xml:space="preserve"> </w:t>
      </w:r>
      <w:r w:rsidR="00AF38B2" w:rsidRPr="00B34C19">
        <w:rPr>
          <w:color w:val="000000"/>
          <w:lang w:val="en-GB"/>
        </w:rPr>
        <w:t xml:space="preserve">or an </w:t>
      </w:r>
      <w:r w:rsidR="00B7681B" w:rsidRPr="00B34C19">
        <w:rPr>
          <w:color w:val="000000"/>
          <w:lang w:val="en-GB"/>
        </w:rPr>
        <w:t xml:space="preserve">existential </w:t>
      </w:r>
      <w:r w:rsidR="00073122" w:rsidRPr="00B34C19">
        <w:rPr>
          <w:color w:val="000000"/>
          <w:lang w:val="en-GB"/>
        </w:rPr>
        <w:t xml:space="preserve">domestic </w:t>
      </w:r>
      <w:r w:rsidR="00B7681B" w:rsidRPr="00B34C19">
        <w:rPr>
          <w:color w:val="000000"/>
          <w:lang w:val="en-GB"/>
        </w:rPr>
        <w:t>concern</w:t>
      </w:r>
      <w:r w:rsidR="007D3BDB" w:rsidRPr="00B34C19">
        <w:rPr>
          <w:color w:val="000000"/>
          <w:lang w:val="en-GB"/>
        </w:rPr>
        <w:t xml:space="preserve"> bargained over</w:t>
      </w:r>
      <w:r w:rsidR="00B7681B" w:rsidRPr="00B34C19">
        <w:rPr>
          <w:color w:val="000000"/>
          <w:lang w:val="en-GB"/>
        </w:rPr>
        <w:t xml:space="preserve"> keenly</w:t>
      </w:r>
      <w:r w:rsidR="007D3BDB" w:rsidRPr="00B34C19">
        <w:rPr>
          <w:color w:val="000000"/>
          <w:lang w:val="en-GB"/>
        </w:rPr>
        <w:t xml:space="preserve"> by elites</w:t>
      </w:r>
      <w:r w:rsidR="009061B1" w:rsidRPr="00B34C19">
        <w:rPr>
          <w:color w:val="000000"/>
          <w:lang w:val="en-GB"/>
        </w:rPr>
        <w:t>, on the other</w:t>
      </w:r>
      <w:r w:rsidR="00B7681B" w:rsidRPr="00B34C19">
        <w:rPr>
          <w:color w:val="000000"/>
          <w:lang w:val="en-GB"/>
        </w:rPr>
        <w:t>. D</w:t>
      </w:r>
      <w:r w:rsidR="00650FF0" w:rsidRPr="00B34C19">
        <w:rPr>
          <w:lang w:val="en-GB"/>
        </w:rPr>
        <w:t>ifference</w:t>
      </w:r>
      <w:r w:rsidR="009061B1" w:rsidRPr="00B34C19">
        <w:rPr>
          <w:lang w:val="en-GB"/>
        </w:rPr>
        <w:t>s</w:t>
      </w:r>
      <w:r w:rsidR="00650FF0" w:rsidRPr="00B34C19">
        <w:rPr>
          <w:lang w:val="en-GB"/>
        </w:rPr>
        <w:t xml:space="preserve"> of context and of form forbid all-encompassing assertions. It is clear, however, that GNR</w:t>
      </w:r>
      <w:r w:rsidR="00AF38B2" w:rsidRPr="00B34C19">
        <w:rPr>
          <w:lang w:val="en-GB"/>
        </w:rPr>
        <w:t>s</w:t>
      </w:r>
      <w:r w:rsidR="00BE1B0C" w:rsidRPr="00B34C19">
        <w:rPr>
          <w:lang w:val="en-GB"/>
        </w:rPr>
        <w:t xml:space="preserve"> affecting one o</w:t>
      </w:r>
      <w:r w:rsidR="00AF38B2" w:rsidRPr="00B34C19">
        <w:rPr>
          <w:lang w:val="en-GB"/>
        </w:rPr>
        <w:t>r</w:t>
      </w:r>
      <w:r w:rsidR="00BE1B0C" w:rsidRPr="00B34C19">
        <w:rPr>
          <w:lang w:val="en-GB"/>
        </w:rPr>
        <w:t xml:space="preserve"> more institutions</w:t>
      </w:r>
      <w:r w:rsidR="00650FF0" w:rsidRPr="00B34C19">
        <w:rPr>
          <w:lang w:val="en-GB"/>
        </w:rPr>
        <w:t xml:space="preserve"> </w:t>
      </w:r>
      <w:r w:rsidR="00885B6D" w:rsidRPr="00B34C19">
        <w:rPr>
          <w:lang w:val="en-GB"/>
        </w:rPr>
        <w:t>will inevitably</w:t>
      </w:r>
      <w:r w:rsidR="00650FF0" w:rsidRPr="00B34C19">
        <w:rPr>
          <w:lang w:val="en-GB"/>
        </w:rPr>
        <w:t xml:space="preserve"> co-exist with settlements</w:t>
      </w:r>
      <w:r w:rsidR="00BE1B0C" w:rsidRPr="00B34C19">
        <w:rPr>
          <w:lang w:val="en-GB"/>
        </w:rPr>
        <w:t xml:space="preserve"> that define the overall parameters of political life and development in society</w:t>
      </w:r>
      <w:r w:rsidR="00650FF0" w:rsidRPr="00B34C19">
        <w:rPr>
          <w:lang w:val="en-GB"/>
        </w:rPr>
        <w:t>.</w:t>
      </w:r>
      <w:r w:rsidR="00BE1B0C" w:rsidRPr="00B34C19">
        <w:rPr>
          <w:lang w:val="en-GB"/>
        </w:rPr>
        <w:t xml:space="preserve"> Thus far, nothing in the literature on GNRs has acknowledged this reality or grappled with the possible consequences. </w:t>
      </w:r>
      <w:r w:rsidR="00AE4789" w:rsidRPr="00B34C19">
        <w:rPr>
          <w:lang w:val="en-GB"/>
        </w:rPr>
        <w:t>Only by understanding their place within settlements can trade-offs, limitations and best-case scenarios be understood.</w:t>
      </w:r>
      <w:r w:rsidR="00B22207" w:rsidRPr="00B34C19">
        <w:rPr>
          <w:lang w:val="en-GB"/>
        </w:rPr>
        <w:t xml:space="preserve"> </w:t>
      </w:r>
      <w:r w:rsidR="00B22207" w:rsidRPr="00B34C19">
        <w:t xml:space="preserve">A fuller reading of the logics of non-recurrence therefore permits greater consideration of the range of </w:t>
      </w:r>
      <w:r w:rsidR="009061B1" w:rsidRPr="00B34C19">
        <w:t>socio-political</w:t>
      </w:r>
      <w:r w:rsidR="00B22207" w:rsidRPr="00B34C19">
        <w:t xml:space="preserve"> interests at play, the ways in which GNRs are embedded in processes of long-term development and </w:t>
      </w:r>
      <w:r w:rsidR="009061B1" w:rsidRPr="00B34C19">
        <w:t xml:space="preserve">the way </w:t>
      </w:r>
      <w:r w:rsidR="00B22207" w:rsidRPr="00B34C19">
        <w:t>this conditions reliance on them</w:t>
      </w:r>
      <w:r w:rsidR="00834F73" w:rsidRPr="00B34C19">
        <w:t>.</w:t>
      </w:r>
      <w:r w:rsidR="000A0AFC" w:rsidRPr="00B34C19">
        <w:rPr>
          <w:lang w:val="en-GB"/>
        </w:rPr>
        <w:t xml:space="preserve"> </w:t>
      </w:r>
      <w:r w:rsidR="00AE4789" w:rsidRPr="00B34C19">
        <w:rPr>
          <w:lang w:val="en-GB"/>
        </w:rPr>
        <w:t>Only by understanding</w:t>
      </w:r>
      <w:r w:rsidR="00834F73" w:rsidRPr="00B34C19">
        <w:rPr>
          <w:lang w:val="en-GB"/>
        </w:rPr>
        <w:t xml:space="preserve"> the importance of</w:t>
      </w:r>
      <w:r w:rsidR="00AE4789" w:rsidRPr="00B34C19">
        <w:rPr>
          <w:lang w:val="en-GB"/>
        </w:rPr>
        <w:t xml:space="preserve"> GNRs</w:t>
      </w:r>
      <w:r w:rsidR="00834F73" w:rsidRPr="00B34C19">
        <w:rPr>
          <w:lang w:val="en-GB"/>
        </w:rPr>
        <w:t xml:space="preserve"> relative to settlements</w:t>
      </w:r>
      <w:r w:rsidR="00AE4789" w:rsidRPr="00B34C19">
        <w:rPr>
          <w:lang w:val="en-GB"/>
        </w:rPr>
        <w:t xml:space="preserve"> </w:t>
      </w:r>
      <w:r w:rsidR="004C3663">
        <w:rPr>
          <w:lang w:val="en-GB"/>
        </w:rPr>
        <w:t>when restraining recourse to violence</w:t>
      </w:r>
      <w:r w:rsidR="00AE4789" w:rsidRPr="00B34C19">
        <w:rPr>
          <w:lang w:val="en-GB"/>
        </w:rPr>
        <w:t xml:space="preserve"> can </w:t>
      </w:r>
      <w:r w:rsidR="00AF3E9A" w:rsidRPr="00B34C19">
        <w:rPr>
          <w:lang w:val="en-GB"/>
        </w:rPr>
        <w:t>we transcend unduly normative or teleological</w:t>
      </w:r>
      <w:r w:rsidR="00D32164" w:rsidRPr="00B34C19">
        <w:rPr>
          <w:lang w:val="en-GB"/>
        </w:rPr>
        <w:t xml:space="preserve"> accounts of non-recurrence</w:t>
      </w:r>
      <w:r w:rsidR="00020DBC" w:rsidRPr="00B34C19">
        <w:rPr>
          <w:lang w:val="en-GB"/>
        </w:rPr>
        <w:t xml:space="preserve"> we see in the typical TJ imaginary that assumes </w:t>
      </w:r>
      <w:r w:rsidR="00F9544A" w:rsidRPr="00B34C19">
        <w:rPr>
          <w:lang w:val="en-GB"/>
        </w:rPr>
        <w:t>neat</w:t>
      </w:r>
      <w:r w:rsidR="00020DBC" w:rsidRPr="00B34C19">
        <w:rPr>
          <w:lang w:val="en-GB"/>
        </w:rPr>
        <w:t xml:space="preserve"> progression from authoritarianism to liberal democracy</w:t>
      </w:r>
      <w:r w:rsidR="00834F73" w:rsidRPr="00B34C19">
        <w:rPr>
          <w:lang w:val="en-GB"/>
        </w:rPr>
        <w:t>.</w:t>
      </w:r>
      <w:r w:rsidR="006D454F" w:rsidRPr="00B34C19">
        <w:rPr>
          <w:lang w:val="en-GB"/>
        </w:rPr>
        <w:t xml:space="preserve"> </w:t>
      </w:r>
    </w:p>
    <w:p w14:paraId="2D3FC033" w14:textId="77777777" w:rsidR="00AF38B2" w:rsidRPr="00B34C19" w:rsidRDefault="00AF38B2" w:rsidP="00E65CEB">
      <w:pPr>
        <w:spacing w:line="480" w:lineRule="auto"/>
        <w:jc w:val="both"/>
        <w:rPr>
          <w:lang w:val="en-GB"/>
        </w:rPr>
      </w:pPr>
    </w:p>
    <w:p w14:paraId="39C9B6B6" w14:textId="310D305F" w:rsidR="00650FF0" w:rsidRPr="00B34C19" w:rsidRDefault="000A0AFC" w:rsidP="00E65CEB">
      <w:pPr>
        <w:spacing w:line="480" w:lineRule="auto"/>
        <w:jc w:val="both"/>
        <w:rPr>
          <w:lang w:val="en-GB"/>
        </w:rPr>
      </w:pPr>
      <w:r w:rsidRPr="00B34C19">
        <w:rPr>
          <w:lang w:val="en-GB"/>
        </w:rPr>
        <w:t>Three arguments are posited:</w:t>
      </w:r>
    </w:p>
    <w:p w14:paraId="034A173D" w14:textId="598FA68A" w:rsidR="000A0AFC" w:rsidRPr="00B34C19" w:rsidRDefault="008D0C2B" w:rsidP="00E65CEB">
      <w:pPr>
        <w:pStyle w:val="ListParagraph"/>
        <w:numPr>
          <w:ilvl w:val="0"/>
          <w:numId w:val="2"/>
        </w:numPr>
        <w:spacing w:line="480" w:lineRule="auto"/>
        <w:jc w:val="both"/>
        <w:rPr>
          <w:rFonts w:ascii="Times New Roman" w:hAnsi="Times New Roman" w:cs="Times New Roman"/>
        </w:rPr>
      </w:pPr>
      <w:r w:rsidRPr="00B34C19">
        <w:rPr>
          <w:rFonts w:ascii="Times New Roman" w:hAnsi="Times New Roman" w:cs="Times New Roman"/>
        </w:rPr>
        <w:t>Formalist GNRs can only work where the surrounding settlement supports them in the short-term</w:t>
      </w:r>
    </w:p>
    <w:p w14:paraId="5CBCB9EB" w14:textId="76F4DC43" w:rsidR="008D0C2B" w:rsidRPr="00B34C19" w:rsidRDefault="008D0C2B" w:rsidP="00E65CEB">
      <w:pPr>
        <w:pStyle w:val="ListParagraph"/>
        <w:numPr>
          <w:ilvl w:val="0"/>
          <w:numId w:val="2"/>
        </w:numPr>
        <w:spacing w:line="480" w:lineRule="auto"/>
        <w:jc w:val="both"/>
        <w:rPr>
          <w:rFonts w:ascii="Times New Roman" w:hAnsi="Times New Roman" w:cs="Times New Roman"/>
        </w:rPr>
      </w:pPr>
      <w:r w:rsidRPr="00B34C19">
        <w:rPr>
          <w:rFonts w:ascii="Times New Roman" w:hAnsi="Times New Roman" w:cs="Times New Roman"/>
        </w:rPr>
        <w:t xml:space="preserve">The </w:t>
      </w:r>
      <w:r w:rsidRPr="00B34C19">
        <w:rPr>
          <w:rFonts w:ascii="Times New Roman" w:hAnsi="Times New Roman" w:cs="Times New Roman"/>
          <w:i/>
          <w:iCs/>
        </w:rPr>
        <w:t>relative causal importance</w:t>
      </w:r>
      <w:r w:rsidRPr="00B34C19">
        <w:rPr>
          <w:rFonts w:ascii="Times New Roman" w:hAnsi="Times New Roman" w:cs="Times New Roman"/>
        </w:rPr>
        <w:t xml:space="preserve"> of GNRs in terms of non-recurrence in this short-term is minimal, but increases in the longer-term as the settlement evolves</w:t>
      </w:r>
    </w:p>
    <w:p w14:paraId="14C10B64" w14:textId="0632FECA" w:rsidR="008D0C2B" w:rsidRPr="00B34C19" w:rsidRDefault="008D0C2B" w:rsidP="00E65CEB">
      <w:pPr>
        <w:pStyle w:val="ListParagraph"/>
        <w:numPr>
          <w:ilvl w:val="0"/>
          <w:numId w:val="2"/>
        </w:numPr>
        <w:spacing w:line="480" w:lineRule="auto"/>
        <w:jc w:val="both"/>
        <w:rPr>
          <w:rFonts w:ascii="Times New Roman" w:hAnsi="Times New Roman" w:cs="Times New Roman"/>
        </w:rPr>
      </w:pPr>
      <w:r w:rsidRPr="00B34C19">
        <w:rPr>
          <w:rFonts w:ascii="Times New Roman" w:hAnsi="Times New Roman" w:cs="Times New Roman"/>
        </w:rPr>
        <w:lastRenderedPageBreak/>
        <w:t>GNRs only achieve</w:t>
      </w:r>
      <w:r w:rsidRPr="00B34C19">
        <w:rPr>
          <w:rFonts w:ascii="Times New Roman" w:hAnsi="Times New Roman" w:cs="Times New Roman"/>
          <w:i/>
          <w:iCs/>
        </w:rPr>
        <w:t xml:space="preserve"> absolute causal</w:t>
      </w:r>
      <w:r w:rsidRPr="00B34C19">
        <w:rPr>
          <w:rFonts w:ascii="Times New Roman" w:hAnsi="Times New Roman" w:cs="Times New Roman"/>
        </w:rPr>
        <w:t xml:space="preserve"> </w:t>
      </w:r>
      <w:r w:rsidRPr="00B34C19">
        <w:rPr>
          <w:rFonts w:ascii="Times New Roman" w:hAnsi="Times New Roman" w:cs="Times New Roman"/>
          <w:i/>
          <w:iCs/>
        </w:rPr>
        <w:t xml:space="preserve">importance </w:t>
      </w:r>
      <w:r w:rsidRPr="00B34C19">
        <w:rPr>
          <w:rFonts w:ascii="Times New Roman" w:hAnsi="Times New Roman" w:cs="Times New Roman"/>
        </w:rPr>
        <w:t>in terms of non-recurrence where the settlement fails</w:t>
      </w:r>
    </w:p>
    <w:p w14:paraId="04DCA298" w14:textId="0556DFF0" w:rsidR="00352A34" w:rsidRDefault="00352A34" w:rsidP="00E65CEB">
      <w:pPr>
        <w:autoSpaceDE w:val="0"/>
        <w:autoSpaceDN w:val="0"/>
        <w:adjustRightInd w:val="0"/>
        <w:spacing w:line="480" w:lineRule="auto"/>
        <w:jc w:val="both"/>
        <w:rPr>
          <w:b/>
          <w:bCs/>
          <w:color w:val="000000"/>
          <w:lang w:val="en-GB"/>
        </w:rPr>
      </w:pPr>
    </w:p>
    <w:p w14:paraId="70D9AB90" w14:textId="77777777" w:rsidR="00F4113B" w:rsidRPr="00B34C19" w:rsidRDefault="00F4113B" w:rsidP="00E65CEB">
      <w:pPr>
        <w:autoSpaceDE w:val="0"/>
        <w:autoSpaceDN w:val="0"/>
        <w:adjustRightInd w:val="0"/>
        <w:spacing w:line="480" w:lineRule="auto"/>
        <w:jc w:val="both"/>
        <w:rPr>
          <w:b/>
          <w:bCs/>
          <w:color w:val="000000"/>
          <w:lang w:val="en-GB"/>
        </w:rPr>
      </w:pPr>
    </w:p>
    <w:p w14:paraId="4F9CCF95" w14:textId="02109D80" w:rsidR="00352A34" w:rsidRPr="00B34C19" w:rsidRDefault="0012594B" w:rsidP="00E65CEB">
      <w:pPr>
        <w:autoSpaceDE w:val="0"/>
        <w:autoSpaceDN w:val="0"/>
        <w:adjustRightInd w:val="0"/>
        <w:spacing w:line="480" w:lineRule="auto"/>
        <w:jc w:val="both"/>
        <w:rPr>
          <w:b/>
          <w:bCs/>
          <w:i/>
          <w:iCs/>
          <w:color w:val="000000"/>
          <w:lang w:val="en-GB"/>
        </w:rPr>
      </w:pPr>
      <w:r w:rsidRPr="00EE19A1">
        <w:rPr>
          <w:b/>
          <w:bCs/>
          <w:color w:val="000000"/>
          <w:lang w:val="en-GB"/>
        </w:rPr>
        <w:t>4.1</w:t>
      </w:r>
      <w:r w:rsidR="00D75A75" w:rsidRPr="00EE19A1">
        <w:rPr>
          <w:b/>
          <w:bCs/>
          <w:color w:val="000000"/>
          <w:lang w:val="en-GB"/>
        </w:rPr>
        <w:t>.</w:t>
      </w:r>
      <w:r w:rsidR="00D75A75" w:rsidRPr="00B34C19">
        <w:rPr>
          <w:b/>
          <w:bCs/>
          <w:i/>
          <w:iCs/>
          <w:color w:val="000000"/>
          <w:lang w:val="en-GB"/>
        </w:rPr>
        <w:t xml:space="preserve"> </w:t>
      </w:r>
      <w:r w:rsidR="00AE4789" w:rsidRPr="00B34C19">
        <w:rPr>
          <w:b/>
          <w:bCs/>
          <w:i/>
          <w:iCs/>
          <w:color w:val="000000"/>
          <w:lang w:val="en-GB"/>
        </w:rPr>
        <w:t>GNRs operate with support of settlement</w:t>
      </w:r>
    </w:p>
    <w:p w14:paraId="0C3BF548" w14:textId="429C60C1" w:rsidR="00AE4789" w:rsidRPr="00B34C19" w:rsidRDefault="00AE4789" w:rsidP="00E65CEB">
      <w:pPr>
        <w:autoSpaceDE w:val="0"/>
        <w:autoSpaceDN w:val="0"/>
        <w:adjustRightInd w:val="0"/>
        <w:spacing w:line="480" w:lineRule="auto"/>
        <w:jc w:val="both"/>
        <w:rPr>
          <w:color w:val="000000"/>
          <w:lang w:val="en-GB"/>
        </w:rPr>
      </w:pPr>
    </w:p>
    <w:p w14:paraId="32B9A7C7" w14:textId="0C5557B5" w:rsidR="00431267" w:rsidRPr="00B34C19" w:rsidRDefault="00576FCA" w:rsidP="00E65CEB">
      <w:pPr>
        <w:spacing w:line="480" w:lineRule="auto"/>
        <w:jc w:val="both"/>
      </w:pPr>
      <w:r w:rsidRPr="00B34C19">
        <w:rPr>
          <w:color w:val="000000"/>
          <w:lang w:val="en-GB"/>
        </w:rPr>
        <w:t>In section 1 and 3, we discussed the state</w:t>
      </w:r>
      <w:r w:rsidR="00931514" w:rsidRPr="00B34C19">
        <w:rPr>
          <w:color w:val="000000"/>
          <w:lang w:val="en-GB"/>
        </w:rPr>
        <w:t xml:space="preserve"> as a domain within which wider social conflicts are articulated and prosecuted. </w:t>
      </w:r>
      <w:r w:rsidR="004B35A6" w:rsidRPr="00B34C19">
        <w:rPr>
          <w:color w:val="000000"/>
          <w:lang w:val="en-GB"/>
        </w:rPr>
        <w:t xml:space="preserve">While the literature on GNRs imagines the post-conflict ecology as one of liminality where novel critical perspectives on existing </w:t>
      </w:r>
      <w:r w:rsidR="006436C9" w:rsidRPr="00B34C19">
        <w:rPr>
          <w:color w:val="000000"/>
          <w:lang w:val="en-GB"/>
        </w:rPr>
        <w:t>structures</w:t>
      </w:r>
      <w:r w:rsidR="004B35A6" w:rsidRPr="00B34C19">
        <w:rPr>
          <w:color w:val="000000"/>
          <w:lang w:val="en-GB"/>
        </w:rPr>
        <w:t xml:space="preserve"> can emerge</w:t>
      </w:r>
      <w:r w:rsidR="006436C9" w:rsidRPr="00B34C19">
        <w:rPr>
          <w:color w:val="000000"/>
          <w:lang w:val="en-GB"/>
        </w:rPr>
        <w:t>, institutions (</w:t>
      </w:r>
      <w:r w:rsidR="00931514" w:rsidRPr="00B34C19">
        <w:rPr>
          <w:color w:val="000000"/>
          <w:lang w:val="en-GB"/>
        </w:rPr>
        <w:t>and the reform or vetting thereof</w:t>
      </w:r>
      <w:r w:rsidR="006436C9" w:rsidRPr="00B34C19">
        <w:rPr>
          <w:color w:val="000000"/>
          <w:lang w:val="en-GB"/>
        </w:rPr>
        <w:t>)</w:t>
      </w:r>
      <w:r w:rsidR="00931514" w:rsidRPr="00B34C19">
        <w:rPr>
          <w:color w:val="000000"/>
          <w:lang w:val="en-GB"/>
        </w:rPr>
        <w:t xml:space="preserve"> are invariably shaped by this</w:t>
      </w:r>
      <w:r w:rsidR="006436C9" w:rsidRPr="00B34C19">
        <w:rPr>
          <w:color w:val="000000"/>
          <w:lang w:val="en-GB"/>
        </w:rPr>
        <w:t xml:space="preserve"> perpetual instability</w:t>
      </w:r>
      <w:r w:rsidR="00931514" w:rsidRPr="00B34C19">
        <w:rPr>
          <w:color w:val="000000"/>
          <w:lang w:val="en-GB"/>
        </w:rPr>
        <w:t xml:space="preserve">. </w:t>
      </w:r>
      <w:r w:rsidR="00494744" w:rsidRPr="00B34C19">
        <w:rPr>
          <w:color w:val="000000"/>
          <w:lang w:val="en-GB"/>
        </w:rPr>
        <w:t>Functional institutions cannot be willed into existence outside of this social conflict, and even if they could</w:t>
      </w:r>
      <w:r w:rsidR="001B07F8" w:rsidRPr="00B34C19">
        <w:rPr>
          <w:color w:val="000000"/>
          <w:lang w:val="en-GB"/>
        </w:rPr>
        <w:t>,</w:t>
      </w:r>
      <w:r w:rsidR="00494744" w:rsidRPr="00B34C19">
        <w:rPr>
          <w:color w:val="000000"/>
          <w:lang w:val="en-GB"/>
        </w:rPr>
        <w:t xml:space="preserve"> they cannot alter the nature of underlying power structures.</w:t>
      </w:r>
      <w:r w:rsidR="00AA5467" w:rsidRPr="00B34C19">
        <w:rPr>
          <w:color w:val="000000"/>
          <w:lang w:val="en-GB"/>
        </w:rPr>
        <w:t xml:space="preserve"> </w:t>
      </w:r>
      <w:r w:rsidR="00480E20" w:rsidRPr="00B34C19">
        <w:rPr>
          <w:color w:val="000000"/>
          <w:lang w:val="en-GB"/>
        </w:rPr>
        <w:t>Even where codes of conduct and processes of accountability are introduced</w:t>
      </w:r>
      <w:r w:rsidR="000F1069" w:rsidRPr="00B34C19">
        <w:rPr>
          <w:color w:val="000000"/>
          <w:lang w:val="en-GB"/>
        </w:rPr>
        <w:t xml:space="preserve"> into historically weak institutions</w:t>
      </w:r>
      <w:r w:rsidR="00480E20" w:rsidRPr="00B34C19">
        <w:rPr>
          <w:color w:val="000000"/>
          <w:lang w:val="en-GB"/>
        </w:rPr>
        <w:t xml:space="preserve">, informality can never be </w:t>
      </w:r>
      <w:r w:rsidR="000F1069" w:rsidRPr="00B34C19">
        <w:rPr>
          <w:color w:val="000000"/>
          <w:lang w:val="en-GB"/>
        </w:rPr>
        <w:t xml:space="preserve">fully </w:t>
      </w:r>
      <w:r w:rsidR="00480E20" w:rsidRPr="00B34C19">
        <w:rPr>
          <w:color w:val="000000"/>
          <w:lang w:val="en-GB"/>
        </w:rPr>
        <w:t>excluded. Scott argues that practices will always exist to circumvent technocratic or top-down reform</w:t>
      </w:r>
      <w:r w:rsidR="001B07F8" w:rsidRPr="00B34C19">
        <w:rPr>
          <w:color w:val="000000"/>
          <w:lang w:val="en-GB"/>
        </w:rPr>
        <w:t>,</w:t>
      </w:r>
      <w:r w:rsidR="00480E20" w:rsidRPr="00B34C19">
        <w:rPr>
          <w:color w:val="000000"/>
          <w:lang w:val="en-GB"/>
        </w:rPr>
        <w:t xml:space="preserve"> and to the extent that </w:t>
      </w:r>
      <w:r w:rsidR="00A93922">
        <w:rPr>
          <w:color w:val="000000"/>
          <w:lang w:val="en-GB"/>
        </w:rPr>
        <w:t>institutional</w:t>
      </w:r>
      <w:r w:rsidR="00480E20" w:rsidRPr="00B34C19">
        <w:rPr>
          <w:color w:val="000000"/>
          <w:lang w:val="en-GB"/>
        </w:rPr>
        <w:t xml:space="preserve"> reforms </w:t>
      </w:r>
      <w:r w:rsidR="00480E20" w:rsidRPr="00B34C19">
        <w:rPr>
          <w:i/>
          <w:iCs/>
          <w:color w:val="000000"/>
          <w:lang w:val="en-GB"/>
        </w:rPr>
        <w:t xml:space="preserve">do </w:t>
      </w:r>
      <w:r w:rsidR="00480E20" w:rsidRPr="00B34C19">
        <w:rPr>
          <w:color w:val="000000"/>
          <w:lang w:val="en-GB"/>
        </w:rPr>
        <w:t>work, it will often be due to overarching informal practices that modify top-down projects to prevailing social logics.</w:t>
      </w:r>
      <w:r w:rsidR="00480E20" w:rsidRPr="00B34C19">
        <w:rPr>
          <w:rStyle w:val="FootnoteReference"/>
          <w:color w:val="000000"/>
          <w:lang w:val="en-GB"/>
        </w:rPr>
        <w:footnoteReference w:id="156"/>
      </w:r>
      <w:r w:rsidR="00AA5467" w:rsidRPr="00B34C19">
        <w:rPr>
          <w:color w:val="000000"/>
          <w:lang w:val="en-GB"/>
        </w:rPr>
        <w:t xml:space="preserve"> </w:t>
      </w:r>
      <w:r w:rsidR="006436C9" w:rsidRPr="00B34C19">
        <w:rPr>
          <w:color w:val="000000"/>
          <w:lang w:val="en-GB"/>
        </w:rPr>
        <w:t>Development scholars have long accepted that</w:t>
      </w:r>
      <w:r w:rsidR="00931514" w:rsidRPr="00B34C19">
        <w:rPr>
          <w:color w:val="000000"/>
          <w:lang w:val="en-GB"/>
        </w:rPr>
        <w:t xml:space="preserve"> projects to build accountable institutions </w:t>
      </w:r>
      <w:r w:rsidR="001B07F8" w:rsidRPr="00B34C19">
        <w:rPr>
          <w:color w:val="000000"/>
          <w:lang w:val="en-GB"/>
        </w:rPr>
        <w:t xml:space="preserve">like we see in GNRs </w:t>
      </w:r>
      <w:r w:rsidR="00931514" w:rsidRPr="00B34C19">
        <w:rPr>
          <w:color w:val="000000"/>
          <w:lang w:val="en-GB"/>
        </w:rPr>
        <w:t>rise or fall ‘according to the degree to which these efforts are aligned with – or at least do not fundamentally threaten – the interests of powerful national and local actors who are in a position to thwart or co-opt th</w:t>
      </w:r>
      <w:r w:rsidR="00020DBC" w:rsidRPr="00B34C19">
        <w:rPr>
          <w:color w:val="000000"/>
          <w:lang w:val="en-GB"/>
        </w:rPr>
        <w:t>o</w:t>
      </w:r>
      <w:r w:rsidR="00931514" w:rsidRPr="00B34C19">
        <w:rPr>
          <w:color w:val="000000"/>
          <w:lang w:val="en-GB"/>
        </w:rPr>
        <w:t>se efforts.’</w:t>
      </w:r>
      <w:r w:rsidR="00931514" w:rsidRPr="00B34C19">
        <w:rPr>
          <w:rStyle w:val="FootnoteReference"/>
          <w:color w:val="000000"/>
          <w:lang w:val="en-GB"/>
        </w:rPr>
        <w:footnoteReference w:id="157"/>
      </w:r>
      <w:r w:rsidR="00020DBC" w:rsidRPr="00B34C19">
        <w:rPr>
          <w:color w:val="000000"/>
          <w:lang w:val="en-GB"/>
        </w:rPr>
        <w:t xml:space="preserve"> </w:t>
      </w:r>
      <w:r w:rsidR="00032592" w:rsidRPr="00B34C19">
        <w:rPr>
          <w:color w:val="000000"/>
          <w:lang w:val="en-GB"/>
        </w:rPr>
        <w:t xml:space="preserve">In the military, to take the most pertinent example for the purposes of GNRs, key aspects of civil-military relations in </w:t>
      </w:r>
      <w:r w:rsidR="000F1069" w:rsidRPr="00B34C19">
        <w:rPr>
          <w:color w:val="000000"/>
          <w:lang w:val="en-GB"/>
        </w:rPr>
        <w:t xml:space="preserve">transitional </w:t>
      </w:r>
      <w:r w:rsidR="00032592" w:rsidRPr="00B34C19">
        <w:rPr>
          <w:color w:val="000000"/>
          <w:lang w:val="en-GB"/>
        </w:rPr>
        <w:t>Latin America t</w:t>
      </w:r>
      <w:r w:rsidR="000F1069" w:rsidRPr="00B34C19">
        <w:rPr>
          <w:color w:val="000000"/>
          <w:lang w:val="en-GB"/>
        </w:rPr>
        <w:t>ook</w:t>
      </w:r>
      <w:r w:rsidR="00032592" w:rsidRPr="00B34C19">
        <w:rPr>
          <w:color w:val="000000"/>
          <w:lang w:val="en-GB"/>
        </w:rPr>
        <w:t xml:space="preserve"> place outside the chain of command, </w:t>
      </w:r>
      <w:r w:rsidR="00032592" w:rsidRPr="00B34C19">
        <w:rPr>
          <w:color w:val="000000"/>
          <w:lang w:val="en-GB"/>
        </w:rPr>
        <w:lastRenderedPageBreak/>
        <w:t xml:space="preserve">outside the law and beyond official procedures – ‘off script’ practices and informal ‘conferences’ </w:t>
      </w:r>
      <w:r w:rsidR="00107CE7" w:rsidRPr="00B34C19">
        <w:rPr>
          <w:color w:val="000000"/>
          <w:lang w:val="en-GB"/>
        </w:rPr>
        <w:t>we</w:t>
      </w:r>
      <w:r w:rsidR="00032592" w:rsidRPr="00B34C19">
        <w:rPr>
          <w:color w:val="000000"/>
          <w:lang w:val="en-GB"/>
        </w:rPr>
        <w:t>re</w:t>
      </w:r>
      <w:r w:rsidR="00107CE7" w:rsidRPr="00B34C19">
        <w:rPr>
          <w:color w:val="000000"/>
          <w:lang w:val="en-GB"/>
        </w:rPr>
        <w:t xml:space="preserve"> and are</w:t>
      </w:r>
      <w:r w:rsidR="00032592" w:rsidRPr="00B34C19">
        <w:rPr>
          <w:color w:val="000000"/>
          <w:lang w:val="en-GB"/>
        </w:rPr>
        <w:t xml:space="preserve"> employed to resolve contentious issues.</w:t>
      </w:r>
      <w:r w:rsidR="00032592" w:rsidRPr="00B34C19">
        <w:rPr>
          <w:rStyle w:val="FootnoteReference"/>
          <w:color w:val="000000"/>
          <w:lang w:val="en-GB"/>
        </w:rPr>
        <w:footnoteReference w:id="158"/>
      </w:r>
      <w:r w:rsidR="0026166F" w:rsidRPr="00B34C19">
        <w:rPr>
          <w:color w:val="000000"/>
          <w:lang w:val="en-GB"/>
        </w:rPr>
        <w:t xml:space="preserve"> </w:t>
      </w:r>
      <w:r w:rsidR="006B0248" w:rsidRPr="00B34C19">
        <w:rPr>
          <w:color w:val="000000"/>
          <w:lang w:val="en-GB"/>
        </w:rPr>
        <w:t>Similarly, r</w:t>
      </w:r>
      <w:r w:rsidR="0026166F" w:rsidRPr="00B34C19">
        <w:rPr>
          <w:color w:val="000000"/>
          <w:lang w:val="en-GB"/>
        </w:rPr>
        <w:t>eform</w:t>
      </w:r>
      <w:r w:rsidR="00A93922">
        <w:rPr>
          <w:color w:val="000000"/>
          <w:lang w:val="en-GB"/>
        </w:rPr>
        <w:t>s</w:t>
      </w:r>
      <w:r w:rsidR="0026166F" w:rsidRPr="00B34C19">
        <w:rPr>
          <w:color w:val="000000"/>
          <w:lang w:val="en-GB"/>
        </w:rPr>
        <w:t xml:space="preserve"> of public sector institutions ‘have often fallen prey </w:t>
      </w:r>
      <w:r w:rsidR="0026166F" w:rsidRPr="00B34C19">
        <w:t>to the countervailing incentives for the personalisation and politicisation of public office’</w:t>
      </w:r>
      <w:r w:rsidR="008A2A45" w:rsidRPr="00B34C19">
        <w:t xml:space="preserve"> under patrimonialised settlements.</w:t>
      </w:r>
      <w:r w:rsidR="008A2A45" w:rsidRPr="00B34C19">
        <w:rPr>
          <w:rStyle w:val="FootnoteReference"/>
        </w:rPr>
        <w:footnoteReference w:id="159"/>
      </w:r>
      <w:r w:rsidR="008A2A45" w:rsidRPr="00B34C19">
        <w:t xml:space="preserve"> </w:t>
      </w:r>
    </w:p>
    <w:p w14:paraId="4BA54AF9" w14:textId="77777777" w:rsidR="00431267" w:rsidRPr="00B34C19" w:rsidRDefault="00431267" w:rsidP="00E65CEB">
      <w:pPr>
        <w:spacing w:line="480" w:lineRule="auto"/>
        <w:jc w:val="both"/>
      </w:pPr>
    </w:p>
    <w:p w14:paraId="29EFAE51" w14:textId="42AEF7B1" w:rsidR="00607B91" w:rsidRPr="00B34C19" w:rsidRDefault="00032592" w:rsidP="00E65CEB">
      <w:pPr>
        <w:spacing w:line="480" w:lineRule="auto"/>
        <w:jc w:val="both"/>
      </w:pPr>
      <w:r w:rsidRPr="00B34C19">
        <w:rPr>
          <w:color w:val="000000"/>
          <w:lang w:val="en-GB"/>
        </w:rPr>
        <w:t>Instead of choosing pathological</w:t>
      </w:r>
      <w:r w:rsidR="00B77564" w:rsidRPr="00B34C19">
        <w:rPr>
          <w:color w:val="000000"/>
          <w:lang w:val="en-GB"/>
        </w:rPr>
        <w:t xml:space="preserve"> </w:t>
      </w:r>
      <w:r w:rsidRPr="00B34C19">
        <w:rPr>
          <w:color w:val="000000"/>
          <w:lang w:val="en-GB"/>
        </w:rPr>
        <w:t>explanations</w:t>
      </w:r>
      <w:r w:rsidR="00607B91" w:rsidRPr="00B34C19">
        <w:rPr>
          <w:color w:val="000000"/>
          <w:lang w:val="en-GB"/>
        </w:rPr>
        <w:t xml:space="preserve"> that describe what has failed in terms of a GNR, the better approach is to contextualise </w:t>
      </w:r>
      <w:r w:rsidR="00431267" w:rsidRPr="00B34C19">
        <w:rPr>
          <w:color w:val="000000"/>
          <w:lang w:val="en-GB"/>
        </w:rPr>
        <w:t>shortcomings</w:t>
      </w:r>
      <w:r w:rsidR="00607B91" w:rsidRPr="00B34C19">
        <w:rPr>
          <w:color w:val="000000"/>
          <w:lang w:val="en-GB"/>
        </w:rPr>
        <w:t xml:space="preserve"> within a dispensation where </w:t>
      </w:r>
      <w:r w:rsidR="00607B91" w:rsidRPr="00B34C19">
        <w:rPr>
          <w:lang w:val="en-GB"/>
        </w:rPr>
        <w:t>practice is more improvisational than</w:t>
      </w:r>
      <w:r w:rsidR="00B77564" w:rsidRPr="00B34C19">
        <w:rPr>
          <w:lang w:val="en-GB"/>
        </w:rPr>
        <w:t xml:space="preserve"> </w:t>
      </w:r>
      <w:r w:rsidR="00607B91" w:rsidRPr="00B34C19">
        <w:rPr>
          <w:lang w:val="en-GB"/>
        </w:rPr>
        <w:t>principled</w:t>
      </w:r>
      <w:r w:rsidR="00107CE7" w:rsidRPr="00B34C19">
        <w:rPr>
          <w:lang w:val="en-GB"/>
        </w:rPr>
        <w:t>,</w:t>
      </w:r>
      <w:r w:rsidR="00607B91" w:rsidRPr="00B34C19">
        <w:rPr>
          <w:lang w:val="en-GB"/>
        </w:rPr>
        <w:t xml:space="preserve"> and where socio-political cohesion is emphasise</w:t>
      </w:r>
      <w:r w:rsidR="001B07F8" w:rsidRPr="00B34C19">
        <w:rPr>
          <w:lang w:val="en-GB"/>
        </w:rPr>
        <w:t>d</w:t>
      </w:r>
      <w:r w:rsidR="00607B91" w:rsidRPr="00B34C19">
        <w:rPr>
          <w:lang w:val="en-GB"/>
        </w:rPr>
        <w:t xml:space="preserve"> over the letter of </w:t>
      </w:r>
      <w:r w:rsidR="006B0248" w:rsidRPr="00B34C19">
        <w:rPr>
          <w:lang w:val="en-GB"/>
        </w:rPr>
        <w:t xml:space="preserve">even </w:t>
      </w:r>
      <w:r w:rsidR="00607B91" w:rsidRPr="00B34C19">
        <w:rPr>
          <w:lang w:val="en-GB"/>
        </w:rPr>
        <w:t>the most</w:t>
      </w:r>
      <w:r w:rsidR="00B77564" w:rsidRPr="00B34C19">
        <w:rPr>
          <w:lang w:val="en-GB"/>
        </w:rPr>
        <w:t xml:space="preserve"> </w:t>
      </w:r>
      <w:r w:rsidR="00607B91" w:rsidRPr="00B34C19">
        <w:rPr>
          <w:lang w:val="en-GB"/>
        </w:rPr>
        <w:t>pressing institutional reform laws.</w:t>
      </w:r>
      <w:r w:rsidR="006D4FF8" w:rsidRPr="00B34C19">
        <w:rPr>
          <w:lang w:val="en-GB"/>
        </w:rPr>
        <w:t xml:space="preserve"> </w:t>
      </w:r>
      <w:r w:rsidR="001D1567" w:rsidRPr="00B34C19">
        <w:rPr>
          <w:lang w:val="en-GB"/>
        </w:rPr>
        <w:t xml:space="preserve">Viewed this way, informal practices can be complementary to </w:t>
      </w:r>
      <w:r w:rsidR="00431267" w:rsidRPr="00B34C19">
        <w:rPr>
          <w:lang w:val="en-GB"/>
        </w:rPr>
        <w:t>(</w:t>
      </w:r>
      <w:r w:rsidR="001D1567" w:rsidRPr="00B34C19">
        <w:rPr>
          <w:lang w:val="en-GB"/>
        </w:rPr>
        <w:t>or accommodating of</w:t>
      </w:r>
      <w:r w:rsidR="00431267" w:rsidRPr="00B34C19">
        <w:rPr>
          <w:lang w:val="en-GB"/>
        </w:rPr>
        <w:t xml:space="preserve">) </w:t>
      </w:r>
      <w:r w:rsidR="001D1567" w:rsidRPr="00B34C19">
        <w:rPr>
          <w:lang w:val="en-GB"/>
        </w:rPr>
        <w:t>gradually strengthening formal institutions</w:t>
      </w:r>
      <w:r w:rsidR="006B0248" w:rsidRPr="00B34C19">
        <w:rPr>
          <w:lang w:val="en-GB"/>
        </w:rPr>
        <w:t>,</w:t>
      </w:r>
      <w:r w:rsidR="00DB4763" w:rsidRPr="00B34C19">
        <w:rPr>
          <w:lang w:val="en-GB"/>
        </w:rPr>
        <w:t xml:space="preserve"> even where they generate behaviour that flouts formal expectations</w:t>
      </w:r>
      <w:r w:rsidR="001D1567" w:rsidRPr="00B34C19">
        <w:rPr>
          <w:lang w:val="en-GB"/>
        </w:rPr>
        <w:t>.</w:t>
      </w:r>
      <w:r w:rsidR="001D1567" w:rsidRPr="00B34C19">
        <w:rPr>
          <w:rStyle w:val="FootnoteReference"/>
          <w:lang w:val="en-GB"/>
        </w:rPr>
        <w:footnoteReference w:id="160"/>
      </w:r>
      <w:r w:rsidR="00DB4763" w:rsidRPr="00B34C19">
        <w:rPr>
          <w:lang w:val="en-GB"/>
        </w:rPr>
        <w:t xml:space="preserve"> </w:t>
      </w:r>
      <w:r w:rsidR="006D4FF8" w:rsidRPr="00B34C19">
        <w:rPr>
          <w:lang w:val="en-GB"/>
        </w:rPr>
        <w:t xml:space="preserve">At least in the short-term, </w:t>
      </w:r>
      <w:r w:rsidR="00B77564" w:rsidRPr="00B34C19">
        <w:rPr>
          <w:lang w:val="en-GB"/>
        </w:rPr>
        <w:t>‘t</w:t>
      </w:r>
      <w:r w:rsidR="00B77564" w:rsidRPr="00B34C19">
        <w:t xml:space="preserve">he significance of institutions resides not in their capacity </w:t>
      </w:r>
      <w:r w:rsidR="00B77564" w:rsidRPr="00804E82">
        <w:rPr>
          <w:i/>
          <w:iCs/>
        </w:rPr>
        <w:t>per se</w:t>
      </w:r>
      <w:r w:rsidR="00B77564" w:rsidRPr="00B34C19">
        <w:t>, but in the sort of interests they promote or marginalize, and in the sort of conflicts they give expression to, or structure out of politics.</w:t>
      </w:r>
      <w:r w:rsidR="00B77564" w:rsidRPr="00B34C19">
        <w:rPr>
          <w:lang w:val="en-GB"/>
        </w:rPr>
        <w:t>’</w:t>
      </w:r>
      <w:r w:rsidR="00B77564" w:rsidRPr="00B34C19">
        <w:rPr>
          <w:rStyle w:val="FootnoteReference"/>
          <w:lang w:val="en-GB"/>
        </w:rPr>
        <w:footnoteReference w:id="161"/>
      </w:r>
      <w:r w:rsidR="00F41647" w:rsidRPr="00B34C19">
        <w:rPr>
          <w:lang w:val="en-GB"/>
        </w:rPr>
        <w:t xml:space="preserve"> </w:t>
      </w:r>
      <w:r w:rsidR="00750506" w:rsidRPr="00B34C19">
        <w:rPr>
          <w:lang w:val="en-GB"/>
        </w:rPr>
        <w:t>Trade-offs may have to be made between stability, institutional integrity and inclusiveness in the short-to-medium term.</w:t>
      </w:r>
      <w:r w:rsidR="009561BF" w:rsidRPr="00B34C19">
        <w:rPr>
          <w:color w:val="000000"/>
          <w:lang w:val="en-GB"/>
        </w:rPr>
        <w:t xml:space="preserve"> Political and development theorists have long accepted that a reduction in an institution’s regulatory effectiveness might </w:t>
      </w:r>
      <w:r w:rsidR="009561BF" w:rsidRPr="00B34C19">
        <w:rPr>
          <w:color w:val="000000"/>
          <w:lang w:val="en-GB"/>
        </w:rPr>
        <w:lastRenderedPageBreak/>
        <w:t>be a sacrifice worth making for political stability or social peace.</w:t>
      </w:r>
      <w:r w:rsidR="009561BF" w:rsidRPr="00B34C19">
        <w:rPr>
          <w:rStyle w:val="FootnoteReference"/>
          <w:color w:val="000000"/>
          <w:lang w:val="en-GB"/>
        </w:rPr>
        <w:footnoteReference w:id="162"/>
      </w:r>
      <w:r w:rsidR="00750506" w:rsidRPr="00B34C19">
        <w:rPr>
          <w:lang w:val="en-GB"/>
        </w:rPr>
        <w:t xml:space="preserve"> </w:t>
      </w:r>
      <w:r w:rsidR="00F41647" w:rsidRPr="00B34C19">
        <w:rPr>
          <w:lang w:val="en-GB"/>
        </w:rPr>
        <w:t>It is plausible</w:t>
      </w:r>
      <w:r w:rsidR="006B0248" w:rsidRPr="00B34C19">
        <w:rPr>
          <w:lang w:val="en-GB"/>
        </w:rPr>
        <w:t>, therefore,</w:t>
      </w:r>
      <w:r w:rsidR="00F41647" w:rsidRPr="00B34C19">
        <w:rPr>
          <w:lang w:val="en-GB"/>
        </w:rPr>
        <w:t xml:space="preserve"> to argue that we make the wrong causal assumptions about GNRs, at least in the short term. I</w:t>
      </w:r>
      <w:r w:rsidR="0075119D" w:rsidRPr="00B34C19">
        <w:rPr>
          <w:lang w:val="en-GB"/>
        </w:rPr>
        <w:t>n fragile states, i</w:t>
      </w:r>
      <w:r w:rsidR="00F41647" w:rsidRPr="00B34C19">
        <w:rPr>
          <w:lang w:val="en-GB"/>
        </w:rPr>
        <w:t xml:space="preserve">t is political stability that allows </w:t>
      </w:r>
      <w:r w:rsidR="0075119D" w:rsidRPr="00B34C19">
        <w:rPr>
          <w:lang w:val="en-GB"/>
        </w:rPr>
        <w:t xml:space="preserve">(reformed) </w:t>
      </w:r>
      <w:r w:rsidR="00F41647" w:rsidRPr="00B34C19">
        <w:rPr>
          <w:lang w:val="en-GB"/>
        </w:rPr>
        <w:t>institutions to function,</w:t>
      </w:r>
      <w:r w:rsidR="0075119D" w:rsidRPr="00B34C19">
        <w:rPr>
          <w:rStyle w:val="FootnoteReference"/>
          <w:lang w:val="en-GB"/>
        </w:rPr>
        <w:footnoteReference w:id="163"/>
      </w:r>
      <w:r w:rsidR="0075119D" w:rsidRPr="00B34C19">
        <w:rPr>
          <w:lang w:val="en-GB"/>
        </w:rPr>
        <w:t xml:space="preserve"> and not the other way around. Patrimonial practices and informal conferences can serve as problem-solving mechanisms or pressure-release valves to give institutional reform time to bed in. This is</w:t>
      </w:r>
      <w:r w:rsidR="00F41647" w:rsidRPr="00B34C19">
        <w:rPr>
          <w:lang w:val="en-GB"/>
        </w:rPr>
        <w:t xml:space="preserve"> a matter to which attention now turns.</w:t>
      </w:r>
    </w:p>
    <w:p w14:paraId="055506BA" w14:textId="72EF9421" w:rsidR="00607B91" w:rsidRPr="00B34C19" w:rsidRDefault="00607B91" w:rsidP="00E65CEB">
      <w:pPr>
        <w:autoSpaceDE w:val="0"/>
        <w:autoSpaceDN w:val="0"/>
        <w:adjustRightInd w:val="0"/>
        <w:spacing w:line="480" w:lineRule="auto"/>
        <w:rPr>
          <w:lang w:val="en-GB"/>
        </w:rPr>
      </w:pPr>
    </w:p>
    <w:p w14:paraId="6C12B600" w14:textId="77777777" w:rsidR="00D75A75" w:rsidRPr="00B34C19" w:rsidRDefault="00D75A75" w:rsidP="00E65CEB">
      <w:pPr>
        <w:autoSpaceDE w:val="0"/>
        <w:autoSpaceDN w:val="0"/>
        <w:adjustRightInd w:val="0"/>
        <w:spacing w:line="480" w:lineRule="auto"/>
        <w:rPr>
          <w:lang w:val="en-GB"/>
        </w:rPr>
      </w:pPr>
    </w:p>
    <w:p w14:paraId="1B495A18" w14:textId="62638424" w:rsidR="004B35A6" w:rsidRPr="00B34C19" w:rsidRDefault="0012594B" w:rsidP="00E65CEB">
      <w:pPr>
        <w:autoSpaceDE w:val="0"/>
        <w:autoSpaceDN w:val="0"/>
        <w:adjustRightInd w:val="0"/>
        <w:spacing w:line="480" w:lineRule="auto"/>
        <w:jc w:val="both"/>
        <w:rPr>
          <w:b/>
          <w:bCs/>
          <w:i/>
          <w:iCs/>
          <w:color w:val="000000"/>
          <w:lang w:val="en-GB"/>
        </w:rPr>
      </w:pPr>
      <w:r w:rsidRPr="00EE19A1">
        <w:rPr>
          <w:b/>
          <w:bCs/>
          <w:color w:val="000000"/>
          <w:lang w:val="en-GB"/>
        </w:rPr>
        <w:t>4.2</w:t>
      </w:r>
      <w:r w:rsidR="00D75A75" w:rsidRPr="00EE19A1">
        <w:rPr>
          <w:b/>
          <w:bCs/>
          <w:color w:val="000000"/>
          <w:lang w:val="en-GB"/>
        </w:rPr>
        <w:t>.</w:t>
      </w:r>
      <w:r w:rsidR="00D75A75" w:rsidRPr="00B34C19">
        <w:rPr>
          <w:b/>
          <w:bCs/>
          <w:i/>
          <w:iCs/>
          <w:color w:val="000000"/>
          <w:lang w:val="en-GB"/>
        </w:rPr>
        <w:t xml:space="preserve"> </w:t>
      </w:r>
      <w:r w:rsidR="008A52AA" w:rsidRPr="00B34C19">
        <w:rPr>
          <w:b/>
          <w:bCs/>
          <w:i/>
          <w:iCs/>
          <w:color w:val="000000"/>
          <w:lang w:val="en-GB"/>
        </w:rPr>
        <w:t>Increasing causal importance of GNRs to non-recurrence</w:t>
      </w:r>
      <w:r w:rsidR="006B0248" w:rsidRPr="00B34C19">
        <w:rPr>
          <w:b/>
          <w:bCs/>
          <w:i/>
          <w:iCs/>
          <w:color w:val="000000"/>
          <w:lang w:val="en-GB"/>
        </w:rPr>
        <w:t xml:space="preserve"> over time</w:t>
      </w:r>
    </w:p>
    <w:p w14:paraId="4EC9BD72" w14:textId="2C75ABBC" w:rsidR="004B35A6" w:rsidRPr="00B34C19" w:rsidRDefault="004B35A6" w:rsidP="00E65CEB">
      <w:pPr>
        <w:autoSpaceDE w:val="0"/>
        <w:autoSpaceDN w:val="0"/>
        <w:adjustRightInd w:val="0"/>
        <w:spacing w:line="480" w:lineRule="auto"/>
        <w:jc w:val="both"/>
        <w:rPr>
          <w:color w:val="000000"/>
          <w:lang w:val="en-GB"/>
        </w:rPr>
      </w:pPr>
    </w:p>
    <w:p w14:paraId="36F0DC40" w14:textId="3810D92F" w:rsidR="00BA5015" w:rsidRPr="00B34C19" w:rsidRDefault="00F9544A" w:rsidP="00E65CEB">
      <w:pPr>
        <w:spacing w:line="480" w:lineRule="auto"/>
        <w:jc w:val="both"/>
        <w:rPr>
          <w:color w:val="000000"/>
          <w:lang w:val="en-GB"/>
        </w:rPr>
      </w:pPr>
      <w:r w:rsidRPr="00B34C19">
        <w:rPr>
          <w:color w:val="000000"/>
          <w:lang w:val="en-GB"/>
        </w:rPr>
        <w:t>Settlements are not immutable, and no</w:t>
      </w:r>
      <w:r w:rsidR="00BA5015" w:rsidRPr="00B34C19">
        <w:rPr>
          <w:color w:val="000000"/>
          <w:lang w:val="en-GB"/>
        </w:rPr>
        <w:t>r</w:t>
      </w:r>
      <w:r w:rsidRPr="00B34C19">
        <w:rPr>
          <w:color w:val="000000"/>
          <w:lang w:val="en-GB"/>
        </w:rPr>
        <w:t xml:space="preserve"> is the relevance of institutions within them or to them. Indeed, one of the advantages of focussing on settlements over peace agreements </w:t>
      </w:r>
      <w:r w:rsidR="00F23F48" w:rsidRPr="00B34C19">
        <w:rPr>
          <w:color w:val="000000"/>
          <w:lang w:val="en-GB"/>
        </w:rPr>
        <w:t>is that the former can and do evolve, expanding the temporal scope within which we can understand non-recurrence.</w:t>
      </w:r>
      <w:r w:rsidR="00F23F48" w:rsidRPr="00B34C19">
        <w:rPr>
          <w:rStyle w:val="FootnoteReference"/>
          <w:color w:val="000000"/>
          <w:lang w:val="en-GB"/>
        </w:rPr>
        <w:footnoteReference w:id="164"/>
      </w:r>
      <w:r w:rsidR="000D53F3" w:rsidRPr="00B34C19">
        <w:rPr>
          <w:color w:val="000000"/>
          <w:lang w:val="en-GB"/>
        </w:rPr>
        <w:t xml:space="preserve">  Changes </w:t>
      </w:r>
      <w:r w:rsidR="000D53F3" w:rsidRPr="00804E82">
        <w:rPr>
          <w:i/>
          <w:iCs/>
          <w:color w:val="000000"/>
          <w:lang w:val="en-GB"/>
        </w:rPr>
        <w:t>do</w:t>
      </w:r>
      <w:r w:rsidR="000D53F3" w:rsidRPr="00B34C19">
        <w:rPr>
          <w:color w:val="000000"/>
          <w:lang w:val="en-GB"/>
        </w:rPr>
        <w:t xml:space="preserve"> occur when the shared understanding of how power is to be allocated or applied produces alterations of behaviour, interest or (most relevantly for the purposes of this paper) trust in or reliance on institutions. </w:t>
      </w:r>
      <w:r w:rsidR="001B0743" w:rsidRPr="00B34C19">
        <w:rPr>
          <w:color w:val="000000"/>
          <w:lang w:val="en-GB"/>
        </w:rPr>
        <w:t xml:space="preserve">Any number of mutually compatible theories have been developed for how settlements give way to greater reliance on institutions, </w:t>
      </w:r>
      <w:r w:rsidR="001B0743" w:rsidRPr="00B34C19">
        <w:rPr>
          <w:color w:val="000000"/>
          <w:lang w:val="en-GB"/>
        </w:rPr>
        <w:lastRenderedPageBreak/>
        <w:t>though considerations of space preclude a detailed recapitulation of them.</w:t>
      </w:r>
      <w:r w:rsidR="00BA5015" w:rsidRPr="00B34C19">
        <w:rPr>
          <w:rStyle w:val="FootnoteReference"/>
          <w:color w:val="000000"/>
          <w:lang w:val="en-GB"/>
        </w:rPr>
        <w:footnoteReference w:id="165"/>
      </w:r>
      <w:r w:rsidR="001B0743" w:rsidRPr="00B34C19">
        <w:rPr>
          <w:color w:val="000000"/>
          <w:lang w:val="en-GB"/>
        </w:rPr>
        <w:t xml:space="preserve"> </w:t>
      </w:r>
      <w:r w:rsidR="00BA5015" w:rsidRPr="00B34C19">
        <w:rPr>
          <w:color w:val="000000"/>
          <w:lang w:val="en-GB"/>
        </w:rPr>
        <w:t>Developmentalist accounts of neopatrimonialist settlements have also been developed where patronage and clientelism serve a modernising function insofar as they ease a gradual transition to institutionalisation.</w:t>
      </w:r>
      <w:r w:rsidR="00BA5015" w:rsidRPr="00B34C19">
        <w:rPr>
          <w:rStyle w:val="FootnoteReference"/>
          <w:color w:val="000000"/>
          <w:lang w:val="en-GB"/>
        </w:rPr>
        <w:footnoteReference w:id="166"/>
      </w:r>
      <w:r w:rsidR="00BA5015" w:rsidRPr="00B34C19">
        <w:rPr>
          <w:color w:val="000000"/>
          <w:lang w:val="en-GB"/>
        </w:rPr>
        <w:t xml:space="preserve"> </w:t>
      </w:r>
    </w:p>
    <w:p w14:paraId="5E91E387" w14:textId="77777777" w:rsidR="00BA5015" w:rsidRPr="00B34C19" w:rsidRDefault="00BA5015" w:rsidP="00E65CEB">
      <w:pPr>
        <w:spacing w:line="480" w:lineRule="auto"/>
        <w:jc w:val="both"/>
        <w:rPr>
          <w:color w:val="000000"/>
          <w:lang w:val="en-GB"/>
        </w:rPr>
      </w:pPr>
    </w:p>
    <w:p w14:paraId="267C5478" w14:textId="19D3EF36" w:rsidR="00186884" w:rsidRDefault="00BA5015" w:rsidP="00E65CEB">
      <w:pPr>
        <w:spacing w:line="480" w:lineRule="auto"/>
        <w:jc w:val="both"/>
      </w:pPr>
      <w:r w:rsidRPr="00B34C19">
        <w:rPr>
          <w:color w:val="000000"/>
          <w:lang w:val="en-GB"/>
        </w:rPr>
        <w:t>To generalise, there is a plausible path where a</w:t>
      </w:r>
      <w:r w:rsidR="001B0743" w:rsidRPr="00B34C19">
        <w:rPr>
          <w:color w:val="000000"/>
          <w:lang w:val="en-GB"/>
        </w:rPr>
        <w:t>ltered</w:t>
      </w:r>
      <w:r w:rsidR="000D53F3" w:rsidRPr="00B34C19">
        <w:rPr>
          <w:color w:val="000000"/>
          <w:lang w:val="en-GB"/>
        </w:rPr>
        <w:t xml:space="preserve"> understandings emerge </w:t>
      </w:r>
      <w:r w:rsidR="00D411BF" w:rsidRPr="00B34C19">
        <w:rPr>
          <w:color w:val="000000"/>
          <w:lang w:val="en-GB"/>
        </w:rPr>
        <w:t>if</w:t>
      </w:r>
      <w:r w:rsidR="000D53F3" w:rsidRPr="00B34C19">
        <w:t xml:space="preserve"> the settlement generates an appreciable period of stability</w:t>
      </w:r>
      <w:r w:rsidR="005966E3" w:rsidRPr="00B34C19">
        <w:t xml:space="preserve"> and f</w:t>
      </w:r>
      <w:r w:rsidR="00B326A3" w:rsidRPr="00B34C19">
        <w:t>ears of wholesale reversal to conflict can dimin</w:t>
      </w:r>
      <w:r w:rsidR="005966E3" w:rsidRPr="00B34C19">
        <w:t xml:space="preserve">ish. </w:t>
      </w:r>
      <w:r w:rsidR="00DA0FEB" w:rsidRPr="00B34C19">
        <w:t xml:space="preserve">Early ‘winners’ from the settlement </w:t>
      </w:r>
      <w:r w:rsidR="00465020" w:rsidRPr="00B34C19">
        <w:t xml:space="preserve">might support further reforms  and/or ‘disarm resistors through a gradualist </w:t>
      </w:r>
      <w:r w:rsidR="00431267" w:rsidRPr="00B34C19">
        <w:t>approach</w:t>
      </w:r>
      <w:r w:rsidR="00465020" w:rsidRPr="00B34C19">
        <w:t>.’</w:t>
      </w:r>
      <w:r w:rsidR="00465020" w:rsidRPr="00B34C19">
        <w:rPr>
          <w:rStyle w:val="FootnoteReference"/>
        </w:rPr>
        <w:footnoteReference w:id="167"/>
      </w:r>
      <w:r w:rsidR="00465020" w:rsidRPr="00B34C19">
        <w:t xml:space="preserve"> </w:t>
      </w:r>
      <w:r w:rsidR="005966E3" w:rsidRPr="00B34C19">
        <w:t xml:space="preserve">Parties can shift from </w:t>
      </w:r>
      <w:r w:rsidR="004B557A" w:rsidRPr="00B34C19">
        <w:t xml:space="preserve">zero-sum struggles for immediate domination </w:t>
      </w:r>
      <w:r w:rsidR="005966E3" w:rsidRPr="00B34C19">
        <w:t>towards a more co-operative or conci</w:t>
      </w:r>
      <w:r w:rsidR="00DA0FEB" w:rsidRPr="00B34C19">
        <w:t>li</w:t>
      </w:r>
      <w:r w:rsidR="005966E3" w:rsidRPr="00B34C19">
        <w:t>ating mentality.</w:t>
      </w:r>
      <w:r w:rsidR="005966E3" w:rsidRPr="00B34C19">
        <w:rPr>
          <w:rStyle w:val="FootnoteReference"/>
        </w:rPr>
        <w:footnoteReference w:id="168"/>
      </w:r>
      <w:r w:rsidR="005966E3" w:rsidRPr="00B34C19">
        <w:t xml:space="preserve"> </w:t>
      </w:r>
      <w:r w:rsidR="00C430D1" w:rsidRPr="00B34C19">
        <w:t>Any shift from reli</w:t>
      </w:r>
      <w:r w:rsidR="002638B4" w:rsidRPr="00B34C19">
        <w:t>a</w:t>
      </w:r>
      <w:r w:rsidR="00C430D1" w:rsidRPr="00B34C19">
        <w:t xml:space="preserve">nce on informal </w:t>
      </w:r>
      <w:r w:rsidR="00804E82">
        <w:t>practices</w:t>
      </w:r>
      <w:r w:rsidR="00C430D1" w:rsidRPr="00B34C19">
        <w:t xml:space="preserve"> to formal </w:t>
      </w:r>
      <w:r w:rsidR="00804E82">
        <w:t>institutions</w:t>
      </w:r>
      <w:r w:rsidR="00C430D1" w:rsidRPr="00B34C19">
        <w:t xml:space="preserve"> in this context may seem to </w:t>
      </w:r>
      <w:r w:rsidR="00D411BF" w:rsidRPr="00B34C19">
        <w:t>demand</w:t>
      </w:r>
      <w:r w:rsidR="00C430D1" w:rsidRPr="00B34C19">
        <w:t xml:space="preserve"> high levels of political courage,</w:t>
      </w:r>
      <w:r w:rsidR="00C430D1" w:rsidRPr="00B34C19">
        <w:rPr>
          <w:rStyle w:val="FootnoteReference"/>
        </w:rPr>
        <w:footnoteReference w:id="169"/>
      </w:r>
      <w:r w:rsidR="00C430D1" w:rsidRPr="00B34C19">
        <w:t xml:space="preserve"> but t</w:t>
      </w:r>
      <w:r w:rsidR="005966E3" w:rsidRPr="00B34C19">
        <w:t xml:space="preserve">he alternative is inherently suboptimal. As Centeno </w:t>
      </w:r>
      <w:r w:rsidR="005966E3" w:rsidRPr="00B34C19">
        <w:rPr>
          <w:i/>
          <w:iCs/>
        </w:rPr>
        <w:t>et al</w:t>
      </w:r>
      <w:r w:rsidR="005966E3" w:rsidRPr="00B34C19">
        <w:t xml:space="preserve"> argue</w:t>
      </w:r>
      <w:r w:rsidR="00804E82">
        <w:t>,</w:t>
      </w:r>
      <w:r w:rsidR="000D53F3" w:rsidRPr="00B34C19">
        <w:t xml:space="preserve"> ‘few states can survive over the long term by relying exclusively on fear or self-interest’ – </w:t>
      </w:r>
      <w:r w:rsidR="00D411BF" w:rsidRPr="00B34C19">
        <w:t>many influential member</w:t>
      </w:r>
      <w:r w:rsidR="00107CE7" w:rsidRPr="00B34C19">
        <w:t>s</w:t>
      </w:r>
      <w:r w:rsidR="00D411BF" w:rsidRPr="00B34C19">
        <w:t xml:space="preserve"> of the settlement coalition </w:t>
      </w:r>
      <w:r w:rsidR="00431267" w:rsidRPr="00B34C19">
        <w:t>may conclude they stand to</w:t>
      </w:r>
      <w:r w:rsidR="00D411BF" w:rsidRPr="00B34C19">
        <w:t xml:space="preserve"> benefit if </w:t>
      </w:r>
      <w:r w:rsidR="000D53F3" w:rsidRPr="00B34C19">
        <w:t>ideas of legitimacy or the functionality of the</w:t>
      </w:r>
      <w:r w:rsidR="00DE795A">
        <w:t xml:space="preserve"> emerging</w:t>
      </w:r>
      <w:r w:rsidR="000D53F3" w:rsidRPr="00B34C19">
        <w:t xml:space="preserve"> social order can take root.</w:t>
      </w:r>
      <w:r w:rsidR="00B326A3" w:rsidRPr="00B34C19">
        <w:rPr>
          <w:rStyle w:val="FootnoteReference"/>
        </w:rPr>
        <w:footnoteReference w:id="170"/>
      </w:r>
      <w:r w:rsidR="00C430D1" w:rsidRPr="00B34C19">
        <w:t xml:space="preserve"> If th</w:t>
      </w:r>
      <w:r w:rsidR="00D411BF" w:rsidRPr="00B34C19">
        <w:t>is</w:t>
      </w:r>
      <w:r w:rsidR="00C430D1" w:rsidRPr="00B34C19">
        <w:t xml:space="preserve"> settlement coalition is long-last</w:t>
      </w:r>
      <w:r w:rsidR="001C51FE" w:rsidRPr="00B34C19">
        <w:t>ing</w:t>
      </w:r>
      <w:r w:rsidR="00C430D1" w:rsidRPr="00B34C19">
        <w:t xml:space="preserve"> and/or ‘inclusive enough’ it can signal change sufficient to</w:t>
      </w:r>
      <w:r w:rsidR="001C51FE" w:rsidRPr="00B34C19">
        <w:t xml:space="preserve"> catalyse those investments of political and social capital in institutions that make them reliable sources of security.</w:t>
      </w:r>
      <w:r w:rsidR="001C51FE" w:rsidRPr="00B34C19">
        <w:rPr>
          <w:rStyle w:val="FootnoteReference"/>
        </w:rPr>
        <w:footnoteReference w:id="171"/>
      </w:r>
      <w:r w:rsidR="001C51FE" w:rsidRPr="00B34C19">
        <w:t xml:space="preserve"> Further bargaining over time can increase reliance on, and functionality of, those institutions.</w:t>
      </w:r>
      <w:r w:rsidR="001C51FE" w:rsidRPr="00B34C19">
        <w:rPr>
          <w:rStyle w:val="FootnoteReference"/>
        </w:rPr>
        <w:footnoteReference w:id="172"/>
      </w:r>
      <w:r w:rsidR="00DA0FEB" w:rsidRPr="00B34C19">
        <w:t xml:space="preserve"> </w:t>
      </w:r>
      <w:r w:rsidR="009429C3" w:rsidRPr="00B34C19">
        <w:t xml:space="preserve">Ostensibly marginal revisions, amendments or evolution of the settlement can further the trend </w:t>
      </w:r>
      <w:r w:rsidR="001472C6" w:rsidRPr="00B34C19">
        <w:t>of experimental and incremental reliance on institutional safeguards</w:t>
      </w:r>
      <w:r w:rsidR="00B76958" w:rsidRPr="00B34C19">
        <w:t>, but it will be distinctly non-linear:</w:t>
      </w:r>
      <w:r w:rsidR="009429C3" w:rsidRPr="00B34C19">
        <w:t xml:space="preserve"> </w:t>
      </w:r>
    </w:p>
    <w:p w14:paraId="728CBBC3" w14:textId="77777777" w:rsidR="00435153" w:rsidRPr="00B34C19" w:rsidRDefault="00435153" w:rsidP="00E65CEB">
      <w:pPr>
        <w:spacing w:line="480" w:lineRule="auto"/>
        <w:jc w:val="both"/>
        <w:rPr>
          <w:color w:val="000000"/>
          <w:lang w:val="en-GB"/>
        </w:rPr>
      </w:pPr>
    </w:p>
    <w:p w14:paraId="336ECD14" w14:textId="1C0C1D2E" w:rsidR="00186884" w:rsidRDefault="00186884" w:rsidP="00E65CEB">
      <w:pPr>
        <w:spacing w:line="480" w:lineRule="auto"/>
        <w:ind w:left="454" w:right="454"/>
        <w:jc w:val="both"/>
      </w:pPr>
      <w:r w:rsidRPr="00B34C19">
        <w:t>‘Given the multiple, related layers that foster or constrain change, the process of change in governance is not the passage from one order (informal governance) to another. It may be better viewed as a rearrangement in patterns of multiple governance mechanisms, through which changes in one layer produce multiple effects that, in the end, may feed back.’</w:t>
      </w:r>
      <w:r w:rsidRPr="00B34C19">
        <w:rPr>
          <w:rStyle w:val="FootnoteReference"/>
        </w:rPr>
        <w:footnoteReference w:id="173"/>
      </w:r>
    </w:p>
    <w:p w14:paraId="17C83293" w14:textId="77777777" w:rsidR="00435153" w:rsidRPr="00B34C19" w:rsidRDefault="00435153" w:rsidP="00E65CEB">
      <w:pPr>
        <w:spacing w:line="480" w:lineRule="auto"/>
        <w:ind w:left="454" w:right="454"/>
        <w:jc w:val="both"/>
      </w:pPr>
    </w:p>
    <w:p w14:paraId="7E63BD47" w14:textId="62EBDCC9" w:rsidR="000219C3" w:rsidRPr="00B34C19" w:rsidRDefault="00186884" w:rsidP="00E65CEB">
      <w:pPr>
        <w:autoSpaceDE w:val="0"/>
        <w:autoSpaceDN w:val="0"/>
        <w:adjustRightInd w:val="0"/>
        <w:spacing w:line="480" w:lineRule="auto"/>
        <w:jc w:val="both"/>
      </w:pPr>
      <w:r w:rsidRPr="00B34C19">
        <w:t>While the</w:t>
      </w:r>
      <w:r w:rsidR="00B76958" w:rsidRPr="00B34C19">
        <w:t xml:space="preserve"> roots of GNRs in victim </w:t>
      </w:r>
      <w:r w:rsidR="00431267" w:rsidRPr="00B34C19">
        <w:t>reparations</w:t>
      </w:r>
      <w:r w:rsidR="00B76958" w:rsidRPr="00B34C19">
        <w:t xml:space="preserve"> and TJ’s </w:t>
      </w:r>
      <w:r w:rsidR="00B76958" w:rsidRPr="00B34C19">
        <w:rPr>
          <w:i/>
          <w:iCs/>
        </w:rPr>
        <w:t>nunca mas</w:t>
      </w:r>
      <w:r w:rsidR="00B76958" w:rsidRPr="00B34C19">
        <w:t xml:space="preserve"> ethos imply they</w:t>
      </w:r>
      <w:r w:rsidRPr="00B34C19">
        <w:t xml:space="preserve"> </w:t>
      </w:r>
      <w:r w:rsidR="00B76958" w:rsidRPr="00B34C19">
        <w:t>should</w:t>
      </w:r>
      <w:r w:rsidRPr="00B34C19">
        <w:t xml:space="preserve"> have an immediate effect</w:t>
      </w:r>
      <w:r w:rsidR="00B76958" w:rsidRPr="00B34C19">
        <w:t xml:space="preserve">, reformed institutions only become existentially important in terms of non-recurrence of violence over time. </w:t>
      </w:r>
      <w:r w:rsidR="00107CE7" w:rsidRPr="00B34C19">
        <w:t>In the short- to medium-term</w:t>
      </w:r>
      <w:r w:rsidR="00FB6947" w:rsidRPr="00B34C19">
        <w:t>,</w:t>
      </w:r>
      <w:r w:rsidR="00107CE7" w:rsidRPr="00B34C19">
        <w:t xml:space="preserve"> </w:t>
      </w:r>
      <w:r w:rsidR="002638B4" w:rsidRPr="00B34C19">
        <w:t>GNRs</w:t>
      </w:r>
      <w:r w:rsidR="00431267" w:rsidRPr="00B34C19">
        <w:t>’</w:t>
      </w:r>
      <w:r w:rsidR="002638B4" w:rsidRPr="00B34C19">
        <w:t xml:space="preserve"> greatest potential might be to </w:t>
      </w:r>
      <w:r w:rsidR="001472C6" w:rsidRPr="00B34C19">
        <w:t xml:space="preserve">reassure </w:t>
      </w:r>
      <w:r w:rsidR="002638B4" w:rsidRPr="00B34C19">
        <w:t xml:space="preserve">recalcitrant members of </w:t>
      </w:r>
      <w:r w:rsidR="001472C6" w:rsidRPr="00B34C19">
        <w:t>an established</w:t>
      </w:r>
      <w:r w:rsidR="002638B4" w:rsidRPr="00B34C19">
        <w:t xml:space="preserve"> settlement that they can reduce some of their power </w:t>
      </w:r>
      <w:r w:rsidR="001472C6" w:rsidRPr="00B34C19">
        <w:t xml:space="preserve">because state institutions have guardrails against abuse. </w:t>
      </w:r>
      <w:r w:rsidR="00FB6947" w:rsidRPr="00B34C19">
        <w:t xml:space="preserve">Beyond this, </w:t>
      </w:r>
      <w:r w:rsidR="00FB6947" w:rsidRPr="00B34C19">
        <w:rPr>
          <w:color w:val="000000"/>
          <w:lang w:val="en-GB"/>
        </w:rPr>
        <w:t>g</w:t>
      </w:r>
      <w:r w:rsidR="00B76958" w:rsidRPr="00B34C19">
        <w:rPr>
          <w:color w:val="000000"/>
          <w:lang w:val="en-GB"/>
        </w:rPr>
        <w:t>reater reliance on institutions and institutional safeguards</w:t>
      </w:r>
      <w:r w:rsidR="00FB6947" w:rsidRPr="00B34C19">
        <w:rPr>
          <w:color w:val="000000"/>
          <w:lang w:val="en-GB"/>
        </w:rPr>
        <w:t xml:space="preserve"> over time</w:t>
      </w:r>
      <w:r w:rsidR="00B76958" w:rsidRPr="00B34C19">
        <w:rPr>
          <w:color w:val="000000"/>
          <w:lang w:val="en-GB"/>
        </w:rPr>
        <w:t xml:space="preserve"> is ‘one of the most common indicators that that significant changes are occurring in the political settlement’, often produced by informal negotiations that </w:t>
      </w:r>
      <w:r w:rsidR="00D411BF" w:rsidRPr="00B34C19">
        <w:rPr>
          <w:color w:val="000000"/>
          <w:lang w:val="en-GB"/>
        </w:rPr>
        <w:t xml:space="preserve">themselves </w:t>
      </w:r>
      <w:r w:rsidR="00B76958" w:rsidRPr="00B34C19">
        <w:rPr>
          <w:color w:val="000000"/>
          <w:lang w:val="en-GB"/>
        </w:rPr>
        <w:t>serve as evidence of changed assessment of interest.</w:t>
      </w:r>
      <w:r w:rsidR="00B76958" w:rsidRPr="00B34C19">
        <w:rPr>
          <w:rStyle w:val="FootnoteReference"/>
          <w:color w:val="000000"/>
          <w:lang w:val="en-GB"/>
        </w:rPr>
        <w:footnoteReference w:id="174"/>
      </w:r>
      <w:r w:rsidR="00B76958" w:rsidRPr="00B34C19">
        <w:rPr>
          <w:color w:val="000000"/>
          <w:lang w:val="en-GB"/>
        </w:rPr>
        <w:t xml:space="preserve"> </w:t>
      </w:r>
      <w:r w:rsidR="00B76958" w:rsidRPr="00B34C19">
        <w:t xml:space="preserve">GNRs find themselves imbricated in </w:t>
      </w:r>
      <w:r w:rsidR="00C41682" w:rsidRPr="00B34C19">
        <w:t>a slow, incremental</w:t>
      </w:r>
      <w:r w:rsidR="00B76958" w:rsidRPr="00B34C19">
        <w:t xml:space="preserve"> pattern of mutual causation -  settlements influence performance of GNRs</w:t>
      </w:r>
      <w:r w:rsidR="00DE795A">
        <w:t>,</w:t>
      </w:r>
      <w:r w:rsidR="00B76958" w:rsidRPr="00B34C19">
        <w:t xml:space="preserve"> but over time GNRs can in turn help to consolidate and formalise political settlements. </w:t>
      </w:r>
      <w:r w:rsidR="006A6D59" w:rsidRPr="00B34C19">
        <w:rPr>
          <w:color w:val="000000"/>
          <w:lang w:val="en-GB"/>
        </w:rPr>
        <w:t>Simply put, the things that initiate peace</w:t>
      </w:r>
      <w:r w:rsidR="00956F92" w:rsidRPr="00B34C19">
        <w:rPr>
          <w:color w:val="000000"/>
          <w:lang w:val="en-GB"/>
        </w:rPr>
        <w:t xml:space="preserve"> (settlements)</w:t>
      </w:r>
      <w:r w:rsidR="006A6D59" w:rsidRPr="00B34C19">
        <w:rPr>
          <w:color w:val="000000"/>
          <w:lang w:val="en-GB"/>
        </w:rPr>
        <w:t xml:space="preserve"> might be different to the things that sustain</w:t>
      </w:r>
      <w:r w:rsidR="00956F92" w:rsidRPr="00B34C19">
        <w:rPr>
          <w:color w:val="000000"/>
          <w:lang w:val="en-GB"/>
        </w:rPr>
        <w:t xml:space="preserve"> it (reformed institutions)</w:t>
      </w:r>
      <w:r w:rsidR="00B76958" w:rsidRPr="00B34C19">
        <w:rPr>
          <w:color w:val="000000"/>
          <w:lang w:val="en-GB"/>
        </w:rPr>
        <w:t>.</w:t>
      </w:r>
    </w:p>
    <w:p w14:paraId="3544E6D3" w14:textId="613E1DB6" w:rsidR="009718D3" w:rsidRPr="00B34C19" w:rsidRDefault="009718D3" w:rsidP="00E65CEB">
      <w:pPr>
        <w:autoSpaceDE w:val="0"/>
        <w:autoSpaceDN w:val="0"/>
        <w:adjustRightInd w:val="0"/>
        <w:spacing w:line="480" w:lineRule="auto"/>
        <w:jc w:val="both"/>
        <w:rPr>
          <w:color w:val="000000"/>
          <w:lang w:val="en-GB"/>
        </w:rPr>
      </w:pPr>
    </w:p>
    <w:p w14:paraId="38AC5EC4" w14:textId="47BC6962" w:rsidR="001A71B8" w:rsidRPr="00B34C19" w:rsidRDefault="001A71B8" w:rsidP="00E65CEB">
      <w:pPr>
        <w:autoSpaceDE w:val="0"/>
        <w:autoSpaceDN w:val="0"/>
        <w:adjustRightInd w:val="0"/>
        <w:spacing w:line="480" w:lineRule="auto"/>
        <w:rPr>
          <w:lang w:val="en-GB"/>
        </w:rPr>
      </w:pPr>
    </w:p>
    <w:p w14:paraId="6D48650E" w14:textId="7DA0F2B4" w:rsidR="000C1225" w:rsidRPr="00B34C19" w:rsidRDefault="0012594B" w:rsidP="00E65CEB">
      <w:pPr>
        <w:autoSpaceDE w:val="0"/>
        <w:autoSpaceDN w:val="0"/>
        <w:adjustRightInd w:val="0"/>
        <w:spacing w:line="480" w:lineRule="auto"/>
        <w:rPr>
          <w:b/>
          <w:bCs/>
          <w:i/>
          <w:iCs/>
          <w:lang w:val="en-GB"/>
        </w:rPr>
      </w:pPr>
      <w:r w:rsidRPr="00EE19A1">
        <w:rPr>
          <w:b/>
          <w:bCs/>
          <w:lang w:val="en-GB"/>
        </w:rPr>
        <w:t>4.3</w:t>
      </w:r>
      <w:r w:rsidR="00D75A75" w:rsidRPr="00EE19A1">
        <w:rPr>
          <w:b/>
          <w:bCs/>
          <w:lang w:val="en-GB"/>
        </w:rPr>
        <w:t>.</w:t>
      </w:r>
      <w:r w:rsidR="00D75A75" w:rsidRPr="00B34C19">
        <w:rPr>
          <w:b/>
          <w:bCs/>
          <w:i/>
          <w:iCs/>
          <w:lang w:val="en-GB"/>
        </w:rPr>
        <w:t xml:space="preserve"> </w:t>
      </w:r>
      <w:r w:rsidR="008A52AA" w:rsidRPr="00B34C19">
        <w:rPr>
          <w:b/>
          <w:bCs/>
          <w:i/>
          <w:iCs/>
          <w:lang w:val="en-GB"/>
        </w:rPr>
        <w:t>GNRs in the context of failed settlements</w:t>
      </w:r>
    </w:p>
    <w:p w14:paraId="1B54705F" w14:textId="11679FC4" w:rsidR="00CC490A" w:rsidRPr="00B34C19" w:rsidRDefault="00CC490A" w:rsidP="00E65CEB">
      <w:pPr>
        <w:autoSpaceDE w:val="0"/>
        <w:autoSpaceDN w:val="0"/>
        <w:adjustRightInd w:val="0"/>
        <w:spacing w:line="480" w:lineRule="auto"/>
        <w:rPr>
          <w:lang w:val="en-GB"/>
        </w:rPr>
      </w:pPr>
    </w:p>
    <w:p w14:paraId="24CE5345" w14:textId="7CA26ACB" w:rsidR="00956F92" w:rsidRPr="00B34C19" w:rsidRDefault="00C41682" w:rsidP="00E65CEB">
      <w:pPr>
        <w:autoSpaceDE w:val="0"/>
        <w:autoSpaceDN w:val="0"/>
        <w:adjustRightInd w:val="0"/>
        <w:spacing w:line="480" w:lineRule="auto"/>
        <w:jc w:val="both"/>
      </w:pPr>
      <w:r w:rsidRPr="00B34C19">
        <w:t>Not all settlements follow this path of informality to</w:t>
      </w:r>
      <w:r w:rsidR="0057765C">
        <w:t xml:space="preserve"> reliance on</w:t>
      </w:r>
      <w:r w:rsidRPr="00B34C19">
        <w:t xml:space="preserve"> institutional safeguards.</w:t>
      </w:r>
      <w:r w:rsidR="00C6661F" w:rsidRPr="00B34C19">
        <w:t xml:space="preserve"> </w:t>
      </w:r>
      <w:r w:rsidR="003B0214" w:rsidRPr="00B34C19">
        <w:t xml:space="preserve">Settlements more often prove socially </w:t>
      </w:r>
      <w:r w:rsidR="00B93BD3" w:rsidRPr="00B34C19">
        <w:t>corrosive</w:t>
      </w:r>
      <w:r w:rsidR="003B0214" w:rsidRPr="00B34C19">
        <w:t xml:space="preserve"> than socially generative. </w:t>
      </w:r>
      <w:r w:rsidR="00C6661F" w:rsidRPr="00B34C19">
        <w:t>Informal institutions enjoy</w:t>
      </w:r>
      <w:r w:rsidR="0057765C">
        <w:t xml:space="preserve"> what North describes as</w:t>
      </w:r>
      <w:r w:rsidR="00C6661F" w:rsidRPr="00B34C19">
        <w:t xml:space="preserve"> a ‘tenacious survival ability</w:t>
      </w:r>
      <w:r w:rsidR="00066447" w:rsidRPr="00B34C19">
        <w:t>.</w:t>
      </w:r>
      <w:r w:rsidR="00C6661F" w:rsidRPr="00B34C19">
        <w:t>’</w:t>
      </w:r>
      <w:r w:rsidR="00066447" w:rsidRPr="00B34C19">
        <w:rPr>
          <w:rStyle w:val="FootnoteReference"/>
        </w:rPr>
        <w:footnoteReference w:id="175"/>
      </w:r>
      <w:r w:rsidR="00066447" w:rsidRPr="00B34C19">
        <w:t xml:space="preserve"> Far from complementing or </w:t>
      </w:r>
      <w:r w:rsidR="00B93BD3" w:rsidRPr="00B34C19">
        <w:t>accommodating</w:t>
      </w:r>
      <w:r w:rsidR="00066447" w:rsidRPr="00B34C19">
        <w:t xml:space="preserve"> formal institutions over time, informal practices can substitute for</w:t>
      </w:r>
      <w:r w:rsidR="0057765C">
        <w:t>,</w:t>
      </w:r>
      <w:r w:rsidR="00066447" w:rsidRPr="00B34C19">
        <w:t xml:space="preserve"> or compete with</w:t>
      </w:r>
      <w:r w:rsidR="0057765C">
        <w:t>,</w:t>
      </w:r>
      <w:r w:rsidR="00066447" w:rsidRPr="00B34C19">
        <w:t xml:space="preserve"> them.</w:t>
      </w:r>
      <w:r w:rsidR="00066447" w:rsidRPr="00B34C19">
        <w:rPr>
          <w:rStyle w:val="FootnoteReference"/>
        </w:rPr>
        <w:footnoteReference w:id="176"/>
      </w:r>
      <w:r w:rsidR="00F91B19" w:rsidRPr="00B34C19">
        <w:t xml:space="preserve"> </w:t>
      </w:r>
      <w:r w:rsidR="007A09DA" w:rsidRPr="00B34C19">
        <w:t>In states like</w:t>
      </w:r>
      <w:r w:rsidR="00027949" w:rsidRPr="00B34C19">
        <w:t xml:space="preserve"> Nepal</w:t>
      </w:r>
      <w:r w:rsidR="00956F92" w:rsidRPr="00B34C19">
        <w:t>,</w:t>
      </w:r>
      <w:r w:rsidR="007A09DA" w:rsidRPr="00B34C19">
        <w:t xml:space="preserve"> </w:t>
      </w:r>
      <w:r w:rsidR="008C5DCE" w:rsidRPr="00B34C19">
        <w:t>Uganda</w:t>
      </w:r>
      <w:r w:rsidR="007A09DA" w:rsidRPr="00B34C19">
        <w:t xml:space="preserve"> or Guatemala, a</w:t>
      </w:r>
      <w:r w:rsidR="00F91B19" w:rsidRPr="00B34C19">
        <w:t xml:space="preserve"> ruling coalition </w:t>
      </w:r>
      <w:r w:rsidR="007A09DA" w:rsidRPr="00B34C19">
        <w:t xml:space="preserve">perpetuating its own privileges and </w:t>
      </w:r>
      <w:r w:rsidR="00F91B19" w:rsidRPr="00B34C19">
        <w:t xml:space="preserve">buying off threats with no prospect of </w:t>
      </w:r>
      <w:r w:rsidR="007A09DA" w:rsidRPr="00B34C19">
        <w:t>institutionalisation, development or the rule of law might seem to leaders a preferable equilibrium in itself to the uncertainty that attends formal institutions.</w:t>
      </w:r>
      <w:r w:rsidR="008A2A45" w:rsidRPr="00B34C19">
        <w:t xml:space="preserve"> </w:t>
      </w:r>
      <w:r w:rsidR="009E400A" w:rsidRPr="00B34C19">
        <w:t>Stability should not be confused with a dur</w:t>
      </w:r>
      <w:r w:rsidR="00F03153" w:rsidRPr="00B34C19">
        <w:t>a</w:t>
      </w:r>
      <w:r w:rsidR="009E400A" w:rsidRPr="00B34C19">
        <w:t xml:space="preserve">ble settlement, much less a just one. </w:t>
      </w:r>
      <w:r w:rsidR="008A2A45" w:rsidRPr="00B34C19">
        <w:t xml:space="preserve">While the previous section outlined a </w:t>
      </w:r>
      <w:r w:rsidR="00B93BD3" w:rsidRPr="00B34C19">
        <w:t>virtuous</w:t>
      </w:r>
      <w:r w:rsidR="008A2A45" w:rsidRPr="00B34C19">
        <w:t xml:space="preserve"> circle whereby a settlement gradually gives way to institutionalisation, </w:t>
      </w:r>
      <w:r w:rsidR="00F84CF5" w:rsidRPr="00B34C19">
        <w:t xml:space="preserve">this type of equilibrium </w:t>
      </w:r>
      <w:r w:rsidR="00956F92" w:rsidRPr="00B34C19">
        <w:t xml:space="preserve">instead </w:t>
      </w:r>
      <w:r w:rsidR="00F84CF5" w:rsidRPr="00B34C19">
        <w:t xml:space="preserve">can give way to persistent forms of insecurity. </w:t>
      </w:r>
      <w:r w:rsidR="00C96B06" w:rsidRPr="00B34C19">
        <w:t>Settlements can crystallise general disorder insofar as they foster administrative inefficiency</w:t>
      </w:r>
      <w:r w:rsidR="00380FCD" w:rsidRPr="00B34C19">
        <w:t xml:space="preserve"> and</w:t>
      </w:r>
      <w:r w:rsidR="00C96B06" w:rsidRPr="00B34C19">
        <w:t xml:space="preserve"> disregard for formal rules.</w:t>
      </w:r>
      <w:r w:rsidR="00C96B06" w:rsidRPr="00B34C19">
        <w:rPr>
          <w:rStyle w:val="FootnoteReference"/>
        </w:rPr>
        <w:footnoteReference w:id="177"/>
      </w:r>
      <w:r w:rsidR="00C96B06" w:rsidRPr="00B34C19">
        <w:t xml:space="preserve"> </w:t>
      </w:r>
      <w:r w:rsidR="00380FCD" w:rsidRPr="00B34C19">
        <w:t xml:space="preserve">The </w:t>
      </w:r>
      <w:r w:rsidR="002557E3" w:rsidRPr="00B34C19">
        <w:t xml:space="preserve">instrumental </w:t>
      </w:r>
      <w:r w:rsidR="00380FCD" w:rsidRPr="00B34C19">
        <w:t xml:space="preserve">use of violence as a strategy for </w:t>
      </w:r>
      <w:r w:rsidR="005949C0" w:rsidRPr="00B34C19">
        <w:t>renegotiating</w:t>
      </w:r>
      <w:r w:rsidR="00380FCD" w:rsidRPr="00B34C19">
        <w:t xml:space="preserve"> settlements</w:t>
      </w:r>
      <w:r w:rsidR="002557E3" w:rsidRPr="00B34C19">
        <w:t xml:space="preserve"> can </w:t>
      </w:r>
      <w:r w:rsidR="005949C0" w:rsidRPr="00B34C19">
        <w:t xml:space="preserve">easily </w:t>
      </w:r>
      <w:r w:rsidR="002557E3" w:rsidRPr="00B34C19">
        <w:t>become uncontrollable.</w:t>
      </w:r>
      <w:r w:rsidR="002557E3" w:rsidRPr="00B34C19">
        <w:rPr>
          <w:rStyle w:val="FootnoteReference"/>
        </w:rPr>
        <w:footnoteReference w:id="178"/>
      </w:r>
      <w:r w:rsidR="002557E3" w:rsidRPr="00B34C19">
        <w:t xml:space="preserve"> Further, w</w:t>
      </w:r>
      <w:r w:rsidR="00F84CF5" w:rsidRPr="00B34C19">
        <w:t xml:space="preserve">hile patronage can underpin the durability of some regimes  (Senegal, Cambodia, </w:t>
      </w:r>
      <w:r w:rsidR="0057765C">
        <w:t>Mozambique</w:t>
      </w:r>
      <w:r w:rsidR="00F84CF5" w:rsidRPr="00B34C19">
        <w:t xml:space="preserve">), </w:t>
      </w:r>
      <w:r w:rsidR="000F49CF" w:rsidRPr="00B34C19">
        <w:t xml:space="preserve">where excessively exclusionary </w:t>
      </w:r>
      <w:r w:rsidR="00F84CF5" w:rsidRPr="00B34C19">
        <w:t xml:space="preserve">it </w:t>
      </w:r>
      <w:r w:rsidR="00C96B06" w:rsidRPr="00B34C19">
        <w:t>(a) contributes to poor economic development, low human development</w:t>
      </w:r>
      <w:r w:rsidR="009E400A" w:rsidRPr="00B34C19">
        <w:t xml:space="preserve">, </w:t>
      </w:r>
      <w:r w:rsidR="00C96B06" w:rsidRPr="00B34C19">
        <w:t>horizontal inequalities</w:t>
      </w:r>
      <w:r w:rsidR="009E400A" w:rsidRPr="00B34C19">
        <w:t xml:space="preserve"> and state capture</w:t>
      </w:r>
      <w:r w:rsidR="00C96B06" w:rsidRPr="00B34C19">
        <w:t xml:space="preserve"> that can lead to conflict from the ground up or </w:t>
      </w:r>
      <w:r w:rsidR="00065374" w:rsidRPr="00B34C19">
        <w:t xml:space="preserve">(b) </w:t>
      </w:r>
      <w:r w:rsidR="00F84CF5" w:rsidRPr="00B34C19">
        <w:t>catalyses winner-takes-all conflicts</w:t>
      </w:r>
      <w:r w:rsidR="00C96B06" w:rsidRPr="00B34C19">
        <w:t xml:space="preserve"> from the top down</w:t>
      </w:r>
      <w:r w:rsidR="00F84CF5" w:rsidRPr="00B34C19">
        <w:t>.</w:t>
      </w:r>
      <w:r w:rsidR="00F84CF5" w:rsidRPr="00B34C19">
        <w:rPr>
          <w:rStyle w:val="FootnoteReference"/>
        </w:rPr>
        <w:footnoteReference w:id="179"/>
      </w:r>
      <w:r w:rsidR="00C96B06" w:rsidRPr="00B34C19">
        <w:t xml:space="preserve"> </w:t>
      </w:r>
      <w:r w:rsidR="00F03153" w:rsidRPr="00B34C19">
        <w:t>Settlements can also break</w:t>
      </w:r>
      <w:r w:rsidR="00956F92" w:rsidRPr="00B34C19">
        <w:t xml:space="preserve"> </w:t>
      </w:r>
      <w:r w:rsidR="00F03153" w:rsidRPr="00B34C19">
        <w:t>down due to their natural volatility in a world where even small shocks from resource price</w:t>
      </w:r>
      <w:r w:rsidR="0057765C">
        <w:t>s</w:t>
      </w:r>
      <w:r w:rsidR="00F03153" w:rsidRPr="00B34C19">
        <w:t>, border spill-overs, climate and disease can destabilise a coalition.</w:t>
      </w:r>
      <w:r w:rsidR="00F03153" w:rsidRPr="00B34C19">
        <w:rPr>
          <w:rStyle w:val="FootnoteReference"/>
        </w:rPr>
        <w:footnoteReference w:id="180"/>
      </w:r>
      <w:r w:rsidR="004A1D36" w:rsidRPr="00B34C19">
        <w:t xml:space="preserve"> Examples of ostensibly effective </w:t>
      </w:r>
      <w:r w:rsidR="007A6BB1" w:rsidRPr="00B34C19">
        <w:t xml:space="preserve">but subsequently failed </w:t>
      </w:r>
      <w:r w:rsidR="004A1D36" w:rsidRPr="00B34C19">
        <w:t xml:space="preserve">patrimonialist settlements are legion – </w:t>
      </w:r>
      <w:r w:rsidR="000060BB" w:rsidRPr="00B34C19">
        <w:t xml:space="preserve">Ethiopia’s lurch into civil conflict since 2020, </w:t>
      </w:r>
      <w:r w:rsidR="004A1D36" w:rsidRPr="00B34C19">
        <w:t>East Timor’s collapse into violence in 2006 and Afghanistan</w:t>
      </w:r>
      <w:r w:rsidR="000060BB" w:rsidRPr="00B34C19">
        <w:t>’s slow collapse</w:t>
      </w:r>
      <w:r w:rsidR="004A1D36" w:rsidRPr="00B34C19">
        <w:t xml:space="preserve"> in the decade </w:t>
      </w:r>
      <w:r w:rsidR="00956F92" w:rsidRPr="00B34C19">
        <w:t>up to</w:t>
      </w:r>
      <w:r w:rsidR="004A1D36" w:rsidRPr="00B34C19">
        <w:t xml:space="preserve"> now being among the most pertinent examples.</w:t>
      </w:r>
      <w:r w:rsidR="004A1D36" w:rsidRPr="00B34C19">
        <w:rPr>
          <w:rStyle w:val="FootnoteReference"/>
        </w:rPr>
        <w:footnoteReference w:id="181"/>
      </w:r>
      <w:r w:rsidR="00027949" w:rsidRPr="00B34C19">
        <w:t xml:space="preserve"> </w:t>
      </w:r>
    </w:p>
    <w:p w14:paraId="08CBBEED" w14:textId="77777777" w:rsidR="00956F92" w:rsidRPr="00B34C19" w:rsidRDefault="00956F92" w:rsidP="00E65CEB">
      <w:pPr>
        <w:autoSpaceDE w:val="0"/>
        <w:autoSpaceDN w:val="0"/>
        <w:adjustRightInd w:val="0"/>
        <w:spacing w:line="480" w:lineRule="auto"/>
        <w:jc w:val="both"/>
      </w:pPr>
    </w:p>
    <w:p w14:paraId="50C939DA" w14:textId="43F247C6" w:rsidR="00C23BFE" w:rsidRPr="00B34C19" w:rsidRDefault="00C23BFE" w:rsidP="00E65CEB">
      <w:pPr>
        <w:autoSpaceDE w:val="0"/>
        <w:autoSpaceDN w:val="0"/>
        <w:adjustRightInd w:val="0"/>
        <w:spacing w:line="480" w:lineRule="auto"/>
        <w:jc w:val="both"/>
        <w:rPr>
          <w:lang w:val="en-GB"/>
        </w:rPr>
      </w:pPr>
      <w:r w:rsidRPr="00B34C19">
        <w:t xml:space="preserve">This brings us to the irony of the institutionalist </w:t>
      </w:r>
      <w:r w:rsidR="00F439C1" w:rsidRPr="00B34C19">
        <w:t xml:space="preserve">logic underpinning </w:t>
      </w:r>
      <w:r w:rsidRPr="00B34C19">
        <w:t>GNRs. While there are</w:t>
      </w:r>
      <w:r w:rsidR="009B1E07" w:rsidRPr="00B34C19">
        <w:t xml:space="preserve"> obvious</w:t>
      </w:r>
      <w:r w:rsidRPr="00B34C19">
        <w:t xml:space="preserve"> intrinsic merit</w:t>
      </w:r>
      <w:r w:rsidR="009B1E07" w:rsidRPr="00B34C19">
        <w:t>s</w:t>
      </w:r>
      <w:r w:rsidRPr="00B34C19">
        <w:t xml:space="preserve"> in vetted bureaucracies and more disciplined security forces</w:t>
      </w:r>
      <w:r w:rsidR="009B1E07" w:rsidRPr="00B34C19">
        <w:t xml:space="preserve"> wh</w:t>
      </w:r>
      <w:r w:rsidR="00F439C1" w:rsidRPr="00B34C19">
        <w:t>i</w:t>
      </w:r>
      <w:r w:rsidR="009B1E07" w:rsidRPr="00B34C19">
        <w:t>ch cannot be gainsaid, i</w:t>
      </w:r>
      <w:r w:rsidR="00027949" w:rsidRPr="00B34C19">
        <w:t xml:space="preserve">t is in these situations, </w:t>
      </w:r>
      <w:r w:rsidRPr="00B34C19">
        <w:rPr>
          <w:lang w:val="en-GB"/>
        </w:rPr>
        <w:t>w</w:t>
      </w:r>
      <w:r w:rsidR="009B1E07" w:rsidRPr="00B34C19">
        <w:rPr>
          <w:lang w:val="en-GB"/>
        </w:rPr>
        <w:t>here</w:t>
      </w:r>
      <w:r w:rsidRPr="00B34C19">
        <w:rPr>
          <w:lang w:val="en-GB"/>
        </w:rPr>
        <w:t xml:space="preserve"> short-term and particularistic rewards </w:t>
      </w:r>
      <w:r w:rsidR="009B1E07" w:rsidRPr="00B34C19">
        <w:rPr>
          <w:lang w:val="en-GB"/>
        </w:rPr>
        <w:t xml:space="preserve">of a (failed) settlement </w:t>
      </w:r>
      <w:r w:rsidRPr="00B34C19">
        <w:rPr>
          <w:lang w:val="en-GB"/>
        </w:rPr>
        <w:t xml:space="preserve">have not given way to the more diffuse, longer-term benefits of reliance on institutions, </w:t>
      </w:r>
      <w:r w:rsidR="009B1E07" w:rsidRPr="00B34C19">
        <w:rPr>
          <w:lang w:val="en-GB"/>
        </w:rPr>
        <w:t>that</w:t>
      </w:r>
      <w:r w:rsidRPr="00B34C19">
        <w:rPr>
          <w:lang w:val="en-GB"/>
        </w:rPr>
        <w:t xml:space="preserve"> GNRs are most important to non-recurrence</w:t>
      </w:r>
      <w:r w:rsidR="009B1E07" w:rsidRPr="00B34C19">
        <w:rPr>
          <w:lang w:val="en-GB"/>
        </w:rPr>
        <w:t xml:space="preserve">. Where a settlement collapses completely into antagonistic incompatibilities, it is unlikely even the most thoroughgoing of reforms to state institutions can restrain recurrence of conflict. That guarantees of non-recurrence provide no actual guarantees is readily accepted even by advocates of GNRs, as was pointed out earlier. There is reason to hope, however, that reformed institutions can restrain the impetus towards violence or </w:t>
      </w:r>
      <w:r w:rsidR="00F439C1" w:rsidRPr="00B34C19">
        <w:rPr>
          <w:lang w:val="en-GB"/>
        </w:rPr>
        <w:t>quell fears that previous patterns of state brutality will automatically recur.</w:t>
      </w:r>
      <w:r w:rsidR="00585F34" w:rsidRPr="00B34C19">
        <w:rPr>
          <w:lang w:val="en-GB"/>
        </w:rPr>
        <w:t xml:space="preserve"> It is here, where settlements </w:t>
      </w:r>
      <w:r w:rsidR="0057765C">
        <w:rPr>
          <w:lang w:val="en-GB"/>
        </w:rPr>
        <w:t xml:space="preserve">appear to </w:t>
      </w:r>
      <w:r w:rsidR="00585F34" w:rsidRPr="00B34C19">
        <w:rPr>
          <w:lang w:val="en-GB"/>
        </w:rPr>
        <w:t xml:space="preserve">have failed, that GNRs become most </w:t>
      </w:r>
      <w:r w:rsidR="00512B64" w:rsidRPr="00B34C19">
        <w:rPr>
          <w:lang w:val="en-GB"/>
        </w:rPr>
        <w:t>important.</w:t>
      </w:r>
      <w:r w:rsidR="005949C0" w:rsidRPr="00B34C19">
        <w:rPr>
          <w:lang w:val="en-GB"/>
        </w:rPr>
        <w:t xml:space="preserve"> They remain, however, just one factor among many</w:t>
      </w:r>
      <w:r w:rsidR="000060BB" w:rsidRPr="00B34C19">
        <w:rPr>
          <w:lang w:val="en-GB"/>
        </w:rPr>
        <w:t xml:space="preserve"> bolstering or undermining the prospects for conflict recurrence.</w:t>
      </w:r>
      <w:r w:rsidR="005949C0" w:rsidRPr="00B34C19">
        <w:rPr>
          <w:lang w:val="en-GB"/>
        </w:rPr>
        <w:t>.</w:t>
      </w:r>
    </w:p>
    <w:p w14:paraId="2E919F2B" w14:textId="52BD4A11" w:rsidR="00A43489" w:rsidRPr="00B34C19" w:rsidRDefault="00A43489" w:rsidP="00E65CEB">
      <w:pPr>
        <w:spacing w:line="480" w:lineRule="auto"/>
        <w:jc w:val="both"/>
      </w:pPr>
    </w:p>
    <w:p w14:paraId="3056CF02" w14:textId="0D504EEE" w:rsidR="00993A0B" w:rsidRPr="00B34C19" w:rsidRDefault="00993A0B" w:rsidP="00E65CEB">
      <w:pPr>
        <w:autoSpaceDE w:val="0"/>
        <w:autoSpaceDN w:val="0"/>
        <w:adjustRightInd w:val="0"/>
        <w:spacing w:line="480" w:lineRule="auto"/>
        <w:rPr>
          <w:lang w:val="en-GB"/>
        </w:rPr>
      </w:pPr>
    </w:p>
    <w:p w14:paraId="5CF0B3B6" w14:textId="4743AE5F" w:rsidR="00993A0B" w:rsidRPr="00F4113B" w:rsidRDefault="00D75A75" w:rsidP="00E65CEB">
      <w:pPr>
        <w:autoSpaceDE w:val="0"/>
        <w:autoSpaceDN w:val="0"/>
        <w:adjustRightInd w:val="0"/>
        <w:spacing w:line="480" w:lineRule="auto"/>
        <w:rPr>
          <w:b/>
          <w:bCs/>
          <w:sz w:val="28"/>
          <w:szCs w:val="28"/>
          <w:lang w:val="en-GB"/>
        </w:rPr>
      </w:pPr>
      <w:r w:rsidRPr="00F4113B">
        <w:rPr>
          <w:b/>
          <w:bCs/>
          <w:sz w:val="28"/>
          <w:szCs w:val="28"/>
          <w:lang w:val="en-GB"/>
        </w:rPr>
        <w:t xml:space="preserve">5. </w:t>
      </w:r>
      <w:r w:rsidR="00993A0B" w:rsidRPr="00F4113B">
        <w:rPr>
          <w:b/>
          <w:bCs/>
          <w:sz w:val="28"/>
          <w:szCs w:val="28"/>
          <w:lang w:val="en-GB"/>
        </w:rPr>
        <w:t>Conclusion</w:t>
      </w:r>
    </w:p>
    <w:p w14:paraId="41893112" w14:textId="52061F7E" w:rsidR="005A53D4" w:rsidRPr="00B34C19" w:rsidRDefault="005A53D4" w:rsidP="00E65CEB">
      <w:pPr>
        <w:autoSpaceDE w:val="0"/>
        <w:autoSpaceDN w:val="0"/>
        <w:adjustRightInd w:val="0"/>
        <w:spacing w:line="480" w:lineRule="auto"/>
        <w:rPr>
          <w:lang w:val="en-GB"/>
        </w:rPr>
      </w:pPr>
    </w:p>
    <w:p w14:paraId="7AB68DEF" w14:textId="5CDE8E2E" w:rsidR="004C149B" w:rsidRPr="00B34C19" w:rsidRDefault="0074030C" w:rsidP="00E65CEB">
      <w:pPr>
        <w:spacing w:line="480" w:lineRule="auto"/>
        <w:jc w:val="both"/>
        <w:rPr>
          <w:lang w:val="en-GB"/>
        </w:rPr>
      </w:pPr>
      <w:r w:rsidRPr="00B34C19">
        <w:rPr>
          <w:lang w:val="en-GB"/>
        </w:rPr>
        <w:t xml:space="preserve">This article started from a single premise </w:t>
      </w:r>
      <w:r w:rsidR="0095055D" w:rsidRPr="00B34C19">
        <w:rPr>
          <w:lang w:val="en-GB"/>
        </w:rPr>
        <w:t xml:space="preserve">outlined in Section 1 </w:t>
      </w:r>
      <w:r w:rsidRPr="00B34C19">
        <w:rPr>
          <w:lang w:val="en-GB"/>
        </w:rPr>
        <w:t xml:space="preserve">– that the well-grounded fear of conflict recurrence </w:t>
      </w:r>
      <w:r w:rsidR="0057765C">
        <w:rPr>
          <w:lang w:val="en-GB"/>
        </w:rPr>
        <w:t>i</w:t>
      </w:r>
      <w:r w:rsidRPr="00B34C19">
        <w:rPr>
          <w:lang w:val="en-GB"/>
        </w:rPr>
        <w:t xml:space="preserve">s the predominant factor of political life in post-conflict states. </w:t>
      </w:r>
      <w:r w:rsidR="004C149B" w:rsidRPr="00B34C19">
        <w:t>The logics of recurrence are multiple, not singular, diverse as opposed to uniform, contradictory rather than consistent.</w:t>
      </w:r>
      <w:r w:rsidR="004C149B" w:rsidRPr="00B34C19">
        <w:rPr>
          <w:lang w:val="en-GB"/>
        </w:rPr>
        <w:t xml:space="preserve"> </w:t>
      </w:r>
      <w:r w:rsidRPr="00B34C19">
        <w:rPr>
          <w:lang w:val="en-GB"/>
        </w:rPr>
        <w:t>Typical aspects of liberal peacebuilding – peace agreements, democracy and/or power-sharing, constitutionalis</w:t>
      </w:r>
      <w:r w:rsidR="00E92C85" w:rsidRPr="00B34C19">
        <w:rPr>
          <w:lang w:val="en-GB"/>
        </w:rPr>
        <w:t>ation</w:t>
      </w:r>
      <w:r w:rsidRPr="00B34C19">
        <w:rPr>
          <w:lang w:val="en-GB"/>
        </w:rPr>
        <w:t xml:space="preserve"> and development </w:t>
      </w:r>
      <w:r w:rsidR="0057765C">
        <w:rPr>
          <w:lang w:val="en-GB"/>
        </w:rPr>
        <w:t xml:space="preserve">- </w:t>
      </w:r>
      <w:r w:rsidRPr="00B34C19">
        <w:rPr>
          <w:lang w:val="en-GB"/>
        </w:rPr>
        <w:t>were insufficient to assuage th</w:t>
      </w:r>
      <w:r w:rsidR="004C149B" w:rsidRPr="00B34C19">
        <w:rPr>
          <w:lang w:val="en-GB"/>
        </w:rPr>
        <w:t>e</w:t>
      </w:r>
      <w:r w:rsidRPr="00B34C19">
        <w:rPr>
          <w:lang w:val="en-GB"/>
        </w:rPr>
        <w:t xml:space="preserve"> fear</w:t>
      </w:r>
      <w:r w:rsidR="004C149B" w:rsidRPr="00B34C19">
        <w:rPr>
          <w:lang w:val="en-GB"/>
        </w:rPr>
        <w:t xml:space="preserve"> of recurrence</w:t>
      </w:r>
      <w:r w:rsidRPr="00B34C19">
        <w:rPr>
          <w:lang w:val="en-GB"/>
        </w:rPr>
        <w:t>.</w:t>
      </w:r>
      <w:r w:rsidR="004C149B" w:rsidRPr="00B34C19">
        <w:rPr>
          <w:lang w:val="en-GB"/>
        </w:rPr>
        <w:t xml:space="preserve"> </w:t>
      </w:r>
      <w:r w:rsidRPr="00B34C19">
        <w:rPr>
          <w:lang w:val="en-GB"/>
        </w:rPr>
        <w:t xml:space="preserve"> They are augmented by two phenomena that prioritise non-recurrence</w:t>
      </w:r>
      <w:r w:rsidR="0057765C">
        <w:rPr>
          <w:lang w:val="en-GB"/>
        </w:rPr>
        <w:t>, namely</w:t>
      </w:r>
      <w:r w:rsidRPr="00B34C19">
        <w:rPr>
          <w:lang w:val="en-GB"/>
        </w:rPr>
        <w:t xml:space="preserve">  GNRs as a</w:t>
      </w:r>
      <w:r w:rsidR="0057765C">
        <w:rPr>
          <w:lang w:val="en-GB"/>
        </w:rPr>
        <w:t>n exceptional</w:t>
      </w:r>
      <w:r w:rsidRPr="00B34C19">
        <w:rPr>
          <w:lang w:val="en-GB"/>
        </w:rPr>
        <w:t xml:space="preserve"> response to conflict and settlements </w:t>
      </w:r>
      <w:r w:rsidR="0057765C">
        <w:rPr>
          <w:lang w:val="en-GB"/>
        </w:rPr>
        <w:t>as</w:t>
      </w:r>
      <w:r w:rsidRPr="00B34C19">
        <w:rPr>
          <w:lang w:val="en-GB"/>
        </w:rPr>
        <w:t xml:space="preserve"> a perpetual feature of political life. </w:t>
      </w:r>
    </w:p>
    <w:p w14:paraId="2DAE373A" w14:textId="486FFC77" w:rsidR="004C149B" w:rsidRPr="00B34C19" w:rsidRDefault="004C149B" w:rsidP="00E65CEB">
      <w:pPr>
        <w:autoSpaceDE w:val="0"/>
        <w:autoSpaceDN w:val="0"/>
        <w:adjustRightInd w:val="0"/>
        <w:spacing w:line="480" w:lineRule="auto"/>
        <w:jc w:val="both"/>
        <w:rPr>
          <w:lang w:val="en-GB"/>
        </w:rPr>
      </w:pPr>
    </w:p>
    <w:p w14:paraId="4FF30595" w14:textId="416FDB79" w:rsidR="0074030C" w:rsidRPr="00B34C19" w:rsidRDefault="0074030C" w:rsidP="00E65CEB">
      <w:pPr>
        <w:spacing w:line="480" w:lineRule="auto"/>
        <w:jc w:val="both"/>
        <w:rPr>
          <w:lang w:val="en-GB"/>
        </w:rPr>
      </w:pPr>
      <w:r w:rsidRPr="00B34C19">
        <w:rPr>
          <w:lang w:val="en-GB"/>
        </w:rPr>
        <w:t>GNRs and settlements acknowledge the conflictual character of state organisation and/or political relation</w:t>
      </w:r>
      <w:r w:rsidR="004C149B" w:rsidRPr="00B34C19">
        <w:rPr>
          <w:lang w:val="en-GB"/>
        </w:rPr>
        <w:t xml:space="preserve">s. Both are premised on the notion that states that endure </w:t>
      </w:r>
      <w:r w:rsidR="004C149B" w:rsidRPr="00B34C19">
        <w:t xml:space="preserve">civil conflict usually manifest systematic institutional problems that catalysed </w:t>
      </w:r>
      <w:r w:rsidR="0057765C">
        <w:t>the</w:t>
      </w:r>
      <w:r w:rsidR="004C149B" w:rsidRPr="00B34C19">
        <w:t xml:space="preserve"> conflict and that make </w:t>
      </w:r>
      <w:r w:rsidR="0057765C">
        <w:t xml:space="preserve">the </w:t>
      </w:r>
      <w:r w:rsidR="004C149B" w:rsidRPr="00B34C19">
        <w:t>post</w:t>
      </w:r>
      <w:r w:rsidR="00E92C85" w:rsidRPr="00B34C19">
        <w:t>-</w:t>
      </w:r>
      <w:r w:rsidR="004C149B" w:rsidRPr="00B34C19">
        <w:t>war</w:t>
      </w:r>
      <w:r w:rsidR="0099482F" w:rsidRPr="00B34C19">
        <w:t xml:space="preserve"> </w:t>
      </w:r>
      <w:r w:rsidR="00E92C85" w:rsidRPr="00B34C19">
        <w:t>dispensation precarious</w:t>
      </w:r>
      <w:r w:rsidR="004C149B" w:rsidRPr="00B34C19">
        <w:t>.</w:t>
      </w:r>
      <w:r w:rsidR="00C433DD" w:rsidRPr="00B34C19">
        <w:t xml:space="preserve"> However, </w:t>
      </w:r>
      <w:r w:rsidRPr="00B34C19">
        <w:rPr>
          <w:lang w:val="en-GB"/>
        </w:rPr>
        <w:t xml:space="preserve">the logics of </w:t>
      </w:r>
      <w:r w:rsidR="00C433DD" w:rsidRPr="00B34C19">
        <w:rPr>
          <w:lang w:val="en-GB"/>
        </w:rPr>
        <w:t>GNRs and settlements</w:t>
      </w:r>
      <w:r w:rsidRPr="00B34C19">
        <w:rPr>
          <w:lang w:val="en-GB"/>
        </w:rPr>
        <w:t xml:space="preserve"> are distinctly different. </w:t>
      </w:r>
      <w:r w:rsidR="0095055D" w:rsidRPr="00B34C19">
        <w:rPr>
          <w:lang w:val="en-GB"/>
        </w:rPr>
        <w:t xml:space="preserve">As Section 2 argued, </w:t>
      </w:r>
      <w:r w:rsidRPr="00B34C19">
        <w:rPr>
          <w:lang w:val="en-GB"/>
        </w:rPr>
        <w:t>GNRs are pragmatic, targeted response</w:t>
      </w:r>
      <w:r w:rsidR="004C149B" w:rsidRPr="00B34C19">
        <w:rPr>
          <w:lang w:val="en-GB"/>
        </w:rPr>
        <w:t>s</w:t>
      </w:r>
      <w:r w:rsidRPr="00B34C19">
        <w:rPr>
          <w:lang w:val="en-GB"/>
        </w:rPr>
        <w:t xml:space="preserve"> to the most </w:t>
      </w:r>
      <w:r w:rsidR="004C149B" w:rsidRPr="00B34C19">
        <w:rPr>
          <w:lang w:val="en-GB"/>
        </w:rPr>
        <w:t>egregious forms of violence and the most proximate source of instability channelled through the state’s institutions.</w:t>
      </w:r>
      <w:r w:rsidR="00C433DD" w:rsidRPr="00B34C19">
        <w:rPr>
          <w:lang w:val="en-GB"/>
        </w:rPr>
        <w:t xml:space="preserve"> While advocates of GNRs are conscious of the state’s weakness and </w:t>
      </w:r>
      <w:r w:rsidR="00E92C85" w:rsidRPr="00B34C19">
        <w:rPr>
          <w:lang w:val="en-GB"/>
        </w:rPr>
        <w:t xml:space="preserve">are </w:t>
      </w:r>
      <w:r w:rsidR="00C433DD" w:rsidRPr="00B34C19">
        <w:rPr>
          <w:lang w:val="en-GB"/>
        </w:rPr>
        <w:t>therefor</w:t>
      </w:r>
      <w:r w:rsidR="00E92C85" w:rsidRPr="00B34C19">
        <w:rPr>
          <w:lang w:val="en-GB"/>
        </w:rPr>
        <w:t>e</w:t>
      </w:r>
      <w:r w:rsidR="00C433DD" w:rsidRPr="00B34C19">
        <w:rPr>
          <w:lang w:val="en-GB"/>
        </w:rPr>
        <w:t xml:space="preserve"> circumspect in ambition in a way that few other elements of TJ are, </w:t>
      </w:r>
      <w:r w:rsidR="00E92C85" w:rsidRPr="00B34C19">
        <w:rPr>
          <w:lang w:val="en-GB"/>
        </w:rPr>
        <w:t>their</w:t>
      </w:r>
      <w:r w:rsidR="00C433DD" w:rsidRPr="00B34C19">
        <w:rPr>
          <w:lang w:val="en-GB"/>
        </w:rPr>
        <w:t xml:space="preserve"> logic is that of an institutional meliorism that insists the future conflict can be averted through safeguards in those arms of the state most associated with </w:t>
      </w:r>
      <w:r w:rsidR="00E92C85" w:rsidRPr="00B34C19">
        <w:rPr>
          <w:lang w:val="en-GB"/>
        </w:rPr>
        <w:t xml:space="preserve">regulating </w:t>
      </w:r>
      <w:r w:rsidR="00C433DD" w:rsidRPr="00B34C19">
        <w:rPr>
          <w:lang w:val="en-GB"/>
        </w:rPr>
        <w:t>violence.</w:t>
      </w:r>
    </w:p>
    <w:p w14:paraId="461CC7C7" w14:textId="5928FEB3" w:rsidR="0099482F" w:rsidRPr="00B34C19" w:rsidRDefault="0099482F" w:rsidP="00E65CEB">
      <w:pPr>
        <w:spacing w:line="480" w:lineRule="auto"/>
        <w:jc w:val="both"/>
        <w:rPr>
          <w:lang w:val="en-GB"/>
        </w:rPr>
      </w:pPr>
    </w:p>
    <w:p w14:paraId="251D58A2" w14:textId="016A12DC" w:rsidR="0099482F" w:rsidRPr="00B34C19" w:rsidRDefault="0095055D" w:rsidP="00E65CEB">
      <w:pPr>
        <w:autoSpaceDE w:val="0"/>
        <w:autoSpaceDN w:val="0"/>
        <w:adjustRightInd w:val="0"/>
        <w:spacing w:line="480" w:lineRule="auto"/>
        <w:jc w:val="both"/>
        <w:rPr>
          <w:lang w:val="en-GB"/>
        </w:rPr>
      </w:pPr>
      <w:r w:rsidRPr="00B34C19">
        <w:rPr>
          <w:lang w:val="en-GB"/>
        </w:rPr>
        <w:t>The examination of s</w:t>
      </w:r>
      <w:r w:rsidR="0099482F" w:rsidRPr="00B34C19">
        <w:rPr>
          <w:lang w:val="en-GB"/>
        </w:rPr>
        <w:t xml:space="preserve">ettlements </w:t>
      </w:r>
      <w:r w:rsidRPr="00B34C19">
        <w:rPr>
          <w:lang w:val="en-GB"/>
        </w:rPr>
        <w:t xml:space="preserve">in Section 3 revealed that they </w:t>
      </w:r>
      <w:r w:rsidR="0099482F" w:rsidRPr="00B34C19">
        <w:rPr>
          <w:lang w:val="en-GB"/>
        </w:rPr>
        <w:t>operate on the basis of a very different logic</w:t>
      </w:r>
      <w:r w:rsidR="00632590" w:rsidRPr="00B34C19">
        <w:rPr>
          <w:lang w:val="en-GB"/>
        </w:rPr>
        <w:t xml:space="preserve"> in which long-term, invariant fears are assuaged through conscious efforts to reshape relationships via </w:t>
      </w:r>
      <w:r w:rsidR="00E92C85" w:rsidRPr="00B34C19">
        <w:rPr>
          <w:lang w:val="en-GB"/>
        </w:rPr>
        <w:t>negotiation</w:t>
      </w:r>
      <w:r w:rsidR="00632590" w:rsidRPr="00B34C19">
        <w:rPr>
          <w:lang w:val="en-GB"/>
        </w:rPr>
        <w:t>, threat of violence and patronage</w:t>
      </w:r>
      <w:r w:rsidR="0099482F" w:rsidRPr="00B34C19">
        <w:rPr>
          <w:lang w:val="en-GB"/>
        </w:rPr>
        <w:t xml:space="preserve">. To the extent </w:t>
      </w:r>
      <w:r w:rsidR="00E92C85" w:rsidRPr="00B34C19">
        <w:rPr>
          <w:lang w:val="en-GB"/>
        </w:rPr>
        <w:t xml:space="preserve">that </w:t>
      </w:r>
      <w:r w:rsidR="0099482F" w:rsidRPr="00B34C19">
        <w:rPr>
          <w:lang w:val="en-GB"/>
        </w:rPr>
        <w:t>they address specific, proven risks GNRs are inherently beneficial, but have hitherto unappreciated limitations in the ‘dynamic world of political will and action that is ordered les by institutions than by personal authorities and power; a world of stratagem and countermeasures, of action and reaction, but without the assured mediation and regulation of effective political institutions</w:t>
      </w:r>
      <w:r w:rsidRPr="00B34C19">
        <w:rPr>
          <w:lang w:val="en-GB"/>
        </w:rPr>
        <w:t>.</w:t>
      </w:r>
      <w:r w:rsidR="0099482F" w:rsidRPr="00B34C19">
        <w:rPr>
          <w:lang w:val="en-GB"/>
        </w:rPr>
        <w:t>’</w:t>
      </w:r>
      <w:r w:rsidRPr="00B34C19">
        <w:rPr>
          <w:rStyle w:val="FootnoteReference"/>
          <w:lang w:val="en-GB"/>
        </w:rPr>
        <w:footnoteReference w:id="182"/>
      </w:r>
      <w:r w:rsidRPr="00B34C19">
        <w:rPr>
          <w:lang w:val="en-GB"/>
        </w:rPr>
        <w:t xml:space="preserve"> By their </w:t>
      </w:r>
      <w:r w:rsidR="0099482F" w:rsidRPr="00B34C19">
        <w:rPr>
          <w:lang w:val="en-GB"/>
        </w:rPr>
        <w:t xml:space="preserve">very nature </w:t>
      </w:r>
      <w:r w:rsidR="00E92C85" w:rsidRPr="00B34C19">
        <w:rPr>
          <w:lang w:val="en-GB"/>
        </w:rPr>
        <w:t xml:space="preserve">GNRs </w:t>
      </w:r>
      <w:r w:rsidR="0099482F" w:rsidRPr="00B34C19">
        <w:rPr>
          <w:lang w:val="en-GB"/>
        </w:rPr>
        <w:t>cannot grapple comprehensively with the hidden, invisible dimensions or political power, and nor can they render the accommodations, patronage and give-and-take exchanges that maintain a long-term settlement redundant.</w:t>
      </w:r>
    </w:p>
    <w:p w14:paraId="14BFF7F7" w14:textId="71DE1039" w:rsidR="0099482F" w:rsidRPr="00B34C19" w:rsidRDefault="0099482F" w:rsidP="00E65CEB">
      <w:pPr>
        <w:spacing w:line="480" w:lineRule="auto"/>
        <w:jc w:val="both"/>
      </w:pPr>
    </w:p>
    <w:p w14:paraId="4FDD1C6D" w14:textId="45CDD85F" w:rsidR="003F4DA0" w:rsidRPr="00B34C19" w:rsidRDefault="0095055D" w:rsidP="00E65CEB">
      <w:pPr>
        <w:autoSpaceDE w:val="0"/>
        <w:autoSpaceDN w:val="0"/>
        <w:adjustRightInd w:val="0"/>
        <w:spacing w:line="480" w:lineRule="auto"/>
        <w:jc w:val="both"/>
      </w:pPr>
      <w:r w:rsidRPr="00B34C19">
        <w:rPr>
          <w:lang w:val="en-GB"/>
        </w:rPr>
        <w:t>For reasons outlined in Section 3, post-conflict states will generally place greater faith in the</w:t>
      </w:r>
      <w:r w:rsidR="00632590" w:rsidRPr="00B34C19">
        <w:rPr>
          <w:lang w:val="en-GB"/>
        </w:rPr>
        <w:t xml:space="preserve"> </w:t>
      </w:r>
      <w:r w:rsidRPr="00B34C19">
        <w:rPr>
          <w:lang w:val="en-GB"/>
        </w:rPr>
        <w:t xml:space="preserve">informal logic of settlements than the institutionalist logic of GNRs. </w:t>
      </w:r>
      <w:r w:rsidR="003F4DA0" w:rsidRPr="00B34C19">
        <w:rPr>
          <w:lang w:val="en-GB"/>
        </w:rPr>
        <w:t xml:space="preserve">To argue that post-conflict elites emphasise socio-political cohesion over even the most obviously pressing institutional reform </w:t>
      </w:r>
      <w:r w:rsidRPr="00B34C19">
        <w:rPr>
          <w:lang w:val="en-GB"/>
        </w:rPr>
        <w:t>is not to argue the</w:t>
      </w:r>
      <w:r w:rsidR="00632590" w:rsidRPr="00B34C19">
        <w:rPr>
          <w:lang w:val="en-GB"/>
        </w:rPr>
        <w:t xml:space="preserve"> </w:t>
      </w:r>
      <w:r w:rsidRPr="00B34C19">
        <w:rPr>
          <w:lang w:val="en-GB"/>
        </w:rPr>
        <w:t>latter ha</w:t>
      </w:r>
      <w:r w:rsidR="003F4DA0" w:rsidRPr="00B34C19">
        <w:rPr>
          <w:lang w:val="en-GB"/>
        </w:rPr>
        <w:t>s</w:t>
      </w:r>
      <w:r w:rsidRPr="00B34C19">
        <w:rPr>
          <w:lang w:val="en-GB"/>
        </w:rPr>
        <w:t xml:space="preserve"> no utility in the short-term or longer term. </w:t>
      </w:r>
      <w:r w:rsidR="003F4DA0" w:rsidRPr="00B34C19">
        <w:rPr>
          <w:lang w:val="en-GB"/>
        </w:rPr>
        <w:t xml:space="preserve">It is not a zero-sum game – both logics can and do co-exist. Current literature on GNRs has not acknowledged this co-existence, so it has not theorised how it can evolve. </w:t>
      </w:r>
      <w:r w:rsidRPr="00B34C19">
        <w:rPr>
          <w:lang w:val="en-GB"/>
        </w:rPr>
        <w:t>Section 4 trac</w:t>
      </w:r>
      <w:r w:rsidR="00E92C85" w:rsidRPr="00B34C19">
        <w:rPr>
          <w:lang w:val="en-GB"/>
        </w:rPr>
        <w:t>ed</w:t>
      </w:r>
      <w:r w:rsidRPr="00B34C19">
        <w:rPr>
          <w:lang w:val="en-GB"/>
        </w:rPr>
        <w:t xml:space="preserve"> a basic explanatory</w:t>
      </w:r>
      <w:r w:rsidR="00632590" w:rsidRPr="00B34C19">
        <w:rPr>
          <w:lang w:val="en-GB"/>
        </w:rPr>
        <w:t xml:space="preserve"> </w:t>
      </w:r>
      <w:r w:rsidRPr="00B34C19">
        <w:rPr>
          <w:lang w:val="en-GB"/>
        </w:rPr>
        <w:t>model of causation best described by Vom Hau as one from ‘conflict to [settlement] coalitions to state capacity’</w:t>
      </w:r>
      <w:r w:rsidR="00DC37BD" w:rsidRPr="00B34C19">
        <w:rPr>
          <w:rStyle w:val="FootnoteReference"/>
          <w:lang w:val="en-GB"/>
        </w:rPr>
        <w:footnoteReference w:id="183"/>
      </w:r>
      <w:r w:rsidRPr="00B34C19">
        <w:rPr>
          <w:lang w:val="en-GB"/>
        </w:rPr>
        <w:t xml:space="preserve"> where GNRs </w:t>
      </w:r>
      <w:r w:rsidR="00632590" w:rsidRPr="00B34C19">
        <w:rPr>
          <w:lang w:val="en-GB"/>
        </w:rPr>
        <w:t>ensure institutions are reformed, but this reform is not necessarily relied</w:t>
      </w:r>
      <w:r w:rsidR="00E92C85" w:rsidRPr="00B34C19">
        <w:rPr>
          <w:lang w:val="en-GB"/>
        </w:rPr>
        <w:t xml:space="preserve"> on</w:t>
      </w:r>
      <w:r w:rsidR="00632590" w:rsidRPr="00B34C19">
        <w:rPr>
          <w:lang w:val="en-GB"/>
        </w:rPr>
        <w:t xml:space="preserve"> </w:t>
      </w:r>
      <w:r w:rsidR="00DC37BD" w:rsidRPr="00B34C19">
        <w:rPr>
          <w:lang w:val="en-GB"/>
        </w:rPr>
        <w:t>where there exists an</w:t>
      </w:r>
      <w:r w:rsidR="00632590" w:rsidRPr="00B34C19">
        <w:rPr>
          <w:lang w:val="en-GB"/>
        </w:rPr>
        <w:t xml:space="preserve"> </w:t>
      </w:r>
      <w:r w:rsidR="00632590" w:rsidRPr="00B34C19">
        <w:rPr>
          <w:color w:val="000000"/>
          <w:lang w:val="en-GB"/>
        </w:rPr>
        <w:t>‘institutional instability trap’ where powerful actors neither rely on institutions nor invest in them</w:t>
      </w:r>
      <w:r w:rsidR="00632590" w:rsidRPr="00B34C19">
        <w:rPr>
          <w:lang w:val="en-GB"/>
        </w:rPr>
        <w:t xml:space="preserve">. GNRs </w:t>
      </w:r>
      <w:r w:rsidR="00DC37BD" w:rsidRPr="00B34C19">
        <w:rPr>
          <w:lang w:val="en-GB"/>
        </w:rPr>
        <w:t xml:space="preserve">may </w:t>
      </w:r>
      <w:r w:rsidR="00632590" w:rsidRPr="00B34C19">
        <w:rPr>
          <w:lang w:val="en-GB"/>
        </w:rPr>
        <w:t xml:space="preserve">become </w:t>
      </w:r>
      <w:r w:rsidRPr="00B34C19">
        <w:rPr>
          <w:lang w:val="en-GB"/>
        </w:rPr>
        <w:t>more causally central to non-recurrence as time goes on, initially complementing and then replacing settlements</w:t>
      </w:r>
      <w:r w:rsidR="00E710BF" w:rsidRPr="00B34C19">
        <w:rPr>
          <w:lang w:val="en-GB"/>
        </w:rPr>
        <w:t xml:space="preserve"> as </w:t>
      </w:r>
      <w:r w:rsidR="00E710BF" w:rsidRPr="00B34C19">
        <w:t xml:space="preserve">mutually exclusive worldviews </w:t>
      </w:r>
      <w:r w:rsidR="00E710BF" w:rsidRPr="00B34C19">
        <w:rPr>
          <w:lang w:val="en-GB"/>
        </w:rPr>
        <w:t>gives way to more iterated forms of competition</w:t>
      </w:r>
      <w:r w:rsidR="00632590" w:rsidRPr="00B34C19">
        <w:rPr>
          <w:lang w:val="en-GB"/>
        </w:rPr>
        <w:t xml:space="preserve">. Where this trajectory is not achieved, GNRs become more immediately relevant but, nomenclature notwithstanding, cannot </w:t>
      </w:r>
      <w:r w:rsidR="00632590" w:rsidRPr="00B34C19">
        <w:rPr>
          <w:i/>
          <w:iCs/>
          <w:lang w:val="en-GB"/>
        </w:rPr>
        <w:t>guarantee</w:t>
      </w:r>
      <w:r w:rsidR="00632590" w:rsidRPr="00B34C19">
        <w:rPr>
          <w:lang w:val="en-GB"/>
        </w:rPr>
        <w:t xml:space="preserve"> non-recurrence. Nothing can.</w:t>
      </w:r>
      <w:r w:rsidR="003F4DA0" w:rsidRPr="00B34C19">
        <w:rPr>
          <w:lang w:val="en-GB"/>
        </w:rPr>
        <w:t xml:space="preserve">  TJ theorists should be open to the possibility that </w:t>
      </w:r>
      <w:r w:rsidR="003F4DA0" w:rsidRPr="00B34C19">
        <w:t>GNRs are the fruit, not the precondition, of social order.</w:t>
      </w:r>
    </w:p>
    <w:p w14:paraId="6DB6ACFF" w14:textId="709873A3" w:rsidR="0095055D" w:rsidRPr="00B34C19" w:rsidRDefault="0095055D" w:rsidP="00E65CEB">
      <w:pPr>
        <w:autoSpaceDE w:val="0"/>
        <w:autoSpaceDN w:val="0"/>
        <w:adjustRightInd w:val="0"/>
        <w:spacing w:line="480" w:lineRule="auto"/>
        <w:jc w:val="both"/>
        <w:rPr>
          <w:lang w:val="en-GB"/>
        </w:rPr>
      </w:pPr>
    </w:p>
    <w:p w14:paraId="029007CD" w14:textId="209B2411" w:rsidR="00E710BF" w:rsidRPr="00B34C19" w:rsidRDefault="00E710BF" w:rsidP="00E65CEB">
      <w:pPr>
        <w:autoSpaceDE w:val="0"/>
        <w:autoSpaceDN w:val="0"/>
        <w:adjustRightInd w:val="0"/>
        <w:spacing w:line="480" w:lineRule="auto"/>
        <w:jc w:val="both"/>
      </w:pPr>
      <w:r w:rsidRPr="00B34C19">
        <w:t>The question for current practice and research on the politics of GNRs, the</w:t>
      </w:r>
      <w:r w:rsidR="00DC37BD" w:rsidRPr="00B34C19">
        <w:t>re</w:t>
      </w:r>
      <w:r w:rsidRPr="00B34C19">
        <w:t xml:space="preserve">fore, is to devise a coherent way of operationalising the core insights of settlement theory in ways that enable a clearer sense of when and how GNRs matter in preventing recurrence. A more complete reading of the politics of GNR demands </w:t>
      </w:r>
      <w:r w:rsidRPr="00B34C19">
        <w:rPr>
          <w:lang w:val="en-GB"/>
        </w:rPr>
        <w:t xml:space="preserve">recognition of heterodox paths forward unfamiliar from the formal logics of the OECD world. </w:t>
      </w:r>
      <w:r w:rsidRPr="00B34C19">
        <w:t>This requires greater consideration of where GNRs fit in terms of the existential fears of conflict antagonists, their evolving faith in institutions and the ways in which relevant actors are embedded in state-society relation</w:t>
      </w:r>
      <w:r w:rsidR="00DC37BD" w:rsidRPr="00B34C19">
        <w:t>s</w:t>
      </w:r>
      <w:r w:rsidRPr="00B34C19">
        <w:t>.</w:t>
      </w:r>
    </w:p>
    <w:p w14:paraId="3D1A4ADC" w14:textId="3C898418" w:rsidR="005A53D4" w:rsidRDefault="005A53D4" w:rsidP="00E65CEB">
      <w:pPr>
        <w:autoSpaceDE w:val="0"/>
        <w:autoSpaceDN w:val="0"/>
        <w:adjustRightInd w:val="0"/>
        <w:spacing w:line="480" w:lineRule="auto"/>
        <w:rPr>
          <w:lang w:val="en-GB"/>
        </w:rPr>
      </w:pPr>
    </w:p>
    <w:p w14:paraId="29DAB0A9" w14:textId="47F4040D" w:rsidR="005A53D4" w:rsidRPr="00B34C19" w:rsidRDefault="005A53D4" w:rsidP="00E65CEB">
      <w:pPr>
        <w:autoSpaceDE w:val="0"/>
        <w:autoSpaceDN w:val="0"/>
        <w:adjustRightInd w:val="0"/>
        <w:spacing w:line="480" w:lineRule="auto"/>
        <w:rPr>
          <w:lang w:val="en-GB"/>
        </w:rPr>
      </w:pPr>
    </w:p>
    <w:p w14:paraId="430613C5" w14:textId="77777777" w:rsidR="001472C6" w:rsidRPr="00B34C19" w:rsidRDefault="001472C6" w:rsidP="00E65CEB">
      <w:pPr>
        <w:autoSpaceDE w:val="0"/>
        <w:autoSpaceDN w:val="0"/>
        <w:adjustRightInd w:val="0"/>
        <w:spacing w:line="480" w:lineRule="auto"/>
        <w:rPr>
          <w:lang w:val="en-GB"/>
        </w:rPr>
      </w:pPr>
    </w:p>
    <w:p w14:paraId="34B6AC1F" w14:textId="45E15DE2" w:rsidR="005A53D4" w:rsidRPr="00B34C19" w:rsidRDefault="005A53D4" w:rsidP="00E65CEB">
      <w:pPr>
        <w:autoSpaceDE w:val="0"/>
        <w:autoSpaceDN w:val="0"/>
        <w:adjustRightInd w:val="0"/>
        <w:spacing w:line="480" w:lineRule="auto"/>
        <w:rPr>
          <w:lang w:val="en-GB"/>
        </w:rPr>
      </w:pPr>
    </w:p>
    <w:p w14:paraId="30B02667" w14:textId="70BE1CF3" w:rsidR="004B557A" w:rsidRPr="00B34C19" w:rsidRDefault="004B557A" w:rsidP="00E65CEB">
      <w:pPr>
        <w:autoSpaceDE w:val="0"/>
        <w:autoSpaceDN w:val="0"/>
        <w:adjustRightInd w:val="0"/>
        <w:spacing w:line="480" w:lineRule="auto"/>
        <w:rPr>
          <w:lang w:val="en-GB"/>
        </w:rPr>
      </w:pPr>
    </w:p>
    <w:p w14:paraId="0755691E" w14:textId="218176B7" w:rsidR="00027949" w:rsidRPr="00B34C19" w:rsidRDefault="009E400A" w:rsidP="00E65CEB">
      <w:pPr>
        <w:autoSpaceDE w:val="0"/>
        <w:autoSpaceDN w:val="0"/>
        <w:adjustRightInd w:val="0"/>
        <w:spacing w:line="480" w:lineRule="auto"/>
        <w:rPr>
          <w:lang w:val="en-GB"/>
        </w:rPr>
      </w:pPr>
      <w:r w:rsidRPr="00B34C19">
        <w:rPr>
          <w:lang w:val="en-GB"/>
        </w:rPr>
        <w:t xml:space="preserve"> </w:t>
      </w:r>
    </w:p>
    <w:p w14:paraId="27F2D1AD" w14:textId="77777777" w:rsidR="00027949" w:rsidRPr="00B34C19" w:rsidRDefault="00027949" w:rsidP="00E65CEB">
      <w:pPr>
        <w:autoSpaceDE w:val="0"/>
        <w:autoSpaceDN w:val="0"/>
        <w:adjustRightInd w:val="0"/>
        <w:spacing w:line="480" w:lineRule="auto"/>
        <w:rPr>
          <w:lang w:val="en-GB"/>
        </w:rPr>
      </w:pPr>
    </w:p>
    <w:p w14:paraId="5356AB06" w14:textId="3EEBD820" w:rsidR="005A53D4" w:rsidRPr="00B34C19" w:rsidRDefault="005A53D4" w:rsidP="00E65CEB">
      <w:pPr>
        <w:autoSpaceDE w:val="0"/>
        <w:autoSpaceDN w:val="0"/>
        <w:adjustRightInd w:val="0"/>
        <w:spacing w:line="480" w:lineRule="auto"/>
        <w:rPr>
          <w:lang w:val="en-GB"/>
        </w:rPr>
      </w:pPr>
    </w:p>
    <w:p w14:paraId="3D76EB71" w14:textId="16331696" w:rsidR="00D32164" w:rsidRPr="00B34C19" w:rsidRDefault="00D32164" w:rsidP="00E65CEB">
      <w:pPr>
        <w:autoSpaceDE w:val="0"/>
        <w:autoSpaceDN w:val="0"/>
        <w:adjustRightInd w:val="0"/>
        <w:spacing w:line="480" w:lineRule="auto"/>
        <w:rPr>
          <w:lang w:val="en-GB"/>
        </w:rPr>
      </w:pPr>
    </w:p>
    <w:p w14:paraId="72768918" w14:textId="487660D8" w:rsidR="006D454F" w:rsidRPr="00B34C19" w:rsidRDefault="006D454F" w:rsidP="00E65CEB">
      <w:pPr>
        <w:spacing w:line="480" w:lineRule="auto"/>
        <w:rPr>
          <w:rFonts w:ascii="Arial" w:hAnsi="Arial" w:cs="Arial"/>
        </w:rPr>
      </w:pPr>
    </w:p>
    <w:p w14:paraId="22BECB28" w14:textId="573F33D5" w:rsidR="005A53D4" w:rsidRPr="00B34C19" w:rsidRDefault="005A53D4" w:rsidP="00E65CEB">
      <w:pPr>
        <w:autoSpaceDE w:val="0"/>
        <w:autoSpaceDN w:val="0"/>
        <w:adjustRightInd w:val="0"/>
        <w:spacing w:line="480" w:lineRule="auto"/>
        <w:rPr>
          <w:lang w:val="en-GB"/>
        </w:rPr>
      </w:pPr>
    </w:p>
    <w:p w14:paraId="0CC580D6" w14:textId="0FEC449F" w:rsidR="005A53D4" w:rsidRPr="00B34C19" w:rsidRDefault="005A53D4" w:rsidP="00E65CEB">
      <w:pPr>
        <w:autoSpaceDE w:val="0"/>
        <w:autoSpaceDN w:val="0"/>
        <w:adjustRightInd w:val="0"/>
        <w:spacing w:line="480" w:lineRule="auto"/>
        <w:rPr>
          <w:lang w:val="en-GB"/>
        </w:rPr>
      </w:pPr>
    </w:p>
    <w:p w14:paraId="7611480C" w14:textId="20D2AEB0" w:rsidR="005A53D4" w:rsidRPr="00B34C19" w:rsidRDefault="005A53D4" w:rsidP="00E65CEB">
      <w:pPr>
        <w:autoSpaceDE w:val="0"/>
        <w:autoSpaceDN w:val="0"/>
        <w:adjustRightInd w:val="0"/>
        <w:spacing w:line="480" w:lineRule="auto"/>
        <w:rPr>
          <w:lang w:val="en-GB"/>
        </w:rPr>
      </w:pPr>
    </w:p>
    <w:p w14:paraId="6ABE6E1D" w14:textId="77777777" w:rsidR="005A53D4" w:rsidRPr="00B34C19" w:rsidRDefault="005A53D4" w:rsidP="00E65CEB">
      <w:pPr>
        <w:autoSpaceDE w:val="0"/>
        <w:autoSpaceDN w:val="0"/>
        <w:adjustRightInd w:val="0"/>
        <w:spacing w:line="480" w:lineRule="auto"/>
        <w:rPr>
          <w:lang w:val="en-GB"/>
        </w:rPr>
      </w:pPr>
    </w:p>
    <w:p w14:paraId="4D84625D" w14:textId="77777777" w:rsidR="005A53D4" w:rsidRPr="00B34C19" w:rsidRDefault="005A53D4" w:rsidP="00E65CEB">
      <w:pPr>
        <w:autoSpaceDE w:val="0"/>
        <w:autoSpaceDN w:val="0"/>
        <w:adjustRightInd w:val="0"/>
        <w:spacing w:line="480" w:lineRule="auto"/>
        <w:rPr>
          <w:lang w:val="en-GB"/>
        </w:rPr>
      </w:pPr>
    </w:p>
    <w:sectPr w:rsidR="005A53D4" w:rsidRPr="00B34C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A74F" w14:textId="77777777" w:rsidR="00122425" w:rsidRDefault="00122425" w:rsidP="0050755A">
      <w:r>
        <w:separator/>
      </w:r>
    </w:p>
  </w:endnote>
  <w:endnote w:type="continuationSeparator" w:id="0">
    <w:p w14:paraId="2D7B0B12" w14:textId="77777777" w:rsidR="00122425" w:rsidRDefault="00122425" w:rsidP="0050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de">
    <w:altName w:val="Calibri"/>
    <w:panose1 w:val="020B0604020202020204"/>
    <w:charset w:val="00"/>
    <w:family w:val="swiss"/>
    <w:notTrueType/>
    <w:pitch w:val="default"/>
    <w:sig w:usb0="00000003" w:usb1="00000000" w:usb2="00000000" w:usb3="00000000" w:csb0="00000001" w:csb1="00000000"/>
  </w:font>
  <w:font w:name="Saira">
    <w:altName w:val="Saira"/>
    <w:panose1 w:val="020B0604020202020204"/>
    <w:charset w:val="00"/>
    <w:family w:val="swiss"/>
    <w:notTrueType/>
    <w:pitch w:val="default"/>
    <w:sig w:usb0="00000003" w:usb1="00000000" w:usb2="00000000" w:usb3="00000000" w:csb0="00000001" w:csb1="00000000"/>
  </w:font>
  <w:font w:name="Saira ExtraLight Italic">
    <w:altName w:val="Calibri"/>
    <w:panose1 w:val="020B0604020202020204"/>
    <w:charset w:val="00"/>
    <w:family w:val="swiss"/>
    <w:notTrueType/>
    <w:pitch w:val="default"/>
    <w:sig w:usb0="00000003" w:usb1="00000000" w:usb2="00000000" w:usb3="00000000" w:csb0="00000001" w:csb1="00000000"/>
  </w:font>
  <w:font w:name="Saira Light">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27E24" w14:textId="77777777" w:rsidR="00122425" w:rsidRDefault="00122425" w:rsidP="0050755A">
      <w:r>
        <w:separator/>
      </w:r>
    </w:p>
  </w:footnote>
  <w:footnote w:type="continuationSeparator" w:id="0">
    <w:p w14:paraId="56A76A5D" w14:textId="77777777" w:rsidR="00122425" w:rsidRDefault="00122425" w:rsidP="0050755A">
      <w:r>
        <w:continuationSeparator/>
      </w:r>
    </w:p>
  </w:footnote>
  <w:footnote w:id="1">
    <w:p w14:paraId="4ADE8311" w14:textId="07872A58" w:rsidR="004C66E2" w:rsidRPr="00CF7716" w:rsidRDefault="004C66E2"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J Jarland </w:t>
      </w:r>
      <w:r w:rsidRPr="00CF7716">
        <w:rPr>
          <w:i/>
          <w:iCs/>
          <w:color w:val="000000" w:themeColor="text1"/>
          <w:sz w:val="20"/>
          <w:szCs w:val="20"/>
        </w:rPr>
        <w:t>et al</w:t>
      </w:r>
      <w:r w:rsidRPr="00CF7716">
        <w:rPr>
          <w:color w:val="000000" w:themeColor="text1"/>
          <w:sz w:val="20"/>
          <w:szCs w:val="20"/>
        </w:rPr>
        <w:t>, ‘How Should We Understand Patterns of Recurring Conflict?’ (2020) PRIO Conflict Trends</w:t>
      </w:r>
      <w:r w:rsidR="005167C5" w:rsidRPr="00CF7716">
        <w:rPr>
          <w:color w:val="000000" w:themeColor="text1"/>
          <w:sz w:val="20"/>
          <w:szCs w:val="20"/>
        </w:rPr>
        <w:t xml:space="preserve"> 2 &lt;</w:t>
      </w:r>
      <w:hyperlink r:id="rId1" w:history="1">
        <w:r w:rsidR="005167C5" w:rsidRPr="00CF7716">
          <w:rPr>
            <w:rStyle w:val="Hyperlink"/>
            <w:color w:val="000000" w:themeColor="text1"/>
            <w:sz w:val="20"/>
            <w:szCs w:val="20"/>
            <w:u w:val="none"/>
          </w:rPr>
          <w:t>https://www.prio.org/download/publicationfile/2051/Jarland%20et%20al%20-%20How%20Should%20We%20Understand%20Recurring%20Conflicts,%20Conflict%20Trends%203-2020.pdf</w:t>
        </w:r>
      </w:hyperlink>
      <w:r w:rsidR="005167C5" w:rsidRPr="00CF7716">
        <w:rPr>
          <w:color w:val="000000" w:themeColor="text1"/>
          <w:sz w:val="20"/>
          <w:szCs w:val="20"/>
        </w:rPr>
        <w:t xml:space="preserve">&gt; </w:t>
      </w:r>
      <w:r w:rsidR="005167C5" w:rsidRPr="00BF4C22">
        <w:rPr>
          <w:color w:val="000000" w:themeColor="text1"/>
          <w:sz w:val="20"/>
          <w:szCs w:val="20"/>
        </w:rPr>
        <w:t xml:space="preserve">accessed </w:t>
      </w:r>
      <w:r w:rsidR="005A1075">
        <w:rPr>
          <w:color w:val="000000" w:themeColor="text1"/>
          <w:sz w:val="20"/>
          <w:szCs w:val="20"/>
        </w:rPr>
        <w:t>12</w:t>
      </w:r>
      <w:r w:rsidR="00BF4C22" w:rsidRPr="00BF4C22">
        <w:rPr>
          <w:color w:val="000000" w:themeColor="text1"/>
          <w:sz w:val="20"/>
          <w:szCs w:val="20"/>
        </w:rPr>
        <w:t xml:space="preserve"> July 2022</w:t>
      </w:r>
      <w:r w:rsidRPr="00BF4C22">
        <w:rPr>
          <w:color w:val="000000" w:themeColor="text1"/>
          <w:sz w:val="20"/>
          <w:szCs w:val="20"/>
        </w:rPr>
        <w:t>.</w:t>
      </w:r>
    </w:p>
  </w:footnote>
  <w:footnote w:id="2">
    <w:p w14:paraId="39A7E7F9" w14:textId="4D609353" w:rsidR="004522EC" w:rsidRPr="00CF7716" w:rsidRDefault="004522EC"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Pr="00CF7716">
        <w:rPr>
          <w:color w:val="000000" w:themeColor="text1"/>
          <w:sz w:val="20"/>
          <w:szCs w:val="20"/>
          <w:lang w:val="en-GB"/>
        </w:rPr>
        <w:t xml:space="preserve">B Walter, </w:t>
      </w:r>
      <w:r w:rsidR="006861BC" w:rsidRPr="00CF7716">
        <w:rPr>
          <w:color w:val="000000" w:themeColor="text1"/>
          <w:sz w:val="20"/>
          <w:szCs w:val="20"/>
          <w:lang w:val="en-GB"/>
        </w:rPr>
        <w:t>‘</w:t>
      </w:r>
      <w:r w:rsidRPr="00CF7716">
        <w:rPr>
          <w:color w:val="000000" w:themeColor="text1"/>
          <w:sz w:val="20"/>
          <w:szCs w:val="20"/>
          <w:lang w:val="en-GB"/>
        </w:rPr>
        <w:t>Bargaining Failures and Civil War</w:t>
      </w:r>
      <w:r w:rsidR="004A262C" w:rsidRPr="00CF7716">
        <w:rPr>
          <w:color w:val="000000" w:themeColor="text1"/>
          <w:sz w:val="20"/>
          <w:szCs w:val="20"/>
          <w:lang w:val="en-GB"/>
        </w:rPr>
        <w:t xml:space="preserve">’ </w:t>
      </w:r>
      <w:r w:rsidRPr="00CF7716">
        <w:rPr>
          <w:color w:val="000000" w:themeColor="text1"/>
          <w:sz w:val="20"/>
          <w:szCs w:val="20"/>
          <w:lang w:val="en-GB"/>
        </w:rPr>
        <w:t xml:space="preserve">(2009) 12 </w:t>
      </w:r>
      <w:r w:rsidR="004A262C" w:rsidRPr="00CF7716">
        <w:rPr>
          <w:i/>
          <w:iCs/>
          <w:color w:val="000000" w:themeColor="text1"/>
          <w:sz w:val="20"/>
          <w:szCs w:val="20"/>
        </w:rPr>
        <w:t>Annual Review of Political Science</w:t>
      </w:r>
      <w:r w:rsidR="004A262C" w:rsidRPr="00CF7716">
        <w:rPr>
          <w:color w:val="000000" w:themeColor="text1"/>
          <w:sz w:val="20"/>
          <w:szCs w:val="20"/>
        </w:rPr>
        <w:t xml:space="preserve"> </w:t>
      </w:r>
      <w:r w:rsidRPr="00CF7716">
        <w:rPr>
          <w:color w:val="000000" w:themeColor="text1"/>
          <w:sz w:val="20"/>
          <w:szCs w:val="20"/>
          <w:lang w:val="en-GB"/>
        </w:rPr>
        <w:t>243</w:t>
      </w:r>
      <w:r w:rsidR="004A262C" w:rsidRPr="00CF7716">
        <w:rPr>
          <w:color w:val="000000" w:themeColor="text1"/>
          <w:sz w:val="20"/>
          <w:szCs w:val="20"/>
          <w:lang w:val="en-GB"/>
        </w:rPr>
        <w:t>, 246</w:t>
      </w:r>
      <w:r w:rsidRPr="00CF7716">
        <w:rPr>
          <w:color w:val="000000" w:themeColor="text1"/>
          <w:sz w:val="20"/>
          <w:szCs w:val="20"/>
          <w:lang w:val="en-GB"/>
        </w:rPr>
        <w:t>.</w:t>
      </w:r>
    </w:p>
  </w:footnote>
  <w:footnote w:id="3">
    <w:p w14:paraId="7C85AF25" w14:textId="4ED7BDDF" w:rsidR="00F456EE" w:rsidRPr="00CF7716" w:rsidRDefault="00F456EE" w:rsidP="00E65CEB">
      <w:pPr>
        <w:autoSpaceDE w:val="0"/>
        <w:autoSpaceDN w:val="0"/>
        <w:adjustRightInd w:val="0"/>
        <w:spacing w:line="480" w:lineRule="auto"/>
        <w:rPr>
          <w:color w:val="000000" w:themeColor="text1"/>
          <w:sz w:val="20"/>
          <w:szCs w:val="20"/>
          <w:lang w:val="en-GB"/>
        </w:rPr>
      </w:pPr>
      <w:r w:rsidRPr="00CF7716">
        <w:rPr>
          <w:rStyle w:val="FootnoteReference"/>
          <w:color w:val="000000" w:themeColor="text1"/>
          <w:sz w:val="20"/>
          <w:szCs w:val="20"/>
        </w:rPr>
        <w:footnoteRef/>
      </w:r>
      <w:r w:rsidRPr="00CF7716">
        <w:rPr>
          <w:color w:val="000000" w:themeColor="text1"/>
          <w:sz w:val="20"/>
          <w:szCs w:val="20"/>
        </w:rPr>
        <w:t xml:space="preserve"> M Lake, ‘</w:t>
      </w:r>
      <w:r w:rsidRPr="00CF7716">
        <w:rPr>
          <w:color w:val="000000" w:themeColor="text1"/>
          <w:sz w:val="20"/>
          <w:szCs w:val="20"/>
          <w:lang w:val="en-GB"/>
        </w:rPr>
        <w:t>Building the Rule of War: Postconflict Institutions and the Micro-Dynamics of Conflict in Eastern DR Congo</w:t>
      </w:r>
      <w:r w:rsidRPr="00CF7716">
        <w:rPr>
          <w:color w:val="000000" w:themeColor="text1"/>
          <w:sz w:val="20"/>
          <w:szCs w:val="20"/>
        </w:rPr>
        <w:t xml:space="preserve">’ (2017) 71 </w:t>
      </w:r>
      <w:r w:rsidRPr="00EA1AC8">
        <w:rPr>
          <w:i/>
          <w:iCs/>
          <w:color w:val="000000" w:themeColor="text1"/>
          <w:sz w:val="20"/>
          <w:szCs w:val="20"/>
          <w:lang w:val="en-GB"/>
        </w:rPr>
        <w:t>International Organization</w:t>
      </w:r>
      <w:r w:rsidRPr="00CF7716">
        <w:rPr>
          <w:color w:val="000000" w:themeColor="text1"/>
          <w:sz w:val="20"/>
          <w:szCs w:val="20"/>
          <w:lang w:val="en-GB"/>
        </w:rPr>
        <w:t xml:space="preserve"> 281, 284.</w:t>
      </w:r>
    </w:p>
  </w:footnote>
  <w:footnote w:id="4">
    <w:p w14:paraId="5165D2A0" w14:textId="27963411" w:rsidR="00BB41E5" w:rsidRPr="00CF7716" w:rsidRDefault="00BB41E5"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825441" w:rsidRPr="00CF7716">
        <w:rPr>
          <w:color w:val="000000" w:themeColor="text1"/>
          <w:sz w:val="20"/>
          <w:szCs w:val="20"/>
        </w:rPr>
        <w:t xml:space="preserve">See L Freedman, </w:t>
      </w:r>
      <w:r w:rsidR="00825441" w:rsidRPr="00CF7716">
        <w:rPr>
          <w:i/>
          <w:iCs/>
          <w:color w:val="000000" w:themeColor="text1"/>
          <w:sz w:val="20"/>
          <w:szCs w:val="20"/>
        </w:rPr>
        <w:t>The Future of War: A History</w:t>
      </w:r>
      <w:r w:rsidR="00825441" w:rsidRPr="00CF7716">
        <w:rPr>
          <w:color w:val="000000" w:themeColor="text1"/>
          <w:sz w:val="20"/>
          <w:szCs w:val="20"/>
        </w:rPr>
        <w:t xml:space="preserve"> (</w:t>
      </w:r>
      <w:r w:rsidR="00E26B93">
        <w:rPr>
          <w:color w:val="000000" w:themeColor="text1"/>
          <w:sz w:val="20"/>
          <w:szCs w:val="20"/>
        </w:rPr>
        <w:t xml:space="preserve">London, </w:t>
      </w:r>
      <w:r w:rsidR="00825441" w:rsidRPr="00CF7716">
        <w:rPr>
          <w:color w:val="000000" w:themeColor="text1"/>
          <w:sz w:val="20"/>
          <w:szCs w:val="20"/>
        </w:rPr>
        <w:t>Hachette</w:t>
      </w:r>
      <w:r w:rsidR="00E26B93">
        <w:rPr>
          <w:color w:val="000000" w:themeColor="text1"/>
          <w:sz w:val="20"/>
          <w:szCs w:val="20"/>
        </w:rPr>
        <w:t>,</w:t>
      </w:r>
      <w:r w:rsidR="00825441" w:rsidRPr="00CF7716">
        <w:rPr>
          <w:color w:val="000000" w:themeColor="text1"/>
          <w:sz w:val="20"/>
          <w:szCs w:val="20"/>
        </w:rPr>
        <w:t xml:space="preserve"> 2017), 217 for a </w:t>
      </w:r>
      <w:r w:rsidR="00671DB4" w:rsidRPr="00CF7716">
        <w:rPr>
          <w:color w:val="000000" w:themeColor="text1"/>
          <w:sz w:val="20"/>
          <w:szCs w:val="20"/>
        </w:rPr>
        <w:t>brief summary</w:t>
      </w:r>
      <w:r w:rsidR="00825441" w:rsidRPr="00CF7716">
        <w:rPr>
          <w:color w:val="000000" w:themeColor="text1"/>
          <w:sz w:val="20"/>
          <w:szCs w:val="20"/>
        </w:rPr>
        <w:t xml:space="preserve"> of the literature.</w:t>
      </w:r>
    </w:p>
  </w:footnote>
  <w:footnote w:id="5">
    <w:p w14:paraId="58E950E2" w14:textId="370E2029" w:rsidR="00BB41E5" w:rsidRPr="00CF7716" w:rsidRDefault="00BB41E5"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O</w:t>
      </w:r>
      <w:r w:rsidR="009E6433" w:rsidRPr="00CF7716">
        <w:rPr>
          <w:rFonts w:ascii="Times New Roman" w:hAnsi="Times New Roman" w:cs="Times New Roman"/>
          <w:color w:val="000000" w:themeColor="text1"/>
        </w:rPr>
        <w:t xml:space="preserve">rganisation for </w:t>
      </w:r>
      <w:r w:rsidRPr="00CF7716">
        <w:rPr>
          <w:rFonts w:ascii="Times New Roman" w:hAnsi="Times New Roman" w:cs="Times New Roman"/>
          <w:color w:val="000000" w:themeColor="text1"/>
        </w:rPr>
        <w:t>E</w:t>
      </w:r>
      <w:r w:rsidR="009E6433" w:rsidRPr="00CF7716">
        <w:rPr>
          <w:rFonts w:ascii="Times New Roman" w:hAnsi="Times New Roman" w:cs="Times New Roman"/>
          <w:color w:val="000000" w:themeColor="text1"/>
        </w:rPr>
        <w:t xml:space="preserve">conomic </w:t>
      </w:r>
      <w:r w:rsidRPr="00CF7716">
        <w:rPr>
          <w:rFonts w:ascii="Times New Roman" w:hAnsi="Times New Roman" w:cs="Times New Roman"/>
          <w:color w:val="000000" w:themeColor="text1"/>
        </w:rPr>
        <w:t>C</w:t>
      </w:r>
      <w:r w:rsidR="009E6433" w:rsidRPr="00CF7716">
        <w:rPr>
          <w:rFonts w:ascii="Times New Roman" w:hAnsi="Times New Roman" w:cs="Times New Roman"/>
          <w:color w:val="000000" w:themeColor="text1"/>
        </w:rPr>
        <w:t xml:space="preserve">o-operation and </w:t>
      </w:r>
      <w:r w:rsidRPr="00CF7716">
        <w:rPr>
          <w:rFonts w:ascii="Times New Roman" w:hAnsi="Times New Roman" w:cs="Times New Roman"/>
          <w:color w:val="000000" w:themeColor="text1"/>
        </w:rPr>
        <w:t>D</w:t>
      </w:r>
      <w:r w:rsidR="009E6433" w:rsidRPr="00CF7716">
        <w:rPr>
          <w:rFonts w:ascii="Times New Roman" w:hAnsi="Times New Roman" w:cs="Times New Roman"/>
          <w:color w:val="000000" w:themeColor="text1"/>
        </w:rPr>
        <w:t>evelopment</w:t>
      </w:r>
      <w:r w:rsidRPr="00CF7716">
        <w:rPr>
          <w:rFonts w:ascii="Times New Roman" w:hAnsi="Times New Roman" w:cs="Times New Roman"/>
          <w:color w:val="000000" w:themeColor="text1"/>
        </w:rPr>
        <w:t xml:space="preserve">, </w:t>
      </w:r>
      <w:r w:rsidRPr="00CF7716">
        <w:rPr>
          <w:rFonts w:ascii="Times New Roman" w:hAnsi="Times New Roman" w:cs="Times New Roman"/>
          <w:i/>
          <w:iCs/>
          <w:color w:val="000000" w:themeColor="text1"/>
        </w:rPr>
        <w:t xml:space="preserve">From Power Struggles to Sustainable Peace: Understanding Political Settlements </w:t>
      </w:r>
      <w:r w:rsidRPr="00CF7716">
        <w:rPr>
          <w:rFonts w:ascii="Times New Roman" w:hAnsi="Times New Roman" w:cs="Times New Roman"/>
          <w:color w:val="000000" w:themeColor="text1"/>
        </w:rPr>
        <w:t>(</w:t>
      </w:r>
      <w:r w:rsidR="001B0317" w:rsidRPr="00CF7716">
        <w:rPr>
          <w:rFonts w:ascii="Times New Roman" w:hAnsi="Times New Roman" w:cs="Times New Roman"/>
          <w:color w:val="000000" w:themeColor="text1"/>
        </w:rPr>
        <w:t xml:space="preserve">OECD </w:t>
      </w:r>
      <w:r w:rsidR="009E6433" w:rsidRPr="00CF7716">
        <w:rPr>
          <w:rFonts w:ascii="Times New Roman" w:hAnsi="Times New Roman" w:cs="Times New Roman"/>
          <w:color w:val="000000" w:themeColor="text1"/>
        </w:rPr>
        <w:t>2011</w:t>
      </w:r>
      <w:r w:rsidRPr="00CF7716">
        <w:rPr>
          <w:rFonts w:ascii="Times New Roman" w:hAnsi="Times New Roman" w:cs="Times New Roman"/>
          <w:color w:val="000000" w:themeColor="text1"/>
        </w:rPr>
        <w:t>)</w:t>
      </w:r>
      <w:r w:rsidR="009E6433" w:rsidRPr="00CF7716">
        <w:rPr>
          <w:rFonts w:ascii="Times New Roman" w:hAnsi="Times New Roman" w:cs="Times New Roman"/>
          <w:color w:val="000000" w:themeColor="text1"/>
        </w:rPr>
        <w:t xml:space="preserve"> 30</w:t>
      </w:r>
      <w:r w:rsidR="001B0317" w:rsidRPr="00CF7716">
        <w:rPr>
          <w:rFonts w:ascii="Times New Roman" w:hAnsi="Times New Roman" w:cs="Times New Roman"/>
          <w:color w:val="000000" w:themeColor="text1"/>
        </w:rPr>
        <w:t>.</w:t>
      </w:r>
    </w:p>
  </w:footnote>
  <w:footnote w:id="6">
    <w:p w14:paraId="1B40132E" w14:textId="0D674F9A" w:rsidR="006558F9" w:rsidRPr="00CF7716" w:rsidRDefault="006558F9"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Lake</w:t>
      </w:r>
      <w:r w:rsidR="00C13558" w:rsidRPr="00CF7716">
        <w:rPr>
          <w:rFonts w:ascii="Times New Roman" w:hAnsi="Times New Roman" w:cs="Times New Roman"/>
          <w:color w:val="000000" w:themeColor="text1"/>
        </w:rPr>
        <w:t xml:space="preserve"> (n 3) </w:t>
      </w:r>
      <w:r w:rsidRPr="00CF7716">
        <w:rPr>
          <w:rFonts w:ascii="Times New Roman" w:hAnsi="Times New Roman" w:cs="Times New Roman"/>
          <w:color w:val="000000" w:themeColor="text1"/>
        </w:rPr>
        <w:t>287.</w:t>
      </w:r>
    </w:p>
  </w:footnote>
  <w:footnote w:id="7">
    <w:p w14:paraId="492CC7D7" w14:textId="5FD7E960" w:rsidR="00EE156B" w:rsidRPr="00CF7716" w:rsidRDefault="00EE156B"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001B0317" w:rsidRPr="00CF7716">
        <w:rPr>
          <w:rFonts w:ascii="Times New Roman" w:hAnsi="Times New Roman" w:cs="Times New Roman"/>
          <w:color w:val="000000" w:themeColor="text1"/>
        </w:rPr>
        <w:t xml:space="preserve">P Collier </w:t>
      </w:r>
      <w:r w:rsidR="004A262C" w:rsidRPr="00CF7716">
        <w:rPr>
          <w:rFonts w:ascii="Times New Roman" w:hAnsi="Times New Roman" w:cs="Times New Roman"/>
          <w:i/>
          <w:iCs/>
          <w:color w:val="000000" w:themeColor="text1"/>
        </w:rPr>
        <w:t>e</w:t>
      </w:r>
      <w:r w:rsidR="001B0317" w:rsidRPr="00CF7716">
        <w:rPr>
          <w:rFonts w:ascii="Times New Roman" w:hAnsi="Times New Roman" w:cs="Times New Roman"/>
          <w:i/>
          <w:iCs/>
          <w:color w:val="000000" w:themeColor="text1"/>
        </w:rPr>
        <w:t>t al</w:t>
      </w:r>
      <w:r w:rsidR="001B0317" w:rsidRPr="00CF7716">
        <w:rPr>
          <w:rFonts w:ascii="Times New Roman" w:hAnsi="Times New Roman" w:cs="Times New Roman"/>
          <w:color w:val="000000" w:themeColor="text1"/>
        </w:rPr>
        <w:t xml:space="preserve">, </w:t>
      </w:r>
      <w:r w:rsidR="001B0317" w:rsidRPr="00CF7716">
        <w:rPr>
          <w:rFonts w:ascii="Times New Roman" w:hAnsi="Times New Roman" w:cs="Times New Roman"/>
          <w:i/>
          <w:iCs/>
          <w:color w:val="000000" w:themeColor="text1"/>
          <w:lang w:val="en-GB"/>
        </w:rPr>
        <w:t>Breaking the Conflict Trap Civil War and Development Policy</w:t>
      </w:r>
      <w:r w:rsidR="001B0317" w:rsidRPr="00CF7716">
        <w:rPr>
          <w:rFonts w:ascii="Times New Roman" w:hAnsi="Times New Roman" w:cs="Times New Roman"/>
          <w:color w:val="000000" w:themeColor="text1"/>
          <w:lang w:val="en-GB"/>
        </w:rPr>
        <w:t xml:space="preserve"> (</w:t>
      </w:r>
      <w:r w:rsidR="00E26B93">
        <w:rPr>
          <w:rFonts w:ascii="Times New Roman" w:hAnsi="Times New Roman" w:cs="Times New Roman"/>
          <w:color w:val="000000" w:themeColor="text1"/>
          <w:lang w:val="en-GB"/>
        </w:rPr>
        <w:t xml:space="preserve">New York, </w:t>
      </w:r>
      <w:r w:rsidR="001B0317" w:rsidRPr="00CF7716">
        <w:rPr>
          <w:rFonts w:ascii="Times New Roman" w:hAnsi="Times New Roman" w:cs="Times New Roman"/>
          <w:color w:val="000000" w:themeColor="text1"/>
          <w:lang w:val="en-GB"/>
        </w:rPr>
        <w:t xml:space="preserve">World Bank 2003) </w:t>
      </w:r>
      <w:r w:rsidR="001B0317" w:rsidRPr="00CF7716">
        <w:rPr>
          <w:rFonts w:ascii="Times New Roman" w:hAnsi="Times New Roman" w:cs="Times New Roman"/>
          <w:color w:val="000000" w:themeColor="text1"/>
        </w:rPr>
        <w:t>4.</w:t>
      </w:r>
    </w:p>
  </w:footnote>
  <w:footnote w:id="8">
    <w:p w14:paraId="4AAAE01E" w14:textId="1352B155" w:rsidR="003B6AA9" w:rsidRPr="00CF7716" w:rsidRDefault="003B6AA9"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4A262C" w:rsidRPr="00CF7716">
        <w:rPr>
          <w:color w:val="000000" w:themeColor="text1"/>
          <w:sz w:val="20"/>
          <w:szCs w:val="20"/>
        </w:rPr>
        <w:t xml:space="preserve">M </w:t>
      </w:r>
      <w:r w:rsidRPr="00CF7716">
        <w:rPr>
          <w:color w:val="000000" w:themeColor="text1"/>
          <w:sz w:val="20"/>
          <w:szCs w:val="20"/>
        </w:rPr>
        <w:t xml:space="preserve">Doornbos, </w:t>
      </w:r>
      <w:r w:rsidR="004A262C" w:rsidRPr="00CF7716">
        <w:rPr>
          <w:color w:val="000000" w:themeColor="text1"/>
          <w:sz w:val="20"/>
          <w:szCs w:val="20"/>
        </w:rPr>
        <w:t>‘</w:t>
      </w:r>
      <w:r w:rsidRPr="00CF7716">
        <w:rPr>
          <w:color w:val="000000" w:themeColor="text1"/>
          <w:sz w:val="20"/>
          <w:szCs w:val="20"/>
        </w:rPr>
        <w:t xml:space="preserve">Researching African </w:t>
      </w:r>
      <w:r w:rsidR="004A262C" w:rsidRPr="00CF7716">
        <w:rPr>
          <w:color w:val="000000" w:themeColor="text1"/>
          <w:sz w:val="20"/>
          <w:szCs w:val="20"/>
        </w:rPr>
        <w:t>S</w:t>
      </w:r>
      <w:r w:rsidRPr="00CF7716">
        <w:rPr>
          <w:color w:val="000000" w:themeColor="text1"/>
          <w:sz w:val="20"/>
          <w:szCs w:val="20"/>
        </w:rPr>
        <w:t xml:space="preserve">tatehood </w:t>
      </w:r>
      <w:r w:rsidR="004A262C" w:rsidRPr="00CF7716">
        <w:rPr>
          <w:color w:val="000000" w:themeColor="text1"/>
          <w:sz w:val="20"/>
          <w:szCs w:val="20"/>
        </w:rPr>
        <w:t>D</w:t>
      </w:r>
      <w:r w:rsidRPr="00CF7716">
        <w:rPr>
          <w:color w:val="000000" w:themeColor="text1"/>
          <w:sz w:val="20"/>
          <w:szCs w:val="20"/>
        </w:rPr>
        <w:t xml:space="preserve">ynamics: Negotiability and its </w:t>
      </w:r>
      <w:r w:rsidR="004A262C" w:rsidRPr="00CF7716">
        <w:rPr>
          <w:color w:val="000000" w:themeColor="text1"/>
          <w:sz w:val="20"/>
          <w:szCs w:val="20"/>
        </w:rPr>
        <w:t>L</w:t>
      </w:r>
      <w:r w:rsidRPr="00CF7716">
        <w:rPr>
          <w:color w:val="000000" w:themeColor="text1"/>
          <w:sz w:val="20"/>
          <w:szCs w:val="20"/>
        </w:rPr>
        <w:t>imits</w:t>
      </w:r>
      <w:r w:rsidR="004A262C" w:rsidRPr="00CF7716">
        <w:rPr>
          <w:color w:val="000000" w:themeColor="text1"/>
          <w:sz w:val="20"/>
          <w:szCs w:val="20"/>
        </w:rPr>
        <w:t>’ (2010) 41</w:t>
      </w:r>
      <w:r w:rsidRPr="00CF7716">
        <w:rPr>
          <w:color w:val="000000" w:themeColor="text1"/>
          <w:sz w:val="20"/>
          <w:szCs w:val="20"/>
        </w:rPr>
        <w:t xml:space="preserve"> </w:t>
      </w:r>
      <w:r w:rsidRPr="00CF7716">
        <w:rPr>
          <w:i/>
          <w:iCs/>
          <w:color w:val="000000" w:themeColor="text1"/>
          <w:sz w:val="20"/>
          <w:szCs w:val="20"/>
        </w:rPr>
        <w:t>Development and Change</w:t>
      </w:r>
      <w:r w:rsidRPr="00CF7716">
        <w:rPr>
          <w:color w:val="000000" w:themeColor="text1"/>
          <w:sz w:val="20"/>
          <w:szCs w:val="20"/>
        </w:rPr>
        <w:t xml:space="preserve"> 747, 755.</w:t>
      </w:r>
    </w:p>
  </w:footnote>
  <w:footnote w:id="9">
    <w:p w14:paraId="684CF67B" w14:textId="4D281397" w:rsidR="00F03EFC" w:rsidRPr="00CF7716" w:rsidRDefault="00F03EFC"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4A262C" w:rsidRPr="00CF7716">
        <w:rPr>
          <w:color w:val="000000" w:themeColor="text1"/>
          <w:sz w:val="20"/>
          <w:szCs w:val="20"/>
        </w:rPr>
        <w:t xml:space="preserve">M </w:t>
      </w:r>
      <w:r w:rsidRPr="00CF7716">
        <w:rPr>
          <w:color w:val="000000" w:themeColor="text1"/>
          <w:sz w:val="20"/>
          <w:szCs w:val="20"/>
        </w:rPr>
        <w:t xml:space="preserve">Starr, </w:t>
      </w:r>
      <w:r w:rsidR="004A262C" w:rsidRPr="00CF7716">
        <w:rPr>
          <w:color w:val="000000" w:themeColor="text1"/>
          <w:sz w:val="20"/>
          <w:szCs w:val="20"/>
        </w:rPr>
        <w:t>‘</w:t>
      </w:r>
      <w:r w:rsidRPr="00CF7716">
        <w:rPr>
          <w:color w:val="000000" w:themeColor="text1"/>
          <w:sz w:val="20"/>
          <w:szCs w:val="20"/>
        </w:rPr>
        <w:t xml:space="preserve">Violent </w:t>
      </w:r>
      <w:r w:rsidR="004A262C" w:rsidRPr="00CF7716">
        <w:rPr>
          <w:color w:val="000000" w:themeColor="text1"/>
          <w:sz w:val="20"/>
          <w:szCs w:val="20"/>
        </w:rPr>
        <w:t>C</w:t>
      </w:r>
      <w:r w:rsidRPr="00CF7716">
        <w:rPr>
          <w:color w:val="000000" w:themeColor="text1"/>
          <w:sz w:val="20"/>
          <w:szCs w:val="20"/>
        </w:rPr>
        <w:t xml:space="preserve">onflict and </w:t>
      </w:r>
      <w:r w:rsidR="004A262C" w:rsidRPr="00CF7716">
        <w:rPr>
          <w:color w:val="000000" w:themeColor="text1"/>
          <w:sz w:val="20"/>
          <w:szCs w:val="20"/>
        </w:rPr>
        <w:t>E</w:t>
      </w:r>
      <w:r w:rsidRPr="00CF7716">
        <w:rPr>
          <w:color w:val="000000" w:themeColor="text1"/>
          <w:sz w:val="20"/>
          <w:szCs w:val="20"/>
        </w:rPr>
        <w:t xml:space="preserve">conomic </w:t>
      </w:r>
      <w:r w:rsidR="004A262C" w:rsidRPr="00CF7716">
        <w:rPr>
          <w:color w:val="000000" w:themeColor="text1"/>
          <w:sz w:val="20"/>
          <w:szCs w:val="20"/>
        </w:rPr>
        <w:t>G</w:t>
      </w:r>
      <w:r w:rsidRPr="00CF7716">
        <w:rPr>
          <w:color w:val="000000" w:themeColor="text1"/>
          <w:sz w:val="20"/>
          <w:szCs w:val="20"/>
        </w:rPr>
        <w:t xml:space="preserve">rowth: Some </w:t>
      </w:r>
      <w:r w:rsidR="004A262C" w:rsidRPr="00CF7716">
        <w:rPr>
          <w:color w:val="000000" w:themeColor="text1"/>
          <w:sz w:val="20"/>
          <w:szCs w:val="20"/>
        </w:rPr>
        <w:t>T</w:t>
      </w:r>
      <w:r w:rsidRPr="00CF7716">
        <w:rPr>
          <w:color w:val="000000" w:themeColor="text1"/>
          <w:sz w:val="20"/>
          <w:szCs w:val="20"/>
        </w:rPr>
        <w:t>ime-</w:t>
      </w:r>
      <w:r w:rsidR="004A262C" w:rsidRPr="00CF7716">
        <w:rPr>
          <w:color w:val="000000" w:themeColor="text1"/>
          <w:sz w:val="20"/>
          <w:szCs w:val="20"/>
        </w:rPr>
        <w:t>S</w:t>
      </w:r>
      <w:r w:rsidRPr="00CF7716">
        <w:rPr>
          <w:color w:val="000000" w:themeColor="text1"/>
          <w:sz w:val="20"/>
          <w:szCs w:val="20"/>
        </w:rPr>
        <w:t xml:space="preserve">eries </w:t>
      </w:r>
      <w:r w:rsidR="004A262C" w:rsidRPr="00CF7716">
        <w:rPr>
          <w:color w:val="000000" w:themeColor="text1"/>
          <w:sz w:val="20"/>
          <w:szCs w:val="20"/>
        </w:rPr>
        <w:t>E</w:t>
      </w:r>
      <w:r w:rsidRPr="00CF7716">
        <w:rPr>
          <w:color w:val="000000" w:themeColor="text1"/>
          <w:sz w:val="20"/>
          <w:szCs w:val="20"/>
        </w:rPr>
        <w:t>vidence</w:t>
      </w:r>
      <w:r w:rsidR="004A262C" w:rsidRPr="00CF7716">
        <w:rPr>
          <w:color w:val="000000" w:themeColor="text1"/>
          <w:sz w:val="20"/>
          <w:szCs w:val="20"/>
        </w:rPr>
        <w:t>’ (2010) 106</w:t>
      </w:r>
      <w:r w:rsidRPr="00CF7716">
        <w:rPr>
          <w:color w:val="000000" w:themeColor="text1"/>
          <w:sz w:val="20"/>
          <w:szCs w:val="20"/>
        </w:rPr>
        <w:t xml:space="preserve"> </w:t>
      </w:r>
      <w:r w:rsidRPr="00CF7716">
        <w:rPr>
          <w:i/>
          <w:iCs/>
          <w:color w:val="000000" w:themeColor="text1"/>
          <w:sz w:val="20"/>
          <w:szCs w:val="20"/>
        </w:rPr>
        <w:t>Economics Letters</w:t>
      </w:r>
      <w:r w:rsidRPr="00CF7716">
        <w:rPr>
          <w:color w:val="000000" w:themeColor="text1"/>
          <w:sz w:val="20"/>
          <w:szCs w:val="20"/>
        </w:rPr>
        <w:t xml:space="preserve"> 200-204.</w:t>
      </w:r>
    </w:p>
  </w:footnote>
  <w:footnote w:id="10">
    <w:p w14:paraId="603536B6" w14:textId="13AF2EFE" w:rsidR="00BC0918" w:rsidRPr="00CF7716" w:rsidRDefault="00BC0918"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The classic study remains </w:t>
      </w:r>
      <w:r w:rsidR="001B0317" w:rsidRPr="00CF7716">
        <w:rPr>
          <w:color w:val="000000" w:themeColor="text1"/>
          <w:sz w:val="20"/>
          <w:szCs w:val="20"/>
        </w:rPr>
        <w:t xml:space="preserve">D </w:t>
      </w:r>
      <w:r w:rsidRPr="00CF7716">
        <w:rPr>
          <w:color w:val="000000" w:themeColor="text1"/>
          <w:sz w:val="20"/>
          <w:szCs w:val="20"/>
        </w:rPr>
        <w:t xml:space="preserve">Keen, </w:t>
      </w:r>
      <w:r w:rsidRPr="00CF7716">
        <w:rPr>
          <w:i/>
          <w:iCs/>
          <w:color w:val="000000" w:themeColor="text1"/>
          <w:sz w:val="20"/>
          <w:szCs w:val="20"/>
        </w:rPr>
        <w:t>Conflict and collusion in Sierra Leone</w:t>
      </w:r>
      <w:r w:rsidR="00602265" w:rsidRPr="00CF7716">
        <w:rPr>
          <w:color w:val="000000" w:themeColor="text1"/>
          <w:sz w:val="20"/>
          <w:szCs w:val="20"/>
        </w:rPr>
        <w:t xml:space="preserve"> (</w:t>
      </w:r>
      <w:r w:rsidRPr="00CF7716">
        <w:rPr>
          <w:color w:val="000000" w:themeColor="text1"/>
          <w:sz w:val="20"/>
          <w:szCs w:val="20"/>
        </w:rPr>
        <w:t>James Currey</w:t>
      </w:r>
      <w:r w:rsidR="00602265" w:rsidRPr="00CF7716">
        <w:rPr>
          <w:color w:val="000000" w:themeColor="text1"/>
          <w:sz w:val="20"/>
          <w:szCs w:val="20"/>
        </w:rPr>
        <w:t xml:space="preserve"> 2005).</w:t>
      </w:r>
    </w:p>
  </w:footnote>
  <w:footnote w:id="11">
    <w:p w14:paraId="71862CD6" w14:textId="7AB34A53" w:rsidR="00FA78F2" w:rsidRPr="00CF7716" w:rsidRDefault="00FA78F2"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602265" w:rsidRPr="00CF7716">
        <w:rPr>
          <w:color w:val="000000" w:themeColor="text1"/>
          <w:sz w:val="20"/>
          <w:szCs w:val="20"/>
        </w:rPr>
        <w:t xml:space="preserve">C </w:t>
      </w:r>
      <w:r w:rsidRPr="00CF7716">
        <w:rPr>
          <w:color w:val="000000" w:themeColor="text1"/>
          <w:sz w:val="20"/>
          <w:szCs w:val="20"/>
        </w:rPr>
        <w:t xml:space="preserve">Cramer, </w:t>
      </w:r>
      <w:r w:rsidRPr="00CF7716">
        <w:rPr>
          <w:i/>
          <w:iCs/>
          <w:color w:val="000000" w:themeColor="text1"/>
          <w:sz w:val="20"/>
          <w:szCs w:val="20"/>
        </w:rPr>
        <w:t xml:space="preserve">Civil </w:t>
      </w:r>
      <w:r w:rsidR="00602265" w:rsidRPr="00CF7716">
        <w:rPr>
          <w:i/>
          <w:iCs/>
          <w:color w:val="000000" w:themeColor="text1"/>
          <w:sz w:val="20"/>
          <w:szCs w:val="20"/>
        </w:rPr>
        <w:t>W</w:t>
      </w:r>
      <w:r w:rsidRPr="00CF7716">
        <w:rPr>
          <w:i/>
          <w:iCs/>
          <w:color w:val="000000" w:themeColor="text1"/>
          <w:sz w:val="20"/>
          <w:szCs w:val="20"/>
        </w:rPr>
        <w:t xml:space="preserve">ar is </w:t>
      </w:r>
      <w:r w:rsidR="00602265" w:rsidRPr="00CF7716">
        <w:rPr>
          <w:i/>
          <w:iCs/>
          <w:color w:val="000000" w:themeColor="text1"/>
          <w:sz w:val="20"/>
          <w:szCs w:val="20"/>
        </w:rPr>
        <w:t>N</w:t>
      </w:r>
      <w:r w:rsidRPr="00CF7716">
        <w:rPr>
          <w:i/>
          <w:iCs/>
          <w:color w:val="000000" w:themeColor="text1"/>
          <w:sz w:val="20"/>
          <w:szCs w:val="20"/>
        </w:rPr>
        <w:t xml:space="preserve">ot a </w:t>
      </w:r>
      <w:r w:rsidR="00602265" w:rsidRPr="00CF7716">
        <w:rPr>
          <w:i/>
          <w:iCs/>
          <w:color w:val="000000" w:themeColor="text1"/>
          <w:sz w:val="20"/>
          <w:szCs w:val="20"/>
        </w:rPr>
        <w:t>S</w:t>
      </w:r>
      <w:r w:rsidRPr="00CF7716">
        <w:rPr>
          <w:i/>
          <w:iCs/>
          <w:color w:val="000000" w:themeColor="text1"/>
          <w:sz w:val="20"/>
          <w:szCs w:val="20"/>
        </w:rPr>
        <w:t xml:space="preserve">tupid </w:t>
      </w:r>
      <w:r w:rsidR="00602265" w:rsidRPr="00CF7716">
        <w:rPr>
          <w:i/>
          <w:iCs/>
          <w:color w:val="000000" w:themeColor="text1"/>
          <w:sz w:val="20"/>
          <w:szCs w:val="20"/>
        </w:rPr>
        <w:t>T</w:t>
      </w:r>
      <w:r w:rsidRPr="00CF7716">
        <w:rPr>
          <w:i/>
          <w:iCs/>
          <w:color w:val="000000" w:themeColor="text1"/>
          <w:sz w:val="20"/>
          <w:szCs w:val="20"/>
        </w:rPr>
        <w:t xml:space="preserve">hing: Accounting for </w:t>
      </w:r>
      <w:r w:rsidR="00602265" w:rsidRPr="00CF7716">
        <w:rPr>
          <w:i/>
          <w:iCs/>
          <w:color w:val="000000" w:themeColor="text1"/>
          <w:sz w:val="20"/>
          <w:szCs w:val="20"/>
        </w:rPr>
        <w:t>V</w:t>
      </w:r>
      <w:r w:rsidRPr="00CF7716">
        <w:rPr>
          <w:i/>
          <w:iCs/>
          <w:color w:val="000000" w:themeColor="text1"/>
          <w:sz w:val="20"/>
          <w:szCs w:val="20"/>
        </w:rPr>
        <w:t xml:space="preserve">iolence in </w:t>
      </w:r>
      <w:r w:rsidR="00602265" w:rsidRPr="00CF7716">
        <w:rPr>
          <w:i/>
          <w:iCs/>
          <w:color w:val="000000" w:themeColor="text1"/>
          <w:sz w:val="20"/>
          <w:szCs w:val="20"/>
        </w:rPr>
        <w:t>D</w:t>
      </w:r>
      <w:r w:rsidRPr="00CF7716">
        <w:rPr>
          <w:i/>
          <w:iCs/>
          <w:color w:val="000000" w:themeColor="text1"/>
          <w:sz w:val="20"/>
          <w:szCs w:val="20"/>
        </w:rPr>
        <w:t xml:space="preserve">eveloping </w:t>
      </w:r>
      <w:r w:rsidR="00602265" w:rsidRPr="00CF7716">
        <w:rPr>
          <w:i/>
          <w:iCs/>
          <w:color w:val="000000" w:themeColor="text1"/>
          <w:sz w:val="20"/>
          <w:szCs w:val="20"/>
        </w:rPr>
        <w:t>C</w:t>
      </w:r>
      <w:r w:rsidRPr="00CF7716">
        <w:rPr>
          <w:i/>
          <w:iCs/>
          <w:color w:val="000000" w:themeColor="text1"/>
          <w:sz w:val="20"/>
          <w:szCs w:val="20"/>
        </w:rPr>
        <w:t>ountries</w:t>
      </w:r>
      <w:r w:rsidR="00602265" w:rsidRPr="00CF7716">
        <w:rPr>
          <w:color w:val="000000" w:themeColor="text1"/>
          <w:sz w:val="20"/>
          <w:szCs w:val="20"/>
        </w:rPr>
        <w:t xml:space="preserve"> (</w:t>
      </w:r>
      <w:r w:rsidRPr="00CF7716">
        <w:rPr>
          <w:color w:val="000000" w:themeColor="text1"/>
          <w:sz w:val="20"/>
          <w:szCs w:val="20"/>
        </w:rPr>
        <w:t>Hurst, 2006</w:t>
      </w:r>
      <w:r w:rsidR="00602265" w:rsidRPr="00CF7716">
        <w:rPr>
          <w:color w:val="000000" w:themeColor="text1"/>
          <w:sz w:val="20"/>
          <w:szCs w:val="20"/>
        </w:rPr>
        <w:t>).</w:t>
      </w:r>
    </w:p>
  </w:footnote>
  <w:footnote w:id="12">
    <w:p w14:paraId="375EE1DD" w14:textId="01FB87D5" w:rsidR="003E6606" w:rsidRPr="00CF7716" w:rsidRDefault="003E6606"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I Gough et al, </w:t>
      </w:r>
      <w:r w:rsidRPr="00CF7716">
        <w:rPr>
          <w:i/>
          <w:iCs/>
          <w:color w:val="000000" w:themeColor="text1"/>
          <w:sz w:val="20"/>
          <w:szCs w:val="20"/>
        </w:rPr>
        <w:t xml:space="preserve">Insecurity and </w:t>
      </w:r>
      <w:r w:rsidR="00602265" w:rsidRPr="00CF7716">
        <w:rPr>
          <w:i/>
          <w:iCs/>
          <w:color w:val="000000" w:themeColor="text1"/>
          <w:sz w:val="20"/>
          <w:szCs w:val="20"/>
        </w:rPr>
        <w:t>W</w:t>
      </w:r>
      <w:r w:rsidRPr="00CF7716">
        <w:rPr>
          <w:i/>
          <w:iCs/>
          <w:color w:val="000000" w:themeColor="text1"/>
          <w:sz w:val="20"/>
          <w:szCs w:val="20"/>
        </w:rPr>
        <w:t xml:space="preserve">elfare </w:t>
      </w:r>
      <w:r w:rsidR="00602265" w:rsidRPr="00CF7716">
        <w:rPr>
          <w:i/>
          <w:iCs/>
          <w:color w:val="000000" w:themeColor="text1"/>
          <w:sz w:val="20"/>
          <w:szCs w:val="20"/>
        </w:rPr>
        <w:t>R</w:t>
      </w:r>
      <w:r w:rsidRPr="00CF7716">
        <w:rPr>
          <w:i/>
          <w:iCs/>
          <w:color w:val="000000" w:themeColor="text1"/>
          <w:sz w:val="20"/>
          <w:szCs w:val="20"/>
        </w:rPr>
        <w:t xml:space="preserve">egimes in Asia, Africa and Latin America: Social policy in </w:t>
      </w:r>
      <w:r w:rsidR="00602265" w:rsidRPr="00CF7716">
        <w:rPr>
          <w:i/>
          <w:iCs/>
          <w:color w:val="000000" w:themeColor="text1"/>
          <w:sz w:val="20"/>
          <w:szCs w:val="20"/>
        </w:rPr>
        <w:t>D</w:t>
      </w:r>
      <w:r w:rsidRPr="00CF7716">
        <w:rPr>
          <w:i/>
          <w:iCs/>
          <w:color w:val="000000" w:themeColor="text1"/>
          <w:sz w:val="20"/>
          <w:szCs w:val="20"/>
        </w:rPr>
        <w:t xml:space="preserve">evelopment </w:t>
      </w:r>
      <w:r w:rsidR="00602265" w:rsidRPr="00CF7716">
        <w:rPr>
          <w:i/>
          <w:iCs/>
          <w:color w:val="000000" w:themeColor="text1"/>
          <w:sz w:val="20"/>
          <w:szCs w:val="20"/>
        </w:rPr>
        <w:t>C</w:t>
      </w:r>
      <w:r w:rsidRPr="00CF7716">
        <w:rPr>
          <w:i/>
          <w:iCs/>
          <w:color w:val="000000" w:themeColor="text1"/>
          <w:sz w:val="20"/>
          <w:szCs w:val="20"/>
        </w:rPr>
        <w:t>ontexts</w:t>
      </w:r>
      <w:r w:rsidRPr="00CF7716">
        <w:rPr>
          <w:color w:val="000000" w:themeColor="text1"/>
          <w:sz w:val="20"/>
          <w:szCs w:val="20"/>
        </w:rPr>
        <w:t xml:space="preserve"> (</w:t>
      </w:r>
      <w:r w:rsidR="00602265" w:rsidRPr="00CF7716">
        <w:rPr>
          <w:color w:val="000000" w:themeColor="text1"/>
          <w:sz w:val="20"/>
          <w:szCs w:val="20"/>
        </w:rPr>
        <w:t>C</w:t>
      </w:r>
      <w:r w:rsidR="00E26B93">
        <w:rPr>
          <w:color w:val="000000" w:themeColor="text1"/>
          <w:sz w:val="20"/>
          <w:szCs w:val="20"/>
        </w:rPr>
        <w:t xml:space="preserve">ambridge, Cambridge University </w:t>
      </w:r>
      <w:r w:rsidR="00602265" w:rsidRPr="00CF7716">
        <w:rPr>
          <w:color w:val="000000" w:themeColor="text1"/>
          <w:sz w:val="20"/>
          <w:szCs w:val="20"/>
        </w:rPr>
        <w:t>P</w:t>
      </w:r>
      <w:r w:rsidR="00E26B93">
        <w:rPr>
          <w:color w:val="000000" w:themeColor="text1"/>
          <w:sz w:val="20"/>
          <w:szCs w:val="20"/>
        </w:rPr>
        <w:t>ress,</w:t>
      </w:r>
      <w:r w:rsidRPr="00CF7716">
        <w:rPr>
          <w:color w:val="000000" w:themeColor="text1"/>
          <w:sz w:val="20"/>
          <w:szCs w:val="20"/>
        </w:rPr>
        <w:t xml:space="preserve"> 2004).</w:t>
      </w:r>
    </w:p>
  </w:footnote>
  <w:footnote w:id="13">
    <w:p w14:paraId="2DAC33CC" w14:textId="72324AA1" w:rsidR="00615AD7" w:rsidRPr="00CF7716" w:rsidRDefault="00615AD7"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003F0E89" w:rsidRPr="00CF7716">
        <w:rPr>
          <w:rFonts w:ascii="Times New Roman" w:hAnsi="Times New Roman" w:cs="Times New Roman"/>
          <w:color w:val="000000" w:themeColor="text1"/>
        </w:rPr>
        <w:t xml:space="preserve">J </w:t>
      </w:r>
      <w:r w:rsidRPr="00CF7716">
        <w:rPr>
          <w:rFonts w:ascii="Times New Roman" w:eastAsia="Times New Roman" w:hAnsi="Times New Roman" w:cs="Times New Roman"/>
          <w:color w:val="000000" w:themeColor="text1"/>
          <w:lang w:eastAsia="en-GB"/>
        </w:rPr>
        <w:t>Pospisil</w:t>
      </w:r>
      <w:r w:rsidR="003F0E89" w:rsidRPr="00CF7716">
        <w:rPr>
          <w:rFonts w:ascii="Times New Roman" w:eastAsia="Times New Roman" w:hAnsi="Times New Roman" w:cs="Times New Roman"/>
          <w:color w:val="000000" w:themeColor="text1"/>
          <w:lang w:eastAsia="en-GB"/>
        </w:rPr>
        <w:t xml:space="preserve"> </w:t>
      </w:r>
      <w:r w:rsidRPr="00CF7716">
        <w:rPr>
          <w:rFonts w:ascii="Times New Roman" w:eastAsia="Times New Roman" w:hAnsi="Times New Roman" w:cs="Times New Roman"/>
          <w:color w:val="000000" w:themeColor="text1"/>
          <w:lang w:eastAsia="en-GB"/>
        </w:rPr>
        <w:t xml:space="preserve">and A Rocha Menocal. </w:t>
      </w:r>
      <w:r w:rsidR="003F0E89" w:rsidRPr="00CF7716">
        <w:rPr>
          <w:rFonts w:ascii="Times New Roman" w:eastAsia="Times New Roman" w:hAnsi="Times New Roman" w:cs="Times New Roman"/>
          <w:color w:val="000000" w:themeColor="text1"/>
          <w:lang w:eastAsia="en-GB"/>
        </w:rPr>
        <w:t>‘</w:t>
      </w:r>
      <w:r w:rsidRPr="00CF7716">
        <w:rPr>
          <w:rFonts w:ascii="Times New Roman" w:eastAsia="Times New Roman" w:hAnsi="Times New Roman" w:cs="Times New Roman"/>
          <w:color w:val="000000" w:themeColor="text1"/>
          <w:lang w:eastAsia="en-GB"/>
        </w:rPr>
        <w:t xml:space="preserve">Why </w:t>
      </w:r>
      <w:r w:rsidR="003F0E89" w:rsidRPr="00CF7716">
        <w:rPr>
          <w:rFonts w:ascii="Times New Roman" w:eastAsia="Times New Roman" w:hAnsi="Times New Roman" w:cs="Times New Roman"/>
          <w:color w:val="000000" w:themeColor="text1"/>
          <w:lang w:eastAsia="en-GB"/>
        </w:rPr>
        <w:t>P</w:t>
      </w:r>
      <w:r w:rsidRPr="00CF7716">
        <w:rPr>
          <w:rFonts w:ascii="Times New Roman" w:eastAsia="Times New Roman" w:hAnsi="Times New Roman" w:cs="Times New Roman"/>
          <w:color w:val="000000" w:themeColor="text1"/>
          <w:lang w:eastAsia="en-GB"/>
        </w:rPr>
        <w:t xml:space="preserve">olitical </w:t>
      </w:r>
      <w:r w:rsidR="003F0E89" w:rsidRPr="00CF7716">
        <w:rPr>
          <w:rFonts w:ascii="Times New Roman" w:eastAsia="Times New Roman" w:hAnsi="Times New Roman" w:cs="Times New Roman"/>
          <w:color w:val="000000" w:themeColor="text1"/>
          <w:lang w:eastAsia="en-GB"/>
        </w:rPr>
        <w:t>S</w:t>
      </w:r>
      <w:r w:rsidRPr="00CF7716">
        <w:rPr>
          <w:rFonts w:ascii="Times New Roman" w:eastAsia="Times New Roman" w:hAnsi="Times New Roman" w:cs="Times New Roman"/>
          <w:color w:val="000000" w:themeColor="text1"/>
          <w:lang w:eastAsia="en-GB"/>
        </w:rPr>
        <w:t xml:space="preserve">ettlements </w:t>
      </w:r>
      <w:r w:rsidR="003F0E89" w:rsidRPr="00CF7716">
        <w:rPr>
          <w:rFonts w:ascii="Times New Roman" w:eastAsia="Times New Roman" w:hAnsi="Times New Roman" w:cs="Times New Roman"/>
          <w:color w:val="000000" w:themeColor="text1"/>
          <w:lang w:eastAsia="en-GB"/>
        </w:rPr>
        <w:t>M</w:t>
      </w:r>
      <w:r w:rsidRPr="00CF7716">
        <w:rPr>
          <w:rFonts w:ascii="Times New Roman" w:eastAsia="Times New Roman" w:hAnsi="Times New Roman" w:cs="Times New Roman"/>
          <w:color w:val="000000" w:themeColor="text1"/>
          <w:lang w:eastAsia="en-GB"/>
        </w:rPr>
        <w:t xml:space="preserve">atter: Navigating </w:t>
      </w:r>
      <w:r w:rsidR="003F0E89" w:rsidRPr="00CF7716">
        <w:rPr>
          <w:rFonts w:ascii="Times New Roman" w:eastAsia="Times New Roman" w:hAnsi="Times New Roman" w:cs="Times New Roman"/>
          <w:color w:val="000000" w:themeColor="text1"/>
          <w:lang w:eastAsia="en-GB"/>
        </w:rPr>
        <w:t>I</w:t>
      </w:r>
      <w:r w:rsidRPr="00CF7716">
        <w:rPr>
          <w:rFonts w:ascii="Times New Roman" w:eastAsia="Times New Roman" w:hAnsi="Times New Roman" w:cs="Times New Roman"/>
          <w:color w:val="000000" w:themeColor="text1"/>
          <w:lang w:eastAsia="en-GB"/>
        </w:rPr>
        <w:t xml:space="preserve">nclusion in </w:t>
      </w:r>
      <w:r w:rsidR="003F0E89" w:rsidRPr="00CF7716">
        <w:rPr>
          <w:rFonts w:ascii="Times New Roman" w:eastAsia="Times New Roman" w:hAnsi="Times New Roman" w:cs="Times New Roman"/>
          <w:color w:val="000000" w:themeColor="text1"/>
          <w:lang w:eastAsia="en-GB"/>
        </w:rPr>
        <w:t>P</w:t>
      </w:r>
      <w:r w:rsidRPr="00CF7716">
        <w:rPr>
          <w:rFonts w:ascii="Times New Roman" w:eastAsia="Times New Roman" w:hAnsi="Times New Roman" w:cs="Times New Roman"/>
          <w:color w:val="000000" w:themeColor="text1"/>
          <w:lang w:eastAsia="en-GB"/>
        </w:rPr>
        <w:t xml:space="preserve">rocesses of </w:t>
      </w:r>
      <w:r w:rsidR="003F0E89" w:rsidRPr="00CF7716">
        <w:rPr>
          <w:rFonts w:ascii="Times New Roman" w:eastAsia="Times New Roman" w:hAnsi="Times New Roman" w:cs="Times New Roman"/>
          <w:color w:val="000000" w:themeColor="text1"/>
          <w:lang w:eastAsia="en-GB"/>
        </w:rPr>
        <w:t>I</w:t>
      </w:r>
      <w:r w:rsidRPr="00CF7716">
        <w:rPr>
          <w:rFonts w:ascii="Times New Roman" w:eastAsia="Times New Roman" w:hAnsi="Times New Roman" w:cs="Times New Roman"/>
          <w:color w:val="000000" w:themeColor="text1"/>
          <w:lang w:eastAsia="en-GB"/>
        </w:rPr>
        <w:t xml:space="preserve">nstitutional </w:t>
      </w:r>
      <w:r w:rsidR="003F0E89" w:rsidRPr="00CF7716">
        <w:rPr>
          <w:rFonts w:ascii="Times New Roman" w:eastAsia="Times New Roman" w:hAnsi="Times New Roman" w:cs="Times New Roman"/>
          <w:color w:val="000000" w:themeColor="text1"/>
          <w:lang w:eastAsia="en-GB"/>
        </w:rPr>
        <w:t>T</w:t>
      </w:r>
      <w:r w:rsidRPr="00CF7716">
        <w:rPr>
          <w:rFonts w:ascii="Times New Roman" w:eastAsia="Times New Roman" w:hAnsi="Times New Roman" w:cs="Times New Roman"/>
          <w:color w:val="000000" w:themeColor="text1"/>
          <w:lang w:eastAsia="en-GB"/>
        </w:rPr>
        <w:t>ransformation</w:t>
      </w:r>
      <w:r w:rsidR="003F0E89" w:rsidRPr="00CF7716">
        <w:rPr>
          <w:rFonts w:ascii="Times New Roman" w:eastAsia="Times New Roman" w:hAnsi="Times New Roman" w:cs="Times New Roman"/>
          <w:color w:val="000000" w:themeColor="text1"/>
          <w:lang w:eastAsia="en-GB"/>
        </w:rPr>
        <w:t>’ (2017) 29</w:t>
      </w:r>
      <w:r w:rsidRPr="00CF7716">
        <w:rPr>
          <w:rFonts w:ascii="Times New Roman" w:eastAsia="Times New Roman" w:hAnsi="Times New Roman" w:cs="Times New Roman"/>
          <w:color w:val="000000" w:themeColor="text1"/>
          <w:lang w:eastAsia="en-GB"/>
        </w:rPr>
        <w:t xml:space="preserve"> </w:t>
      </w:r>
      <w:r w:rsidRPr="00CF7716">
        <w:rPr>
          <w:rFonts w:ascii="Times New Roman" w:eastAsia="Times New Roman" w:hAnsi="Times New Roman" w:cs="Times New Roman"/>
          <w:i/>
          <w:iCs/>
          <w:color w:val="000000" w:themeColor="text1"/>
          <w:lang w:eastAsia="en-GB"/>
        </w:rPr>
        <w:t>Journal of International Development</w:t>
      </w:r>
      <w:r w:rsidRPr="00CF7716">
        <w:rPr>
          <w:rFonts w:ascii="Times New Roman" w:eastAsia="Times New Roman" w:hAnsi="Times New Roman" w:cs="Times New Roman"/>
          <w:color w:val="000000" w:themeColor="text1"/>
          <w:lang w:eastAsia="en-GB"/>
        </w:rPr>
        <w:t xml:space="preserve"> 551, 553</w:t>
      </w:r>
      <w:r w:rsidR="003F0E89" w:rsidRPr="00CF7716">
        <w:rPr>
          <w:rFonts w:ascii="Times New Roman" w:eastAsia="Times New Roman" w:hAnsi="Times New Roman" w:cs="Times New Roman"/>
          <w:color w:val="000000" w:themeColor="text1"/>
          <w:lang w:eastAsia="en-GB"/>
        </w:rPr>
        <w:t>.</w:t>
      </w:r>
    </w:p>
  </w:footnote>
  <w:footnote w:id="14">
    <w:p w14:paraId="56E1CFE9" w14:textId="026517B7" w:rsidR="00615AD7" w:rsidRPr="00CF7716" w:rsidRDefault="00615AD7"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3F0E89" w:rsidRPr="00CF7716">
        <w:rPr>
          <w:color w:val="000000" w:themeColor="text1"/>
          <w:sz w:val="20"/>
          <w:szCs w:val="20"/>
        </w:rPr>
        <w:t xml:space="preserve">H </w:t>
      </w:r>
      <w:r w:rsidRPr="00CF7716">
        <w:rPr>
          <w:color w:val="000000" w:themeColor="text1"/>
          <w:sz w:val="20"/>
          <w:szCs w:val="20"/>
        </w:rPr>
        <w:t xml:space="preserve">Gray, </w:t>
      </w:r>
      <w:r w:rsidR="003F0E89" w:rsidRPr="00CF7716">
        <w:rPr>
          <w:color w:val="000000" w:themeColor="text1"/>
          <w:sz w:val="20"/>
          <w:szCs w:val="20"/>
        </w:rPr>
        <w:t>‘</w:t>
      </w:r>
      <w:r w:rsidRPr="00CF7716">
        <w:rPr>
          <w:color w:val="000000" w:themeColor="text1"/>
          <w:sz w:val="20"/>
          <w:szCs w:val="20"/>
        </w:rPr>
        <w:t xml:space="preserve">Access </w:t>
      </w:r>
      <w:r w:rsidR="003F0E89" w:rsidRPr="00CF7716">
        <w:rPr>
          <w:color w:val="000000" w:themeColor="text1"/>
          <w:sz w:val="20"/>
          <w:szCs w:val="20"/>
        </w:rPr>
        <w:t>O</w:t>
      </w:r>
      <w:r w:rsidRPr="00CF7716">
        <w:rPr>
          <w:color w:val="000000" w:themeColor="text1"/>
          <w:sz w:val="20"/>
          <w:szCs w:val="20"/>
        </w:rPr>
        <w:t xml:space="preserve">rders and the </w:t>
      </w:r>
      <w:r w:rsidR="003F0E89" w:rsidRPr="00CF7716">
        <w:rPr>
          <w:color w:val="000000" w:themeColor="text1"/>
          <w:sz w:val="20"/>
          <w:szCs w:val="20"/>
        </w:rPr>
        <w:t>“N</w:t>
      </w:r>
      <w:r w:rsidRPr="00CF7716">
        <w:rPr>
          <w:color w:val="000000" w:themeColor="text1"/>
          <w:sz w:val="20"/>
          <w:szCs w:val="20"/>
        </w:rPr>
        <w:t>ew</w:t>
      </w:r>
      <w:r w:rsidR="003F0E89" w:rsidRPr="00CF7716">
        <w:rPr>
          <w:color w:val="000000" w:themeColor="text1"/>
          <w:sz w:val="20"/>
          <w:szCs w:val="20"/>
        </w:rPr>
        <w:t>” N</w:t>
      </w:r>
      <w:r w:rsidRPr="00CF7716">
        <w:rPr>
          <w:color w:val="000000" w:themeColor="text1"/>
          <w:sz w:val="20"/>
          <w:szCs w:val="20"/>
        </w:rPr>
        <w:t xml:space="preserve">ew </w:t>
      </w:r>
      <w:r w:rsidR="003F0E89" w:rsidRPr="00CF7716">
        <w:rPr>
          <w:color w:val="000000" w:themeColor="text1"/>
          <w:sz w:val="20"/>
          <w:szCs w:val="20"/>
        </w:rPr>
        <w:t>I</w:t>
      </w:r>
      <w:r w:rsidRPr="00CF7716">
        <w:rPr>
          <w:color w:val="000000" w:themeColor="text1"/>
          <w:sz w:val="20"/>
          <w:szCs w:val="20"/>
        </w:rPr>
        <w:t xml:space="preserve">nstitutional </w:t>
      </w:r>
      <w:r w:rsidR="003F0E89" w:rsidRPr="00CF7716">
        <w:rPr>
          <w:color w:val="000000" w:themeColor="text1"/>
          <w:sz w:val="20"/>
          <w:szCs w:val="20"/>
        </w:rPr>
        <w:t>E</w:t>
      </w:r>
      <w:r w:rsidRPr="00CF7716">
        <w:rPr>
          <w:color w:val="000000" w:themeColor="text1"/>
          <w:sz w:val="20"/>
          <w:szCs w:val="20"/>
        </w:rPr>
        <w:t xml:space="preserve">conomics of </w:t>
      </w:r>
      <w:r w:rsidR="003F0E89" w:rsidRPr="00CF7716">
        <w:rPr>
          <w:color w:val="000000" w:themeColor="text1"/>
          <w:sz w:val="20"/>
          <w:szCs w:val="20"/>
        </w:rPr>
        <w:t>D</w:t>
      </w:r>
      <w:r w:rsidRPr="00CF7716">
        <w:rPr>
          <w:color w:val="000000" w:themeColor="text1"/>
          <w:sz w:val="20"/>
          <w:szCs w:val="20"/>
        </w:rPr>
        <w:t>evelopment</w:t>
      </w:r>
      <w:r w:rsidR="003F0E89" w:rsidRPr="00CF7716">
        <w:rPr>
          <w:color w:val="000000" w:themeColor="text1"/>
          <w:sz w:val="20"/>
          <w:szCs w:val="20"/>
        </w:rPr>
        <w:t>’ (2016) 47</w:t>
      </w:r>
      <w:r w:rsidRPr="00CF7716">
        <w:rPr>
          <w:color w:val="000000" w:themeColor="text1"/>
          <w:sz w:val="20"/>
          <w:szCs w:val="20"/>
        </w:rPr>
        <w:t xml:space="preserve"> </w:t>
      </w:r>
      <w:r w:rsidRPr="00CF7716">
        <w:rPr>
          <w:i/>
          <w:iCs/>
          <w:color w:val="000000" w:themeColor="text1"/>
          <w:sz w:val="20"/>
          <w:szCs w:val="20"/>
        </w:rPr>
        <w:t>Development and Change</w:t>
      </w:r>
      <w:r w:rsidRPr="00CF7716">
        <w:rPr>
          <w:color w:val="000000" w:themeColor="text1"/>
          <w:sz w:val="20"/>
          <w:szCs w:val="20"/>
        </w:rPr>
        <w:t xml:space="preserve"> 51, 64.</w:t>
      </w:r>
    </w:p>
  </w:footnote>
  <w:footnote w:id="15">
    <w:p w14:paraId="72792290" w14:textId="2F616E64" w:rsidR="0026333E" w:rsidRPr="00CF7716" w:rsidRDefault="0026333E"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00276E43" w:rsidRPr="00CF7716">
        <w:rPr>
          <w:rFonts w:ascii="Times New Roman" w:hAnsi="Times New Roman" w:cs="Times New Roman"/>
          <w:color w:val="000000" w:themeColor="text1"/>
        </w:rPr>
        <w:t>D North et al, ‘Lessons` in D North et al (eds)</w:t>
      </w:r>
      <w:r w:rsidR="002F5BE6">
        <w:rPr>
          <w:rFonts w:ascii="Times New Roman" w:hAnsi="Times New Roman" w:cs="Times New Roman"/>
          <w:color w:val="000000" w:themeColor="text1"/>
        </w:rPr>
        <w:t>,</w:t>
      </w:r>
      <w:r w:rsidR="00276E43" w:rsidRPr="00CF7716">
        <w:rPr>
          <w:rFonts w:ascii="Times New Roman" w:hAnsi="Times New Roman" w:cs="Times New Roman"/>
          <w:color w:val="000000" w:themeColor="text1"/>
        </w:rPr>
        <w:t xml:space="preserve"> </w:t>
      </w:r>
      <w:r w:rsidR="00276E43" w:rsidRPr="00CF7716">
        <w:rPr>
          <w:rFonts w:ascii="Times New Roman" w:hAnsi="Times New Roman" w:cs="Times New Roman"/>
          <w:i/>
          <w:iCs/>
          <w:color w:val="000000" w:themeColor="text1"/>
        </w:rPr>
        <w:t>In the Shadow of Violence: Politics, Economics, and the Problems of Development</w:t>
      </w:r>
      <w:r w:rsidR="00276E43" w:rsidRPr="00CF7716">
        <w:rPr>
          <w:rFonts w:ascii="Times New Roman" w:hAnsi="Times New Roman" w:cs="Times New Roman"/>
          <w:color w:val="000000" w:themeColor="text1"/>
        </w:rPr>
        <w:t xml:space="preserve"> (</w:t>
      </w:r>
      <w:r w:rsidR="00E26B93" w:rsidRPr="00E26B93">
        <w:rPr>
          <w:rFonts w:ascii="Times New Roman" w:hAnsi="Times New Roman" w:cs="Times New Roman"/>
          <w:color w:val="000000" w:themeColor="text1"/>
        </w:rPr>
        <w:t>Cambridge</w:t>
      </w:r>
      <w:r w:rsidR="00E26B93">
        <w:rPr>
          <w:rFonts w:ascii="Times New Roman" w:hAnsi="Times New Roman" w:cs="Times New Roman"/>
          <w:color w:val="000000" w:themeColor="text1"/>
        </w:rPr>
        <w:t>,</w:t>
      </w:r>
      <w:r w:rsidR="00E26B93" w:rsidRPr="00E26B93">
        <w:rPr>
          <w:rFonts w:ascii="Times New Roman" w:hAnsi="Times New Roman" w:cs="Times New Roman"/>
          <w:color w:val="000000" w:themeColor="text1"/>
        </w:rPr>
        <w:t xml:space="preserve"> Cambridge University Press,</w:t>
      </w:r>
      <w:r w:rsidR="00E26B93" w:rsidRPr="00CF7716">
        <w:rPr>
          <w:color w:val="000000" w:themeColor="text1"/>
        </w:rPr>
        <w:t xml:space="preserve"> </w:t>
      </w:r>
      <w:r w:rsidR="00276E43" w:rsidRPr="00CF7716">
        <w:rPr>
          <w:rFonts w:ascii="Times New Roman" w:hAnsi="Times New Roman" w:cs="Times New Roman"/>
          <w:color w:val="000000" w:themeColor="text1"/>
        </w:rPr>
        <w:t xml:space="preserve"> 2013),</w:t>
      </w:r>
      <w:r w:rsidRPr="00CF7716">
        <w:rPr>
          <w:rFonts w:ascii="Times New Roman" w:hAnsi="Times New Roman" w:cs="Times New Roman"/>
          <w:color w:val="000000" w:themeColor="text1"/>
        </w:rPr>
        <w:t xml:space="preserve"> 336</w:t>
      </w:r>
    </w:p>
  </w:footnote>
  <w:footnote w:id="16">
    <w:p w14:paraId="19BE5115" w14:textId="5CF2A96B" w:rsidR="003B6AA9" w:rsidRPr="00CF7716" w:rsidRDefault="003B6AA9"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Doornbos</w:t>
      </w:r>
      <w:r w:rsidR="00276E43" w:rsidRPr="00CF7716">
        <w:rPr>
          <w:rFonts w:ascii="Times New Roman" w:hAnsi="Times New Roman" w:cs="Times New Roman"/>
          <w:color w:val="000000" w:themeColor="text1"/>
        </w:rPr>
        <w:t xml:space="preserve"> (n 8)</w:t>
      </w:r>
      <w:r w:rsidRPr="00CF7716">
        <w:rPr>
          <w:rFonts w:ascii="Times New Roman" w:hAnsi="Times New Roman" w:cs="Times New Roman"/>
          <w:color w:val="000000" w:themeColor="text1"/>
        </w:rPr>
        <w:t xml:space="preserve"> 766.</w:t>
      </w:r>
    </w:p>
  </w:footnote>
  <w:footnote w:id="17">
    <w:p w14:paraId="0AFD1141" w14:textId="56DD3B1E" w:rsidR="00DE7DB3" w:rsidRPr="00CF7716" w:rsidRDefault="00DE7DB3"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5167C5" w:rsidRPr="00CF7716">
        <w:rPr>
          <w:color w:val="000000" w:themeColor="text1"/>
          <w:sz w:val="20"/>
          <w:szCs w:val="20"/>
        </w:rPr>
        <w:t xml:space="preserve">C </w:t>
      </w:r>
      <w:r w:rsidRPr="00CF7716">
        <w:rPr>
          <w:color w:val="000000" w:themeColor="text1"/>
          <w:sz w:val="20"/>
          <w:szCs w:val="20"/>
        </w:rPr>
        <w:t xml:space="preserve">Valters, </w:t>
      </w:r>
      <w:r w:rsidR="005167C5" w:rsidRPr="00CF7716">
        <w:rPr>
          <w:color w:val="000000" w:themeColor="text1"/>
          <w:sz w:val="20"/>
          <w:szCs w:val="20"/>
        </w:rPr>
        <w:t>G</w:t>
      </w:r>
      <w:r w:rsidRPr="00CF7716">
        <w:rPr>
          <w:color w:val="000000" w:themeColor="text1"/>
          <w:sz w:val="20"/>
          <w:szCs w:val="20"/>
        </w:rPr>
        <w:t xml:space="preserve"> Rabinowitz, and L Denney</w:t>
      </w:r>
      <w:r w:rsidR="005167C5" w:rsidRPr="00CF7716">
        <w:rPr>
          <w:color w:val="000000" w:themeColor="text1"/>
          <w:sz w:val="20"/>
          <w:szCs w:val="20"/>
        </w:rPr>
        <w:t>, ‘S</w:t>
      </w:r>
      <w:r w:rsidRPr="00CF7716">
        <w:rPr>
          <w:color w:val="000000" w:themeColor="text1"/>
          <w:sz w:val="20"/>
          <w:szCs w:val="20"/>
        </w:rPr>
        <w:t>ecurity in post-conflict contexts</w:t>
      </w:r>
      <w:r w:rsidR="001D41E8" w:rsidRPr="00CF7716">
        <w:rPr>
          <w:color w:val="000000" w:themeColor="text1"/>
          <w:sz w:val="20"/>
          <w:szCs w:val="20"/>
        </w:rPr>
        <w:t>: What counts as progress and what drives it?</w:t>
      </w:r>
      <w:r w:rsidR="005167C5" w:rsidRPr="00CF7716">
        <w:rPr>
          <w:color w:val="000000" w:themeColor="text1"/>
          <w:sz w:val="20"/>
          <w:szCs w:val="20"/>
        </w:rPr>
        <w:t>’</w:t>
      </w:r>
      <w:r w:rsidRPr="00CF7716">
        <w:rPr>
          <w:color w:val="000000" w:themeColor="text1"/>
          <w:sz w:val="20"/>
          <w:szCs w:val="20"/>
        </w:rPr>
        <w:t xml:space="preserve"> </w:t>
      </w:r>
      <w:r w:rsidR="005167C5" w:rsidRPr="00CF7716">
        <w:rPr>
          <w:color w:val="000000" w:themeColor="text1"/>
          <w:sz w:val="20"/>
          <w:szCs w:val="20"/>
        </w:rPr>
        <w:t xml:space="preserve">(2014) </w:t>
      </w:r>
      <w:r w:rsidRPr="00CF7716">
        <w:rPr>
          <w:i/>
          <w:iCs/>
          <w:color w:val="000000" w:themeColor="text1"/>
          <w:sz w:val="20"/>
          <w:szCs w:val="20"/>
        </w:rPr>
        <w:t>Overseas Development Institute Working Paper</w:t>
      </w:r>
      <w:r w:rsidR="005167C5" w:rsidRPr="00CF7716">
        <w:rPr>
          <w:i/>
          <w:iCs/>
          <w:color w:val="000000" w:themeColor="text1"/>
          <w:sz w:val="20"/>
          <w:szCs w:val="20"/>
        </w:rPr>
        <w:t xml:space="preserve">, </w:t>
      </w:r>
      <w:r w:rsidRPr="00CF7716">
        <w:rPr>
          <w:color w:val="000000" w:themeColor="text1"/>
          <w:sz w:val="20"/>
          <w:szCs w:val="20"/>
        </w:rPr>
        <w:t>2 and 3</w:t>
      </w:r>
      <w:r w:rsidR="001D41E8" w:rsidRPr="00CF7716">
        <w:rPr>
          <w:color w:val="000000" w:themeColor="text1"/>
          <w:sz w:val="20"/>
          <w:szCs w:val="20"/>
        </w:rPr>
        <w:t xml:space="preserve"> &lt;https://cdn.odi.org/media/documents/8915.pdf&gt; accessed </w:t>
      </w:r>
      <w:r w:rsidR="005A1075">
        <w:rPr>
          <w:color w:val="000000" w:themeColor="text1"/>
          <w:sz w:val="20"/>
          <w:szCs w:val="20"/>
        </w:rPr>
        <w:t>12 July</w:t>
      </w:r>
      <w:r w:rsidR="00BF4C22" w:rsidRPr="00BF4C22">
        <w:rPr>
          <w:color w:val="000000" w:themeColor="text1"/>
          <w:sz w:val="20"/>
          <w:szCs w:val="20"/>
        </w:rPr>
        <w:t xml:space="preserve"> 2022</w:t>
      </w:r>
      <w:r w:rsidR="001D41E8" w:rsidRPr="00BF4C22">
        <w:rPr>
          <w:color w:val="000000" w:themeColor="text1"/>
          <w:sz w:val="20"/>
          <w:szCs w:val="20"/>
        </w:rPr>
        <w:t>.</w:t>
      </w:r>
    </w:p>
  </w:footnote>
  <w:footnote w:id="18">
    <w:p w14:paraId="50C6A4BE" w14:textId="47D4AD4C" w:rsidR="003E5D52" w:rsidRPr="00CF7716" w:rsidRDefault="003E5D52"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602265" w:rsidRPr="00CF7716">
        <w:rPr>
          <w:color w:val="000000" w:themeColor="text1"/>
          <w:sz w:val="20"/>
          <w:szCs w:val="20"/>
        </w:rPr>
        <w:t xml:space="preserve">M </w:t>
      </w:r>
      <w:r w:rsidRPr="00CF7716">
        <w:rPr>
          <w:color w:val="000000" w:themeColor="text1"/>
          <w:sz w:val="20"/>
          <w:szCs w:val="20"/>
        </w:rPr>
        <w:t xml:space="preserve">Ayoob, </w:t>
      </w:r>
      <w:r w:rsidRPr="00CF7716">
        <w:rPr>
          <w:i/>
          <w:iCs/>
          <w:color w:val="000000" w:themeColor="text1"/>
          <w:sz w:val="20"/>
          <w:szCs w:val="20"/>
        </w:rPr>
        <w:t xml:space="preserve">The </w:t>
      </w:r>
      <w:r w:rsidR="00602265" w:rsidRPr="00CF7716">
        <w:rPr>
          <w:i/>
          <w:iCs/>
          <w:color w:val="000000" w:themeColor="text1"/>
          <w:sz w:val="20"/>
          <w:szCs w:val="20"/>
        </w:rPr>
        <w:t>T</w:t>
      </w:r>
      <w:r w:rsidRPr="00CF7716">
        <w:rPr>
          <w:i/>
          <w:iCs/>
          <w:color w:val="000000" w:themeColor="text1"/>
          <w:sz w:val="20"/>
          <w:szCs w:val="20"/>
        </w:rPr>
        <w:t xml:space="preserve">hird </w:t>
      </w:r>
      <w:r w:rsidR="00602265" w:rsidRPr="00CF7716">
        <w:rPr>
          <w:i/>
          <w:iCs/>
          <w:color w:val="000000" w:themeColor="text1"/>
          <w:sz w:val="20"/>
          <w:szCs w:val="20"/>
        </w:rPr>
        <w:t>W</w:t>
      </w:r>
      <w:r w:rsidRPr="00CF7716">
        <w:rPr>
          <w:i/>
          <w:iCs/>
          <w:color w:val="000000" w:themeColor="text1"/>
          <w:sz w:val="20"/>
          <w:szCs w:val="20"/>
        </w:rPr>
        <w:t xml:space="preserve">orld </w:t>
      </w:r>
      <w:r w:rsidR="00602265" w:rsidRPr="00CF7716">
        <w:rPr>
          <w:i/>
          <w:iCs/>
          <w:color w:val="000000" w:themeColor="text1"/>
          <w:sz w:val="20"/>
          <w:szCs w:val="20"/>
        </w:rPr>
        <w:t>S</w:t>
      </w:r>
      <w:r w:rsidRPr="00CF7716">
        <w:rPr>
          <w:i/>
          <w:iCs/>
          <w:color w:val="000000" w:themeColor="text1"/>
          <w:sz w:val="20"/>
          <w:szCs w:val="20"/>
        </w:rPr>
        <w:t xml:space="preserve">ecurity </w:t>
      </w:r>
      <w:r w:rsidR="00602265" w:rsidRPr="00CF7716">
        <w:rPr>
          <w:i/>
          <w:iCs/>
          <w:color w:val="000000" w:themeColor="text1"/>
          <w:sz w:val="20"/>
          <w:szCs w:val="20"/>
        </w:rPr>
        <w:t>P</w:t>
      </w:r>
      <w:r w:rsidRPr="00CF7716">
        <w:rPr>
          <w:i/>
          <w:iCs/>
          <w:color w:val="000000" w:themeColor="text1"/>
          <w:sz w:val="20"/>
          <w:szCs w:val="20"/>
        </w:rPr>
        <w:t xml:space="preserve">redicament: State </w:t>
      </w:r>
      <w:r w:rsidR="00602265" w:rsidRPr="00CF7716">
        <w:rPr>
          <w:i/>
          <w:iCs/>
          <w:color w:val="000000" w:themeColor="text1"/>
          <w:sz w:val="20"/>
          <w:szCs w:val="20"/>
        </w:rPr>
        <w:t>M</w:t>
      </w:r>
      <w:r w:rsidRPr="00CF7716">
        <w:rPr>
          <w:i/>
          <w:iCs/>
          <w:color w:val="000000" w:themeColor="text1"/>
          <w:sz w:val="20"/>
          <w:szCs w:val="20"/>
        </w:rPr>
        <w:t xml:space="preserve">aking, </w:t>
      </w:r>
      <w:r w:rsidR="00602265" w:rsidRPr="00CF7716">
        <w:rPr>
          <w:i/>
          <w:iCs/>
          <w:color w:val="000000" w:themeColor="text1"/>
          <w:sz w:val="20"/>
          <w:szCs w:val="20"/>
        </w:rPr>
        <w:t>R</w:t>
      </w:r>
      <w:r w:rsidRPr="00CF7716">
        <w:rPr>
          <w:i/>
          <w:iCs/>
          <w:color w:val="000000" w:themeColor="text1"/>
          <w:sz w:val="20"/>
          <w:szCs w:val="20"/>
        </w:rPr>
        <w:t xml:space="preserve">egional </w:t>
      </w:r>
      <w:r w:rsidR="00602265" w:rsidRPr="00CF7716">
        <w:rPr>
          <w:i/>
          <w:iCs/>
          <w:color w:val="000000" w:themeColor="text1"/>
          <w:sz w:val="20"/>
          <w:szCs w:val="20"/>
        </w:rPr>
        <w:t>C</w:t>
      </w:r>
      <w:r w:rsidRPr="00CF7716">
        <w:rPr>
          <w:i/>
          <w:iCs/>
          <w:color w:val="000000" w:themeColor="text1"/>
          <w:sz w:val="20"/>
          <w:szCs w:val="20"/>
        </w:rPr>
        <w:t xml:space="preserve">onflict, and the </w:t>
      </w:r>
      <w:r w:rsidR="00602265" w:rsidRPr="00CF7716">
        <w:rPr>
          <w:i/>
          <w:iCs/>
          <w:color w:val="000000" w:themeColor="text1"/>
          <w:sz w:val="20"/>
          <w:szCs w:val="20"/>
        </w:rPr>
        <w:t>I</w:t>
      </w:r>
      <w:r w:rsidRPr="00CF7716">
        <w:rPr>
          <w:i/>
          <w:iCs/>
          <w:color w:val="000000" w:themeColor="text1"/>
          <w:sz w:val="20"/>
          <w:szCs w:val="20"/>
        </w:rPr>
        <w:t xml:space="preserve">nternational </w:t>
      </w:r>
      <w:r w:rsidR="00602265" w:rsidRPr="00CF7716">
        <w:rPr>
          <w:i/>
          <w:iCs/>
          <w:color w:val="000000" w:themeColor="text1"/>
          <w:sz w:val="20"/>
          <w:szCs w:val="20"/>
        </w:rPr>
        <w:t>S</w:t>
      </w:r>
      <w:r w:rsidRPr="00CF7716">
        <w:rPr>
          <w:i/>
          <w:iCs/>
          <w:color w:val="000000" w:themeColor="text1"/>
          <w:sz w:val="20"/>
          <w:szCs w:val="20"/>
        </w:rPr>
        <w:t>ystem</w:t>
      </w:r>
      <w:r w:rsidR="00602265" w:rsidRPr="00CF7716">
        <w:rPr>
          <w:color w:val="000000" w:themeColor="text1"/>
          <w:sz w:val="20"/>
          <w:szCs w:val="20"/>
        </w:rPr>
        <w:t xml:space="preserve"> (</w:t>
      </w:r>
      <w:r w:rsidR="00E26B93">
        <w:rPr>
          <w:color w:val="000000" w:themeColor="text1"/>
          <w:sz w:val="20"/>
          <w:szCs w:val="20"/>
        </w:rPr>
        <w:t xml:space="preserve">Boulder, </w:t>
      </w:r>
      <w:r w:rsidRPr="00CF7716">
        <w:rPr>
          <w:color w:val="000000" w:themeColor="text1"/>
          <w:sz w:val="20"/>
          <w:szCs w:val="20"/>
        </w:rPr>
        <w:t>L</w:t>
      </w:r>
      <w:r w:rsidR="00602265" w:rsidRPr="00CF7716">
        <w:rPr>
          <w:color w:val="000000" w:themeColor="text1"/>
          <w:sz w:val="20"/>
          <w:szCs w:val="20"/>
        </w:rPr>
        <w:t>ynne</w:t>
      </w:r>
      <w:r w:rsidRPr="00CF7716">
        <w:rPr>
          <w:color w:val="000000" w:themeColor="text1"/>
          <w:sz w:val="20"/>
          <w:szCs w:val="20"/>
        </w:rPr>
        <w:t xml:space="preserve"> Rienner</w:t>
      </w:r>
      <w:r w:rsidR="00E26B93">
        <w:rPr>
          <w:color w:val="000000" w:themeColor="text1"/>
          <w:sz w:val="20"/>
          <w:szCs w:val="20"/>
        </w:rPr>
        <w:t>,</w:t>
      </w:r>
      <w:r w:rsidRPr="00CF7716">
        <w:rPr>
          <w:color w:val="000000" w:themeColor="text1"/>
          <w:sz w:val="20"/>
          <w:szCs w:val="20"/>
        </w:rPr>
        <w:t xml:space="preserve"> 1995</w:t>
      </w:r>
      <w:r w:rsidR="00602265" w:rsidRPr="00CF7716">
        <w:rPr>
          <w:color w:val="000000" w:themeColor="text1"/>
          <w:sz w:val="20"/>
          <w:szCs w:val="20"/>
        </w:rPr>
        <w:t>)</w:t>
      </w:r>
      <w:r w:rsidRPr="00CF7716">
        <w:rPr>
          <w:color w:val="000000" w:themeColor="text1"/>
          <w:sz w:val="20"/>
          <w:szCs w:val="20"/>
        </w:rPr>
        <w:t xml:space="preserve"> 4</w:t>
      </w:r>
      <w:r w:rsidR="00602265" w:rsidRPr="00CF7716">
        <w:rPr>
          <w:color w:val="000000" w:themeColor="text1"/>
          <w:sz w:val="20"/>
          <w:szCs w:val="20"/>
        </w:rPr>
        <w:t>.</w:t>
      </w:r>
    </w:p>
  </w:footnote>
  <w:footnote w:id="19">
    <w:p w14:paraId="497D9A98" w14:textId="25368161" w:rsidR="00DE7DB3" w:rsidRPr="00CF7716" w:rsidRDefault="00DE7DB3" w:rsidP="00E65CEB">
      <w:pPr>
        <w:autoSpaceDE w:val="0"/>
        <w:autoSpaceDN w:val="0"/>
        <w:adjustRightInd w:val="0"/>
        <w:spacing w:line="480" w:lineRule="auto"/>
        <w:rPr>
          <w:color w:val="000000" w:themeColor="text1"/>
          <w:sz w:val="20"/>
          <w:szCs w:val="20"/>
          <w:lang w:val="en-GB"/>
        </w:rPr>
      </w:pPr>
      <w:r w:rsidRPr="00CF7716">
        <w:rPr>
          <w:rStyle w:val="FootnoteReference"/>
          <w:color w:val="000000" w:themeColor="text1"/>
          <w:sz w:val="20"/>
          <w:szCs w:val="20"/>
        </w:rPr>
        <w:footnoteRef/>
      </w:r>
      <w:r w:rsidRPr="00CF7716">
        <w:rPr>
          <w:color w:val="000000" w:themeColor="text1"/>
          <w:sz w:val="20"/>
          <w:szCs w:val="20"/>
        </w:rPr>
        <w:t xml:space="preserve"> </w:t>
      </w:r>
      <w:r w:rsidRPr="00CF7716">
        <w:rPr>
          <w:color w:val="000000" w:themeColor="text1"/>
          <w:sz w:val="20"/>
          <w:szCs w:val="20"/>
          <w:lang w:val="en-GB"/>
        </w:rPr>
        <w:t xml:space="preserve">These terms are used interchangeably in the literature and have </w:t>
      </w:r>
      <w:r w:rsidR="00602265" w:rsidRPr="00CF7716">
        <w:rPr>
          <w:color w:val="000000" w:themeColor="text1"/>
          <w:sz w:val="20"/>
          <w:szCs w:val="20"/>
          <w:lang w:val="en-GB"/>
        </w:rPr>
        <w:t xml:space="preserve">little </w:t>
      </w:r>
      <w:r w:rsidRPr="00CF7716">
        <w:rPr>
          <w:color w:val="000000" w:themeColor="text1"/>
          <w:sz w:val="20"/>
          <w:szCs w:val="20"/>
          <w:lang w:val="en-GB"/>
        </w:rPr>
        <w:t>discernible difference in meaning. The former is preferred in this article.</w:t>
      </w:r>
    </w:p>
  </w:footnote>
  <w:footnote w:id="20">
    <w:p w14:paraId="38E28D23" w14:textId="56CA87FA" w:rsidR="00741709" w:rsidRPr="00CF7716" w:rsidRDefault="00741709" w:rsidP="00E65CEB">
      <w:pPr>
        <w:autoSpaceDE w:val="0"/>
        <w:autoSpaceDN w:val="0"/>
        <w:adjustRightInd w:val="0"/>
        <w:spacing w:line="480" w:lineRule="auto"/>
        <w:rPr>
          <w:color w:val="000000" w:themeColor="text1"/>
          <w:sz w:val="20"/>
          <w:szCs w:val="20"/>
          <w:lang w:val="en-GB"/>
        </w:rPr>
      </w:pPr>
      <w:r w:rsidRPr="00CF7716">
        <w:rPr>
          <w:rStyle w:val="FootnoteReference"/>
          <w:color w:val="000000" w:themeColor="text1"/>
          <w:sz w:val="20"/>
          <w:szCs w:val="20"/>
        </w:rPr>
        <w:footnoteRef/>
      </w:r>
      <w:r w:rsidRPr="00CF7716">
        <w:rPr>
          <w:color w:val="000000" w:themeColor="text1"/>
          <w:sz w:val="20"/>
          <w:szCs w:val="20"/>
        </w:rPr>
        <w:t xml:space="preserve"> </w:t>
      </w:r>
      <w:r w:rsidRPr="00CF7716">
        <w:rPr>
          <w:color w:val="000000" w:themeColor="text1"/>
          <w:sz w:val="20"/>
          <w:szCs w:val="20"/>
          <w:lang w:val="en-GB"/>
        </w:rPr>
        <w:t>United Nations Commission on Human Rights, ‘Updated Set of Principles for the Protection</w:t>
      </w:r>
      <w:r w:rsidR="00F15474" w:rsidRPr="00CF7716">
        <w:rPr>
          <w:color w:val="000000" w:themeColor="text1"/>
          <w:sz w:val="20"/>
          <w:szCs w:val="20"/>
          <w:lang w:val="en-GB"/>
        </w:rPr>
        <w:t xml:space="preserve"> </w:t>
      </w:r>
      <w:r w:rsidRPr="00CF7716">
        <w:rPr>
          <w:color w:val="000000" w:themeColor="text1"/>
          <w:sz w:val="20"/>
          <w:szCs w:val="20"/>
          <w:lang w:val="en-GB"/>
        </w:rPr>
        <w:t>and Promotion of Human Rights through Action to Combat Impunity’ (2015)</w:t>
      </w:r>
      <w:r w:rsidR="001D41E8" w:rsidRPr="00CF7716">
        <w:rPr>
          <w:color w:val="000000" w:themeColor="text1"/>
          <w:sz w:val="20"/>
          <w:szCs w:val="20"/>
          <w:lang w:val="en-GB"/>
        </w:rPr>
        <w:t xml:space="preserve"> </w:t>
      </w:r>
      <w:r w:rsidRPr="00CF7716">
        <w:rPr>
          <w:color w:val="000000" w:themeColor="text1"/>
          <w:sz w:val="20"/>
          <w:szCs w:val="20"/>
          <w:lang w:val="en-GB"/>
        </w:rPr>
        <w:t>E/CN.4/</w:t>
      </w:r>
      <w:r w:rsidR="00F15474" w:rsidRPr="00CF7716">
        <w:rPr>
          <w:color w:val="000000" w:themeColor="text1"/>
          <w:sz w:val="20"/>
          <w:szCs w:val="20"/>
          <w:lang w:val="en-GB"/>
        </w:rPr>
        <w:t xml:space="preserve"> </w:t>
      </w:r>
      <w:r w:rsidRPr="00CF7716">
        <w:rPr>
          <w:color w:val="000000" w:themeColor="text1"/>
          <w:sz w:val="20"/>
          <w:szCs w:val="20"/>
          <w:lang w:val="en-GB"/>
        </w:rPr>
        <w:t>2005/102/Add.1.</w:t>
      </w:r>
    </w:p>
  </w:footnote>
  <w:footnote w:id="21">
    <w:p w14:paraId="20D3BDCE" w14:textId="57CE3622" w:rsidR="00741709" w:rsidRPr="00CF7716" w:rsidRDefault="00741709" w:rsidP="00E65CEB">
      <w:pPr>
        <w:autoSpaceDE w:val="0"/>
        <w:autoSpaceDN w:val="0"/>
        <w:adjustRightInd w:val="0"/>
        <w:spacing w:line="480" w:lineRule="auto"/>
        <w:rPr>
          <w:color w:val="000000" w:themeColor="text1"/>
          <w:sz w:val="20"/>
          <w:szCs w:val="20"/>
          <w:lang w:val="en-GB"/>
        </w:rPr>
      </w:pPr>
      <w:r w:rsidRPr="00CF7716">
        <w:rPr>
          <w:rStyle w:val="FootnoteReference"/>
          <w:color w:val="000000" w:themeColor="text1"/>
          <w:sz w:val="20"/>
          <w:szCs w:val="20"/>
        </w:rPr>
        <w:footnoteRef/>
      </w:r>
      <w:r w:rsidRPr="00CF7716">
        <w:rPr>
          <w:color w:val="000000" w:themeColor="text1"/>
          <w:sz w:val="20"/>
          <w:szCs w:val="20"/>
        </w:rPr>
        <w:t xml:space="preserve"> M Davidovic, ‘</w:t>
      </w:r>
      <w:r w:rsidRPr="00CF7716">
        <w:rPr>
          <w:color w:val="000000" w:themeColor="text1"/>
          <w:sz w:val="20"/>
          <w:szCs w:val="20"/>
          <w:lang w:val="en-GB"/>
        </w:rPr>
        <w:t xml:space="preserve">The Law of </w:t>
      </w:r>
      <w:r w:rsidR="003F0E89" w:rsidRPr="00CF7716">
        <w:rPr>
          <w:color w:val="000000" w:themeColor="text1"/>
          <w:sz w:val="20"/>
          <w:szCs w:val="20"/>
          <w:lang w:val="en-GB"/>
        </w:rPr>
        <w:t>“</w:t>
      </w:r>
      <w:r w:rsidRPr="00CF7716">
        <w:rPr>
          <w:color w:val="000000" w:themeColor="text1"/>
          <w:sz w:val="20"/>
          <w:szCs w:val="20"/>
          <w:lang w:val="en-GB"/>
        </w:rPr>
        <w:t>Never Again</w:t>
      </w:r>
      <w:r w:rsidR="003F0E89" w:rsidRPr="00CF7716">
        <w:rPr>
          <w:color w:val="000000" w:themeColor="text1"/>
          <w:sz w:val="20"/>
          <w:szCs w:val="20"/>
          <w:lang w:val="en-GB"/>
        </w:rPr>
        <w:t>”</w:t>
      </w:r>
      <w:r w:rsidRPr="00CF7716">
        <w:rPr>
          <w:color w:val="000000" w:themeColor="text1"/>
          <w:sz w:val="20"/>
          <w:szCs w:val="20"/>
          <w:lang w:val="en-GB"/>
        </w:rPr>
        <w:t>: Transitional</w:t>
      </w:r>
      <w:r w:rsidR="005677DC" w:rsidRPr="00CF7716">
        <w:rPr>
          <w:color w:val="000000" w:themeColor="text1"/>
          <w:sz w:val="20"/>
          <w:szCs w:val="20"/>
          <w:lang w:val="en-GB"/>
        </w:rPr>
        <w:t xml:space="preserve"> </w:t>
      </w:r>
      <w:r w:rsidRPr="00CF7716">
        <w:rPr>
          <w:color w:val="000000" w:themeColor="text1"/>
          <w:sz w:val="20"/>
          <w:szCs w:val="20"/>
          <w:lang w:val="en-GB"/>
        </w:rPr>
        <w:t>Justice and the Transformation of the Norm of</w:t>
      </w:r>
      <w:r w:rsidR="001D41E8" w:rsidRPr="00CF7716">
        <w:rPr>
          <w:color w:val="000000" w:themeColor="text1"/>
          <w:sz w:val="20"/>
          <w:szCs w:val="20"/>
          <w:lang w:val="en-GB"/>
        </w:rPr>
        <w:t xml:space="preserve"> </w:t>
      </w:r>
      <w:r w:rsidRPr="00CF7716">
        <w:rPr>
          <w:color w:val="000000" w:themeColor="text1"/>
          <w:sz w:val="20"/>
          <w:szCs w:val="20"/>
          <w:lang w:val="en-GB"/>
        </w:rPr>
        <w:t>Non-Recurrence</w:t>
      </w:r>
      <w:r w:rsidRPr="00CF7716">
        <w:rPr>
          <w:color w:val="000000" w:themeColor="text1"/>
          <w:sz w:val="20"/>
          <w:szCs w:val="20"/>
        </w:rPr>
        <w:t>’ (</w:t>
      </w:r>
      <w:r w:rsidR="005677DC" w:rsidRPr="00CF7716">
        <w:rPr>
          <w:color w:val="000000" w:themeColor="text1"/>
          <w:sz w:val="20"/>
          <w:szCs w:val="20"/>
        </w:rPr>
        <w:t xml:space="preserve">2021) 15 </w:t>
      </w:r>
      <w:r w:rsidR="005677DC" w:rsidRPr="00CF7716">
        <w:rPr>
          <w:i/>
          <w:iCs/>
          <w:color w:val="000000" w:themeColor="text1"/>
          <w:sz w:val="20"/>
          <w:szCs w:val="20"/>
          <w:lang w:val="en-GB"/>
        </w:rPr>
        <w:t>International Journal of Transitional Justice</w:t>
      </w:r>
      <w:r w:rsidR="005677DC" w:rsidRPr="00CF7716">
        <w:rPr>
          <w:color w:val="000000" w:themeColor="text1"/>
          <w:sz w:val="20"/>
          <w:szCs w:val="20"/>
          <w:lang w:val="en-GB"/>
        </w:rPr>
        <w:t xml:space="preserve"> 386, 400.</w:t>
      </w:r>
    </w:p>
  </w:footnote>
  <w:footnote w:id="22">
    <w:p w14:paraId="5C9601DB" w14:textId="175C0AA9" w:rsidR="004A53EE" w:rsidRPr="00CF7716" w:rsidRDefault="004A53EE" w:rsidP="00E65CEB">
      <w:pPr>
        <w:autoSpaceDE w:val="0"/>
        <w:autoSpaceDN w:val="0"/>
        <w:adjustRightInd w:val="0"/>
        <w:spacing w:line="480" w:lineRule="auto"/>
        <w:rPr>
          <w:color w:val="000000" w:themeColor="text1"/>
          <w:sz w:val="20"/>
          <w:szCs w:val="20"/>
          <w:lang w:val="en-GB"/>
        </w:rPr>
      </w:pPr>
      <w:r w:rsidRPr="00CF7716">
        <w:rPr>
          <w:rStyle w:val="FootnoteReference"/>
          <w:color w:val="000000" w:themeColor="text1"/>
          <w:sz w:val="20"/>
          <w:szCs w:val="20"/>
        </w:rPr>
        <w:footnoteRef/>
      </w:r>
      <w:r w:rsidRPr="00CF7716">
        <w:rPr>
          <w:color w:val="000000" w:themeColor="text1"/>
          <w:sz w:val="20"/>
          <w:szCs w:val="20"/>
        </w:rPr>
        <w:t xml:space="preserve"> A </w:t>
      </w:r>
      <w:r w:rsidRPr="00CF7716">
        <w:rPr>
          <w:color w:val="000000" w:themeColor="text1"/>
          <w:sz w:val="20"/>
          <w:szCs w:val="20"/>
          <w:lang w:val="en-GB"/>
        </w:rPr>
        <w:t>Mayer-Rieckh, ‘Guarantees of Non-Recurrence: An Approximation’ (</w:t>
      </w:r>
      <w:r w:rsidR="00375C12" w:rsidRPr="00CF7716">
        <w:rPr>
          <w:color w:val="000000" w:themeColor="text1"/>
          <w:sz w:val="20"/>
          <w:szCs w:val="20"/>
          <w:lang w:val="en-GB"/>
        </w:rPr>
        <w:t>2017</w:t>
      </w:r>
      <w:r w:rsidRPr="00CF7716">
        <w:rPr>
          <w:color w:val="000000" w:themeColor="text1"/>
          <w:sz w:val="20"/>
          <w:szCs w:val="20"/>
          <w:lang w:val="en-GB"/>
        </w:rPr>
        <w:t xml:space="preserve">) 39 </w:t>
      </w:r>
      <w:r w:rsidRPr="00CF7716">
        <w:rPr>
          <w:i/>
          <w:iCs/>
          <w:color w:val="000000" w:themeColor="text1"/>
          <w:sz w:val="20"/>
          <w:szCs w:val="20"/>
          <w:lang w:val="en-GB"/>
        </w:rPr>
        <w:t>Human Rights</w:t>
      </w:r>
      <w:r w:rsidR="003F0E89" w:rsidRPr="00CF7716">
        <w:rPr>
          <w:i/>
          <w:iCs/>
          <w:color w:val="000000" w:themeColor="text1"/>
          <w:sz w:val="20"/>
          <w:szCs w:val="20"/>
          <w:lang w:val="en-GB"/>
        </w:rPr>
        <w:t xml:space="preserve"> Quarterly</w:t>
      </w:r>
      <w:r w:rsidR="001D41E8" w:rsidRPr="00CF7716">
        <w:rPr>
          <w:i/>
          <w:iCs/>
          <w:color w:val="000000" w:themeColor="text1"/>
          <w:sz w:val="20"/>
          <w:szCs w:val="20"/>
          <w:lang w:val="en-GB"/>
        </w:rPr>
        <w:t xml:space="preserve"> </w:t>
      </w:r>
      <w:r w:rsidRPr="00CF7716">
        <w:rPr>
          <w:color w:val="000000" w:themeColor="text1"/>
          <w:sz w:val="20"/>
          <w:szCs w:val="20"/>
          <w:lang w:val="en-GB"/>
        </w:rPr>
        <w:t>416, 430 and 438.</w:t>
      </w:r>
    </w:p>
  </w:footnote>
  <w:footnote w:id="23">
    <w:p w14:paraId="7D161658" w14:textId="08C36290" w:rsidR="00CF09E0" w:rsidRPr="00CF7716" w:rsidRDefault="00CF09E0" w:rsidP="00E65CEB">
      <w:pPr>
        <w:autoSpaceDE w:val="0"/>
        <w:autoSpaceDN w:val="0"/>
        <w:adjustRightInd w:val="0"/>
        <w:spacing w:line="480" w:lineRule="auto"/>
        <w:rPr>
          <w:color w:val="000000" w:themeColor="text1"/>
          <w:sz w:val="20"/>
          <w:szCs w:val="20"/>
          <w:lang w:val="en-GB"/>
        </w:rPr>
      </w:pPr>
      <w:r w:rsidRPr="00CF7716">
        <w:rPr>
          <w:rStyle w:val="FootnoteReference"/>
          <w:color w:val="000000" w:themeColor="text1"/>
          <w:sz w:val="20"/>
          <w:szCs w:val="20"/>
        </w:rPr>
        <w:footnoteRef/>
      </w:r>
      <w:r w:rsidRPr="00CF7716">
        <w:rPr>
          <w:color w:val="000000" w:themeColor="text1"/>
          <w:sz w:val="20"/>
          <w:szCs w:val="20"/>
        </w:rPr>
        <w:t xml:space="preserve"> </w:t>
      </w:r>
      <w:r w:rsidR="00A35DF0" w:rsidRPr="00CF7716">
        <w:rPr>
          <w:color w:val="000000" w:themeColor="text1"/>
          <w:sz w:val="20"/>
          <w:szCs w:val="20"/>
        </w:rPr>
        <w:t xml:space="preserve">A faith discussed in </w:t>
      </w:r>
      <w:r w:rsidRPr="00CF7716">
        <w:rPr>
          <w:color w:val="000000" w:themeColor="text1"/>
          <w:sz w:val="20"/>
          <w:szCs w:val="20"/>
        </w:rPr>
        <w:t xml:space="preserve">C </w:t>
      </w:r>
      <w:r w:rsidRPr="00CF7716">
        <w:rPr>
          <w:color w:val="000000" w:themeColor="text1"/>
          <w:sz w:val="20"/>
          <w:szCs w:val="20"/>
          <w:lang w:val="en-GB"/>
        </w:rPr>
        <w:t xml:space="preserve">Sandoval, ‘Transitional Justice and Social Change’ (2014) 20 </w:t>
      </w:r>
      <w:r w:rsidRPr="00CF7716">
        <w:rPr>
          <w:i/>
          <w:iCs/>
          <w:color w:val="000000" w:themeColor="text1"/>
          <w:sz w:val="20"/>
          <w:szCs w:val="20"/>
          <w:lang w:val="en-GB"/>
        </w:rPr>
        <w:t>Sur International Journal on Human Rights</w:t>
      </w:r>
      <w:r w:rsidRPr="00CF7716">
        <w:rPr>
          <w:color w:val="000000" w:themeColor="text1"/>
          <w:sz w:val="20"/>
          <w:szCs w:val="20"/>
          <w:lang w:val="en-GB"/>
        </w:rPr>
        <w:t xml:space="preserve"> 181, 184.</w:t>
      </w:r>
    </w:p>
  </w:footnote>
  <w:footnote w:id="24">
    <w:p w14:paraId="2FCA1C6E" w14:textId="3824900E" w:rsidR="00DE11B4" w:rsidRPr="00CF7716" w:rsidRDefault="00DE11B4"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615AD7" w:rsidRPr="00CF7716">
        <w:rPr>
          <w:color w:val="000000" w:themeColor="text1"/>
          <w:sz w:val="20"/>
          <w:szCs w:val="20"/>
        </w:rPr>
        <w:t>Pospisil and Rocha Menochal</w:t>
      </w:r>
      <w:r w:rsidR="00E41D89" w:rsidRPr="00CF7716">
        <w:rPr>
          <w:color w:val="000000" w:themeColor="text1"/>
          <w:sz w:val="20"/>
          <w:szCs w:val="20"/>
        </w:rPr>
        <w:t xml:space="preserve"> (n 13) </w:t>
      </w:r>
      <w:r w:rsidRPr="00CF7716">
        <w:rPr>
          <w:color w:val="000000" w:themeColor="text1"/>
          <w:sz w:val="20"/>
          <w:szCs w:val="20"/>
        </w:rPr>
        <w:t>553</w:t>
      </w:r>
      <w:r w:rsidR="00E41D89" w:rsidRPr="00CF7716">
        <w:rPr>
          <w:color w:val="000000" w:themeColor="text1"/>
          <w:sz w:val="20"/>
          <w:szCs w:val="20"/>
        </w:rPr>
        <w:t>.</w:t>
      </w:r>
    </w:p>
  </w:footnote>
  <w:footnote w:id="25">
    <w:p w14:paraId="0FC4C0F4" w14:textId="24E0EEF7" w:rsidR="000F5ECA" w:rsidRPr="00CF7716" w:rsidRDefault="000F5ECA"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602265" w:rsidRPr="00CF7716">
        <w:rPr>
          <w:color w:val="000000" w:themeColor="text1"/>
          <w:sz w:val="20"/>
          <w:szCs w:val="20"/>
        </w:rPr>
        <w:t xml:space="preserve">J </w:t>
      </w:r>
      <w:r w:rsidRPr="00CF7716">
        <w:rPr>
          <w:color w:val="000000" w:themeColor="text1"/>
          <w:sz w:val="20"/>
          <w:szCs w:val="20"/>
        </w:rPr>
        <w:t>Di</w:t>
      </w:r>
      <w:r w:rsidR="00AD3FB7" w:rsidRPr="00CF7716">
        <w:rPr>
          <w:color w:val="000000" w:themeColor="text1"/>
          <w:sz w:val="20"/>
          <w:szCs w:val="20"/>
        </w:rPr>
        <w:t xml:space="preserve"> </w:t>
      </w:r>
      <w:r w:rsidRPr="00CF7716">
        <w:rPr>
          <w:color w:val="000000" w:themeColor="text1"/>
          <w:sz w:val="20"/>
          <w:szCs w:val="20"/>
        </w:rPr>
        <w:t xml:space="preserve">John, </w:t>
      </w:r>
      <w:r w:rsidRPr="00CF7716">
        <w:rPr>
          <w:i/>
          <w:iCs/>
          <w:color w:val="000000" w:themeColor="text1"/>
          <w:sz w:val="20"/>
          <w:szCs w:val="20"/>
        </w:rPr>
        <w:t xml:space="preserve">Conceptualising the </w:t>
      </w:r>
      <w:r w:rsidR="00602265" w:rsidRPr="00CF7716">
        <w:rPr>
          <w:i/>
          <w:iCs/>
          <w:color w:val="000000" w:themeColor="text1"/>
          <w:sz w:val="20"/>
          <w:szCs w:val="20"/>
        </w:rPr>
        <w:t>C</w:t>
      </w:r>
      <w:r w:rsidRPr="00CF7716">
        <w:rPr>
          <w:i/>
          <w:iCs/>
          <w:color w:val="000000" w:themeColor="text1"/>
          <w:sz w:val="20"/>
          <w:szCs w:val="20"/>
        </w:rPr>
        <w:t xml:space="preserve">auses and </w:t>
      </w:r>
      <w:r w:rsidR="00602265" w:rsidRPr="00CF7716">
        <w:rPr>
          <w:i/>
          <w:iCs/>
          <w:color w:val="000000" w:themeColor="text1"/>
          <w:sz w:val="20"/>
          <w:szCs w:val="20"/>
        </w:rPr>
        <w:t>C</w:t>
      </w:r>
      <w:r w:rsidRPr="00CF7716">
        <w:rPr>
          <w:i/>
          <w:iCs/>
          <w:color w:val="000000" w:themeColor="text1"/>
          <w:sz w:val="20"/>
          <w:szCs w:val="20"/>
        </w:rPr>
        <w:t xml:space="preserve">onsequences of </w:t>
      </w:r>
      <w:r w:rsidR="00602265" w:rsidRPr="00CF7716">
        <w:rPr>
          <w:i/>
          <w:iCs/>
          <w:color w:val="000000" w:themeColor="text1"/>
          <w:sz w:val="20"/>
          <w:szCs w:val="20"/>
        </w:rPr>
        <w:t>F</w:t>
      </w:r>
      <w:r w:rsidRPr="00CF7716">
        <w:rPr>
          <w:i/>
          <w:iCs/>
          <w:color w:val="000000" w:themeColor="text1"/>
          <w:sz w:val="20"/>
          <w:szCs w:val="20"/>
        </w:rPr>
        <w:t xml:space="preserve">ailed </w:t>
      </w:r>
      <w:r w:rsidR="00602265" w:rsidRPr="00CF7716">
        <w:rPr>
          <w:i/>
          <w:iCs/>
          <w:color w:val="000000" w:themeColor="text1"/>
          <w:sz w:val="20"/>
          <w:szCs w:val="20"/>
        </w:rPr>
        <w:t>S</w:t>
      </w:r>
      <w:r w:rsidRPr="00CF7716">
        <w:rPr>
          <w:i/>
          <w:iCs/>
          <w:color w:val="000000" w:themeColor="text1"/>
          <w:sz w:val="20"/>
          <w:szCs w:val="20"/>
        </w:rPr>
        <w:t xml:space="preserve">tates: </w:t>
      </w:r>
      <w:r w:rsidR="00602265" w:rsidRPr="00CF7716">
        <w:rPr>
          <w:i/>
          <w:iCs/>
          <w:color w:val="000000" w:themeColor="text1"/>
          <w:sz w:val="20"/>
          <w:szCs w:val="20"/>
        </w:rPr>
        <w:t>A</w:t>
      </w:r>
      <w:r w:rsidRPr="00CF7716">
        <w:rPr>
          <w:i/>
          <w:iCs/>
          <w:color w:val="000000" w:themeColor="text1"/>
          <w:sz w:val="20"/>
          <w:szCs w:val="20"/>
        </w:rPr>
        <w:t xml:space="preserve"> </w:t>
      </w:r>
      <w:r w:rsidR="00602265" w:rsidRPr="00CF7716">
        <w:rPr>
          <w:i/>
          <w:iCs/>
          <w:color w:val="000000" w:themeColor="text1"/>
          <w:sz w:val="20"/>
          <w:szCs w:val="20"/>
        </w:rPr>
        <w:t>C</w:t>
      </w:r>
      <w:r w:rsidRPr="00CF7716">
        <w:rPr>
          <w:i/>
          <w:iCs/>
          <w:color w:val="000000" w:themeColor="text1"/>
          <w:sz w:val="20"/>
          <w:szCs w:val="20"/>
        </w:rPr>
        <w:t xml:space="preserve">ritical </w:t>
      </w:r>
      <w:r w:rsidR="00602265" w:rsidRPr="00CF7716">
        <w:rPr>
          <w:i/>
          <w:iCs/>
          <w:color w:val="000000" w:themeColor="text1"/>
          <w:sz w:val="20"/>
          <w:szCs w:val="20"/>
        </w:rPr>
        <w:t>R</w:t>
      </w:r>
      <w:r w:rsidRPr="00CF7716">
        <w:rPr>
          <w:i/>
          <w:iCs/>
          <w:color w:val="000000" w:themeColor="text1"/>
          <w:sz w:val="20"/>
          <w:szCs w:val="20"/>
        </w:rPr>
        <w:t xml:space="preserve">eview of the </w:t>
      </w:r>
      <w:r w:rsidR="00602265" w:rsidRPr="00CF7716">
        <w:rPr>
          <w:i/>
          <w:iCs/>
          <w:color w:val="000000" w:themeColor="text1"/>
          <w:sz w:val="20"/>
          <w:szCs w:val="20"/>
        </w:rPr>
        <w:t>L</w:t>
      </w:r>
      <w:r w:rsidRPr="00CF7716">
        <w:rPr>
          <w:i/>
          <w:iCs/>
          <w:color w:val="000000" w:themeColor="text1"/>
          <w:sz w:val="20"/>
          <w:szCs w:val="20"/>
        </w:rPr>
        <w:t>iterature</w:t>
      </w:r>
      <w:r w:rsidR="00602265" w:rsidRPr="00CF7716">
        <w:rPr>
          <w:color w:val="000000" w:themeColor="text1"/>
          <w:sz w:val="20"/>
          <w:szCs w:val="20"/>
        </w:rPr>
        <w:t xml:space="preserve"> (</w:t>
      </w:r>
      <w:r w:rsidR="00E26B93">
        <w:rPr>
          <w:color w:val="000000" w:themeColor="text1"/>
          <w:sz w:val="20"/>
          <w:szCs w:val="20"/>
        </w:rPr>
        <w:t xml:space="preserve">London, </w:t>
      </w:r>
      <w:r w:rsidRPr="00CF7716">
        <w:rPr>
          <w:color w:val="000000" w:themeColor="text1"/>
          <w:sz w:val="20"/>
          <w:szCs w:val="20"/>
        </w:rPr>
        <w:t>Crisis States Research Centre</w:t>
      </w:r>
      <w:r w:rsidR="00602265" w:rsidRPr="00CF7716">
        <w:rPr>
          <w:color w:val="000000" w:themeColor="text1"/>
          <w:sz w:val="20"/>
          <w:szCs w:val="20"/>
        </w:rPr>
        <w:t xml:space="preserve"> </w:t>
      </w:r>
      <w:r w:rsidRPr="00CF7716">
        <w:rPr>
          <w:color w:val="000000" w:themeColor="text1"/>
          <w:sz w:val="20"/>
          <w:szCs w:val="20"/>
        </w:rPr>
        <w:t>2008</w:t>
      </w:r>
      <w:r w:rsidR="00602265" w:rsidRPr="00CF7716">
        <w:rPr>
          <w:color w:val="000000" w:themeColor="text1"/>
          <w:sz w:val="20"/>
          <w:szCs w:val="20"/>
        </w:rPr>
        <w:t>)</w:t>
      </w:r>
      <w:r w:rsidRPr="00CF7716">
        <w:rPr>
          <w:color w:val="000000" w:themeColor="text1"/>
          <w:sz w:val="20"/>
          <w:szCs w:val="20"/>
        </w:rPr>
        <w:t xml:space="preserve"> 31, drawing on the work of</w:t>
      </w:r>
      <w:r w:rsidR="00E41D89" w:rsidRPr="00CF7716">
        <w:rPr>
          <w:color w:val="000000" w:themeColor="text1"/>
          <w:sz w:val="20"/>
          <w:szCs w:val="20"/>
        </w:rPr>
        <w:t xml:space="preserve"> North </w:t>
      </w:r>
      <w:r w:rsidR="00E41D89" w:rsidRPr="00CF7716">
        <w:rPr>
          <w:i/>
          <w:iCs/>
          <w:color w:val="000000" w:themeColor="text1"/>
          <w:sz w:val="20"/>
          <w:szCs w:val="20"/>
        </w:rPr>
        <w:t>et al</w:t>
      </w:r>
      <w:r w:rsidRPr="00CF7716">
        <w:rPr>
          <w:color w:val="000000" w:themeColor="text1"/>
          <w:sz w:val="20"/>
          <w:szCs w:val="20"/>
        </w:rPr>
        <w:t xml:space="preserve"> (</w:t>
      </w:r>
      <w:r w:rsidR="00E41D89" w:rsidRPr="00CF7716">
        <w:rPr>
          <w:color w:val="000000" w:themeColor="text1"/>
          <w:sz w:val="20"/>
          <w:szCs w:val="20"/>
        </w:rPr>
        <w:t>n</w:t>
      </w:r>
      <w:r w:rsidRPr="00CF7716">
        <w:rPr>
          <w:color w:val="000000" w:themeColor="text1"/>
          <w:sz w:val="20"/>
          <w:szCs w:val="20"/>
        </w:rPr>
        <w:t xml:space="preserve"> </w:t>
      </w:r>
      <w:r w:rsidR="00276E43" w:rsidRPr="00CF7716">
        <w:rPr>
          <w:color w:val="000000" w:themeColor="text1"/>
          <w:sz w:val="20"/>
          <w:szCs w:val="20"/>
        </w:rPr>
        <w:t>15</w:t>
      </w:r>
      <w:r w:rsidRPr="00CF7716">
        <w:rPr>
          <w:color w:val="000000" w:themeColor="text1"/>
          <w:sz w:val="20"/>
          <w:szCs w:val="20"/>
        </w:rPr>
        <w:t>)</w:t>
      </w:r>
      <w:r w:rsidR="00E41D89" w:rsidRPr="00CF7716">
        <w:rPr>
          <w:color w:val="000000" w:themeColor="text1"/>
          <w:sz w:val="20"/>
          <w:szCs w:val="20"/>
        </w:rPr>
        <w:t>.</w:t>
      </w:r>
    </w:p>
  </w:footnote>
  <w:footnote w:id="26">
    <w:p w14:paraId="109ABC8F" w14:textId="7B0B376F" w:rsidR="007A7AD5" w:rsidRPr="00CF7716" w:rsidRDefault="007A7AD5"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602265" w:rsidRPr="00CF7716">
        <w:rPr>
          <w:color w:val="000000" w:themeColor="text1"/>
          <w:sz w:val="20"/>
          <w:szCs w:val="20"/>
        </w:rPr>
        <w:t xml:space="preserve">J </w:t>
      </w:r>
      <w:r w:rsidRPr="00CF7716">
        <w:rPr>
          <w:color w:val="000000" w:themeColor="text1"/>
          <w:sz w:val="20"/>
          <w:szCs w:val="20"/>
        </w:rPr>
        <w:t xml:space="preserve">Migdal, </w:t>
      </w:r>
      <w:r w:rsidRPr="00CF7716">
        <w:rPr>
          <w:i/>
          <w:iCs/>
          <w:color w:val="000000" w:themeColor="text1"/>
          <w:sz w:val="20"/>
          <w:szCs w:val="20"/>
        </w:rPr>
        <w:t xml:space="preserve">State in </w:t>
      </w:r>
      <w:r w:rsidR="00602265" w:rsidRPr="00CF7716">
        <w:rPr>
          <w:i/>
          <w:iCs/>
          <w:color w:val="000000" w:themeColor="text1"/>
          <w:sz w:val="20"/>
          <w:szCs w:val="20"/>
        </w:rPr>
        <w:t>S</w:t>
      </w:r>
      <w:r w:rsidRPr="00CF7716">
        <w:rPr>
          <w:i/>
          <w:iCs/>
          <w:color w:val="000000" w:themeColor="text1"/>
          <w:sz w:val="20"/>
          <w:szCs w:val="20"/>
        </w:rPr>
        <w:t xml:space="preserve">ociety: Studying </w:t>
      </w:r>
      <w:r w:rsidR="00602265" w:rsidRPr="00CF7716">
        <w:rPr>
          <w:i/>
          <w:iCs/>
          <w:color w:val="000000" w:themeColor="text1"/>
          <w:sz w:val="20"/>
          <w:szCs w:val="20"/>
        </w:rPr>
        <w:t>H</w:t>
      </w:r>
      <w:r w:rsidRPr="00CF7716">
        <w:rPr>
          <w:i/>
          <w:iCs/>
          <w:color w:val="000000" w:themeColor="text1"/>
          <w:sz w:val="20"/>
          <w:szCs w:val="20"/>
        </w:rPr>
        <w:t xml:space="preserve">ow </w:t>
      </w:r>
      <w:r w:rsidR="00602265" w:rsidRPr="00CF7716">
        <w:rPr>
          <w:i/>
          <w:iCs/>
          <w:color w:val="000000" w:themeColor="text1"/>
          <w:sz w:val="20"/>
          <w:szCs w:val="20"/>
        </w:rPr>
        <w:t>S</w:t>
      </w:r>
      <w:r w:rsidRPr="00CF7716">
        <w:rPr>
          <w:i/>
          <w:iCs/>
          <w:color w:val="000000" w:themeColor="text1"/>
          <w:sz w:val="20"/>
          <w:szCs w:val="20"/>
        </w:rPr>
        <w:t xml:space="preserve">tates and </w:t>
      </w:r>
      <w:r w:rsidR="00602265" w:rsidRPr="00CF7716">
        <w:rPr>
          <w:i/>
          <w:iCs/>
          <w:color w:val="000000" w:themeColor="text1"/>
          <w:sz w:val="20"/>
          <w:szCs w:val="20"/>
        </w:rPr>
        <w:t>S</w:t>
      </w:r>
      <w:r w:rsidRPr="00CF7716">
        <w:rPr>
          <w:i/>
          <w:iCs/>
          <w:color w:val="000000" w:themeColor="text1"/>
          <w:sz w:val="20"/>
          <w:szCs w:val="20"/>
        </w:rPr>
        <w:t xml:space="preserve">ocieties </w:t>
      </w:r>
      <w:r w:rsidR="00602265" w:rsidRPr="00CF7716">
        <w:rPr>
          <w:i/>
          <w:iCs/>
          <w:color w:val="000000" w:themeColor="text1"/>
          <w:sz w:val="20"/>
          <w:szCs w:val="20"/>
        </w:rPr>
        <w:t>T</w:t>
      </w:r>
      <w:r w:rsidRPr="00CF7716">
        <w:rPr>
          <w:i/>
          <w:iCs/>
          <w:color w:val="000000" w:themeColor="text1"/>
          <w:sz w:val="20"/>
          <w:szCs w:val="20"/>
        </w:rPr>
        <w:t xml:space="preserve">ransform and </w:t>
      </w:r>
      <w:r w:rsidR="00602265" w:rsidRPr="00CF7716">
        <w:rPr>
          <w:i/>
          <w:iCs/>
          <w:color w:val="000000" w:themeColor="text1"/>
          <w:sz w:val="20"/>
          <w:szCs w:val="20"/>
        </w:rPr>
        <w:t>C</w:t>
      </w:r>
      <w:r w:rsidRPr="00CF7716">
        <w:rPr>
          <w:i/>
          <w:iCs/>
          <w:color w:val="000000" w:themeColor="text1"/>
          <w:sz w:val="20"/>
          <w:szCs w:val="20"/>
        </w:rPr>
        <w:t xml:space="preserve">onstitute </w:t>
      </w:r>
      <w:r w:rsidR="00602265" w:rsidRPr="00CF7716">
        <w:rPr>
          <w:i/>
          <w:iCs/>
          <w:color w:val="000000" w:themeColor="text1"/>
          <w:sz w:val="20"/>
          <w:szCs w:val="20"/>
        </w:rPr>
        <w:t>O</w:t>
      </w:r>
      <w:r w:rsidRPr="00CF7716">
        <w:rPr>
          <w:i/>
          <w:iCs/>
          <w:color w:val="000000" w:themeColor="text1"/>
          <w:sz w:val="20"/>
          <w:szCs w:val="20"/>
        </w:rPr>
        <w:t xml:space="preserve">ne </w:t>
      </w:r>
      <w:r w:rsidR="00602265" w:rsidRPr="00CF7716">
        <w:rPr>
          <w:i/>
          <w:iCs/>
          <w:color w:val="000000" w:themeColor="text1"/>
          <w:sz w:val="20"/>
          <w:szCs w:val="20"/>
        </w:rPr>
        <w:t>A</w:t>
      </w:r>
      <w:r w:rsidRPr="00CF7716">
        <w:rPr>
          <w:i/>
          <w:iCs/>
          <w:color w:val="000000" w:themeColor="text1"/>
          <w:sz w:val="20"/>
          <w:szCs w:val="20"/>
        </w:rPr>
        <w:t>nother</w:t>
      </w:r>
      <w:r w:rsidR="00602265" w:rsidRPr="00CF7716">
        <w:rPr>
          <w:color w:val="000000" w:themeColor="text1"/>
          <w:sz w:val="20"/>
          <w:szCs w:val="20"/>
        </w:rPr>
        <w:t xml:space="preserve"> (C</w:t>
      </w:r>
      <w:r w:rsidR="00E26B93">
        <w:rPr>
          <w:color w:val="000000" w:themeColor="text1"/>
          <w:sz w:val="20"/>
          <w:szCs w:val="20"/>
        </w:rPr>
        <w:t>ambridge, Cambridge University Press,</w:t>
      </w:r>
      <w:r w:rsidRPr="00CF7716">
        <w:rPr>
          <w:color w:val="000000" w:themeColor="text1"/>
          <w:sz w:val="20"/>
          <w:szCs w:val="20"/>
        </w:rPr>
        <w:t xml:space="preserve"> 2001</w:t>
      </w:r>
      <w:r w:rsidR="00602265" w:rsidRPr="00CF7716">
        <w:rPr>
          <w:color w:val="000000" w:themeColor="text1"/>
          <w:sz w:val="20"/>
          <w:szCs w:val="20"/>
        </w:rPr>
        <w:t>)</w:t>
      </w:r>
      <w:r w:rsidRPr="00CF7716">
        <w:rPr>
          <w:color w:val="000000" w:themeColor="text1"/>
          <w:sz w:val="20"/>
          <w:szCs w:val="20"/>
        </w:rPr>
        <w:t xml:space="preserve"> 15-16 (quotation) and 11-17 (argument)</w:t>
      </w:r>
      <w:r w:rsidR="00602265" w:rsidRPr="00CF7716">
        <w:rPr>
          <w:color w:val="000000" w:themeColor="text1"/>
          <w:sz w:val="20"/>
          <w:szCs w:val="20"/>
        </w:rPr>
        <w:t>.</w:t>
      </w:r>
      <w:r w:rsidRPr="00CF7716">
        <w:rPr>
          <w:color w:val="000000" w:themeColor="text1"/>
          <w:sz w:val="20"/>
          <w:szCs w:val="20"/>
        </w:rPr>
        <w:t xml:space="preserve"> </w:t>
      </w:r>
    </w:p>
  </w:footnote>
  <w:footnote w:id="27">
    <w:p w14:paraId="4D1335A6" w14:textId="6A3AA760" w:rsidR="007A7AD5" w:rsidRPr="00CF7716" w:rsidRDefault="007A7AD5"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602265" w:rsidRPr="00CF7716">
        <w:rPr>
          <w:color w:val="000000" w:themeColor="text1"/>
          <w:sz w:val="20"/>
          <w:szCs w:val="20"/>
        </w:rPr>
        <w:t xml:space="preserve">D </w:t>
      </w:r>
      <w:r w:rsidRPr="00CF7716">
        <w:rPr>
          <w:color w:val="000000" w:themeColor="text1"/>
          <w:sz w:val="20"/>
          <w:szCs w:val="20"/>
        </w:rPr>
        <w:t>North</w:t>
      </w:r>
      <w:r w:rsidR="00602265" w:rsidRPr="00CF7716">
        <w:rPr>
          <w:color w:val="000000" w:themeColor="text1"/>
          <w:sz w:val="20"/>
          <w:szCs w:val="20"/>
        </w:rPr>
        <w:t xml:space="preserve"> et al</w:t>
      </w:r>
      <w:r w:rsidR="009C7FB2" w:rsidRPr="00CF7716">
        <w:rPr>
          <w:color w:val="000000" w:themeColor="text1"/>
          <w:sz w:val="20"/>
          <w:szCs w:val="20"/>
        </w:rPr>
        <w:t>,</w:t>
      </w:r>
      <w:r w:rsidRPr="00CF7716">
        <w:rPr>
          <w:color w:val="000000" w:themeColor="text1"/>
          <w:sz w:val="20"/>
          <w:szCs w:val="20"/>
        </w:rPr>
        <w:t xml:space="preserve"> </w:t>
      </w:r>
      <w:r w:rsidR="009C7FB2" w:rsidRPr="00CF7716">
        <w:rPr>
          <w:color w:val="000000" w:themeColor="text1"/>
          <w:sz w:val="20"/>
          <w:szCs w:val="20"/>
        </w:rPr>
        <w:t>‘</w:t>
      </w:r>
      <w:r w:rsidRPr="00CF7716">
        <w:rPr>
          <w:color w:val="000000" w:themeColor="text1"/>
          <w:sz w:val="20"/>
          <w:szCs w:val="20"/>
        </w:rPr>
        <w:t xml:space="preserve">Limited </w:t>
      </w:r>
      <w:r w:rsidR="009C7FB2" w:rsidRPr="00CF7716">
        <w:rPr>
          <w:color w:val="000000" w:themeColor="text1"/>
          <w:sz w:val="20"/>
          <w:szCs w:val="20"/>
        </w:rPr>
        <w:t>A</w:t>
      </w:r>
      <w:r w:rsidRPr="00CF7716">
        <w:rPr>
          <w:color w:val="000000" w:themeColor="text1"/>
          <w:sz w:val="20"/>
          <w:szCs w:val="20"/>
        </w:rPr>
        <w:t xml:space="preserve">ccess </w:t>
      </w:r>
      <w:r w:rsidR="009C7FB2" w:rsidRPr="00CF7716">
        <w:rPr>
          <w:color w:val="000000" w:themeColor="text1"/>
          <w:sz w:val="20"/>
          <w:szCs w:val="20"/>
        </w:rPr>
        <w:t>O</w:t>
      </w:r>
      <w:r w:rsidRPr="00CF7716">
        <w:rPr>
          <w:color w:val="000000" w:themeColor="text1"/>
          <w:sz w:val="20"/>
          <w:szCs w:val="20"/>
        </w:rPr>
        <w:t>rders</w:t>
      </w:r>
      <w:r w:rsidR="00F15474" w:rsidRPr="00CF7716">
        <w:rPr>
          <w:color w:val="000000" w:themeColor="text1"/>
          <w:sz w:val="20"/>
          <w:szCs w:val="20"/>
        </w:rPr>
        <w:t>’ in</w:t>
      </w:r>
      <w:r w:rsidRPr="00CF7716">
        <w:rPr>
          <w:color w:val="000000" w:themeColor="text1"/>
          <w:sz w:val="20"/>
          <w:szCs w:val="20"/>
        </w:rPr>
        <w:t xml:space="preserve"> </w:t>
      </w:r>
      <w:r w:rsidR="003F0E89" w:rsidRPr="00CF7716">
        <w:rPr>
          <w:color w:val="000000" w:themeColor="text1"/>
          <w:sz w:val="20"/>
          <w:szCs w:val="20"/>
        </w:rPr>
        <w:t xml:space="preserve">D </w:t>
      </w:r>
      <w:r w:rsidRPr="00CF7716">
        <w:rPr>
          <w:color w:val="000000" w:themeColor="text1"/>
          <w:sz w:val="20"/>
          <w:szCs w:val="20"/>
        </w:rPr>
        <w:t>North</w:t>
      </w:r>
      <w:r w:rsidR="003F0E89" w:rsidRPr="00CF7716">
        <w:rPr>
          <w:color w:val="000000" w:themeColor="text1"/>
          <w:sz w:val="20"/>
          <w:szCs w:val="20"/>
        </w:rPr>
        <w:t xml:space="preserve"> et al (</w:t>
      </w:r>
      <w:r w:rsidRPr="00CF7716">
        <w:rPr>
          <w:color w:val="000000" w:themeColor="text1"/>
          <w:sz w:val="20"/>
          <w:szCs w:val="20"/>
        </w:rPr>
        <w:t>eds</w:t>
      </w:r>
      <w:r w:rsidR="003F0E89" w:rsidRPr="00CF7716">
        <w:rPr>
          <w:color w:val="000000" w:themeColor="text1"/>
          <w:sz w:val="20"/>
          <w:szCs w:val="20"/>
        </w:rPr>
        <w:t>)</w:t>
      </w:r>
      <w:r w:rsidRPr="00CF7716">
        <w:rPr>
          <w:color w:val="000000" w:themeColor="text1"/>
          <w:sz w:val="20"/>
          <w:szCs w:val="20"/>
        </w:rPr>
        <w:t xml:space="preserve"> </w:t>
      </w:r>
      <w:r w:rsidR="00276E43" w:rsidRPr="00CF7716">
        <w:rPr>
          <w:color w:val="000000" w:themeColor="text1"/>
          <w:sz w:val="20"/>
          <w:szCs w:val="20"/>
        </w:rPr>
        <w:t>(n 15)18.</w:t>
      </w:r>
    </w:p>
  </w:footnote>
  <w:footnote w:id="28">
    <w:p w14:paraId="08CF62AF" w14:textId="35E3E42E" w:rsidR="006911CB" w:rsidRPr="00CF7716" w:rsidRDefault="006911CB"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3F0E89" w:rsidRPr="00CF7716">
        <w:rPr>
          <w:color w:val="000000" w:themeColor="text1"/>
          <w:sz w:val="20"/>
          <w:szCs w:val="20"/>
        </w:rPr>
        <w:t xml:space="preserve">M </w:t>
      </w:r>
      <w:r w:rsidRPr="00CF7716">
        <w:rPr>
          <w:color w:val="000000" w:themeColor="text1"/>
          <w:sz w:val="20"/>
          <w:szCs w:val="20"/>
        </w:rPr>
        <w:t>T</w:t>
      </w:r>
      <w:r w:rsidR="003F0E89" w:rsidRPr="00CF7716">
        <w:rPr>
          <w:color w:val="000000" w:themeColor="text1"/>
          <w:sz w:val="20"/>
          <w:szCs w:val="20"/>
        </w:rPr>
        <w:t xml:space="preserve">adros </w:t>
      </w:r>
      <w:r w:rsidRPr="00CF7716">
        <w:rPr>
          <w:color w:val="000000" w:themeColor="text1"/>
          <w:sz w:val="20"/>
          <w:szCs w:val="20"/>
        </w:rPr>
        <w:t xml:space="preserve">and J Allouche. </w:t>
      </w:r>
      <w:r w:rsidR="003F0E89" w:rsidRPr="00CF7716">
        <w:rPr>
          <w:color w:val="000000" w:themeColor="text1"/>
          <w:sz w:val="20"/>
          <w:szCs w:val="20"/>
        </w:rPr>
        <w:t>‘</w:t>
      </w:r>
      <w:r w:rsidRPr="00CF7716">
        <w:rPr>
          <w:color w:val="000000" w:themeColor="text1"/>
          <w:sz w:val="20"/>
          <w:szCs w:val="20"/>
        </w:rPr>
        <w:t xml:space="preserve">Political </w:t>
      </w:r>
      <w:r w:rsidR="003F0E89" w:rsidRPr="00CF7716">
        <w:rPr>
          <w:color w:val="000000" w:themeColor="text1"/>
          <w:sz w:val="20"/>
          <w:szCs w:val="20"/>
        </w:rPr>
        <w:t>S</w:t>
      </w:r>
      <w:r w:rsidRPr="00CF7716">
        <w:rPr>
          <w:color w:val="000000" w:themeColor="text1"/>
          <w:sz w:val="20"/>
          <w:szCs w:val="20"/>
        </w:rPr>
        <w:t xml:space="preserve">ettlements as a </w:t>
      </w:r>
      <w:r w:rsidR="003F0E89" w:rsidRPr="00CF7716">
        <w:rPr>
          <w:color w:val="000000" w:themeColor="text1"/>
          <w:sz w:val="20"/>
          <w:szCs w:val="20"/>
        </w:rPr>
        <w:t>V</w:t>
      </w:r>
      <w:r w:rsidRPr="00CF7716">
        <w:rPr>
          <w:color w:val="000000" w:themeColor="text1"/>
          <w:sz w:val="20"/>
          <w:szCs w:val="20"/>
        </w:rPr>
        <w:t xml:space="preserve">iolent </w:t>
      </w:r>
      <w:r w:rsidR="003F0E89" w:rsidRPr="00CF7716">
        <w:rPr>
          <w:color w:val="000000" w:themeColor="text1"/>
          <w:sz w:val="20"/>
          <w:szCs w:val="20"/>
        </w:rPr>
        <w:t>P</w:t>
      </w:r>
      <w:r w:rsidRPr="00CF7716">
        <w:rPr>
          <w:color w:val="000000" w:themeColor="text1"/>
          <w:sz w:val="20"/>
          <w:szCs w:val="20"/>
        </w:rPr>
        <w:t xml:space="preserve">rocess: </w:t>
      </w:r>
      <w:r w:rsidR="003F0E89" w:rsidRPr="00CF7716">
        <w:rPr>
          <w:color w:val="000000" w:themeColor="text1"/>
          <w:sz w:val="20"/>
          <w:szCs w:val="20"/>
        </w:rPr>
        <w:t>D</w:t>
      </w:r>
      <w:r w:rsidRPr="00CF7716">
        <w:rPr>
          <w:color w:val="000000" w:themeColor="text1"/>
          <w:sz w:val="20"/>
          <w:szCs w:val="20"/>
        </w:rPr>
        <w:t xml:space="preserve">econstructing the </w:t>
      </w:r>
      <w:r w:rsidR="003F0E89" w:rsidRPr="00CF7716">
        <w:rPr>
          <w:color w:val="000000" w:themeColor="text1"/>
          <w:sz w:val="20"/>
          <w:szCs w:val="20"/>
        </w:rPr>
        <w:t>R</w:t>
      </w:r>
      <w:r w:rsidRPr="00CF7716">
        <w:rPr>
          <w:color w:val="000000" w:themeColor="text1"/>
          <w:sz w:val="20"/>
          <w:szCs w:val="20"/>
        </w:rPr>
        <w:t xml:space="preserve">elationship between </w:t>
      </w:r>
      <w:r w:rsidR="003F0E89" w:rsidRPr="00CF7716">
        <w:rPr>
          <w:color w:val="000000" w:themeColor="text1"/>
          <w:sz w:val="20"/>
          <w:szCs w:val="20"/>
        </w:rPr>
        <w:t>P</w:t>
      </w:r>
      <w:r w:rsidRPr="00CF7716">
        <w:rPr>
          <w:color w:val="000000" w:themeColor="text1"/>
          <w:sz w:val="20"/>
          <w:szCs w:val="20"/>
        </w:rPr>
        <w:t xml:space="preserve">olitical </w:t>
      </w:r>
      <w:r w:rsidR="003F0E89" w:rsidRPr="00CF7716">
        <w:rPr>
          <w:color w:val="000000" w:themeColor="text1"/>
          <w:sz w:val="20"/>
          <w:szCs w:val="20"/>
        </w:rPr>
        <w:t>S</w:t>
      </w:r>
      <w:r w:rsidRPr="00CF7716">
        <w:rPr>
          <w:color w:val="000000" w:themeColor="text1"/>
          <w:sz w:val="20"/>
          <w:szCs w:val="20"/>
        </w:rPr>
        <w:t xml:space="preserve">ettlements and </w:t>
      </w:r>
      <w:r w:rsidR="003F0E89" w:rsidRPr="00CF7716">
        <w:rPr>
          <w:color w:val="000000" w:themeColor="text1"/>
          <w:sz w:val="20"/>
          <w:szCs w:val="20"/>
        </w:rPr>
        <w:t>I</w:t>
      </w:r>
      <w:r w:rsidRPr="00CF7716">
        <w:rPr>
          <w:color w:val="000000" w:themeColor="text1"/>
          <w:sz w:val="20"/>
          <w:szCs w:val="20"/>
        </w:rPr>
        <w:t xml:space="preserve">ntrinsic, </w:t>
      </w:r>
      <w:r w:rsidR="003F0E89" w:rsidRPr="00CF7716">
        <w:rPr>
          <w:color w:val="000000" w:themeColor="text1"/>
          <w:sz w:val="20"/>
          <w:szCs w:val="20"/>
        </w:rPr>
        <w:t>I</w:t>
      </w:r>
      <w:r w:rsidRPr="00CF7716">
        <w:rPr>
          <w:color w:val="000000" w:themeColor="text1"/>
          <w:sz w:val="20"/>
          <w:szCs w:val="20"/>
        </w:rPr>
        <w:t xml:space="preserve">nstrumental and </w:t>
      </w:r>
      <w:r w:rsidR="003F0E89" w:rsidRPr="00CF7716">
        <w:rPr>
          <w:color w:val="000000" w:themeColor="text1"/>
          <w:sz w:val="20"/>
          <w:szCs w:val="20"/>
        </w:rPr>
        <w:t>R</w:t>
      </w:r>
      <w:r w:rsidRPr="00CF7716">
        <w:rPr>
          <w:color w:val="000000" w:themeColor="text1"/>
          <w:sz w:val="20"/>
          <w:szCs w:val="20"/>
        </w:rPr>
        <w:t xml:space="preserve">esultant </w:t>
      </w:r>
      <w:r w:rsidR="003F0E89" w:rsidRPr="00CF7716">
        <w:rPr>
          <w:color w:val="000000" w:themeColor="text1"/>
          <w:sz w:val="20"/>
          <w:szCs w:val="20"/>
        </w:rPr>
        <w:t>F</w:t>
      </w:r>
      <w:r w:rsidRPr="00CF7716">
        <w:rPr>
          <w:color w:val="000000" w:themeColor="text1"/>
          <w:sz w:val="20"/>
          <w:szCs w:val="20"/>
        </w:rPr>
        <w:t xml:space="preserve">orms of </w:t>
      </w:r>
      <w:r w:rsidR="003F0E89" w:rsidRPr="00CF7716">
        <w:rPr>
          <w:color w:val="000000" w:themeColor="text1"/>
          <w:sz w:val="20"/>
          <w:szCs w:val="20"/>
        </w:rPr>
        <w:t>V</w:t>
      </w:r>
      <w:r w:rsidRPr="00CF7716">
        <w:rPr>
          <w:color w:val="000000" w:themeColor="text1"/>
          <w:sz w:val="20"/>
          <w:szCs w:val="20"/>
        </w:rPr>
        <w:t>iolence</w:t>
      </w:r>
      <w:r w:rsidR="003F0E89" w:rsidRPr="00CF7716">
        <w:rPr>
          <w:color w:val="000000" w:themeColor="text1"/>
          <w:sz w:val="20"/>
          <w:szCs w:val="20"/>
        </w:rPr>
        <w:t>’ (2017) 17</w:t>
      </w:r>
      <w:r w:rsidRPr="00CF7716">
        <w:rPr>
          <w:color w:val="000000" w:themeColor="text1"/>
          <w:sz w:val="20"/>
          <w:szCs w:val="20"/>
        </w:rPr>
        <w:t xml:space="preserve"> </w:t>
      </w:r>
      <w:r w:rsidRPr="00CF7716">
        <w:rPr>
          <w:i/>
          <w:iCs/>
          <w:color w:val="000000" w:themeColor="text1"/>
          <w:sz w:val="20"/>
          <w:szCs w:val="20"/>
        </w:rPr>
        <w:t>Conflict, Security &amp; Development</w:t>
      </w:r>
      <w:r w:rsidRPr="00CF7716">
        <w:rPr>
          <w:color w:val="000000" w:themeColor="text1"/>
          <w:sz w:val="20"/>
          <w:szCs w:val="20"/>
        </w:rPr>
        <w:t xml:space="preserve"> 187, 188.</w:t>
      </w:r>
    </w:p>
  </w:footnote>
  <w:footnote w:id="29">
    <w:p w14:paraId="069F0694" w14:textId="2F39B5E5" w:rsidR="000368BC" w:rsidRPr="00CF7716" w:rsidRDefault="000368BC"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T Parks and W Cole, </w:t>
      </w:r>
      <w:r w:rsidRPr="00CF7716">
        <w:rPr>
          <w:rFonts w:ascii="Times New Roman" w:hAnsi="Times New Roman" w:cs="Times New Roman"/>
          <w:i/>
          <w:iCs/>
          <w:color w:val="000000" w:themeColor="text1"/>
        </w:rPr>
        <w:t>Political Settlements: Implications for International Development Policy and Practice</w:t>
      </w:r>
      <w:r w:rsidRPr="00CF7716">
        <w:rPr>
          <w:rFonts w:ascii="Times New Roman" w:hAnsi="Times New Roman" w:cs="Times New Roman"/>
          <w:color w:val="000000" w:themeColor="text1"/>
        </w:rPr>
        <w:t xml:space="preserve"> (</w:t>
      </w:r>
      <w:r w:rsidR="00E26B93">
        <w:rPr>
          <w:rFonts w:ascii="Times New Roman" w:hAnsi="Times New Roman" w:cs="Times New Roman"/>
          <w:color w:val="000000" w:themeColor="text1"/>
        </w:rPr>
        <w:t xml:space="preserve">London, </w:t>
      </w:r>
      <w:r w:rsidRPr="00CF7716">
        <w:rPr>
          <w:rFonts w:ascii="Times New Roman" w:hAnsi="Times New Roman" w:cs="Times New Roman"/>
          <w:color w:val="000000" w:themeColor="text1"/>
        </w:rPr>
        <w:t>Asia Foundation</w:t>
      </w:r>
      <w:r w:rsidR="00E26B93">
        <w:rPr>
          <w:rFonts w:ascii="Times New Roman" w:hAnsi="Times New Roman" w:cs="Times New Roman"/>
          <w:color w:val="000000" w:themeColor="text1"/>
        </w:rPr>
        <w:t>,</w:t>
      </w:r>
      <w:r w:rsidR="009C7FB2" w:rsidRPr="00CF7716">
        <w:rPr>
          <w:rFonts w:ascii="Times New Roman" w:hAnsi="Times New Roman" w:cs="Times New Roman"/>
          <w:color w:val="000000" w:themeColor="text1"/>
        </w:rPr>
        <w:t xml:space="preserve"> </w:t>
      </w:r>
      <w:r w:rsidRPr="00CF7716">
        <w:rPr>
          <w:rFonts w:ascii="Times New Roman" w:hAnsi="Times New Roman" w:cs="Times New Roman"/>
          <w:color w:val="000000" w:themeColor="text1"/>
        </w:rPr>
        <w:t>2010) 10</w:t>
      </w:r>
      <w:r w:rsidR="009C7FB2" w:rsidRPr="00CF7716">
        <w:rPr>
          <w:rFonts w:ascii="Times New Roman" w:hAnsi="Times New Roman" w:cs="Times New Roman"/>
          <w:color w:val="000000" w:themeColor="text1"/>
        </w:rPr>
        <w:t>.</w:t>
      </w:r>
    </w:p>
  </w:footnote>
  <w:footnote w:id="30">
    <w:p w14:paraId="1DCC0F8B" w14:textId="71974414" w:rsidR="000368BC" w:rsidRPr="00CF7716" w:rsidRDefault="000368BC"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The most notable exception is </w:t>
      </w:r>
      <w:r w:rsidR="00F15474" w:rsidRPr="00CF7716">
        <w:rPr>
          <w:color w:val="000000" w:themeColor="text1"/>
          <w:sz w:val="20"/>
          <w:szCs w:val="20"/>
        </w:rPr>
        <w:t>C Bell, ‘</w:t>
      </w:r>
      <w:r w:rsidRPr="00CF7716">
        <w:rPr>
          <w:color w:val="000000" w:themeColor="text1"/>
          <w:sz w:val="20"/>
          <w:szCs w:val="20"/>
        </w:rPr>
        <w:t xml:space="preserve">Contending with the </w:t>
      </w:r>
      <w:r w:rsidR="00F15474" w:rsidRPr="00CF7716">
        <w:rPr>
          <w:color w:val="000000" w:themeColor="text1"/>
          <w:sz w:val="20"/>
          <w:szCs w:val="20"/>
        </w:rPr>
        <w:t>P</w:t>
      </w:r>
      <w:r w:rsidRPr="00CF7716">
        <w:rPr>
          <w:color w:val="000000" w:themeColor="text1"/>
          <w:sz w:val="20"/>
          <w:szCs w:val="20"/>
        </w:rPr>
        <w:t xml:space="preserve">ast: </w:t>
      </w:r>
      <w:r w:rsidR="00F15474" w:rsidRPr="00CF7716">
        <w:rPr>
          <w:color w:val="000000" w:themeColor="text1"/>
          <w:sz w:val="20"/>
          <w:szCs w:val="20"/>
        </w:rPr>
        <w:t>T</w:t>
      </w:r>
      <w:r w:rsidRPr="00CF7716">
        <w:rPr>
          <w:color w:val="000000" w:themeColor="text1"/>
          <w:sz w:val="20"/>
          <w:szCs w:val="20"/>
        </w:rPr>
        <w:t xml:space="preserve">ransitional </w:t>
      </w:r>
      <w:r w:rsidR="00F15474" w:rsidRPr="00CF7716">
        <w:rPr>
          <w:color w:val="000000" w:themeColor="text1"/>
          <w:sz w:val="20"/>
          <w:szCs w:val="20"/>
        </w:rPr>
        <w:t>J</w:t>
      </w:r>
      <w:r w:rsidRPr="00CF7716">
        <w:rPr>
          <w:color w:val="000000" w:themeColor="text1"/>
          <w:sz w:val="20"/>
          <w:szCs w:val="20"/>
        </w:rPr>
        <w:t xml:space="preserve">ustice and </w:t>
      </w:r>
      <w:r w:rsidR="00F15474" w:rsidRPr="00CF7716">
        <w:rPr>
          <w:color w:val="000000" w:themeColor="text1"/>
          <w:sz w:val="20"/>
          <w:szCs w:val="20"/>
        </w:rPr>
        <w:t>P</w:t>
      </w:r>
      <w:r w:rsidRPr="00CF7716">
        <w:rPr>
          <w:color w:val="000000" w:themeColor="text1"/>
          <w:sz w:val="20"/>
          <w:szCs w:val="20"/>
        </w:rPr>
        <w:t xml:space="preserve">olitical </w:t>
      </w:r>
      <w:r w:rsidR="00F15474" w:rsidRPr="00CF7716">
        <w:rPr>
          <w:color w:val="000000" w:themeColor="text1"/>
          <w:sz w:val="20"/>
          <w:szCs w:val="20"/>
        </w:rPr>
        <w:t>S</w:t>
      </w:r>
      <w:r w:rsidRPr="00CF7716">
        <w:rPr>
          <w:color w:val="000000" w:themeColor="text1"/>
          <w:sz w:val="20"/>
          <w:szCs w:val="20"/>
        </w:rPr>
        <w:t xml:space="preserve">ettlement </w:t>
      </w:r>
      <w:r w:rsidR="00F15474" w:rsidRPr="00CF7716">
        <w:rPr>
          <w:color w:val="000000" w:themeColor="text1"/>
          <w:sz w:val="20"/>
          <w:szCs w:val="20"/>
        </w:rPr>
        <w:t>P</w:t>
      </w:r>
      <w:r w:rsidRPr="00CF7716">
        <w:rPr>
          <w:color w:val="000000" w:themeColor="text1"/>
          <w:sz w:val="20"/>
          <w:szCs w:val="20"/>
        </w:rPr>
        <w:t>rocesse</w:t>
      </w:r>
      <w:r w:rsidR="00F15474" w:rsidRPr="00CF7716">
        <w:rPr>
          <w:color w:val="000000" w:themeColor="text1"/>
          <w:sz w:val="20"/>
          <w:szCs w:val="20"/>
        </w:rPr>
        <w:t>s’</w:t>
      </w:r>
      <w:r w:rsidRPr="00CF7716">
        <w:rPr>
          <w:color w:val="000000" w:themeColor="text1"/>
          <w:sz w:val="20"/>
          <w:szCs w:val="20"/>
        </w:rPr>
        <w:t xml:space="preserve"> </w:t>
      </w:r>
      <w:r w:rsidR="00F15474" w:rsidRPr="00CF7716">
        <w:rPr>
          <w:color w:val="000000" w:themeColor="text1"/>
          <w:sz w:val="20"/>
          <w:szCs w:val="20"/>
        </w:rPr>
        <w:t>in P Seils and R Duth</w:t>
      </w:r>
      <w:r w:rsidR="00D221DA" w:rsidRPr="00CF7716">
        <w:rPr>
          <w:color w:val="000000" w:themeColor="text1"/>
          <w:sz w:val="20"/>
          <w:szCs w:val="20"/>
        </w:rPr>
        <w:t>i</w:t>
      </w:r>
      <w:r w:rsidR="00F15474" w:rsidRPr="00CF7716">
        <w:rPr>
          <w:color w:val="000000" w:themeColor="text1"/>
          <w:sz w:val="20"/>
          <w:szCs w:val="20"/>
        </w:rPr>
        <w:t>e (eds),</w:t>
      </w:r>
      <w:r w:rsidRPr="00CF7716">
        <w:rPr>
          <w:color w:val="000000" w:themeColor="text1"/>
          <w:sz w:val="20"/>
          <w:szCs w:val="20"/>
        </w:rPr>
        <w:t xml:space="preserve"> </w:t>
      </w:r>
      <w:r w:rsidRPr="00CF7716">
        <w:rPr>
          <w:i/>
          <w:iCs/>
          <w:color w:val="000000" w:themeColor="text1"/>
          <w:sz w:val="20"/>
          <w:szCs w:val="20"/>
        </w:rPr>
        <w:t>Justice Mosaics: How Context Shapes Transitional Justice in Fractured Societies</w:t>
      </w:r>
      <w:r w:rsidRPr="00CF7716">
        <w:rPr>
          <w:color w:val="000000" w:themeColor="text1"/>
          <w:sz w:val="20"/>
          <w:szCs w:val="20"/>
        </w:rPr>
        <w:t xml:space="preserve"> </w:t>
      </w:r>
      <w:r w:rsidR="00F15474" w:rsidRPr="00CF7716">
        <w:rPr>
          <w:color w:val="000000" w:themeColor="text1"/>
          <w:sz w:val="20"/>
          <w:szCs w:val="20"/>
        </w:rPr>
        <w:t>(</w:t>
      </w:r>
      <w:r w:rsidR="00E26B93">
        <w:rPr>
          <w:color w:val="000000" w:themeColor="text1"/>
          <w:sz w:val="20"/>
          <w:szCs w:val="20"/>
        </w:rPr>
        <w:t>New York, ICTJ,</w:t>
      </w:r>
      <w:r w:rsidR="00F15474" w:rsidRPr="00CF7716">
        <w:rPr>
          <w:color w:val="000000" w:themeColor="text1"/>
          <w:sz w:val="20"/>
          <w:szCs w:val="20"/>
        </w:rPr>
        <w:t xml:space="preserve"> </w:t>
      </w:r>
      <w:r w:rsidRPr="00CF7716">
        <w:rPr>
          <w:color w:val="000000" w:themeColor="text1"/>
          <w:sz w:val="20"/>
          <w:szCs w:val="20"/>
        </w:rPr>
        <w:t>2017</w:t>
      </w:r>
      <w:r w:rsidR="00F15474" w:rsidRPr="00CF7716">
        <w:rPr>
          <w:color w:val="000000" w:themeColor="text1"/>
          <w:sz w:val="20"/>
          <w:szCs w:val="20"/>
        </w:rPr>
        <w:t>) 85</w:t>
      </w:r>
      <w:r w:rsidRPr="00CF7716">
        <w:rPr>
          <w:color w:val="000000" w:themeColor="text1"/>
          <w:sz w:val="20"/>
          <w:szCs w:val="20"/>
        </w:rPr>
        <w:t>.</w:t>
      </w:r>
    </w:p>
  </w:footnote>
  <w:footnote w:id="31">
    <w:p w14:paraId="3501F058" w14:textId="33E82BA4" w:rsidR="006911CB" w:rsidRPr="00CF7716" w:rsidRDefault="006911CB" w:rsidP="00E65CEB">
      <w:pPr>
        <w:autoSpaceDE w:val="0"/>
        <w:autoSpaceDN w:val="0"/>
        <w:adjustRightInd w:val="0"/>
        <w:spacing w:line="480" w:lineRule="auto"/>
        <w:rPr>
          <w:color w:val="000000" w:themeColor="text1"/>
          <w:sz w:val="20"/>
          <w:szCs w:val="20"/>
          <w:lang w:val="en-GB"/>
        </w:rPr>
      </w:pPr>
      <w:r w:rsidRPr="00CF7716">
        <w:rPr>
          <w:rStyle w:val="FootnoteReference"/>
          <w:color w:val="000000" w:themeColor="text1"/>
          <w:sz w:val="20"/>
          <w:szCs w:val="20"/>
        </w:rPr>
        <w:footnoteRef/>
      </w:r>
      <w:r w:rsidRPr="00CF7716">
        <w:rPr>
          <w:color w:val="000000" w:themeColor="text1"/>
          <w:sz w:val="20"/>
          <w:szCs w:val="20"/>
        </w:rPr>
        <w:t xml:space="preserve"> </w:t>
      </w:r>
      <w:r w:rsidRPr="00CF7716">
        <w:rPr>
          <w:color w:val="000000" w:themeColor="text1"/>
          <w:sz w:val="20"/>
          <w:szCs w:val="20"/>
          <w:lang w:val="en-GB"/>
        </w:rPr>
        <w:t>P de Greiff, ‘The Future of the Past: Reflections on the Present State and Prospects of Transitional</w:t>
      </w:r>
    </w:p>
    <w:p w14:paraId="266E2EA5" w14:textId="76CB57A2" w:rsidR="006911CB" w:rsidRPr="00CF7716" w:rsidRDefault="006911CB" w:rsidP="00E65CEB">
      <w:pPr>
        <w:pStyle w:val="FootnoteText"/>
        <w:spacing w:line="480" w:lineRule="auto"/>
        <w:rPr>
          <w:rFonts w:ascii="Times New Roman" w:hAnsi="Times New Roman" w:cs="Times New Roman"/>
          <w:color w:val="000000" w:themeColor="text1"/>
        </w:rPr>
      </w:pPr>
      <w:r w:rsidRPr="00CF7716">
        <w:rPr>
          <w:rFonts w:ascii="Times New Roman" w:hAnsi="Times New Roman" w:cs="Times New Roman"/>
          <w:color w:val="000000" w:themeColor="text1"/>
          <w:lang w:val="en-GB"/>
        </w:rPr>
        <w:t xml:space="preserve">Justice’ </w:t>
      </w:r>
      <w:r w:rsidR="00BC398D" w:rsidRPr="00CF7716">
        <w:rPr>
          <w:rFonts w:ascii="Times New Roman" w:hAnsi="Times New Roman" w:cs="Times New Roman"/>
          <w:color w:val="000000" w:themeColor="text1"/>
          <w:lang w:val="en-GB"/>
        </w:rPr>
        <w:t xml:space="preserve">(2020) 14 </w:t>
      </w:r>
      <w:r w:rsidRPr="00CF7716">
        <w:rPr>
          <w:rFonts w:ascii="Times New Roman" w:hAnsi="Times New Roman" w:cs="Times New Roman"/>
          <w:i/>
          <w:iCs/>
          <w:color w:val="000000" w:themeColor="text1"/>
          <w:lang w:val="en-GB"/>
        </w:rPr>
        <w:t>International Journal of Transitional Justice</w:t>
      </w:r>
      <w:r w:rsidRPr="00CF7716">
        <w:rPr>
          <w:rFonts w:ascii="Times New Roman" w:hAnsi="Times New Roman" w:cs="Times New Roman"/>
          <w:color w:val="000000" w:themeColor="text1"/>
          <w:lang w:val="en-GB"/>
        </w:rPr>
        <w:t xml:space="preserve"> 251,</w:t>
      </w:r>
      <w:r w:rsidR="00BC398D" w:rsidRPr="00CF7716">
        <w:rPr>
          <w:rFonts w:ascii="Times New Roman" w:hAnsi="Times New Roman" w:cs="Times New Roman"/>
          <w:color w:val="000000" w:themeColor="text1"/>
          <w:lang w:val="en-GB"/>
        </w:rPr>
        <w:t xml:space="preserve"> 257.</w:t>
      </w:r>
    </w:p>
  </w:footnote>
  <w:footnote w:id="32">
    <w:p w14:paraId="608321B1" w14:textId="5352E706" w:rsidR="006911CB" w:rsidRPr="00CF7716" w:rsidRDefault="006911CB" w:rsidP="00E65CEB">
      <w:pPr>
        <w:autoSpaceDE w:val="0"/>
        <w:autoSpaceDN w:val="0"/>
        <w:adjustRightInd w:val="0"/>
        <w:spacing w:line="480" w:lineRule="auto"/>
        <w:rPr>
          <w:color w:val="000000" w:themeColor="text1"/>
          <w:sz w:val="20"/>
          <w:szCs w:val="20"/>
          <w:lang w:val="en-GB"/>
        </w:rPr>
      </w:pPr>
      <w:r w:rsidRPr="00CF7716">
        <w:rPr>
          <w:rStyle w:val="FootnoteReference"/>
          <w:color w:val="000000" w:themeColor="text1"/>
          <w:sz w:val="20"/>
          <w:szCs w:val="20"/>
        </w:rPr>
        <w:footnoteRef/>
      </w:r>
      <w:r w:rsidRPr="00CF7716">
        <w:rPr>
          <w:color w:val="000000" w:themeColor="text1"/>
          <w:sz w:val="20"/>
          <w:szCs w:val="20"/>
        </w:rPr>
        <w:t xml:space="preserve"> </w:t>
      </w:r>
      <w:r w:rsidRPr="00CF7716">
        <w:rPr>
          <w:color w:val="000000" w:themeColor="text1"/>
          <w:sz w:val="20"/>
          <w:szCs w:val="20"/>
          <w:lang w:val="en-GB"/>
        </w:rPr>
        <w:t xml:space="preserve">J Garcia-Godos, ‘Reparation,’ in </w:t>
      </w:r>
      <w:r w:rsidR="00F15474" w:rsidRPr="00CF7716">
        <w:rPr>
          <w:color w:val="000000" w:themeColor="text1"/>
          <w:sz w:val="20"/>
          <w:szCs w:val="20"/>
          <w:lang w:val="en-GB"/>
        </w:rPr>
        <w:t xml:space="preserve">O Simic (ed) </w:t>
      </w:r>
      <w:r w:rsidRPr="00CF7716">
        <w:rPr>
          <w:i/>
          <w:iCs/>
          <w:color w:val="000000" w:themeColor="text1"/>
          <w:sz w:val="20"/>
          <w:szCs w:val="20"/>
          <w:lang w:val="en-GB"/>
        </w:rPr>
        <w:t>An Introduction to Transitional Justice</w:t>
      </w:r>
      <w:r w:rsidRPr="00CF7716">
        <w:rPr>
          <w:color w:val="000000" w:themeColor="text1"/>
          <w:sz w:val="20"/>
          <w:szCs w:val="20"/>
          <w:lang w:val="en-GB"/>
        </w:rPr>
        <w:t xml:space="preserve"> </w:t>
      </w:r>
      <w:r w:rsidR="00F15474" w:rsidRPr="00CF7716">
        <w:rPr>
          <w:color w:val="000000" w:themeColor="text1"/>
          <w:sz w:val="20"/>
          <w:szCs w:val="20"/>
          <w:lang w:val="en-GB"/>
        </w:rPr>
        <w:t>(</w:t>
      </w:r>
      <w:r w:rsidR="00E26B93">
        <w:rPr>
          <w:color w:val="000000" w:themeColor="text1"/>
          <w:sz w:val="20"/>
          <w:szCs w:val="20"/>
          <w:lang w:val="en-GB"/>
        </w:rPr>
        <w:t xml:space="preserve">London, </w:t>
      </w:r>
      <w:r w:rsidRPr="00CF7716">
        <w:rPr>
          <w:color w:val="000000" w:themeColor="text1"/>
          <w:sz w:val="20"/>
          <w:szCs w:val="20"/>
          <w:lang w:val="en-GB"/>
        </w:rPr>
        <w:t>Routledge 2017) 209</w:t>
      </w:r>
      <w:r w:rsidR="00F15474" w:rsidRPr="00CF7716">
        <w:rPr>
          <w:color w:val="000000" w:themeColor="text1"/>
          <w:sz w:val="20"/>
          <w:szCs w:val="20"/>
          <w:lang w:val="en-GB"/>
        </w:rPr>
        <w:t>.</w:t>
      </w:r>
    </w:p>
  </w:footnote>
  <w:footnote w:id="33">
    <w:p w14:paraId="21B0666F" w14:textId="4765C3C8" w:rsidR="006911CB" w:rsidRPr="00CF7716" w:rsidRDefault="006911CB"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BC398D" w:rsidRPr="00CF7716">
        <w:rPr>
          <w:color w:val="000000" w:themeColor="text1"/>
          <w:sz w:val="20"/>
          <w:szCs w:val="20"/>
        </w:rPr>
        <w:t>D Aguirre and I Pietropaoli, ‘</w:t>
      </w:r>
      <w:r w:rsidR="00BC398D" w:rsidRPr="00CF7716">
        <w:rPr>
          <w:color w:val="000000" w:themeColor="text1"/>
          <w:sz w:val="20"/>
          <w:szCs w:val="20"/>
          <w:lang w:val="en-GB"/>
        </w:rPr>
        <w:t xml:space="preserve">Institutional Reform in Myanmar: Preventing Corporate Land Rights Abuses’ (2021) 15 </w:t>
      </w:r>
      <w:r w:rsidR="00BC398D" w:rsidRPr="00CF7716">
        <w:rPr>
          <w:i/>
          <w:iCs/>
          <w:color w:val="000000" w:themeColor="text1"/>
          <w:sz w:val="20"/>
          <w:szCs w:val="20"/>
          <w:lang w:val="en-GB"/>
        </w:rPr>
        <w:t>International Journal of Transitional Justice</w:t>
      </w:r>
      <w:r w:rsidR="00BC398D" w:rsidRPr="00CF7716">
        <w:rPr>
          <w:color w:val="000000" w:themeColor="text1"/>
          <w:sz w:val="20"/>
          <w:szCs w:val="20"/>
          <w:lang w:val="en-GB"/>
        </w:rPr>
        <w:t xml:space="preserve"> 148</w:t>
      </w:r>
      <w:r w:rsidRPr="00CF7716">
        <w:rPr>
          <w:color w:val="000000" w:themeColor="text1"/>
          <w:sz w:val="20"/>
          <w:szCs w:val="20"/>
        </w:rPr>
        <w:t xml:space="preserve">, 150. See also </w:t>
      </w:r>
      <w:r w:rsidR="006F01F1" w:rsidRPr="00CF7716">
        <w:rPr>
          <w:color w:val="000000" w:themeColor="text1"/>
          <w:sz w:val="20"/>
          <w:szCs w:val="20"/>
        </w:rPr>
        <w:t xml:space="preserve">B McGonigle Leyh, ‘A New Frame? Transforming Policing through Guarantees of Non-Repetition’ (2021) 15 </w:t>
      </w:r>
      <w:r w:rsidR="006F01F1" w:rsidRPr="00CF7716">
        <w:rPr>
          <w:i/>
          <w:iCs/>
          <w:color w:val="000000" w:themeColor="text1"/>
          <w:sz w:val="20"/>
          <w:szCs w:val="20"/>
        </w:rPr>
        <w:t xml:space="preserve">Policing </w:t>
      </w:r>
      <w:r w:rsidR="006F01F1" w:rsidRPr="00CF7716">
        <w:rPr>
          <w:color w:val="000000" w:themeColor="text1"/>
          <w:sz w:val="20"/>
          <w:szCs w:val="20"/>
        </w:rPr>
        <w:t xml:space="preserve">362 at </w:t>
      </w:r>
      <w:r w:rsidRPr="00CF7716">
        <w:rPr>
          <w:color w:val="000000" w:themeColor="text1"/>
          <w:sz w:val="20"/>
          <w:szCs w:val="20"/>
        </w:rPr>
        <w:t>363</w:t>
      </w:r>
      <w:r w:rsidR="006F01F1" w:rsidRPr="00CF7716">
        <w:rPr>
          <w:color w:val="000000" w:themeColor="text1"/>
          <w:sz w:val="20"/>
          <w:szCs w:val="20"/>
        </w:rPr>
        <w:t>,</w:t>
      </w:r>
      <w:r w:rsidRPr="00CF7716">
        <w:rPr>
          <w:color w:val="000000" w:themeColor="text1"/>
          <w:sz w:val="20"/>
          <w:szCs w:val="20"/>
        </w:rPr>
        <w:t xml:space="preserve"> arguing they are under-conceptualised and Mayer-Rieckh </w:t>
      </w:r>
      <w:r w:rsidR="00D221DA" w:rsidRPr="00CF7716">
        <w:rPr>
          <w:color w:val="000000" w:themeColor="text1"/>
          <w:sz w:val="20"/>
          <w:szCs w:val="20"/>
        </w:rPr>
        <w:t xml:space="preserve"> (n 22) </w:t>
      </w:r>
      <w:r w:rsidRPr="00CF7716">
        <w:rPr>
          <w:color w:val="000000" w:themeColor="text1"/>
          <w:sz w:val="20"/>
          <w:szCs w:val="20"/>
        </w:rPr>
        <w:t>417, noting ‘little systematic attention’ paid to GNRs.</w:t>
      </w:r>
    </w:p>
  </w:footnote>
  <w:footnote w:id="34">
    <w:p w14:paraId="3551C9C4" w14:textId="56FDB1CC" w:rsidR="009848FC" w:rsidRPr="00CF7716" w:rsidRDefault="009848FC"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9C7FB2" w:rsidRPr="00CF7716">
        <w:rPr>
          <w:color w:val="000000" w:themeColor="text1"/>
          <w:sz w:val="20"/>
          <w:szCs w:val="20"/>
        </w:rPr>
        <w:t>R</w:t>
      </w:r>
      <w:r w:rsidR="00E26B93">
        <w:rPr>
          <w:color w:val="000000" w:themeColor="text1"/>
          <w:sz w:val="20"/>
          <w:szCs w:val="20"/>
        </w:rPr>
        <w:t xml:space="preserve"> </w:t>
      </w:r>
      <w:r w:rsidRPr="00CF7716">
        <w:rPr>
          <w:color w:val="000000" w:themeColor="text1"/>
          <w:sz w:val="20"/>
          <w:szCs w:val="20"/>
        </w:rPr>
        <w:t xml:space="preserve">Paris, </w:t>
      </w:r>
      <w:r w:rsidRPr="00CF7716">
        <w:rPr>
          <w:i/>
          <w:iCs/>
          <w:color w:val="000000" w:themeColor="text1"/>
          <w:sz w:val="20"/>
          <w:szCs w:val="20"/>
        </w:rPr>
        <w:t xml:space="preserve">At </w:t>
      </w:r>
      <w:r w:rsidR="009C7FB2" w:rsidRPr="00CF7716">
        <w:rPr>
          <w:i/>
          <w:iCs/>
          <w:color w:val="000000" w:themeColor="text1"/>
          <w:sz w:val="20"/>
          <w:szCs w:val="20"/>
        </w:rPr>
        <w:t>W</w:t>
      </w:r>
      <w:r w:rsidRPr="00CF7716">
        <w:rPr>
          <w:i/>
          <w:iCs/>
          <w:color w:val="000000" w:themeColor="text1"/>
          <w:sz w:val="20"/>
          <w:szCs w:val="20"/>
        </w:rPr>
        <w:t xml:space="preserve">ar's </w:t>
      </w:r>
      <w:r w:rsidR="009C7FB2" w:rsidRPr="00CF7716">
        <w:rPr>
          <w:i/>
          <w:iCs/>
          <w:color w:val="000000" w:themeColor="text1"/>
          <w:sz w:val="20"/>
          <w:szCs w:val="20"/>
        </w:rPr>
        <w:t>E</w:t>
      </w:r>
      <w:r w:rsidRPr="00CF7716">
        <w:rPr>
          <w:i/>
          <w:iCs/>
          <w:color w:val="000000" w:themeColor="text1"/>
          <w:sz w:val="20"/>
          <w:szCs w:val="20"/>
        </w:rPr>
        <w:t xml:space="preserve">nd: </w:t>
      </w:r>
      <w:r w:rsidR="009C7FB2" w:rsidRPr="00CF7716">
        <w:rPr>
          <w:i/>
          <w:iCs/>
          <w:color w:val="000000" w:themeColor="text1"/>
          <w:sz w:val="20"/>
          <w:szCs w:val="20"/>
        </w:rPr>
        <w:t>B</w:t>
      </w:r>
      <w:r w:rsidRPr="00CF7716">
        <w:rPr>
          <w:i/>
          <w:iCs/>
          <w:color w:val="000000" w:themeColor="text1"/>
          <w:sz w:val="20"/>
          <w:szCs w:val="20"/>
        </w:rPr>
        <w:t xml:space="preserve">uilding </w:t>
      </w:r>
      <w:r w:rsidR="009C7FB2" w:rsidRPr="00CF7716">
        <w:rPr>
          <w:i/>
          <w:iCs/>
          <w:color w:val="000000" w:themeColor="text1"/>
          <w:sz w:val="20"/>
          <w:szCs w:val="20"/>
        </w:rPr>
        <w:t>P</w:t>
      </w:r>
      <w:r w:rsidRPr="00CF7716">
        <w:rPr>
          <w:i/>
          <w:iCs/>
          <w:color w:val="000000" w:themeColor="text1"/>
          <w:sz w:val="20"/>
          <w:szCs w:val="20"/>
        </w:rPr>
        <w:t xml:space="preserve">eace after </w:t>
      </w:r>
      <w:r w:rsidR="009C7FB2" w:rsidRPr="00CF7716">
        <w:rPr>
          <w:i/>
          <w:iCs/>
          <w:color w:val="000000" w:themeColor="text1"/>
          <w:sz w:val="20"/>
          <w:szCs w:val="20"/>
        </w:rPr>
        <w:t>C</w:t>
      </w:r>
      <w:r w:rsidRPr="00CF7716">
        <w:rPr>
          <w:i/>
          <w:iCs/>
          <w:color w:val="000000" w:themeColor="text1"/>
          <w:sz w:val="20"/>
          <w:szCs w:val="20"/>
        </w:rPr>
        <w:t xml:space="preserve">ivil </w:t>
      </w:r>
      <w:r w:rsidR="009C7FB2" w:rsidRPr="00CF7716">
        <w:rPr>
          <w:i/>
          <w:iCs/>
          <w:color w:val="000000" w:themeColor="text1"/>
          <w:sz w:val="20"/>
          <w:szCs w:val="20"/>
        </w:rPr>
        <w:t>C</w:t>
      </w:r>
      <w:r w:rsidRPr="00CF7716">
        <w:rPr>
          <w:i/>
          <w:iCs/>
          <w:color w:val="000000" w:themeColor="text1"/>
          <w:sz w:val="20"/>
          <w:szCs w:val="20"/>
        </w:rPr>
        <w:t>onflict</w:t>
      </w:r>
      <w:r w:rsidR="009C7FB2" w:rsidRPr="00CF7716">
        <w:rPr>
          <w:color w:val="000000" w:themeColor="text1"/>
          <w:sz w:val="20"/>
          <w:szCs w:val="20"/>
        </w:rPr>
        <w:t xml:space="preserve"> (</w:t>
      </w:r>
      <w:r w:rsidR="00E26B93">
        <w:rPr>
          <w:color w:val="000000" w:themeColor="text1"/>
          <w:sz w:val="20"/>
          <w:szCs w:val="20"/>
        </w:rPr>
        <w:t>Cambridge, Cambridge University Press,</w:t>
      </w:r>
      <w:r w:rsidR="009C7FB2" w:rsidRPr="00CF7716">
        <w:rPr>
          <w:color w:val="000000" w:themeColor="text1"/>
          <w:sz w:val="20"/>
          <w:szCs w:val="20"/>
        </w:rPr>
        <w:t xml:space="preserve"> 2004).</w:t>
      </w:r>
    </w:p>
  </w:footnote>
  <w:footnote w:id="35">
    <w:p w14:paraId="01331CB7" w14:textId="29755A91" w:rsidR="001F5800" w:rsidRPr="00CF7716" w:rsidRDefault="001F5800" w:rsidP="00E65CEB">
      <w:pPr>
        <w:autoSpaceDE w:val="0"/>
        <w:autoSpaceDN w:val="0"/>
        <w:adjustRightInd w:val="0"/>
        <w:spacing w:line="480" w:lineRule="auto"/>
        <w:rPr>
          <w:color w:val="000000" w:themeColor="text1"/>
          <w:sz w:val="20"/>
          <w:szCs w:val="20"/>
          <w:lang w:val="en-GB"/>
        </w:rPr>
      </w:pPr>
      <w:r w:rsidRPr="00CF7716">
        <w:rPr>
          <w:rStyle w:val="FootnoteReference"/>
          <w:color w:val="000000" w:themeColor="text1"/>
          <w:sz w:val="20"/>
          <w:szCs w:val="20"/>
        </w:rPr>
        <w:footnoteRef/>
      </w:r>
      <w:r w:rsidRPr="00CF7716">
        <w:rPr>
          <w:color w:val="000000" w:themeColor="text1"/>
          <w:sz w:val="20"/>
          <w:szCs w:val="20"/>
        </w:rPr>
        <w:t xml:space="preserve"> K McEvoy, ‘</w:t>
      </w:r>
      <w:r w:rsidRPr="00CF7716">
        <w:rPr>
          <w:color w:val="000000" w:themeColor="text1"/>
          <w:sz w:val="20"/>
          <w:szCs w:val="20"/>
          <w:lang w:val="en-GB"/>
        </w:rPr>
        <w:t>Travel, Dilemmas and Nonrecurrence: Observations on the ‘Respectabilisation’ of Transitional Justice’</w:t>
      </w:r>
      <w:r w:rsidRPr="00CF7716">
        <w:rPr>
          <w:color w:val="000000" w:themeColor="text1"/>
          <w:sz w:val="20"/>
          <w:szCs w:val="20"/>
        </w:rPr>
        <w:t xml:space="preserve"> (2018) 12 </w:t>
      </w:r>
      <w:r w:rsidRPr="00CF7716">
        <w:rPr>
          <w:i/>
          <w:iCs/>
          <w:color w:val="000000" w:themeColor="text1"/>
          <w:sz w:val="20"/>
          <w:szCs w:val="20"/>
          <w:lang w:val="en-GB"/>
        </w:rPr>
        <w:t>International Journal of Transitional Justice</w:t>
      </w:r>
      <w:r w:rsidR="006F01F1" w:rsidRPr="00CF7716">
        <w:rPr>
          <w:i/>
          <w:iCs/>
          <w:color w:val="000000" w:themeColor="text1"/>
          <w:sz w:val="20"/>
          <w:szCs w:val="20"/>
          <w:lang w:val="en-GB"/>
        </w:rPr>
        <w:t xml:space="preserve"> </w:t>
      </w:r>
      <w:r w:rsidRPr="00CF7716">
        <w:rPr>
          <w:color w:val="000000" w:themeColor="text1"/>
          <w:sz w:val="20"/>
          <w:szCs w:val="20"/>
          <w:lang w:val="en-GB"/>
        </w:rPr>
        <w:t>185, 188</w:t>
      </w:r>
      <w:r w:rsidR="006F01F1" w:rsidRPr="00CF7716">
        <w:rPr>
          <w:color w:val="000000" w:themeColor="text1"/>
          <w:sz w:val="20"/>
          <w:szCs w:val="20"/>
          <w:lang w:val="en-GB"/>
        </w:rPr>
        <w:t>.</w:t>
      </w:r>
    </w:p>
  </w:footnote>
  <w:footnote w:id="36">
    <w:p w14:paraId="3B1D28E2" w14:textId="7BCDD857" w:rsidR="009E776E" w:rsidRPr="00CF7716" w:rsidRDefault="009E776E"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6F01F1" w:rsidRPr="00CF7716">
        <w:rPr>
          <w:color w:val="000000" w:themeColor="text1"/>
          <w:sz w:val="20"/>
          <w:szCs w:val="20"/>
        </w:rPr>
        <w:t xml:space="preserve">M </w:t>
      </w:r>
      <w:r w:rsidRPr="00CF7716">
        <w:rPr>
          <w:color w:val="000000" w:themeColor="text1"/>
          <w:sz w:val="20"/>
          <w:szCs w:val="20"/>
        </w:rPr>
        <w:t>Finnemore</w:t>
      </w:r>
      <w:r w:rsidR="006F01F1" w:rsidRPr="00CF7716">
        <w:rPr>
          <w:color w:val="000000" w:themeColor="text1"/>
          <w:sz w:val="20"/>
          <w:szCs w:val="20"/>
        </w:rPr>
        <w:t xml:space="preserve"> </w:t>
      </w:r>
      <w:r w:rsidRPr="00CF7716">
        <w:rPr>
          <w:color w:val="000000" w:themeColor="text1"/>
          <w:sz w:val="20"/>
          <w:szCs w:val="20"/>
        </w:rPr>
        <w:t>and K Sikkink</w:t>
      </w:r>
      <w:r w:rsidR="006F01F1" w:rsidRPr="00CF7716">
        <w:rPr>
          <w:color w:val="000000" w:themeColor="text1"/>
          <w:sz w:val="20"/>
          <w:szCs w:val="20"/>
        </w:rPr>
        <w:t>, ‘</w:t>
      </w:r>
      <w:r w:rsidRPr="00CF7716">
        <w:rPr>
          <w:color w:val="000000" w:themeColor="text1"/>
          <w:sz w:val="20"/>
          <w:szCs w:val="20"/>
        </w:rPr>
        <w:t xml:space="preserve">International </w:t>
      </w:r>
      <w:r w:rsidR="006F01F1" w:rsidRPr="00CF7716">
        <w:rPr>
          <w:color w:val="000000" w:themeColor="text1"/>
          <w:sz w:val="20"/>
          <w:szCs w:val="20"/>
        </w:rPr>
        <w:t>N</w:t>
      </w:r>
      <w:r w:rsidRPr="00CF7716">
        <w:rPr>
          <w:color w:val="000000" w:themeColor="text1"/>
          <w:sz w:val="20"/>
          <w:szCs w:val="20"/>
        </w:rPr>
        <w:t xml:space="preserve">orm </w:t>
      </w:r>
      <w:r w:rsidR="006F01F1" w:rsidRPr="00CF7716">
        <w:rPr>
          <w:color w:val="000000" w:themeColor="text1"/>
          <w:sz w:val="20"/>
          <w:szCs w:val="20"/>
        </w:rPr>
        <w:t>D</w:t>
      </w:r>
      <w:r w:rsidRPr="00CF7716">
        <w:rPr>
          <w:color w:val="000000" w:themeColor="text1"/>
          <w:sz w:val="20"/>
          <w:szCs w:val="20"/>
        </w:rPr>
        <w:t xml:space="preserve">ynamics and </w:t>
      </w:r>
      <w:r w:rsidR="006F01F1" w:rsidRPr="00CF7716">
        <w:rPr>
          <w:color w:val="000000" w:themeColor="text1"/>
          <w:sz w:val="20"/>
          <w:szCs w:val="20"/>
        </w:rPr>
        <w:t>P</w:t>
      </w:r>
      <w:r w:rsidRPr="00CF7716">
        <w:rPr>
          <w:color w:val="000000" w:themeColor="text1"/>
          <w:sz w:val="20"/>
          <w:szCs w:val="20"/>
        </w:rPr>
        <w:t xml:space="preserve">olitical </w:t>
      </w:r>
      <w:r w:rsidR="006F01F1" w:rsidRPr="00CF7716">
        <w:rPr>
          <w:color w:val="000000" w:themeColor="text1"/>
          <w:sz w:val="20"/>
          <w:szCs w:val="20"/>
        </w:rPr>
        <w:t>C</w:t>
      </w:r>
      <w:r w:rsidRPr="00CF7716">
        <w:rPr>
          <w:color w:val="000000" w:themeColor="text1"/>
          <w:sz w:val="20"/>
          <w:szCs w:val="20"/>
        </w:rPr>
        <w:t>hange</w:t>
      </w:r>
      <w:r w:rsidR="006F01F1" w:rsidRPr="00CF7716">
        <w:rPr>
          <w:color w:val="000000" w:themeColor="text1"/>
          <w:sz w:val="20"/>
          <w:szCs w:val="20"/>
        </w:rPr>
        <w:t>’ (1998) 52</w:t>
      </w:r>
      <w:r w:rsidRPr="00CF7716">
        <w:rPr>
          <w:color w:val="000000" w:themeColor="text1"/>
          <w:sz w:val="20"/>
          <w:szCs w:val="20"/>
        </w:rPr>
        <w:t xml:space="preserve"> </w:t>
      </w:r>
      <w:r w:rsidRPr="00CF7716">
        <w:rPr>
          <w:i/>
          <w:iCs/>
          <w:color w:val="000000" w:themeColor="text1"/>
          <w:sz w:val="20"/>
          <w:szCs w:val="20"/>
        </w:rPr>
        <w:t xml:space="preserve">International </w:t>
      </w:r>
      <w:r w:rsidR="006F01F1" w:rsidRPr="00CF7716">
        <w:rPr>
          <w:i/>
          <w:iCs/>
          <w:color w:val="000000" w:themeColor="text1"/>
          <w:sz w:val="20"/>
          <w:szCs w:val="20"/>
        </w:rPr>
        <w:t>O</w:t>
      </w:r>
      <w:r w:rsidRPr="00CF7716">
        <w:rPr>
          <w:i/>
          <w:iCs/>
          <w:color w:val="000000" w:themeColor="text1"/>
          <w:sz w:val="20"/>
          <w:szCs w:val="20"/>
        </w:rPr>
        <w:t>rganization</w:t>
      </w:r>
      <w:r w:rsidRPr="00CF7716">
        <w:rPr>
          <w:color w:val="000000" w:themeColor="text1"/>
          <w:sz w:val="20"/>
          <w:szCs w:val="20"/>
        </w:rPr>
        <w:t xml:space="preserve"> 887, 897</w:t>
      </w:r>
      <w:r w:rsidR="006F01F1" w:rsidRPr="00CF7716">
        <w:rPr>
          <w:color w:val="000000" w:themeColor="text1"/>
          <w:sz w:val="20"/>
          <w:szCs w:val="20"/>
        </w:rPr>
        <w:t>.</w:t>
      </w:r>
    </w:p>
  </w:footnote>
  <w:footnote w:id="37">
    <w:p w14:paraId="71732CCC" w14:textId="046496E1" w:rsidR="00D016FA" w:rsidRPr="00CF7716" w:rsidRDefault="00D016FA"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F15474" w:rsidRPr="00CF7716">
        <w:rPr>
          <w:color w:val="000000" w:themeColor="text1"/>
          <w:sz w:val="20"/>
          <w:szCs w:val="20"/>
        </w:rPr>
        <w:t xml:space="preserve">N </w:t>
      </w:r>
      <w:r w:rsidRPr="00CF7716">
        <w:rPr>
          <w:color w:val="000000" w:themeColor="text1"/>
          <w:sz w:val="20"/>
          <w:szCs w:val="20"/>
        </w:rPr>
        <w:t xml:space="preserve">Boesen, </w:t>
      </w:r>
      <w:r w:rsidR="0088055C" w:rsidRPr="00CF7716">
        <w:rPr>
          <w:color w:val="000000" w:themeColor="text1"/>
          <w:sz w:val="20"/>
          <w:szCs w:val="20"/>
        </w:rPr>
        <w:t>‘</w:t>
      </w:r>
      <w:r w:rsidRPr="00CF7716">
        <w:rPr>
          <w:color w:val="000000" w:themeColor="text1"/>
          <w:sz w:val="20"/>
          <w:szCs w:val="20"/>
        </w:rPr>
        <w:t xml:space="preserve">Governance and Accountability: How do the </w:t>
      </w:r>
      <w:r w:rsidR="0088055C" w:rsidRPr="00CF7716">
        <w:rPr>
          <w:color w:val="000000" w:themeColor="text1"/>
          <w:sz w:val="20"/>
          <w:szCs w:val="20"/>
        </w:rPr>
        <w:t>F</w:t>
      </w:r>
      <w:r w:rsidRPr="00CF7716">
        <w:rPr>
          <w:color w:val="000000" w:themeColor="text1"/>
          <w:sz w:val="20"/>
          <w:szCs w:val="20"/>
        </w:rPr>
        <w:t xml:space="preserve">ormal and </w:t>
      </w:r>
      <w:r w:rsidR="0088055C" w:rsidRPr="00CF7716">
        <w:rPr>
          <w:color w:val="000000" w:themeColor="text1"/>
          <w:sz w:val="20"/>
          <w:szCs w:val="20"/>
        </w:rPr>
        <w:t>I</w:t>
      </w:r>
      <w:r w:rsidRPr="00CF7716">
        <w:rPr>
          <w:color w:val="000000" w:themeColor="text1"/>
          <w:sz w:val="20"/>
          <w:szCs w:val="20"/>
        </w:rPr>
        <w:t xml:space="preserve">nformal </w:t>
      </w:r>
      <w:r w:rsidR="0088055C" w:rsidRPr="00CF7716">
        <w:rPr>
          <w:color w:val="000000" w:themeColor="text1"/>
          <w:sz w:val="20"/>
          <w:szCs w:val="20"/>
        </w:rPr>
        <w:t>I</w:t>
      </w:r>
      <w:r w:rsidRPr="00CF7716">
        <w:rPr>
          <w:color w:val="000000" w:themeColor="text1"/>
          <w:sz w:val="20"/>
          <w:szCs w:val="20"/>
        </w:rPr>
        <w:t xml:space="preserve">nterplay and </w:t>
      </w:r>
      <w:r w:rsidR="0088055C" w:rsidRPr="00CF7716">
        <w:rPr>
          <w:color w:val="000000" w:themeColor="text1"/>
          <w:sz w:val="20"/>
          <w:szCs w:val="20"/>
        </w:rPr>
        <w:t>C</w:t>
      </w:r>
      <w:r w:rsidRPr="00CF7716">
        <w:rPr>
          <w:color w:val="000000" w:themeColor="text1"/>
          <w:sz w:val="20"/>
          <w:szCs w:val="20"/>
        </w:rPr>
        <w:t>hange?’</w:t>
      </w:r>
      <w:r w:rsidR="00C77AA6" w:rsidRPr="00CF7716">
        <w:rPr>
          <w:color w:val="000000" w:themeColor="text1"/>
          <w:sz w:val="20"/>
          <w:szCs w:val="20"/>
        </w:rPr>
        <w:t xml:space="preserve"> </w:t>
      </w:r>
      <w:r w:rsidR="0088055C" w:rsidRPr="00CF7716">
        <w:rPr>
          <w:color w:val="000000" w:themeColor="text1"/>
          <w:sz w:val="20"/>
          <w:szCs w:val="20"/>
        </w:rPr>
        <w:t xml:space="preserve">in J Jütting </w:t>
      </w:r>
      <w:r w:rsidR="0088055C" w:rsidRPr="00CF7716">
        <w:rPr>
          <w:i/>
          <w:iCs/>
          <w:color w:val="000000" w:themeColor="text1"/>
          <w:sz w:val="20"/>
          <w:szCs w:val="20"/>
        </w:rPr>
        <w:t>et al</w:t>
      </w:r>
      <w:r w:rsidR="0088055C" w:rsidRPr="00CF7716">
        <w:rPr>
          <w:color w:val="000000" w:themeColor="text1"/>
          <w:sz w:val="20"/>
          <w:szCs w:val="20"/>
        </w:rPr>
        <w:t xml:space="preserve"> (eds), </w:t>
      </w:r>
      <w:r w:rsidR="0088055C" w:rsidRPr="00CF7716">
        <w:rPr>
          <w:i/>
          <w:iCs/>
          <w:color w:val="000000" w:themeColor="text1"/>
          <w:sz w:val="20"/>
          <w:szCs w:val="20"/>
        </w:rPr>
        <w:t>Informal institutions: How Social Norms Help or Hinder Development</w:t>
      </w:r>
      <w:r w:rsidR="0088055C" w:rsidRPr="00CF7716">
        <w:rPr>
          <w:color w:val="000000" w:themeColor="text1"/>
          <w:sz w:val="20"/>
          <w:szCs w:val="20"/>
        </w:rPr>
        <w:t xml:space="preserve"> (</w:t>
      </w:r>
      <w:r w:rsidR="00E26B93">
        <w:rPr>
          <w:color w:val="000000" w:themeColor="text1"/>
          <w:sz w:val="20"/>
          <w:szCs w:val="20"/>
        </w:rPr>
        <w:t xml:space="preserve">Washington DC, </w:t>
      </w:r>
      <w:r w:rsidR="0088055C" w:rsidRPr="00CF7716">
        <w:rPr>
          <w:color w:val="000000" w:themeColor="text1"/>
          <w:sz w:val="20"/>
          <w:szCs w:val="20"/>
        </w:rPr>
        <w:t>OECD Publishing</w:t>
      </w:r>
      <w:r w:rsidR="00E26B93">
        <w:rPr>
          <w:color w:val="000000" w:themeColor="text1"/>
          <w:sz w:val="20"/>
          <w:szCs w:val="20"/>
        </w:rPr>
        <w:t>,</w:t>
      </w:r>
      <w:r w:rsidR="0088055C" w:rsidRPr="00CF7716">
        <w:rPr>
          <w:color w:val="000000" w:themeColor="text1"/>
          <w:sz w:val="20"/>
          <w:szCs w:val="20"/>
        </w:rPr>
        <w:t xml:space="preserve"> 2007), </w:t>
      </w:r>
      <w:r w:rsidRPr="00CF7716">
        <w:rPr>
          <w:color w:val="000000" w:themeColor="text1"/>
          <w:sz w:val="20"/>
          <w:szCs w:val="20"/>
        </w:rPr>
        <w:t>88</w:t>
      </w:r>
      <w:r w:rsidR="0088055C" w:rsidRPr="00CF7716">
        <w:rPr>
          <w:color w:val="000000" w:themeColor="text1"/>
          <w:sz w:val="20"/>
          <w:szCs w:val="20"/>
        </w:rPr>
        <w:t>.</w:t>
      </w:r>
    </w:p>
  </w:footnote>
  <w:footnote w:id="38">
    <w:p w14:paraId="1680E83C" w14:textId="1A4CD2F4" w:rsidR="00605177" w:rsidRPr="00CF7716" w:rsidRDefault="009377BA"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C77AA6" w:rsidRPr="00CF7716">
        <w:rPr>
          <w:color w:val="000000" w:themeColor="text1"/>
          <w:sz w:val="20"/>
          <w:szCs w:val="20"/>
        </w:rPr>
        <w:t xml:space="preserve">Special Rapporteur on the Promotion of Truth, Justice, Reparation and Guarantees of Non-Recurrence, </w:t>
      </w:r>
      <w:r w:rsidR="00605177" w:rsidRPr="00CF7716">
        <w:rPr>
          <w:color w:val="000000" w:themeColor="text1"/>
          <w:sz w:val="20"/>
          <w:szCs w:val="20"/>
          <w:lang w:val="en-GB"/>
        </w:rPr>
        <w:t xml:space="preserve">(2015) </w:t>
      </w:r>
      <w:r w:rsidR="00605177" w:rsidRPr="00CF7716">
        <w:rPr>
          <w:i/>
          <w:iCs/>
          <w:color w:val="000000" w:themeColor="text1"/>
          <w:sz w:val="20"/>
          <w:szCs w:val="20"/>
          <w:lang w:val="en-GB"/>
        </w:rPr>
        <w:t>Report to the United Nations Human Rights Council on guarantees on non-recurrence</w:t>
      </w:r>
      <w:r w:rsidR="001D41E8" w:rsidRPr="00CF7716">
        <w:rPr>
          <w:i/>
          <w:iCs/>
          <w:color w:val="000000" w:themeColor="text1"/>
          <w:sz w:val="20"/>
          <w:szCs w:val="20"/>
          <w:lang w:val="en-GB"/>
        </w:rPr>
        <w:t>,</w:t>
      </w:r>
      <w:r w:rsidR="001D41E8" w:rsidRPr="00CF7716">
        <w:rPr>
          <w:color w:val="000000" w:themeColor="text1"/>
          <w:sz w:val="20"/>
          <w:szCs w:val="20"/>
          <w:lang w:val="en-GB"/>
        </w:rPr>
        <w:t xml:space="preserve"> </w:t>
      </w:r>
      <w:r w:rsidR="00605177" w:rsidRPr="00CF7716">
        <w:rPr>
          <w:color w:val="000000" w:themeColor="text1"/>
          <w:sz w:val="20"/>
          <w:szCs w:val="20"/>
          <w:lang w:val="en-GB"/>
        </w:rPr>
        <w:t xml:space="preserve">UN Doc. A/HRC/30/42. </w:t>
      </w:r>
    </w:p>
  </w:footnote>
  <w:footnote w:id="39">
    <w:p w14:paraId="23F652A0" w14:textId="3C59CB45" w:rsidR="009377BA" w:rsidRPr="00CF7716" w:rsidRDefault="009377BA"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001D41E8" w:rsidRPr="00CF7716">
        <w:rPr>
          <w:rFonts w:ascii="Times New Roman" w:hAnsi="Times New Roman" w:cs="Times New Roman"/>
          <w:i/>
          <w:iCs/>
          <w:color w:val="000000" w:themeColor="text1"/>
          <w:lang w:val="en-GB"/>
        </w:rPr>
        <w:t xml:space="preserve">LaGrand </w:t>
      </w:r>
      <w:r w:rsidR="00C77AA6" w:rsidRPr="00CF7716">
        <w:rPr>
          <w:rFonts w:ascii="Times New Roman" w:hAnsi="Times New Roman" w:cs="Times New Roman"/>
          <w:i/>
          <w:iCs/>
          <w:color w:val="000000" w:themeColor="text1"/>
          <w:lang w:val="en-GB"/>
        </w:rPr>
        <w:t>C</w:t>
      </w:r>
      <w:r w:rsidR="001D41E8" w:rsidRPr="00CF7716">
        <w:rPr>
          <w:rFonts w:ascii="Times New Roman" w:hAnsi="Times New Roman" w:cs="Times New Roman"/>
          <w:i/>
          <w:iCs/>
          <w:color w:val="000000" w:themeColor="text1"/>
          <w:lang w:val="en-GB"/>
        </w:rPr>
        <w:t>ase</w:t>
      </w:r>
      <w:r w:rsidR="001D41E8" w:rsidRPr="00CF7716">
        <w:rPr>
          <w:rFonts w:ascii="Times New Roman" w:hAnsi="Times New Roman" w:cs="Times New Roman"/>
          <w:color w:val="000000" w:themeColor="text1"/>
          <w:lang w:val="en-GB"/>
        </w:rPr>
        <w:t xml:space="preserve"> (Germany v. United States of America) (Merits) [2001] ICJ Reports 466 [123].</w:t>
      </w:r>
    </w:p>
  </w:footnote>
  <w:footnote w:id="40">
    <w:p w14:paraId="0C88C2E7" w14:textId="5B1BB330" w:rsidR="009377BA" w:rsidRPr="00CF7716" w:rsidRDefault="009377BA" w:rsidP="00E65CEB">
      <w:pPr>
        <w:autoSpaceDE w:val="0"/>
        <w:autoSpaceDN w:val="0"/>
        <w:adjustRightInd w:val="0"/>
        <w:spacing w:line="480" w:lineRule="auto"/>
        <w:rPr>
          <w:rFonts w:eastAsiaTheme="minorHAnsi"/>
          <w:color w:val="000000" w:themeColor="text1"/>
          <w:sz w:val="20"/>
          <w:szCs w:val="20"/>
          <w:lang w:val="en-GB" w:eastAsia="en-US"/>
        </w:rPr>
      </w:pPr>
      <w:r w:rsidRPr="00CF7716">
        <w:rPr>
          <w:rStyle w:val="FootnoteReference"/>
          <w:color w:val="000000" w:themeColor="text1"/>
          <w:sz w:val="20"/>
          <w:szCs w:val="20"/>
        </w:rPr>
        <w:footnoteRef/>
      </w:r>
      <w:r w:rsidRPr="00CF7716">
        <w:rPr>
          <w:color w:val="000000" w:themeColor="text1"/>
          <w:sz w:val="20"/>
          <w:szCs w:val="20"/>
        </w:rPr>
        <w:t xml:space="preserve">  </w:t>
      </w:r>
      <w:r w:rsidR="00EC4AEB" w:rsidRPr="00CF7716">
        <w:rPr>
          <w:rFonts w:eastAsiaTheme="minorHAnsi"/>
          <w:color w:val="000000" w:themeColor="text1"/>
          <w:sz w:val="20"/>
          <w:szCs w:val="20"/>
          <w:lang w:val="en-GB" w:eastAsia="en-US"/>
        </w:rPr>
        <w:t>Available in Annex to UNGA Resolution 56/83 ‘Responsibility of States for Internationally Wrongful Acts’ (12 December 2001) UN Doc A/RES/56/83.</w:t>
      </w:r>
    </w:p>
  </w:footnote>
  <w:footnote w:id="41">
    <w:p w14:paraId="6D2822AF" w14:textId="3F5AD54C" w:rsidR="00C16AC3" w:rsidRPr="00CF7716" w:rsidRDefault="00C16AC3" w:rsidP="00E65CEB">
      <w:pPr>
        <w:autoSpaceDE w:val="0"/>
        <w:autoSpaceDN w:val="0"/>
        <w:adjustRightInd w:val="0"/>
        <w:spacing w:line="480" w:lineRule="auto"/>
        <w:rPr>
          <w:rFonts w:eastAsiaTheme="minorHAnsi"/>
          <w:color w:val="000000" w:themeColor="text1"/>
          <w:sz w:val="20"/>
          <w:szCs w:val="20"/>
          <w:lang w:val="en-GB" w:eastAsia="en-US"/>
        </w:rPr>
      </w:pPr>
      <w:r w:rsidRPr="00CF7716">
        <w:rPr>
          <w:rStyle w:val="FootnoteReference"/>
          <w:color w:val="000000" w:themeColor="text1"/>
          <w:sz w:val="20"/>
          <w:szCs w:val="20"/>
        </w:rPr>
        <w:footnoteRef/>
      </w:r>
      <w:r w:rsidRPr="00CF7716">
        <w:rPr>
          <w:color w:val="000000" w:themeColor="text1"/>
          <w:sz w:val="20"/>
          <w:szCs w:val="20"/>
        </w:rPr>
        <w:t xml:space="preserve"> </w:t>
      </w:r>
      <w:r w:rsidRPr="00CF7716">
        <w:rPr>
          <w:color w:val="000000" w:themeColor="text1"/>
          <w:sz w:val="20"/>
          <w:szCs w:val="20"/>
          <w:lang w:val="en-GB"/>
        </w:rPr>
        <w:t xml:space="preserve">UNHRC, </w:t>
      </w:r>
      <w:r w:rsidR="007A1B84" w:rsidRPr="00CF7716">
        <w:rPr>
          <w:rFonts w:eastAsiaTheme="minorHAnsi"/>
          <w:color w:val="000000" w:themeColor="text1"/>
          <w:sz w:val="20"/>
          <w:szCs w:val="20"/>
          <w:lang w:val="en-GB" w:eastAsia="en-US"/>
        </w:rPr>
        <w:t>General Comment 31, Nature of the General Legal Obligation Imposed on States Parties to the Covenant</w:t>
      </w:r>
      <w:r w:rsidRPr="00CF7716">
        <w:rPr>
          <w:color w:val="000000" w:themeColor="text1"/>
          <w:sz w:val="20"/>
          <w:szCs w:val="20"/>
          <w:lang w:val="en-GB"/>
        </w:rPr>
        <w:t xml:space="preserve">, </w:t>
      </w:r>
      <w:r w:rsidR="007A1B84" w:rsidRPr="00CF7716">
        <w:rPr>
          <w:rFonts w:eastAsiaTheme="minorHAnsi"/>
          <w:color w:val="000000" w:themeColor="text1"/>
          <w:sz w:val="20"/>
          <w:szCs w:val="20"/>
          <w:lang w:val="en-GB" w:eastAsia="en-US"/>
        </w:rPr>
        <w:t xml:space="preserve">Adopted 26 May 2004, UN doc CCPR/C/21/Rev.1/Add.13, </w:t>
      </w:r>
      <w:r w:rsidRPr="00CF7716">
        <w:rPr>
          <w:color w:val="000000" w:themeColor="text1"/>
          <w:sz w:val="20"/>
          <w:szCs w:val="20"/>
          <w:lang w:val="en-GB"/>
        </w:rPr>
        <w:t>para. 17.</w:t>
      </w:r>
    </w:p>
  </w:footnote>
  <w:footnote w:id="42">
    <w:p w14:paraId="6DB31953" w14:textId="46809CF2" w:rsidR="00AC7171" w:rsidRPr="00CF7716" w:rsidRDefault="00AC7171" w:rsidP="00E65CEB">
      <w:pPr>
        <w:autoSpaceDE w:val="0"/>
        <w:autoSpaceDN w:val="0"/>
        <w:adjustRightInd w:val="0"/>
        <w:spacing w:line="480" w:lineRule="auto"/>
        <w:rPr>
          <w:color w:val="000000" w:themeColor="text1"/>
          <w:sz w:val="20"/>
          <w:szCs w:val="20"/>
          <w:lang w:val="en-GB"/>
        </w:rPr>
      </w:pPr>
      <w:r w:rsidRPr="00CF7716">
        <w:rPr>
          <w:rStyle w:val="FootnoteReference"/>
          <w:color w:val="000000" w:themeColor="text1"/>
          <w:sz w:val="20"/>
          <w:szCs w:val="20"/>
        </w:rPr>
        <w:footnoteRef/>
      </w:r>
      <w:r w:rsidRPr="00CF7716">
        <w:rPr>
          <w:color w:val="000000" w:themeColor="text1"/>
          <w:sz w:val="20"/>
          <w:szCs w:val="20"/>
        </w:rPr>
        <w:t xml:space="preserve"> </w:t>
      </w:r>
      <w:r w:rsidRPr="00CF7716">
        <w:rPr>
          <w:color w:val="000000" w:themeColor="text1"/>
          <w:sz w:val="20"/>
          <w:szCs w:val="20"/>
          <w:lang w:val="en-GB"/>
        </w:rPr>
        <w:t xml:space="preserve">Case of </w:t>
      </w:r>
      <w:r w:rsidRPr="00CF7716">
        <w:rPr>
          <w:i/>
          <w:iCs/>
          <w:color w:val="000000" w:themeColor="text1"/>
          <w:sz w:val="20"/>
          <w:szCs w:val="20"/>
          <w:lang w:val="en-GB"/>
        </w:rPr>
        <w:t>Molina-Theissen vs. Guatemala</w:t>
      </w:r>
      <w:r w:rsidRPr="00CF7716">
        <w:rPr>
          <w:color w:val="000000" w:themeColor="text1"/>
          <w:sz w:val="20"/>
          <w:szCs w:val="20"/>
          <w:lang w:val="en-GB"/>
        </w:rPr>
        <w:t>. Reparations, Article 63(1) American Convention on Human Rights,</w:t>
      </w:r>
      <w:r w:rsidR="007A1B84" w:rsidRPr="00CF7716">
        <w:rPr>
          <w:color w:val="000000" w:themeColor="text1"/>
          <w:sz w:val="20"/>
          <w:szCs w:val="20"/>
          <w:lang w:val="en-GB"/>
        </w:rPr>
        <w:t xml:space="preserve"> </w:t>
      </w:r>
      <w:r w:rsidRPr="00CF7716">
        <w:rPr>
          <w:color w:val="000000" w:themeColor="text1"/>
          <w:sz w:val="20"/>
          <w:szCs w:val="20"/>
          <w:lang w:val="en-GB"/>
        </w:rPr>
        <w:t>Judgment of 3 July 2004, Series C No 108, para. 91(b).</w:t>
      </w:r>
    </w:p>
  </w:footnote>
  <w:footnote w:id="43">
    <w:p w14:paraId="643747E0" w14:textId="02DFB071" w:rsidR="001F5800" w:rsidRPr="00CF7716" w:rsidRDefault="001F5800" w:rsidP="00E65CEB">
      <w:pPr>
        <w:autoSpaceDE w:val="0"/>
        <w:autoSpaceDN w:val="0"/>
        <w:adjustRightInd w:val="0"/>
        <w:spacing w:line="480" w:lineRule="auto"/>
        <w:rPr>
          <w:color w:val="000000" w:themeColor="text1"/>
          <w:sz w:val="20"/>
          <w:szCs w:val="20"/>
          <w:lang w:val="en-GB"/>
        </w:rPr>
      </w:pPr>
      <w:r w:rsidRPr="00CF7716">
        <w:rPr>
          <w:rStyle w:val="FootnoteReference"/>
          <w:color w:val="000000" w:themeColor="text1"/>
          <w:sz w:val="20"/>
          <w:szCs w:val="20"/>
        </w:rPr>
        <w:footnoteRef/>
      </w:r>
      <w:r w:rsidRPr="00CF7716">
        <w:rPr>
          <w:color w:val="000000" w:themeColor="text1"/>
          <w:sz w:val="20"/>
          <w:szCs w:val="20"/>
        </w:rPr>
        <w:t xml:space="preserve"> </w:t>
      </w:r>
      <w:r w:rsidR="00AC7171" w:rsidRPr="00CF7716">
        <w:rPr>
          <w:color w:val="000000" w:themeColor="text1"/>
          <w:sz w:val="20"/>
          <w:szCs w:val="20"/>
          <w:lang w:val="en-GB"/>
        </w:rPr>
        <w:t xml:space="preserve">Case of </w:t>
      </w:r>
      <w:r w:rsidR="00AC7171" w:rsidRPr="00CF7716">
        <w:rPr>
          <w:i/>
          <w:iCs/>
          <w:color w:val="000000" w:themeColor="text1"/>
          <w:sz w:val="20"/>
          <w:szCs w:val="20"/>
          <w:lang w:val="en-GB"/>
        </w:rPr>
        <w:t>Juan Humberto Sánchez vs. Honduras</w:t>
      </w:r>
      <w:r w:rsidR="00AC7171" w:rsidRPr="00CF7716">
        <w:rPr>
          <w:color w:val="000000" w:themeColor="text1"/>
          <w:sz w:val="20"/>
          <w:szCs w:val="20"/>
          <w:lang w:val="en-GB"/>
        </w:rPr>
        <w:t>. Judgment of 7 June 2003, Series C No 99, para. 189.</w:t>
      </w:r>
    </w:p>
  </w:footnote>
  <w:footnote w:id="44">
    <w:p w14:paraId="571E8571" w14:textId="5A88F805" w:rsidR="000B509E" w:rsidRPr="00CF7716" w:rsidRDefault="000B509E"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C06E1F" w:rsidRPr="00CF7716">
        <w:rPr>
          <w:color w:val="000000" w:themeColor="text1"/>
          <w:sz w:val="20"/>
          <w:szCs w:val="20"/>
        </w:rPr>
        <w:t xml:space="preserve">J </w:t>
      </w:r>
      <w:r w:rsidRPr="00CF7716">
        <w:rPr>
          <w:color w:val="000000" w:themeColor="text1"/>
          <w:sz w:val="20"/>
          <w:szCs w:val="20"/>
          <w:lang w:val="en-GB"/>
        </w:rPr>
        <w:t xml:space="preserve">Schonsteiner, </w:t>
      </w:r>
      <w:r w:rsidR="00C06E1F" w:rsidRPr="00CF7716">
        <w:rPr>
          <w:color w:val="000000" w:themeColor="text1"/>
          <w:sz w:val="20"/>
          <w:szCs w:val="20"/>
          <w:lang w:val="en-GB"/>
        </w:rPr>
        <w:t>‘</w:t>
      </w:r>
      <w:r w:rsidRPr="00CF7716">
        <w:rPr>
          <w:color w:val="000000" w:themeColor="text1"/>
          <w:sz w:val="20"/>
          <w:szCs w:val="20"/>
          <w:lang w:val="en-GB"/>
        </w:rPr>
        <w:t xml:space="preserve">Dissuasive </w:t>
      </w:r>
      <w:r w:rsidR="00C06E1F" w:rsidRPr="00CF7716">
        <w:rPr>
          <w:color w:val="000000" w:themeColor="text1"/>
          <w:sz w:val="20"/>
          <w:szCs w:val="20"/>
          <w:lang w:val="en-GB"/>
        </w:rPr>
        <w:t>M</w:t>
      </w:r>
      <w:r w:rsidRPr="00CF7716">
        <w:rPr>
          <w:color w:val="000000" w:themeColor="text1"/>
          <w:sz w:val="20"/>
          <w:szCs w:val="20"/>
          <w:lang w:val="en-GB"/>
        </w:rPr>
        <w:t xml:space="preserve">easures and the </w:t>
      </w:r>
      <w:r w:rsidR="00C06E1F" w:rsidRPr="00CF7716">
        <w:rPr>
          <w:color w:val="000000" w:themeColor="text1"/>
          <w:sz w:val="20"/>
          <w:szCs w:val="20"/>
          <w:lang w:val="en-GB"/>
        </w:rPr>
        <w:t>“S</w:t>
      </w:r>
      <w:r w:rsidRPr="00CF7716">
        <w:rPr>
          <w:color w:val="000000" w:themeColor="text1"/>
          <w:sz w:val="20"/>
          <w:szCs w:val="20"/>
          <w:lang w:val="en-GB"/>
        </w:rPr>
        <w:t xml:space="preserve">ociety as a </w:t>
      </w:r>
      <w:r w:rsidR="00C06E1F" w:rsidRPr="00CF7716">
        <w:rPr>
          <w:color w:val="000000" w:themeColor="text1"/>
          <w:sz w:val="20"/>
          <w:szCs w:val="20"/>
          <w:lang w:val="en-GB"/>
        </w:rPr>
        <w:t>W</w:t>
      </w:r>
      <w:r w:rsidRPr="00CF7716">
        <w:rPr>
          <w:color w:val="000000" w:themeColor="text1"/>
          <w:sz w:val="20"/>
          <w:szCs w:val="20"/>
          <w:lang w:val="en-GB"/>
        </w:rPr>
        <w:t>hole</w:t>
      </w:r>
      <w:r w:rsidR="00C06E1F" w:rsidRPr="00CF7716">
        <w:rPr>
          <w:color w:val="000000" w:themeColor="text1"/>
          <w:sz w:val="20"/>
          <w:szCs w:val="20"/>
          <w:lang w:val="en-GB"/>
        </w:rPr>
        <w:t>”</w:t>
      </w:r>
      <w:r w:rsidRPr="00CF7716">
        <w:rPr>
          <w:color w:val="000000" w:themeColor="text1"/>
          <w:sz w:val="20"/>
          <w:szCs w:val="20"/>
          <w:lang w:val="en-GB"/>
        </w:rPr>
        <w:t xml:space="preserve">: A </w:t>
      </w:r>
      <w:r w:rsidR="00C06E1F" w:rsidRPr="00CF7716">
        <w:rPr>
          <w:color w:val="000000" w:themeColor="text1"/>
          <w:sz w:val="20"/>
          <w:szCs w:val="20"/>
          <w:lang w:val="en-GB"/>
        </w:rPr>
        <w:t>W</w:t>
      </w:r>
      <w:r w:rsidRPr="00CF7716">
        <w:rPr>
          <w:color w:val="000000" w:themeColor="text1"/>
          <w:sz w:val="20"/>
          <w:szCs w:val="20"/>
          <w:lang w:val="en-GB"/>
        </w:rPr>
        <w:t>orking</w:t>
      </w:r>
      <w:r w:rsidR="00C06E1F" w:rsidRPr="00CF7716">
        <w:rPr>
          <w:color w:val="000000" w:themeColor="text1"/>
          <w:sz w:val="20"/>
          <w:szCs w:val="20"/>
          <w:lang w:val="en-GB"/>
        </w:rPr>
        <w:t xml:space="preserve"> T</w:t>
      </w:r>
      <w:r w:rsidRPr="00CF7716">
        <w:rPr>
          <w:color w:val="000000" w:themeColor="text1"/>
          <w:sz w:val="20"/>
          <w:szCs w:val="20"/>
          <w:lang w:val="en-GB"/>
        </w:rPr>
        <w:t xml:space="preserve">heory of </w:t>
      </w:r>
      <w:r w:rsidR="00C06E1F" w:rsidRPr="00CF7716">
        <w:rPr>
          <w:color w:val="000000" w:themeColor="text1"/>
          <w:sz w:val="20"/>
          <w:szCs w:val="20"/>
          <w:lang w:val="en-GB"/>
        </w:rPr>
        <w:t>R</w:t>
      </w:r>
      <w:r w:rsidRPr="00CF7716">
        <w:rPr>
          <w:color w:val="000000" w:themeColor="text1"/>
          <w:sz w:val="20"/>
          <w:szCs w:val="20"/>
          <w:lang w:val="en-GB"/>
        </w:rPr>
        <w:t>eparations in the Inter-American Court of Human Rights</w:t>
      </w:r>
      <w:r w:rsidR="00C06E1F" w:rsidRPr="00CF7716">
        <w:rPr>
          <w:color w:val="000000" w:themeColor="text1"/>
          <w:sz w:val="20"/>
          <w:szCs w:val="20"/>
          <w:lang w:val="en-GB"/>
        </w:rPr>
        <w:t xml:space="preserve">’ </w:t>
      </w:r>
      <w:r w:rsidR="00C06E1F" w:rsidRPr="00CF7716">
        <w:rPr>
          <w:color w:val="000000" w:themeColor="text1"/>
          <w:sz w:val="20"/>
          <w:szCs w:val="20"/>
        </w:rPr>
        <w:t xml:space="preserve">(2007) 23 </w:t>
      </w:r>
      <w:r w:rsidR="00C06E1F" w:rsidRPr="00CF7716">
        <w:rPr>
          <w:i/>
          <w:iCs/>
          <w:color w:val="000000" w:themeColor="text1"/>
          <w:sz w:val="20"/>
          <w:szCs w:val="20"/>
        </w:rPr>
        <w:t>American University International Law Review</w:t>
      </w:r>
      <w:r w:rsidR="00C06E1F" w:rsidRPr="00CF7716">
        <w:rPr>
          <w:color w:val="000000" w:themeColor="text1"/>
          <w:sz w:val="20"/>
          <w:szCs w:val="20"/>
        </w:rPr>
        <w:t xml:space="preserve"> 127, </w:t>
      </w:r>
      <w:r w:rsidRPr="00CF7716">
        <w:rPr>
          <w:color w:val="000000" w:themeColor="text1"/>
          <w:sz w:val="20"/>
          <w:szCs w:val="20"/>
          <w:lang w:val="en-GB"/>
        </w:rPr>
        <w:t>147.</w:t>
      </w:r>
    </w:p>
  </w:footnote>
  <w:footnote w:id="45">
    <w:p w14:paraId="7DB2D1B3" w14:textId="257E525E" w:rsidR="003F2EAC" w:rsidRPr="00CF7716" w:rsidRDefault="003F2EAC"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00672CDE" w:rsidRPr="00CF7716">
        <w:rPr>
          <w:rFonts w:ascii="Times New Roman" w:hAnsi="Times New Roman" w:cs="Times New Roman"/>
          <w:color w:val="000000" w:themeColor="text1"/>
          <w:lang w:val="en-GB"/>
        </w:rPr>
        <w:t>UN Doc E/CN.4/2005/102/Add.1. (2005)</w:t>
      </w:r>
    </w:p>
  </w:footnote>
  <w:footnote w:id="46">
    <w:p w14:paraId="45721F8B" w14:textId="4F11D524" w:rsidR="00672CDE" w:rsidRPr="00CF7716" w:rsidRDefault="00672CDE"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Pr="00CF7716">
        <w:rPr>
          <w:rFonts w:ascii="Times New Roman" w:hAnsi="Times New Roman" w:cs="Times New Roman"/>
          <w:color w:val="000000" w:themeColor="text1"/>
          <w:lang w:val="en-GB"/>
        </w:rPr>
        <w:t>UN Doc A/RES/60/147 (2005)</w:t>
      </w:r>
      <w:r w:rsidR="007A1B84" w:rsidRPr="00CF7716">
        <w:rPr>
          <w:rFonts w:ascii="Times New Roman" w:hAnsi="Times New Roman" w:cs="Times New Roman"/>
          <w:color w:val="000000" w:themeColor="text1"/>
          <w:lang w:val="en-GB"/>
        </w:rPr>
        <w:t>.</w:t>
      </w:r>
    </w:p>
  </w:footnote>
  <w:footnote w:id="47">
    <w:p w14:paraId="56295A8B" w14:textId="08D964A9" w:rsidR="00E82605" w:rsidRPr="00CF7716" w:rsidRDefault="00E82605"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Davidovic</w:t>
      </w:r>
      <w:r w:rsidR="00D221DA" w:rsidRPr="00CF7716">
        <w:rPr>
          <w:rFonts w:ascii="Times New Roman" w:hAnsi="Times New Roman" w:cs="Times New Roman"/>
          <w:color w:val="000000" w:themeColor="text1"/>
        </w:rPr>
        <w:t xml:space="preserve"> (n 21) </w:t>
      </w:r>
      <w:r w:rsidRPr="00CF7716">
        <w:rPr>
          <w:rFonts w:ascii="Times New Roman" w:hAnsi="Times New Roman" w:cs="Times New Roman"/>
          <w:color w:val="000000" w:themeColor="text1"/>
        </w:rPr>
        <w:t>396.</w:t>
      </w:r>
    </w:p>
  </w:footnote>
  <w:footnote w:id="48">
    <w:p w14:paraId="09EFC4E7" w14:textId="51475E34" w:rsidR="00173AD6" w:rsidRPr="00CF7716" w:rsidRDefault="00173AD6"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9C7FB2" w:rsidRPr="00CF7716">
        <w:rPr>
          <w:color w:val="000000" w:themeColor="text1"/>
          <w:sz w:val="20"/>
          <w:szCs w:val="20"/>
        </w:rPr>
        <w:t xml:space="preserve">A Mayer-Rieckh and H Varney, </w:t>
      </w:r>
      <w:r w:rsidR="009C7FB2" w:rsidRPr="00CF7716">
        <w:rPr>
          <w:i/>
          <w:iCs/>
          <w:color w:val="000000" w:themeColor="text1"/>
          <w:sz w:val="20"/>
          <w:szCs w:val="20"/>
        </w:rPr>
        <w:t>Recommending Change: Truth Commission Recommendations on Institutional Reforms: An Overview</w:t>
      </w:r>
      <w:r w:rsidR="00D64536" w:rsidRPr="00CF7716">
        <w:rPr>
          <w:color w:val="000000" w:themeColor="text1"/>
          <w:sz w:val="20"/>
          <w:szCs w:val="20"/>
        </w:rPr>
        <w:t xml:space="preserve"> (</w:t>
      </w:r>
      <w:r w:rsidR="00E26B93">
        <w:rPr>
          <w:color w:val="000000" w:themeColor="text1"/>
          <w:sz w:val="20"/>
          <w:szCs w:val="20"/>
        </w:rPr>
        <w:t xml:space="preserve">Geneva, </w:t>
      </w:r>
      <w:r w:rsidR="009C7FB2" w:rsidRPr="00CF7716">
        <w:rPr>
          <w:color w:val="000000" w:themeColor="text1"/>
          <w:sz w:val="20"/>
          <w:szCs w:val="20"/>
        </w:rPr>
        <w:t>DCAF Centre for Security Sector Governance</w:t>
      </w:r>
      <w:r w:rsidR="00E26B93">
        <w:rPr>
          <w:color w:val="000000" w:themeColor="text1"/>
          <w:sz w:val="20"/>
          <w:szCs w:val="20"/>
        </w:rPr>
        <w:t>,</w:t>
      </w:r>
      <w:r w:rsidR="009C7FB2" w:rsidRPr="00CF7716">
        <w:rPr>
          <w:color w:val="000000" w:themeColor="text1"/>
          <w:sz w:val="20"/>
          <w:szCs w:val="20"/>
        </w:rPr>
        <w:t xml:space="preserve"> 2019) 7.</w:t>
      </w:r>
    </w:p>
  </w:footnote>
  <w:footnote w:id="49">
    <w:p w14:paraId="7060D1B4" w14:textId="376F984D" w:rsidR="007B017A" w:rsidRPr="00CF7716" w:rsidRDefault="007B017A" w:rsidP="00E65CEB">
      <w:pPr>
        <w:autoSpaceDE w:val="0"/>
        <w:autoSpaceDN w:val="0"/>
        <w:adjustRightInd w:val="0"/>
        <w:spacing w:line="480" w:lineRule="auto"/>
        <w:rPr>
          <w:color w:val="000000" w:themeColor="text1"/>
          <w:sz w:val="20"/>
          <w:szCs w:val="20"/>
          <w:lang w:val="en-GB"/>
        </w:rPr>
      </w:pPr>
      <w:r w:rsidRPr="00CF7716">
        <w:rPr>
          <w:rStyle w:val="FootnoteReference"/>
          <w:color w:val="000000" w:themeColor="text1"/>
          <w:sz w:val="20"/>
          <w:szCs w:val="20"/>
        </w:rPr>
        <w:footnoteRef/>
      </w:r>
      <w:r w:rsidRPr="00CF7716">
        <w:rPr>
          <w:color w:val="000000" w:themeColor="text1"/>
          <w:sz w:val="20"/>
          <w:szCs w:val="20"/>
        </w:rPr>
        <w:t xml:space="preserve"> </w:t>
      </w:r>
      <w:r w:rsidRPr="00CF7716">
        <w:rPr>
          <w:color w:val="000000" w:themeColor="text1"/>
          <w:sz w:val="20"/>
          <w:szCs w:val="20"/>
          <w:lang w:val="en-GB"/>
        </w:rPr>
        <w:t>E Kinder</w:t>
      </w:r>
      <w:r w:rsidR="00BB3BA5" w:rsidRPr="00CF7716">
        <w:rPr>
          <w:color w:val="000000" w:themeColor="text1"/>
          <w:sz w:val="20"/>
          <w:szCs w:val="20"/>
          <w:lang w:val="en-GB"/>
        </w:rPr>
        <w:t>,</w:t>
      </w:r>
      <w:r w:rsidRPr="00CF7716">
        <w:rPr>
          <w:color w:val="000000" w:themeColor="text1"/>
          <w:sz w:val="20"/>
          <w:szCs w:val="20"/>
          <w:lang w:val="en-GB"/>
        </w:rPr>
        <w:t xml:space="preserve"> </w:t>
      </w:r>
      <w:r w:rsidR="00BB3BA5" w:rsidRPr="00CF7716">
        <w:rPr>
          <w:color w:val="000000" w:themeColor="text1"/>
          <w:sz w:val="20"/>
          <w:szCs w:val="20"/>
          <w:lang w:val="en-GB"/>
        </w:rPr>
        <w:t>‘</w:t>
      </w:r>
      <w:r w:rsidRPr="00CF7716">
        <w:rPr>
          <w:color w:val="000000" w:themeColor="text1"/>
          <w:sz w:val="20"/>
          <w:szCs w:val="20"/>
          <w:lang w:val="en-GB"/>
        </w:rPr>
        <w:t xml:space="preserve">Non-recurrence, </w:t>
      </w:r>
      <w:r w:rsidR="00BB3BA5" w:rsidRPr="00CF7716">
        <w:rPr>
          <w:color w:val="000000" w:themeColor="text1"/>
          <w:sz w:val="20"/>
          <w:szCs w:val="20"/>
          <w:lang w:val="en-GB"/>
        </w:rPr>
        <w:t>R</w:t>
      </w:r>
      <w:r w:rsidRPr="00CF7716">
        <w:rPr>
          <w:color w:val="000000" w:themeColor="text1"/>
          <w:sz w:val="20"/>
          <w:szCs w:val="20"/>
          <w:lang w:val="en-GB"/>
        </w:rPr>
        <w:t xml:space="preserve">econciliation, and </w:t>
      </w:r>
      <w:r w:rsidR="00BB3BA5" w:rsidRPr="00CF7716">
        <w:rPr>
          <w:color w:val="000000" w:themeColor="text1"/>
          <w:sz w:val="20"/>
          <w:szCs w:val="20"/>
          <w:lang w:val="en-GB"/>
        </w:rPr>
        <w:t>T</w:t>
      </w:r>
      <w:r w:rsidRPr="00CF7716">
        <w:rPr>
          <w:color w:val="000000" w:themeColor="text1"/>
          <w:sz w:val="20"/>
          <w:szCs w:val="20"/>
          <w:lang w:val="en-GB"/>
        </w:rPr>
        <w:t xml:space="preserve">ransitional </w:t>
      </w:r>
      <w:r w:rsidR="00BB3BA5" w:rsidRPr="00CF7716">
        <w:rPr>
          <w:color w:val="000000" w:themeColor="text1"/>
          <w:sz w:val="20"/>
          <w:szCs w:val="20"/>
          <w:lang w:val="en-GB"/>
        </w:rPr>
        <w:t>J</w:t>
      </w:r>
      <w:r w:rsidRPr="00CF7716">
        <w:rPr>
          <w:color w:val="000000" w:themeColor="text1"/>
          <w:sz w:val="20"/>
          <w:szCs w:val="20"/>
          <w:lang w:val="en-GB"/>
        </w:rPr>
        <w:t xml:space="preserve">ustice: </w:t>
      </w:r>
      <w:r w:rsidR="00BB3BA5" w:rsidRPr="00CF7716">
        <w:rPr>
          <w:color w:val="000000" w:themeColor="text1"/>
          <w:sz w:val="20"/>
          <w:szCs w:val="20"/>
          <w:lang w:val="en-GB"/>
        </w:rPr>
        <w:t>S</w:t>
      </w:r>
      <w:r w:rsidRPr="00CF7716">
        <w:rPr>
          <w:color w:val="000000" w:themeColor="text1"/>
          <w:sz w:val="20"/>
          <w:szCs w:val="20"/>
          <w:lang w:val="en-GB"/>
        </w:rPr>
        <w:t xml:space="preserve">ituating </w:t>
      </w:r>
      <w:r w:rsidR="00BB3BA5" w:rsidRPr="00CF7716">
        <w:rPr>
          <w:color w:val="000000" w:themeColor="text1"/>
          <w:sz w:val="20"/>
          <w:szCs w:val="20"/>
          <w:lang w:val="en-GB"/>
        </w:rPr>
        <w:t>A</w:t>
      </w:r>
      <w:r w:rsidRPr="00CF7716">
        <w:rPr>
          <w:color w:val="000000" w:themeColor="text1"/>
          <w:sz w:val="20"/>
          <w:szCs w:val="20"/>
          <w:lang w:val="en-GB"/>
        </w:rPr>
        <w:t xml:space="preserve">ccountability in Northern Ireland’s </w:t>
      </w:r>
      <w:r w:rsidR="00BB3BA5" w:rsidRPr="00CF7716">
        <w:rPr>
          <w:color w:val="000000" w:themeColor="text1"/>
          <w:sz w:val="20"/>
          <w:szCs w:val="20"/>
          <w:lang w:val="en-GB"/>
        </w:rPr>
        <w:t>O</w:t>
      </w:r>
      <w:r w:rsidRPr="00CF7716">
        <w:rPr>
          <w:color w:val="000000" w:themeColor="text1"/>
          <w:sz w:val="20"/>
          <w:szCs w:val="20"/>
          <w:lang w:val="en-GB"/>
        </w:rPr>
        <w:t xml:space="preserve">ral </w:t>
      </w:r>
      <w:r w:rsidR="00BB3BA5" w:rsidRPr="00CF7716">
        <w:rPr>
          <w:color w:val="000000" w:themeColor="text1"/>
          <w:sz w:val="20"/>
          <w:szCs w:val="20"/>
          <w:lang w:val="en-GB"/>
        </w:rPr>
        <w:t>H</w:t>
      </w:r>
      <w:r w:rsidRPr="00CF7716">
        <w:rPr>
          <w:color w:val="000000" w:themeColor="text1"/>
          <w:sz w:val="20"/>
          <w:szCs w:val="20"/>
          <w:lang w:val="en-GB"/>
        </w:rPr>
        <w:t xml:space="preserve">istory </w:t>
      </w:r>
      <w:r w:rsidR="00BB3BA5" w:rsidRPr="00CF7716">
        <w:rPr>
          <w:color w:val="000000" w:themeColor="text1"/>
          <w:sz w:val="20"/>
          <w:szCs w:val="20"/>
          <w:lang w:val="en-GB"/>
        </w:rPr>
        <w:t>A</w:t>
      </w:r>
      <w:r w:rsidRPr="00CF7716">
        <w:rPr>
          <w:color w:val="000000" w:themeColor="text1"/>
          <w:sz w:val="20"/>
          <w:szCs w:val="20"/>
          <w:lang w:val="en-GB"/>
        </w:rPr>
        <w:t>rchive</w:t>
      </w:r>
      <w:r w:rsidR="0039099E" w:rsidRPr="00CF7716">
        <w:rPr>
          <w:color w:val="000000" w:themeColor="text1"/>
          <w:sz w:val="20"/>
          <w:szCs w:val="20"/>
          <w:lang w:val="en-GB"/>
        </w:rPr>
        <w:t xml:space="preserve">’ (2021) </w:t>
      </w:r>
      <w:r w:rsidR="00BB3BA5" w:rsidRPr="00CF7716">
        <w:rPr>
          <w:color w:val="000000" w:themeColor="text1"/>
          <w:sz w:val="20"/>
          <w:szCs w:val="20"/>
          <w:lang w:val="en-GB"/>
        </w:rPr>
        <w:t xml:space="preserve">25 </w:t>
      </w:r>
      <w:r w:rsidRPr="00CF7716">
        <w:rPr>
          <w:i/>
          <w:iCs/>
          <w:color w:val="000000" w:themeColor="text1"/>
          <w:sz w:val="20"/>
          <w:szCs w:val="20"/>
          <w:lang w:val="en-GB"/>
        </w:rPr>
        <w:t>International Journal of Human Rights</w:t>
      </w:r>
      <w:r w:rsidR="00BB3BA5" w:rsidRPr="00CF7716">
        <w:rPr>
          <w:color w:val="000000" w:themeColor="text1"/>
          <w:sz w:val="20"/>
          <w:szCs w:val="20"/>
          <w:lang w:val="en-GB"/>
        </w:rPr>
        <w:t xml:space="preserve"> </w:t>
      </w:r>
      <w:r w:rsidRPr="00CF7716">
        <w:rPr>
          <w:color w:val="000000" w:themeColor="text1"/>
          <w:sz w:val="20"/>
          <w:szCs w:val="20"/>
          <w:lang w:val="en-GB"/>
        </w:rPr>
        <w:t>509, 513</w:t>
      </w:r>
      <w:r w:rsidR="00BB3BA5" w:rsidRPr="00CF7716">
        <w:rPr>
          <w:color w:val="000000" w:themeColor="text1"/>
          <w:sz w:val="20"/>
          <w:szCs w:val="20"/>
          <w:lang w:val="en-GB"/>
        </w:rPr>
        <w:t>.</w:t>
      </w:r>
    </w:p>
  </w:footnote>
  <w:footnote w:id="50">
    <w:p w14:paraId="7C388528" w14:textId="4F57FCBE" w:rsidR="00957AE4" w:rsidRPr="00CF7716" w:rsidRDefault="00957AE4" w:rsidP="00E65CEB">
      <w:pPr>
        <w:autoSpaceDE w:val="0"/>
        <w:autoSpaceDN w:val="0"/>
        <w:adjustRightInd w:val="0"/>
        <w:spacing w:line="480" w:lineRule="auto"/>
        <w:rPr>
          <w:color w:val="000000" w:themeColor="text1"/>
          <w:sz w:val="20"/>
          <w:szCs w:val="20"/>
          <w:lang w:val="en-GB"/>
        </w:rPr>
      </w:pPr>
      <w:r w:rsidRPr="00CF7716">
        <w:rPr>
          <w:rStyle w:val="FootnoteReference"/>
          <w:color w:val="000000" w:themeColor="text1"/>
          <w:sz w:val="20"/>
          <w:szCs w:val="20"/>
        </w:rPr>
        <w:footnoteRef/>
      </w:r>
      <w:r w:rsidRPr="00CF7716">
        <w:rPr>
          <w:color w:val="000000" w:themeColor="text1"/>
          <w:sz w:val="20"/>
          <w:szCs w:val="20"/>
        </w:rPr>
        <w:t xml:space="preserve"> </w:t>
      </w:r>
      <w:r w:rsidRPr="00CF7716">
        <w:rPr>
          <w:color w:val="000000" w:themeColor="text1"/>
          <w:sz w:val="20"/>
          <w:szCs w:val="20"/>
          <w:lang w:val="en-GB"/>
        </w:rPr>
        <w:t>McGonigle Leyh</w:t>
      </w:r>
      <w:r w:rsidR="00D221DA" w:rsidRPr="00CF7716">
        <w:rPr>
          <w:color w:val="000000" w:themeColor="text1"/>
          <w:sz w:val="20"/>
          <w:szCs w:val="20"/>
          <w:lang w:val="en-GB"/>
        </w:rPr>
        <w:t xml:space="preserve"> (n 33) </w:t>
      </w:r>
      <w:r w:rsidRPr="00CF7716">
        <w:rPr>
          <w:color w:val="000000" w:themeColor="text1"/>
          <w:sz w:val="20"/>
          <w:szCs w:val="20"/>
          <w:lang w:val="en-GB"/>
        </w:rPr>
        <w:t>363.</w:t>
      </w:r>
    </w:p>
  </w:footnote>
  <w:footnote w:id="51">
    <w:p w14:paraId="7BA5AEE4" w14:textId="1AE4E603" w:rsidR="00F17BB4" w:rsidRPr="00CF7716" w:rsidRDefault="00F17BB4"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00DB2274" w:rsidRPr="00CF7716">
        <w:rPr>
          <w:rFonts w:ascii="Times New Roman" w:hAnsi="Times New Roman" w:cs="Times New Roman"/>
          <w:color w:val="000000" w:themeColor="text1"/>
        </w:rPr>
        <w:t>Mayer-Rieckh</w:t>
      </w:r>
      <w:r w:rsidR="00D221DA" w:rsidRPr="00CF7716">
        <w:rPr>
          <w:rFonts w:ascii="Times New Roman" w:hAnsi="Times New Roman" w:cs="Times New Roman"/>
          <w:color w:val="000000" w:themeColor="text1"/>
        </w:rPr>
        <w:t xml:space="preserve"> (n 22)</w:t>
      </w:r>
      <w:r w:rsidR="00DB2274" w:rsidRPr="00CF7716">
        <w:rPr>
          <w:rFonts w:ascii="Times New Roman" w:hAnsi="Times New Roman" w:cs="Times New Roman"/>
          <w:color w:val="000000" w:themeColor="text1"/>
        </w:rPr>
        <w:t xml:space="preserve"> 445</w:t>
      </w:r>
      <w:r w:rsidR="00D221DA" w:rsidRPr="00CF7716">
        <w:rPr>
          <w:rFonts w:ascii="Times New Roman" w:hAnsi="Times New Roman" w:cs="Times New Roman"/>
          <w:color w:val="000000" w:themeColor="text1"/>
        </w:rPr>
        <w:t>.</w:t>
      </w:r>
    </w:p>
  </w:footnote>
  <w:footnote w:id="52">
    <w:p w14:paraId="747C58D7" w14:textId="105B3440" w:rsidR="0039099E" w:rsidRPr="00BF4C22" w:rsidRDefault="0039099E" w:rsidP="00E65CEB">
      <w:pPr>
        <w:pStyle w:val="Default"/>
        <w:spacing w:line="480" w:lineRule="auto"/>
        <w:rPr>
          <w:rFonts w:ascii="Times New Roman" w:hAnsi="Times New Roman" w:cs="Times New Roman"/>
          <w:color w:val="000000" w:themeColor="text1"/>
          <w:sz w:val="20"/>
          <w:szCs w:val="20"/>
        </w:rPr>
      </w:pPr>
      <w:r w:rsidRPr="00CF7716">
        <w:rPr>
          <w:rStyle w:val="FootnoteReference"/>
          <w:rFonts w:ascii="Times New Roman" w:hAnsi="Times New Roman" w:cs="Times New Roman"/>
          <w:color w:val="000000" w:themeColor="text1"/>
          <w:sz w:val="20"/>
          <w:szCs w:val="20"/>
        </w:rPr>
        <w:footnoteRef/>
      </w:r>
      <w:r w:rsidRPr="00CF7716">
        <w:rPr>
          <w:rFonts w:ascii="Times New Roman" w:hAnsi="Times New Roman" w:cs="Times New Roman"/>
          <w:color w:val="000000" w:themeColor="text1"/>
          <w:sz w:val="20"/>
          <w:szCs w:val="20"/>
        </w:rPr>
        <w:t xml:space="preserve"> Sotheary You, ‘Guarantees of Non-Recurrence of Sexual and Gender-Based Violence against Women after the Khmer Rouge’</w:t>
      </w:r>
      <w:r w:rsidR="007A1B84" w:rsidRPr="00CF7716">
        <w:rPr>
          <w:rFonts w:ascii="Times New Roman" w:hAnsi="Times New Roman" w:cs="Times New Roman"/>
          <w:color w:val="000000" w:themeColor="text1"/>
          <w:sz w:val="20"/>
          <w:szCs w:val="20"/>
        </w:rPr>
        <w:t xml:space="preserve"> (2019)</w:t>
      </w:r>
      <w:r w:rsidRPr="00CF7716">
        <w:rPr>
          <w:rFonts w:ascii="Times New Roman" w:hAnsi="Times New Roman" w:cs="Times New Roman"/>
          <w:color w:val="000000" w:themeColor="text1"/>
          <w:sz w:val="20"/>
          <w:szCs w:val="20"/>
        </w:rPr>
        <w:t xml:space="preserve"> SwissPeace Working Paper Series</w:t>
      </w:r>
      <w:r w:rsidR="007A1B84" w:rsidRPr="00CF7716">
        <w:rPr>
          <w:rFonts w:ascii="Times New Roman" w:hAnsi="Times New Roman" w:cs="Times New Roman"/>
          <w:color w:val="000000" w:themeColor="text1"/>
          <w:sz w:val="20"/>
          <w:szCs w:val="20"/>
        </w:rPr>
        <w:t xml:space="preserve"> &lt;https://genderandsecurity.org/projects-resources/research/guarantees-non-recurrence-sexual-and-gender-based-violence-against-women &gt; accessed </w:t>
      </w:r>
      <w:r w:rsidR="005A1075">
        <w:rPr>
          <w:rFonts w:ascii="Times New Roman" w:hAnsi="Times New Roman" w:cs="Times New Roman"/>
          <w:color w:val="000000" w:themeColor="text1"/>
          <w:sz w:val="20"/>
          <w:szCs w:val="20"/>
        </w:rPr>
        <w:t>12 July</w:t>
      </w:r>
      <w:r w:rsidR="00BF4C22" w:rsidRPr="00BF4C22">
        <w:rPr>
          <w:rFonts w:ascii="Times New Roman" w:hAnsi="Times New Roman" w:cs="Times New Roman"/>
          <w:color w:val="000000" w:themeColor="text1"/>
          <w:sz w:val="20"/>
          <w:szCs w:val="20"/>
        </w:rPr>
        <w:t xml:space="preserve"> 2022</w:t>
      </w:r>
      <w:r w:rsidR="00BF4C22" w:rsidRPr="00BF4C22">
        <w:rPr>
          <w:color w:val="000000" w:themeColor="text1"/>
          <w:sz w:val="20"/>
          <w:szCs w:val="20"/>
        </w:rPr>
        <w:t>.</w:t>
      </w:r>
      <w:r w:rsidR="00BF4C22">
        <w:rPr>
          <w:color w:val="000000" w:themeColor="text1"/>
          <w:sz w:val="20"/>
          <w:szCs w:val="20"/>
        </w:rPr>
        <w:t>.</w:t>
      </w:r>
    </w:p>
  </w:footnote>
  <w:footnote w:id="53">
    <w:p w14:paraId="339E6053" w14:textId="28A874C0" w:rsidR="0039099E" w:rsidRPr="00CF7716" w:rsidRDefault="0039099E" w:rsidP="00E65CEB">
      <w:pPr>
        <w:autoSpaceDE w:val="0"/>
        <w:autoSpaceDN w:val="0"/>
        <w:adjustRightInd w:val="0"/>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Aguirre and Pietropaoli</w:t>
      </w:r>
      <w:r w:rsidR="00D221DA" w:rsidRPr="00CF7716">
        <w:rPr>
          <w:color w:val="000000" w:themeColor="text1"/>
          <w:sz w:val="20"/>
          <w:szCs w:val="20"/>
        </w:rPr>
        <w:t xml:space="preserve"> (n 33).</w:t>
      </w:r>
    </w:p>
  </w:footnote>
  <w:footnote w:id="54">
    <w:p w14:paraId="093B437D" w14:textId="092F7BE2" w:rsidR="00E33158" w:rsidRPr="00CF7716" w:rsidRDefault="00E33158"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Mayer-Rieckh and Varney</w:t>
      </w:r>
      <w:r w:rsidR="00805E31" w:rsidRPr="00CF7716">
        <w:rPr>
          <w:rFonts w:ascii="Times New Roman" w:hAnsi="Times New Roman" w:cs="Times New Roman"/>
          <w:color w:val="000000" w:themeColor="text1"/>
        </w:rPr>
        <w:t xml:space="preserve"> (n 48)</w:t>
      </w:r>
      <w:r w:rsidRPr="00CF7716">
        <w:rPr>
          <w:rFonts w:ascii="Times New Roman" w:hAnsi="Times New Roman" w:cs="Times New Roman"/>
          <w:color w:val="000000" w:themeColor="text1"/>
        </w:rPr>
        <w:t xml:space="preserve"> 14.</w:t>
      </w:r>
    </w:p>
  </w:footnote>
  <w:footnote w:id="55">
    <w:p w14:paraId="1C09108F" w14:textId="280D0308" w:rsidR="0052538C" w:rsidRPr="00CF7716" w:rsidRDefault="0052538C"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Special Rapporteur</w:t>
      </w:r>
      <w:r w:rsidR="00C77AA6" w:rsidRPr="00CF7716">
        <w:rPr>
          <w:rFonts w:ascii="Times New Roman" w:hAnsi="Times New Roman" w:cs="Times New Roman"/>
          <w:color w:val="000000" w:themeColor="text1"/>
        </w:rPr>
        <w:t xml:space="preserve"> (n 38) </w:t>
      </w:r>
      <w:r w:rsidRPr="00CF7716">
        <w:rPr>
          <w:rFonts w:ascii="Times New Roman" w:hAnsi="Times New Roman" w:cs="Times New Roman"/>
          <w:color w:val="000000" w:themeColor="text1"/>
        </w:rPr>
        <w:t>7.</w:t>
      </w:r>
    </w:p>
  </w:footnote>
  <w:footnote w:id="56">
    <w:p w14:paraId="5853D256" w14:textId="2A1A2C57" w:rsidR="004D3186" w:rsidRPr="00CF7716" w:rsidRDefault="004D3186"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D64536" w:rsidRPr="00CF7716">
        <w:rPr>
          <w:color w:val="000000" w:themeColor="text1"/>
          <w:sz w:val="20"/>
          <w:szCs w:val="20"/>
        </w:rPr>
        <w:t xml:space="preserve">L </w:t>
      </w:r>
      <w:r w:rsidRPr="00CF7716">
        <w:rPr>
          <w:color w:val="000000" w:themeColor="text1"/>
          <w:sz w:val="20"/>
          <w:szCs w:val="20"/>
        </w:rPr>
        <w:t xml:space="preserve">Lixinski, </w:t>
      </w:r>
      <w:r w:rsidRPr="00CF7716">
        <w:rPr>
          <w:i/>
          <w:iCs/>
          <w:color w:val="000000" w:themeColor="text1"/>
          <w:sz w:val="20"/>
          <w:szCs w:val="20"/>
        </w:rPr>
        <w:t>Legalized Identities: Cultural Heritage Law and the Shaping of Transitional Justice</w:t>
      </w:r>
      <w:r w:rsidR="00D64536" w:rsidRPr="00CF7716">
        <w:rPr>
          <w:color w:val="000000" w:themeColor="text1"/>
          <w:sz w:val="20"/>
          <w:szCs w:val="20"/>
        </w:rPr>
        <w:t xml:space="preserve"> (C</w:t>
      </w:r>
      <w:r w:rsidR="00E26B93">
        <w:rPr>
          <w:color w:val="000000" w:themeColor="text1"/>
          <w:sz w:val="20"/>
          <w:szCs w:val="20"/>
        </w:rPr>
        <w:t>ambridge, Cambridge University Press,</w:t>
      </w:r>
      <w:r w:rsidR="00D64536" w:rsidRPr="00CF7716">
        <w:rPr>
          <w:color w:val="000000" w:themeColor="text1"/>
          <w:sz w:val="20"/>
          <w:szCs w:val="20"/>
        </w:rPr>
        <w:t xml:space="preserve"> 2021) </w:t>
      </w:r>
      <w:r w:rsidRPr="00CF7716">
        <w:rPr>
          <w:color w:val="000000" w:themeColor="text1"/>
          <w:sz w:val="20"/>
          <w:szCs w:val="20"/>
        </w:rPr>
        <w:t>21.</w:t>
      </w:r>
    </w:p>
  </w:footnote>
  <w:footnote w:id="57">
    <w:p w14:paraId="0A35C233" w14:textId="23EBBC7C" w:rsidR="0003257B" w:rsidRPr="00CF7716" w:rsidRDefault="0003257B"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00C77AA6" w:rsidRPr="00CF7716">
        <w:rPr>
          <w:rFonts w:ascii="Times New Roman" w:hAnsi="Times New Roman" w:cs="Times New Roman"/>
          <w:color w:val="000000" w:themeColor="text1"/>
        </w:rPr>
        <w:t>Special Rapporteur (n 38) 16</w:t>
      </w:r>
      <w:r w:rsidR="008D0ED7" w:rsidRPr="00CF7716">
        <w:rPr>
          <w:rFonts w:ascii="Times New Roman" w:hAnsi="Times New Roman" w:cs="Times New Roman"/>
          <w:color w:val="000000" w:themeColor="text1"/>
        </w:rPr>
        <w:t xml:space="preserve"> </w:t>
      </w:r>
      <w:r w:rsidR="008D0ED7" w:rsidRPr="00CF7716">
        <w:rPr>
          <w:rFonts w:ascii="Times New Roman" w:hAnsi="Times New Roman" w:cs="Times New Roman"/>
          <w:color w:val="000000" w:themeColor="text1"/>
        </w:rPr>
        <w:softHyphen/>
        <w:t>.</w:t>
      </w:r>
    </w:p>
  </w:footnote>
  <w:footnote w:id="58">
    <w:p w14:paraId="3FB5E733" w14:textId="6C7ADE51" w:rsidR="00F17BB4" w:rsidRPr="00CF7716" w:rsidRDefault="00F17BB4"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McGonigle-Leyh</w:t>
      </w:r>
      <w:r w:rsidR="00D221DA" w:rsidRPr="00CF7716">
        <w:rPr>
          <w:rFonts w:ascii="Times New Roman" w:hAnsi="Times New Roman" w:cs="Times New Roman"/>
          <w:color w:val="000000" w:themeColor="text1"/>
        </w:rPr>
        <w:t xml:space="preserve"> (n 33) </w:t>
      </w:r>
      <w:r w:rsidRPr="00CF7716">
        <w:rPr>
          <w:rFonts w:ascii="Times New Roman" w:hAnsi="Times New Roman" w:cs="Times New Roman"/>
          <w:color w:val="000000" w:themeColor="text1"/>
        </w:rPr>
        <w:t>367 and 370.</w:t>
      </w:r>
    </w:p>
  </w:footnote>
  <w:footnote w:id="59">
    <w:p w14:paraId="012A5AC3" w14:textId="5DCD8A38" w:rsidR="00E33158" w:rsidRPr="00CF7716" w:rsidRDefault="00E33158"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Pr="00CF7716">
        <w:rPr>
          <w:rFonts w:ascii="Times New Roman" w:hAnsi="Times New Roman" w:cs="Times New Roman"/>
          <w:i/>
          <w:iCs/>
          <w:color w:val="000000" w:themeColor="text1"/>
        </w:rPr>
        <w:t>Report of the Commission for Historical Clarification: Conclusions and Recommendations</w:t>
      </w:r>
      <w:r w:rsidRPr="00CF7716">
        <w:rPr>
          <w:rFonts w:ascii="Times New Roman" w:hAnsi="Times New Roman" w:cs="Times New Roman"/>
          <w:color w:val="000000" w:themeColor="text1"/>
        </w:rPr>
        <w:t xml:space="preserve"> (1999), para. 58</w:t>
      </w:r>
      <w:r w:rsidR="00D64536" w:rsidRPr="00CF7716">
        <w:rPr>
          <w:rFonts w:ascii="Times New Roman" w:hAnsi="Times New Roman" w:cs="Times New Roman"/>
          <w:color w:val="000000" w:themeColor="text1"/>
        </w:rPr>
        <w:t>.</w:t>
      </w:r>
    </w:p>
  </w:footnote>
  <w:footnote w:id="60">
    <w:p w14:paraId="22B960F5" w14:textId="6648198C" w:rsidR="00FA7C36" w:rsidRPr="00CF7716" w:rsidRDefault="00FA7C36"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00805E31" w:rsidRPr="00CF7716">
        <w:rPr>
          <w:rFonts w:ascii="Times New Roman" w:hAnsi="Times New Roman" w:cs="Times New Roman"/>
          <w:color w:val="000000" w:themeColor="text1"/>
        </w:rPr>
        <w:t xml:space="preserve">Mayer-Rieckh and Varney (n 48) </w:t>
      </w:r>
      <w:r w:rsidR="00EB1D8B" w:rsidRPr="00CF7716">
        <w:rPr>
          <w:rFonts w:ascii="Times New Roman" w:hAnsi="Times New Roman" w:cs="Times New Roman"/>
          <w:color w:val="000000" w:themeColor="text1"/>
        </w:rPr>
        <w:t xml:space="preserve"> 47</w:t>
      </w:r>
      <w:r w:rsidR="00805E31" w:rsidRPr="00CF7716">
        <w:rPr>
          <w:rFonts w:ascii="Times New Roman" w:hAnsi="Times New Roman" w:cs="Times New Roman"/>
          <w:color w:val="000000" w:themeColor="text1"/>
        </w:rPr>
        <w:t>.</w:t>
      </w:r>
    </w:p>
  </w:footnote>
  <w:footnote w:id="61">
    <w:p w14:paraId="35AD8BF7" w14:textId="659D786C" w:rsidR="004951B8" w:rsidRPr="00CF7716" w:rsidRDefault="004951B8" w:rsidP="00E65CEB">
      <w:pPr>
        <w:pStyle w:val="Default"/>
        <w:spacing w:line="480" w:lineRule="auto"/>
        <w:rPr>
          <w:rFonts w:ascii="Times New Roman" w:hAnsi="Times New Roman" w:cs="Times New Roman"/>
          <w:color w:val="000000" w:themeColor="text1"/>
          <w:sz w:val="20"/>
          <w:szCs w:val="20"/>
        </w:rPr>
      </w:pPr>
      <w:r w:rsidRPr="00CF7716">
        <w:rPr>
          <w:rStyle w:val="FootnoteReference"/>
          <w:rFonts w:ascii="Times New Roman" w:hAnsi="Times New Roman" w:cs="Times New Roman"/>
          <w:color w:val="000000" w:themeColor="text1"/>
          <w:sz w:val="20"/>
          <w:szCs w:val="20"/>
        </w:rPr>
        <w:footnoteRef/>
      </w:r>
      <w:r w:rsidRPr="00CF7716">
        <w:rPr>
          <w:rFonts w:ascii="Times New Roman" w:hAnsi="Times New Roman" w:cs="Times New Roman"/>
          <w:color w:val="000000" w:themeColor="text1"/>
          <w:sz w:val="20"/>
          <w:szCs w:val="20"/>
        </w:rPr>
        <w:t xml:space="preserve"> UN Security Council, </w:t>
      </w:r>
      <w:r w:rsidRPr="00CF7716">
        <w:rPr>
          <w:rFonts w:ascii="Times New Roman" w:hAnsi="Times New Roman" w:cs="Times New Roman"/>
          <w:i/>
          <w:iCs/>
          <w:color w:val="000000" w:themeColor="text1"/>
          <w:sz w:val="20"/>
          <w:szCs w:val="20"/>
        </w:rPr>
        <w:t>Report of the Secretary General: The Rule of Law and Transitional Justice in Conflict and Post-Conflict Societies</w:t>
      </w:r>
      <w:r w:rsidRPr="00CF7716">
        <w:rPr>
          <w:rFonts w:ascii="Times New Roman" w:hAnsi="Times New Roman" w:cs="Times New Roman"/>
          <w:color w:val="000000" w:themeColor="text1"/>
          <w:sz w:val="20"/>
          <w:szCs w:val="20"/>
        </w:rPr>
        <w:t xml:space="preserve">, S/2004/616, 23 August 2004, </w:t>
      </w:r>
      <w:r w:rsidR="007A1B84" w:rsidRPr="00CF7716">
        <w:rPr>
          <w:rFonts w:ascii="Times New Roman" w:hAnsi="Times New Roman" w:cs="Times New Roman"/>
          <w:color w:val="000000" w:themeColor="text1"/>
          <w:sz w:val="20"/>
          <w:szCs w:val="20"/>
        </w:rPr>
        <w:t>p</w:t>
      </w:r>
      <w:r w:rsidRPr="00CF7716">
        <w:rPr>
          <w:rFonts w:ascii="Times New Roman" w:hAnsi="Times New Roman" w:cs="Times New Roman"/>
          <w:color w:val="000000" w:themeColor="text1"/>
          <w:sz w:val="20"/>
          <w:szCs w:val="20"/>
        </w:rPr>
        <w:t>ara 52</w:t>
      </w:r>
      <w:r w:rsidR="007A1B84" w:rsidRPr="00CF7716">
        <w:rPr>
          <w:rFonts w:ascii="Times New Roman" w:hAnsi="Times New Roman" w:cs="Times New Roman"/>
          <w:color w:val="000000" w:themeColor="text1"/>
          <w:sz w:val="20"/>
          <w:szCs w:val="20"/>
        </w:rPr>
        <w:t>.</w:t>
      </w:r>
    </w:p>
  </w:footnote>
  <w:footnote w:id="62">
    <w:p w14:paraId="1CB24243" w14:textId="4E3DA5FC" w:rsidR="00FF3F2C" w:rsidRPr="00CF7716" w:rsidRDefault="00FF3F2C"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00805E31" w:rsidRPr="00CF7716">
        <w:rPr>
          <w:rFonts w:ascii="Times New Roman" w:hAnsi="Times New Roman" w:cs="Times New Roman"/>
          <w:color w:val="000000" w:themeColor="text1"/>
        </w:rPr>
        <w:t>Ibid paras 52-53.</w:t>
      </w:r>
    </w:p>
  </w:footnote>
  <w:footnote w:id="63">
    <w:p w14:paraId="065B9052" w14:textId="78D704EE" w:rsidR="006A6948" w:rsidRPr="00CF7716" w:rsidRDefault="006A6948"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For a useful survey, see </w:t>
      </w:r>
      <w:r w:rsidRPr="00CF7716">
        <w:rPr>
          <w:color w:val="000000" w:themeColor="text1"/>
          <w:sz w:val="20"/>
          <w:szCs w:val="20"/>
          <w:lang w:val="en-GB"/>
        </w:rPr>
        <w:t xml:space="preserve">C Horne, </w:t>
      </w:r>
      <w:r w:rsidR="0088055C" w:rsidRPr="00CF7716">
        <w:rPr>
          <w:color w:val="000000" w:themeColor="text1"/>
          <w:sz w:val="20"/>
          <w:szCs w:val="20"/>
          <w:lang w:val="en-GB"/>
        </w:rPr>
        <w:t>‘</w:t>
      </w:r>
      <w:r w:rsidRPr="00CF7716">
        <w:rPr>
          <w:color w:val="000000" w:themeColor="text1"/>
          <w:sz w:val="20"/>
          <w:szCs w:val="20"/>
          <w:lang w:val="en-GB"/>
        </w:rPr>
        <w:t>Transitional Justice: Vetting and Lustration</w:t>
      </w:r>
      <w:r w:rsidR="0088055C" w:rsidRPr="00CF7716">
        <w:rPr>
          <w:color w:val="000000" w:themeColor="text1"/>
          <w:sz w:val="20"/>
          <w:szCs w:val="20"/>
          <w:lang w:val="en-GB"/>
        </w:rPr>
        <w:t>’</w:t>
      </w:r>
      <w:r w:rsidRPr="00CF7716">
        <w:rPr>
          <w:color w:val="000000" w:themeColor="text1"/>
          <w:sz w:val="20"/>
          <w:szCs w:val="20"/>
          <w:lang w:val="en-GB"/>
        </w:rPr>
        <w:t xml:space="preserve"> in </w:t>
      </w:r>
      <w:r w:rsidR="00C46574" w:rsidRPr="00CF7716">
        <w:rPr>
          <w:color w:val="000000" w:themeColor="text1"/>
          <w:sz w:val="20"/>
          <w:szCs w:val="20"/>
          <w:lang w:val="en-GB"/>
        </w:rPr>
        <w:t xml:space="preserve"> </w:t>
      </w:r>
      <w:r w:rsidR="0088055C" w:rsidRPr="00CF7716">
        <w:rPr>
          <w:color w:val="000000" w:themeColor="text1"/>
          <w:sz w:val="20"/>
          <w:szCs w:val="20"/>
          <w:lang w:val="en-GB"/>
        </w:rPr>
        <w:t xml:space="preserve">C </w:t>
      </w:r>
      <w:r w:rsidR="00C46574" w:rsidRPr="00CF7716">
        <w:rPr>
          <w:color w:val="000000" w:themeColor="text1"/>
          <w:sz w:val="20"/>
          <w:szCs w:val="20"/>
        </w:rPr>
        <w:t>Lawther, D</w:t>
      </w:r>
      <w:r w:rsidR="0088055C" w:rsidRPr="00CF7716">
        <w:rPr>
          <w:color w:val="000000" w:themeColor="text1"/>
          <w:sz w:val="20"/>
          <w:szCs w:val="20"/>
        </w:rPr>
        <w:t xml:space="preserve"> </w:t>
      </w:r>
      <w:r w:rsidR="00C46574" w:rsidRPr="00CF7716">
        <w:rPr>
          <w:color w:val="000000" w:themeColor="text1"/>
          <w:sz w:val="20"/>
          <w:szCs w:val="20"/>
        </w:rPr>
        <w:t>Jacobs and L Moffett</w:t>
      </w:r>
      <w:r w:rsidR="0088055C" w:rsidRPr="00CF7716">
        <w:rPr>
          <w:color w:val="000000" w:themeColor="text1"/>
          <w:sz w:val="20"/>
          <w:szCs w:val="20"/>
        </w:rPr>
        <w:t xml:space="preserve"> (</w:t>
      </w:r>
      <w:r w:rsidR="00C46574" w:rsidRPr="00CF7716">
        <w:rPr>
          <w:color w:val="000000" w:themeColor="text1"/>
          <w:sz w:val="20"/>
          <w:szCs w:val="20"/>
        </w:rPr>
        <w:t>eds</w:t>
      </w:r>
      <w:r w:rsidR="0088055C" w:rsidRPr="00CF7716">
        <w:rPr>
          <w:color w:val="000000" w:themeColor="text1"/>
          <w:sz w:val="20"/>
          <w:szCs w:val="20"/>
        </w:rPr>
        <w:t>),</w:t>
      </w:r>
      <w:r w:rsidR="00C46574" w:rsidRPr="00CF7716">
        <w:rPr>
          <w:color w:val="000000" w:themeColor="text1"/>
          <w:sz w:val="20"/>
          <w:szCs w:val="20"/>
        </w:rPr>
        <w:t xml:space="preserve"> </w:t>
      </w:r>
      <w:r w:rsidR="00C46574" w:rsidRPr="00CF7716">
        <w:rPr>
          <w:i/>
          <w:iCs/>
          <w:color w:val="000000" w:themeColor="text1"/>
          <w:sz w:val="20"/>
          <w:szCs w:val="20"/>
        </w:rPr>
        <w:t xml:space="preserve">Research </w:t>
      </w:r>
      <w:r w:rsidR="0088055C" w:rsidRPr="00CF7716">
        <w:rPr>
          <w:i/>
          <w:iCs/>
          <w:color w:val="000000" w:themeColor="text1"/>
          <w:sz w:val="20"/>
          <w:szCs w:val="20"/>
        </w:rPr>
        <w:t>H</w:t>
      </w:r>
      <w:r w:rsidR="00C46574" w:rsidRPr="00CF7716">
        <w:rPr>
          <w:i/>
          <w:iCs/>
          <w:color w:val="000000" w:themeColor="text1"/>
          <w:sz w:val="20"/>
          <w:szCs w:val="20"/>
        </w:rPr>
        <w:t xml:space="preserve">andbook on </w:t>
      </w:r>
      <w:r w:rsidR="0088055C" w:rsidRPr="00CF7716">
        <w:rPr>
          <w:i/>
          <w:iCs/>
          <w:color w:val="000000" w:themeColor="text1"/>
          <w:sz w:val="20"/>
          <w:szCs w:val="20"/>
        </w:rPr>
        <w:t>T</w:t>
      </w:r>
      <w:r w:rsidR="00C46574" w:rsidRPr="00CF7716">
        <w:rPr>
          <w:i/>
          <w:iCs/>
          <w:color w:val="000000" w:themeColor="text1"/>
          <w:sz w:val="20"/>
          <w:szCs w:val="20"/>
        </w:rPr>
        <w:t xml:space="preserve">ransitional </w:t>
      </w:r>
      <w:r w:rsidR="0088055C" w:rsidRPr="00CF7716">
        <w:rPr>
          <w:i/>
          <w:iCs/>
          <w:color w:val="000000" w:themeColor="text1"/>
          <w:sz w:val="20"/>
          <w:szCs w:val="20"/>
        </w:rPr>
        <w:t>J</w:t>
      </w:r>
      <w:r w:rsidR="00C46574" w:rsidRPr="00CF7716">
        <w:rPr>
          <w:i/>
          <w:iCs/>
          <w:color w:val="000000" w:themeColor="text1"/>
          <w:sz w:val="20"/>
          <w:szCs w:val="20"/>
        </w:rPr>
        <w:t>ustice</w:t>
      </w:r>
      <w:r w:rsidR="0088055C" w:rsidRPr="00CF7716">
        <w:rPr>
          <w:color w:val="000000" w:themeColor="text1"/>
          <w:sz w:val="20"/>
          <w:szCs w:val="20"/>
        </w:rPr>
        <w:t xml:space="preserve"> (</w:t>
      </w:r>
      <w:r w:rsidR="00E26B93">
        <w:rPr>
          <w:color w:val="000000" w:themeColor="text1"/>
          <w:sz w:val="20"/>
          <w:szCs w:val="20"/>
        </w:rPr>
        <w:t xml:space="preserve">London, </w:t>
      </w:r>
      <w:r w:rsidR="00C46574" w:rsidRPr="00CF7716">
        <w:rPr>
          <w:color w:val="000000" w:themeColor="text1"/>
          <w:sz w:val="20"/>
          <w:szCs w:val="20"/>
        </w:rPr>
        <w:t>Edward Elgar 2017</w:t>
      </w:r>
      <w:r w:rsidR="0088055C" w:rsidRPr="00CF7716">
        <w:rPr>
          <w:color w:val="000000" w:themeColor="text1"/>
          <w:sz w:val="20"/>
          <w:szCs w:val="20"/>
        </w:rPr>
        <w:t>)</w:t>
      </w:r>
      <w:r w:rsidR="00C46574" w:rsidRPr="00CF7716">
        <w:rPr>
          <w:color w:val="000000" w:themeColor="text1"/>
          <w:sz w:val="20"/>
          <w:szCs w:val="20"/>
        </w:rPr>
        <w:t>, 424.</w:t>
      </w:r>
    </w:p>
  </w:footnote>
  <w:footnote w:id="64">
    <w:p w14:paraId="7C4EBB66" w14:textId="2A0A7BDD" w:rsidR="006E3E28" w:rsidRPr="00CF7716" w:rsidRDefault="006E3E28"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6A578F" w:rsidRPr="00CF7716">
        <w:rPr>
          <w:color w:val="000000" w:themeColor="text1"/>
          <w:sz w:val="20"/>
          <w:szCs w:val="20"/>
        </w:rPr>
        <w:t xml:space="preserve">A Mayer-Rieckh, ‘Vetting to Prevent </w:t>
      </w:r>
      <w:r w:rsidR="0004661E" w:rsidRPr="00CF7716">
        <w:rPr>
          <w:color w:val="000000" w:themeColor="text1"/>
          <w:sz w:val="20"/>
          <w:szCs w:val="20"/>
        </w:rPr>
        <w:t>F</w:t>
      </w:r>
      <w:r w:rsidR="006A578F" w:rsidRPr="00CF7716">
        <w:rPr>
          <w:color w:val="000000" w:themeColor="text1"/>
          <w:sz w:val="20"/>
          <w:szCs w:val="20"/>
        </w:rPr>
        <w:t>uture Abuses: Reforming the Police, Courts, and Prosecutor’s Offices in Bosnia and Herzegovina’</w:t>
      </w:r>
      <w:r w:rsidR="00D64536" w:rsidRPr="00CF7716">
        <w:rPr>
          <w:color w:val="000000" w:themeColor="text1"/>
          <w:sz w:val="20"/>
          <w:szCs w:val="20"/>
        </w:rPr>
        <w:t xml:space="preserve"> in A M</w:t>
      </w:r>
      <w:r w:rsidR="006A578F" w:rsidRPr="00CF7716">
        <w:rPr>
          <w:color w:val="000000" w:themeColor="text1"/>
          <w:sz w:val="20"/>
          <w:szCs w:val="20"/>
        </w:rPr>
        <w:t xml:space="preserve">ayer-Reickh and P </w:t>
      </w:r>
      <w:r w:rsidR="0004661E" w:rsidRPr="00CF7716">
        <w:rPr>
          <w:color w:val="000000" w:themeColor="text1"/>
          <w:sz w:val="20"/>
          <w:szCs w:val="20"/>
        </w:rPr>
        <w:t>d</w:t>
      </w:r>
      <w:r w:rsidR="006A578F" w:rsidRPr="00CF7716">
        <w:rPr>
          <w:color w:val="000000" w:themeColor="text1"/>
          <w:sz w:val="20"/>
          <w:szCs w:val="20"/>
        </w:rPr>
        <w:t>e Greiff</w:t>
      </w:r>
      <w:r w:rsidR="0004661E" w:rsidRPr="00CF7716">
        <w:rPr>
          <w:color w:val="000000" w:themeColor="text1"/>
          <w:sz w:val="20"/>
          <w:szCs w:val="20"/>
        </w:rPr>
        <w:t xml:space="preserve"> (eds) </w:t>
      </w:r>
      <w:r w:rsidR="006A578F" w:rsidRPr="00CF7716">
        <w:rPr>
          <w:i/>
          <w:iCs/>
          <w:color w:val="000000" w:themeColor="text1"/>
          <w:sz w:val="20"/>
          <w:szCs w:val="20"/>
        </w:rPr>
        <w:t xml:space="preserve">Justice as </w:t>
      </w:r>
      <w:r w:rsidR="0004661E" w:rsidRPr="00CF7716">
        <w:rPr>
          <w:i/>
          <w:iCs/>
          <w:color w:val="000000" w:themeColor="text1"/>
          <w:sz w:val="20"/>
          <w:szCs w:val="20"/>
        </w:rPr>
        <w:t>P</w:t>
      </w:r>
      <w:r w:rsidR="006A578F" w:rsidRPr="00CF7716">
        <w:rPr>
          <w:i/>
          <w:iCs/>
          <w:color w:val="000000" w:themeColor="text1"/>
          <w:sz w:val="20"/>
          <w:szCs w:val="20"/>
        </w:rPr>
        <w:t xml:space="preserve">revention: Vetting </w:t>
      </w:r>
      <w:r w:rsidR="0004661E" w:rsidRPr="00CF7716">
        <w:rPr>
          <w:i/>
          <w:iCs/>
          <w:color w:val="000000" w:themeColor="text1"/>
          <w:sz w:val="20"/>
          <w:szCs w:val="20"/>
        </w:rPr>
        <w:t>P</w:t>
      </w:r>
      <w:r w:rsidR="006A578F" w:rsidRPr="00CF7716">
        <w:rPr>
          <w:i/>
          <w:iCs/>
          <w:color w:val="000000" w:themeColor="text1"/>
          <w:sz w:val="20"/>
          <w:szCs w:val="20"/>
        </w:rPr>
        <w:t xml:space="preserve">ublic </w:t>
      </w:r>
      <w:r w:rsidR="0004661E" w:rsidRPr="00CF7716">
        <w:rPr>
          <w:i/>
          <w:iCs/>
          <w:color w:val="000000" w:themeColor="text1"/>
          <w:sz w:val="20"/>
          <w:szCs w:val="20"/>
        </w:rPr>
        <w:t>E</w:t>
      </w:r>
      <w:r w:rsidR="006A578F" w:rsidRPr="00CF7716">
        <w:rPr>
          <w:i/>
          <w:iCs/>
          <w:color w:val="000000" w:themeColor="text1"/>
          <w:sz w:val="20"/>
          <w:szCs w:val="20"/>
        </w:rPr>
        <w:t xml:space="preserve">mployees in Transitional </w:t>
      </w:r>
      <w:r w:rsidR="0004661E" w:rsidRPr="00CF7716">
        <w:rPr>
          <w:i/>
          <w:iCs/>
          <w:color w:val="000000" w:themeColor="text1"/>
          <w:sz w:val="20"/>
          <w:szCs w:val="20"/>
        </w:rPr>
        <w:t>S</w:t>
      </w:r>
      <w:r w:rsidR="006A578F" w:rsidRPr="00CF7716">
        <w:rPr>
          <w:i/>
          <w:iCs/>
          <w:color w:val="000000" w:themeColor="text1"/>
          <w:sz w:val="20"/>
          <w:szCs w:val="20"/>
        </w:rPr>
        <w:t>ocieties</w:t>
      </w:r>
      <w:r w:rsidR="0004661E" w:rsidRPr="00CF7716">
        <w:rPr>
          <w:color w:val="000000" w:themeColor="text1"/>
          <w:sz w:val="20"/>
          <w:szCs w:val="20"/>
        </w:rPr>
        <w:t xml:space="preserve"> (</w:t>
      </w:r>
      <w:r w:rsidR="00E26B93">
        <w:rPr>
          <w:color w:val="000000" w:themeColor="text1"/>
          <w:sz w:val="20"/>
          <w:szCs w:val="20"/>
        </w:rPr>
        <w:t xml:space="preserve">New York, </w:t>
      </w:r>
      <w:r w:rsidR="0004661E" w:rsidRPr="00CF7716">
        <w:rPr>
          <w:color w:val="000000" w:themeColor="text1"/>
          <w:sz w:val="20"/>
          <w:szCs w:val="20"/>
        </w:rPr>
        <w:t xml:space="preserve">Social Science Research Council 2007) </w:t>
      </w:r>
      <w:r w:rsidR="006A578F" w:rsidRPr="00CF7716">
        <w:rPr>
          <w:color w:val="000000" w:themeColor="text1"/>
          <w:sz w:val="20"/>
          <w:szCs w:val="20"/>
        </w:rPr>
        <w:t>180-222</w:t>
      </w:r>
      <w:r w:rsidR="0004661E" w:rsidRPr="00CF7716">
        <w:rPr>
          <w:color w:val="000000" w:themeColor="text1"/>
          <w:sz w:val="20"/>
          <w:szCs w:val="20"/>
        </w:rPr>
        <w:t>.</w:t>
      </w:r>
    </w:p>
  </w:footnote>
  <w:footnote w:id="65">
    <w:p w14:paraId="0277D2DB" w14:textId="725240D6" w:rsidR="002D2051" w:rsidRPr="00CF7716" w:rsidRDefault="002D2051" w:rsidP="00E65CEB">
      <w:pPr>
        <w:autoSpaceDE w:val="0"/>
        <w:autoSpaceDN w:val="0"/>
        <w:adjustRightInd w:val="0"/>
        <w:spacing w:line="480" w:lineRule="auto"/>
        <w:rPr>
          <w:color w:val="000000" w:themeColor="text1"/>
          <w:sz w:val="20"/>
          <w:szCs w:val="20"/>
          <w:lang w:val="en-GB"/>
        </w:rPr>
      </w:pPr>
      <w:r w:rsidRPr="00CF7716">
        <w:rPr>
          <w:rStyle w:val="FootnoteReference"/>
          <w:color w:val="000000" w:themeColor="text1"/>
          <w:sz w:val="20"/>
          <w:szCs w:val="20"/>
        </w:rPr>
        <w:footnoteRef/>
      </w:r>
      <w:r w:rsidRPr="00CF7716">
        <w:rPr>
          <w:color w:val="000000" w:themeColor="text1"/>
          <w:sz w:val="20"/>
          <w:szCs w:val="20"/>
        </w:rPr>
        <w:t xml:space="preserve"> </w:t>
      </w:r>
      <w:r w:rsidRPr="00CF7716">
        <w:rPr>
          <w:color w:val="000000" w:themeColor="text1"/>
          <w:sz w:val="20"/>
          <w:szCs w:val="20"/>
          <w:lang w:val="en-GB"/>
        </w:rPr>
        <w:t xml:space="preserve">D Holiday and W Stanley, </w:t>
      </w:r>
      <w:r w:rsidR="002C6767" w:rsidRPr="00CF7716">
        <w:rPr>
          <w:color w:val="000000" w:themeColor="text1"/>
          <w:sz w:val="20"/>
          <w:szCs w:val="20"/>
          <w:lang w:val="en-GB"/>
        </w:rPr>
        <w:t>‘</w:t>
      </w:r>
      <w:r w:rsidRPr="00CF7716">
        <w:rPr>
          <w:color w:val="000000" w:themeColor="text1"/>
          <w:sz w:val="20"/>
          <w:szCs w:val="20"/>
          <w:lang w:val="en-GB"/>
        </w:rPr>
        <w:t>Building the Peace: Preliminary Lessons from El Salvador</w:t>
      </w:r>
      <w:r w:rsidR="002C6767" w:rsidRPr="00CF7716">
        <w:rPr>
          <w:color w:val="000000" w:themeColor="text1"/>
          <w:sz w:val="20"/>
          <w:szCs w:val="20"/>
          <w:lang w:val="en-GB"/>
        </w:rPr>
        <w:t xml:space="preserve">’ (1993) 46 </w:t>
      </w:r>
      <w:r w:rsidR="002C6767" w:rsidRPr="00CF7716">
        <w:rPr>
          <w:i/>
          <w:iCs/>
          <w:color w:val="000000" w:themeColor="text1"/>
          <w:sz w:val="20"/>
          <w:szCs w:val="20"/>
          <w:lang w:val="en-GB"/>
        </w:rPr>
        <w:t>Journal of International Affairs</w:t>
      </w:r>
      <w:r w:rsidR="002C6767" w:rsidRPr="00CF7716">
        <w:rPr>
          <w:color w:val="000000" w:themeColor="text1"/>
          <w:sz w:val="20"/>
          <w:szCs w:val="20"/>
          <w:lang w:val="en-GB"/>
        </w:rPr>
        <w:t xml:space="preserve"> 415,</w:t>
      </w:r>
      <w:r w:rsidRPr="00CF7716">
        <w:rPr>
          <w:color w:val="000000" w:themeColor="text1"/>
          <w:sz w:val="20"/>
          <w:szCs w:val="20"/>
          <w:lang w:val="en-GB"/>
        </w:rPr>
        <w:t xml:space="preserve"> </w:t>
      </w:r>
      <w:r w:rsidR="002C6767" w:rsidRPr="00CF7716">
        <w:rPr>
          <w:color w:val="000000" w:themeColor="text1"/>
          <w:sz w:val="20"/>
          <w:szCs w:val="20"/>
          <w:lang w:val="en-GB"/>
        </w:rPr>
        <w:t>425.</w:t>
      </w:r>
    </w:p>
  </w:footnote>
  <w:footnote w:id="66">
    <w:p w14:paraId="3936A20D" w14:textId="0D98751B" w:rsidR="000F4504" w:rsidRPr="00CF7716" w:rsidRDefault="000F4504" w:rsidP="00E65CEB">
      <w:pPr>
        <w:autoSpaceDE w:val="0"/>
        <w:autoSpaceDN w:val="0"/>
        <w:adjustRightInd w:val="0"/>
        <w:spacing w:line="480" w:lineRule="auto"/>
        <w:rPr>
          <w:color w:val="000000" w:themeColor="text1"/>
          <w:sz w:val="20"/>
          <w:szCs w:val="20"/>
          <w:lang w:val="en-GB"/>
        </w:rPr>
      </w:pPr>
      <w:r w:rsidRPr="00CF7716">
        <w:rPr>
          <w:rStyle w:val="FootnoteReference"/>
          <w:color w:val="000000" w:themeColor="text1"/>
          <w:sz w:val="20"/>
          <w:szCs w:val="20"/>
        </w:rPr>
        <w:footnoteRef/>
      </w:r>
      <w:r w:rsidRPr="00CF7716">
        <w:rPr>
          <w:color w:val="000000" w:themeColor="text1"/>
          <w:sz w:val="20"/>
          <w:szCs w:val="20"/>
        </w:rPr>
        <w:t xml:space="preserve"> </w:t>
      </w:r>
      <w:r w:rsidRPr="00CF7716">
        <w:rPr>
          <w:color w:val="000000" w:themeColor="text1"/>
          <w:sz w:val="20"/>
          <w:szCs w:val="20"/>
          <w:lang w:val="en-GB"/>
        </w:rPr>
        <w:t>The Administration of justice and the Human Rights of Detainees. The Question of the Impunity of Perpetrators of Human Rights Violations (Civil and Political): Revised Final Report Prepared by Mr. L. Joinet, U.N. ESCOR, Comm'n on Hum. Rts., 49th Sess.,</w:t>
      </w:r>
    </w:p>
    <w:p w14:paraId="4845774D" w14:textId="4A00FD33" w:rsidR="000F4504" w:rsidRPr="00CF7716" w:rsidRDefault="000F4504" w:rsidP="00E65CEB">
      <w:pPr>
        <w:pStyle w:val="FootnoteText"/>
        <w:spacing w:line="480" w:lineRule="auto"/>
        <w:rPr>
          <w:rFonts w:ascii="Times New Roman" w:hAnsi="Times New Roman" w:cs="Times New Roman"/>
          <w:color w:val="000000" w:themeColor="text1"/>
        </w:rPr>
      </w:pPr>
      <w:r w:rsidRPr="00CF7716">
        <w:rPr>
          <w:rFonts w:ascii="Times New Roman" w:hAnsi="Times New Roman" w:cs="Times New Roman"/>
          <w:color w:val="000000" w:themeColor="text1"/>
          <w:lang w:val="en-GB"/>
        </w:rPr>
        <w:t>Agenda Item 9, U.N. Doc. E/CN.4/Sub.2/1997/20/Rev.1, Principle 40</w:t>
      </w:r>
    </w:p>
  </w:footnote>
  <w:footnote w:id="67">
    <w:p w14:paraId="3C83605C" w14:textId="3AA4F0F4" w:rsidR="008734EB" w:rsidRPr="00CF7716" w:rsidRDefault="008734EB" w:rsidP="00E65CEB">
      <w:pPr>
        <w:pStyle w:val="Default"/>
        <w:spacing w:line="480" w:lineRule="auto"/>
        <w:rPr>
          <w:rFonts w:ascii="Times New Roman" w:hAnsi="Times New Roman" w:cs="Times New Roman"/>
          <w:color w:val="000000" w:themeColor="text1"/>
          <w:sz w:val="20"/>
          <w:szCs w:val="20"/>
        </w:rPr>
      </w:pPr>
      <w:r w:rsidRPr="00CF7716">
        <w:rPr>
          <w:rStyle w:val="FootnoteReference"/>
          <w:rFonts w:ascii="Times New Roman" w:hAnsi="Times New Roman" w:cs="Times New Roman"/>
          <w:color w:val="000000" w:themeColor="text1"/>
          <w:sz w:val="20"/>
          <w:szCs w:val="20"/>
        </w:rPr>
        <w:footnoteRef/>
      </w:r>
      <w:r w:rsidRPr="00CF7716">
        <w:rPr>
          <w:rFonts w:ascii="Times New Roman" w:hAnsi="Times New Roman" w:cs="Times New Roman"/>
          <w:color w:val="000000" w:themeColor="text1"/>
          <w:sz w:val="20"/>
          <w:szCs w:val="20"/>
        </w:rPr>
        <w:t xml:space="preserve"> Statement by Pablo de Greiff, Special Rapporteur on the promotion of truth, justice, reparation and guarantees of non-recurrence, at the 70th session of the General Assembly</w:t>
      </w:r>
      <w:r w:rsidR="009C59BC" w:rsidRPr="00CF7716">
        <w:rPr>
          <w:rFonts w:ascii="Times New Roman" w:hAnsi="Times New Roman" w:cs="Times New Roman"/>
          <w:color w:val="000000" w:themeColor="text1"/>
          <w:sz w:val="20"/>
          <w:szCs w:val="20"/>
        </w:rPr>
        <w:t xml:space="preserve"> &lt; https://www.ohchr.org/en/statements/2015/11/statement-pablo-de-greiff-special-rapporteur-promotion-truth-justice-reparation &gt; accessed </w:t>
      </w:r>
      <w:r w:rsidR="005A1075">
        <w:rPr>
          <w:rFonts w:ascii="Times New Roman" w:hAnsi="Times New Roman" w:cs="Times New Roman"/>
          <w:color w:val="000000" w:themeColor="text1"/>
          <w:sz w:val="20"/>
          <w:szCs w:val="20"/>
        </w:rPr>
        <w:t>12 July</w:t>
      </w:r>
      <w:r w:rsidR="00BF4C22" w:rsidRPr="00BF4C22">
        <w:rPr>
          <w:rFonts w:ascii="Times New Roman" w:hAnsi="Times New Roman" w:cs="Times New Roman"/>
          <w:color w:val="000000" w:themeColor="text1"/>
          <w:sz w:val="20"/>
          <w:szCs w:val="20"/>
        </w:rPr>
        <w:t xml:space="preserve"> 2022</w:t>
      </w:r>
      <w:r w:rsidR="00BF4C22" w:rsidRPr="00BF4C22">
        <w:rPr>
          <w:color w:val="000000" w:themeColor="text1"/>
          <w:sz w:val="20"/>
          <w:szCs w:val="20"/>
        </w:rPr>
        <w:t>.</w:t>
      </w:r>
    </w:p>
  </w:footnote>
  <w:footnote w:id="68">
    <w:p w14:paraId="1796934D" w14:textId="16F0C2D2" w:rsidR="00B900EB" w:rsidRPr="00CF7716" w:rsidRDefault="00B900EB"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003B61B8" w:rsidRPr="00CF7716">
        <w:rPr>
          <w:rFonts w:ascii="Times New Roman" w:hAnsi="Times New Roman" w:cs="Times New Roman"/>
          <w:color w:val="000000" w:themeColor="text1"/>
        </w:rPr>
        <w:t>Special Rapporteur</w:t>
      </w:r>
      <w:r w:rsidR="00C77AA6" w:rsidRPr="00CF7716">
        <w:rPr>
          <w:rFonts w:ascii="Times New Roman" w:hAnsi="Times New Roman" w:cs="Times New Roman"/>
          <w:color w:val="000000" w:themeColor="text1"/>
        </w:rPr>
        <w:t xml:space="preserve"> (n 38) </w:t>
      </w:r>
      <w:r w:rsidR="003B61B8" w:rsidRPr="00CF7716">
        <w:rPr>
          <w:rFonts w:ascii="Times New Roman" w:hAnsi="Times New Roman" w:cs="Times New Roman"/>
          <w:color w:val="000000" w:themeColor="text1"/>
        </w:rPr>
        <w:t>para. 57.</w:t>
      </w:r>
    </w:p>
  </w:footnote>
  <w:footnote w:id="69">
    <w:p w14:paraId="133B0783" w14:textId="35CDDDB6" w:rsidR="006B0406" w:rsidRPr="00CF7716" w:rsidRDefault="006B0406"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McGonigle-Leyh</w:t>
      </w:r>
      <w:r w:rsidR="00D221DA" w:rsidRPr="00CF7716">
        <w:rPr>
          <w:rFonts w:ascii="Times New Roman" w:hAnsi="Times New Roman" w:cs="Times New Roman"/>
          <w:color w:val="000000" w:themeColor="text1"/>
        </w:rPr>
        <w:t xml:space="preserve"> (n 33) </w:t>
      </w:r>
      <w:r w:rsidRPr="00CF7716">
        <w:rPr>
          <w:rFonts w:ascii="Times New Roman" w:hAnsi="Times New Roman" w:cs="Times New Roman"/>
          <w:color w:val="000000" w:themeColor="text1"/>
        </w:rPr>
        <w:t>364.</w:t>
      </w:r>
    </w:p>
  </w:footnote>
  <w:footnote w:id="70">
    <w:p w14:paraId="452F31A1" w14:textId="721BDAE7" w:rsidR="008826C8" w:rsidRPr="00CF7716" w:rsidRDefault="008826C8"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Aguirre and Pietropaoli</w:t>
      </w:r>
      <w:r w:rsidR="00D221DA" w:rsidRPr="00CF7716">
        <w:rPr>
          <w:rFonts w:ascii="Times New Roman" w:hAnsi="Times New Roman" w:cs="Times New Roman"/>
          <w:color w:val="000000" w:themeColor="text1"/>
        </w:rPr>
        <w:t xml:space="preserve"> (n 33)</w:t>
      </w:r>
      <w:r w:rsidRPr="00CF7716">
        <w:rPr>
          <w:rFonts w:ascii="Times New Roman" w:hAnsi="Times New Roman" w:cs="Times New Roman"/>
          <w:color w:val="000000" w:themeColor="text1"/>
        </w:rPr>
        <w:t xml:space="preserve"> 163</w:t>
      </w:r>
      <w:r w:rsidR="00D221DA" w:rsidRPr="00CF7716">
        <w:rPr>
          <w:rFonts w:ascii="Times New Roman" w:hAnsi="Times New Roman" w:cs="Times New Roman"/>
          <w:color w:val="000000" w:themeColor="text1"/>
        </w:rPr>
        <w:t>.</w:t>
      </w:r>
    </w:p>
  </w:footnote>
  <w:footnote w:id="71">
    <w:p w14:paraId="054803FC" w14:textId="7E865586" w:rsidR="008826C8" w:rsidRPr="00CF7716" w:rsidRDefault="008826C8"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00C77AA6" w:rsidRPr="00CF7716">
        <w:rPr>
          <w:rFonts w:ascii="Times New Roman" w:hAnsi="Times New Roman" w:cs="Times New Roman"/>
          <w:color w:val="000000" w:themeColor="text1"/>
        </w:rPr>
        <w:t xml:space="preserve">Special Rapporteur (n 38) </w:t>
      </w:r>
      <w:r w:rsidRPr="00CF7716">
        <w:rPr>
          <w:rFonts w:ascii="Times New Roman" w:hAnsi="Times New Roman" w:cs="Times New Roman"/>
          <w:color w:val="000000" w:themeColor="text1"/>
        </w:rPr>
        <w:t>para. 42</w:t>
      </w:r>
    </w:p>
  </w:footnote>
  <w:footnote w:id="72">
    <w:p w14:paraId="731806C8" w14:textId="68570EE0" w:rsidR="008826C8" w:rsidRPr="00CF7716" w:rsidRDefault="008826C8"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00C77AA6" w:rsidRPr="00CF7716">
        <w:rPr>
          <w:rFonts w:ascii="Times New Roman" w:hAnsi="Times New Roman" w:cs="Times New Roman"/>
          <w:color w:val="000000" w:themeColor="text1"/>
        </w:rPr>
        <w:t>ibid</w:t>
      </w:r>
      <w:r w:rsidRPr="00CF7716">
        <w:rPr>
          <w:rFonts w:ascii="Times New Roman" w:hAnsi="Times New Roman" w:cs="Times New Roman"/>
          <w:color w:val="000000" w:themeColor="text1"/>
        </w:rPr>
        <w:t xml:space="preserve"> para. 69.</w:t>
      </w:r>
    </w:p>
  </w:footnote>
  <w:footnote w:id="73">
    <w:p w14:paraId="7F0A9CBE" w14:textId="3B73FE2B" w:rsidR="00963E71" w:rsidRPr="00CF7716" w:rsidRDefault="00963E71"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Davidovic</w:t>
      </w:r>
      <w:r w:rsidR="00D221DA" w:rsidRPr="00CF7716">
        <w:rPr>
          <w:rFonts w:ascii="Times New Roman" w:hAnsi="Times New Roman" w:cs="Times New Roman"/>
          <w:color w:val="000000" w:themeColor="text1"/>
        </w:rPr>
        <w:t xml:space="preserve"> (n 21)</w:t>
      </w:r>
      <w:r w:rsidRPr="00CF7716">
        <w:rPr>
          <w:rFonts w:ascii="Times New Roman" w:hAnsi="Times New Roman" w:cs="Times New Roman"/>
          <w:color w:val="000000" w:themeColor="text1"/>
        </w:rPr>
        <w:t xml:space="preserve"> 402, 404 and 402</w:t>
      </w:r>
      <w:r w:rsidR="00D221DA" w:rsidRPr="00CF7716">
        <w:rPr>
          <w:rFonts w:ascii="Times New Roman" w:hAnsi="Times New Roman" w:cs="Times New Roman"/>
          <w:color w:val="000000" w:themeColor="text1"/>
        </w:rPr>
        <w:t>.</w:t>
      </w:r>
    </w:p>
  </w:footnote>
  <w:footnote w:id="74">
    <w:p w14:paraId="2C0E36E4" w14:textId="7D102575" w:rsidR="00B36B3A" w:rsidRPr="00CF7716" w:rsidRDefault="00B36B3A"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Sandoval </w:t>
      </w:r>
      <w:r w:rsidR="00D221DA" w:rsidRPr="00CF7716">
        <w:rPr>
          <w:rFonts w:ascii="Times New Roman" w:hAnsi="Times New Roman" w:cs="Times New Roman"/>
          <w:color w:val="000000" w:themeColor="text1"/>
        </w:rPr>
        <w:t xml:space="preserve">(n 23) </w:t>
      </w:r>
      <w:r w:rsidRPr="00CF7716">
        <w:rPr>
          <w:rFonts w:ascii="Times New Roman" w:hAnsi="Times New Roman" w:cs="Times New Roman"/>
          <w:color w:val="000000" w:themeColor="text1"/>
        </w:rPr>
        <w:t>183</w:t>
      </w:r>
      <w:r w:rsidR="00D221DA" w:rsidRPr="00CF7716">
        <w:rPr>
          <w:rFonts w:ascii="Times New Roman" w:hAnsi="Times New Roman" w:cs="Times New Roman"/>
          <w:color w:val="000000" w:themeColor="text1"/>
        </w:rPr>
        <w:t>.</w:t>
      </w:r>
    </w:p>
  </w:footnote>
  <w:footnote w:id="75">
    <w:p w14:paraId="14AA96C9" w14:textId="1E6DDDFB" w:rsidR="00374DCD" w:rsidRPr="00CF7716" w:rsidRDefault="00374DCD" w:rsidP="00E65CEB">
      <w:pPr>
        <w:spacing w:line="480" w:lineRule="auto"/>
        <w:rPr>
          <w:color w:val="000000" w:themeColor="text1"/>
        </w:rPr>
      </w:pPr>
      <w:r w:rsidRPr="00CF7716">
        <w:rPr>
          <w:rStyle w:val="FootnoteReference"/>
          <w:color w:val="000000" w:themeColor="text1"/>
          <w:sz w:val="20"/>
          <w:szCs w:val="20"/>
        </w:rPr>
        <w:footnoteRef/>
      </w:r>
      <w:r w:rsidRPr="00CF7716">
        <w:rPr>
          <w:color w:val="000000" w:themeColor="text1"/>
          <w:sz w:val="20"/>
          <w:szCs w:val="20"/>
        </w:rPr>
        <w:t xml:space="preserve"> </w:t>
      </w:r>
      <w:r w:rsidR="0052538C" w:rsidRPr="00CF7716">
        <w:rPr>
          <w:color w:val="000000" w:themeColor="text1"/>
          <w:sz w:val="20"/>
          <w:szCs w:val="20"/>
        </w:rPr>
        <w:t>An argument made by</w:t>
      </w:r>
      <w:r w:rsidR="00944326" w:rsidRPr="00CF7716">
        <w:rPr>
          <w:color w:val="000000" w:themeColor="text1"/>
          <w:sz w:val="20"/>
          <w:szCs w:val="20"/>
        </w:rPr>
        <w:t xml:space="preserve"> the Special Rapporteur</w:t>
      </w:r>
      <w:r w:rsidR="00C77AA6" w:rsidRPr="00CF7716">
        <w:rPr>
          <w:color w:val="000000" w:themeColor="text1"/>
        </w:rPr>
        <w:t xml:space="preserve"> (n 38) </w:t>
      </w:r>
      <w:r w:rsidR="00944326" w:rsidRPr="00CF7716">
        <w:rPr>
          <w:color w:val="000000" w:themeColor="text1"/>
          <w:sz w:val="20"/>
          <w:szCs w:val="20"/>
        </w:rPr>
        <w:t xml:space="preserve"> 9, </w:t>
      </w:r>
      <w:r w:rsidR="00037C94" w:rsidRPr="00CF7716">
        <w:rPr>
          <w:color w:val="000000" w:themeColor="text1"/>
        </w:rPr>
        <w:t xml:space="preserve"> </w:t>
      </w:r>
      <w:r w:rsidR="00037C94" w:rsidRPr="00CF7716">
        <w:rPr>
          <w:color w:val="000000" w:themeColor="text1"/>
          <w:sz w:val="20"/>
          <w:szCs w:val="20"/>
        </w:rPr>
        <w:t>N</w:t>
      </w:r>
      <w:r w:rsidR="0052538C" w:rsidRPr="00CF7716">
        <w:rPr>
          <w:color w:val="000000" w:themeColor="text1"/>
          <w:sz w:val="20"/>
          <w:szCs w:val="20"/>
        </w:rPr>
        <w:t xml:space="preserve"> </w:t>
      </w:r>
      <w:r w:rsidR="00944326" w:rsidRPr="00CF7716">
        <w:rPr>
          <w:color w:val="000000" w:themeColor="text1"/>
          <w:sz w:val="20"/>
          <w:szCs w:val="20"/>
        </w:rPr>
        <w:t>Roht-Arriaz</w:t>
      </w:r>
      <w:r w:rsidR="00037C94" w:rsidRPr="00CF7716">
        <w:rPr>
          <w:color w:val="000000" w:themeColor="text1"/>
          <w:sz w:val="20"/>
          <w:szCs w:val="20"/>
        </w:rPr>
        <w:t xml:space="preserve">a, ‘Measures of Non-repetition in Transitional Justice: The Missing Link?’ in P Gready and S Robins (eds), </w:t>
      </w:r>
      <w:r w:rsidR="00037C94" w:rsidRPr="00CF7716">
        <w:rPr>
          <w:i/>
          <w:iCs/>
          <w:color w:val="000000" w:themeColor="text1"/>
          <w:sz w:val="20"/>
          <w:szCs w:val="20"/>
        </w:rPr>
        <w:t>From Transitional to Transformative Justice</w:t>
      </w:r>
      <w:r w:rsidR="00037C94" w:rsidRPr="00CF7716">
        <w:rPr>
          <w:color w:val="000000" w:themeColor="text1"/>
          <w:sz w:val="20"/>
          <w:szCs w:val="20"/>
        </w:rPr>
        <w:t xml:space="preserve"> (C</w:t>
      </w:r>
      <w:r w:rsidR="00E26B93">
        <w:rPr>
          <w:color w:val="000000" w:themeColor="text1"/>
          <w:sz w:val="20"/>
          <w:szCs w:val="20"/>
        </w:rPr>
        <w:t>ambridge, Cambridge University Press,</w:t>
      </w:r>
      <w:r w:rsidR="00037C94" w:rsidRPr="00CF7716">
        <w:rPr>
          <w:color w:val="000000" w:themeColor="text1"/>
          <w:sz w:val="20"/>
          <w:szCs w:val="20"/>
        </w:rPr>
        <w:t xml:space="preserve"> 2019)</w:t>
      </w:r>
      <w:r w:rsidR="00944326" w:rsidRPr="00CF7716">
        <w:rPr>
          <w:color w:val="000000" w:themeColor="text1"/>
          <w:sz w:val="20"/>
          <w:szCs w:val="20"/>
        </w:rPr>
        <w:t xml:space="preserve"> 107 and </w:t>
      </w:r>
      <w:r w:rsidRPr="00CF7716">
        <w:rPr>
          <w:color w:val="000000" w:themeColor="text1"/>
          <w:sz w:val="20"/>
          <w:szCs w:val="20"/>
        </w:rPr>
        <w:t>Mayer-Rieckh</w:t>
      </w:r>
      <w:r w:rsidR="00D221DA" w:rsidRPr="00CF7716">
        <w:rPr>
          <w:color w:val="000000" w:themeColor="text1"/>
        </w:rPr>
        <w:t xml:space="preserve"> (n 22)</w:t>
      </w:r>
      <w:r w:rsidRPr="00CF7716">
        <w:rPr>
          <w:color w:val="000000" w:themeColor="text1"/>
          <w:sz w:val="20"/>
          <w:szCs w:val="20"/>
        </w:rPr>
        <w:t xml:space="preserve"> 432</w:t>
      </w:r>
      <w:r w:rsidR="00C36649" w:rsidRPr="00CF7716">
        <w:rPr>
          <w:color w:val="000000" w:themeColor="text1"/>
          <w:sz w:val="20"/>
          <w:szCs w:val="20"/>
        </w:rPr>
        <w:t xml:space="preserve"> and accepted in </w:t>
      </w:r>
      <w:r w:rsidR="0052538C" w:rsidRPr="00CF7716">
        <w:rPr>
          <w:color w:val="000000" w:themeColor="text1"/>
          <w:sz w:val="20"/>
          <w:szCs w:val="20"/>
        </w:rPr>
        <w:t>McGonigle-Leyh</w:t>
      </w:r>
      <w:r w:rsidR="00D221DA" w:rsidRPr="00CF7716">
        <w:rPr>
          <w:color w:val="000000" w:themeColor="text1"/>
        </w:rPr>
        <w:t xml:space="preserve"> (n 33) </w:t>
      </w:r>
      <w:r w:rsidR="0052538C" w:rsidRPr="00CF7716">
        <w:rPr>
          <w:color w:val="000000" w:themeColor="text1"/>
          <w:sz w:val="20"/>
          <w:szCs w:val="20"/>
        </w:rPr>
        <w:t>364</w:t>
      </w:r>
      <w:r w:rsidR="00C36649" w:rsidRPr="00CF7716">
        <w:rPr>
          <w:color w:val="000000" w:themeColor="text1"/>
          <w:sz w:val="20"/>
          <w:szCs w:val="20"/>
        </w:rPr>
        <w:t xml:space="preserve"> and Kinder</w:t>
      </w:r>
      <w:r w:rsidR="00805E31" w:rsidRPr="00CF7716">
        <w:rPr>
          <w:color w:val="000000" w:themeColor="text1"/>
        </w:rPr>
        <w:t xml:space="preserve"> (n 49) </w:t>
      </w:r>
      <w:r w:rsidR="00C36649" w:rsidRPr="00CF7716">
        <w:rPr>
          <w:color w:val="000000" w:themeColor="text1"/>
          <w:sz w:val="20"/>
          <w:szCs w:val="20"/>
        </w:rPr>
        <w:t>512</w:t>
      </w:r>
      <w:r w:rsidR="00805E31" w:rsidRPr="00CF7716">
        <w:rPr>
          <w:color w:val="000000" w:themeColor="text1"/>
        </w:rPr>
        <w:t>.</w:t>
      </w:r>
      <w:r w:rsidR="00C36649" w:rsidRPr="00CF7716">
        <w:rPr>
          <w:color w:val="000000" w:themeColor="text1"/>
          <w:sz w:val="20"/>
          <w:szCs w:val="20"/>
        </w:rPr>
        <w:t xml:space="preserve"> </w:t>
      </w:r>
    </w:p>
  </w:footnote>
  <w:footnote w:id="76">
    <w:p w14:paraId="22672CAF" w14:textId="3F097723" w:rsidR="00CE4CF1" w:rsidRPr="00CF7716" w:rsidRDefault="00CE4CF1"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Davidovic</w:t>
      </w:r>
      <w:r w:rsidR="00D221DA" w:rsidRPr="00CF7716">
        <w:rPr>
          <w:rFonts w:ascii="Times New Roman" w:hAnsi="Times New Roman" w:cs="Times New Roman"/>
          <w:color w:val="000000" w:themeColor="text1"/>
        </w:rPr>
        <w:t xml:space="preserve"> (n 21)</w:t>
      </w:r>
      <w:r w:rsidRPr="00CF7716">
        <w:rPr>
          <w:rFonts w:ascii="Times New Roman" w:hAnsi="Times New Roman" w:cs="Times New Roman"/>
          <w:color w:val="000000" w:themeColor="text1"/>
        </w:rPr>
        <w:t xml:space="preserve"> 387.</w:t>
      </w:r>
    </w:p>
  </w:footnote>
  <w:footnote w:id="77">
    <w:p w14:paraId="663BC90C" w14:textId="0B198F70" w:rsidR="000D03BB" w:rsidRPr="00CF7716" w:rsidRDefault="000D03BB"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Special Rapporteur</w:t>
      </w:r>
      <w:r w:rsidR="00C77AA6" w:rsidRPr="00CF7716">
        <w:rPr>
          <w:rFonts w:ascii="Times New Roman" w:hAnsi="Times New Roman" w:cs="Times New Roman"/>
          <w:color w:val="000000" w:themeColor="text1"/>
        </w:rPr>
        <w:t xml:space="preserve"> (n 38)</w:t>
      </w:r>
      <w:r w:rsidRPr="00CF7716">
        <w:rPr>
          <w:rFonts w:ascii="Times New Roman" w:hAnsi="Times New Roman" w:cs="Times New Roman"/>
          <w:color w:val="000000" w:themeColor="text1"/>
        </w:rPr>
        <w:t xml:space="preserve"> para. 32</w:t>
      </w:r>
      <w:r w:rsidR="00C77AA6" w:rsidRPr="00CF7716">
        <w:rPr>
          <w:rFonts w:ascii="Times New Roman" w:hAnsi="Times New Roman" w:cs="Times New Roman"/>
          <w:color w:val="000000" w:themeColor="text1"/>
        </w:rPr>
        <w:t>.</w:t>
      </w:r>
    </w:p>
  </w:footnote>
  <w:footnote w:id="78">
    <w:p w14:paraId="3E0001CD" w14:textId="36F7E6D9" w:rsidR="00C36649" w:rsidRPr="00CF7716" w:rsidRDefault="00C36649"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You</w:t>
      </w:r>
      <w:r w:rsidR="00805E31" w:rsidRPr="00CF7716">
        <w:rPr>
          <w:rFonts w:ascii="Times New Roman" w:hAnsi="Times New Roman" w:cs="Times New Roman"/>
          <w:color w:val="000000" w:themeColor="text1"/>
        </w:rPr>
        <w:t xml:space="preserve"> (n 52) </w:t>
      </w:r>
      <w:r w:rsidRPr="00CF7716">
        <w:rPr>
          <w:rFonts w:ascii="Times New Roman" w:hAnsi="Times New Roman" w:cs="Times New Roman"/>
          <w:color w:val="000000" w:themeColor="text1"/>
        </w:rPr>
        <w:t>3</w:t>
      </w:r>
      <w:r w:rsidR="00805E31" w:rsidRPr="00CF7716">
        <w:rPr>
          <w:rFonts w:ascii="Times New Roman" w:hAnsi="Times New Roman" w:cs="Times New Roman"/>
          <w:color w:val="000000" w:themeColor="text1"/>
        </w:rPr>
        <w:t>.</w:t>
      </w:r>
    </w:p>
  </w:footnote>
  <w:footnote w:id="79">
    <w:p w14:paraId="3F3A44F5" w14:textId="6BD1AA43" w:rsidR="00A34563" w:rsidRPr="00CF7716" w:rsidRDefault="00A34563"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Leigh Payne </w:t>
      </w:r>
      <w:r w:rsidRPr="00CF7716">
        <w:rPr>
          <w:rFonts w:ascii="Times New Roman" w:hAnsi="Times New Roman" w:cs="Times New Roman"/>
          <w:i/>
          <w:iCs/>
          <w:color w:val="000000" w:themeColor="text1"/>
        </w:rPr>
        <w:t>et al</w:t>
      </w:r>
      <w:r w:rsidRPr="00CF7716">
        <w:rPr>
          <w:rFonts w:ascii="Times New Roman" w:hAnsi="Times New Roman" w:cs="Times New Roman"/>
          <w:color w:val="000000" w:themeColor="text1"/>
        </w:rPr>
        <w:t>, ‘</w:t>
      </w:r>
      <w:r w:rsidRPr="00CF7716">
        <w:rPr>
          <w:rFonts w:ascii="Times New Roman" w:hAnsi="Times New Roman" w:cs="Times New Roman"/>
          <w:color w:val="000000" w:themeColor="text1"/>
          <w:lang w:val="en-GB"/>
        </w:rPr>
        <w:t>Conflict Prevention and Guarantees of Non-Recurrence</w:t>
      </w:r>
      <w:r w:rsidRPr="00CF7716">
        <w:rPr>
          <w:rFonts w:ascii="Times New Roman" w:hAnsi="Times New Roman" w:cs="Times New Roman"/>
          <w:color w:val="000000" w:themeColor="text1"/>
        </w:rPr>
        <w:t>’ (2017)</w:t>
      </w:r>
      <w:r w:rsidR="009C59BC" w:rsidRPr="00CF7716">
        <w:rPr>
          <w:rFonts w:ascii="Times New Roman" w:hAnsi="Times New Roman" w:cs="Times New Roman"/>
          <w:color w:val="000000" w:themeColor="text1"/>
        </w:rPr>
        <w:t xml:space="preserve"> United Nations &amp; World Bank Background Paper  3-4 and 12-13 &lt;https://papers.ssrn.com/sol3/papers.cfm?abstract_id=3158012 &gt; accessed 1 June 2022.</w:t>
      </w:r>
    </w:p>
  </w:footnote>
  <w:footnote w:id="80">
    <w:p w14:paraId="36EE3650" w14:textId="358B4698" w:rsidR="00A34563" w:rsidRPr="00CF7716" w:rsidRDefault="00A34563" w:rsidP="00E65CEB">
      <w:pPr>
        <w:autoSpaceDE w:val="0"/>
        <w:autoSpaceDN w:val="0"/>
        <w:adjustRightInd w:val="0"/>
        <w:spacing w:line="480" w:lineRule="auto"/>
        <w:rPr>
          <w:color w:val="000000" w:themeColor="text1"/>
          <w:sz w:val="20"/>
          <w:szCs w:val="20"/>
          <w:lang w:val="en-GB"/>
        </w:rPr>
      </w:pPr>
      <w:r w:rsidRPr="00CF7716">
        <w:rPr>
          <w:rStyle w:val="FootnoteReference"/>
          <w:color w:val="000000" w:themeColor="text1"/>
          <w:sz w:val="20"/>
          <w:szCs w:val="20"/>
        </w:rPr>
        <w:footnoteRef/>
      </w:r>
      <w:r w:rsidRPr="00CF7716">
        <w:rPr>
          <w:color w:val="000000" w:themeColor="text1"/>
          <w:sz w:val="20"/>
          <w:szCs w:val="20"/>
        </w:rPr>
        <w:t xml:space="preserve"> </w:t>
      </w:r>
      <w:r w:rsidRPr="00CF7716">
        <w:rPr>
          <w:color w:val="000000" w:themeColor="text1"/>
          <w:sz w:val="20"/>
          <w:szCs w:val="20"/>
          <w:lang w:val="en-GB"/>
        </w:rPr>
        <w:t xml:space="preserve">A Kochanski </w:t>
      </w:r>
      <w:r w:rsidR="000566AB" w:rsidRPr="00CF7716">
        <w:rPr>
          <w:color w:val="000000" w:themeColor="text1"/>
          <w:sz w:val="20"/>
          <w:szCs w:val="20"/>
          <w:lang w:val="en-GB"/>
        </w:rPr>
        <w:t xml:space="preserve">and </w:t>
      </w:r>
      <w:r w:rsidRPr="00CF7716">
        <w:rPr>
          <w:color w:val="000000" w:themeColor="text1"/>
          <w:sz w:val="20"/>
          <w:szCs w:val="20"/>
          <w:lang w:val="en-GB"/>
        </w:rPr>
        <w:t>J Quinn</w:t>
      </w:r>
      <w:r w:rsidR="000566AB" w:rsidRPr="00CF7716">
        <w:rPr>
          <w:color w:val="000000" w:themeColor="text1"/>
          <w:sz w:val="20"/>
          <w:szCs w:val="20"/>
          <w:lang w:val="en-GB"/>
        </w:rPr>
        <w:t>,</w:t>
      </w:r>
      <w:r w:rsidRPr="00CF7716">
        <w:rPr>
          <w:color w:val="000000" w:themeColor="text1"/>
          <w:sz w:val="20"/>
          <w:szCs w:val="20"/>
          <w:lang w:val="en-GB"/>
        </w:rPr>
        <w:t xml:space="preserve"> </w:t>
      </w:r>
      <w:r w:rsidR="000566AB" w:rsidRPr="00CF7716">
        <w:rPr>
          <w:color w:val="000000" w:themeColor="text1"/>
          <w:sz w:val="20"/>
          <w:szCs w:val="20"/>
          <w:lang w:val="en-GB"/>
        </w:rPr>
        <w:t>‘</w:t>
      </w:r>
      <w:r w:rsidRPr="00CF7716">
        <w:rPr>
          <w:color w:val="000000" w:themeColor="text1"/>
          <w:sz w:val="20"/>
          <w:szCs w:val="20"/>
          <w:lang w:val="en-GB"/>
        </w:rPr>
        <w:t xml:space="preserve">Letting the </w:t>
      </w:r>
      <w:r w:rsidR="000566AB" w:rsidRPr="00CF7716">
        <w:rPr>
          <w:color w:val="000000" w:themeColor="text1"/>
          <w:sz w:val="20"/>
          <w:szCs w:val="20"/>
          <w:lang w:val="en-GB"/>
        </w:rPr>
        <w:t>S</w:t>
      </w:r>
      <w:r w:rsidRPr="00CF7716">
        <w:rPr>
          <w:color w:val="000000" w:themeColor="text1"/>
          <w:sz w:val="20"/>
          <w:szCs w:val="20"/>
          <w:lang w:val="en-GB"/>
        </w:rPr>
        <w:t xml:space="preserve">tate </w:t>
      </w:r>
      <w:r w:rsidR="000566AB" w:rsidRPr="00CF7716">
        <w:rPr>
          <w:color w:val="000000" w:themeColor="text1"/>
          <w:sz w:val="20"/>
          <w:szCs w:val="20"/>
          <w:lang w:val="en-GB"/>
        </w:rPr>
        <w:t>O</w:t>
      </w:r>
      <w:r w:rsidRPr="00CF7716">
        <w:rPr>
          <w:color w:val="000000" w:themeColor="text1"/>
          <w:sz w:val="20"/>
          <w:szCs w:val="20"/>
          <w:lang w:val="en-GB"/>
        </w:rPr>
        <w:t xml:space="preserve">ff the </w:t>
      </w:r>
      <w:r w:rsidR="000566AB" w:rsidRPr="00CF7716">
        <w:rPr>
          <w:color w:val="000000" w:themeColor="text1"/>
          <w:sz w:val="20"/>
          <w:szCs w:val="20"/>
          <w:lang w:val="en-GB"/>
        </w:rPr>
        <w:t>H</w:t>
      </w:r>
      <w:r w:rsidRPr="00CF7716">
        <w:rPr>
          <w:color w:val="000000" w:themeColor="text1"/>
          <w:sz w:val="20"/>
          <w:szCs w:val="20"/>
          <w:lang w:val="en-GB"/>
        </w:rPr>
        <w:t xml:space="preserve">ook? Dilemmas of </w:t>
      </w:r>
      <w:r w:rsidR="000566AB" w:rsidRPr="00CF7716">
        <w:rPr>
          <w:color w:val="000000" w:themeColor="text1"/>
          <w:sz w:val="20"/>
          <w:szCs w:val="20"/>
          <w:lang w:val="en-GB"/>
        </w:rPr>
        <w:t>H</w:t>
      </w:r>
      <w:r w:rsidRPr="00CF7716">
        <w:rPr>
          <w:color w:val="000000" w:themeColor="text1"/>
          <w:sz w:val="20"/>
          <w:szCs w:val="20"/>
          <w:lang w:val="en-GB"/>
        </w:rPr>
        <w:t xml:space="preserve">olding the </w:t>
      </w:r>
      <w:r w:rsidR="000566AB" w:rsidRPr="00CF7716">
        <w:rPr>
          <w:color w:val="000000" w:themeColor="text1"/>
          <w:sz w:val="20"/>
          <w:szCs w:val="20"/>
          <w:lang w:val="en-GB"/>
        </w:rPr>
        <w:t>S</w:t>
      </w:r>
      <w:r w:rsidRPr="00CF7716">
        <w:rPr>
          <w:color w:val="000000" w:themeColor="text1"/>
          <w:sz w:val="20"/>
          <w:szCs w:val="20"/>
          <w:lang w:val="en-GB"/>
        </w:rPr>
        <w:t xml:space="preserve">tate to </w:t>
      </w:r>
      <w:r w:rsidR="000566AB" w:rsidRPr="00CF7716">
        <w:rPr>
          <w:color w:val="000000" w:themeColor="text1"/>
          <w:sz w:val="20"/>
          <w:szCs w:val="20"/>
          <w:lang w:val="en-GB"/>
        </w:rPr>
        <w:t>A</w:t>
      </w:r>
      <w:r w:rsidRPr="00CF7716">
        <w:rPr>
          <w:color w:val="000000" w:themeColor="text1"/>
          <w:sz w:val="20"/>
          <w:szCs w:val="20"/>
          <w:lang w:val="en-GB"/>
        </w:rPr>
        <w:t xml:space="preserve">ccount in </w:t>
      </w:r>
      <w:r w:rsidR="000566AB" w:rsidRPr="00CF7716">
        <w:rPr>
          <w:color w:val="000000" w:themeColor="text1"/>
          <w:sz w:val="20"/>
          <w:szCs w:val="20"/>
          <w:lang w:val="en-GB"/>
        </w:rPr>
        <w:t>T</w:t>
      </w:r>
      <w:r w:rsidRPr="00CF7716">
        <w:rPr>
          <w:color w:val="000000" w:themeColor="text1"/>
          <w:sz w:val="20"/>
          <w:szCs w:val="20"/>
          <w:lang w:val="en-GB"/>
        </w:rPr>
        <w:t xml:space="preserve">imes of </w:t>
      </w:r>
      <w:r w:rsidR="000566AB" w:rsidRPr="00CF7716">
        <w:rPr>
          <w:color w:val="000000" w:themeColor="text1"/>
          <w:sz w:val="20"/>
          <w:szCs w:val="20"/>
          <w:lang w:val="en-GB"/>
        </w:rPr>
        <w:t>T</w:t>
      </w:r>
      <w:r w:rsidRPr="00CF7716">
        <w:rPr>
          <w:color w:val="000000" w:themeColor="text1"/>
          <w:sz w:val="20"/>
          <w:szCs w:val="20"/>
          <w:lang w:val="en-GB"/>
        </w:rPr>
        <w:t>ransition</w:t>
      </w:r>
      <w:r w:rsidR="000566AB" w:rsidRPr="00CF7716">
        <w:rPr>
          <w:color w:val="000000" w:themeColor="text1"/>
          <w:sz w:val="20"/>
          <w:szCs w:val="20"/>
          <w:lang w:val="en-GB"/>
        </w:rPr>
        <w:t>’ (2021) 9</w:t>
      </w:r>
      <w:r w:rsidR="000566AB" w:rsidRPr="00CF7716">
        <w:rPr>
          <w:i/>
          <w:iCs/>
          <w:color w:val="000000" w:themeColor="text1"/>
          <w:sz w:val="20"/>
          <w:szCs w:val="20"/>
          <w:lang w:val="en-GB"/>
        </w:rPr>
        <w:t xml:space="preserve"> </w:t>
      </w:r>
      <w:r w:rsidRPr="00CF7716">
        <w:rPr>
          <w:i/>
          <w:iCs/>
          <w:color w:val="000000" w:themeColor="text1"/>
          <w:sz w:val="20"/>
          <w:szCs w:val="20"/>
          <w:lang w:val="en-GB"/>
        </w:rPr>
        <w:t>Peacebuilding</w:t>
      </w:r>
      <w:r w:rsidR="000566AB" w:rsidRPr="00CF7716">
        <w:rPr>
          <w:color w:val="000000" w:themeColor="text1"/>
          <w:sz w:val="20"/>
          <w:szCs w:val="20"/>
          <w:lang w:val="en-GB"/>
        </w:rPr>
        <w:t xml:space="preserve"> </w:t>
      </w:r>
      <w:r w:rsidRPr="00CF7716">
        <w:rPr>
          <w:color w:val="000000" w:themeColor="text1"/>
          <w:sz w:val="20"/>
          <w:szCs w:val="20"/>
          <w:lang w:val="en-GB"/>
        </w:rPr>
        <w:t>103, 110</w:t>
      </w:r>
      <w:r w:rsidR="000566AB" w:rsidRPr="00CF7716">
        <w:rPr>
          <w:color w:val="000000" w:themeColor="text1"/>
          <w:sz w:val="20"/>
          <w:szCs w:val="20"/>
          <w:lang w:val="en-GB"/>
        </w:rPr>
        <w:t>.</w:t>
      </w:r>
    </w:p>
  </w:footnote>
  <w:footnote w:id="81">
    <w:p w14:paraId="5443E855" w14:textId="3AF1F527" w:rsidR="00AB2310" w:rsidRPr="00CF7716" w:rsidRDefault="00AB2310"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00BB3BA5" w:rsidRPr="00CF7716">
        <w:rPr>
          <w:rFonts w:ascii="Times New Roman" w:hAnsi="Times New Roman" w:cs="Times New Roman"/>
          <w:color w:val="000000" w:themeColor="text1"/>
          <w:lang w:val="en-GB"/>
        </w:rPr>
        <w:t xml:space="preserve">S Almeida, ‘Security Sector Reform in Transitions from Military Rule: Legacies of Authoritarianism in Brazil’ (2019) 18 </w:t>
      </w:r>
      <w:r w:rsidR="00BB3BA5" w:rsidRPr="00CF7716">
        <w:rPr>
          <w:rFonts w:ascii="Times New Roman" w:hAnsi="Times New Roman" w:cs="Times New Roman"/>
          <w:i/>
          <w:iCs/>
          <w:color w:val="000000" w:themeColor="text1"/>
          <w:lang w:val="en-GB"/>
        </w:rPr>
        <w:t>Journal of Human Rights</w:t>
      </w:r>
      <w:r w:rsidR="00BB3BA5" w:rsidRPr="00CF7716">
        <w:rPr>
          <w:rFonts w:ascii="Times New Roman" w:hAnsi="Times New Roman" w:cs="Times New Roman"/>
          <w:color w:val="000000" w:themeColor="text1"/>
          <w:lang w:val="en-GB"/>
        </w:rPr>
        <w:t xml:space="preserve"> 147</w:t>
      </w:r>
      <w:r w:rsidRPr="00CF7716">
        <w:rPr>
          <w:rFonts w:ascii="Times New Roman" w:hAnsi="Times New Roman" w:cs="Times New Roman"/>
          <w:color w:val="000000" w:themeColor="text1"/>
        </w:rPr>
        <w:t>, 151</w:t>
      </w:r>
      <w:r w:rsidR="00BB3BA5" w:rsidRPr="00CF7716">
        <w:rPr>
          <w:rFonts w:ascii="Times New Roman" w:hAnsi="Times New Roman" w:cs="Times New Roman"/>
          <w:color w:val="000000" w:themeColor="text1"/>
        </w:rPr>
        <w:t>.</w:t>
      </w:r>
    </w:p>
  </w:footnote>
  <w:footnote w:id="82">
    <w:p w14:paraId="17F48BF3" w14:textId="16C8EF26" w:rsidR="00306334" w:rsidRPr="00CF7716" w:rsidRDefault="00306334"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Kinder</w:t>
      </w:r>
      <w:r w:rsidR="00805E31" w:rsidRPr="00CF7716">
        <w:rPr>
          <w:rFonts w:ascii="Times New Roman" w:hAnsi="Times New Roman" w:cs="Times New Roman"/>
          <w:color w:val="000000" w:themeColor="text1"/>
        </w:rPr>
        <w:t xml:space="preserve"> (n 49) </w:t>
      </w:r>
      <w:r w:rsidRPr="00CF7716">
        <w:rPr>
          <w:rFonts w:ascii="Times New Roman" w:hAnsi="Times New Roman" w:cs="Times New Roman"/>
          <w:color w:val="000000" w:themeColor="text1"/>
        </w:rPr>
        <w:t>512</w:t>
      </w:r>
      <w:r w:rsidR="00805E31" w:rsidRPr="00CF7716">
        <w:rPr>
          <w:rFonts w:ascii="Times New Roman" w:hAnsi="Times New Roman" w:cs="Times New Roman"/>
          <w:color w:val="000000" w:themeColor="text1"/>
        </w:rPr>
        <w:t>.</w:t>
      </w:r>
    </w:p>
  </w:footnote>
  <w:footnote w:id="83">
    <w:p w14:paraId="1BA9A107" w14:textId="6EB39B53" w:rsidR="00306334" w:rsidRPr="00CF7716" w:rsidRDefault="00306334"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00805E31" w:rsidRPr="00CF7716">
        <w:rPr>
          <w:rFonts w:ascii="Times New Roman" w:hAnsi="Times New Roman" w:cs="Times New Roman"/>
          <w:color w:val="000000" w:themeColor="text1"/>
        </w:rPr>
        <w:t xml:space="preserve">Mayer-Rieckh and Varney (n 48) </w:t>
      </w:r>
      <w:r w:rsidRPr="00CF7716">
        <w:rPr>
          <w:rFonts w:ascii="Times New Roman" w:hAnsi="Times New Roman" w:cs="Times New Roman"/>
          <w:color w:val="000000" w:themeColor="text1"/>
        </w:rPr>
        <w:t>57</w:t>
      </w:r>
      <w:r w:rsidR="00805E31" w:rsidRPr="00CF7716">
        <w:rPr>
          <w:rFonts w:ascii="Times New Roman" w:hAnsi="Times New Roman" w:cs="Times New Roman"/>
          <w:color w:val="000000" w:themeColor="text1"/>
        </w:rPr>
        <w:t>.</w:t>
      </w:r>
    </w:p>
  </w:footnote>
  <w:footnote w:id="84">
    <w:p w14:paraId="31A4F998" w14:textId="0CBF09BA" w:rsidR="0056361C" w:rsidRPr="00CF7716" w:rsidRDefault="0056361C"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Roger Duthie, </w:t>
      </w:r>
      <w:r w:rsidRPr="00CF7716">
        <w:rPr>
          <w:rFonts w:ascii="Times New Roman" w:hAnsi="Times New Roman" w:cs="Times New Roman"/>
          <w:i/>
          <w:iCs/>
          <w:color w:val="000000" w:themeColor="text1"/>
        </w:rPr>
        <w:t>Transitional Justice and Prevention: Summary Findings from Five Case Studies</w:t>
      </w:r>
      <w:r w:rsidRPr="00CF7716">
        <w:rPr>
          <w:rFonts w:ascii="Times New Roman" w:hAnsi="Times New Roman" w:cs="Times New Roman"/>
          <w:color w:val="000000" w:themeColor="text1"/>
        </w:rPr>
        <w:t xml:space="preserve"> (</w:t>
      </w:r>
      <w:r w:rsidR="00E26B93">
        <w:rPr>
          <w:rFonts w:ascii="Times New Roman" w:hAnsi="Times New Roman" w:cs="Times New Roman"/>
          <w:color w:val="000000" w:themeColor="text1"/>
        </w:rPr>
        <w:t xml:space="preserve">New York, </w:t>
      </w:r>
      <w:r w:rsidR="00F32F9F" w:rsidRPr="00CF7716">
        <w:rPr>
          <w:rFonts w:ascii="Times New Roman" w:hAnsi="Times New Roman" w:cs="Times New Roman"/>
          <w:color w:val="000000" w:themeColor="text1"/>
        </w:rPr>
        <w:t>International Center for Transitional Justice</w:t>
      </w:r>
      <w:r w:rsidRPr="00CF7716">
        <w:rPr>
          <w:rFonts w:ascii="Times New Roman" w:hAnsi="Times New Roman" w:cs="Times New Roman"/>
          <w:color w:val="000000" w:themeColor="text1"/>
        </w:rPr>
        <w:t xml:space="preserve"> 2021) 10</w:t>
      </w:r>
      <w:r w:rsidR="00F32F9F" w:rsidRPr="00CF7716">
        <w:rPr>
          <w:rFonts w:ascii="Times New Roman" w:hAnsi="Times New Roman" w:cs="Times New Roman"/>
          <w:color w:val="000000" w:themeColor="text1"/>
        </w:rPr>
        <w:t>.</w:t>
      </w:r>
    </w:p>
  </w:footnote>
  <w:footnote w:id="85">
    <w:p w14:paraId="168ADE99" w14:textId="2690CA05" w:rsidR="00721092" w:rsidRPr="00CF7716" w:rsidRDefault="0056361C" w:rsidP="00E65CEB">
      <w:pPr>
        <w:autoSpaceDE w:val="0"/>
        <w:autoSpaceDN w:val="0"/>
        <w:adjustRightInd w:val="0"/>
        <w:spacing w:line="480" w:lineRule="auto"/>
        <w:rPr>
          <w:color w:val="000000" w:themeColor="text1"/>
          <w:sz w:val="20"/>
          <w:szCs w:val="20"/>
          <w:lang w:val="en-GB"/>
        </w:rPr>
      </w:pPr>
      <w:r w:rsidRPr="00CF7716">
        <w:rPr>
          <w:rStyle w:val="FootnoteReference"/>
          <w:color w:val="000000" w:themeColor="text1"/>
          <w:sz w:val="20"/>
          <w:szCs w:val="20"/>
        </w:rPr>
        <w:footnoteRef/>
      </w:r>
      <w:r w:rsidRPr="00CF7716">
        <w:rPr>
          <w:color w:val="000000" w:themeColor="text1"/>
          <w:sz w:val="20"/>
          <w:szCs w:val="20"/>
        </w:rPr>
        <w:t xml:space="preserve"> </w:t>
      </w:r>
      <w:r w:rsidR="00721092" w:rsidRPr="00CF7716">
        <w:rPr>
          <w:color w:val="000000" w:themeColor="text1"/>
          <w:sz w:val="20"/>
          <w:szCs w:val="20"/>
          <w:lang w:val="en-GB"/>
        </w:rPr>
        <w:t>H</w:t>
      </w:r>
      <w:r w:rsidR="00F32F9F" w:rsidRPr="00CF7716">
        <w:rPr>
          <w:color w:val="000000" w:themeColor="text1"/>
          <w:sz w:val="20"/>
          <w:szCs w:val="20"/>
          <w:lang w:val="en-GB"/>
        </w:rPr>
        <w:t xml:space="preserve"> </w:t>
      </w:r>
      <w:r w:rsidR="00721092" w:rsidRPr="00CF7716">
        <w:rPr>
          <w:color w:val="000000" w:themeColor="text1"/>
          <w:sz w:val="20"/>
          <w:szCs w:val="20"/>
          <w:lang w:val="en-GB"/>
        </w:rPr>
        <w:t>Rojas</w:t>
      </w:r>
      <w:r w:rsidR="00F32F9F" w:rsidRPr="00CF7716">
        <w:rPr>
          <w:color w:val="000000" w:themeColor="text1"/>
          <w:sz w:val="20"/>
          <w:szCs w:val="20"/>
          <w:lang w:val="en-GB"/>
        </w:rPr>
        <w:t xml:space="preserve"> and</w:t>
      </w:r>
      <w:r w:rsidR="00721092" w:rsidRPr="00CF7716">
        <w:rPr>
          <w:color w:val="000000" w:themeColor="text1"/>
          <w:sz w:val="20"/>
          <w:szCs w:val="20"/>
          <w:lang w:val="en-GB"/>
        </w:rPr>
        <w:t xml:space="preserve"> M</w:t>
      </w:r>
      <w:r w:rsidR="00F32F9F" w:rsidRPr="00CF7716">
        <w:rPr>
          <w:color w:val="000000" w:themeColor="text1"/>
          <w:sz w:val="20"/>
          <w:szCs w:val="20"/>
          <w:lang w:val="en-GB"/>
        </w:rPr>
        <w:t xml:space="preserve"> </w:t>
      </w:r>
      <w:r w:rsidR="00721092" w:rsidRPr="00CF7716">
        <w:rPr>
          <w:color w:val="000000" w:themeColor="text1"/>
          <w:sz w:val="20"/>
          <w:szCs w:val="20"/>
          <w:lang w:val="en-GB"/>
        </w:rPr>
        <w:t xml:space="preserve">Shaftoe, </w:t>
      </w:r>
      <w:r w:rsidR="00721092" w:rsidRPr="00CF7716">
        <w:rPr>
          <w:i/>
          <w:iCs/>
          <w:color w:val="000000" w:themeColor="text1"/>
          <w:sz w:val="20"/>
          <w:szCs w:val="20"/>
          <w:lang w:val="en-GB"/>
        </w:rPr>
        <w:t>Human Rights and Transitional Justice in Chile</w:t>
      </w:r>
      <w:r w:rsidR="00721092" w:rsidRPr="00CF7716">
        <w:rPr>
          <w:color w:val="000000" w:themeColor="text1"/>
          <w:sz w:val="20"/>
          <w:szCs w:val="20"/>
          <w:lang w:val="en-GB"/>
        </w:rPr>
        <w:t xml:space="preserve"> (</w:t>
      </w:r>
      <w:r w:rsidR="00E26B93">
        <w:rPr>
          <w:color w:val="000000" w:themeColor="text1"/>
          <w:sz w:val="20"/>
          <w:szCs w:val="20"/>
          <w:lang w:val="en-GB"/>
        </w:rPr>
        <w:t xml:space="preserve">Berlin, </w:t>
      </w:r>
      <w:r w:rsidR="00721092" w:rsidRPr="00CF7716">
        <w:rPr>
          <w:color w:val="000000" w:themeColor="text1"/>
          <w:sz w:val="20"/>
          <w:szCs w:val="20"/>
          <w:lang w:val="en-GB"/>
        </w:rPr>
        <w:t>Springer</w:t>
      </w:r>
      <w:r w:rsidR="00F32F9F" w:rsidRPr="00CF7716">
        <w:rPr>
          <w:color w:val="000000" w:themeColor="text1"/>
          <w:sz w:val="20"/>
          <w:szCs w:val="20"/>
          <w:lang w:val="en-GB"/>
        </w:rPr>
        <w:t xml:space="preserve"> </w:t>
      </w:r>
      <w:r w:rsidR="00721092" w:rsidRPr="00CF7716">
        <w:rPr>
          <w:color w:val="000000" w:themeColor="text1"/>
          <w:sz w:val="20"/>
          <w:szCs w:val="20"/>
          <w:lang w:val="en-GB"/>
        </w:rPr>
        <w:t>2022) 160</w:t>
      </w:r>
      <w:r w:rsidR="00F32F9F" w:rsidRPr="00CF7716">
        <w:rPr>
          <w:color w:val="000000" w:themeColor="text1"/>
          <w:sz w:val="20"/>
          <w:szCs w:val="20"/>
          <w:lang w:val="en-GB"/>
        </w:rPr>
        <w:t>.</w:t>
      </w:r>
    </w:p>
  </w:footnote>
  <w:footnote w:id="86">
    <w:p w14:paraId="2A4A4E4B" w14:textId="49ED504D" w:rsidR="00306334" w:rsidRPr="00CF7716" w:rsidRDefault="00306334" w:rsidP="00E65CEB">
      <w:pPr>
        <w:autoSpaceDE w:val="0"/>
        <w:autoSpaceDN w:val="0"/>
        <w:adjustRightInd w:val="0"/>
        <w:spacing w:line="480" w:lineRule="auto"/>
        <w:rPr>
          <w:color w:val="000000" w:themeColor="text1"/>
          <w:sz w:val="20"/>
          <w:szCs w:val="20"/>
          <w:lang w:val="en-GB"/>
        </w:rPr>
      </w:pPr>
      <w:r w:rsidRPr="00CF7716">
        <w:rPr>
          <w:rStyle w:val="FootnoteReference"/>
          <w:color w:val="000000" w:themeColor="text1"/>
          <w:sz w:val="20"/>
          <w:szCs w:val="20"/>
        </w:rPr>
        <w:footnoteRef/>
      </w:r>
      <w:r w:rsidRPr="00CF7716">
        <w:rPr>
          <w:color w:val="000000" w:themeColor="text1"/>
          <w:sz w:val="20"/>
          <w:szCs w:val="20"/>
        </w:rPr>
        <w:t xml:space="preserve"> Carla Ferstman, ‘</w:t>
      </w:r>
      <w:r w:rsidRPr="00CF7716">
        <w:rPr>
          <w:color w:val="000000" w:themeColor="text1"/>
          <w:sz w:val="20"/>
          <w:szCs w:val="20"/>
          <w:lang w:val="en-GB"/>
        </w:rPr>
        <w:t>Do Guarantees of Non‑Recurrence Actually Help to Prevent</w:t>
      </w:r>
      <w:r w:rsidR="000566AB" w:rsidRPr="00CF7716">
        <w:rPr>
          <w:color w:val="000000" w:themeColor="text1"/>
          <w:sz w:val="20"/>
          <w:szCs w:val="20"/>
          <w:lang w:val="en-GB"/>
        </w:rPr>
        <w:t xml:space="preserve"> </w:t>
      </w:r>
      <w:r w:rsidRPr="00CF7716">
        <w:rPr>
          <w:color w:val="000000" w:themeColor="text1"/>
          <w:sz w:val="20"/>
          <w:szCs w:val="20"/>
          <w:lang w:val="en-GB"/>
        </w:rPr>
        <w:t>Systemic Violations? Reflections on Measures Taken to Prevent Domestic Violence</w:t>
      </w:r>
      <w:r w:rsidRPr="00CF7716">
        <w:rPr>
          <w:color w:val="000000" w:themeColor="text1"/>
          <w:sz w:val="20"/>
          <w:szCs w:val="20"/>
        </w:rPr>
        <w:t xml:space="preserve">’ (2022) </w:t>
      </w:r>
      <w:r w:rsidR="000566AB" w:rsidRPr="00CF7716">
        <w:rPr>
          <w:color w:val="000000" w:themeColor="text1"/>
          <w:sz w:val="20"/>
          <w:szCs w:val="20"/>
        </w:rPr>
        <w:t xml:space="preserve">68 </w:t>
      </w:r>
      <w:r w:rsidRPr="00CF7716">
        <w:rPr>
          <w:i/>
          <w:iCs/>
          <w:color w:val="000000" w:themeColor="text1"/>
          <w:sz w:val="20"/>
          <w:szCs w:val="20"/>
        </w:rPr>
        <w:t>Netherlands International Law Review</w:t>
      </w:r>
      <w:r w:rsidRPr="00CF7716">
        <w:rPr>
          <w:color w:val="000000" w:themeColor="text1"/>
          <w:sz w:val="20"/>
          <w:szCs w:val="20"/>
        </w:rPr>
        <w:t xml:space="preserve"> </w:t>
      </w:r>
      <w:r w:rsidR="000566AB" w:rsidRPr="00CF7716">
        <w:rPr>
          <w:color w:val="000000" w:themeColor="text1"/>
          <w:sz w:val="20"/>
          <w:szCs w:val="20"/>
        </w:rPr>
        <w:t>387</w:t>
      </w:r>
      <w:r w:rsidRPr="00CF7716">
        <w:rPr>
          <w:color w:val="000000" w:themeColor="text1"/>
          <w:sz w:val="20"/>
          <w:szCs w:val="20"/>
        </w:rPr>
        <w:t xml:space="preserve">, </w:t>
      </w:r>
      <w:r w:rsidR="000566AB" w:rsidRPr="00CF7716">
        <w:rPr>
          <w:color w:val="000000" w:themeColor="text1"/>
          <w:sz w:val="20"/>
          <w:szCs w:val="20"/>
        </w:rPr>
        <w:t>389.</w:t>
      </w:r>
    </w:p>
  </w:footnote>
  <w:footnote w:id="87">
    <w:p w14:paraId="61376B60" w14:textId="0327B20D" w:rsidR="009718D3" w:rsidRPr="00CF7716" w:rsidRDefault="009718D3"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Duthie</w:t>
      </w:r>
      <w:r w:rsidR="00037C94" w:rsidRPr="00CF7716">
        <w:rPr>
          <w:rFonts w:ascii="Times New Roman" w:hAnsi="Times New Roman" w:cs="Times New Roman"/>
          <w:color w:val="000000" w:themeColor="text1"/>
        </w:rPr>
        <w:t xml:space="preserve"> (n 84)</w:t>
      </w:r>
      <w:r w:rsidRPr="00CF7716">
        <w:rPr>
          <w:rFonts w:ascii="Times New Roman" w:hAnsi="Times New Roman" w:cs="Times New Roman"/>
          <w:color w:val="000000" w:themeColor="text1"/>
        </w:rPr>
        <w:t xml:space="preserve"> 1</w:t>
      </w:r>
      <w:r w:rsidR="00037C94" w:rsidRPr="00CF7716">
        <w:rPr>
          <w:rFonts w:ascii="Times New Roman" w:hAnsi="Times New Roman" w:cs="Times New Roman"/>
          <w:color w:val="000000" w:themeColor="text1"/>
        </w:rPr>
        <w:t>.</w:t>
      </w:r>
    </w:p>
  </w:footnote>
  <w:footnote w:id="88">
    <w:p w14:paraId="0A936899" w14:textId="2E85F73D" w:rsidR="00D87A3C" w:rsidRPr="00CF7716" w:rsidRDefault="00D87A3C"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00037C94" w:rsidRPr="00CF7716">
        <w:rPr>
          <w:rFonts w:ascii="Times New Roman" w:hAnsi="Times New Roman" w:cs="Times New Roman"/>
          <w:color w:val="000000" w:themeColor="text1"/>
        </w:rPr>
        <w:t>ibid</w:t>
      </w:r>
      <w:r w:rsidRPr="00CF7716">
        <w:rPr>
          <w:rFonts w:ascii="Times New Roman" w:hAnsi="Times New Roman" w:cs="Times New Roman"/>
          <w:color w:val="000000" w:themeColor="text1"/>
        </w:rPr>
        <w:t xml:space="preserve"> 10</w:t>
      </w:r>
      <w:r w:rsidR="00037C94" w:rsidRPr="00CF7716">
        <w:rPr>
          <w:rFonts w:ascii="Times New Roman" w:hAnsi="Times New Roman" w:cs="Times New Roman"/>
          <w:color w:val="000000" w:themeColor="text1"/>
        </w:rPr>
        <w:t>.</w:t>
      </w:r>
    </w:p>
  </w:footnote>
  <w:footnote w:id="89">
    <w:p w14:paraId="3F7D3CC3" w14:textId="01C03B52" w:rsidR="00DB08AA" w:rsidRPr="00CF7716" w:rsidRDefault="00DB08AA"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Roht-Arriaza</w:t>
      </w:r>
      <w:r w:rsidR="00037C94" w:rsidRPr="00CF7716">
        <w:rPr>
          <w:rFonts w:ascii="Times New Roman" w:hAnsi="Times New Roman" w:cs="Times New Roman"/>
          <w:color w:val="000000" w:themeColor="text1"/>
        </w:rPr>
        <w:t xml:space="preserve"> (n 75)</w:t>
      </w:r>
      <w:r w:rsidRPr="00CF7716">
        <w:rPr>
          <w:rFonts w:ascii="Times New Roman" w:hAnsi="Times New Roman" w:cs="Times New Roman"/>
          <w:color w:val="000000" w:themeColor="text1"/>
        </w:rPr>
        <w:t xml:space="preserve"> 109 and 114</w:t>
      </w:r>
      <w:r w:rsidR="00037C94" w:rsidRPr="00CF7716">
        <w:rPr>
          <w:rFonts w:ascii="Times New Roman" w:hAnsi="Times New Roman" w:cs="Times New Roman"/>
          <w:color w:val="000000" w:themeColor="text1"/>
        </w:rPr>
        <w:t>.</w:t>
      </w:r>
    </w:p>
  </w:footnote>
  <w:footnote w:id="90">
    <w:p w14:paraId="3D88EA6B" w14:textId="76C1490E" w:rsidR="00BC5B68" w:rsidRPr="00CF7716" w:rsidRDefault="00BC5B68"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Mayer-Rieckh</w:t>
      </w:r>
      <w:r w:rsidR="00D221DA" w:rsidRPr="00CF7716">
        <w:rPr>
          <w:rFonts w:ascii="Times New Roman" w:hAnsi="Times New Roman" w:cs="Times New Roman"/>
          <w:color w:val="000000" w:themeColor="text1"/>
        </w:rPr>
        <w:t xml:space="preserve"> (n 22)</w:t>
      </w:r>
      <w:r w:rsidRPr="00CF7716">
        <w:rPr>
          <w:rFonts w:ascii="Times New Roman" w:hAnsi="Times New Roman" w:cs="Times New Roman"/>
          <w:color w:val="000000" w:themeColor="text1"/>
        </w:rPr>
        <w:t xml:space="preserve"> 433</w:t>
      </w:r>
      <w:r w:rsidR="00D221DA" w:rsidRPr="00CF7716">
        <w:rPr>
          <w:rFonts w:ascii="Times New Roman" w:hAnsi="Times New Roman" w:cs="Times New Roman"/>
          <w:color w:val="000000" w:themeColor="text1"/>
        </w:rPr>
        <w:t>.</w:t>
      </w:r>
    </w:p>
  </w:footnote>
  <w:footnote w:id="91">
    <w:p w14:paraId="6DA88EBE" w14:textId="64696EB4" w:rsidR="00D87A3C" w:rsidRPr="00CF7716" w:rsidRDefault="00D87A3C"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A description used, for example, by Almeida</w:t>
      </w:r>
      <w:r w:rsidR="00037C94" w:rsidRPr="00CF7716">
        <w:rPr>
          <w:rFonts w:ascii="Times New Roman" w:hAnsi="Times New Roman" w:cs="Times New Roman"/>
          <w:color w:val="000000" w:themeColor="text1"/>
        </w:rPr>
        <w:t xml:space="preserve"> (n 81)</w:t>
      </w:r>
      <w:r w:rsidRPr="00CF7716">
        <w:rPr>
          <w:rFonts w:ascii="Times New Roman" w:hAnsi="Times New Roman" w:cs="Times New Roman"/>
          <w:color w:val="000000" w:themeColor="text1"/>
        </w:rPr>
        <w:t xml:space="preserve"> 150</w:t>
      </w:r>
      <w:r w:rsidR="0097018A" w:rsidRPr="00CF7716">
        <w:rPr>
          <w:rFonts w:ascii="Times New Roman" w:hAnsi="Times New Roman" w:cs="Times New Roman"/>
          <w:color w:val="000000" w:themeColor="text1"/>
        </w:rPr>
        <w:t xml:space="preserve">, </w:t>
      </w:r>
      <w:r w:rsidRPr="00CF7716">
        <w:rPr>
          <w:rFonts w:ascii="Times New Roman" w:hAnsi="Times New Roman" w:cs="Times New Roman"/>
          <w:color w:val="000000" w:themeColor="text1"/>
        </w:rPr>
        <w:t>Kinder</w:t>
      </w:r>
      <w:r w:rsidR="00805E31" w:rsidRPr="00CF7716">
        <w:rPr>
          <w:rFonts w:ascii="Times New Roman" w:hAnsi="Times New Roman" w:cs="Times New Roman"/>
          <w:color w:val="000000" w:themeColor="text1"/>
        </w:rPr>
        <w:t xml:space="preserve"> (n 49) </w:t>
      </w:r>
      <w:r w:rsidRPr="00CF7716">
        <w:rPr>
          <w:rFonts w:ascii="Times New Roman" w:hAnsi="Times New Roman" w:cs="Times New Roman"/>
          <w:color w:val="000000" w:themeColor="text1"/>
        </w:rPr>
        <w:t>513</w:t>
      </w:r>
      <w:r w:rsidR="0097018A" w:rsidRPr="00CF7716">
        <w:rPr>
          <w:rFonts w:ascii="Times New Roman" w:hAnsi="Times New Roman" w:cs="Times New Roman"/>
          <w:color w:val="000000" w:themeColor="text1"/>
        </w:rPr>
        <w:t xml:space="preserve"> and Roht-Arriaza</w:t>
      </w:r>
      <w:r w:rsidR="00037C94" w:rsidRPr="00CF7716">
        <w:rPr>
          <w:rFonts w:ascii="Times New Roman" w:hAnsi="Times New Roman" w:cs="Times New Roman"/>
          <w:color w:val="000000" w:themeColor="text1"/>
        </w:rPr>
        <w:t xml:space="preserve"> (n 75)</w:t>
      </w:r>
      <w:r w:rsidR="0097018A" w:rsidRPr="00CF7716">
        <w:rPr>
          <w:rFonts w:ascii="Times New Roman" w:hAnsi="Times New Roman" w:cs="Times New Roman"/>
          <w:color w:val="000000" w:themeColor="text1"/>
        </w:rPr>
        <w:t xml:space="preserve"> 109</w:t>
      </w:r>
      <w:r w:rsidRPr="00CF7716">
        <w:rPr>
          <w:rFonts w:ascii="Times New Roman" w:hAnsi="Times New Roman" w:cs="Times New Roman"/>
          <w:color w:val="000000" w:themeColor="text1"/>
        </w:rPr>
        <w:t>.</w:t>
      </w:r>
    </w:p>
  </w:footnote>
  <w:footnote w:id="92">
    <w:p w14:paraId="385F9537" w14:textId="2847E802" w:rsidR="003925CB" w:rsidRPr="00CF7716" w:rsidRDefault="003925CB"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Special Rapporteur</w:t>
      </w:r>
      <w:r w:rsidR="00C77AA6" w:rsidRPr="00CF7716">
        <w:rPr>
          <w:rFonts w:ascii="Times New Roman" w:hAnsi="Times New Roman" w:cs="Times New Roman"/>
          <w:color w:val="000000" w:themeColor="text1"/>
        </w:rPr>
        <w:t xml:space="preserve"> (n 38)</w:t>
      </w:r>
      <w:r w:rsidRPr="00CF7716">
        <w:rPr>
          <w:rFonts w:ascii="Times New Roman" w:hAnsi="Times New Roman" w:cs="Times New Roman"/>
          <w:color w:val="000000" w:themeColor="text1"/>
        </w:rPr>
        <w:t xml:space="preserve"> paras. 22 and 37.</w:t>
      </w:r>
    </w:p>
  </w:footnote>
  <w:footnote w:id="93">
    <w:p w14:paraId="7DE722C3" w14:textId="05E5E8C5" w:rsidR="004E2B9F" w:rsidRPr="00CF7716" w:rsidRDefault="004E2B9F"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2C6767" w:rsidRPr="00CF7716">
        <w:rPr>
          <w:color w:val="000000" w:themeColor="text1"/>
          <w:sz w:val="20"/>
          <w:szCs w:val="20"/>
        </w:rPr>
        <w:t xml:space="preserve">C </w:t>
      </w:r>
      <w:r w:rsidRPr="00CF7716">
        <w:rPr>
          <w:color w:val="000000" w:themeColor="text1"/>
          <w:sz w:val="20"/>
          <w:szCs w:val="20"/>
        </w:rPr>
        <w:t>Colvin,</w:t>
      </w:r>
      <w:r w:rsidR="002C6767" w:rsidRPr="00CF7716">
        <w:rPr>
          <w:color w:val="000000" w:themeColor="text1"/>
          <w:sz w:val="20"/>
          <w:szCs w:val="20"/>
        </w:rPr>
        <w:t xml:space="preserve"> ‘</w:t>
      </w:r>
      <w:r w:rsidRPr="00CF7716">
        <w:rPr>
          <w:color w:val="000000" w:themeColor="text1"/>
          <w:sz w:val="20"/>
          <w:szCs w:val="20"/>
        </w:rPr>
        <w:t xml:space="preserve">Purity and </w:t>
      </w:r>
      <w:r w:rsidR="002C6767" w:rsidRPr="00CF7716">
        <w:rPr>
          <w:color w:val="000000" w:themeColor="text1"/>
          <w:sz w:val="20"/>
          <w:szCs w:val="20"/>
        </w:rPr>
        <w:t>P</w:t>
      </w:r>
      <w:r w:rsidRPr="00CF7716">
        <w:rPr>
          <w:color w:val="000000" w:themeColor="text1"/>
          <w:sz w:val="20"/>
          <w:szCs w:val="20"/>
        </w:rPr>
        <w:t xml:space="preserve">lanning: Shared </w:t>
      </w:r>
      <w:r w:rsidR="002C6767" w:rsidRPr="00CF7716">
        <w:rPr>
          <w:color w:val="000000" w:themeColor="text1"/>
          <w:sz w:val="20"/>
          <w:szCs w:val="20"/>
        </w:rPr>
        <w:t>L</w:t>
      </w:r>
      <w:r w:rsidRPr="00CF7716">
        <w:rPr>
          <w:color w:val="000000" w:themeColor="text1"/>
          <w:sz w:val="20"/>
          <w:szCs w:val="20"/>
        </w:rPr>
        <w:t xml:space="preserve">ogics of </w:t>
      </w:r>
      <w:r w:rsidR="002C6767" w:rsidRPr="00CF7716">
        <w:rPr>
          <w:color w:val="000000" w:themeColor="text1"/>
          <w:sz w:val="20"/>
          <w:szCs w:val="20"/>
        </w:rPr>
        <w:t>T</w:t>
      </w:r>
      <w:r w:rsidRPr="00CF7716">
        <w:rPr>
          <w:color w:val="000000" w:themeColor="text1"/>
          <w:sz w:val="20"/>
          <w:szCs w:val="20"/>
        </w:rPr>
        <w:t xml:space="preserve">ransitional </w:t>
      </w:r>
      <w:r w:rsidR="002C6767" w:rsidRPr="00CF7716">
        <w:rPr>
          <w:color w:val="000000" w:themeColor="text1"/>
          <w:sz w:val="20"/>
          <w:szCs w:val="20"/>
        </w:rPr>
        <w:t>J</w:t>
      </w:r>
      <w:r w:rsidRPr="00CF7716">
        <w:rPr>
          <w:color w:val="000000" w:themeColor="text1"/>
          <w:sz w:val="20"/>
          <w:szCs w:val="20"/>
        </w:rPr>
        <w:t xml:space="preserve">ustice and </w:t>
      </w:r>
      <w:r w:rsidR="002C6767" w:rsidRPr="00CF7716">
        <w:rPr>
          <w:color w:val="000000" w:themeColor="text1"/>
          <w:sz w:val="20"/>
          <w:szCs w:val="20"/>
        </w:rPr>
        <w:t>D</w:t>
      </w:r>
      <w:r w:rsidRPr="00CF7716">
        <w:rPr>
          <w:color w:val="000000" w:themeColor="text1"/>
          <w:sz w:val="20"/>
          <w:szCs w:val="20"/>
        </w:rPr>
        <w:t>evelopment’</w:t>
      </w:r>
      <w:r w:rsidRPr="00CF7716">
        <w:rPr>
          <w:i/>
          <w:iCs/>
          <w:color w:val="000000" w:themeColor="text1"/>
          <w:sz w:val="20"/>
          <w:szCs w:val="20"/>
        </w:rPr>
        <w:t xml:space="preserve"> </w:t>
      </w:r>
      <w:r w:rsidR="002C6767" w:rsidRPr="00CF7716">
        <w:rPr>
          <w:color w:val="000000" w:themeColor="text1"/>
          <w:sz w:val="20"/>
          <w:szCs w:val="20"/>
        </w:rPr>
        <w:t xml:space="preserve">(2008) 2 </w:t>
      </w:r>
      <w:r w:rsidRPr="00CF7716">
        <w:rPr>
          <w:i/>
          <w:iCs/>
          <w:color w:val="000000" w:themeColor="text1"/>
          <w:sz w:val="20"/>
          <w:szCs w:val="20"/>
        </w:rPr>
        <w:t>International Journal of Transitional Justice</w:t>
      </w:r>
      <w:r w:rsidRPr="00CF7716">
        <w:rPr>
          <w:color w:val="000000" w:themeColor="text1"/>
          <w:sz w:val="20"/>
          <w:szCs w:val="20"/>
        </w:rPr>
        <w:t xml:space="preserve"> 412, 423</w:t>
      </w:r>
      <w:r w:rsidR="002C6767" w:rsidRPr="00CF7716">
        <w:rPr>
          <w:color w:val="000000" w:themeColor="text1"/>
          <w:sz w:val="20"/>
          <w:szCs w:val="20"/>
        </w:rPr>
        <w:t>.</w:t>
      </w:r>
    </w:p>
  </w:footnote>
  <w:footnote w:id="94">
    <w:p w14:paraId="3367C5A9" w14:textId="10A0E4FA" w:rsidR="0033680B" w:rsidRPr="00CF7716" w:rsidRDefault="0033680B"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00037C94" w:rsidRPr="00CF7716">
        <w:rPr>
          <w:rFonts w:ascii="Times New Roman" w:hAnsi="Times New Roman" w:cs="Times New Roman"/>
          <w:color w:val="000000" w:themeColor="text1"/>
        </w:rPr>
        <w:t xml:space="preserve">ibid </w:t>
      </w:r>
      <w:r w:rsidRPr="00CF7716">
        <w:rPr>
          <w:rFonts w:ascii="Times New Roman" w:hAnsi="Times New Roman" w:cs="Times New Roman"/>
          <w:color w:val="000000" w:themeColor="text1"/>
        </w:rPr>
        <w:t>416.</w:t>
      </w:r>
    </w:p>
  </w:footnote>
  <w:footnote w:id="95">
    <w:p w14:paraId="1E764940" w14:textId="472F824F" w:rsidR="00061686" w:rsidRPr="00CF7716" w:rsidRDefault="00061686"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2C6767" w:rsidRPr="00CF7716">
        <w:rPr>
          <w:color w:val="000000" w:themeColor="text1"/>
          <w:sz w:val="20"/>
          <w:szCs w:val="20"/>
        </w:rPr>
        <w:t xml:space="preserve">P </w:t>
      </w:r>
      <w:r w:rsidRPr="00CF7716">
        <w:rPr>
          <w:color w:val="000000" w:themeColor="text1"/>
          <w:sz w:val="20"/>
          <w:szCs w:val="20"/>
        </w:rPr>
        <w:t>Gready</w:t>
      </w:r>
      <w:r w:rsidR="002C6767" w:rsidRPr="00CF7716">
        <w:rPr>
          <w:color w:val="000000" w:themeColor="text1"/>
          <w:sz w:val="20"/>
          <w:szCs w:val="20"/>
        </w:rPr>
        <w:t xml:space="preserve"> </w:t>
      </w:r>
      <w:r w:rsidRPr="00CF7716">
        <w:rPr>
          <w:color w:val="000000" w:themeColor="text1"/>
          <w:sz w:val="20"/>
          <w:szCs w:val="20"/>
        </w:rPr>
        <w:t>and S Robins</w:t>
      </w:r>
      <w:r w:rsidR="002C6767" w:rsidRPr="00CF7716">
        <w:rPr>
          <w:color w:val="000000" w:themeColor="text1"/>
          <w:sz w:val="20"/>
          <w:szCs w:val="20"/>
        </w:rPr>
        <w:t>, ‘</w:t>
      </w:r>
      <w:r w:rsidRPr="00CF7716">
        <w:rPr>
          <w:color w:val="000000" w:themeColor="text1"/>
          <w:sz w:val="20"/>
          <w:szCs w:val="20"/>
        </w:rPr>
        <w:t xml:space="preserve">Transitional Justice and Theories of Change: Towards </w:t>
      </w:r>
      <w:r w:rsidR="002C6767" w:rsidRPr="00CF7716">
        <w:rPr>
          <w:color w:val="000000" w:themeColor="text1"/>
          <w:sz w:val="20"/>
          <w:szCs w:val="20"/>
        </w:rPr>
        <w:t>E</w:t>
      </w:r>
      <w:r w:rsidRPr="00CF7716">
        <w:rPr>
          <w:color w:val="000000" w:themeColor="text1"/>
          <w:sz w:val="20"/>
          <w:szCs w:val="20"/>
        </w:rPr>
        <w:t xml:space="preserve">valuation as </w:t>
      </w:r>
      <w:r w:rsidR="002C6767" w:rsidRPr="00CF7716">
        <w:rPr>
          <w:color w:val="000000" w:themeColor="text1"/>
          <w:sz w:val="20"/>
          <w:szCs w:val="20"/>
        </w:rPr>
        <w:t>U</w:t>
      </w:r>
      <w:r w:rsidRPr="00CF7716">
        <w:rPr>
          <w:color w:val="000000" w:themeColor="text1"/>
          <w:sz w:val="20"/>
          <w:szCs w:val="20"/>
        </w:rPr>
        <w:t>nderstanding</w:t>
      </w:r>
      <w:r w:rsidR="002C6767" w:rsidRPr="00CF7716">
        <w:rPr>
          <w:color w:val="000000" w:themeColor="text1"/>
          <w:sz w:val="20"/>
          <w:szCs w:val="20"/>
        </w:rPr>
        <w:t>’ (2020) 14</w:t>
      </w:r>
      <w:r w:rsidRPr="00CF7716">
        <w:rPr>
          <w:color w:val="000000" w:themeColor="text1"/>
          <w:sz w:val="20"/>
          <w:szCs w:val="20"/>
        </w:rPr>
        <w:t xml:space="preserve"> </w:t>
      </w:r>
      <w:r w:rsidRPr="00CF7716">
        <w:rPr>
          <w:i/>
          <w:iCs/>
          <w:color w:val="000000" w:themeColor="text1"/>
          <w:sz w:val="20"/>
          <w:szCs w:val="20"/>
        </w:rPr>
        <w:t>International Journal of Transitional Justice</w:t>
      </w:r>
      <w:r w:rsidRPr="00CF7716">
        <w:rPr>
          <w:color w:val="000000" w:themeColor="text1"/>
          <w:sz w:val="20"/>
          <w:szCs w:val="20"/>
        </w:rPr>
        <w:t xml:space="preserve"> 280</w:t>
      </w:r>
      <w:r w:rsidR="002C6767" w:rsidRPr="00CF7716">
        <w:rPr>
          <w:color w:val="000000" w:themeColor="text1"/>
          <w:sz w:val="20"/>
          <w:szCs w:val="20"/>
        </w:rPr>
        <w:t>.</w:t>
      </w:r>
    </w:p>
  </w:footnote>
  <w:footnote w:id="96">
    <w:p w14:paraId="1268E0E2" w14:textId="6A7F960F" w:rsidR="000C1C79" w:rsidRPr="00CF7716" w:rsidRDefault="000C1C79"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00805E31" w:rsidRPr="00CF7716">
        <w:rPr>
          <w:rFonts w:ascii="Times New Roman" w:hAnsi="Times New Roman" w:cs="Times New Roman"/>
          <w:color w:val="000000" w:themeColor="text1"/>
        </w:rPr>
        <w:t xml:space="preserve">Mayer-Rieckh and Varney (n 48) </w:t>
      </w:r>
      <w:r w:rsidRPr="00CF7716">
        <w:rPr>
          <w:rFonts w:ascii="Times New Roman" w:hAnsi="Times New Roman" w:cs="Times New Roman"/>
          <w:color w:val="000000" w:themeColor="text1"/>
        </w:rPr>
        <w:t>49 and 52</w:t>
      </w:r>
      <w:r w:rsidR="00805E31" w:rsidRPr="00CF7716">
        <w:rPr>
          <w:rFonts w:ascii="Times New Roman" w:hAnsi="Times New Roman" w:cs="Times New Roman"/>
          <w:color w:val="000000" w:themeColor="text1"/>
        </w:rPr>
        <w:t>.</w:t>
      </w:r>
    </w:p>
  </w:footnote>
  <w:footnote w:id="97">
    <w:p w14:paraId="218601C9" w14:textId="73F99286" w:rsidR="000C1C79" w:rsidRPr="00CF7716" w:rsidRDefault="000C1C79"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To draw on the </w:t>
      </w:r>
      <w:r w:rsidR="00C7510C" w:rsidRPr="00CF7716">
        <w:rPr>
          <w:rFonts w:ascii="Times New Roman" w:hAnsi="Times New Roman" w:cs="Times New Roman"/>
          <w:color w:val="000000" w:themeColor="text1"/>
        </w:rPr>
        <w:t>language</w:t>
      </w:r>
      <w:r w:rsidRPr="00CF7716">
        <w:rPr>
          <w:rFonts w:ascii="Times New Roman" w:hAnsi="Times New Roman" w:cs="Times New Roman"/>
          <w:color w:val="000000" w:themeColor="text1"/>
        </w:rPr>
        <w:t xml:space="preserve"> of Gready and Robins</w:t>
      </w:r>
      <w:r w:rsidR="00C77AA6" w:rsidRPr="00CF7716">
        <w:rPr>
          <w:rFonts w:ascii="Times New Roman" w:hAnsi="Times New Roman" w:cs="Times New Roman"/>
          <w:color w:val="000000" w:themeColor="text1"/>
        </w:rPr>
        <w:t xml:space="preserve"> (n 95)</w:t>
      </w:r>
      <w:r w:rsidRPr="00CF7716">
        <w:rPr>
          <w:rFonts w:ascii="Times New Roman" w:hAnsi="Times New Roman" w:cs="Times New Roman"/>
          <w:color w:val="000000" w:themeColor="text1"/>
        </w:rPr>
        <w:t xml:space="preserve"> 295</w:t>
      </w:r>
      <w:r w:rsidR="00C77AA6" w:rsidRPr="00CF7716">
        <w:rPr>
          <w:rFonts w:ascii="Times New Roman" w:hAnsi="Times New Roman" w:cs="Times New Roman"/>
          <w:color w:val="000000" w:themeColor="text1"/>
        </w:rPr>
        <w:t>.</w:t>
      </w:r>
    </w:p>
  </w:footnote>
  <w:footnote w:id="98">
    <w:p w14:paraId="32CF08AC" w14:textId="24957DD9" w:rsidR="00061686" w:rsidRPr="00CF7716" w:rsidRDefault="00061686"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DF4E23" w:rsidRPr="00CF7716">
        <w:rPr>
          <w:color w:val="000000" w:themeColor="text1"/>
          <w:sz w:val="20"/>
          <w:szCs w:val="20"/>
        </w:rPr>
        <w:t>Special Rapporteur</w:t>
      </w:r>
      <w:r w:rsidR="00C77AA6" w:rsidRPr="00CF7716">
        <w:rPr>
          <w:color w:val="000000" w:themeColor="text1"/>
          <w:sz w:val="20"/>
          <w:szCs w:val="20"/>
        </w:rPr>
        <w:t xml:space="preserve"> (n 38) </w:t>
      </w:r>
      <w:r w:rsidR="00DF4E23" w:rsidRPr="00CF7716">
        <w:rPr>
          <w:color w:val="000000" w:themeColor="text1"/>
          <w:sz w:val="20"/>
          <w:szCs w:val="20"/>
        </w:rPr>
        <w:t>para. 28</w:t>
      </w:r>
      <w:r w:rsidR="00FE7241" w:rsidRPr="00CF7716">
        <w:rPr>
          <w:color w:val="000000" w:themeColor="text1"/>
          <w:sz w:val="20"/>
          <w:szCs w:val="20"/>
        </w:rPr>
        <w:t xml:space="preserve"> </w:t>
      </w:r>
    </w:p>
  </w:footnote>
  <w:footnote w:id="99">
    <w:p w14:paraId="13AAEB38" w14:textId="0BB6AA06" w:rsidR="00DF4E23" w:rsidRPr="00CF7716" w:rsidRDefault="00DF4E23"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00C77AA6" w:rsidRPr="00CF7716">
        <w:rPr>
          <w:rFonts w:ascii="Times New Roman" w:hAnsi="Times New Roman" w:cs="Times New Roman"/>
          <w:color w:val="000000" w:themeColor="text1"/>
        </w:rPr>
        <w:t>ibid</w:t>
      </w:r>
      <w:r w:rsidRPr="00CF7716">
        <w:rPr>
          <w:rFonts w:ascii="Times New Roman" w:hAnsi="Times New Roman" w:cs="Times New Roman"/>
          <w:color w:val="000000" w:themeColor="text1"/>
        </w:rPr>
        <w:t xml:space="preserve"> paras 30 and 31.</w:t>
      </w:r>
    </w:p>
  </w:footnote>
  <w:footnote w:id="100">
    <w:p w14:paraId="2CED5AB5" w14:textId="7EF6A408" w:rsidR="004F0BC1" w:rsidRPr="00CF7716" w:rsidRDefault="004F0BC1"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McGonigle-Leyh</w:t>
      </w:r>
      <w:r w:rsidR="00D221DA" w:rsidRPr="00CF7716">
        <w:rPr>
          <w:rFonts w:ascii="Times New Roman" w:hAnsi="Times New Roman" w:cs="Times New Roman"/>
          <w:color w:val="000000" w:themeColor="text1"/>
        </w:rPr>
        <w:t xml:space="preserve"> (n 33) </w:t>
      </w:r>
      <w:r w:rsidRPr="00CF7716">
        <w:rPr>
          <w:rFonts w:ascii="Times New Roman" w:hAnsi="Times New Roman" w:cs="Times New Roman"/>
          <w:color w:val="000000" w:themeColor="text1"/>
        </w:rPr>
        <w:t>367</w:t>
      </w:r>
      <w:r w:rsidR="00D221DA" w:rsidRPr="00CF7716">
        <w:rPr>
          <w:rFonts w:ascii="Times New Roman" w:hAnsi="Times New Roman" w:cs="Times New Roman"/>
          <w:color w:val="000000" w:themeColor="text1"/>
        </w:rPr>
        <w:t>.</w:t>
      </w:r>
    </w:p>
  </w:footnote>
  <w:footnote w:id="101">
    <w:p w14:paraId="20B5709F" w14:textId="570DEFBA" w:rsidR="003E270F" w:rsidRPr="00CF7716" w:rsidRDefault="003E270F"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See for example Davidovic</w:t>
      </w:r>
      <w:r w:rsidR="00D221DA" w:rsidRPr="00CF7716">
        <w:rPr>
          <w:rFonts w:ascii="Times New Roman" w:hAnsi="Times New Roman" w:cs="Times New Roman"/>
          <w:color w:val="000000" w:themeColor="text1"/>
        </w:rPr>
        <w:t xml:space="preserve"> (n 21).</w:t>
      </w:r>
    </w:p>
  </w:footnote>
  <w:footnote w:id="102">
    <w:p w14:paraId="388C1C61" w14:textId="665E3555" w:rsidR="008F380A" w:rsidRPr="00CF7716" w:rsidRDefault="008F380A"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003E270F" w:rsidRPr="00CF7716">
        <w:rPr>
          <w:rFonts w:ascii="Times New Roman" w:hAnsi="Times New Roman" w:cs="Times New Roman"/>
          <w:color w:val="000000" w:themeColor="text1"/>
        </w:rPr>
        <w:t>Special Rapporteur</w:t>
      </w:r>
      <w:r w:rsidR="00C77AA6" w:rsidRPr="00CF7716">
        <w:rPr>
          <w:rFonts w:ascii="Times New Roman" w:hAnsi="Times New Roman" w:cs="Times New Roman"/>
          <w:color w:val="000000" w:themeColor="text1"/>
        </w:rPr>
        <w:t xml:space="preserve"> (n 38)</w:t>
      </w:r>
      <w:r w:rsidR="003E270F" w:rsidRPr="00CF7716">
        <w:rPr>
          <w:rFonts w:ascii="Times New Roman" w:hAnsi="Times New Roman" w:cs="Times New Roman"/>
          <w:color w:val="000000" w:themeColor="text1"/>
        </w:rPr>
        <w:t xml:space="preserve"> paras 77-102.</w:t>
      </w:r>
    </w:p>
  </w:footnote>
  <w:footnote w:id="103">
    <w:p w14:paraId="67F86267" w14:textId="223BA6F7" w:rsidR="008B0B4F" w:rsidRPr="00CF7716" w:rsidRDefault="008B0B4F"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E.g. Duthie</w:t>
      </w:r>
      <w:r w:rsidR="00037C94" w:rsidRPr="00CF7716">
        <w:rPr>
          <w:color w:val="000000" w:themeColor="text1"/>
          <w:sz w:val="20"/>
          <w:szCs w:val="20"/>
        </w:rPr>
        <w:t xml:space="preserve"> (n 84) </w:t>
      </w:r>
      <w:r w:rsidRPr="00CF7716">
        <w:rPr>
          <w:color w:val="000000" w:themeColor="text1"/>
          <w:sz w:val="20"/>
          <w:szCs w:val="20"/>
        </w:rPr>
        <w:t xml:space="preserve">2, Sunneva Gilmore et al, </w:t>
      </w:r>
      <w:r w:rsidRPr="00E26B93">
        <w:rPr>
          <w:i/>
          <w:iCs/>
          <w:color w:val="000000" w:themeColor="text1"/>
          <w:sz w:val="20"/>
          <w:szCs w:val="20"/>
        </w:rPr>
        <w:t>Beyond Silence and Stigma: Crafting a Gender-Sensitive Approach for Victims of Sexual Violence in Domestic Reparations Programmes</w:t>
      </w:r>
      <w:r w:rsidRPr="00CF7716">
        <w:rPr>
          <w:color w:val="000000" w:themeColor="text1"/>
          <w:sz w:val="20"/>
          <w:szCs w:val="20"/>
        </w:rPr>
        <w:t xml:space="preserve"> (</w:t>
      </w:r>
      <w:r w:rsidR="00E26B93">
        <w:rPr>
          <w:color w:val="000000" w:themeColor="text1"/>
          <w:sz w:val="20"/>
          <w:szCs w:val="20"/>
        </w:rPr>
        <w:t xml:space="preserve">Belfast, </w:t>
      </w:r>
      <w:r w:rsidRPr="00CF7716">
        <w:rPr>
          <w:color w:val="000000" w:themeColor="text1"/>
          <w:sz w:val="20"/>
          <w:szCs w:val="20"/>
        </w:rPr>
        <w:t>RRVTS</w:t>
      </w:r>
      <w:r w:rsidR="00C71893" w:rsidRPr="00CF7716">
        <w:rPr>
          <w:color w:val="000000" w:themeColor="text1"/>
          <w:sz w:val="20"/>
          <w:szCs w:val="20"/>
        </w:rPr>
        <w:t xml:space="preserve"> </w:t>
      </w:r>
      <w:r w:rsidRPr="00CF7716">
        <w:rPr>
          <w:color w:val="000000" w:themeColor="text1"/>
          <w:sz w:val="20"/>
          <w:szCs w:val="20"/>
        </w:rPr>
        <w:t>2020) 17-18</w:t>
      </w:r>
      <w:r w:rsidR="00C7510C" w:rsidRPr="00CF7716">
        <w:rPr>
          <w:color w:val="000000" w:themeColor="text1"/>
          <w:sz w:val="20"/>
          <w:szCs w:val="20"/>
        </w:rPr>
        <w:t>.</w:t>
      </w:r>
    </w:p>
  </w:footnote>
  <w:footnote w:id="104">
    <w:p w14:paraId="28772B52" w14:textId="1F210F04" w:rsidR="0097018A" w:rsidRPr="00CF7716" w:rsidRDefault="0097018A"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Roht-Arriaza</w:t>
      </w:r>
      <w:r w:rsidR="00037C94" w:rsidRPr="00CF7716">
        <w:rPr>
          <w:rFonts w:ascii="Times New Roman" w:hAnsi="Times New Roman" w:cs="Times New Roman"/>
          <w:color w:val="000000" w:themeColor="text1"/>
        </w:rPr>
        <w:t xml:space="preserve"> (n 75)</w:t>
      </w:r>
      <w:r w:rsidRPr="00CF7716">
        <w:rPr>
          <w:rFonts w:ascii="Times New Roman" w:hAnsi="Times New Roman" w:cs="Times New Roman"/>
          <w:color w:val="000000" w:themeColor="text1"/>
        </w:rPr>
        <w:t>, 107</w:t>
      </w:r>
    </w:p>
  </w:footnote>
  <w:footnote w:id="105">
    <w:p w14:paraId="1BA258BA" w14:textId="15CB4FEE" w:rsidR="006604C5" w:rsidRPr="00CF7716" w:rsidRDefault="006604C5"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00037C94" w:rsidRPr="00CF7716">
        <w:rPr>
          <w:rFonts w:ascii="Times New Roman" w:hAnsi="Times New Roman" w:cs="Times New Roman"/>
          <w:color w:val="000000" w:themeColor="text1"/>
        </w:rPr>
        <w:t xml:space="preserve"> ibid</w:t>
      </w:r>
    </w:p>
  </w:footnote>
  <w:footnote w:id="106">
    <w:p w14:paraId="2B936A45" w14:textId="453B8CFC" w:rsidR="0059269A" w:rsidRPr="00CF7716" w:rsidRDefault="0059269A"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Duthie</w:t>
      </w:r>
      <w:r w:rsidR="00037C94" w:rsidRPr="00CF7716">
        <w:rPr>
          <w:rFonts w:ascii="Times New Roman" w:hAnsi="Times New Roman" w:cs="Times New Roman"/>
          <w:color w:val="000000" w:themeColor="text1"/>
        </w:rPr>
        <w:t xml:space="preserve"> (n 84) </w:t>
      </w:r>
      <w:r w:rsidRPr="00CF7716">
        <w:rPr>
          <w:rFonts w:ascii="Times New Roman" w:hAnsi="Times New Roman" w:cs="Times New Roman"/>
          <w:color w:val="000000" w:themeColor="text1"/>
        </w:rPr>
        <w:t>12</w:t>
      </w:r>
      <w:r w:rsidR="00037C94" w:rsidRPr="00CF7716">
        <w:rPr>
          <w:rFonts w:ascii="Times New Roman" w:hAnsi="Times New Roman" w:cs="Times New Roman"/>
          <w:color w:val="000000" w:themeColor="text1"/>
        </w:rPr>
        <w:t>.</w:t>
      </w:r>
    </w:p>
  </w:footnote>
  <w:footnote w:id="107">
    <w:p w14:paraId="3D18C33F" w14:textId="040F0C38" w:rsidR="00527F1A" w:rsidRPr="00CF7716" w:rsidRDefault="00527F1A"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Mayer-Rieckh</w:t>
      </w:r>
      <w:r w:rsidR="00D221DA" w:rsidRPr="00CF7716">
        <w:rPr>
          <w:rFonts w:ascii="Times New Roman" w:hAnsi="Times New Roman" w:cs="Times New Roman"/>
          <w:color w:val="000000" w:themeColor="text1"/>
        </w:rPr>
        <w:t xml:space="preserve"> (n 22)</w:t>
      </w:r>
      <w:r w:rsidRPr="00CF7716">
        <w:rPr>
          <w:rFonts w:ascii="Times New Roman" w:hAnsi="Times New Roman" w:cs="Times New Roman"/>
          <w:color w:val="000000" w:themeColor="text1"/>
        </w:rPr>
        <w:t xml:space="preserve"> 448</w:t>
      </w:r>
      <w:r w:rsidR="00D221DA" w:rsidRPr="00CF7716">
        <w:rPr>
          <w:rFonts w:ascii="Times New Roman" w:hAnsi="Times New Roman" w:cs="Times New Roman"/>
          <w:color w:val="000000" w:themeColor="text1"/>
        </w:rPr>
        <w:t>.</w:t>
      </w:r>
    </w:p>
  </w:footnote>
  <w:footnote w:id="108">
    <w:p w14:paraId="14D58441" w14:textId="138F7E87" w:rsidR="006E3258" w:rsidRPr="00CF7716" w:rsidRDefault="006E3258" w:rsidP="00E65CEB">
      <w:pPr>
        <w:spacing w:line="480" w:lineRule="auto"/>
        <w:rPr>
          <w:color w:val="000000" w:themeColor="text1"/>
          <w:sz w:val="20"/>
          <w:szCs w:val="20"/>
        </w:rPr>
      </w:pPr>
      <w:r w:rsidRPr="00CF7716">
        <w:rPr>
          <w:rStyle w:val="FootnoteReference"/>
          <w:color w:val="000000" w:themeColor="text1"/>
          <w:sz w:val="20"/>
          <w:szCs w:val="20"/>
        </w:rPr>
        <w:footnoteRef/>
      </w:r>
      <w:r w:rsidR="00C71893" w:rsidRPr="00CF7716">
        <w:rPr>
          <w:color w:val="000000" w:themeColor="text1"/>
          <w:sz w:val="20"/>
          <w:szCs w:val="20"/>
        </w:rPr>
        <w:t xml:space="preserve"> B </w:t>
      </w:r>
      <w:r w:rsidRPr="00CF7716">
        <w:rPr>
          <w:color w:val="000000" w:themeColor="text1"/>
          <w:sz w:val="20"/>
          <w:szCs w:val="20"/>
        </w:rPr>
        <w:t xml:space="preserve"> Levy, </w:t>
      </w:r>
      <w:r w:rsidRPr="00CF7716">
        <w:rPr>
          <w:i/>
          <w:iCs/>
          <w:color w:val="000000" w:themeColor="text1"/>
          <w:sz w:val="20"/>
          <w:szCs w:val="20"/>
        </w:rPr>
        <w:t xml:space="preserve">Working with the </w:t>
      </w:r>
      <w:r w:rsidR="00C71893" w:rsidRPr="00CF7716">
        <w:rPr>
          <w:i/>
          <w:iCs/>
          <w:color w:val="000000" w:themeColor="text1"/>
          <w:sz w:val="20"/>
          <w:szCs w:val="20"/>
        </w:rPr>
        <w:t>G</w:t>
      </w:r>
      <w:r w:rsidRPr="00CF7716">
        <w:rPr>
          <w:i/>
          <w:iCs/>
          <w:color w:val="000000" w:themeColor="text1"/>
          <w:sz w:val="20"/>
          <w:szCs w:val="20"/>
        </w:rPr>
        <w:t xml:space="preserve">rain: Integrating </w:t>
      </w:r>
      <w:r w:rsidR="00C71893" w:rsidRPr="00CF7716">
        <w:rPr>
          <w:i/>
          <w:iCs/>
          <w:color w:val="000000" w:themeColor="text1"/>
          <w:sz w:val="20"/>
          <w:szCs w:val="20"/>
        </w:rPr>
        <w:t>G</w:t>
      </w:r>
      <w:r w:rsidRPr="00CF7716">
        <w:rPr>
          <w:i/>
          <w:iCs/>
          <w:color w:val="000000" w:themeColor="text1"/>
          <w:sz w:val="20"/>
          <w:szCs w:val="20"/>
        </w:rPr>
        <w:t xml:space="preserve">overnance and </w:t>
      </w:r>
      <w:r w:rsidR="00C71893" w:rsidRPr="00CF7716">
        <w:rPr>
          <w:i/>
          <w:iCs/>
          <w:color w:val="000000" w:themeColor="text1"/>
          <w:sz w:val="20"/>
          <w:szCs w:val="20"/>
        </w:rPr>
        <w:t>G</w:t>
      </w:r>
      <w:r w:rsidRPr="00CF7716">
        <w:rPr>
          <w:i/>
          <w:iCs/>
          <w:color w:val="000000" w:themeColor="text1"/>
          <w:sz w:val="20"/>
          <w:szCs w:val="20"/>
        </w:rPr>
        <w:t xml:space="preserve">rowth in </w:t>
      </w:r>
      <w:r w:rsidR="00C71893" w:rsidRPr="00CF7716">
        <w:rPr>
          <w:i/>
          <w:iCs/>
          <w:color w:val="000000" w:themeColor="text1"/>
          <w:sz w:val="20"/>
          <w:szCs w:val="20"/>
        </w:rPr>
        <w:t>D</w:t>
      </w:r>
      <w:r w:rsidRPr="00CF7716">
        <w:rPr>
          <w:i/>
          <w:iCs/>
          <w:color w:val="000000" w:themeColor="text1"/>
          <w:sz w:val="20"/>
          <w:szCs w:val="20"/>
        </w:rPr>
        <w:t xml:space="preserve">evelopment </w:t>
      </w:r>
      <w:r w:rsidR="00C71893" w:rsidRPr="00CF7716">
        <w:rPr>
          <w:i/>
          <w:iCs/>
          <w:color w:val="000000" w:themeColor="text1"/>
          <w:sz w:val="20"/>
          <w:szCs w:val="20"/>
        </w:rPr>
        <w:t>S</w:t>
      </w:r>
      <w:r w:rsidRPr="00CF7716">
        <w:rPr>
          <w:i/>
          <w:iCs/>
          <w:color w:val="000000" w:themeColor="text1"/>
          <w:sz w:val="20"/>
          <w:szCs w:val="20"/>
        </w:rPr>
        <w:t>trategies</w:t>
      </w:r>
      <w:r w:rsidR="00C71893" w:rsidRPr="00CF7716">
        <w:rPr>
          <w:color w:val="000000" w:themeColor="text1"/>
          <w:sz w:val="20"/>
          <w:szCs w:val="20"/>
        </w:rPr>
        <w:t xml:space="preserve"> (</w:t>
      </w:r>
      <w:r w:rsidR="00E26B93">
        <w:rPr>
          <w:color w:val="000000" w:themeColor="text1"/>
          <w:sz w:val="20"/>
          <w:szCs w:val="20"/>
        </w:rPr>
        <w:t xml:space="preserve">Oxford, </w:t>
      </w:r>
      <w:r w:rsidR="00C71893" w:rsidRPr="00CF7716">
        <w:rPr>
          <w:color w:val="000000" w:themeColor="text1"/>
          <w:sz w:val="20"/>
          <w:szCs w:val="20"/>
        </w:rPr>
        <w:t>O</w:t>
      </w:r>
      <w:r w:rsidR="00E26B93">
        <w:rPr>
          <w:color w:val="000000" w:themeColor="text1"/>
          <w:sz w:val="20"/>
          <w:szCs w:val="20"/>
        </w:rPr>
        <w:t xml:space="preserve">xford </w:t>
      </w:r>
      <w:r w:rsidR="00C71893" w:rsidRPr="00CF7716">
        <w:rPr>
          <w:color w:val="000000" w:themeColor="text1"/>
          <w:sz w:val="20"/>
          <w:szCs w:val="20"/>
        </w:rPr>
        <w:t>U</w:t>
      </w:r>
      <w:r w:rsidR="00E26B93">
        <w:rPr>
          <w:color w:val="000000" w:themeColor="text1"/>
          <w:sz w:val="20"/>
          <w:szCs w:val="20"/>
        </w:rPr>
        <w:t xml:space="preserve">niversity </w:t>
      </w:r>
      <w:r w:rsidR="00C71893" w:rsidRPr="00CF7716">
        <w:rPr>
          <w:color w:val="000000" w:themeColor="text1"/>
          <w:sz w:val="20"/>
          <w:szCs w:val="20"/>
        </w:rPr>
        <w:t>P</w:t>
      </w:r>
      <w:r w:rsidR="00E26B93">
        <w:rPr>
          <w:color w:val="000000" w:themeColor="text1"/>
          <w:sz w:val="20"/>
          <w:szCs w:val="20"/>
        </w:rPr>
        <w:t>ress,</w:t>
      </w:r>
      <w:r w:rsidR="00C71893" w:rsidRPr="00CF7716">
        <w:rPr>
          <w:color w:val="000000" w:themeColor="text1"/>
          <w:sz w:val="20"/>
          <w:szCs w:val="20"/>
        </w:rPr>
        <w:t xml:space="preserve"> 2014) </w:t>
      </w:r>
      <w:r w:rsidRPr="00CF7716">
        <w:rPr>
          <w:color w:val="000000" w:themeColor="text1"/>
          <w:sz w:val="20"/>
          <w:szCs w:val="20"/>
        </w:rPr>
        <w:t>115</w:t>
      </w:r>
      <w:r w:rsidR="00C71893" w:rsidRPr="00CF7716">
        <w:rPr>
          <w:color w:val="000000" w:themeColor="text1"/>
          <w:sz w:val="20"/>
          <w:szCs w:val="20"/>
        </w:rPr>
        <w:t>.</w:t>
      </w:r>
    </w:p>
  </w:footnote>
  <w:footnote w:id="109">
    <w:p w14:paraId="631B69F1" w14:textId="43196B63" w:rsidR="003056F5" w:rsidRPr="00CF7716" w:rsidRDefault="003056F5"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C7510C" w:rsidRPr="00CF7716">
        <w:rPr>
          <w:color w:val="000000" w:themeColor="text1"/>
          <w:sz w:val="20"/>
          <w:szCs w:val="20"/>
        </w:rPr>
        <w:t xml:space="preserve">AM </w:t>
      </w:r>
      <w:r w:rsidRPr="00CF7716">
        <w:rPr>
          <w:color w:val="000000" w:themeColor="text1"/>
          <w:sz w:val="20"/>
          <w:szCs w:val="20"/>
        </w:rPr>
        <w:t>Goetz,</w:t>
      </w:r>
      <w:r w:rsidR="00C7510C" w:rsidRPr="00CF7716">
        <w:rPr>
          <w:color w:val="000000" w:themeColor="text1"/>
          <w:sz w:val="20"/>
          <w:szCs w:val="20"/>
        </w:rPr>
        <w:t xml:space="preserve"> ‘</w:t>
      </w:r>
      <w:r w:rsidRPr="00CF7716">
        <w:rPr>
          <w:color w:val="000000" w:themeColor="text1"/>
          <w:sz w:val="20"/>
          <w:szCs w:val="20"/>
        </w:rPr>
        <w:t xml:space="preserve">Manoeuvring </w:t>
      </w:r>
      <w:r w:rsidR="00C7510C" w:rsidRPr="00CF7716">
        <w:rPr>
          <w:color w:val="000000" w:themeColor="text1"/>
          <w:sz w:val="20"/>
          <w:szCs w:val="20"/>
        </w:rPr>
        <w:t>P</w:t>
      </w:r>
      <w:r w:rsidRPr="00CF7716">
        <w:rPr>
          <w:color w:val="000000" w:themeColor="text1"/>
          <w:sz w:val="20"/>
          <w:szCs w:val="20"/>
        </w:rPr>
        <w:t xml:space="preserve">ast </w:t>
      </w:r>
      <w:r w:rsidR="00C7510C" w:rsidRPr="00CF7716">
        <w:rPr>
          <w:color w:val="000000" w:themeColor="text1"/>
          <w:sz w:val="20"/>
          <w:szCs w:val="20"/>
        </w:rPr>
        <w:t>C</w:t>
      </w:r>
      <w:r w:rsidRPr="00CF7716">
        <w:rPr>
          <w:color w:val="000000" w:themeColor="text1"/>
          <w:sz w:val="20"/>
          <w:szCs w:val="20"/>
        </w:rPr>
        <w:t xml:space="preserve">lientelism: Institutions and </w:t>
      </w:r>
      <w:r w:rsidR="00C7510C" w:rsidRPr="00CF7716">
        <w:rPr>
          <w:color w:val="000000" w:themeColor="text1"/>
          <w:sz w:val="20"/>
          <w:szCs w:val="20"/>
        </w:rPr>
        <w:t>I</w:t>
      </w:r>
      <w:r w:rsidRPr="00CF7716">
        <w:rPr>
          <w:color w:val="000000" w:themeColor="text1"/>
          <w:sz w:val="20"/>
          <w:szCs w:val="20"/>
        </w:rPr>
        <w:t xml:space="preserve">ncentives to </w:t>
      </w:r>
      <w:r w:rsidR="00C7510C" w:rsidRPr="00CF7716">
        <w:rPr>
          <w:color w:val="000000" w:themeColor="text1"/>
          <w:sz w:val="20"/>
          <w:szCs w:val="20"/>
        </w:rPr>
        <w:t>G</w:t>
      </w:r>
      <w:r w:rsidRPr="00CF7716">
        <w:rPr>
          <w:color w:val="000000" w:themeColor="text1"/>
          <w:sz w:val="20"/>
          <w:szCs w:val="20"/>
        </w:rPr>
        <w:t xml:space="preserve">enerate </w:t>
      </w:r>
      <w:r w:rsidR="00C7510C" w:rsidRPr="00CF7716">
        <w:rPr>
          <w:color w:val="000000" w:themeColor="text1"/>
          <w:sz w:val="20"/>
          <w:szCs w:val="20"/>
        </w:rPr>
        <w:t>C</w:t>
      </w:r>
      <w:r w:rsidRPr="00CF7716">
        <w:rPr>
          <w:color w:val="000000" w:themeColor="text1"/>
          <w:sz w:val="20"/>
          <w:szCs w:val="20"/>
        </w:rPr>
        <w:t xml:space="preserve">onstituencies in </w:t>
      </w:r>
      <w:r w:rsidR="00C7510C" w:rsidRPr="00CF7716">
        <w:rPr>
          <w:color w:val="000000" w:themeColor="text1"/>
          <w:sz w:val="20"/>
          <w:szCs w:val="20"/>
        </w:rPr>
        <w:t>S</w:t>
      </w:r>
      <w:r w:rsidRPr="00CF7716">
        <w:rPr>
          <w:color w:val="000000" w:themeColor="text1"/>
          <w:sz w:val="20"/>
          <w:szCs w:val="20"/>
        </w:rPr>
        <w:t xml:space="preserve">upport of </w:t>
      </w:r>
      <w:r w:rsidR="00C7510C" w:rsidRPr="00CF7716">
        <w:rPr>
          <w:color w:val="000000" w:themeColor="text1"/>
          <w:sz w:val="20"/>
          <w:szCs w:val="20"/>
        </w:rPr>
        <w:t>G</w:t>
      </w:r>
      <w:r w:rsidRPr="00CF7716">
        <w:rPr>
          <w:color w:val="000000" w:themeColor="text1"/>
          <w:sz w:val="20"/>
          <w:szCs w:val="20"/>
        </w:rPr>
        <w:t xml:space="preserve">overnance </w:t>
      </w:r>
      <w:r w:rsidR="00C7510C" w:rsidRPr="00CF7716">
        <w:rPr>
          <w:color w:val="000000" w:themeColor="text1"/>
          <w:sz w:val="20"/>
          <w:szCs w:val="20"/>
        </w:rPr>
        <w:t>R</w:t>
      </w:r>
      <w:r w:rsidRPr="00CF7716">
        <w:rPr>
          <w:color w:val="000000" w:themeColor="text1"/>
          <w:sz w:val="20"/>
          <w:szCs w:val="20"/>
        </w:rPr>
        <w:t>eforms</w:t>
      </w:r>
      <w:r w:rsidR="00C7510C" w:rsidRPr="00CF7716">
        <w:rPr>
          <w:color w:val="000000" w:themeColor="text1"/>
          <w:sz w:val="20"/>
          <w:szCs w:val="20"/>
        </w:rPr>
        <w:t xml:space="preserve">’ (2007) 45 </w:t>
      </w:r>
      <w:r w:rsidRPr="00CF7716">
        <w:rPr>
          <w:i/>
          <w:iCs/>
          <w:color w:val="000000" w:themeColor="text1"/>
          <w:sz w:val="20"/>
          <w:szCs w:val="20"/>
        </w:rPr>
        <w:t>Commonwealth &amp; Comparative Politics</w:t>
      </w:r>
      <w:r w:rsidRPr="00CF7716">
        <w:rPr>
          <w:color w:val="000000" w:themeColor="text1"/>
          <w:sz w:val="20"/>
          <w:szCs w:val="20"/>
        </w:rPr>
        <w:t xml:space="preserve"> 403, 403</w:t>
      </w:r>
      <w:r w:rsidR="003959CE" w:rsidRPr="00CF7716">
        <w:rPr>
          <w:color w:val="000000" w:themeColor="text1"/>
          <w:sz w:val="20"/>
          <w:szCs w:val="20"/>
        </w:rPr>
        <w:t>-404</w:t>
      </w:r>
      <w:r w:rsidRPr="00CF7716">
        <w:rPr>
          <w:color w:val="000000" w:themeColor="text1"/>
          <w:sz w:val="20"/>
          <w:szCs w:val="20"/>
        </w:rPr>
        <w:t>.</w:t>
      </w:r>
    </w:p>
  </w:footnote>
  <w:footnote w:id="110">
    <w:p w14:paraId="436557E1" w14:textId="5669C64E" w:rsidR="00985299" w:rsidRPr="00CF7716" w:rsidRDefault="00985299"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9C59BC" w:rsidRPr="00CF7716">
        <w:rPr>
          <w:color w:val="000000" w:themeColor="text1"/>
          <w:sz w:val="20"/>
          <w:szCs w:val="20"/>
        </w:rPr>
        <w:t xml:space="preserve">M </w:t>
      </w:r>
      <w:r w:rsidRPr="00CF7716">
        <w:rPr>
          <w:color w:val="000000" w:themeColor="text1"/>
          <w:sz w:val="20"/>
          <w:szCs w:val="20"/>
        </w:rPr>
        <w:t>Moore</w:t>
      </w:r>
      <w:r w:rsidR="009C59BC" w:rsidRPr="00CF7716">
        <w:rPr>
          <w:color w:val="000000" w:themeColor="text1"/>
          <w:sz w:val="20"/>
          <w:szCs w:val="20"/>
        </w:rPr>
        <w:t xml:space="preserve"> and </w:t>
      </w:r>
      <w:r w:rsidRPr="00CF7716">
        <w:rPr>
          <w:color w:val="000000" w:themeColor="text1"/>
          <w:sz w:val="20"/>
          <w:szCs w:val="20"/>
        </w:rPr>
        <w:t>H Schmitz</w:t>
      </w:r>
      <w:r w:rsidR="009C59BC" w:rsidRPr="00CF7716">
        <w:rPr>
          <w:color w:val="000000" w:themeColor="text1"/>
          <w:sz w:val="20"/>
          <w:szCs w:val="20"/>
        </w:rPr>
        <w:t>, ‘</w:t>
      </w:r>
      <w:r w:rsidRPr="00CF7716">
        <w:rPr>
          <w:color w:val="000000" w:themeColor="text1"/>
          <w:sz w:val="20"/>
          <w:szCs w:val="20"/>
        </w:rPr>
        <w:t>Idealism, Realism and the Investment Climate in Developing Countries</w:t>
      </w:r>
      <w:r w:rsidR="009C59BC" w:rsidRPr="00CF7716">
        <w:rPr>
          <w:color w:val="000000" w:themeColor="text1"/>
          <w:sz w:val="20"/>
          <w:szCs w:val="20"/>
        </w:rPr>
        <w:t>’ (2008)</w:t>
      </w:r>
      <w:r w:rsidRPr="00CF7716">
        <w:rPr>
          <w:color w:val="000000" w:themeColor="text1"/>
          <w:sz w:val="20"/>
          <w:szCs w:val="20"/>
        </w:rPr>
        <w:t>. Institute of Development Studies/Centre for the Future State</w:t>
      </w:r>
      <w:r w:rsidR="009C59BC" w:rsidRPr="00CF7716">
        <w:rPr>
          <w:color w:val="000000" w:themeColor="text1"/>
          <w:sz w:val="20"/>
          <w:szCs w:val="20"/>
        </w:rPr>
        <w:t xml:space="preserve"> Working Paper 307,</w:t>
      </w:r>
      <w:r w:rsidRPr="00CF7716">
        <w:rPr>
          <w:color w:val="000000" w:themeColor="text1"/>
          <w:sz w:val="20"/>
          <w:szCs w:val="20"/>
        </w:rPr>
        <w:t xml:space="preserve"> 7</w:t>
      </w:r>
      <w:r w:rsidR="009C59BC" w:rsidRPr="00CF7716">
        <w:rPr>
          <w:color w:val="000000" w:themeColor="text1"/>
          <w:sz w:val="20"/>
          <w:szCs w:val="20"/>
        </w:rPr>
        <w:t xml:space="preserve"> &lt;https://opendocs.ids.ac.uk/opendocs/handle/20.500.12413/4166&gt; accessed 1 June 2022</w:t>
      </w:r>
      <w:r w:rsidR="00AD3FB7" w:rsidRPr="00CF7716">
        <w:rPr>
          <w:color w:val="000000" w:themeColor="text1"/>
          <w:sz w:val="20"/>
          <w:szCs w:val="20"/>
        </w:rPr>
        <w:t>.</w:t>
      </w:r>
    </w:p>
  </w:footnote>
  <w:footnote w:id="111">
    <w:p w14:paraId="0C3EB28C" w14:textId="777B1A92" w:rsidR="00BA7692" w:rsidRPr="00CF7716" w:rsidRDefault="00BA7692"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AD3FB7" w:rsidRPr="00CF7716">
        <w:rPr>
          <w:color w:val="000000" w:themeColor="text1"/>
          <w:sz w:val="20"/>
          <w:szCs w:val="20"/>
        </w:rPr>
        <w:t xml:space="preserve">J </w:t>
      </w:r>
      <w:r w:rsidR="00D33787" w:rsidRPr="00CF7716">
        <w:rPr>
          <w:color w:val="000000" w:themeColor="text1"/>
          <w:sz w:val="20"/>
          <w:szCs w:val="20"/>
        </w:rPr>
        <w:t>Di John</w:t>
      </w:r>
      <w:r w:rsidR="00AD3FB7" w:rsidRPr="00CF7716">
        <w:rPr>
          <w:color w:val="000000" w:themeColor="text1"/>
          <w:sz w:val="20"/>
          <w:szCs w:val="20"/>
        </w:rPr>
        <w:t xml:space="preserve"> </w:t>
      </w:r>
      <w:r w:rsidR="00D33787" w:rsidRPr="00CF7716">
        <w:rPr>
          <w:color w:val="000000" w:themeColor="text1"/>
          <w:sz w:val="20"/>
          <w:szCs w:val="20"/>
        </w:rPr>
        <w:t>and J Putzel</w:t>
      </w:r>
      <w:r w:rsidR="00AD3FB7" w:rsidRPr="00CF7716">
        <w:rPr>
          <w:color w:val="000000" w:themeColor="text1"/>
          <w:sz w:val="20"/>
          <w:szCs w:val="20"/>
        </w:rPr>
        <w:t xml:space="preserve">, </w:t>
      </w:r>
      <w:r w:rsidR="00D33787" w:rsidRPr="00CF7716">
        <w:rPr>
          <w:color w:val="000000" w:themeColor="text1"/>
          <w:sz w:val="20"/>
          <w:szCs w:val="20"/>
        </w:rPr>
        <w:t>‘Political settlements’</w:t>
      </w:r>
      <w:r w:rsidR="00AD3FB7" w:rsidRPr="00CF7716">
        <w:rPr>
          <w:color w:val="000000" w:themeColor="text1"/>
          <w:sz w:val="20"/>
          <w:szCs w:val="20"/>
        </w:rPr>
        <w:t xml:space="preserve"> (2009) </w:t>
      </w:r>
      <w:r w:rsidR="00D33787" w:rsidRPr="00CF7716">
        <w:rPr>
          <w:color w:val="000000" w:themeColor="text1"/>
          <w:sz w:val="20"/>
          <w:szCs w:val="20"/>
        </w:rPr>
        <w:t>Governance</w:t>
      </w:r>
      <w:r w:rsidR="00AD3FB7" w:rsidRPr="00CF7716">
        <w:rPr>
          <w:color w:val="000000" w:themeColor="text1"/>
          <w:sz w:val="20"/>
          <w:szCs w:val="20"/>
        </w:rPr>
        <w:t xml:space="preserve"> </w:t>
      </w:r>
      <w:r w:rsidR="00D33787" w:rsidRPr="00CF7716">
        <w:rPr>
          <w:color w:val="000000" w:themeColor="text1"/>
          <w:sz w:val="20"/>
          <w:szCs w:val="20"/>
        </w:rPr>
        <w:t>and Social Development Resource Centre</w:t>
      </w:r>
      <w:r w:rsidR="00AD3FB7" w:rsidRPr="00CF7716">
        <w:rPr>
          <w:color w:val="000000" w:themeColor="text1"/>
          <w:sz w:val="20"/>
          <w:szCs w:val="20"/>
        </w:rPr>
        <w:t xml:space="preserve"> Issues Paper 7 &lt;</w:t>
      </w:r>
      <w:r w:rsidR="00D33787" w:rsidRPr="00CF7716">
        <w:rPr>
          <w:color w:val="000000" w:themeColor="text1"/>
          <w:sz w:val="20"/>
          <w:szCs w:val="20"/>
        </w:rPr>
        <w:t>http://core.ac.uk/download/files/119/103642.pdf</w:t>
      </w:r>
      <w:r w:rsidR="00AD3FB7" w:rsidRPr="00CF7716">
        <w:rPr>
          <w:color w:val="000000" w:themeColor="text1"/>
          <w:sz w:val="20"/>
          <w:szCs w:val="20"/>
        </w:rPr>
        <w:t>&gt; accessed 1 June 2022.</w:t>
      </w:r>
    </w:p>
  </w:footnote>
  <w:footnote w:id="112">
    <w:p w14:paraId="0B734A82" w14:textId="38633D62" w:rsidR="00C31892" w:rsidRPr="00CF7716" w:rsidRDefault="00C31892"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C7510C" w:rsidRPr="00CF7716">
        <w:rPr>
          <w:color w:val="000000" w:themeColor="text1"/>
          <w:sz w:val="20"/>
          <w:szCs w:val="20"/>
        </w:rPr>
        <w:t xml:space="preserve">S </w:t>
      </w:r>
      <w:r w:rsidRPr="00CF7716">
        <w:rPr>
          <w:color w:val="000000" w:themeColor="text1"/>
          <w:sz w:val="20"/>
          <w:szCs w:val="20"/>
        </w:rPr>
        <w:t>Levitsky</w:t>
      </w:r>
      <w:r w:rsidR="00C7510C" w:rsidRPr="00CF7716">
        <w:rPr>
          <w:color w:val="000000" w:themeColor="text1"/>
          <w:sz w:val="20"/>
          <w:szCs w:val="20"/>
        </w:rPr>
        <w:t xml:space="preserve"> </w:t>
      </w:r>
      <w:r w:rsidRPr="00CF7716">
        <w:rPr>
          <w:color w:val="000000" w:themeColor="text1"/>
          <w:sz w:val="20"/>
          <w:szCs w:val="20"/>
        </w:rPr>
        <w:t>and M</w:t>
      </w:r>
      <w:r w:rsidR="00C7510C" w:rsidRPr="00CF7716">
        <w:rPr>
          <w:color w:val="000000" w:themeColor="text1"/>
          <w:sz w:val="20"/>
          <w:szCs w:val="20"/>
        </w:rPr>
        <w:t>V</w:t>
      </w:r>
      <w:r w:rsidRPr="00CF7716">
        <w:rPr>
          <w:color w:val="000000" w:themeColor="text1"/>
          <w:sz w:val="20"/>
          <w:szCs w:val="20"/>
        </w:rPr>
        <w:t xml:space="preserve"> Murillo</w:t>
      </w:r>
      <w:r w:rsidR="00C7510C" w:rsidRPr="00CF7716">
        <w:rPr>
          <w:color w:val="000000" w:themeColor="text1"/>
          <w:sz w:val="20"/>
          <w:szCs w:val="20"/>
        </w:rPr>
        <w:t>, ‘</w:t>
      </w:r>
      <w:r w:rsidRPr="00CF7716">
        <w:rPr>
          <w:color w:val="000000" w:themeColor="text1"/>
          <w:sz w:val="20"/>
          <w:szCs w:val="20"/>
        </w:rPr>
        <w:t xml:space="preserve">Variation in </w:t>
      </w:r>
      <w:r w:rsidR="00C7510C" w:rsidRPr="00CF7716">
        <w:rPr>
          <w:color w:val="000000" w:themeColor="text1"/>
          <w:sz w:val="20"/>
          <w:szCs w:val="20"/>
        </w:rPr>
        <w:t>I</w:t>
      </w:r>
      <w:r w:rsidRPr="00CF7716">
        <w:rPr>
          <w:color w:val="000000" w:themeColor="text1"/>
          <w:sz w:val="20"/>
          <w:szCs w:val="20"/>
        </w:rPr>
        <w:t xml:space="preserve">nstitutional </w:t>
      </w:r>
      <w:r w:rsidR="00C7510C" w:rsidRPr="00CF7716">
        <w:rPr>
          <w:color w:val="000000" w:themeColor="text1"/>
          <w:sz w:val="20"/>
          <w:szCs w:val="20"/>
        </w:rPr>
        <w:t>S</w:t>
      </w:r>
      <w:r w:rsidRPr="00CF7716">
        <w:rPr>
          <w:color w:val="000000" w:themeColor="text1"/>
          <w:sz w:val="20"/>
          <w:szCs w:val="20"/>
        </w:rPr>
        <w:t>trength</w:t>
      </w:r>
      <w:r w:rsidR="00C7510C" w:rsidRPr="00CF7716">
        <w:rPr>
          <w:color w:val="000000" w:themeColor="text1"/>
          <w:sz w:val="20"/>
          <w:szCs w:val="20"/>
        </w:rPr>
        <w:t>’ (2009) 12</w:t>
      </w:r>
      <w:r w:rsidRPr="00CF7716">
        <w:rPr>
          <w:color w:val="000000" w:themeColor="text1"/>
          <w:sz w:val="20"/>
          <w:szCs w:val="20"/>
        </w:rPr>
        <w:t xml:space="preserve"> </w:t>
      </w:r>
      <w:r w:rsidRPr="00CF7716">
        <w:rPr>
          <w:i/>
          <w:iCs/>
          <w:color w:val="000000" w:themeColor="text1"/>
          <w:sz w:val="20"/>
          <w:szCs w:val="20"/>
        </w:rPr>
        <w:t>Annual Review of Political Science</w:t>
      </w:r>
      <w:r w:rsidRPr="00CF7716">
        <w:rPr>
          <w:color w:val="000000" w:themeColor="text1"/>
          <w:sz w:val="20"/>
          <w:szCs w:val="20"/>
        </w:rPr>
        <w:t xml:space="preserve"> 115, </w:t>
      </w:r>
      <w:r w:rsidR="00B31A2E" w:rsidRPr="00CF7716">
        <w:rPr>
          <w:color w:val="000000" w:themeColor="text1"/>
          <w:sz w:val="20"/>
          <w:szCs w:val="20"/>
        </w:rPr>
        <w:t>123.</w:t>
      </w:r>
    </w:p>
  </w:footnote>
  <w:footnote w:id="113">
    <w:p w14:paraId="4D6FFF9D" w14:textId="41A3B4C8" w:rsidR="00B31A2E" w:rsidRPr="00CF7716" w:rsidRDefault="00B31A2E"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0016568F" w:rsidRPr="00CF7716">
        <w:rPr>
          <w:rFonts w:ascii="Times New Roman" w:hAnsi="Times New Roman" w:cs="Times New Roman"/>
          <w:color w:val="000000" w:themeColor="text1"/>
        </w:rPr>
        <w:t>ibid</w:t>
      </w:r>
      <w:r w:rsidRPr="00CF7716">
        <w:rPr>
          <w:rFonts w:ascii="Times New Roman" w:hAnsi="Times New Roman" w:cs="Times New Roman"/>
          <w:color w:val="000000" w:themeColor="text1"/>
        </w:rPr>
        <w:t xml:space="preserve"> 12</w:t>
      </w:r>
      <w:r w:rsidR="0016568F" w:rsidRPr="00CF7716">
        <w:rPr>
          <w:rFonts w:ascii="Times New Roman" w:hAnsi="Times New Roman" w:cs="Times New Roman"/>
          <w:color w:val="000000" w:themeColor="text1"/>
        </w:rPr>
        <w:t>.</w:t>
      </w:r>
    </w:p>
  </w:footnote>
  <w:footnote w:id="114">
    <w:p w14:paraId="121BFFD0" w14:textId="2E706D07" w:rsidR="00E2329D" w:rsidRPr="00CF7716" w:rsidRDefault="00E2329D"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E</w:t>
      </w:r>
      <w:r w:rsidR="00C71893" w:rsidRPr="00CF7716">
        <w:rPr>
          <w:rFonts w:ascii="Times New Roman" w:hAnsi="Times New Roman" w:cs="Times New Roman"/>
          <w:color w:val="000000" w:themeColor="text1"/>
        </w:rPr>
        <w:t xml:space="preserve"> </w:t>
      </w:r>
      <w:r w:rsidRPr="00CF7716">
        <w:rPr>
          <w:rFonts w:ascii="Times New Roman" w:eastAsia="Times New Roman" w:hAnsi="Times New Roman" w:cs="Times New Roman"/>
          <w:color w:val="000000" w:themeColor="text1"/>
          <w:lang w:eastAsia="en-GB"/>
        </w:rPr>
        <w:t>Laws,</w:t>
      </w:r>
      <w:r w:rsidR="00C71893" w:rsidRPr="00CF7716">
        <w:rPr>
          <w:rFonts w:ascii="Times New Roman" w:eastAsia="Times New Roman" w:hAnsi="Times New Roman" w:cs="Times New Roman"/>
          <w:color w:val="000000" w:themeColor="text1"/>
          <w:lang w:eastAsia="en-GB"/>
        </w:rPr>
        <w:t xml:space="preserve"> </w:t>
      </w:r>
      <w:r w:rsidRPr="00CF7716">
        <w:rPr>
          <w:rFonts w:ascii="Times New Roman" w:eastAsia="Times New Roman" w:hAnsi="Times New Roman" w:cs="Times New Roman"/>
          <w:i/>
          <w:iCs/>
          <w:color w:val="000000" w:themeColor="text1"/>
          <w:lang w:eastAsia="en-GB"/>
        </w:rPr>
        <w:t xml:space="preserve">Political </w:t>
      </w:r>
      <w:r w:rsidR="00C71893" w:rsidRPr="00CF7716">
        <w:rPr>
          <w:rFonts w:ascii="Times New Roman" w:eastAsia="Times New Roman" w:hAnsi="Times New Roman" w:cs="Times New Roman"/>
          <w:i/>
          <w:iCs/>
          <w:color w:val="000000" w:themeColor="text1"/>
          <w:lang w:eastAsia="en-GB"/>
        </w:rPr>
        <w:t>S</w:t>
      </w:r>
      <w:r w:rsidRPr="00CF7716">
        <w:rPr>
          <w:rFonts w:ascii="Times New Roman" w:eastAsia="Times New Roman" w:hAnsi="Times New Roman" w:cs="Times New Roman"/>
          <w:i/>
          <w:iCs/>
          <w:color w:val="000000" w:themeColor="text1"/>
          <w:lang w:eastAsia="en-GB"/>
        </w:rPr>
        <w:t xml:space="preserve">ettlements, </w:t>
      </w:r>
      <w:r w:rsidR="00C71893" w:rsidRPr="00CF7716">
        <w:rPr>
          <w:rFonts w:ascii="Times New Roman" w:eastAsia="Times New Roman" w:hAnsi="Times New Roman" w:cs="Times New Roman"/>
          <w:i/>
          <w:iCs/>
          <w:color w:val="000000" w:themeColor="text1"/>
          <w:lang w:eastAsia="en-GB"/>
        </w:rPr>
        <w:t>E</w:t>
      </w:r>
      <w:r w:rsidRPr="00CF7716">
        <w:rPr>
          <w:rFonts w:ascii="Times New Roman" w:eastAsia="Times New Roman" w:hAnsi="Times New Roman" w:cs="Times New Roman"/>
          <w:i/>
          <w:iCs/>
          <w:color w:val="000000" w:themeColor="text1"/>
          <w:lang w:eastAsia="en-GB"/>
        </w:rPr>
        <w:t xml:space="preserve">lite </w:t>
      </w:r>
      <w:r w:rsidR="00C71893" w:rsidRPr="00CF7716">
        <w:rPr>
          <w:rFonts w:ascii="Times New Roman" w:eastAsia="Times New Roman" w:hAnsi="Times New Roman" w:cs="Times New Roman"/>
          <w:i/>
          <w:iCs/>
          <w:color w:val="000000" w:themeColor="text1"/>
          <w:lang w:eastAsia="en-GB"/>
        </w:rPr>
        <w:t>P</w:t>
      </w:r>
      <w:r w:rsidRPr="00CF7716">
        <w:rPr>
          <w:rFonts w:ascii="Times New Roman" w:eastAsia="Times New Roman" w:hAnsi="Times New Roman" w:cs="Times New Roman"/>
          <w:i/>
          <w:iCs/>
          <w:color w:val="000000" w:themeColor="text1"/>
          <w:lang w:eastAsia="en-GB"/>
        </w:rPr>
        <w:t xml:space="preserve">acts, and </w:t>
      </w:r>
      <w:r w:rsidR="00C71893" w:rsidRPr="00CF7716">
        <w:rPr>
          <w:rFonts w:ascii="Times New Roman" w:eastAsia="Times New Roman" w:hAnsi="Times New Roman" w:cs="Times New Roman"/>
          <w:i/>
          <w:iCs/>
          <w:color w:val="000000" w:themeColor="text1"/>
          <w:lang w:eastAsia="en-GB"/>
        </w:rPr>
        <w:t>G</w:t>
      </w:r>
      <w:r w:rsidRPr="00CF7716">
        <w:rPr>
          <w:rFonts w:ascii="Times New Roman" w:eastAsia="Times New Roman" w:hAnsi="Times New Roman" w:cs="Times New Roman"/>
          <w:i/>
          <w:iCs/>
          <w:color w:val="000000" w:themeColor="text1"/>
          <w:lang w:eastAsia="en-GB"/>
        </w:rPr>
        <w:t xml:space="preserve">overnments of </w:t>
      </w:r>
      <w:r w:rsidR="00C71893" w:rsidRPr="00CF7716">
        <w:rPr>
          <w:rFonts w:ascii="Times New Roman" w:eastAsia="Times New Roman" w:hAnsi="Times New Roman" w:cs="Times New Roman"/>
          <w:i/>
          <w:iCs/>
          <w:color w:val="000000" w:themeColor="text1"/>
          <w:lang w:eastAsia="en-GB"/>
        </w:rPr>
        <w:t>N</w:t>
      </w:r>
      <w:r w:rsidRPr="00CF7716">
        <w:rPr>
          <w:rFonts w:ascii="Times New Roman" w:eastAsia="Times New Roman" w:hAnsi="Times New Roman" w:cs="Times New Roman"/>
          <w:i/>
          <w:iCs/>
          <w:color w:val="000000" w:themeColor="text1"/>
          <w:lang w:eastAsia="en-GB"/>
        </w:rPr>
        <w:t xml:space="preserve">ational </w:t>
      </w:r>
      <w:r w:rsidR="00C71893" w:rsidRPr="00CF7716">
        <w:rPr>
          <w:rFonts w:ascii="Times New Roman" w:eastAsia="Times New Roman" w:hAnsi="Times New Roman" w:cs="Times New Roman"/>
          <w:i/>
          <w:iCs/>
          <w:color w:val="000000" w:themeColor="text1"/>
          <w:lang w:eastAsia="en-GB"/>
        </w:rPr>
        <w:t>U</w:t>
      </w:r>
      <w:r w:rsidRPr="00CF7716">
        <w:rPr>
          <w:rFonts w:ascii="Times New Roman" w:eastAsia="Times New Roman" w:hAnsi="Times New Roman" w:cs="Times New Roman"/>
          <w:i/>
          <w:iCs/>
          <w:color w:val="000000" w:themeColor="text1"/>
          <w:lang w:eastAsia="en-GB"/>
        </w:rPr>
        <w:t>nity</w:t>
      </w:r>
      <w:r w:rsidR="00C71893" w:rsidRPr="00CF7716">
        <w:rPr>
          <w:rFonts w:ascii="Times New Roman" w:eastAsia="Times New Roman" w:hAnsi="Times New Roman" w:cs="Times New Roman"/>
          <w:i/>
          <w:iCs/>
          <w:color w:val="000000" w:themeColor="text1"/>
          <w:lang w:eastAsia="en-GB"/>
        </w:rPr>
        <w:t>:</w:t>
      </w:r>
      <w:r w:rsidRPr="00CF7716">
        <w:rPr>
          <w:rFonts w:ascii="Times New Roman" w:eastAsia="Times New Roman" w:hAnsi="Times New Roman" w:cs="Times New Roman"/>
          <w:i/>
          <w:iCs/>
          <w:color w:val="000000" w:themeColor="text1"/>
          <w:lang w:eastAsia="en-GB"/>
        </w:rPr>
        <w:t xml:space="preserve"> A Conceptual Study</w:t>
      </w:r>
      <w:r w:rsidR="00C71893" w:rsidRPr="00CF7716">
        <w:rPr>
          <w:rFonts w:ascii="Times New Roman" w:eastAsia="Times New Roman" w:hAnsi="Times New Roman" w:cs="Times New Roman"/>
          <w:color w:val="000000" w:themeColor="text1"/>
          <w:lang w:eastAsia="en-GB"/>
        </w:rPr>
        <w:t xml:space="preserve"> (</w:t>
      </w:r>
      <w:r w:rsidR="00E26B93">
        <w:rPr>
          <w:rFonts w:ascii="Times New Roman" w:eastAsia="Times New Roman" w:hAnsi="Times New Roman" w:cs="Times New Roman"/>
          <w:color w:val="000000" w:themeColor="text1"/>
          <w:lang w:eastAsia="en-GB"/>
        </w:rPr>
        <w:t xml:space="preserve">London, </w:t>
      </w:r>
      <w:r w:rsidRPr="00CF7716">
        <w:rPr>
          <w:rFonts w:ascii="Times New Roman" w:eastAsia="Times New Roman" w:hAnsi="Times New Roman" w:cs="Times New Roman"/>
          <w:color w:val="000000" w:themeColor="text1"/>
          <w:lang w:eastAsia="en-GB"/>
        </w:rPr>
        <w:t xml:space="preserve">Developmental Leadership Program 2012) </w:t>
      </w:r>
      <w:r w:rsidR="00CB55C8" w:rsidRPr="00CF7716">
        <w:rPr>
          <w:rFonts w:ascii="Times New Roman" w:eastAsia="Times New Roman" w:hAnsi="Times New Roman" w:cs="Times New Roman"/>
          <w:color w:val="000000" w:themeColor="text1"/>
          <w:lang w:eastAsia="en-GB"/>
        </w:rPr>
        <w:t>6-7.</w:t>
      </w:r>
    </w:p>
  </w:footnote>
  <w:footnote w:id="115">
    <w:p w14:paraId="6EED260D" w14:textId="1CE18BD6" w:rsidR="00E2329D" w:rsidRPr="00CF7716" w:rsidRDefault="00E2329D"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See </w:t>
      </w:r>
      <w:r w:rsidR="0016568F" w:rsidRPr="00CF7716">
        <w:rPr>
          <w:rFonts w:ascii="Times New Roman" w:hAnsi="Times New Roman" w:cs="Times New Roman"/>
          <w:color w:val="000000" w:themeColor="text1"/>
        </w:rPr>
        <w:t>text at n 13.</w:t>
      </w:r>
    </w:p>
  </w:footnote>
  <w:footnote w:id="116">
    <w:p w14:paraId="4CE5026E" w14:textId="1555E0FB" w:rsidR="00CB55C8" w:rsidRPr="00CF7716" w:rsidRDefault="00CB55C8"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D Booth et al, </w:t>
      </w:r>
      <w:r w:rsidRPr="00CF7716">
        <w:rPr>
          <w:rFonts w:ascii="Times New Roman" w:hAnsi="Times New Roman" w:cs="Times New Roman"/>
          <w:i/>
          <w:iCs/>
          <w:color w:val="000000" w:themeColor="text1"/>
        </w:rPr>
        <w:t xml:space="preserve">Developmental Regimes in Africa: Initiating and Sustaining Developmental Regimes in Africa </w:t>
      </w:r>
      <w:r w:rsidRPr="00CF7716">
        <w:rPr>
          <w:rFonts w:ascii="Times New Roman" w:hAnsi="Times New Roman" w:cs="Times New Roman"/>
          <w:color w:val="000000" w:themeColor="text1"/>
        </w:rPr>
        <w:t>(</w:t>
      </w:r>
      <w:r w:rsidR="00E26B93">
        <w:rPr>
          <w:rFonts w:ascii="Times New Roman" w:hAnsi="Times New Roman" w:cs="Times New Roman"/>
          <w:color w:val="000000" w:themeColor="text1"/>
        </w:rPr>
        <w:t xml:space="preserve">London, </w:t>
      </w:r>
      <w:r w:rsidRPr="00CF7716">
        <w:rPr>
          <w:rFonts w:ascii="Times New Roman" w:hAnsi="Times New Roman" w:cs="Times New Roman"/>
          <w:color w:val="000000" w:themeColor="text1"/>
        </w:rPr>
        <w:t xml:space="preserve">Overseas Development </w:t>
      </w:r>
      <w:r w:rsidR="00C71893" w:rsidRPr="00CF7716">
        <w:rPr>
          <w:rFonts w:ascii="Times New Roman" w:hAnsi="Times New Roman" w:cs="Times New Roman"/>
          <w:color w:val="000000" w:themeColor="text1"/>
        </w:rPr>
        <w:t>Institute</w:t>
      </w:r>
      <w:r w:rsidRPr="00CF7716">
        <w:rPr>
          <w:rFonts w:ascii="Times New Roman" w:hAnsi="Times New Roman" w:cs="Times New Roman"/>
          <w:color w:val="000000" w:themeColor="text1"/>
        </w:rPr>
        <w:t xml:space="preserve"> 2015) 33.</w:t>
      </w:r>
    </w:p>
  </w:footnote>
  <w:footnote w:id="117">
    <w:p w14:paraId="5810C615" w14:textId="1710EBAC" w:rsidR="00C948BF" w:rsidRPr="00CF7716" w:rsidRDefault="00C948BF"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Laws</w:t>
      </w:r>
      <w:r w:rsidR="0016568F" w:rsidRPr="00CF7716">
        <w:rPr>
          <w:color w:val="000000" w:themeColor="text1"/>
          <w:sz w:val="20"/>
          <w:szCs w:val="20"/>
        </w:rPr>
        <w:t xml:space="preserve"> (n 114)</w:t>
      </w:r>
      <w:r w:rsidRPr="00CF7716">
        <w:rPr>
          <w:color w:val="000000" w:themeColor="text1"/>
          <w:sz w:val="20"/>
          <w:szCs w:val="20"/>
        </w:rPr>
        <w:t xml:space="preserve"> 7</w:t>
      </w:r>
      <w:r w:rsidR="0016568F" w:rsidRPr="00CF7716">
        <w:rPr>
          <w:color w:val="000000" w:themeColor="text1"/>
          <w:sz w:val="20"/>
          <w:szCs w:val="20"/>
        </w:rPr>
        <w:t>.</w:t>
      </w:r>
    </w:p>
  </w:footnote>
  <w:footnote w:id="118">
    <w:p w14:paraId="03E89F71" w14:textId="0B37225A" w:rsidR="00A63192" w:rsidRPr="00CF7716" w:rsidRDefault="00A63192"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A</w:t>
      </w:r>
      <w:r w:rsidR="0004661E" w:rsidRPr="00CF7716">
        <w:rPr>
          <w:rFonts w:ascii="Times New Roman" w:hAnsi="Times New Roman" w:cs="Times New Roman"/>
          <w:color w:val="000000" w:themeColor="text1"/>
        </w:rPr>
        <w:t xml:space="preserve"> </w:t>
      </w:r>
      <w:r w:rsidRPr="00CF7716">
        <w:rPr>
          <w:rFonts w:ascii="Times New Roman" w:eastAsia="Times New Roman" w:hAnsi="Times New Roman" w:cs="Times New Roman"/>
          <w:color w:val="000000" w:themeColor="text1"/>
          <w:lang w:eastAsia="en-GB"/>
        </w:rPr>
        <w:t xml:space="preserve">Whaites, </w:t>
      </w:r>
      <w:r w:rsidRPr="00CF7716">
        <w:rPr>
          <w:rFonts w:ascii="Times New Roman" w:eastAsia="Times New Roman" w:hAnsi="Times New Roman" w:cs="Times New Roman"/>
          <w:i/>
          <w:iCs/>
          <w:color w:val="000000" w:themeColor="text1"/>
          <w:lang w:eastAsia="en-GB"/>
        </w:rPr>
        <w:t>States in Development: Understanding State-building</w:t>
      </w:r>
      <w:r w:rsidR="0004661E" w:rsidRPr="00CF7716">
        <w:rPr>
          <w:rFonts w:ascii="Times New Roman" w:eastAsia="Times New Roman" w:hAnsi="Times New Roman" w:cs="Times New Roman"/>
          <w:color w:val="000000" w:themeColor="text1"/>
          <w:lang w:eastAsia="en-GB"/>
        </w:rPr>
        <w:t xml:space="preserve"> (</w:t>
      </w:r>
      <w:r w:rsidR="00E26B93">
        <w:rPr>
          <w:rFonts w:ascii="Times New Roman" w:eastAsia="Times New Roman" w:hAnsi="Times New Roman" w:cs="Times New Roman"/>
          <w:color w:val="000000" w:themeColor="text1"/>
          <w:lang w:eastAsia="en-GB"/>
        </w:rPr>
        <w:t xml:space="preserve">London, </w:t>
      </w:r>
      <w:r w:rsidRPr="00CF7716">
        <w:rPr>
          <w:rFonts w:ascii="Times New Roman" w:eastAsia="Times New Roman" w:hAnsi="Times New Roman" w:cs="Times New Roman"/>
          <w:color w:val="000000" w:themeColor="text1"/>
          <w:lang w:eastAsia="en-GB"/>
        </w:rPr>
        <w:t xml:space="preserve">DFID, </w:t>
      </w:r>
      <w:r w:rsidR="0004661E" w:rsidRPr="00CF7716">
        <w:rPr>
          <w:rFonts w:ascii="Times New Roman" w:eastAsia="Times New Roman" w:hAnsi="Times New Roman" w:cs="Times New Roman"/>
          <w:color w:val="000000" w:themeColor="text1"/>
          <w:lang w:eastAsia="en-GB"/>
        </w:rPr>
        <w:t>2008)</w:t>
      </w:r>
      <w:r w:rsidRPr="00CF7716">
        <w:rPr>
          <w:rFonts w:ascii="Times New Roman" w:eastAsia="Times New Roman" w:hAnsi="Times New Roman" w:cs="Times New Roman"/>
          <w:color w:val="000000" w:themeColor="text1"/>
          <w:lang w:eastAsia="en-GB"/>
        </w:rPr>
        <w:t xml:space="preserve"> 10</w:t>
      </w:r>
      <w:r w:rsidR="0004661E" w:rsidRPr="00CF7716">
        <w:rPr>
          <w:rFonts w:ascii="Times New Roman" w:eastAsia="Times New Roman" w:hAnsi="Times New Roman" w:cs="Times New Roman"/>
          <w:color w:val="000000" w:themeColor="text1"/>
          <w:lang w:eastAsia="en-GB"/>
        </w:rPr>
        <w:t>.</w:t>
      </w:r>
    </w:p>
  </w:footnote>
  <w:footnote w:id="119">
    <w:p w14:paraId="54BB6A90" w14:textId="4DAC5BAC" w:rsidR="00A84FEB" w:rsidRPr="00CF7716" w:rsidRDefault="00A84FEB"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Parks and Cole</w:t>
      </w:r>
      <w:r w:rsidR="0016568F" w:rsidRPr="00CF7716">
        <w:rPr>
          <w:rFonts w:ascii="Times New Roman" w:hAnsi="Times New Roman" w:cs="Times New Roman"/>
          <w:color w:val="000000" w:themeColor="text1"/>
        </w:rPr>
        <w:t xml:space="preserve"> (n 29) </w:t>
      </w:r>
      <w:r w:rsidRPr="00CF7716">
        <w:rPr>
          <w:rFonts w:ascii="Times New Roman" w:hAnsi="Times New Roman" w:cs="Times New Roman"/>
          <w:color w:val="000000" w:themeColor="text1"/>
        </w:rPr>
        <w:t>2.</w:t>
      </w:r>
    </w:p>
  </w:footnote>
  <w:footnote w:id="120">
    <w:p w14:paraId="2FD5AB94" w14:textId="1DC8017A" w:rsidR="0006377B" w:rsidRPr="00CF7716" w:rsidRDefault="0006377B"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6B7C5A" w:rsidRPr="00CF7716">
        <w:rPr>
          <w:color w:val="000000" w:themeColor="text1"/>
          <w:sz w:val="20"/>
          <w:szCs w:val="20"/>
        </w:rPr>
        <w:t xml:space="preserve">Department for International Development, </w:t>
      </w:r>
      <w:r w:rsidR="006B7C5A" w:rsidRPr="00CF7716">
        <w:rPr>
          <w:i/>
          <w:iCs/>
          <w:color w:val="000000" w:themeColor="text1"/>
          <w:sz w:val="20"/>
          <w:szCs w:val="20"/>
        </w:rPr>
        <w:t>Building Peaceful States and Societies: DFID Practice Paper</w:t>
      </w:r>
      <w:r w:rsidR="006B7C5A" w:rsidRPr="00CF7716">
        <w:rPr>
          <w:color w:val="000000" w:themeColor="text1"/>
          <w:sz w:val="20"/>
          <w:szCs w:val="20"/>
        </w:rPr>
        <w:t xml:space="preserve"> (</w:t>
      </w:r>
      <w:r w:rsidR="00E26B93">
        <w:rPr>
          <w:color w:val="000000" w:themeColor="text1"/>
          <w:sz w:val="20"/>
          <w:szCs w:val="20"/>
        </w:rPr>
        <w:t xml:space="preserve">London, </w:t>
      </w:r>
      <w:r w:rsidR="006B7C5A" w:rsidRPr="00CF7716">
        <w:rPr>
          <w:color w:val="000000" w:themeColor="text1"/>
          <w:sz w:val="20"/>
          <w:szCs w:val="20"/>
        </w:rPr>
        <w:t>DFID, 2010).</w:t>
      </w:r>
    </w:p>
  </w:footnote>
  <w:footnote w:id="121">
    <w:p w14:paraId="5898F61B" w14:textId="2C477781" w:rsidR="001F0AA5" w:rsidRPr="00CF7716" w:rsidRDefault="001F0AA5"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16568F" w:rsidRPr="00CF7716">
        <w:rPr>
          <w:color w:val="000000" w:themeColor="text1"/>
          <w:sz w:val="20"/>
          <w:szCs w:val="20"/>
        </w:rPr>
        <w:t>OECD (n 5)</w:t>
      </w:r>
    </w:p>
  </w:footnote>
  <w:footnote w:id="122">
    <w:p w14:paraId="26333D0E" w14:textId="46E3DC86" w:rsidR="00066AFA" w:rsidRPr="00CF7716" w:rsidRDefault="00066AFA"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C7510C" w:rsidRPr="00CF7716">
        <w:rPr>
          <w:color w:val="000000" w:themeColor="text1"/>
          <w:sz w:val="20"/>
          <w:szCs w:val="20"/>
        </w:rPr>
        <w:t xml:space="preserve">N </w:t>
      </w:r>
      <w:r w:rsidRPr="00CF7716">
        <w:rPr>
          <w:color w:val="000000" w:themeColor="text1"/>
          <w:sz w:val="20"/>
          <w:szCs w:val="20"/>
        </w:rPr>
        <w:t xml:space="preserve">Oppong, </w:t>
      </w:r>
      <w:r w:rsidR="00C7510C" w:rsidRPr="00CF7716">
        <w:rPr>
          <w:color w:val="000000" w:themeColor="text1"/>
          <w:sz w:val="20"/>
          <w:szCs w:val="20"/>
        </w:rPr>
        <w:t>‘</w:t>
      </w:r>
      <w:r w:rsidRPr="00CF7716">
        <w:rPr>
          <w:color w:val="000000" w:themeColor="text1"/>
          <w:sz w:val="20"/>
          <w:szCs w:val="20"/>
        </w:rPr>
        <w:t xml:space="preserve">Does </w:t>
      </w:r>
      <w:r w:rsidR="00C7510C" w:rsidRPr="00CF7716">
        <w:rPr>
          <w:color w:val="000000" w:themeColor="text1"/>
          <w:sz w:val="20"/>
          <w:szCs w:val="20"/>
        </w:rPr>
        <w:t>P</w:t>
      </w:r>
      <w:r w:rsidRPr="00CF7716">
        <w:rPr>
          <w:color w:val="000000" w:themeColor="text1"/>
          <w:sz w:val="20"/>
          <w:szCs w:val="20"/>
        </w:rPr>
        <w:t xml:space="preserve">olitical </w:t>
      </w:r>
      <w:r w:rsidR="00C7510C" w:rsidRPr="00CF7716">
        <w:rPr>
          <w:color w:val="000000" w:themeColor="text1"/>
          <w:sz w:val="20"/>
          <w:szCs w:val="20"/>
        </w:rPr>
        <w:t>S</w:t>
      </w:r>
      <w:r w:rsidRPr="00CF7716">
        <w:rPr>
          <w:color w:val="000000" w:themeColor="text1"/>
          <w:sz w:val="20"/>
          <w:szCs w:val="20"/>
        </w:rPr>
        <w:t xml:space="preserve">ettlements </w:t>
      </w:r>
      <w:r w:rsidR="00C7510C" w:rsidRPr="00CF7716">
        <w:rPr>
          <w:color w:val="000000" w:themeColor="text1"/>
          <w:sz w:val="20"/>
          <w:szCs w:val="20"/>
        </w:rPr>
        <w:t>A</w:t>
      </w:r>
      <w:r w:rsidRPr="00CF7716">
        <w:rPr>
          <w:color w:val="000000" w:themeColor="text1"/>
          <w:sz w:val="20"/>
          <w:szCs w:val="20"/>
        </w:rPr>
        <w:t xml:space="preserve">nalysis </w:t>
      </w:r>
      <w:r w:rsidR="00C7510C" w:rsidRPr="00CF7716">
        <w:rPr>
          <w:color w:val="000000" w:themeColor="text1"/>
          <w:sz w:val="20"/>
          <w:szCs w:val="20"/>
        </w:rPr>
        <w:t>C</w:t>
      </w:r>
      <w:r w:rsidRPr="00CF7716">
        <w:rPr>
          <w:color w:val="000000" w:themeColor="text1"/>
          <w:sz w:val="20"/>
          <w:szCs w:val="20"/>
        </w:rPr>
        <w:t xml:space="preserve">apture the </w:t>
      </w:r>
      <w:r w:rsidR="00C7510C" w:rsidRPr="00CF7716">
        <w:rPr>
          <w:color w:val="000000" w:themeColor="text1"/>
          <w:sz w:val="20"/>
          <w:szCs w:val="20"/>
        </w:rPr>
        <w:t>U</w:t>
      </w:r>
      <w:r w:rsidRPr="00CF7716">
        <w:rPr>
          <w:color w:val="000000" w:themeColor="text1"/>
          <w:sz w:val="20"/>
          <w:szCs w:val="20"/>
        </w:rPr>
        <w:t xml:space="preserve">nsettling </w:t>
      </w:r>
      <w:r w:rsidR="00C7510C" w:rsidRPr="00CF7716">
        <w:rPr>
          <w:color w:val="000000" w:themeColor="text1"/>
          <w:sz w:val="20"/>
          <w:szCs w:val="20"/>
        </w:rPr>
        <w:t>P</w:t>
      </w:r>
      <w:r w:rsidRPr="00CF7716">
        <w:rPr>
          <w:color w:val="000000" w:themeColor="text1"/>
          <w:sz w:val="20"/>
          <w:szCs w:val="20"/>
        </w:rPr>
        <w:t xml:space="preserve">olitics of </w:t>
      </w:r>
      <w:r w:rsidR="00C7510C" w:rsidRPr="00CF7716">
        <w:rPr>
          <w:color w:val="000000" w:themeColor="text1"/>
          <w:sz w:val="20"/>
          <w:szCs w:val="20"/>
        </w:rPr>
        <w:t>O</w:t>
      </w:r>
      <w:r w:rsidRPr="00CF7716">
        <w:rPr>
          <w:color w:val="000000" w:themeColor="text1"/>
          <w:sz w:val="20"/>
          <w:szCs w:val="20"/>
        </w:rPr>
        <w:t>il in Africa?</w:t>
      </w:r>
      <w:r w:rsidR="00C7510C" w:rsidRPr="00CF7716">
        <w:rPr>
          <w:color w:val="000000" w:themeColor="text1"/>
          <w:sz w:val="20"/>
          <w:szCs w:val="20"/>
        </w:rPr>
        <w:t xml:space="preserve">’ (2020) 47 </w:t>
      </w:r>
      <w:r w:rsidRPr="00CF7716">
        <w:rPr>
          <w:i/>
          <w:iCs/>
          <w:color w:val="000000" w:themeColor="text1"/>
          <w:sz w:val="20"/>
          <w:szCs w:val="20"/>
        </w:rPr>
        <w:t>Review of African Political Economy</w:t>
      </w:r>
      <w:r w:rsidRPr="00CF7716">
        <w:rPr>
          <w:color w:val="000000" w:themeColor="text1"/>
          <w:sz w:val="20"/>
          <w:szCs w:val="20"/>
        </w:rPr>
        <w:t xml:space="preserve"> 676, 676</w:t>
      </w:r>
      <w:r w:rsidR="00C7510C" w:rsidRPr="00CF7716">
        <w:rPr>
          <w:color w:val="000000" w:themeColor="text1"/>
          <w:sz w:val="20"/>
          <w:szCs w:val="20"/>
        </w:rPr>
        <w:t>.</w:t>
      </w:r>
    </w:p>
  </w:footnote>
  <w:footnote w:id="123">
    <w:p w14:paraId="01278A84" w14:textId="61464DE8" w:rsidR="0033144F" w:rsidRPr="00CF7716" w:rsidRDefault="0033144F"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T Kelsall and M vom Hau, </w:t>
      </w:r>
      <w:r w:rsidRPr="00CF7716">
        <w:rPr>
          <w:i/>
          <w:iCs/>
          <w:color w:val="000000" w:themeColor="text1"/>
          <w:sz w:val="20"/>
          <w:szCs w:val="20"/>
        </w:rPr>
        <w:t xml:space="preserve">Beyond </w:t>
      </w:r>
      <w:r w:rsidR="00C71893" w:rsidRPr="00CF7716">
        <w:rPr>
          <w:i/>
          <w:iCs/>
          <w:color w:val="000000" w:themeColor="text1"/>
          <w:sz w:val="20"/>
          <w:szCs w:val="20"/>
        </w:rPr>
        <w:t>I</w:t>
      </w:r>
      <w:r w:rsidRPr="00CF7716">
        <w:rPr>
          <w:i/>
          <w:iCs/>
          <w:color w:val="000000" w:themeColor="text1"/>
          <w:sz w:val="20"/>
          <w:szCs w:val="20"/>
        </w:rPr>
        <w:t xml:space="preserve">nstitutions: Political </w:t>
      </w:r>
      <w:r w:rsidR="00C71893" w:rsidRPr="00CF7716">
        <w:rPr>
          <w:i/>
          <w:iCs/>
          <w:color w:val="000000" w:themeColor="text1"/>
          <w:sz w:val="20"/>
          <w:szCs w:val="20"/>
        </w:rPr>
        <w:t>S</w:t>
      </w:r>
      <w:r w:rsidRPr="00CF7716">
        <w:rPr>
          <w:i/>
          <w:iCs/>
          <w:color w:val="000000" w:themeColor="text1"/>
          <w:sz w:val="20"/>
          <w:szCs w:val="20"/>
        </w:rPr>
        <w:t xml:space="preserve">ettlements </w:t>
      </w:r>
      <w:r w:rsidR="00C71893" w:rsidRPr="00CF7716">
        <w:rPr>
          <w:i/>
          <w:iCs/>
          <w:color w:val="000000" w:themeColor="text1"/>
          <w:sz w:val="20"/>
          <w:szCs w:val="20"/>
        </w:rPr>
        <w:t>A</w:t>
      </w:r>
      <w:r w:rsidRPr="00CF7716">
        <w:rPr>
          <w:i/>
          <w:iCs/>
          <w:color w:val="000000" w:themeColor="text1"/>
          <w:sz w:val="20"/>
          <w:szCs w:val="20"/>
        </w:rPr>
        <w:t xml:space="preserve">nalysis and </w:t>
      </w:r>
      <w:r w:rsidR="00C71893" w:rsidRPr="00CF7716">
        <w:rPr>
          <w:i/>
          <w:iCs/>
          <w:color w:val="000000" w:themeColor="text1"/>
          <w:sz w:val="20"/>
          <w:szCs w:val="20"/>
        </w:rPr>
        <w:t>D</w:t>
      </w:r>
      <w:r w:rsidRPr="00CF7716">
        <w:rPr>
          <w:i/>
          <w:iCs/>
          <w:color w:val="000000" w:themeColor="text1"/>
          <w:sz w:val="20"/>
          <w:szCs w:val="20"/>
        </w:rPr>
        <w:t>evelopment</w:t>
      </w:r>
      <w:r w:rsidR="00C71893" w:rsidRPr="00CF7716">
        <w:rPr>
          <w:i/>
          <w:iCs/>
          <w:color w:val="000000" w:themeColor="text1"/>
          <w:sz w:val="20"/>
          <w:szCs w:val="20"/>
        </w:rPr>
        <w:t xml:space="preserve"> </w:t>
      </w:r>
      <w:r w:rsidR="00C71893" w:rsidRPr="00CF7716">
        <w:rPr>
          <w:color w:val="000000" w:themeColor="text1"/>
          <w:sz w:val="20"/>
          <w:szCs w:val="20"/>
        </w:rPr>
        <w:t>(</w:t>
      </w:r>
      <w:r w:rsidR="00E26B93">
        <w:rPr>
          <w:color w:val="000000" w:themeColor="text1"/>
          <w:sz w:val="20"/>
          <w:szCs w:val="20"/>
        </w:rPr>
        <w:t xml:space="preserve">Barcelona, </w:t>
      </w:r>
      <w:r w:rsidRPr="00CF7716">
        <w:rPr>
          <w:color w:val="000000" w:themeColor="text1"/>
          <w:sz w:val="20"/>
          <w:szCs w:val="20"/>
        </w:rPr>
        <w:t>Institut Barcelona Estudis Internacionals</w:t>
      </w:r>
      <w:r w:rsidR="00E26B93">
        <w:rPr>
          <w:color w:val="000000" w:themeColor="text1"/>
          <w:sz w:val="20"/>
          <w:szCs w:val="20"/>
        </w:rPr>
        <w:t>,</w:t>
      </w:r>
      <w:r w:rsidRPr="00CF7716">
        <w:rPr>
          <w:color w:val="000000" w:themeColor="text1"/>
          <w:sz w:val="20"/>
          <w:szCs w:val="20"/>
        </w:rPr>
        <w:t xml:space="preserve"> 2020) 4.</w:t>
      </w:r>
    </w:p>
  </w:footnote>
  <w:footnote w:id="124">
    <w:p w14:paraId="6EAF8AEF" w14:textId="45022F7F" w:rsidR="00A753ED" w:rsidRPr="00CF7716" w:rsidRDefault="00A753ED"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009D150C" w:rsidRPr="00CF7716">
        <w:rPr>
          <w:rFonts w:ascii="Times New Roman" w:hAnsi="Times New Roman" w:cs="Times New Roman"/>
          <w:color w:val="000000" w:themeColor="text1"/>
        </w:rPr>
        <w:t xml:space="preserve">C Bell and J Pospisil, ‘Navigating Inclusion in Transitions from Conflict: The Formalised Political Unsettlement’ (2017) 29 </w:t>
      </w:r>
      <w:r w:rsidR="009D150C" w:rsidRPr="00CF7716">
        <w:rPr>
          <w:rFonts w:ascii="Times New Roman" w:hAnsi="Times New Roman" w:cs="Times New Roman"/>
          <w:i/>
          <w:iCs/>
          <w:color w:val="000000" w:themeColor="text1"/>
        </w:rPr>
        <w:t>Journal of International Development</w:t>
      </w:r>
      <w:r w:rsidR="009D150C" w:rsidRPr="00CF7716">
        <w:rPr>
          <w:rFonts w:ascii="Times New Roman" w:hAnsi="Times New Roman" w:cs="Times New Roman"/>
          <w:color w:val="000000" w:themeColor="text1"/>
        </w:rPr>
        <w:t xml:space="preserve"> 576, </w:t>
      </w:r>
      <w:r w:rsidRPr="00CF7716">
        <w:rPr>
          <w:rFonts w:ascii="Times New Roman" w:hAnsi="Times New Roman" w:cs="Times New Roman"/>
          <w:color w:val="000000" w:themeColor="text1"/>
        </w:rPr>
        <w:t>57</w:t>
      </w:r>
      <w:r w:rsidR="009D150C" w:rsidRPr="00CF7716">
        <w:rPr>
          <w:rFonts w:ascii="Times New Roman" w:hAnsi="Times New Roman" w:cs="Times New Roman"/>
          <w:color w:val="000000" w:themeColor="text1"/>
        </w:rPr>
        <w:t>7.</w:t>
      </w:r>
    </w:p>
  </w:footnote>
  <w:footnote w:id="125">
    <w:p w14:paraId="219A91AC" w14:textId="3B89BEAB" w:rsidR="00BC69A6" w:rsidRPr="00CF7716" w:rsidRDefault="00BC69A6"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00E41D89" w:rsidRPr="00CF7716">
        <w:rPr>
          <w:rFonts w:ascii="Times New Roman" w:hAnsi="Times New Roman" w:cs="Times New Roman"/>
          <w:color w:val="000000" w:themeColor="text1"/>
        </w:rPr>
        <w:t>OECD (n 5)</w:t>
      </w:r>
      <w:r w:rsidRPr="00CF7716">
        <w:rPr>
          <w:rFonts w:ascii="Times New Roman" w:hAnsi="Times New Roman" w:cs="Times New Roman"/>
          <w:color w:val="000000" w:themeColor="text1"/>
        </w:rPr>
        <w:t xml:space="preserve"> 3</w:t>
      </w:r>
      <w:r w:rsidR="00E41D89" w:rsidRPr="00CF7716">
        <w:rPr>
          <w:rFonts w:ascii="Times New Roman" w:hAnsi="Times New Roman" w:cs="Times New Roman"/>
          <w:color w:val="000000" w:themeColor="text1"/>
        </w:rPr>
        <w:t>.</w:t>
      </w:r>
    </w:p>
  </w:footnote>
  <w:footnote w:id="126">
    <w:p w14:paraId="6FCD1209" w14:textId="61BE30C5" w:rsidR="00701F99" w:rsidRPr="00CF7716" w:rsidRDefault="00701F99"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Parks and Cole</w:t>
      </w:r>
      <w:r w:rsidR="0016568F" w:rsidRPr="00CF7716">
        <w:rPr>
          <w:rFonts w:ascii="Times New Roman" w:hAnsi="Times New Roman" w:cs="Times New Roman"/>
          <w:color w:val="000000" w:themeColor="text1"/>
        </w:rPr>
        <w:t xml:space="preserve"> (n 29) </w:t>
      </w:r>
      <w:r w:rsidRPr="00CF7716">
        <w:rPr>
          <w:rFonts w:ascii="Times New Roman" w:hAnsi="Times New Roman" w:cs="Times New Roman"/>
          <w:color w:val="000000" w:themeColor="text1"/>
        </w:rPr>
        <w:t>viii.</w:t>
      </w:r>
    </w:p>
  </w:footnote>
  <w:footnote w:id="127">
    <w:p w14:paraId="0F494180" w14:textId="0714F737" w:rsidR="003D649C" w:rsidRPr="00CF7716" w:rsidRDefault="003D649C"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A tendency noted, for example, by Laws </w:t>
      </w:r>
      <w:r w:rsidR="0016568F" w:rsidRPr="00CF7716">
        <w:rPr>
          <w:rFonts w:ascii="Times New Roman" w:hAnsi="Times New Roman" w:cs="Times New Roman"/>
          <w:color w:val="000000" w:themeColor="text1"/>
        </w:rPr>
        <w:t>(n 114)</w:t>
      </w:r>
      <w:r w:rsidRPr="00CF7716">
        <w:rPr>
          <w:rFonts w:ascii="Times New Roman" w:hAnsi="Times New Roman" w:cs="Times New Roman"/>
          <w:color w:val="000000" w:themeColor="text1"/>
        </w:rPr>
        <w:t xml:space="preserve"> 1</w:t>
      </w:r>
      <w:r w:rsidR="000724C3" w:rsidRPr="00CF7716">
        <w:rPr>
          <w:rFonts w:ascii="Times New Roman" w:hAnsi="Times New Roman" w:cs="Times New Roman"/>
          <w:color w:val="000000" w:themeColor="text1"/>
        </w:rPr>
        <w:t>, Whaites</w:t>
      </w:r>
      <w:r w:rsidR="0016568F" w:rsidRPr="00CF7716">
        <w:rPr>
          <w:rFonts w:ascii="Times New Roman" w:hAnsi="Times New Roman" w:cs="Times New Roman"/>
          <w:color w:val="000000" w:themeColor="text1"/>
        </w:rPr>
        <w:t xml:space="preserve"> (n 118)</w:t>
      </w:r>
      <w:r w:rsidR="000724C3" w:rsidRPr="00CF7716">
        <w:rPr>
          <w:rFonts w:ascii="Times New Roman" w:hAnsi="Times New Roman" w:cs="Times New Roman"/>
          <w:color w:val="000000" w:themeColor="text1"/>
        </w:rPr>
        <w:t xml:space="preserve"> at 7</w:t>
      </w:r>
      <w:r w:rsidR="0016568F" w:rsidRPr="00CF7716">
        <w:rPr>
          <w:rFonts w:ascii="Times New Roman" w:hAnsi="Times New Roman" w:cs="Times New Roman"/>
          <w:color w:val="000000" w:themeColor="text1"/>
        </w:rPr>
        <w:t>.</w:t>
      </w:r>
    </w:p>
  </w:footnote>
  <w:footnote w:id="128">
    <w:p w14:paraId="0F03B71C" w14:textId="23626920" w:rsidR="00A87C2B" w:rsidRPr="00CF7716" w:rsidRDefault="00A87C2B"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00E41D89" w:rsidRPr="00CF7716">
        <w:rPr>
          <w:rFonts w:ascii="Times New Roman" w:hAnsi="Times New Roman" w:cs="Times New Roman"/>
          <w:color w:val="000000" w:themeColor="text1"/>
        </w:rPr>
        <w:t xml:space="preserve">OECD (n 5) </w:t>
      </w:r>
      <w:r w:rsidRPr="00CF7716">
        <w:rPr>
          <w:rFonts w:ascii="Times New Roman" w:hAnsi="Times New Roman" w:cs="Times New Roman"/>
          <w:color w:val="000000" w:themeColor="text1"/>
        </w:rPr>
        <w:t>9</w:t>
      </w:r>
      <w:r w:rsidR="00E41D89" w:rsidRPr="00CF7716">
        <w:rPr>
          <w:rFonts w:ascii="Times New Roman" w:hAnsi="Times New Roman" w:cs="Times New Roman"/>
          <w:color w:val="000000" w:themeColor="text1"/>
        </w:rPr>
        <w:t>.</w:t>
      </w:r>
    </w:p>
  </w:footnote>
  <w:footnote w:id="129">
    <w:p w14:paraId="46D7C903" w14:textId="33682A60" w:rsidR="00AD13B0" w:rsidRPr="00CF7716" w:rsidRDefault="00AD13B0"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2304FA" w:rsidRPr="00CF7716">
        <w:rPr>
          <w:color w:val="000000" w:themeColor="text1"/>
          <w:sz w:val="20"/>
          <w:szCs w:val="20"/>
        </w:rPr>
        <w:t xml:space="preserve">On this, see </w:t>
      </w:r>
      <w:r w:rsidR="00C7510C" w:rsidRPr="00CF7716">
        <w:rPr>
          <w:color w:val="000000" w:themeColor="text1"/>
          <w:sz w:val="20"/>
          <w:szCs w:val="20"/>
        </w:rPr>
        <w:t xml:space="preserve">T </w:t>
      </w:r>
      <w:r w:rsidR="00D220A6" w:rsidRPr="00CF7716">
        <w:rPr>
          <w:color w:val="000000" w:themeColor="text1"/>
          <w:sz w:val="20"/>
          <w:szCs w:val="20"/>
        </w:rPr>
        <w:t>Hagmann</w:t>
      </w:r>
      <w:r w:rsidR="00C7510C" w:rsidRPr="00CF7716">
        <w:rPr>
          <w:color w:val="000000" w:themeColor="text1"/>
          <w:sz w:val="20"/>
          <w:szCs w:val="20"/>
        </w:rPr>
        <w:t xml:space="preserve"> </w:t>
      </w:r>
      <w:r w:rsidR="00D220A6" w:rsidRPr="00CF7716">
        <w:rPr>
          <w:color w:val="000000" w:themeColor="text1"/>
          <w:sz w:val="20"/>
          <w:szCs w:val="20"/>
        </w:rPr>
        <w:t>and D Péclard</w:t>
      </w:r>
      <w:r w:rsidR="00C7510C" w:rsidRPr="00CF7716">
        <w:rPr>
          <w:color w:val="000000" w:themeColor="text1"/>
          <w:sz w:val="20"/>
          <w:szCs w:val="20"/>
        </w:rPr>
        <w:t>, ‘</w:t>
      </w:r>
      <w:r w:rsidR="00D220A6" w:rsidRPr="00CF7716">
        <w:rPr>
          <w:color w:val="000000" w:themeColor="text1"/>
          <w:sz w:val="20"/>
          <w:szCs w:val="20"/>
        </w:rPr>
        <w:t xml:space="preserve">Negotiating </w:t>
      </w:r>
      <w:r w:rsidR="00C7510C" w:rsidRPr="00CF7716">
        <w:rPr>
          <w:color w:val="000000" w:themeColor="text1"/>
          <w:sz w:val="20"/>
          <w:szCs w:val="20"/>
        </w:rPr>
        <w:t>S</w:t>
      </w:r>
      <w:r w:rsidR="00D220A6" w:rsidRPr="00CF7716">
        <w:rPr>
          <w:color w:val="000000" w:themeColor="text1"/>
          <w:sz w:val="20"/>
          <w:szCs w:val="20"/>
        </w:rPr>
        <w:t xml:space="preserve">tatehood: </w:t>
      </w:r>
      <w:r w:rsidR="00C7510C" w:rsidRPr="00CF7716">
        <w:rPr>
          <w:color w:val="000000" w:themeColor="text1"/>
          <w:sz w:val="20"/>
          <w:szCs w:val="20"/>
        </w:rPr>
        <w:t>D</w:t>
      </w:r>
      <w:r w:rsidR="00D220A6" w:rsidRPr="00CF7716">
        <w:rPr>
          <w:color w:val="000000" w:themeColor="text1"/>
          <w:sz w:val="20"/>
          <w:szCs w:val="20"/>
        </w:rPr>
        <w:t xml:space="preserve">ynamics of </w:t>
      </w:r>
      <w:r w:rsidR="00C7510C" w:rsidRPr="00CF7716">
        <w:rPr>
          <w:color w:val="000000" w:themeColor="text1"/>
          <w:sz w:val="20"/>
          <w:szCs w:val="20"/>
        </w:rPr>
        <w:t>P</w:t>
      </w:r>
      <w:r w:rsidR="00D220A6" w:rsidRPr="00CF7716">
        <w:rPr>
          <w:color w:val="000000" w:themeColor="text1"/>
          <w:sz w:val="20"/>
          <w:szCs w:val="20"/>
        </w:rPr>
        <w:t xml:space="preserve">ower and </w:t>
      </w:r>
      <w:r w:rsidR="00C7510C" w:rsidRPr="00CF7716">
        <w:rPr>
          <w:color w:val="000000" w:themeColor="text1"/>
          <w:sz w:val="20"/>
          <w:szCs w:val="20"/>
        </w:rPr>
        <w:t>D</w:t>
      </w:r>
      <w:r w:rsidR="00D220A6" w:rsidRPr="00CF7716">
        <w:rPr>
          <w:color w:val="000000" w:themeColor="text1"/>
          <w:sz w:val="20"/>
          <w:szCs w:val="20"/>
        </w:rPr>
        <w:t>omination in Africa</w:t>
      </w:r>
      <w:r w:rsidR="00C7510C" w:rsidRPr="00CF7716">
        <w:rPr>
          <w:color w:val="000000" w:themeColor="text1"/>
          <w:sz w:val="20"/>
          <w:szCs w:val="20"/>
        </w:rPr>
        <w:t>’ (2010) 41</w:t>
      </w:r>
      <w:r w:rsidR="00D220A6" w:rsidRPr="00CF7716">
        <w:rPr>
          <w:color w:val="000000" w:themeColor="text1"/>
          <w:sz w:val="20"/>
          <w:szCs w:val="20"/>
        </w:rPr>
        <w:t xml:space="preserve"> </w:t>
      </w:r>
      <w:r w:rsidR="00D220A6" w:rsidRPr="00CF7716">
        <w:rPr>
          <w:i/>
          <w:iCs/>
          <w:color w:val="000000" w:themeColor="text1"/>
          <w:sz w:val="20"/>
          <w:szCs w:val="20"/>
        </w:rPr>
        <w:t xml:space="preserve">Development and </w:t>
      </w:r>
      <w:r w:rsidR="00C7510C" w:rsidRPr="00CF7716">
        <w:rPr>
          <w:i/>
          <w:iCs/>
          <w:color w:val="000000" w:themeColor="text1"/>
          <w:sz w:val="20"/>
          <w:szCs w:val="20"/>
        </w:rPr>
        <w:t>C</w:t>
      </w:r>
      <w:r w:rsidR="00D220A6" w:rsidRPr="00CF7716">
        <w:rPr>
          <w:i/>
          <w:iCs/>
          <w:color w:val="000000" w:themeColor="text1"/>
          <w:sz w:val="20"/>
          <w:szCs w:val="20"/>
        </w:rPr>
        <w:t>hange</w:t>
      </w:r>
      <w:r w:rsidR="00D220A6" w:rsidRPr="00CF7716">
        <w:rPr>
          <w:color w:val="000000" w:themeColor="text1"/>
          <w:sz w:val="20"/>
          <w:szCs w:val="20"/>
        </w:rPr>
        <w:t xml:space="preserve"> 539 and </w:t>
      </w:r>
      <w:r w:rsidR="002304FA" w:rsidRPr="00CF7716">
        <w:rPr>
          <w:color w:val="000000" w:themeColor="text1"/>
          <w:sz w:val="20"/>
          <w:szCs w:val="20"/>
        </w:rPr>
        <w:t>Doornbos</w:t>
      </w:r>
      <w:r w:rsidR="003244E7" w:rsidRPr="00CF7716">
        <w:rPr>
          <w:color w:val="000000" w:themeColor="text1"/>
          <w:sz w:val="20"/>
          <w:szCs w:val="20"/>
        </w:rPr>
        <w:t xml:space="preserve"> (n 8)</w:t>
      </w:r>
      <w:r w:rsidR="00D220A6" w:rsidRPr="00CF7716">
        <w:rPr>
          <w:color w:val="000000" w:themeColor="text1"/>
          <w:sz w:val="20"/>
          <w:szCs w:val="20"/>
        </w:rPr>
        <w:t>.</w:t>
      </w:r>
      <w:r w:rsidR="002304FA" w:rsidRPr="00CF7716">
        <w:rPr>
          <w:color w:val="000000" w:themeColor="text1"/>
          <w:sz w:val="20"/>
          <w:szCs w:val="20"/>
        </w:rPr>
        <w:t xml:space="preserve"> </w:t>
      </w:r>
    </w:p>
  </w:footnote>
  <w:footnote w:id="130">
    <w:p w14:paraId="3C004F9B" w14:textId="636DAE55" w:rsidR="00D220A6" w:rsidRPr="00CF7716" w:rsidRDefault="00D220A6"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Doornbos</w:t>
      </w:r>
      <w:r w:rsidR="003244E7" w:rsidRPr="00CF7716">
        <w:rPr>
          <w:rFonts w:ascii="Times New Roman" w:hAnsi="Times New Roman" w:cs="Times New Roman"/>
          <w:color w:val="000000" w:themeColor="text1"/>
        </w:rPr>
        <w:t xml:space="preserve"> (n 8)</w:t>
      </w:r>
      <w:r w:rsidRPr="00CF7716">
        <w:rPr>
          <w:rFonts w:ascii="Times New Roman" w:hAnsi="Times New Roman" w:cs="Times New Roman"/>
          <w:color w:val="000000" w:themeColor="text1"/>
        </w:rPr>
        <w:t xml:space="preserve"> 204 and 205.</w:t>
      </w:r>
    </w:p>
  </w:footnote>
  <w:footnote w:id="131">
    <w:p w14:paraId="5649591F" w14:textId="3638303F" w:rsidR="00463855" w:rsidRPr="00CF7716" w:rsidRDefault="00463855"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Laws</w:t>
      </w:r>
      <w:r w:rsidR="0016568F" w:rsidRPr="00CF7716">
        <w:rPr>
          <w:rFonts w:ascii="Times New Roman" w:hAnsi="Times New Roman" w:cs="Times New Roman"/>
          <w:color w:val="000000" w:themeColor="text1"/>
        </w:rPr>
        <w:t xml:space="preserve"> (n 114) </w:t>
      </w:r>
      <w:r w:rsidRPr="00CF7716">
        <w:rPr>
          <w:rFonts w:ascii="Times New Roman" w:hAnsi="Times New Roman" w:cs="Times New Roman"/>
          <w:color w:val="000000" w:themeColor="text1"/>
        </w:rPr>
        <w:t>24.</w:t>
      </w:r>
    </w:p>
  </w:footnote>
  <w:footnote w:id="132">
    <w:p w14:paraId="513D1CD5" w14:textId="6146DED8" w:rsidR="00A213B6" w:rsidRPr="00CF7716" w:rsidRDefault="00A213B6"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Hagmann and Peclard</w:t>
      </w:r>
      <w:r w:rsidR="003244E7" w:rsidRPr="00CF7716">
        <w:rPr>
          <w:rFonts w:ascii="Times New Roman" w:hAnsi="Times New Roman" w:cs="Times New Roman"/>
          <w:color w:val="000000" w:themeColor="text1"/>
        </w:rPr>
        <w:t xml:space="preserve"> (n 129)</w:t>
      </w:r>
      <w:r w:rsidRPr="00CF7716">
        <w:rPr>
          <w:rFonts w:ascii="Times New Roman" w:hAnsi="Times New Roman" w:cs="Times New Roman"/>
          <w:color w:val="000000" w:themeColor="text1"/>
        </w:rPr>
        <w:t xml:space="preserve"> 556</w:t>
      </w:r>
      <w:r w:rsidR="003244E7" w:rsidRPr="00CF7716">
        <w:rPr>
          <w:rFonts w:ascii="Times New Roman" w:hAnsi="Times New Roman" w:cs="Times New Roman"/>
          <w:color w:val="000000" w:themeColor="text1"/>
        </w:rPr>
        <w:t>.</w:t>
      </w:r>
    </w:p>
  </w:footnote>
  <w:footnote w:id="133">
    <w:p w14:paraId="4A310D6E" w14:textId="562D3C89" w:rsidR="00724DB8" w:rsidRPr="00CF7716" w:rsidRDefault="00724DB8"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3244E7" w:rsidRPr="00CF7716">
        <w:rPr>
          <w:color w:val="000000" w:themeColor="text1"/>
          <w:sz w:val="20"/>
          <w:szCs w:val="20"/>
        </w:rPr>
        <w:t xml:space="preserve">Whaites (n 118) </w:t>
      </w:r>
      <w:r w:rsidR="00847A2C" w:rsidRPr="00CF7716">
        <w:rPr>
          <w:color w:val="000000" w:themeColor="text1"/>
          <w:sz w:val="20"/>
          <w:szCs w:val="20"/>
        </w:rPr>
        <w:t xml:space="preserve"> 7</w:t>
      </w:r>
      <w:r w:rsidR="003244E7" w:rsidRPr="00CF7716">
        <w:rPr>
          <w:color w:val="000000" w:themeColor="text1"/>
          <w:sz w:val="20"/>
          <w:szCs w:val="20"/>
        </w:rPr>
        <w:t>.</w:t>
      </w:r>
    </w:p>
  </w:footnote>
  <w:footnote w:id="134">
    <w:p w14:paraId="3FEDA853" w14:textId="0FC7C61D" w:rsidR="00724DB8" w:rsidRPr="00CF7716" w:rsidRDefault="00724DB8"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C7510C" w:rsidRPr="00CF7716">
        <w:rPr>
          <w:color w:val="000000" w:themeColor="text1"/>
          <w:sz w:val="20"/>
          <w:szCs w:val="20"/>
        </w:rPr>
        <w:t xml:space="preserve">C </w:t>
      </w:r>
      <w:r w:rsidRPr="00CF7716">
        <w:rPr>
          <w:color w:val="000000" w:themeColor="text1"/>
          <w:sz w:val="20"/>
          <w:szCs w:val="20"/>
        </w:rPr>
        <w:t>Le Van,</w:t>
      </w:r>
      <w:r w:rsidR="00C7510C" w:rsidRPr="00CF7716">
        <w:rPr>
          <w:color w:val="000000" w:themeColor="text1"/>
          <w:sz w:val="20"/>
          <w:szCs w:val="20"/>
        </w:rPr>
        <w:t xml:space="preserve"> ‘</w:t>
      </w:r>
      <w:r w:rsidRPr="00CF7716">
        <w:rPr>
          <w:color w:val="000000" w:themeColor="text1"/>
          <w:sz w:val="20"/>
          <w:szCs w:val="20"/>
        </w:rPr>
        <w:t xml:space="preserve">Power </w:t>
      </w:r>
      <w:r w:rsidR="00C7510C" w:rsidRPr="00CF7716">
        <w:rPr>
          <w:color w:val="000000" w:themeColor="text1"/>
          <w:sz w:val="20"/>
          <w:szCs w:val="20"/>
        </w:rPr>
        <w:t>S</w:t>
      </w:r>
      <w:r w:rsidRPr="00CF7716">
        <w:rPr>
          <w:color w:val="000000" w:themeColor="text1"/>
          <w:sz w:val="20"/>
          <w:szCs w:val="20"/>
        </w:rPr>
        <w:t xml:space="preserve">haring and </w:t>
      </w:r>
      <w:r w:rsidR="00C7510C" w:rsidRPr="00CF7716">
        <w:rPr>
          <w:color w:val="000000" w:themeColor="text1"/>
          <w:sz w:val="20"/>
          <w:szCs w:val="20"/>
        </w:rPr>
        <w:t>I</w:t>
      </w:r>
      <w:r w:rsidRPr="00CF7716">
        <w:rPr>
          <w:color w:val="000000" w:themeColor="text1"/>
          <w:sz w:val="20"/>
          <w:szCs w:val="20"/>
        </w:rPr>
        <w:t xml:space="preserve">nclusive </w:t>
      </w:r>
      <w:r w:rsidR="00C7510C" w:rsidRPr="00CF7716">
        <w:rPr>
          <w:color w:val="000000" w:themeColor="text1"/>
          <w:sz w:val="20"/>
          <w:szCs w:val="20"/>
        </w:rPr>
        <w:t>P</w:t>
      </w:r>
      <w:r w:rsidRPr="00CF7716">
        <w:rPr>
          <w:color w:val="000000" w:themeColor="text1"/>
          <w:sz w:val="20"/>
          <w:szCs w:val="20"/>
        </w:rPr>
        <w:t xml:space="preserve">olitics in Africa's </w:t>
      </w:r>
      <w:r w:rsidR="00C7510C" w:rsidRPr="00CF7716">
        <w:rPr>
          <w:color w:val="000000" w:themeColor="text1"/>
          <w:sz w:val="20"/>
          <w:szCs w:val="20"/>
        </w:rPr>
        <w:t>U</w:t>
      </w:r>
      <w:r w:rsidRPr="00CF7716">
        <w:rPr>
          <w:color w:val="000000" w:themeColor="text1"/>
          <w:sz w:val="20"/>
          <w:szCs w:val="20"/>
        </w:rPr>
        <w:t xml:space="preserve">ncertain </w:t>
      </w:r>
      <w:r w:rsidR="00C7510C" w:rsidRPr="00CF7716">
        <w:rPr>
          <w:color w:val="000000" w:themeColor="text1"/>
          <w:sz w:val="20"/>
          <w:szCs w:val="20"/>
        </w:rPr>
        <w:t>D</w:t>
      </w:r>
      <w:r w:rsidRPr="00CF7716">
        <w:rPr>
          <w:color w:val="000000" w:themeColor="text1"/>
          <w:sz w:val="20"/>
          <w:szCs w:val="20"/>
        </w:rPr>
        <w:t>emocracies</w:t>
      </w:r>
      <w:r w:rsidR="00C7510C" w:rsidRPr="00CF7716">
        <w:rPr>
          <w:color w:val="000000" w:themeColor="text1"/>
          <w:sz w:val="20"/>
          <w:szCs w:val="20"/>
        </w:rPr>
        <w:t>’ (2011) 24</w:t>
      </w:r>
      <w:r w:rsidRPr="00CF7716">
        <w:rPr>
          <w:color w:val="000000" w:themeColor="text1"/>
          <w:sz w:val="20"/>
          <w:szCs w:val="20"/>
        </w:rPr>
        <w:t xml:space="preserve"> </w:t>
      </w:r>
      <w:r w:rsidRPr="00CF7716">
        <w:rPr>
          <w:i/>
          <w:iCs/>
          <w:color w:val="000000" w:themeColor="text1"/>
          <w:sz w:val="20"/>
          <w:szCs w:val="20"/>
        </w:rPr>
        <w:t>Governance</w:t>
      </w:r>
      <w:r w:rsidRPr="00CF7716">
        <w:rPr>
          <w:color w:val="000000" w:themeColor="text1"/>
          <w:sz w:val="20"/>
          <w:szCs w:val="20"/>
        </w:rPr>
        <w:t xml:space="preserve"> 31, 46</w:t>
      </w:r>
      <w:r w:rsidR="00C7510C" w:rsidRPr="00CF7716">
        <w:rPr>
          <w:color w:val="000000" w:themeColor="text1"/>
          <w:sz w:val="20"/>
          <w:szCs w:val="20"/>
        </w:rPr>
        <w:t>.</w:t>
      </w:r>
    </w:p>
  </w:footnote>
  <w:footnote w:id="135">
    <w:p w14:paraId="04AD0E33" w14:textId="78AD52E6" w:rsidR="00D07564" w:rsidRPr="00CF7716" w:rsidRDefault="00D07564"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Bell and Pospisil</w:t>
      </w:r>
      <w:r w:rsidR="009D150C" w:rsidRPr="00CF7716">
        <w:rPr>
          <w:rFonts w:ascii="Times New Roman" w:hAnsi="Times New Roman" w:cs="Times New Roman"/>
          <w:color w:val="000000" w:themeColor="text1"/>
        </w:rPr>
        <w:t xml:space="preserve"> (n 124) </w:t>
      </w:r>
      <w:r w:rsidRPr="00CF7716">
        <w:rPr>
          <w:rFonts w:ascii="Times New Roman" w:hAnsi="Times New Roman" w:cs="Times New Roman"/>
          <w:color w:val="000000" w:themeColor="text1"/>
        </w:rPr>
        <w:t>587.</w:t>
      </w:r>
    </w:p>
  </w:footnote>
  <w:footnote w:id="136">
    <w:p w14:paraId="6D3812AE" w14:textId="2956232D" w:rsidR="00820662" w:rsidRPr="00CF7716" w:rsidRDefault="00820662"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00E41D89" w:rsidRPr="00CF7716">
        <w:rPr>
          <w:rFonts w:ascii="Times New Roman" w:hAnsi="Times New Roman" w:cs="Times New Roman"/>
          <w:color w:val="000000" w:themeColor="text1"/>
        </w:rPr>
        <w:t xml:space="preserve">OECD (n 5) </w:t>
      </w:r>
      <w:r w:rsidRPr="00CF7716">
        <w:rPr>
          <w:rFonts w:ascii="Times New Roman" w:hAnsi="Times New Roman" w:cs="Times New Roman"/>
          <w:color w:val="000000" w:themeColor="text1"/>
        </w:rPr>
        <w:t>9</w:t>
      </w:r>
      <w:r w:rsidR="004F085D" w:rsidRPr="00CF7716">
        <w:rPr>
          <w:rFonts w:ascii="Times New Roman" w:hAnsi="Times New Roman" w:cs="Times New Roman"/>
          <w:color w:val="000000" w:themeColor="text1"/>
        </w:rPr>
        <w:t xml:space="preserve"> and 42</w:t>
      </w:r>
      <w:r w:rsidR="0016568F" w:rsidRPr="00CF7716">
        <w:rPr>
          <w:rFonts w:ascii="Times New Roman" w:hAnsi="Times New Roman" w:cs="Times New Roman"/>
          <w:color w:val="000000" w:themeColor="text1"/>
        </w:rPr>
        <w:t>.</w:t>
      </w:r>
    </w:p>
  </w:footnote>
  <w:footnote w:id="137">
    <w:p w14:paraId="63F6F793" w14:textId="713F6D6F" w:rsidR="00C948BF" w:rsidRPr="00CF7716" w:rsidRDefault="00C948BF"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Whaites</w:t>
      </w:r>
      <w:r w:rsidR="0016568F" w:rsidRPr="00CF7716">
        <w:rPr>
          <w:color w:val="000000" w:themeColor="text1"/>
          <w:sz w:val="20"/>
          <w:szCs w:val="20"/>
        </w:rPr>
        <w:t xml:space="preserve"> (n 118) </w:t>
      </w:r>
      <w:r w:rsidR="00A63192" w:rsidRPr="00CF7716">
        <w:rPr>
          <w:color w:val="000000" w:themeColor="text1"/>
          <w:sz w:val="20"/>
          <w:szCs w:val="20"/>
        </w:rPr>
        <w:t>7</w:t>
      </w:r>
      <w:r w:rsidR="0016568F" w:rsidRPr="00CF7716">
        <w:rPr>
          <w:color w:val="000000" w:themeColor="text1"/>
          <w:sz w:val="20"/>
          <w:szCs w:val="20"/>
        </w:rPr>
        <w:t>.</w:t>
      </w:r>
    </w:p>
  </w:footnote>
  <w:footnote w:id="138">
    <w:p w14:paraId="0A16992C" w14:textId="4CF626C0" w:rsidR="003C33FD" w:rsidRPr="00CF7716" w:rsidRDefault="003C33FD"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Kelsall and Vom Hau</w:t>
      </w:r>
      <w:r w:rsidR="009D150C" w:rsidRPr="00CF7716">
        <w:rPr>
          <w:rFonts w:ascii="Times New Roman" w:hAnsi="Times New Roman" w:cs="Times New Roman"/>
          <w:color w:val="000000" w:themeColor="text1"/>
        </w:rPr>
        <w:t xml:space="preserve"> (n 123)</w:t>
      </w:r>
      <w:r w:rsidRPr="00CF7716">
        <w:rPr>
          <w:rFonts w:ascii="Times New Roman" w:hAnsi="Times New Roman" w:cs="Times New Roman"/>
          <w:color w:val="000000" w:themeColor="text1"/>
        </w:rPr>
        <w:t xml:space="preserve"> 8 and 12.</w:t>
      </w:r>
    </w:p>
  </w:footnote>
  <w:footnote w:id="139">
    <w:p w14:paraId="740E2F66" w14:textId="5BD0DF63" w:rsidR="0070780F" w:rsidRPr="00CF7716" w:rsidRDefault="0070780F"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00E41D89" w:rsidRPr="00CF7716">
        <w:rPr>
          <w:rFonts w:ascii="Times New Roman" w:hAnsi="Times New Roman" w:cs="Times New Roman"/>
          <w:color w:val="000000" w:themeColor="text1"/>
        </w:rPr>
        <w:t xml:space="preserve">OECD (n 5) </w:t>
      </w:r>
      <w:r w:rsidRPr="00CF7716">
        <w:rPr>
          <w:rFonts w:ascii="Times New Roman" w:hAnsi="Times New Roman" w:cs="Times New Roman"/>
          <w:color w:val="000000" w:themeColor="text1"/>
        </w:rPr>
        <w:t>9</w:t>
      </w:r>
      <w:r w:rsidR="00E41D89" w:rsidRPr="00CF7716">
        <w:rPr>
          <w:rFonts w:ascii="Times New Roman" w:hAnsi="Times New Roman" w:cs="Times New Roman"/>
          <w:color w:val="000000" w:themeColor="text1"/>
        </w:rPr>
        <w:t>.</w:t>
      </w:r>
    </w:p>
  </w:footnote>
  <w:footnote w:id="140">
    <w:p w14:paraId="73F23BB7" w14:textId="310FE902" w:rsidR="00C03C21" w:rsidRPr="00CF7716" w:rsidRDefault="00C03C21"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00410F54" w:rsidRPr="00CF7716">
        <w:rPr>
          <w:rFonts w:ascii="Times New Roman" w:hAnsi="Times New Roman" w:cs="Times New Roman"/>
          <w:color w:val="000000" w:themeColor="text1"/>
        </w:rPr>
        <w:t>Doornbos</w:t>
      </w:r>
      <w:r w:rsidR="00E41D89" w:rsidRPr="00CF7716">
        <w:rPr>
          <w:rFonts w:ascii="Times New Roman" w:hAnsi="Times New Roman" w:cs="Times New Roman"/>
          <w:color w:val="000000" w:themeColor="text1"/>
        </w:rPr>
        <w:t xml:space="preserve"> (n 8) </w:t>
      </w:r>
      <w:r w:rsidR="00410F54" w:rsidRPr="00CF7716">
        <w:rPr>
          <w:rFonts w:ascii="Times New Roman" w:hAnsi="Times New Roman" w:cs="Times New Roman"/>
          <w:color w:val="000000" w:themeColor="text1"/>
        </w:rPr>
        <w:t>212</w:t>
      </w:r>
    </w:p>
  </w:footnote>
  <w:footnote w:id="141">
    <w:p w14:paraId="5B8ECDBA" w14:textId="097780FB" w:rsidR="00B34C19" w:rsidRPr="00CF7716" w:rsidRDefault="00B34C19"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N Barma, ‘Peace-building and the Predatory Political Economy of Insecurity: Evidence from Cambodia, East Timor and Afghanistan’ (2012) 12 </w:t>
      </w:r>
      <w:r w:rsidRPr="00CF7716">
        <w:rPr>
          <w:rFonts w:ascii="Times New Roman" w:hAnsi="Times New Roman" w:cs="Times New Roman"/>
          <w:i/>
          <w:iCs/>
          <w:color w:val="000000" w:themeColor="text1"/>
        </w:rPr>
        <w:t>Conflict, Security &amp; Development</w:t>
      </w:r>
      <w:r w:rsidRPr="00CF7716">
        <w:rPr>
          <w:rFonts w:ascii="Times New Roman" w:hAnsi="Times New Roman" w:cs="Times New Roman"/>
          <w:color w:val="000000" w:themeColor="text1"/>
        </w:rPr>
        <w:t xml:space="preserve"> 273,  278</w:t>
      </w:r>
    </w:p>
  </w:footnote>
  <w:footnote w:id="142">
    <w:p w14:paraId="5F37CA91" w14:textId="0F65C59A" w:rsidR="00F63589" w:rsidRPr="00CF7716" w:rsidRDefault="00F63589"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6B7C5A" w:rsidRPr="00CF7716">
        <w:rPr>
          <w:color w:val="000000" w:themeColor="text1"/>
          <w:sz w:val="20"/>
          <w:szCs w:val="20"/>
        </w:rPr>
        <w:t xml:space="preserve">D </w:t>
      </w:r>
      <w:r w:rsidR="00891B4C" w:rsidRPr="00CF7716">
        <w:rPr>
          <w:color w:val="000000" w:themeColor="text1"/>
          <w:sz w:val="20"/>
          <w:szCs w:val="20"/>
        </w:rPr>
        <w:t>Porter, D Isser and L</w:t>
      </w:r>
      <w:r w:rsidR="006B7C5A" w:rsidRPr="00CF7716">
        <w:rPr>
          <w:color w:val="000000" w:themeColor="text1"/>
          <w:sz w:val="20"/>
          <w:szCs w:val="20"/>
        </w:rPr>
        <w:t>A</w:t>
      </w:r>
      <w:r w:rsidR="00891B4C" w:rsidRPr="00CF7716">
        <w:rPr>
          <w:color w:val="000000" w:themeColor="text1"/>
          <w:sz w:val="20"/>
          <w:szCs w:val="20"/>
        </w:rPr>
        <w:t xml:space="preserve"> Berg</w:t>
      </w:r>
      <w:r w:rsidR="006B7C5A" w:rsidRPr="00CF7716">
        <w:rPr>
          <w:color w:val="000000" w:themeColor="text1"/>
          <w:sz w:val="20"/>
          <w:szCs w:val="20"/>
        </w:rPr>
        <w:t>, ‘</w:t>
      </w:r>
      <w:r w:rsidR="00891B4C" w:rsidRPr="00CF7716">
        <w:rPr>
          <w:color w:val="000000" w:themeColor="text1"/>
          <w:sz w:val="20"/>
          <w:szCs w:val="20"/>
        </w:rPr>
        <w:t xml:space="preserve">The </w:t>
      </w:r>
      <w:r w:rsidR="006B7C5A" w:rsidRPr="00CF7716">
        <w:rPr>
          <w:color w:val="000000" w:themeColor="text1"/>
          <w:sz w:val="20"/>
          <w:szCs w:val="20"/>
        </w:rPr>
        <w:t>J</w:t>
      </w:r>
      <w:r w:rsidR="00891B4C" w:rsidRPr="00CF7716">
        <w:rPr>
          <w:color w:val="000000" w:themeColor="text1"/>
          <w:sz w:val="20"/>
          <w:szCs w:val="20"/>
        </w:rPr>
        <w:t>ustice-</w:t>
      </w:r>
      <w:r w:rsidR="006B7C5A" w:rsidRPr="00CF7716">
        <w:rPr>
          <w:color w:val="000000" w:themeColor="text1"/>
          <w:sz w:val="20"/>
          <w:szCs w:val="20"/>
        </w:rPr>
        <w:t>S</w:t>
      </w:r>
      <w:r w:rsidR="00891B4C" w:rsidRPr="00CF7716">
        <w:rPr>
          <w:color w:val="000000" w:themeColor="text1"/>
          <w:sz w:val="20"/>
          <w:szCs w:val="20"/>
        </w:rPr>
        <w:t>ecurity-</w:t>
      </w:r>
      <w:r w:rsidR="006B7C5A" w:rsidRPr="00CF7716">
        <w:rPr>
          <w:color w:val="000000" w:themeColor="text1"/>
          <w:sz w:val="20"/>
          <w:szCs w:val="20"/>
        </w:rPr>
        <w:t>D</w:t>
      </w:r>
      <w:r w:rsidR="00891B4C" w:rsidRPr="00CF7716">
        <w:rPr>
          <w:color w:val="000000" w:themeColor="text1"/>
          <w:sz w:val="20"/>
          <w:szCs w:val="20"/>
        </w:rPr>
        <w:t xml:space="preserve">evelopment </w:t>
      </w:r>
      <w:r w:rsidR="00DC03BD" w:rsidRPr="00CF7716">
        <w:rPr>
          <w:color w:val="000000" w:themeColor="text1"/>
          <w:sz w:val="20"/>
          <w:szCs w:val="20"/>
        </w:rPr>
        <w:t>N</w:t>
      </w:r>
      <w:r w:rsidR="00891B4C" w:rsidRPr="00CF7716">
        <w:rPr>
          <w:color w:val="000000" w:themeColor="text1"/>
          <w:sz w:val="20"/>
          <w:szCs w:val="20"/>
        </w:rPr>
        <w:t xml:space="preserve">exus: Theory and </w:t>
      </w:r>
      <w:r w:rsidR="00DC03BD" w:rsidRPr="00CF7716">
        <w:rPr>
          <w:color w:val="000000" w:themeColor="text1"/>
          <w:sz w:val="20"/>
          <w:szCs w:val="20"/>
        </w:rPr>
        <w:t>P</w:t>
      </w:r>
      <w:r w:rsidR="00891B4C" w:rsidRPr="00CF7716">
        <w:rPr>
          <w:color w:val="000000" w:themeColor="text1"/>
          <w:sz w:val="20"/>
          <w:szCs w:val="20"/>
        </w:rPr>
        <w:t xml:space="preserve">ractice in </w:t>
      </w:r>
      <w:r w:rsidR="00DC03BD" w:rsidRPr="00CF7716">
        <w:rPr>
          <w:color w:val="000000" w:themeColor="text1"/>
          <w:sz w:val="20"/>
          <w:szCs w:val="20"/>
        </w:rPr>
        <w:t>F</w:t>
      </w:r>
      <w:r w:rsidR="00891B4C" w:rsidRPr="00CF7716">
        <w:rPr>
          <w:color w:val="000000" w:themeColor="text1"/>
          <w:sz w:val="20"/>
          <w:szCs w:val="20"/>
        </w:rPr>
        <w:t xml:space="preserve">ragile and </w:t>
      </w:r>
      <w:r w:rsidR="00DC03BD" w:rsidRPr="00CF7716">
        <w:rPr>
          <w:color w:val="000000" w:themeColor="text1"/>
          <w:sz w:val="20"/>
          <w:szCs w:val="20"/>
        </w:rPr>
        <w:t>C</w:t>
      </w:r>
      <w:r w:rsidR="00891B4C" w:rsidRPr="00CF7716">
        <w:rPr>
          <w:color w:val="000000" w:themeColor="text1"/>
          <w:sz w:val="20"/>
          <w:szCs w:val="20"/>
        </w:rPr>
        <w:t xml:space="preserve">onflict-affected </w:t>
      </w:r>
      <w:r w:rsidR="00DC03BD" w:rsidRPr="00CF7716">
        <w:rPr>
          <w:color w:val="000000" w:themeColor="text1"/>
          <w:sz w:val="20"/>
          <w:szCs w:val="20"/>
        </w:rPr>
        <w:t>S</w:t>
      </w:r>
      <w:r w:rsidR="00891B4C" w:rsidRPr="00CF7716">
        <w:rPr>
          <w:color w:val="000000" w:themeColor="text1"/>
          <w:sz w:val="20"/>
          <w:szCs w:val="20"/>
        </w:rPr>
        <w:t>tates</w:t>
      </w:r>
      <w:r w:rsidR="00DC03BD" w:rsidRPr="00CF7716">
        <w:rPr>
          <w:color w:val="000000" w:themeColor="text1"/>
          <w:sz w:val="20"/>
          <w:szCs w:val="20"/>
        </w:rPr>
        <w:t>’ (2013) 5</w:t>
      </w:r>
      <w:r w:rsidR="00891B4C" w:rsidRPr="00CF7716">
        <w:rPr>
          <w:color w:val="000000" w:themeColor="text1"/>
          <w:sz w:val="20"/>
          <w:szCs w:val="20"/>
        </w:rPr>
        <w:t xml:space="preserve"> </w:t>
      </w:r>
      <w:r w:rsidR="00891B4C" w:rsidRPr="00CF7716">
        <w:rPr>
          <w:i/>
          <w:iCs/>
          <w:color w:val="000000" w:themeColor="text1"/>
          <w:sz w:val="20"/>
          <w:szCs w:val="20"/>
        </w:rPr>
        <w:t>Hague Journal on the Rule of Law</w:t>
      </w:r>
      <w:r w:rsidR="00891B4C" w:rsidRPr="00CF7716">
        <w:rPr>
          <w:color w:val="000000" w:themeColor="text1"/>
          <w:sz w:val="20"/>
          <w:szCs w:val="20"/>
        </w:rPr>
        <w:t xml:space="preserve"> 310, 322 and 323.</w:t>
      </w:r>
    </w:p>
  </w:footnote>
  <w:footnote w:id="143">
    <w:p w14:paraId="144AD2D9" w14:textId="58DC290B" w:rsidR="00891B4C" w:rsidRPr="00CF7716" w:rsidRDefault="00891B4C"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DC03BD" w:rsidRPr="00CF7716">
        <w:rPr>
          <w:color w:val="000000" w:themeColor="text1"/>
          <w:sz w:val="20"/>
          <w:szCs w:val="20"/>
        </w:rPr>
        <w:t xml:space="preserve">F </w:t>
      </w:r>
      <w:r w:rsidRPr="00CF7716">
        <w:rPr>
          <w:color w:val="000000" w:themeColor="text1"/>
          <w:sz w:val="20"/>
          <w:szCs w:val="20"/>
        </w:rPr>
        <w:t>Golooba-Mutebi and S Hickey</w:t>
      </w:r>
      <w:r w:rsidR="00DC03BD" w:rsidRPr="00CF7716">
        <w:rPr>
          <w:color w:val="000000" w:themeColor="text1"/>
          <w:sz w:val="20"/>
          <w:szCs w:val="20"/>
        </w:rPr>
        <w:t>, ‘</w:t>
      </w:r>
      <w:r w:rsidRPr="00CF7716">
        <w:rPr>
          <w:color w:val="000000" w:themeColor="text1"/>
          <w:sz w:val="20"/>
          <w:szCs w:val="20"/>
        </w:rPr>
        <w:t xml:space="preserve">The </w:t>
      </w:r>
      <w:r w:rsidR="00DC03BD" w:rsidRPr="00CF7716">
        <w:rPr>
          <w:color w:val="000000" w:themeColor="text1"/>
          <w:sz w:val="20"/>
          <w:szCs w:val="20"/>
        </w:rPr>
        <w:t>M</w:t>
      </w:r>
      <w:r w:rsidRPr="00CF7716">
        <w:rPr>
          <w:color w:val="000000" w:themeColor="text1"/>
          <w:sz w:val="20"/>
          <w:szCs w:val="20"/>
        </w:rPr>
        <w:t xml:space="preserve">aster of </w:t>
      </w:r>
      <w:r w:rsidR="00DC03BD" w:rsidRPr="00CF7716">
        <w:rPr>
          <w:color w:val="000000" w:themeColor="text1"/>
          <w:sz w:val="20"/>
          <w:szCs w:val="20"/>
        </w:rPr>
        <w:t>I</w:t>
      </w:r>
      <w:r w:rsidRPr="00CF7716">
        <w:rPr>
          <w:color w:val="000000" w:themeColor="text1"/>
          <w:sz w:val="20"/>
          <w:szCs w:val="20"/>
        </w:rPr>
        <w:t xml:space="preserve">nstitutional </w:t>
      </w:r>
      <w:r w:rsidR="00DC03BD" w:rsidRPr="00CF7716">
        <w:rPr>
          <w:color w:val="000000" w:themeColor="text1"/>
          <w:sz w:val="20"/>
          <w:szCs w:val="20"/>
        </w:rPr>
        <w:t>M</w:t>
      </w:r>
      <w:r w:rsidRPr="00CF7716">
        <w:rPr>
          <w:color w:val="000000" w:themeColor="text1"/>
          <w:sz w:val="20"/>
          <w:szCs w:val="20"/>
        </w:rPr>
        <w:t xml:space="preserve">ultiplicity? The </w:t>
      </w:r>
      <w:r w:rsidR="00DC03BD" w:rsidRPr="00CF7716">
        <w:rPr>
          <w:color w:val="000000" w:themeColor="text1"/>
          <w:sz w:val="20"/>
          <w:szCs w:val="20"/>
        </w:rPr>
        <w:t>S</w:t>
      </w:r>
      <w:r w:rsidRPr="00CF7716">
        <w:rPr>
          <w:color w:val="000000" w:themeColor="text1"/>
          <w:sz w:val="20"/>
          <w:szCs w:val="20"/>
        </w:rPr>
        <w:t xml:space="preserve">hifting </w:t>
      </w:r>
      <w:r w:rsidR="00DC03BD" w:rsidRPr="00CF7716">
        <w:rPr>
          <w:color w:val="000000" w:themeColor="text1"/>
          <w:sz w:val="20"/>
          <w:szCs w:val="20"/>
        </w:rPr>
        <w:t>P</w:t>
      </w:r>
      <w:r w:rsidRPr="00CF7716">
        <w:rPr>
          <w:color w:val="000000" w:themeColor="text1"/>
          <w:sz w:val="20"/>
          <w:szCs w:val="20"/>
        </w:rPr>
        <w:t xml:space="preserve">olitics of </w:t>
      </w:r>
      <w:r w:rsidR="00DC03BD" w:rsidRPr="00CF7716">
        <w:rPr>
          <w:color w:val="000000" w:themeColor="text1"/>
          <w:sz w:val="20"/>
          <w:szCs w:val="20"/>
        </w:rPr>
        <w:t>R</w:t>
      </w:r>
      <w:r w:rsidRPr="00CF7716">
        <w:rPr>
          <w:color w:val="000000" w:themeColor="text1"/>
          <w:sz w:val="20"/>
          <w:szCs w:val="20"/>
        </w:rPr>
        <w:t xml:space="preserve">egime </w:t>
      </w:r>
      <w:r w:rsidR="00DC03BD" w:rsidRPr="00CF7716">
        <w:rPr>
          <w:color w:val="000000" w:themeColor="text1"/>
          <w:sz w:val="20"/>
          <w:szCs w:val="20"/>
        </w:rPr>
        <w:t>S</w:t>
      </w:r>
      <w:r w:rsidRPr="00CF7716">
        <w:rPr>
          <w:color w:val="000000" w:themeColor="text1"/>
          <w:sz w:val="20"/>
          <w:szCs w:val="20"/>
        </w:rPr>
        <w:t xml:space="preserve">urvival, </w:t>
      </w:r>
      <w:r w:rsidR="00DC03BD" w:rsidRPr="00CF7716">
        <w:rPr>
          <w:color w:val="000000" w:themeColor="text1"/>
          <w:sz w:val="20"/>
          <w:szCs w:val="20"/>
        </w:rPr>
        <w:t>S</w:t>
      </w:r>
      <w:r w:rsidRPr="00CF7716">
        <w:rPr>
          <w:color w:val="000000" w:themeColor="text1"/>
          <w:sz w:val="20"/>
          <w:szCs w:val="20"/>
        </w:rPr>
        <w:t xml:space="preserve">tate-building and </w:t>
      </w:r>
      <w:r w:rsidR="00DC03BD" w:rsidRPr="00CF7716">
        <w:rPr>
          <w:color w:val="000000" w:themeColor="text1"/>
          <w:sz w:val="20"/>
          <w:szCs w:val="20"/>
        </w:rPr>
        <w:t>D</w:t>
      </w:r>
      <w:r w:rsidRPr="00CF7716">
        <w:rPr>
          <w:color w:val="000000" w:themeColor="text1"/>
          <w:sz w:val="20"/>
          <w:szCs w:val="20"/>
        </w:rPr>
        <w:t>emocratisation in Museveni’s Uganda</w:t>
      </w:r>
      <w:r w:rsidR="00DC03BD" w:rsidRPr="00CF7716">
        <w:rPr>
          <w:color w:val="000000" w:themeColor="text1"/>
          <w:sz w:val="20"/>
          <w:szCs w:val="20"/>
        </w:rPr>
        <w:t>’ (2016) 10</w:t>
      </w:r>
      <w:r w:rsidRPr="00CF7716">
        <w:rPr>
          <w:color w:val="000000" w:themeColor="text1"/>
          <w:sz w:val="20"/>
          <w:szCs w:val="20"/>
        </w:rPr>
        <w:t xml:space="preserve"> </w:t>
      </w:r>
      <w:r w:rsidRPr="00CF7716">
        <w:rPr>
          <w:i/>
          <w:iCs/>
          <w:color w:val="000000" w:themeColor="text1"/>
          <w:sz w:val="20"/>
          <w:szCs w:val="20"/>
        </w:rPr>
        <w:t>Journal of Eastern African Studies</w:t>
      </w:r>
      <w:r w:rsidRPr="00CF7716">
        <w:rPr>
          <w:color w:val="000000" w:themeColor="text1"/>
          <w:sz w:val="20"/>
          <w:szCs w:val="20"/>
        </w:rPr>
        <w:t xml:space="preserve"> 601, 614.</w:t>
      </w:r>
    </w:p>
  </w:footnote>
  <w:footnote w:id="144">
    <w:p w14:paraId="7831B133" w14:textId="0F7324DC" w:rsidR="005E5E7D" w:rsidRPr="00CF7716" w:rsidRDefault="005E5E7D"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T Jarvis, ‘The Stabilising Impacts of Corruption in Nepal’s Post-conflict Transition’ (2020) 20 </w:t>
      </w:r>
      <w:r w:rsidRPr="00CF7716">
        <w:rPr>
          <w:i/>
          <w:iCs/>
          <w:color w:val="000000" w:themeColor="text1"/>
          <w:sz w:val="20"/>
          <w:szCs w:val="20"/>
        </w:rPr>
        <w:t>Conflict, Security &amp; Development</w:t>
      </w:r>
      <w:r w:rsidRPr="00CF7716">
        <w:rPr>
          <w:color w:val="000000" w:themeColor="text1"/>
          <w:sz w:val="20"/>
          <w:szCs w:val="20"/>
        </w:rPr>
        <w:t xml:space="preserve"> 165.</w:t>
      </w:r>
    </w:p>
  </w:footnote>
  <w:footnote w:id="145">
    <w:p w14:paraId="2766C4F4" w14:textId="05142F23" w:rsidR="00B34C19" w:rsidRPr="00CF7716" w:rsidRDefault="00B34C19"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T Lavers, ‘Understanding Elite Commitment to Social Protection: Rwanda’s Vision 2020 Umurenge Programme’ in S Hickey </w:t>
      </w:r>
      <w:r w:rsidRPr="00CF7716">
        <w:rPr>
          <w:i/>
          <w:iCs/>
          <w:color w:val="000000" w:themeColor="text1"/>
          <w:sz w:val="20"/>
          <w:szCs w:val="20"/>
        </w:rPr>
        <w:t>et al</w:t>
      </w:r>
      <w:r w:rsidRPr="00CF7716">
        <w:rPr>
          <w:color w:val="000000" w:themeColor="text1"/>
          <w:sz w:val="20"/>
          <w:szCs w:val="20"/>
        </w:rPr>
        <w:t xml:space="preserve"> (eds), </w:t>
      </w:r>
      <w:r w:rsidRPr="00CF7716">
        <w:rPr>
          <w:i/>
          <w:iCs/>
          <w:color w:val="000000" w:themeColor="text1"/>
          <w:sz w:val="20"/>
          <w:szCs w:val="20"/>
        </w:rPr>
        <w:t>The Politics of Social Protection in Eastern and Southern Africa</w:t>
      </w:r>
      <w:r w:rsidRPr="00CF7716">
        <w:rPr>
          <w:color w:val="000000" w:themeColor="text1"/>
          <w:sz w:val="20"/>
          <w:szCs w:val="20"/>
        </w:rPr>
        <w:t xml:space="preserve"> (O</w:t>
      </w:r>
      <w:r w:rsidR="00E26B93">
        <w:rPr>
          <w:color w:val="000000" w:themeColor="text1"/>
          <w:sz w:val="20"/>
          <w:szCs w:val="20"/>
        </w:rPr>
        <w:t xml:space="preserve">xford, Oxford </w:t>
      </w:r>
      <w:r w:rsidRPr="00CF7716">
        <w:rPr>
          <w:color w:val="000000" w:themeColor="text1"/>
          <w:sz w:val="20"/>
          <w:szCs w:val="20"/>
        </w:rPr>
        <w:t>U</w:t>
      </w:r>
      <w:r w:rsidR="00E26B93">
        <w:rPr>
          <w:color w:val="000000" w:themeColor="text1"/>
          <w:sz w:val="20"/>
          <w:szCs w:val="20"/>
        </w:rPr>
        <w:t xml:space="preserve">niversity </w:t>
      </w:r>
      <w:r w:rsidRPr="00CF7716">
        <w:rPr>
          <w:color w:val="000000" w:themeColor="text1"/>
          <w:sz w:val="20"/>
          <w:szCs w:val="20"/>
        </w:rPr>
        <w:t>P</w:t>
      </w:r>
      <w:r w:rsidR="00E26B93">
        <w:rPr>
          <w:color w:val="000000" w:themeColor="text1"/>
          <w:sz w:val="20"/>
          <w:szCs w:val="20"/>
        </w:rPr>
        <w:t>ress,</w:t>
      </w:r>
      <w:r w:rsidRPr="00CF7716">
        <w:rPr>
          <w:color w:val="000000" w:themeColor="text1"/>
          <w:sz w:val="20"/>
          <w:szCs w:val="20"/>
        </w:rPr>
        <w:t xml:space="preserve"> 2019) 97.</w:t>
      </w:r>
    </w:p>
  </w:footnote>
  <w:footnote w:id="146">
    <w:p w14:paraId="43F92322" w14:textId="0EDE57E7" w:rsidR="00993217" w:rsidRPr="00CF7716" w:rsidRDefault="00993217"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M</w:t>
      </w:r>
      <w:r w:rsidR="00C71893" w:rsidRPr="00CF7716">
        <w:rPr>
          <w:color w:val="000000" w:themeColor="text1"/>
          <w:sz w:val="20"/>
          <w:szCs w:val="20"/>
        </w:rPr>
        <w:t xml:space="preserve"> </w:t>
      </w:r>
      <w:r w:rsidRPr="00CF7716">
        <w:rPr>
          <w:rStyle w:val="highlight"/>
          <w:color w:val="000000" w:themeColor="text1"/>
          <w:sz w:val="20"/>
          <w:szCs w:val="20"/>
        </w:rPr>
        <w:t>Khan</w:t>
      </w:r>
      <w:r w:rsidRPr="00CF7716">
        <w:rPr>
          <w:color w:val="000000" w:themeColor="text1"/>
          <w:sz w:val="20"/>
          <w:szCs w:val="20"/>
        </w:rPr>
        <w:t xml:space="preserve">, </w:t>
      </w:r>
      <w:r w:rsidRPr="00CF7716">
        <w:rPr>
          <w:i/>
          <w:iCs/>
          <w:color w:val="000000" w:themeColor="text1"/>
          <w:sz w:val="20"/>
          <w:szCs w:val="20"/>
        </w:rPr>
        <w:t>Political Settlements and the Governance of Growth Enhancing Institutions</w:t>
      </w:r>
      <w:r w:rsidR="00C71893" w:rsidRPr="00CF7716">
        <w:rPr>
          <w:color w:val="000000" w:themeColor="text1"/>
          <w:sz w:val="20"/>
          <w:szCs w:val="20"/>
        </w:rPr>
        <w:t xml:space="preserve"> (</w:t>
      </w:r>
      <w:r w:rsidR="00E26B93">
        <w:rPr>
          <w:color w:val="000000" w:themeColor="text1"/>
          <w:sz w:val="20"/>
          <w:szCs w:val="20"/>
        </w:rPr>
        <w:t xml:space="preserve">London, </w:t>
      </w:r>
      <w:r w:rsidRPr="00CF7716">
        <w:rPr>
          <w:color w:val="000000" w:themeColor="text1"/>
          <w:sz w:val="20"/>
          <w:szCs w:val="20"/>
        </w:rPr>
        <w:t>SOAS</w:t>
      </w:r>
      <w:r w:rsidR="00C71893" w:rsidRPr="00CF7716">
        <w:rPr>
          <w:color w:val="000000" w:themeColor="text1"/>
          <w:sz w:val="20"/>
          <w:szCs w:val="20"/>
        </w:rPr>
        <w:t xml:space="preserve"> </w:t>
      </w:r>
      <w:r w:rsidRPr="00CF7716">
        <w:rPr>
          <w:color w:val="000000" w:themeColor="text1"/>
          <w:sz w:val="20"/>
          <w:szCs w:val="20"/>
        </w:rPr>
        <w:t>2010</w:t>
      </w:r>
      <w:r w:rsidR="00C71893" w:rsidRPr="00CF7716">
        <w:rPr>
          <w:color w:val="000000" w:themeColor="text1"/>
          <w:sz w:val="20"/>
          <w:szCs w:val="20"/>
        </w:rPr>
        <w:t>)</w:t>
      </w:r>
      <w:r w:rsidRPr="00CF7716">
        <w:rPr>
          <w:color w:val="000000" w:themeColor="text1"/>
          <w:sz w:val="20"/>
          <w:szCs w:val="20"/>
        </w:rPr>
        <w:t xml:space="preserve"> 4</w:t>
      </w:r>
      <w:r w:rsidR="00C71893" w:rsidRPr="00CF7716">
        <w:rPr>
          <w:color w:val="000000" w:themeColor="text1"/>
          <w:sz w:val="20"/>
          <w:szCs w:val="20"/>
        </w:rPr>
        <w:t>.</w:t>
      </w:r>
    </w:p>
  </w:footnote>
  <w:footnote w:id="147">
    <w:p w14:paraId="7BF36F33" w14:textId="72500A87" w:rsidR="00993217" w:rsidRPr="00CF7716" w:rsidRDefault="00993217"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003244E7" w:rsidRPr="00CF7716">
        <w:rPr>
          <w:rFonts w:ascii="Times New Roman" w:hAnsi="Times New Roman" w:cs="Times New Roman"/>
          <w:color w:val="000000" w:themeColor="text1"/>
        </w:rPr>
        <w:t>ibid</w:t>
      </w:r>
      <w:r w:rsidRPr="00CF7716">
        <w:rPr>
          <w:rFonts w:ascii="Times New Roman" w:hAnsi="Times New Roman" w:cs="Times New Roman"/>
          <w:color w:val="000000" w:themeColor="text1"/>
        </w:rPr>
        <w:t xml:space="preserve"> 22.</w:t>
      </w:r>
    </w:p>
  </w:footnote>
  <w:footnote w:id="148">
    <w:p w14:paraId="04AFF8B5" w14:textId="409FDDD8" w:rsidR="009F6AE2" w:rsidRPr="00CF7716" w:rsidRDefault="009F6AE2"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445C62" w:rsidRPr="00CF7716">
        <w:rPr>
          <w:color w:val="000000" w:themeColor="text1"/>
          <w:sz w:val="20"/>
          <w:szCs w:val="20"/>
        </w:rPr>
        <w:t xml:space="preserve">P </w:t>
      </w:r>
      <w:r w:rsidRPr="00CF7716">
        <w:rPr>
          <w:color w:val="000000" w:themeColor="text1"/>
          <w:sz w:val="20"/>
          <w:szCs w:val="20"/>
        </w:rPr>
        <w:t>Behuria, L Buur, and H Gray</w:t>
      </w:r>
      <w:r w:rsidR="00445C62" w:rsidRPr="00CF7716">
        <w:rPr>
          <w:color w:val="000000" w:themeColor="text1"/>
          <w:sz w:val="20"/>
          <w:szCs w:val="20"/>
        </w:rPr>
        <w:t>, ‘</w:t>
      </w:r>
      <w:r w:rsidRPr="00CF7716">
        <w:rPr>
          <w:color w:val="000000" w:themeColor="text1"/>
          <w:sz w:val="20"/>
          <w:szCs w:val="20"/>
        </w:rPr>
        <w:t xml:space="preserve">Studying </w:t>
      </w:r>
      <w:r w:rsidR="00445C62" w:rsidRPr="00CF7716">
        <w:rPr>
          <w:color w:val="000000" w:themeColor="text1"/>
          <w:sz w:val="20"/>
          <w:szCs w:val="20"/>
        </w:rPr>
        <w:t>P</w:t>
      </w:r>
      <w:r w:rsidRPr="00CF7716">
        <w:rPr>
          <w:color w:val="000000" w:themeColor="text1"/>
          <w:sz w:val="20"/>
          <w:szCs w:val="20"/>
        </w:rPr>
        <w:t xml:space="preserve">olitical </w:t>
      </w:r>
      <w:r w:rsidR="00445C62" w:rsidRPr="00CF7716">
        <w:rPr>
          <w:color w:val="000000" w:themeColor="text1"/>
          <w:sz w:val="20"/>
          <w:szCs w:val="20"/>
        </w:rPr>
        <w:t>S</w:t>
      </w:r>
      <w:r w:rsidRPr="00CF7716">
        <w:rPr>
          <w:color w:val="000000" w:themeColor="text1"/>
          <w:sz w:val="20"/>
          <w:szCs w:val="20"/>
        </w:rPr>
        <w:t>ettlements in Africa</w:t>
      </w:r>
      <w:r w:rsidR="00445C62" w:rsidRPr="00CF7716">
        <w:rPr>
          <w:color w:val="000000" w:themeColor="text1"/>
          <w:sz w:val="20"/>
          <w:szCs w:val="20"/>
        </w:rPr>
        <w:t>’ (2017) 116</w:t>
      </w:r>
      <w:r w:rsidRPr="00CF7716">
        <w:rPr>
          <w:color w:val="000000" w:themeColor="text1"/>
          <w:sz w:val="20"/>
          <w:szCs w:val="20"/>
        </w:rPr>
        <w:t xml:space="preserve"> </w:t>
      </w:r>
      <w:r w:rsidRPr="00CF7716">
        <w:rPr>
          <w:i/>
          <w:iCs/>
          <w:color w:val="000000" w:themeColor="text1"/>
          <w:sz w:val="20"/>
          <w:szCs w:val="20"/>
        </w:rPr>
        <w:t>African Affairs</w:t>
      </w:r>
      <w:r w:rsidRPr="00CF7716">
        <w:rPr>
          <w:color w:val="000000" w:themeColor="text1"/>
          <w:sz w:val="20"/>
          <w:szCs w:val="20"/>
        </w:rPr>
        <w:t xml:space="preserve"> 508, 522.</w:t>
      </w:r>
    </w:p>
  </w:footnote>
  <w:footnote w:id="149">
    <w:p w14:paraId="5AB51B05" w14:textId="7F1C8B55" w:rsidR="00F974F2" w:rsidRPr="00CF7716" w:rsidRDefault="00F974F2"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C71893" w:rsidRPr="00CF7716">
        <w:rPr>
          <w:color w:val="000000" w:themeColor="text1"/>
          <w:sz w:val="20"/>
          <w:szCs w:val="20"/>
        </w:rPr>
        <w:t xml:space="preserve">E </w:t>
      </w:r>
      <w:r w:rsidR="004E4B6F" w:rsidRPr="00CF7716">
        <w:rPr>
          <w:color w:val="000000" w:themeColor="text1"/>
          <w:sz w:val="20"/>
          <w:szCs w:val="20"/>
        </w:rPr>
        <w:t xml:space="preserve">Budd, </w:t>
      </w:r>
      <w:r w:rsidR="004E4B6F" w:rsidRPr="00CF7716">
        <w:rPr>
          <w:i/>
          <w:iCs/>
          <w:color w:val="000000" w:themeColor="text1"/>
          <w:sz w:val="20"/>
          <w:szCs w:val="20"/>
        </w:rPr>
        <w:t xml:space="preserve">Democratization, </w:t>
      </w:r>
      <w:r w:rsidR="00C71893" w:rsidRPr="00CF7716">
        <w:rPr>
          <w:i/>
          <w:iCs/>
          <w:color w:val="000000" w:themeColor="text1"/>
          <w:sz w:val="20"/>
          <w:szCs w:val="20"/>
        </w:rPr>
        <w:t>D</w:t>
      </w:r>
      <w:r w:rsidR="004E4B6F" w:rsidRPr="00CF7716">
        <w:rPr>
          <w:i/>
          <w:iCs/>
          <w:color w:val="000000" w:themeColor="text1"/>
          <w:sz w:val="20"/>
          <w:szCs w:val="20"/>
        </w:rPr>
        <w:t xml:space="preserve">evelopment, and the </w:t>
      </w:r>
      <w:r w:rsidR="00C71893" w:rsidRPr="00CF7716">
        <w:rPr>
          <w:i/>
          <w:iCs/>
          <w:color w:val="000000" w:themeColor="text1"/>
          <w:sz w:val="20"/>
          <w:szCs w:val="20"/>
        </w:rPr>
        <w:t>P</w:t>
      </w:r>
      <w:r w:rsidR="004E4B6F" w:rsidRPr="00CF7716">
        <w:rPr>
          <w:i/>
          <w:iCs/>
          <w:color w:val="000000" w:themeColor="text1"/>
          <w:sz w:val="20"/>
          <w:szCs w:val="20"/>
        </w:rPr>
        <w:t xml:space="preserve">atrimonial </w:t>
      </w:r>
      <w:r w:rsidR="00C71893" w:rsidRPr="00CF7716">
        <w:rPr>
          <w:i/>
          <w:iCs/>
          <w:color w:val="000000" w:themeColor="text1"/>
          <w:sz w:val="20"/>
          <w:szCs w:val="20"/>
        </w:rPr>
        <w:t>S</w:t>
      </w:r>
      <w:r w:rsidR="004E4B6F" w:rsidRPr="00CF7716">
        <w:rPr>
          <w:i/>
          <w:iCs/>
          <w:color w:val="000000" w:themeColor="text1"/>
          <w:sz w:val="20"/>
          <w:szCs w:val="20"/>
        </w:rPr>
        <w:t xml:space="preserve">tate in the </w:t>
      </w:r>
      <w:r w:rsidR="00C71893" w:rsidRPr="00CF7716">
        <w:rPr>
          <w:i/>
          <w:iCs/>
          <w:color w:val="000000" w:themeColor="text1"/>
          <w:sz w:val="20"/>
          <w:szCs w:val="20"/>
        </w:rPr>
        <w:t>A</w:t>
      </w:r>
      <w:r w:rsidR="004E4B6F" w:rsidRPr="00CF7716">
        <w:rPr>
          <w:i/>
          <w:iCs/>
          <w:color w:val="000000" w:themeColor="text1"/>
          <w:sz w:val="20"/>
          <w:szCs w:val="20"/>
        </w:rPr>
        <w:t xml:space="preserve">ge of </w:t>
      </w:r>
      <w:r w:rsidR="00C71893" w:rsidRPr="00CF7716">
        <w:rPr>
          <w:i/>
          <w:iCs/>
          <w:color w:val="000000" w:themeColor="text1"/>
          <w:sz w:val="20"/>
          <w:szCs w:val="20"/>
        </w:rPr>
        <w:t>G</w:t>
      </w:r>
      <w:r w:rsidR="004E4B6F" w:rsidRPr="00CF7716">
        <w:rPr>
          <w:i/>
          <w:iCs/>
          <w:color w:val="000000" w:themeColor="text1"/>
          <w:sz w:val="20"/>
          <w:szCs w:val="20"/>
        </w:rPr>
        <w:t>lobalization</w:t>
      </w:r>
      <w:r w:rsidR="00C71893" w:rsidRPr="00CF7716">
        <w:rPr>
          <w:color w:val="000000" w:themeColor="text1"/>
          <w:sz w:val="20"/>
          <w:szCs w:val="20"/>
        </w:rPr>
        <w:t xml:space="preserve"> (</w:t>
      </w:r>
      <w:r w:rsidR="00E26B93">
        <w:rPr>
          <w:color w:val="000000" w:themeColor="text1"/>
          <w:sz w:val="20"/>
          <w:szCs w:val="20"/>
        </w:rPr>
        <w:t xml:space="preserve">Lexington, </w:t>
      </w:r>
      <w:r w:rsidR="004E4B6F" w:rsidRPr="00CF7716">
        <w:rPr>
          <w:color w:val="000000" w:themeColor="text1"/>
          <w:sz w:val="20"/>
          <w:szCs w:val="20"/>
        </w:rPr>
        <w:t>Lexington Books 2004</w:t>
      </w:r>
      <w:r w:rsidR="00C71893" w:rsidRPr="00CF7716">
        <w:rPr>
          <w:color w:val="000000" w:themeColor="text1"/>
          <w:sz w:val="20"/>
          <w:szCs w:val="20"/>
        </w:rPr>
        <w:t>)</w:t>
      </w:r>
      <w:r w:rsidR="004E4B6F" w:rsidRPr="00CF7716">
        <w:rPr>
          <w:color w:val="000000" w:themeColor="text1"/>
          <w:sz w:val="20"/>
          <w:szCs w:val="20"/>
        </w:rPr>
        <w:t xml:space="preserve"> 139</w:t>
      </w:r>
      <w:r w:rsidR="00C71893" w:rsidRPr="00CF7716">
        <w:rPr>
          <w:color w:val="000000" w:themeColor="text1"/>
          <w:sz w:val="20"/>
          <w:szCs w:val="20"/>
        </w:rPr>
        <w:t>.</w:t>
      </w:r>
    </w:p>
  </w:footnote>
  <w:footnote w:id="150">
    <w:p w14:paraId="7FAA0E2F" w14:textId="3005AC50" w:rsidR="00615CAF" w:rsidRPr="00CF7716" w:rsidRDefault="00615CAF" w:rsidP="00E65CEB">
      <w:pPr>
        <w:spacing w:line="480" w:lineRule="auto"/>
        <w:rPr>
          <w:color w:val="000000" w:themeColor="text1"/>
          <w:sz w:val="20"/>
          <w:szCs w:val="20"/>
        </w:rPr>
      </w:pPr>
      <w:r w:rsidRPr="00CF7716">
        <w:rPr>
          <w:rStyle w:val="FootnoteReference"/>
          <w:color w:val="000000" w:themeColor="text1"/>
          <w:sz w:val="20"/>
          <w:szCs w:val="20"/>
        </w:rPr>
        <w:footnoteRef/>
      </w:r>
      <w:r w:rsidR="0016568F" w:rsidRPr="00CF7716">
        <w:rPr>
          <w:color w:val="000000" w:themeColor="text1"/>
          <w:sz w:val="20"/>
          <w:szCs w:val="20"/>
        </w:rPr>
        <w:t xml:space="preserve"> Bell and Pospisil</w:t>
      </w:r>
      <w:r w:rsidR="009D150C" w:rsidRPr="00CF7716">
        <w:rPr>
          <w:color w:val="000000" w:themeColor="text1"/>
          <w:sz w:val="20"/>
          <w:szCs w:val="20"/>
        </w:rPr>
        <w:t xml:space="preserve"> (n 124)</w:t>
      </w:r>
      <w:r w:rsidR="0016568F" w:rsidRPr="00CF7716">
        <w:rPr>
          <w:color w:val="000000" w:themeColor="text1"/>
          <w:sz w:val="20"/>
          <w:szCs w:val="20"/>
        </w:rPr>
        <w:t xml:space="preserve"> </w:t>
      </w:r>
      <w:r w:rsidRPr="00CF7716">
        <w:rPr>
          <w:color w:val="000000" w:themeColor="text1"/>
          <w:sz w:val="20"/>
          <w:szCs w:val="20"/>
        </w:rPr>
        <w:t xml:space="preserve"> 578</w:t>
      </w:r>
      <w:r w:rsidR="00445C62" w:rsidRPr="00CF7716">
        <w:rPr>
          <w:color w:val="000000" w:themeColor="text1"/>
          <w:sz w:val="20"/>
          <w:szCs w:val="20"/>
        </w:rPr>
        <w:t>.</w:t>
      </w:r>
    </w:p>
  </w:footnote>
  <w:footnote w:id="151">
    <w:p w14:paraId="381AE28E" w14:textId="1B80D07A" w:rsidR="00615CAF" w:rsidRPr="00CF7716" w:rsidRDefault="00615CAF"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DC03BD" w:rsidRPr="00CF7716">
        <w:rPr>
          <w:color w:val="000000" w:themeColor="text1"/>
          <w:sz w:val="20"/>
          <w:szCs w:val="20"/>
        </w:rPr>
        <w:t xml:space="preserve">P </w:t>
      </w:r>
      <w:r w:rsidRPr="00CF7716">
        <w:rPr>
          <w:color w:val="000000" w:themeColor="text1"/>
          <w:sz w:val="20"/>
          <w:szCs w:val="20"/>
        </w:rPr>
        <w:t xml:space="preserve">Bevan, </w:t>
      </w:r>
      <w:r w:rsidR="00DC03BD" w:rsidRPr="00CF7716">
        <w:rPr>
          <w:color w:val="000000" w:themeColor="text1"/>
          <w:sz w:val="20"/>
          <w:szCs w:val="20"/>
        </w:rPr>
        <w:t>‘</w:t>
      </w:r>
      <w:r w:rsidRPr="00CF7716">
        <w:rPr>
          <w:color w:val="000000" w:themeColor="text1"/>
          <w:sz w:val="20"/>
          <w:szCs w:val="20"/>
        </w:rPr>
        <w:t xml:space="preserve">Conceptualising </w:t>
      </w:r>
      <w:r w:rsidR="00DC03BD" w:rsidRPr="00CF7716">
        <w:rPr>
          <w:color w:val="000000" w:themeColor="text1"/>
          <w:sz w:val="20"/>
          <w:szCs w:val="20"/>
        </w:rPr>
        <w:t>I</w:t>
      </w:r>
      <w:r w:rsidRPr="00CF7716">
        <w:rPr>
          <w:color w:val="000000" w:themeColor="text1"/>
          <w:sz w:val="20"/>
          <w:szCs w:val="20"/>
        </w:rPr>
        <w:t xml:space="preserve">n/security </w:t>
      </w:r>
      <w:r w:rsidR="00DC03BD" w:rsidRPr="00CF7716">
        <w:rPr>
          <w:color w:val="000000" w:themeColor="text1"/>
          <w:sz w:val="20"/>
          <w:szCs w:val="20"/>
        </w:rPr>
        <w:t>R</w:t>
      </w:r>
      <w:r w:rsidRPr="00CF7716">
        <w:rPr>
          <w:color w:val="000000" w:themeColor="text1"/>
          <w:sz w:val="20"/>
          <w:szCs w:val="20"/>
        </w:rPr>
        <w:t>egimes</w:t>
      </w:r>
      <w:r w:rsidR="00DC03BD" w:rsidRPr="00CF7716">
        <w:rPr>
          <w:color w:val="000000" w:themeColor="text1"/>
          <w:sz w:val="20"/>
          <w:szCs w:val="20"/>
        </w:rPr>
        <w:t>’</w:t>
      </w:r>
      <w:r w:rsidRPr="00CF7716">
        <w:rPr>
          <w:color w:val="000000" w:themeColor="text1"/>
          <w:sz w:val="20"/>
          <w:szCs w:val="20"/>
        </w:rPr>
        <w:t xml:space="preserve"> </w:t>
      </w:r>
      <w:r w:rsidR="00DC03BD" w:rsidRPr="00CF7716">
        <w:rPr>
          <w:color w:val="000000" w:themeColor="text1"/>
          <w:sz w:val="20"/>
          <w:szCs w:val="20"/>
        </w:rPr>
        <w:t>i</w:t>
      </w:r>
      <w:r w:rsidRPr="00CF7716">
        <w:rPr>
          <w:color w:val="000000" w:themeColor="text1"/>
          <w:sz w:val="20"/>
          <w:szCs w:val="20"/>
        </w:rPr>
        <w:t xml:space="preserve">n </w:t>
      </w:r>
      <w:r w:rsidR="00DC03BD" w:rsidRPr="00CF7716">
        <w:rPr>
          <w:color w:val="000000" w:themeColor="text1"/>
          <w:sz w:val="20"/>
          <w:szCs w:val="20"/>
        </w:rPr>
        <w:t xml:space="preserve">Gough </w:t>
      </w:r>
      <w:r w:rsidR="00DC03BD" w:rsidRPr="00CF7716">
        <w:rPr>
          <w:i/>
          <w:iCs/>
          <w:color w:val="000000" w:themeColor="text1"/>
          <w:sz w:val="20"/>
          <w:szCs w:val="20"/>
        </w:rPr>
        <w:t>et al</w:t>
      </w:r>
      <w:r w:rsidR="00DC03BD" w:rsidRPr="00CF7716">
        <w:rPr>
          <w:color w:val="000000" w:themeColor="text1"/>
          <w:sz w:val="20"/>
          <w:szCs w:val="20"/>
        </w:rPr>
        <w:t xml:space="preserve"> (eds)</w:t>
      </w:r>
      <w:r w:rsidR="00E41D89" w:rsidRPr="00CF7716">
        <w:rPr>
          <w:color w:val="000000" w:themeColor="text1"/>
          <w:sz w:val="20"/>
          <w:szCs w:val="20"/>
        </w:rPr>
        <w:t xml:space="preserve"> (n 12)</w:t>
      </w:r>
      <w:r w:rsidR="00DC03BD" w:rsidRPr="00CF7716">
        <w:rPr>
          <w:i/>
          <w:iCs/>
          <w:color w:val="000000" w:themeColor="text1"/>
          <w:sz w:val="20"/>
          <w:szCs w:val="20"/>
        </w:rPr>
        <w:t xml:space="preserve"> </w:t>
      </w:r>
      <w:r w:rsidRPr="00CF7716">
        <w:rPr>
          <w:color w:val="000000" w:themeColor="text1"/>
          <w:sz w:val="20"/>
          <w:szCs w:val="20"/>
        </w:rPr>
        <w:t>96.</w:t>
      </w:r>
    </w:p>
  </w:footnote>
  <w:footnote w:id="152">
    <w:p w14:paraId="307DCA7F" w14:textId="1A396593" w:rsidR="00F72B68" w:rsidRPr="00CF7716" w:rsidRDefault="00F72B68"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Kelsall and Vom Hau</w:t>
      </w:r>
      <w:r w:rsidR="009D150C" w:rsidRPr="00CF7716">
        <w:rPr>
          <w:rFonts w:ascii="Times New Roman" w:hAnsi="Times New Roman" w:cs="Times New Roman"/>
          <w:color w:val="000000" w:themeColor="text1"/>
        </w:rPr>
        <w:t xml:space="preserve"> (n 123) </w:t>
      </w:r>
      <w:r w:rsidRPr="00CF7716">
        <w:rPr>
          <w:rFonts w:ascii="Times New Roman" w:hAnsi="Times New Roman" w:cs="Times New Roman"/>
          <w:color w:val="000000" w:themeColor="text1"/>
        </w:rPr>
        <w:t>9</w:t>
      </w:r>
      <w:r w:rsidR="009D150C" w:rsidRPr="00CF7716">
        <w:rPr>
          <w:rFonts w:ascii="Times New Roman" w:hAnsi="Times New Roman" w:cs="Times New Roman"/>
          <w:color w:val="000000" w:themeColor="text1"/>
        </w:rPr>
        <w:t>.</w:t>
      </w:r>
    </w:p>
  </w:footnote>
  <w:footnote w:id="153">
    <w:p w14:paraId="17DC140C" w14:textId="191C8EC2" w:rsidR="00105E68" w:rsidRPr="00CF7716" w:rsidRDefault="00105E68"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445C62" w:rsidRPr="00CF7716">
        <w:rPr>
          <w:color w:val="000000" w:themeColor="text1"/>
          <w:sz w:val="20"/>
          <w:szCs w:val="20"/>
        </w:rPr>
        <w:t xml:space="preserve">P </w:t>
      </w:r>
      <w:r w:rsidRPr="00CF7716">
        <w:rPr>
          <w:color w:val="000000" w:themeColor="text1"/>
          <w:sz w:val="20"/>
          <w:szCs w:val="20"/>
        </w:rPr>
        <w:t xml:space="preserve">McAuliffe, </w:t>
      </w:r>
      <w:r w:rsidR="00445C62" w:rsidRPr="00CF7716">
        <w:rPr>
          <w:color w:val="000000" w:themeColor="text1"/>
          <w:sz w:val="20"/>
          <w:szCs w:val="20"/>
        </w:rPr>
        <w:t>‘</w:t>
      </w:r>
      <w:r w:rsidRPr="00CF7716">
        <w:rPr>
          <w:color w:val="000000" w:themeColor="text1"/>
          <w:sz w:val="20"/>
          <w:szCs w:val="20"/>
        </w:rPr>
        <w:t xml:space="preserve">Weighing </w:t>
      </w:r>
      <w:r w:rsidR="00445C62" w:rsidRPr="00CF7716">
        <w:rPr>
          <w:color w:val="000000" w:themeColor="text1"/>
          <w:sz w:val="20"/>
          <w:szCs w:val="20"/>
        </w:rPr>
        <w:t>D</w:t>
      </w:r>
      <w:r w:rsidRPr="00CF7716">
        <w:rPr>
          <w:color w:val="000000" w:themeColor="text1"/>
          <w:sz w:val="20"/>
          <w:szCs w:val="20"/>
        </w:rPr>
        <w:t xml:space="preserve">omestic and </w:t>
      </w:r>
      <w:r w:rsidR="00445C62" w:rsidRPr="00CF7716">
        <w:rPr>
          <w:color w:val="000000" w:themeColor="text1"/>
          <w:sz w:val="20"/>
          <w:szCs w:val="20"/>
        </w:rPr>
        <w:t>I</w:t>
      </w:r>
      <w:r w:rsidRPr="00CF7716">
        <w:rPr>
          <w:color w:val="000000" w:themeColor="text1"/>
          <w:sz w:val="20"/>
          <w:szCs w:val="20"/>
        </w:rPr>
        <w:t xml:space="preserve">nternational </w:t>
      </w:r>
      <w:r w:rsidR="00445C62" w:rsidRPr="00CF7716">
        <w:rPr>
          <w:color w:val="000000" w:themeColor="text1"/>
          <w:sz w:val="20"/>
          <w:szCs w:val="20"/>
        </w:rPr>
        <w:t>I</w:t>
      </w:r>
      <w:r w:rsidRPr="00CF7716">
        <w:rPr>
          <w:color w:val="000000" w:themeColor="text1"/>
          <w:sz w:val="20"/>
          <w:szCs w:val="20"/>
        </w:rPr>
        <w:t xml:space="preserve">mpediments to </w:t>
      </w:r>
      <w:r w:rsidR="00445C62" w:rsidRPr="00CF7716">
        <w:rPr>
          <w:color w:val="000000" w:themeColor="text1"/>
          <w:sz w:val="20"/>
          <w:szCs w:val="20"/>
        </w:rPr>
        <w:t>T</w:t>
      </w:r>
      <w:r w:rsidRPr="00CF7716">
        <w:rPr>
          <w:color w:val="000000" w:themeColor="text1"/>
          <w:sz w:val="20"/>
          <w:szCs w:val="20"/>
        </w:rPr>
        <w:t xml:space="preserve">ransformative </w:t>
      </w:r>
      <w:r w:rsidR="00445C62" w:rsidRPr="00CF7716">
        <w:rPr>
          <w:color w:val="000000" w:themeColor="text1"/>
          <w:sz w:val="20"/>
          <w:szCs w:val="20"/>
        </w:rPr>
        <w:t>J</w:t>
      </w:r>
      <w:r w:rsidRPr="00CF7716">
        <w:rPr>
          <w:color w:val="000000" w:themeColor="text1"/>
          <w:sz w:val="20"/>
          <w:szCs w:val="20"/>
        </w:rPr>
        <w:t xml:space="preserve">ustice in </w:t>
      </w:r>
      <w:r w:rsidR="00445C62" w:rsidRPr="00CF7716">
        <w:rPr>
          <w:color w:val="000000" w:themeColor="text1"/>
          <w:sz w:val="20"/>
          <w:szCs w:val="20"/>
        </w:rPr>
        <w:t>T</w:t>
      </w:r>
      <w:r w:rsidRPr="00CF7716">
        <w:rPr>
          <w:color w:val="000000" w:themeColor="text1"/>
          <w:sz w:val="20"/>
          <w:szCs w:val="20"/>
        </w:rPr>
        <w:t>ransition</w:t>
      </w:r>
      <w:r w:rsidR="00445C62" w:rsidRPr="00CF7716">
        <w:rPr>
          <w:color w:val="000000" w:themeColor="text1"/>
          <w:sz w:val="20"/>
          <w:szCs w:val="20"/>
        </w:rPr>
        <w:t>’</w:t>
      </w:r>
      <w:r w:rsidRPr="00CF7716">
        <w:rPr>
          <w:color w:val="000000" w:themeColor="text1"/>
          <w:sz w:val="20"/>
          <w:szCs w:val="20"/>
        </w:rPr>
        <w:t xml:space="preserve"> (2015)</w:t>
      </w:r>
      <w:r w:rsidR="00445C62" w:rsidRPr="00CF7716">
        <w:rPr>
          <w:color w:val="000000" w:themeColor="text1"/>
          <w:sz w:val="20"/>
          <w:szCs w:val="20"/>
        </w:rPr>
        <w:t xml:space="preserve"> </w:t>
      </w:r>
      <w:r w:rsidR="00445C62" w:rsidRPr="00CF7716">
        <w:rPr>
          <w:i/>
          <w:iCs/>
          <w:color w:val="000000" w:themeColor="text1"/>
          <w:sz w:val="20"/>
          <w:szCs w:val="20"/>
        </w:rPr>
        <w:t>London Review of International Law</w:t>
      </w:r>
      <w:r w:rsidR="00445C62" w:rsidRPr="00CF7716">
        <w:rPr>
          <w:color w:val="000000" w:themeColor="text1"/>
          <w:sz w:val="20"/>
          <w:szCs w:val="20"/>
        </w:rPr>
        <w:t xml:space="preserve"> </w:t>
      </w:r>
      <w:r w:rsidRPr="00CF7716">
        <w:rPr>
          <w:color w:val="000000" w:themeColor="text1"/>
          <w:sz w:val="20"/>
          <w:szCs w:val="20"/>
        </w:rPr>
        <w:t>169, 171.</w:t>
      </w:r>
    </w:p>
  </w:footnote>
  <w:footnote w:id="154">
    <w:p w14:paraId="27D6C507" w14:textId="036F9806" w:rsidR="00EF48CB" w:rsidRPr="00CF7716" w:rsidRDefault="00EF48CB"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AD3FB7" w:rsidRPr="00CF7716">
        <w:rPr>
          <w:color w:val="000000" w:themeColor="text1"/>
          <w:sz w:val="20"/>
          <w:szCs w:val="20"/>
        </w:rPr>
        <w:t xml:space="preserve">G </w:t>
      </w:r>
      <w:r w:rsidR="00AF38B2" w:rsidRPr="00CF7716">
        <w:rPr>
          <w:color w:val="000000" w:themeColor="text1"/>
          <w:sz w:val="20"/>
          <w:szCs w:val="20"/>
        </w:rPr>
        <w:t>Mohan,</w:t>
      </w:r>
      <w:r w:rsidR="00AD3FB7" w:rsidRPr="00CF7716">
        <w:rPr>
          <w:color w:val="000000" w:themeColor="text1"/>
          <w:sz w:val="20"/>
          <w:szCs w:val="20"/>
        </w:rPr>
        <w:t xml:space="preserve"> ‘Pockets of effectiveness: The contributions of critical political economy and state theory’ (2019) Effective States and Inclusive Development Research Centre Working Paper 118 &lt;https://www.effective-states.org/working-paper-118/ &gt;</w:t>
      </w:r>
    </w:p>
  </w:footnote>
  <w:footnote w:id="155">
    <w:p w14:paraId="10B601FA" w14:textId="66624955" w:rsidR="002F3793" w:rsidRPr="00CF7716" w:rsidRDefault="002F3793"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Behuria, Buur and Gray</w:t>
      </w:r>
      <w:r w:rsidR="003244E7" w:rsidRPr="00CF7716">
        <w:rPr>
          <w:rFonts w:ascii="Times New Roman" w:hAnsi="Times New Roman" w:cs="Times New Roman"/>
          <w:color w:val="000000" w:themeColor="text1"/>
        </w:rPr>
        <w:t xml:space="preserve"> (n 148)</w:t>
      </w:r>
      <w:r w:rsidRPr="00CF7716">
        <w:rPr>
          <w:rFonts w:ascii="Times New Roman" w:hAnsi="Times New Roman" w:cs="Times New Roman"/>
          <w:color w:val="000000" w:themeColor="text1"/>
        </w:rPr>
        <w:t xml:space="preserve"> 512</w:t>
      </w:r>
      <w:r w:rsidR="003244E7" w:rsidRPr="00CF7716">
        <w:rPr>
          <w:rFonts w:ascii="Times New Roman" w:hAnsi="Times New Roman" w:cs="Times New Roman"/>
          <w:color w:val="000000" w:themeColor="text1"/>
        </w:rPr>
        <w:t>.</w:t>
      </w:r>
    </w:p>
  </w:footnote>
  <w:footnote w:id="156">
    <w:p w14:paraId="1B25D61D" w14:textId="66942030" w:rsidR="00480E20" w:rsidRPr="00CF7716" w:rsidRDefault="00480E20"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C71893" w:rsidRPr="00CF7716">
        <w:rPr>
          <w:color w:val="000000" w:themeColor="text1"/>
          <w:sz w:val="20"/>
          <w:szCs w:val="20"/>
        </w:rPr>
        <w:t xml:space="preserve">J </w:t>
      </w:r>
      <w:r w:rsidRPr="00CF7716">
        <w:rPr>
          <w:color w:val="000000" w:themeColor="text1"/>
          <w:sz w:val="20"/>
          <w:szCs w:val="20"/>
        </w:rPr>
        <w:t xml:space="preserve">Scott, </w:t>
      </w:r>
      <w:r w:rsidRPr="00CF7716">
        <w:rPr>
          <w:i/>
          <w:iCs/>
          <w:color w:val="000000" w:themeColor="text1"/>
          <w:sz w:val="20"/>
          <w:szCs w:val="20"/>
        </w:rPr>
        <w:t xml:space="preserve">Seeing like a </w:t>
      </w:r>
      <w:r w:rsidR="00C71893" w:rsidRPr="00CF7716">
        <w:rPr>
          <w:i/>
          <w:iCs/>
          <w:color w:val="000000" w:themeColor="text1"/>
          <w:sz w:val="20"/>
          <w:szCs w:val="20"/>
        </w:rPr>
        <w:t>S</w:t>
      </w:r>
      <w:r w:rsidRPr="00CF7716">
        <w:rPr>
          <w:i/>
          <w:iCs/>
          <w:color w:val="000000" w:themeColor="text1"/>
          <w:sz w:val="20"/>
          <w:szCs w:val="20"/>
        </w:rPr>
        <w:t xml:space="preserve">tate: </w:t>
      </w:r>
      <w:r w:rsidR="00C71893" w:rsidRPr="00CF7716">
        <w:rPr>
          <w:i/>
          <w:iCs/>
          <w:color w:val="000000" w:themeColor="text1"/>
          <w:sz w:val="20"/>
          <w:szCs w:val="20"/>
        </w:rPr>
        <w:t>H</w:t>
      </w:r>
      <w:r w:rsidRPr="00CF7716">
        <w:rPr>
          <w:i/>
          <w:iCs/>
          <w:color w:val="000000" w:themeColor="text1"/>
          <w:sz w:val="20"/>
          <w:szCs w:val="20"/>
        </w:rPr>
        <w:t xml:space="preserve">ow </w:t>
      </w:r>
      <w:r w:rsidR="00C71893" w:rsidRPr="00CF7716">
        <w:rPr>
          <w:i/>
          <w:iCs/>
          <w:color w:val="000000" w:themeColor="text1"/>
          <w:sz w:val="20"/>
          <w:szCs w:val="20"/>
        </w:rPr>
        <w:t>C</w:t>
      </w:r>
      <w:r w:rsidRPr="00CF7716">
        <w:rPr>
          <w:i/>
          <w:iCs/>
          <w:color w:val="000000" w:themeColor="text1"/>
          <w:sz w:val="20"/>
          <w:szCs w:val="20"/>
        </w:rPr>
        <w:t xml:space="preserve">ertain </w:t>
      </w:r>
      <w:r w:rsidR="00C71893" w:rsidRPr="00CF7716">
        <w:rPr>
          <w:i/>
          <w:iCs/>
          <w:color w:val="000000" w:themeColor="text1"/>
          <w:sz w:val="20"/>
          <w:szCs w:val="20"/>
        </w:rPr>
        <w:t>S</w:t>
      </w:r>
      <w:r w:rsidRPr="00CF7716">
        <w:rPr>
          <w:i/>
          <w:iCs/>
          <w:color w:val="000000" w:themeColor="text1"/>
          <w:sz w:val="20"/>
          <w:szCs w:val="20"/>
        </w:rPr>
        <w:t xml:space="preserve">chemes to </w:t>
      </w:r>
      <w:r w:rsidR="00C71893" w:rsidRPr="00CF7716">
        <w:rPr>
          <w:i/>
          <w:iCs/>
          <w:color w:val="000000" w:themeColor="text1"/>
          <w:sz w:val="20"/>
          <w:szCs w:val="20"/>
        </w:rPr>
        <w:t>I</w:t>
      </w:r>
      <w:r w:rsidRPr="00CF7716">
        <w:rPr>
          <w:i/>
          <w:iCs/>
          <w:color w:val="000000" w:themeColor="text1"/>
          <w:sz w:val="20"/>
          <w:szCs w:val="20"/>
        </w:rPr>
        <w:t xml:space="preserve">mprove the </w:t>
      </w:r>
      <w:r w:rsidR="00C71893" w:rsidRPr="00CF7716">
        <w:rPr>
          <w:i/>
          <w:iCs/>
          <w:color w:val="000000" w:themeColor="text1"/>
          <w:sz w:val="20"/>
          <w:szCs w:val="20"/>
        </w:rPr>
        <w:t>H</w:t>
      </w:r>
      <w:r w:rsidRPr="00CF7716">
        <w:rPr>
          <w:i/>
          <w:iCs/>
          <w:color w:val="000000" w:themeColor="text1"/>
          <w:sz w:val="20"/>
          <w:szCs w:val="20"/>
        </w:rPr>
        <w:t xml:space="preserve">uman </w:t>
      </w:r>
      <w:r w:rsidR="00C71893" w:rsidRPr="00CF7716">
        <w:rPr>
          <w:i/>
          <w:iCs/>
          <w:color w:val="000000" w:themeColor="text1"/>
          <w:sz w:val="20"/>
          <w:szCs w:val="20"/>
        </w:rPr>
        <w:t>C</w:t>
      </w:r>
      <w:r w:rsidRPr="00CF7716">
        <w:rPr>
          <w:i/>
          <w:iCs/>
          <w:color w:val="000000" w:themeColor="text1"/>
          <w:sz w:val="20"/>
          <w:szCs w:val="20"/>
        </w:rPr>
        <w:t xml:space="preserve">ondition </w:t>
      </w:r>
      <w:r w:rsidR="00C71893" w:rsidRPr="00CF7716">
        <w:rPr>
          <w:i/>
          <w:iCs/>
          <w:color w:val="000000" w:themeColor="text1"/>
          <w:sz w:val="20"/>
          <w:szCs w:val="20"/>
        </w:rPr>
        <w:t>H</w:t>
      </w:r>
      <w:r w:rsidRPr="00CF7716">
        <w:rPr>
          <w:i/>
          <w:iCs/>
          <w:color w:val="000000" w:themeColor="text1"/>
          <w:sz w:val="20"/>
          <w:szCs w:val="20"/>
        </w:rPr>
        <w:t xml:space="preserve">ave </w:t>
      </w:r>
      <w:r w:rsidR="00C71893" w:rsidRPr="00CF7716">
        <w:rPr>
          <w:i/>
          <w:iCs/>
          <w:color w:val="000000" w:themeColor="text1"/>
          <w:sz w:val="20"/>
          <w:szCs w:val="20"/>
        </w:rPr>
        <w:t>F</w:t>
      </w:r>
      <w:r w:rsidRPr="00CF7716">
        <w:rPr>
          <w:i/>
          <w:iCs/>
          <w:color w:val="000000" w:themeColor="text1"/>
          <w:sz w:val="20"/>
          <w:szCs w:val="20"/>
        </w:rPr>
        <w:t>ailed</w:t>
      </w:r>
      <w:r w:rsidR="00C71893" w:rsidRPr="00CF7716">
        <w:rPr>
          <w:color w:val="000000" w:themeColor="text1"/>
          <w:sz w:val="20"/>
          <w:szCs w:val="20"/>
        </w:rPr>
        <w:t xml:space="preserve"> (</w:t>
      </w:r>
      <w:r w:rsidR="00E26B93">
        <w:rPr>
          <w:color w:val="000000" w:themeColor="text1"/>
          <w:sz w:val="20"/>
          <w:szCs w:val="20"/>
        </w:rPr>
        <w:t xml:space="preserve">New Haven, </w:t>
      </w:r>
      <w:r w:rsidRPr="00CF7716">
        <w:rPr>
          <w:color w:val="000000" w:themeColor="text1"/>
          <w:sz w:val="20"/>
          <w:szCs w:val="20"/>
        </w:rPr>
        <w:t>Yale University Press</w:t>
      </w:r>
      <w:r w:rsidR="00C71893" w:rsidRPr="00CF7716">
        <w:rPr>
          <w:color w:val="000000" w:themeColor="text1"/>
          <w:sz w:val="20"/>
          <w:szCs w:val="20"/>
        </w:rPr>
        <w:t xml:space="preserve"> 1998) </w:t>
      </w:r>
      <w:r w:rsidRPr="00CF7716">
        <w:rPr>
          <w:color w:val="000000" w:themeColor="text1"/>
          <w:sz w:val="20"/>
          <w:szCs w:val="20"/>
        </w:rPr>
        <w:t>51-52</w:t>
      </w:r>
      <w:r w:rsidR="00C71893" w:rsidRPr="00CF7716">
        <w:rPr>
          <w:color w:val="000000" w:themeColor="text1"/>
          <w:sz w:val="20"/>
          <w:szCs w:val="20"/>
        </w:rPr>
        <w:t>.</w:t>
      </w:r>
    </w:p>
  </w:footnote>
  <w:footnote w:id="157">
    <w:p w14:paraId="6ED6FC36" w14:textId="2C81A842" w:rsidR="00931514" w:rsidRPr="00CF7716" w:rsidRDefault="00931514"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Parks and Cole</w:t>
      </w:r>
      <w:r w:rsidR="0016568F" w:rsidRPr="00CF7716">
        <w:rPr>
          <w:rFonts w:ascii="Times New Roman" w:hAnsi="Times New Roman" w:cs="Times New Roman"/>
          <w:color w:val="000000" w:themeColor="text1"/>
        </w:rPr>
        <w:t xml:space="preserve"> (n 29)</w:t>
      </w:r>
      <w:r w:rsidRPr="00CF7716">
        <w:rPr>
          <w:rFonts w:ascii="Times New Roman" w:hAnsi="Times New Roman" w:cs="Times New Roman"/>
          <w:color w:val="000000" w:themeColor="text1"/>
        </w:rPr>
        <w:t xml:space="preserve"> </w:t>
      </w:r>
      <w:r w:rsidR="00020DBC" w:rsidRPr="00CF7716">
        <w:rPr>
          <w:rFonts w:ascii="Times New Roman" w:hAnsi="Times New Roman" w:cs="Times New Roman"/>
          <w:color w:val="000000" w:themeColor="text1"/>
        </w:rPr>
        <w:t>5</w:t>
      </w:r>
      <w:r w:rsidR="0016568F" w:rsidRPr="00CF7716">
        <w:rPr>
          <w:rFonts w:ascii="Times New Roman" w:hAnsi="Times New Roman" w:cs="Times New Roman"/>
          <w:color w:val="000000" w:themeColor="text1"/>
        </w:rPr>
        <w:t>.</w:t>
      </w:r>
    </w:p>
  </w:footnote>
  <w:footnote w:id="158">
    <w:p w14:paraId="5F614D45" w14:textId="4F441D8D" w:rsidR="00032592" w:rsidRPr="00CF7716" w:rsidRDefault="00032592"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445C62" w:rsidRPr="00CF7716">
        <w:rPr>
          <w:color w:val="000000" w:themeColor="text1"/>
          <w:sz w:val="20"/>
          <w:szCs w:val="20"/>
        </w:rPr>
        <w:t xml:space="preserve">D </w:t>
      </w:r>
      <w:r w:rsidRPr="00CF7716">
        <w:rPr>
          <w:color w:val="000000" w:themeColor="text1"/>
          <w:sz w:val="20"/>
          <w:szCs w:val="20"/>
        </w:rPr>
        <w:t>Pion-Berlin,</w:t>
      </w:r>
      <w:r w:rsidR="00445C62" w:rsidRPr="00CF7716">
        <w:rPr>
          <w:color w:val="000000" w:themeColor="text1"/>
          <w:sz w:val="20"/>
          <w:szCs w:val="20"/>
        </w:rPr>
        <w:t xml:space="preserve"> ‘</w:t>
      </w:r>
      <w:r w:rsidRPr="00CF7716">
        <w:rPr>
          <w:color w:val="000000" w:themeColor="text1"/>
          <w:sz w:val="20"/>
          <w:szCs w:val="20"/>
        </w:rPr>
        <w:t>Informal Civil—Military Relations in Latin America: Why Politicians and Soldiers Choose Unofficial Venues</w:t>
      </w:r>
      <w:r w:rsidR="00445C62" w:rsidRPr="00CF7716">
        <w:rPr>
          <w:color w:val="000000" w:themeColor="text1"/>
          <w:sz w:val="20"/>
          <w:szCs w:val="20"/>
        </w:rPr>
        <w:t>’ (2010) 36</w:t>
      </w:r>
      <w:r w:rsidRPr="00CF7716">
        <w:rPr>
          <w:color w:val="000000" w:themeColor="text1"/>
          <w:sz w:val="20"/>
          <w:szCs w:val="20"/>
        </w:rPr>
        <w:t xml:space="preserve"> </w:t>
      </w:r>
      <w:r w:rsidRPr="00CF7716">
        <w:rPr>
          <w:i/>
          <w:iCs/>
          <w:color w:val="000000" w:themeColor="text1"/>
          <w:sz w:val="20"/>
          <w:szCs w:val="20"/>
        </w:rPr>
        <w:t>Armed Forces &amp; Society</w:t>
      </w:r>
      <w:r w:rsidRPr="00CF7716">
        <w:rPr>
          <w:color w:val="000000" w:themeColor="text1"/>
          <w:sz w:val="20"/>
          <w:szCs w:val="20"/>
        </w:rPr>
        <w:t xml:space="preserve"> 526, 533-535</w:t>
      </w:r>
      <w:r w:rsidR="00445C62" w:rsidRPr="00CF7716">
        <w:rPr>
          <w:color w:val="000000" w:themeColor="text1"/>
          <w:sz w:val="20"/>
          <w:szCs w:val="20"/>
        </w:rPr>
        <w:t>.</w:t>
      </w:r>
    </w:p>
  </w:footnote>
  <w:footnote w:id="159">
    <w:p w14:paraId="5D2011B0" w14:textId="0BBA943E" w:rsidR="008A2A45" w:rsidRPr="00CF7716" w:rsidRDefault="008A2A45"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AD3FB7" w:rsidRPr="00CF7716">
        <w:rPr>
          <w:color w:val="000000" w:themeColor="text1"/>
          <w:sz w:val="20"/>
          <w:szCs w:val="20"/>
        </w:rPr>
        <w:t xml:space="preserve">B </w:t>
      </w:r>
      <w:r w:rsidRPr="00CF7716">
        <w:rPr>
          <w:color w:val="000000" w:themeColor="text1"/>
          <w:sz w:val="20"/>
          <w:szCs w:val="20"/>
        </w:rPr>
        <w:t>Bukenya and P Yanguas</w:t>
      </w:r>
      <w:r w:rsidR="002751BB" w:rsidRPr="00CF7716">
        <w:rPr>
          <w:color w:val="000000" w:themeColor="text1"/>
          <w:sz w:val="20"/>
          <w:szCs w:val="20"/>
        </w:rPr>
        <w:t>, ‘</w:t>
      </w:r>
      <w:r w:rsidRPr="00CF7716">
        <w:rPr>
          <w:color w:val="000000" w:themeColor="text1"/>
          <w:sz w:val="20"/>
          <w:szCs w:val="20"/>
        </w:rPr>
        <w:t>Building state capacity for inclusive development: The politics of public sector reform</w:t>
      </w:r>
      <w:r w:rsidR="002751BB" w:rsidRPr="00CF7716">
        <w:rPr>
          <w:color w:val="000000" w:themeColor="text1"/>
          <w:sz w:val="20"/>
          <w:szCs w:val="20"/>
        </w:rPr>
        <w:t>’</w:t>
      </w:r>
      <w:r w:rsidRPr="00CF7716">
        <w:rPr>
          <w:color w:val="000000" w:themeColor="text1"/>
          <w:sz w:val="20"/>
          <w:szCs w:val="20"/>
        </w:rPr>
        <w:t xml:space="preserve"> (2013</w:t>
      </w:r>
      <w:r w:rsidR="002751BB" w:rsidRPr="00CF7716">
        <w:rPr>
          <w:color w:val="000000" w:themeColor="text1"/>
          <w:sz w:val="20"/>
          <w:szCs w:val="20"/>
        </w:rPr>
        <w:t>) Effective States and Inclusive Development Research Centre Working Paper No.25, 14 &lt; https://www.effective-states.org/working-paper-25/&gt; accessed 1 June 2022.</w:t>
      </w:r>
    </w:p>
  </w:footnote>
  <w:footnote w:id="160">
    <w:p w14:paraId="49AB44B8" w14:textId="6C9C5549" w:rsidR="001D1567" w:rsidRPr="00CF7716" w:rsidRDefault="001D1567"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445C62" w:rsidRPr="00CF7716">
        <w:rPr>
          <w:color w:val="000000" w:themeColor="text1"/>
          <w:sz w:val="20"/>
          <w:szCs w:val="20"/>
        </w:rPr>
        <w:t xml:space="preserve">G </w:t>
      </w:r>
      <w:r w:rsidR="00DB4763" w:rsidRPr="00CF7716">
        <w:rPr>
          <w:color w:val="000000" w:themeColor="text1"/>
          <w:sz w:val="20"/>
          <w:szCs w:val="20"/>
        </w:rPr>
        <w:t>Helmke and S Levitsky</w:t>
      </w:r>
      <w:r w:rsidR="00445C62" w:rsidRPr="00CF7716">
        <w:rPr>
          <w:color w:val="000000" w:themeColor="text1"/>
          <w:sz w:val="20"/>
          <w:szCs w:val="20"/>
        </w:rPr>
        <w:t>, ‘</w:t>
      </w:r>
      <w:r w:rsidR="00DB4763" w:rsidRPr="00CF7716">
        <w:rPr>
          <w:color w:val="000000" w:themeColor="text1"/>
          <w:sz w:val="20"/>
          <w:szCs w:val="20"/>
        </w:rPr>
        <w:t xml:space="preserve">Informal </w:t>
      </w:r>
      <w:r w:rsidR="00445C62" w:rsidRPr="00CF7716">
        <w:rPr>
          <w:color w:val="000000" w:themeColor="text1"/>
          <w:sz w:val="20"/>
          <w:szCs w:val="20"/>
        </w:rPr>
        <w:t>I</w:t>
      </w:r>
      <w:r w:rsidR="00DB4763" w:rsidRPr="00CF7716">
        <w:rPr>
          <w:color w:val="000000" w:themeColor="text1"/>
          <w:sz w:val="20"/>
          <w:szCs w:val="20"/>
        </w:rPr>
        <w:t xml:space="preserve">nstitutions and </w:t>
      </w:r>
      <w:r w:rsidR="00445C62" w:rsidRPr="00CF7716">
        <w:rPr>
          <w:color w:val="000000" w:themeColor="text1"/>
          <w:sz w:val="20"/>
          <w:szCs w:val="20"/>
        </w:rPr>
        <w:t>C</w:t>
      </w:r>
      <w:r w:rsidR="00DB4763" w:rsidRPr="00CF7716">
        <w:rPr>
          <w:color w:val="000000" w:themeColor="text1"/>
          <w:sz w:val="20"/>
          <w:szCs w:val="20"/>
        </w:rPr>
        <w:t xml:space="preserve">omparative </w:t>
      </w:r>
      <w:r w:rsidR="00445C62" w:rsidRPr="00CF7716">
        <w:rPr>
          <w:color w:val="000000" w:themeColor="text1"/>
          <w:sz w:val="20"/>
          <w:szCs w:val="20"/>
        </w:rPr>
        <w:t>P</w:t>
      </w:r>
      <w:r w:rsidR="00DB4763" w:rsidRPr="00CF7716">
        <w:rPr>
          <w:color w:val="000000" w:themeColor="text1"/>
          <w:sz w:val="20"/>
          <w:szCs w:val="20"/>
        </w:rPr>
        <w:t xml:space="preserve">olitics: A </w:t>
      </w:r>
      <w:r w:rsidR="00445C62" w:rsidRPr="00CF7716">
        <w:rPr>
          <w:color w:val="000000" w:themeColor="text1"/>
          <w:sz w:val="20"/>
          <w:szCs w:val="20"/>
        </w:rPr>
        <w:t>R</w:t>
      </w:r>
      <w:r w:rsidR="00DB4763" w:rsidRPr="00CF7716">
        <w:rPr>
          <w:color w:val="000000" w:themeColor="text1"/>
          <w:sz w:val="20"/>
          <w:szCs w:val="20"/>
        </w:rPr>
        <w:t xml:space="preserve">esearch </w:t>
      </w:r>
      <w:r w:rsidR="00445C62" w:rsidRPr="00CF7716">
        <w:rPr>
          <w:color w:val="000000" w:themeColor="text1"/>
          <w:sz w:val="20"/>
          <w:szCs w:val="20"/>
        </w:rPr>
        <w:t>A</w:t>
      </w:r>
      <w:r w:rsidR="00DB4763" w:rsidRPr="00CF7716">
        <w:rPr>
          <w:color w:val="000000" w:themeColor="text1"/>
          <w:sz w:val="20"/>
          <w:szCs w:val="20"/>
        </w:rPr>
        <w:t>genda</w:t>
      </w:r>
      <w:r w:rsidR="00445C62" w:rsidRPr="00CF7716">
        <w:rPr>
          <w:color w:val="000000" w:themeColor="text1"/>
          <w:sz w:val="20"/>
          <w:szCs w:val="20"/>
        </w:rPr>
        <w:t>’ (2004)</w:t>
      </w:r>
      <w:r w:rsidR="00DB4763" w:rsidRPr="00CF7716">
        <w:rPr>
          <w:color w:val="000000" w:themeColor="text1"/>
          <w:sz w:val="20"/>
          <w:szCs w:val="20"/>
        </w:rPr>
        <w:t xml:space="preserve"> </w:t>
      </w:r>
      <w:r w:rsidR="00445C62" w:rsidRPr="00CF7716">
        <w:rPr>
          <w:color w:val="000000" w:themeColor="text1"/>
          <w:sz w:val="20"/>
          <w:szCs w:val="20"/>
        </w:rPr>
        <w:t xml:space="preserve">2 </w:t>
      </w:r>
      <w:r w:rsidR="00DB4763" w:rsidRPr="00CF7716">
        <w:rPr>
          <w:i/>
          <w:iCs/>
          <w:color w:val="000000" w:themeColor="text1"/>
          <w:sz w:val="20"/>
          <w:szCs w:val="20"/>
        </w:rPr>
        <w:t xml:space="preserve">Perspectives on </w:t>
      </w:r>
      <w:r w:rsidR="00445C62" w:rsidRPr="00CF7716">
        <w:rPr>
          <w:i/>
          <w:iCs/>
          <w:color w:val="000000" w:themeColor="text1"/>
          <w:sz w:val="20"/>
          <w:szCs w:val="20"/>
        </w:rPr>
        <w:t>P</w:t>
      </w:r>
      <w:r w:rsidR="00DB4763" w:rsidRPr="00CF7716">
        <w:rPr>
          <w:i/>
          <w:iCs/>
          <w:color w:val="000000" w:themeColor="text1"/>
          <w:sz w:val="20"/>
          <w:szCs w:val="20"/>
        </w:rPr>
        <w:t>olitics</w:t>
      </w:r>
      <w:r w:rsidR="00DB4763" w:rsidRPr="00CF7716">
        <w:rPr>
          <w:color w:val="000000" w:themeColor="text1"/>
          <w:sz w:val="20"/>
          <w:szCs w:val="20"/>
        </w:rPr>
        <w:t xml:space="preserve"> 725, 728-729.</w:t>
      </w:r>
    </w:p>
  </w:footnote>
  <w:footnote w:id="161">
    <w:p w14:paraId="76652477" w14:textId="4F132874" w:rsidR="00B77564" w:rsidRPr="00CF7716" w:rsidRDefault="00B77564"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445C62" w:rsidRPr="00CF7716">
        <w:rPr>
          <w:color w:val="000000" w:themeColor="text1"/>
          <w:sz w:val="20"/>
          <w:szCs w:val="20"/>
        </w:rPr>
        <w:t xml:space="preserve">S </w:t>
      </w:r>
      <w:r w:rsidRPr="00CF7716">
        <w:rPr>
          <w:color w:val="000000" w:themeColor="text1"/>
          <w:sz w:val="20"/>
          <w:szCs w:val="20"/>
        </w:rPr>
        <w:t xml:space="preserve">Hameiri, </w:t>
      </w:r>
      <w:r w:rsidR="00445C62" w:rsidRPr="00CF7716">
        <w:rPr>
          <w:color w:val="000000" w:themeColor="text1"/>
          <w:sz w:val="20"/>
          <w:szCs w:val="20"/>
        </w:rPr>
        <w:t>‘</w:t>
      </w:r>
      <w:r w:rsidRPr="00CF7716">
        <w:rPr>
          <w:color w:val="000000" w:themeColor="text1"/>
          <w:sz w:val="20"/>
          <w:szCs w:val="20"/>
        </w:rPr>
        <w:t xml:space="preserve">Failed </w:t>
      </w:r>
      <w:r w:rsidR="00445C62" w:rsidRPr="00CF7716">
        <w:rPr>
          <w:color w:val="000000" w:themeColor="text1"/>
          <w:sz w:val="20"/>
          <w:szCs w:val="20"/>
        </w:rPr>
        <w:t>S</w:t>
      </w:r>
      <w:r w:rsidRPr="00CF7716">
        <w:rPr>
          <w:color w:val="000000" w:themeColor="text1"/>
          <w:sz w:val="20"/>
          <w:szCs w:val="20"/>
        </w:rPr>
        <w:t xml:space="preserve">tates or a </w:t>
      </w:r>
      <w:r w:rsidR="00445C62" w:rsidRPr="00CF7716">
        <w:rPr>
          <w:color w:val="000000" w:themeColor="text1"/>
          <w:sz w:val="20"/>
          <w:szCs w:val="20"/>
        </w:rPr>
        <w:t>F</w:t>
      </w:r>
      <w:r w:rsidRPr="00CF7716">
        <w:rPr>
          <w:color w:val="000000" w:themeColor="text1"/>
          <w:sz w:val="20"/>
          <w:szCs w:val="20"/>
        </w:rPr>
        <w:t xml:space="preserve">ailed </w:t>
      </w:r>
      <w:r w:rsidR="00445C62" w:rsidRPr="00CF7716">
        <w:rPr>
          <w:color w:val="000000" w:themeColor="text1"/>
          <w:sz w:val="20"/>
          <w:szCs w:val="20"/>
        </w:rPr>
        <w:t>P</w:t>
      </w:r>
      <w:r w:rsidRPr="00CF7716">
        <w:rPr>
          <w:color w:val="000000" w:themeColor="text1"/>
          <w:sz w:val="20"/>
          <w:szCs w:val="20"/>
        </w:rPr>
        <w:t xml:space="preserve">aradigm? State </w:t>
      </w:r>
      <w:r w:rsidR="00445C62" w:rsidRPr="00CF7716">
        <w:rPr>
          <w:color w:val="000000" w:themeColor="text1"/>
          <w:sz w:val="20"/>
          <w:szCs w:val="20"/>
        </w:rPr>
        <w:t>C</w:t>
      </w:r>
      <w:r w:rsidRPr="00CF7716">
        <w:rPr>
          <w:color w:val="000000" w:themeColor="text1"/>
          <w:sz w:val="20"/>
          <w:szCs w:val="20"/>
        </w:rPr>
        <w:t xml:space="preserve">apacity and the </w:t>
      </w:r>
      <w:r w:rsidR="00445C62" w:rsidRPr="00CF7716">
        <w:rPr>
          <w:color w:val="000000" w:themeColor="text1"/>
          <w:sz w:val="20"/>
          <w:szCs w:val="20"/>
        </w:rPr>
        <w:t>L</w:t>
      </w:r>
      <w:r w:rsidRPr="00CF7716">
        <w:rPr>
          <w:color w:val="000000" w:themeColor="text1"/>
          <w:sz w:val="20"/>
          <w:szCs w:val="20"/>
        </w:rPr>
        <w:t xml:space="preserve">imits of </w:t>
      </w:r>
      <w:r w:rsidR="00445C62" w:rsidRPr="00CF7716">
        <w:rPr>
          <w:color w:val="000000" w:themeColor="text1"/>
          <w:sz w:val="20"/>
          <w:szCs w:val="20"/>
        </w:rPr>
        <w:t>I</w:t>
      </w:r>
      <w:r w:rsidRPr="00CF7716">
        <w:rPr>
          <w:color w:val="000000" w:themeColor="text1"/>
          <w:sz w:val="20"/>
          <w:szCs w:val="20"/>
        </w:rPr>
        <w:t>nstitutionalism</w:t>
      </w:r>
      <w:r w:rsidR="00445C62" w:rsidRPr="00CF7716">
        <w:rPr>
          <w:color w:val="000000" w:themeColor="text1"/>
          <w:sz w:val="20"/>
          <w:szCs w:val="20"/>
        </w:rPr>
        <w:t>’ (2007) 10</w:t>
      </w:r>
      <w:r w:rsidRPr="00CF7716">
        <w:rPr>
          <w:color w:val="000000" w:themeColor="text1"/>
          <w:sz w:val="20"/>
          <w:szCs w:val="20"/>
        </w:rPr>
        <w:t xml:space="preserve"> </w:t>
      </w:r>
      <w:r w:rsidRPr="00CF7716">
        <w:rPr>
          <w:i/>
          <w:iCs/>
          <w:color w:val="000000" w:themeColor="text1"/>
          <w:sz w:val="20"/>
          <w:szCs w:val="20"/>
        </w:rPr>
        <w:t xml:space="preserve">Journal of </w:t>
      </w:r>
      <w:r w:rsidR="00445C62" w:rsidRPr="00CF7716">
        <w:rPr>
          <w:i/>
          <w:iCs/>
          <w:color w:val="000000" w:themeColor="text1"/>
          <w:sz w:val="20"/>
          <w:szCs w:val="20"/>
        </w:rPr>
        <w:t>I</w:t>
      </w:r>
      <w:r w:rsidRPr="00CF7716">
        <w:rPr>
          <w:i/>
          <w:iCs/>
          <w:color w:val="000000" w:themeColor="text1"/>
          <w:sz w:val="20"/>
          <w:szCs w:val="20"/>
        </w:rPr>
        <w:t xml:space="preserve">nternational </w:t>
      </w:r>
      <w:r w:rsidR="00445C62" w:rsidRPr="00CF7716">
        <w:rPr>
          <w:i/>
          <w:iCs/>
          <w:color w:val="000000" w:themeColor="text1"/>
          <w:sz w:val="20"/>
          <w:szCs w:val="20"/>
        </w:rPr>
        <w:t>R</w:t>
      </w:r>
      <w:r w:rsidRPr="00CF7716">
        <w:rPr>
          <w:i/>
          <w:iCs/>
          <w:color w:val="000000" w:themeColor="text1"/>
          <w:sz w:val="20"/>
          <w:szCs w:val="20"/>
        </w:rPr>
        <w:t xml:space="preserve">elations and </w:t>
      </w:r>
      <w:r w:rsidR="00445C62" w:rsidRPr="00CF7716">
        <w:rPr>
          <w:i/>
          <w:iCs/>
          <w:color w:val="000000" w:themeColor="text1"/>
          <w:sz w:val="20"/>
          <w:szCs w:val="20"/>
        </w:rPr>
        <w:t>D</w:t>
      </w:r>
      <w:r w:rsidRPr="00CF7716">
        <w:rPr>
          <w:i/>
          <w:iCs/>
          <w:color w:val="000000" w:themeColor="text1"/>
          <w:sz w:val="20"/>
          <w:szCs w:val="20"/>
        </w:rPr>
        <w:t>evelopment</w:t>
      </w:r>
      <w:r w:rsidRPr="00CF7716">
        <w:rPr>
          <w:color w:val="000000" w:themeColor="text1"/>
          <w:sz w:val="20"/>
          <w:szCs w:val="20"/>
        </w:rPr>
        <w:t xml:space="preserve"> 122, 140</w:t>
      </w:r>
      <w:r w:rsidR="00445C62" w:rsidRPr="00CF7716">
        <w:rPr>
          <w:color w:val="000000" w:themeColor="text1"/>
          <w:sz w:val="20"/>
          <w:szCs w:val="20"/>
        </w:rPr>
        <w:t>.</w:t>
      </w:r>
    </w:p>
  </w:footnote>
  <w:footnote w:id="162">
    <w:p w14:paraId="6B207CF4" w14:textId="53593253" w:rsidR="009561BF" w:rsidRPr="00CF7716" w:rsidRDefault="009561BF"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00804E82" w:rsidRPr="00CF7716">
        <w:rPr>
          <w:rFonts w:ascii="Times New Roman" w:hAnsi="Times New Roman" w:cs="Times New Roman"/>
          <w:color w:val="000000" w:themeColor="text1"/>
        </w:rPr>
        <w:t>D Booth, Fighting Poverty in Africa: Are PRSPs Making a</w:t>
      </w:r>
      <w:r w:rsidR="0073370B" w:rsidRPr="00CF7716">
        <w:rPr>
          <w:rFonts w:ascii="Times New Roman" w:hAnsi="Times New Roman" w:cs="Times New Roman"/>
          <w:color w:val="000000" w:themeColor="text1"/>
        </w:rPr>
        <w:t xml:space="preserve"> </w:t>
      </w:r>
      <w:r w:rsidR="00804E82" w:rsidRPr="00CF7716">
        <w:rPr>
          <w:rFonts w:ascii="Times New Roman" w:hAnsi="Times New Roman" w:cs="Times New Roman"/>
          <w:color w:val="000000" w:themeColor="text1"/>
        </w:rPr>
        <w:t>Difference? (Overseas Development Institute 2003), 10.</w:t>
      </w:r>
    </w:p>
  </w:footnote>
  <w:footnote w:id="163">
    <w:p w14:paraId="4ADAE98E" w14:textId="76C039D2" w:rsidR="0075119D" w:rsidRPr="00CF7716" w:rsidRDefault="0075119D"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2751BB" w:rsidRPr="00CF7716">
        <w:rPr>
          <w:color w:val="000000" w:themeColor="text1"/>
          <w:sz w:val="20"/>
          <w:szCs w:val="20"/>
        </w:rPr>
        <w:t xml:space="preserve">S </w:t>
      </w:r>
      <w:r w:rsidRPr="00CF7716">
        <w:rPr>
          <w:color w:val="000000" w:themeColor="text1"/>
          <w:sz w:val="20"/>
          <w:szCs w:val="20"/>
        </w:rPr>
        <w:t xml:space="preserve">Hickey, ‘Thinking about the politics of inclusive development: </w:t>
      </w:r>
      <w:r w:rsidRPr="00CF7716">
        <w:rPr>
          <w:rStyle w:val="highlight"/>
          <w:color w:val="000000" w:themeColor="text1"/>
          <w:sz w:val="20"/>
          <w:szCs w:val="20"/>
        </w:rPr>
        <w:t>Towards a</w:t>
      </w:r>
      <w:r w:rsidRPr="00CF7716">
        <w:rPr>
          <w:color w:val="000000" w:themeColor="text1"/>
          <w:sz w:val="20"/>
          <w:szCs w:val="20"/>
        </w:rPr>
        <w:t xml:space="preserve"> </w:t>
      </w:r>
      <w:r w:rsidRPr="00CF7716">
        <w:rPr>
          <w:rStyle w:val="highlight"/>
          <w:color w:val="000000" w:themeColor="text1"/>
          <w:sz w:val="20"/>
          <w:szCs w:val="20"/>
        </w:rPr>
        <w:t>rela</w:t>
      </w:r>
      <w:r w:rsidRPr="00CF7716">
        <w:rPr>
          <w:color w:val="000000" w:themeColor="text1"/>
          <w:sz w:val="20"/>
          <w:szCs w:val="20"/>
        </w:rPr>
        <w:t>tional approach’</w:t>
      </w:r>
      <w:r w:rsidR="002751BB" w:rsidRPr="00CF7716">
        <w:rPr>
          <w:color w:val="000000" w:themeColor="text1"/>
          <w:sz w:val="20"/>
          <w:szCs w:val="20"/>
        </w:rPr>
        <w:t xml:space="preserve"> (2013) Effective States and Inclusive Development Research Centre Working Paper No.1</w:t>
      </w:r>
      <w:r w:rsidRPr="00CF7716">
        <w:rPr>
          <w:color w:val="000000" w:themeColor="text1"/>
          <w:sz w:val="20"/>
          <w:szCs w:val="20"/>
        </w:rPr>
        <w:t>, 8</w:t>
      </w:r>
      <w:r w:rsidR="00124B72" w:rsidRPr="00CF7716">
        <w:rPr>
          <w:color w:val="000000" w:themeColor="text1"/>
          <w:sz w:val="20"/>
          <w:szCs w:val="20"/>
        </w:rPr>
        <w:t xml:space="preserve"> &lt;https://www.effective-states.org/wp-content/uploads/working_papers/final-pdfs/esid_wp_01_hickey.pdf&gt; accessed 1 June 2022.</w:t>
      </w:r>
    </w:p>
  </w:footnote>
  <w:footnote w:id="164">
    <w:p w14:paraId="25DADBD2" w14:textId="6C558BE4" w:rsidR="00F23F48" w:rsidRPr="00CF7716" w:rsidRDefault="00F23F48"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0A5C65" w:rsidRPr="00CF7716">
        <w:rPr>
          <w:color w:val="000000" w:themeColor="text1"/>
          <w:sz w:val="20"/>
          <w:szCs w:val="20"/>
        </w:rPr>
        <w:t xml:space="preserve">S </w:t>
      </w:r>
      <w:r w:rsidRPr="00CF7716">
        <w:rPr>
          <w:color w:val="000000" w:themeColor="text1"/>
          <w:sz w:val="20"/>
          <w:szCs w:val="20"/>
        </w:rPr>
        <w:t>Bro</w:t>
      </w:r>
      <w:r w:rsidR="000A5C65" w:rsidRPr="00CF7716">
        <w:rPr>
          <w:color w:val="000000" w:themeColor="text1"/>
          <w:sz w:val="20"/>
          <w:szCs w:val="20"/>
        </w:rPr>
        <w:t xml:space="preserve">wn </w:t>
      </w:r>
      <w:r w:rsidRPr="00CF7716">
        <w:rPr>
          <w:color w:val="000000" w:themeColor="text1"/>
          <w:sz w:val="20"/>
          <w:szCs w:val="20"/>
        </w:rPr>
        <w:t xml:space="preserve">and </w:t>
      </w:r>
      <w:r w:rsidR="000A5C65" w:rsidRPr="00CF7716">
        <w:rPr>
          <w:color w:val="000000" w:themeColor="text1"/>
          <w:sz w:val="20"/>
          <w:szCs w:val="20"/>
        </w:rPr>
        <w:t xml:space="preserve">J </w:t>
      </w:r>
      <w:r w:rsidRPr="00CF7716">
        <w:rPr>
          <w:color w:val="000000" w:themeColor="text1"/>
          <w:sz w:val="20"/>
          <w:szCs w:val="20"/>
        </w:rPr>
        <w:t>Gravingholt</w:t>
      </w:r>
      <w:r w:rsidR="000A5C65" w:rsidRPr="00CF7716">
        <w:rPr>
          <w:color w:val="000000" w:themeColor="text1"/>
          <w:sz w:val="20"/>
          <w:szCs w:val="20"/>
        </w:rPr>
        <w:t xml:space="preserve">, </w:t>
      </w:r>
      <w:r w:rsidRPr="00CF7716">
        <w:rPr>
          <w:i/>
          <w:iCs/>
          <w:color w:val="000000" w:themeColor="text1"/>
          <w:sz w:val="20"/>
          <w:szCs w:val="20"/>
        </w:rPr>
        <w:t>Political Settlements in Peacebuilding and State Building</w:t>
      </w:r>
      <w:r w:rsidR="000A5C65" w:rsidRPr="00CF7716">
        <w:rPr>
          <w:color w:val="000000" w:themeColor="text1"/>
          <w:sz w:val="20"/>
          <w:szCs w:val="20"/>
        </w:rPr>
        <w:t xml:space="preserve"> (</w:t>
      </w:r>
      <w:r w:rsidR="00E26B93">
        <w:rPr>
          <w:color w:val="000000" w:themeColor="text1"/>
          <w:sz w:val="20"/>
          <w:szCs w:val="20"/>
        </w:rPr>
        <w:t>Washington DC, OECD,</w:t>
      </w:r>
      <w:r w:rsidRPr="00CF7716">
        <w:rPr>
          <w:color w:val="000000" w:themeColor="text1"/>
          <w:sz w:val="20"/>
          <w:szCs w:val="20"/>
        </w:rPr>
        <w:t xml:space="preserve"> </w:t>
      </w:r>
      <w:r w:rsidR="000A5C65" w:rsidRPr="00CF7716">
        <w:rPr>
          <w:color w:val="000000" w:themeColor="text1"/>
          <w:sz w:val="20"/>
          <w:szCs w:val="20"/>
        </w:rPr>
        <w:t xml:space="preserve">2009) </w:t>
      </w:r>
      <w:r w:rsidRPr="00CF7716">
        <w:rPr>
          <w:color w:val="000000" w:themeColor="text1"/>
          <w:sz w:val="20"/>
          <w:szCs w:val="20"/>
        </w:rPr>
        <w:t>3</w:t>
      </w:r>
      <w:r w:rsidR="000A5C65" w:rsidRPr="00CF7716">
        <w:rPr>
          <w:color w:val="000000" w:themeColor="text1"/>
          <w:sz w:val="20"/>
          <w:szCs w:val="20"/>
        </w:rPr>
        <w:t>.</w:t>
      </w:r>
    </w:p>
  </w:footnote>
  <w:footnote w:id="165">
    <w:p w14:paraId="74ECF5DA" w14:textId="3BBA82E8" w:rsidR="00BA5015" w:rsidRPr="00CF7716" w:rsidRDefault="00BA5015"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Particularly influential are the widely cited Khan</w:t>
      </w:r>
      <w:r w:rsidR="003244E7" w:rsidRPr="00CF7716">
        <w:rPr>
          <w:rFonts w:ascii="Times New Roman" w:hAnsi="Times New Roman" w:cs="Times New Roman"/>
          <w:color w:val="000000" w:themeColor="text1"/>
        </w:rPr>
        <w:t xml:space="preserve"> (n 146)</w:t>
      </w:r>
      <w:r w:rsidRPr="00CF7716">
        <w:rPr>
          <w:rFonts w:ascii="Times New Roman" w:hAnsi="Times New Roman" w:cs="Times New Roman"/>
          <w:color w:val="000000" w:themeColor="text1"/>
        </w:rPr>
        <w:t>, Levy</w:t>
      </w:r>
      <w:r w:rsidR="00037C94" w:rsidRPr="00CF7716">
        <w:rPr>
          <w:rFonts w:ascii="Times New Roman" w:hAnsi="Times New Roman" w:cs="Times New Roman"/>
          <w:color w:val="000000" w:themeColor="text1"/>
        </w:rPr>
        <w:t xml:space="preserve"> (n 108)</w:t>
      </w:r>
      <w:r w:rsidRPr="00CF7716">
        <w:rPr>
          <w:rFonts w:ascii="Times New Roman" w:hAnsi="Times New Roman" w:cs="Times New Roman"/>
          <w:color w:val="000000" w:themeColor="text1"/>
        </w:rPr>
        <w:t xml:space="preserve"> and </w:t>
      </w:r>
      <w:r w:rsidR="003244E7" w:rsidRPr="00CF7716">
        <w:rPr>
          <w:rFonts w:ascii="Times New Roman" w:hAnsi="Times New Roman" w:cs="Times New Roman"/>
          <w:color w:val="000000" w:themeColor="text1"/>
        </w:rPr>
        <w:t xml:space="preserve">D North, JJ Wallis and Barry Weingast. </w:t>
      </w:r>
      <w:r w:rsidR="003244E7" w:rsidRPr="00CF7716">
        <w:rPr>
          <w:rFonts w:ascii="Times New Roman" w:hAnsi="Times New Roman" w:cs="Times New Roman"/>
          <w:i/>
          <w:iCs/>
          <w:color w:val="000000" w:themeColor="text1"/>
        </w:rPr>
        <w:t>Violence and Social Orders: A Conceptual Gramework for Interpreting Recorded Human History</w:t>
      </w:r>
      <w:r w:rsidR="003244E7" w:rsidRPr="00CF7716">
        <w:rPr>
          <w:rFonts w:ascii="Times New Roman" w:hAnsi="Times New Roman" w:cs="Times New Roman"/>
          <w:color w:val="000000" w:themeColor="text1"/>
        </w:rPr>
        <w:t xml:space="preserve"> (C</w:t>
      </w:r>
      <w:r w:rsidR="00E26B93">
        <w:rPr>
          <w:rFonts w:ascii="Times New Roman" w:hAnsi="Times New Roman" w:cs="Times New Roman"/>
          <w:color w:val="000000" w:themeColor="text1"/>
        </w:rPr>
        <w:t>ambridge, Cambridge University Press,</w:t>
      </w:r>
      <w:r w:rsidR="003244E7" w:rsidRPr="00CF7716">
        <w:rPr>
          <w:rFonts w:ascii="Times New Roman" w:hAnsi="Times New Roman" w:cs="Times New Roman"/>
          <w:color w:val="000000" w:themeColor="text1"/>
        </w:rPr>
        <w:t xml:space="preserve"> 2009) 42.</w:t>
      </w:r>
      <w:r w:rsidRPr="00CF7716">
        <w:rPr>
          <w:rFonts w:ascii="Times New Roman" w:hAnsi="Times New Roman" w:cs="Times New Roman"/>
          <w:color w:val="000000" w:themeColor="text1"/>
        </w:rPr>
        <w:t>.</w:t>
      </w:r>
    </w:p>
  </w:footnote>
  <w:footnote w:id="166">
    <w:p w14:paraId="48EA6E21" w14:textId="075A06EB" w:rsidR="00BA5015" w:rsidRPr="00CF7716" w:rsidRDefault="00BA5015"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445C62" w:rsidRPr="00CF7716">
        <w:rPr>
          <w:color w:val="000000" w:themeColor="text1"/>
          <w:sz w:val="20"/>
          <w:szCs w:val="20"/>
        </w:rPr>
        <w:t xml:space="preserve">T </w:t>
      </w:r>
      <w:r w:rsidR="008A52AA" w:rsidRPr="00CF7716">
        <w:rPr>
          <w:color w:val="000000" w:themeColor="text1"/>
          <w:sz w:val="20"/>
          <w:szCs w:val="20"/>
        </w:rPr>
        <w:t xml:space="preserve">Mkandawire, </w:t>
      </w:r>
      <w:r w:rsidR="00445C62" w:rsidRPr="00CF7716">
        <w:rPr>
          <w:color w:val="000000" w:themeColor="text1"/>
          <w:sz w:val="20"/>
          <w:szCs w:val="20"/>
        </w:rPr>
        <w:t>‘</w:t>
      </w:r>
      <w:r w:rsidR="008A52AA" w:rsidRPr="00CF7716">
        <w:rPr>
          <w:color w:val="000000" w:themeColor="text1"/>
          <w:sz w:val="20"/>
          <w:szCs w:val="20"/>
        </w:rPr>
        <w:t xml:space="preserve">Neopatrimonialism and the </w:t>
      </w:r>
      <w:r w:rsidR="00445C62" w:rsidRPr="00CF7716">
        <w:rPr>
          <w:color w:val="000000" w:themeColor="text1"/>
          <w:sz w:val="20"/>
          <w:szCs w:val="20"/>
        </w:rPr>
        <w:t>P</w:t>
      </w:r>
      <w:r w:rsidR="008A52AA" w:rsidRPr="00CF7716">
        <w:rPr>
          <w:color w:val="000000" w:themeColor="text1"/>
          <w:sz w:val="20"/>
          <w:szCs w:val="20"/>
        </w:rPr>
        <w:t xml:space="preserve">olitical </w:t>
      </w:r>
      <w:r w:rsidR="00445C62" w:rsidRPr="00CF7716">
        <w:rPr>
          <w:color w:val="000000" w:themeColor="text1"/>
          <w:sz w:val="20"/>
          <w:szCs w:val="20"/>
        </w:rPr>
        <w:t>E</w:t>
      </w:r>
      <w:r w:rsidR="008A52AA" w:rsidRPr="00CF7716">
        <w:rPr>
          <w:color w:val="000000" w:themeColor="text1"/>
          <w:sz w:val="20"/>
          <w:szCs w:val="20"/>
        </w:rPr>
        <w:t xml:space="preserve">conomy of </w:t>
      </w:r>
      <w:r w:rsidR="00445C62" w:rsidRPr="00CF7716">
        <w:rPr>
          <w:color w:val="000000" w:themeColor="text1"/>
          <w:sz w:val="20"/>
          <w:szCs w:val="20"/>
        </w:rPr>
        <w:t>E</w:t>
      </w:r>
      <w:r w:rsidR="008A52AA" w:rsidRPr="00CF7716">
        <w:rPr>
          <w:color w:val="000000" w:themeColor="text1"/>
          <w:sz w:val="20"/>
          <w:szCs w:val="20"/>
        </w:rPr>
        <w:t xml:space="preserve">conomic </w:t>
      </w:r>
      <w:r w:rsidR="00445C62" w:rsidRPr="00CF7716">
        <w:rPr>
          <w:color w:val="000000" w:themeColor="text1"/>
          <w:sz w:val="20"/>
          <w:szCs w:val="20"/>
        </w:rPr>
        <w:t>P</w:t>
      </w:r>
      <w:r w:rsidR="008A52AA" w:rsidRPr="00CF7716">
        <w:rPr>
          <w:color w:val="000000" w:themeColor="text1"/>
          <w:sz w:val="20"/>
          <w:szCs w:val="20"/>
        </w:rPr>
        <w:t xml:space="preserve">erformance in Africa: Critical </w:t>
      </w:r>
      <w:r w:rsidR="00445C62" w:rsidRPr="00CF7716">
        <w:rPr>
          <w:color w:val="000000" w:themeColor="text1"/>
          <w:sz w:val="20"/>
          <w:szCs w:val="20"/>
        </w:rPr>
        <w:t>R</w:t>
      </w:r>
      <w:r w:rsidR="008A52AA" w:rsidRPr="00CF7716">
        <w:rPr>
          <w:color w:val="000000" w:themeColor="text1"/>
          <w:sz w:val="20"/>
          <w:szCs w:val="20"/>
        </w:rPr>
        <w:t>eflections</w:t>
      </w:r>
      <w:r w:rsidR="00445C62" w:rsidRPr="00CF7716">
        <w:rPr>
          <w:color w:val="000000" w:themeColor="text1"/>
          <w:sz w:val="20"/>
          <w:szCs w:val="20"/>
        </w:rPr>
        <w:t>’ (2015) 67</w:t>
      </w:r>
      <w:r w:rsidR="008A52AA" w:rsidRPr="00CF7716">
        <w:rPr>
          <w:color w:val="000000" w:themeColor="text1"/>
          <w:sz w:val="20"/>
          <w:szCs w:val="20"/>
        </w:rPr>
        <w:t xml:space="preserve"> </w:t>
      </w:r>
      <w:r w:rsidR="008A52AA" w:rsidRPr="00CF7716">
        <w:rPr>
          <w:i/>
          <w:iCs/>
          <w:color w:val="000000" w:themeColor="text1"/>
          <w:sz w:val="20"/>
          <w:szCs w:val="20"/>
        </w:rPr>
        <w:t>World Politics</w:t>
      </w:r>
      <w:r w:rsidR="008A52AA" w:rsidRPr="00CF7716">
        <w:rPr>
          <w:color w:val="000000" w:themeColor="text1"/>
          <w:sz w:val="20"/>
          <w:szCs w:val="20"/>
        </w:rPr>
        <w:t xml:space="preserve"> 563.</w:t>
      </w:r>
    </w:p>
  </w:footnote>
  <w:footnote w:id="167">
    <w:p w14:paraId="7AC0AB01" w14:textId="7DD907A4" w:rsidR="00465020" w:rsidRPr="00CF7716" w:rsidRDefault="00465020"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Goetz</w:t>
      </w:r>
      <w:r w:rsidR="00037C94" w:rsidRPr="00CF7716">
        <w:rPr>
          <w:color w:val="000000" w:themeColor="text1"/>
          <w:sz w:val="20"/>
          <w:szCs w:val="20"/>
        </w:rPr>
        <w:t xml:space="preserve"> (n 109) </w:t>
      </w:r>
      <w:r w:rsidRPr="00CF7716">
        <w:rPr>
          <w:color w:val="000000" w:themeColor="text1"/>
          <w:sz w:val="20"/>
          <w:szCs w:val="20"/>
        </w:rPr>
        <w:t>413</w:t>
      </w:r>
      <w:r w:rsidR="00AA2804" w:rsidRPr="00CF7716">
        <w:rPr>
          <w:color w:val="000000" w:themeColor="text1"/>
          <w:sz w:val="20"/>
          <w:szCs w:val="20"/>
        </w:rPr>
        <w:t>.</w:t>
      </w:r>
    </w:p>
  </w:footnote>
  <w:footnote w:id="168">
    <w:p w14:paraId="394F378A" w14:textId="21994861" w:rsidR="005966E3" w:rsidRPr="00CF7716" w:rsidRDefault="005966E3"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124B72" w:rsidRPr="00CF7716">
        <w:rPr>
          <w:color w:val="000000" w:themeColor="text1"/>
          <w:sz w:val="20"/>
          <w:szCs w:val="20"/>
        </w:rPr>
        <w:t xml:space="preserve">C </w:t>
      </w:r>
      <w:r w:rsidRPr="00CF7716">
        <w:rPr>
          <w:color w:val="000000" w:themeColor="text1"/>
          <w:sz w:val="20"/>
          <w:szCs w:val="20"/>
        </w:rPr>
        <w:t xml:space="preserve">Barnes, </w:t>
      </w:r>
      <w:r w:rsidR="00124B72" w:rsidRPr="00CF7716">
        <w:rPr>
          <w:color w:val="000000" w:themeColor="text1"/>
          <w:sz w:val="20"/>
          <w:szCs w:val="20"/>
        </w:rPr>
        <w:t>‘</w:t>
      </w:r>
      <w:r w:rsidRPr="00CF7716">
        <w:rPr>
          <w:color w:val="000000" w:themeColor="text1"/>
          <w:sz w:val="20"/>
          <w:szCs w:val="20"/>
        </w:rPr>
        <w:t>Renegotiating the Political Settlement in War-to-Peace Transitions</w:t>
      </w:r>
      <w:r w:rsidR="00124B72" w:rsidRPr="00CF7716">
        <w:rPr>
          <w:color w:val="000000" w:themeColor="text1"/>
          <w:sz w:val="20"/>
          <w:szCs w:val="20"/>
        </w:rPr>
        <w:t xml:space="preserve">’ (2009) </w:t>
      </w:r>
      <w:r w:rsidRPr="00CF7716">
        <w:rPr>
          <w:color w:val="000000" w:themeColor="text1"/>
          <w:sz w:val="20"/>
          <w:szCs w:val="20"/>
        </w:rPr>
        <w:t>Conciliation Resources</w:t>
      </w:r>
      <w:r w:rsidR="00124B72" w:rsidRPr="00CF7716">
        <w:rPr>
          <w:color w:val="000000" w:themeColor="text1"/>
          <w:sz w:val="20"/>
          <w:szCs w:val="20"/>
        </w:rPr>
        <w:t xml:space="preserve"> 23 &lt;</w:t>
      </w:r>
      <w:r w:rsidRPr="00CF7716">
        <w:rPr>
          <w:color w:val="000000" w:themeColor="text1"/>
          <w:sz w:val="20"/>
          <w:szCs w:val="20"/>
        </w:rPr>
        <w:t>http://www.cr.org/sites/default/files/Renegotiating%20the%20Political%20Settlement_200903_ENG.pdf</w:t>
      </w:r>
      <w:r w:rsidR="00124B72" w:rsidRPr="00CF7716">
        <w:rPr>
          <w:color w:val="000000" w:themeColor="text1"/>
          <w:sz w:val="20"/>
          <w:szCs w:val="20"/>
        </w:rPr>
        <w:t>&gt; date accessed: 1 June 2022.</w:t>
      </w:r>
    </w:p>
  </w:footnote>
  <w:footnote w:id="169">
    <w:p w14:paraId="519A7B44" w14:textId="4384CA16" w:rsidR="00C430D1" w:rsidRPr="00CF7716" w:rsidRDefault="00C430D1"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As argued in </w:t>
      </w:r>
      <w:r w:rsidR="00124B72" w:rsidRPr="00CF7716">
        <w:rPr>
          <w:color w:val="000000" w:themeColor="text1"/>
          <w:sz w:val="20"/>
          <w:szCs w:val="20"/>
        </w:rPr>
        <w:t xml:space="preserve">G </w:t>
      </w:r>
      <w:r w:rsidRPr="00CF7716">
        <w:rPr>
          <w:color w:val="000000" w:themeColor="text1"/>
          <w:sz w:val="20"/>
          <w:szCs w:val="20"/>
        </w:rPr>
        <w:t>Hyden, ‘Institutions, Power and Policy Outcomes in Africa’</w:t>
      </w:r>
      <w:r w:rsidR="00124B72" w:rsidRPr="00CF7716">
        <w:rPr>
          <w:color w:val="000000" w:themeColor="text1"/>
          <w:sz w:val="20"/>
          <w:szCs w:val="20"/>
        </w:rPr>
        <w:t xml:space="preserve"> (2008) </w:t>
      </w:r>
      <w:r w:rsidRPr="00CF7716">
        <w:rPr>
          <w:color w:val="000000" w:themeColor="text1"/>
          <w:sz w:val="20"/>
          <w:szCs w:val="20"/>
        </w:rPr>
        <w:t>Africa Power and Politics Programme</w:t>
      </w:r>
      <w:r w:rsidR="00124B72" w:rsidRPr="00CF7716">
        <w:rPr>
          <w:color w:val="000000" w:themeColor="text1"/>
          <w:sz w:val="20"/>
          <w:szCs w:val="20"/>
        </w:rPr>
        <w:t xml:space="preserve"> Draft Discussion Paper</w:t>
      </w:r>
      <w:r w:rsidRPr="00CF7716">
        <w:rPr>
          <w:color w:val="000000" w:themeColor="text1"/>
          <w:sz w:val="20"/>
          <w:szCs w:val="20"/>
        </w:rPr>
        <w:t xml:space="preserve"> 22</w:t>
      </w:r>
      <w:r w:rsidR="00124B72" w:rsidRPr="00CF7716">
        <w:rPr>
          <w:color w:val="000000" w:themeColor="text1"/>
          <w:sz w:val="20"/>
          <w:szCs w:val="20"/>
        </w:rPr>
        <w:t xml:space="preserve"> &lt; https://gsdrc.org/document-library/institutions-power-and-policy-outcomes-in-africa/ &gt; date accessed: 1 June 2022.</w:t>
      </w:r>
    </w:p>
  </w:footnote>
  <w:footnote w:id="170">
    <w:p w14:paraId="21E0FEE1" w14:textId="64102446" w:rsidR="00B326A3" w:rsidRPr="00CF7716" w:rsidRDefault="00B326A3"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DC03BD" w:rsidRPr="00CF7716">
        <w:rPr>
          <w:color w:val="000000" w:themeColor="text1"/>
          <w:sz w:val="20"/>
          <w:szCs w:val="20"/>
        </w:rPr>
        <w:t xml:space="preserve">MA </w:t>
      </w:r>
      <w:r w:rsidRPr="00CF7716">
        <w:rPr>
          <w:color w:val="000000" w:themeColor="text1"/>
          <w:sz w:val="20"/>
          <w:szCs w:val="20"/>
        </w:rPr>
        <w:t>Centeno, A Kohli and D</w:t>
      </w:r>
      <w:r w:rsidR="00DC03BD" w:rsidRPr="00CF7716">
        <w:rPr>
          <w:color w:val="000000" w:themeColor="text1"/>
          <w:sz w:val="20"/>
          <w:szCs w:val="20"/>
        </w:rPr>
        <w:t xml:space="preserve"> </w:t>
      </w:r>
      <w:r w:rsidRPr="00CF7716">
        <w:rPr>
          <w:color w:val="000000" w:themeColor="text1"/>
          <w:sz w:val="20"/>
          <w:szCs w:val="20"/>
        </w:rPr>
        <w:t>Yashar</w:t>
      </w:r>
      <w:r w:rsidR="00DC03BD" w:rsidRPr="00CF7716">
        <w:rPr>
          <w:color w:val="000000" w:themeColor="text1"/>
          <w:sz w:val="20"/>
          <w:szCs w:val="20"/>
        </w:rPr>
        <w:t>, ‘</w:t>
      </w:r>
      <w:r w:rsidRPr="00CF7716">
        <w:rPr>
          <w:color w:val="000000" w:themeColor="text1"/>
          <w:sz w:val="20"/>
          <w:szCs w:val="20"/>
        </w:rPr>
        <w:t xml:space="preserve">Unpacking </w:t>
      </w:r>
      <w:r w:rsidR="00DC03BD" w:rsidRPr="00CF7716">
        <w:rPr>
          <w:color w:val="000000" w:themeColor="text1"/>
          <w:sz w:val="20"/>
          <w:szCs w:val="20"/>
        </w:rPr>
        <w:t>S</w:t>
      </w:r>
      <w:r w:rsidRPr="00CF7716">
        <w:rPr>
          <w:color w:val="000000" w:themeColor="text1"/>
          <w:sz w:val="20"/>
          <w:szCs w:val="20"/>
        </w:rPr>
        <w:t xml:space="preserve">tates in the </w:t>
      </w:r>
      <w:r w:rsidR="00DC03BD" w:rsidRPr="00CF7716">
        <w:rPr>
          <w:color w:val="000000" w:themeColor="text1"/>
          <w:sz w:val="20"/>
          <w:szCs w:val="20"/>
        </w:rPr>
        <w:t>D</w:t>
      </w:r>
      <w:r w:rsidRPr="00CF7716">
        <w:rPr>
          <w:color w:val="000000" w:themeColor="text1"/>
          <w:sz w:val="20"/>
          <w:szCs w:val="20"/>
        </w:rPr>
        <w:t xml:space="preserve">eveloping </w:t>
      </w:r>
      <w:r w:rsidR="00DC03BD" w:rsidRPr="00CF7716">
        <w:rPr>
          <w:color w:val="000000" w:themeColor="text1"/>
          <w:sz w:val="20"/>
          <w:szCs w:val="20"/>
        </w:rPr>
        <w:t>W</w:t>
      </w:r>
      <w:r w:rsidRPr="00CF7716">
        <w:rPr>
          <w:color w:val="000000" w:themeColor="text1"/>
          <w:sz w:val="20"/>
          <w:szCs w:val="20"/>
        </w:rPr>
        <w:t xml:space="preserve">orld: Capacity, </w:t>
      </w:r>
      <w:r w:rsidR="00DC03BD" w:rsidRPr="00CF7716">
        <w:rPr>
          <w:color w:val="000000" w:themeColor="text1"/>
          <w:sz w:val="20"/>
          <w:szCs w:val="20"/>
        </w:rPr>
        <w:t>P</w:t>
      </w:r>
      <w:r w:rsidRPr="00CF7716">
        <w:rPr>
          <w:color w:val="000000" w:themeColor="text1"/>
          <w:sz w:val="20"/>
          <w:szCs w:val="20"/>
        </w:rPr>
        <w:t xml:space="preserve">erformance, and </w:t>
      </w:r>
      <w:r w:rsidR="00DC03BD" w:rsidRPr="00CF7716">
        <w:rPr>
          <w:color w:val="000000" w:themeColor="text1"/>
          <w:sz w:val="20"/>
          <w:szCs w:val="20"/>
        </w:rPr>
        <w:t>P</w:t>
      </w:r>
      <w:r w:rsidRPr="00CF7716">
        <w:rPr>
          <w:color w:val="000000" w:themeColor="text1"/>
          <w:sz w:val="20"/>
          <w:szCs w:val="20"/>
        </w:rPr>
        <w:t xml:space="preserve">olitics’ in </w:t>
      </w:r>
      <w:r w:rsidR="00DC03BD" w:rsidRPr="00CF7716">
        <w:rPr>
          <w:color w:val="000000" w:themeColor="text1"/>
          <w:sz w:val="20"/>
          <w:szCs w:val="20"/>
        </w:rPr>
        <w:t xml:space="preserve">MA Centeno, A Kohli and D Yashar </w:t>
      </w:r>
      <w:r w:rsidRPr="00CF7716">
        <w:rPr>
          <w:color w:val="000000" w:themeColor="text1"/>
          <w:sz w:val="20"/>
          <w:szCs w:val="20"/>
        </w:rPr>
        <w:t xml:space="preserve">and Dinsha </w:t>
      </w:r>
      <w:r w:rsidR="00B2063B" w:rsidRPr="00CF7716">
        <w:rPr>
          <w:color w:val="000000" w:themeColor="text1"/>
          <w:sz w:val="20"/>
          <w:szCs w:val="20"/>
        </w:rPr>
        <w:t>(eds)</w:t>
      </w:r>
      <w:r w:rsidRPr="00CF7716">
        <w:rPr>
          <w:color w:val="000000" w:themeColor="text1"/>
          <w:sz w:val="20"/>
          <w:szCs w:val="20"/>
        </w:rPr>
        <w:t xml:space="preserve"> </w:t>
      </w:r>
      <w:r w:rsidRPr="00CF7716">
        <w:rPr>
          <w:i/>
          <w:iCs/>
          <w:color w:val="000000" w:themeColor="text1"/>
          <w:sz w:val="20"/>
          <w:szCs w:val="20"/>
        </w:rPr>
        <w:t xml:space="preserve">States in the </w:t>
      </w:r>
      <w:r w:rsidR="00B2063B" w:rsidRPr="00CF7716">
        <w:rPr>
          <w:i/>
          <w:iCs/>
          <w:color w:val="000000" w:themeColor="text1"/>
          <w:sz w:val="20"/>
          <w:szCs w:val="20"/>
        </w:rPr>
        <w:t>D</w:t>
      </w:r>
      <w:r w:rsidRPr="00CF7716">
        <w:rPr>
          <w:i/>
          <w:iCs/>
          <w:color w:val="000000" w:themeColor="text1"/>
          <w:sz w:val="20"/>
          <w:szCs w:val="20"/>
        </w:rPr>
        <w:t xml:space="preserve">eveloping </w:t>
      </w:r>
      <w:r w:rsidR="00B2063B" w:rsidRPr="00CF7716">
        <w:rPr>
          <w:i/>
          <w:iCs/>
          <w:color w:val="000000" w:themeColor="text1"/>
          <w:sz w:val="20"/>
          <w:szCs w:val="20"/>
        </w:rPr>
        <w:t>W</w:t>
      </w:r>
      <w:r w:rsidRPr="00CF7716">
        <w:rPr>
          <w:i/>
          <w:iCs/>
          <w:color w:val="000000" w:themeColor="text1"/>
          <w:sz w:val="20"/>
          <w:szCs w:val="20"/>
        </w:rPr>
        <w:t>orld</w:t>
      </w:r>
      <w:r w:rsidR="00B2063B" w:rsidRPr="00CF7716">
        <w:rPr>
          <w:color w:val="000000" w:themeColor="text1"/>
          <w:sz w:val="20"/>
          <w:szCs w:val="20"/>
        </w:rPr>
        <w:t xml:space="preserve"> (C</w:t>
      </w:r>
      <w:r w:rsidR="00E26B93">
        <w:rPr>
          <w:color w:val="000000" w:themeColor="text1"/>
          <w:sz w:val="20"/>
          <w:szCs w:val="20"/>
        </w:rPr>
        <w:t>ambridge, Cambridge University Press,</w:t>
      </w:r>
      <w:r w:rsidRPr="00CF7716">
        <w:rPr>
          <w:color w:val="000000" w:themeColor="text1"/>
          <w:sz w:val="20"/>
          <w:szCs w:val="20"/>
        </w:rPr>
        <w:t xml:space="preserve"> 2017</w:t>
      </w:r>
      <w:r w:rsidR="00B2063B" w:rsidRPr="00CF7716">
        <w:rPr>
          <w:color w:val="000000" w:themeColor="text1"/>
          <w:sz w:val="20"/>
          <w:szCs w:val="20"/>
        </w:rPr>
        <w:t>)</w:t>
      </w:r>
      <w:r w:rsidRPr="00CF7716">
        <w:rPr>
          <w:color w:val="000000" w:themeColor="text1"/>
          <w:sz w:val="20"/>
          <w:szCs w:val="20"/>
        </w:rPr>
        <w:t xml:space="preserve"> 16</w:t>
      </w:r>
      <w:r w:rsidR="00B2063B" w:rsidRPr="00CF7716">
        <w:rPr>
          <w:color w:val="000000" w:themeColor="text1"/>
          <w:sz w:val="20"/>
          <w:szCs w:val="20"/>
        </w:rPr>
        <w:t>.</w:t>
      </w:r>
    </w:p>
  </w:footnote>
  <w:footnote w:id="171">
    <w:p w14:paraId="02C84BC7" w14:textId="63F96847" w:rsidR="001C51FE" w:rsidRPr="00CF7716" w:rsidRDefault="001C51FE"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Porter, Isser</w:t>
      </w:r>
      <w:r w:rsidR="003244E7" w:rsidRPr="00CF7716">
        <w:rPr>
          <w:rFonts w:ascii="Times New Roman" w:hAnsi="Times New Roman" w:cs="Times New Roman"/>
          <w:color w:val="000000" w:themeColor="text1"/>
        </w:rPr>
        <w:t xml:space="preserve"> and </w:t>
      </w:r>
      <w:r w:rsidRPr="00CF7716">
        <w:rPr>
          <w:rFonts w:ascii="Times New Roman" w:hAnsi="Times New Roman" w:cs="Times New Roman"/>
          <w:color w:val="000000" w:themeColor="text1"/>
        </w:rPr>
        <w:t>Berg</w:t>
      </w:r>
      <w:r w:rsidR="003244E7" w:rsidRPr="00CF7716">
        <w:rPr>
          <w:rFonts w:ascii="Times New Roman" w:hAnsi="Times New Roman" w:cs="Times New Roman"/>
          <w:color w:val="000000" w:themeColor="text1"/>
        </w:rPr>
        <w:t xml:space="preserve"> (n 142) </w:t>
      </w:r>
      <w:r w:rsidRPr="00CF7716">
        <w:rPr>
          <w:rFonts w:ascii="Times New Roman" w:hAnsi="Times New Roman" w:cs="Times New Roman"/>
          <w:color w:val="000000" w:themeColor="text1"/>
        </w:rPr>
        <w:t>313</w:t>
      </w:r>
      <w:r w:rsidR="003244E7" w:rsidRPr="00CF7716">
        <w:rPr>
          <w:rFonts w:ascii="Times New Roman" w:hAnsi="Times New Roman" w:cs="Times New Roman"/>
          <w:color w:val="000000" w:themeColor="text1"/>
        </w:rPr>
        <w:t>.</w:t>
      </w:r>
    </w:p>
  </w:footnote>
  <w:footnote w:id="172">
    <w:p w14:paraId="23353CDF" w14:textId="75C3749A" w:rsidR="001C51FE" w:rsidRPr="00CF7716" w:rsidRDefault="001C51FE"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003244E7" w:rsidRPr="00CF7716">
        <w:rPr>
          <w:rFonts w:ascii="Times New Roman" w:hAnsi="Times New Roman" w:cs="Times New Roman"/>
          <w:color w:val="000000" w:themeColor="text1"/>
        </w:rPr>
        <w:t>ibid</w:t>
      </w:r>
      <w:r w:rsidRPr="00CF7716">
        <w:rPr>
          <w:rFonts w:ascii="Times New Roman" w:hAnsi="Times New Roman" w:cs="Times New Roman"/>
          <w:color w:val="000000" w:themeColor="text1"/>
        </w:rPr>
        <w:t xml:space="preserve"> 319</w:t>
      </w:r>
      <w:r w:rsidR="003244E7" w:rsidRPr="00CF7716">
        <w:rPr>
          <w:rFonts w:ascii="Times New Roman" w:hAnsi="Times New Roman" w:cs="Times New Roman"/>
          <w:color w:val="000000" w:themeColor="text1"/>
        </w:rPr>
        <w:t>.</w:t>
      </w:r>
    </w:p>
  </w:footnote>
  <w:footnote w:id="173">
    <w:p w14:paraId="052DADE1" w14:textId="596A681F" w:rsidR="00186884" w:rsidRPr="00CF7716" w:rsidRDefault="00186884"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J Jütting </w:t>
      </w:r>
      <w:r w:rsidRPr="00E26B93">
        <w:rPr>
          <w:i/>
          <w:iCs/>
          <w:color w:val="000000" w:themeColor="text1"/>
          <w:sz w:val="20"/>
          <w:szCs w:val="20"/>
        </w:rPr>
        <w:t>et al</w:t>
      </w:r>
      <w:r w:rsidRPr="00CF7716">
        <w:rPr>
          <w:color w:val="000000" w:themeColor="text1"/>
          <w:sz w:val="20"/>
          <w:szCs w:val="20"/>
        </w:rPr>
        <w:t xml:space="preserve">, </w:t>
      </w:r>
      <w:r w:rsidRPr="00CF7716">
        <w:rPr>
          <w:i/>
          <w:iCs/>
          <w:color w:val="000000" w:themeColor="text1"/>
          <w:sz w:val="20"/>
          <w:szCs w:val="20"/>
        </w:rPr>
        <w:t xml:space="preserve">Informal </w:t>
      </w:r>
      <w:r w:rsidR="000A5C65" w:rsidRPr="00CF7716">
        <w:rPr>
          <w:i/>
          <w:iCs/>
          <w:color w:val="000000" w:themeColor="text1"/>
          <w:sz w:val="20"/>
          <w:szCs w:val="20"/>
        </w:rPr>
        <w:t>I</w:t>
      </w:r>
      <w:r w:rsidRPr="00CF7716">
        <w:rPr>
          <w:i/>
          <w:iCs/>
          <w:color w:val="000000" w:themeColor="text1"/>
          <w:sz w:val="20"/>
          <w:szCs w:val="20"/>
        </w:rPr>
        <w:t xml:space="preserve">nstitutions: How </w:t>
      </w:r>
      <w:r w:rsidR="000A5C65" w:rsidRPr="00CF7716">
        <w:rPr>
          <w:i/>
          <w:iCs/>
          <w:color w:val="000000" w:themeColor="text1"/>
          <w:sz w:val="20"/>
          <w:szCs w:val="20"/>
        </w:rPr>
        <w:t>S</w:t>
      </w:r>
      <w:r w:rsidRPr="00CF7716">
        <w:rPr>
          <w:i/>
          <w:iCs/>
          <w:color w:val="000000" w:themeColor="text1"/>
          <w:sz w:val="20"/>
          <w:szCs w:val="20"/>
        </w:rPr>
        <w:t xml:space="preserve">ocial </w:t>
      </w:r>
      <w:r w:rsidR="000A5C65" w:rsidRPr="00CF7716">
        <w:rPr>
          <w:i/>
          <w:iCs/>
          <w:color w:val="000000" w:themeColor="text1"/>
          <w:sz w:val="20"/>
          <w:szCs w:val="20"/>
        </w:rPr>
        <w:t>N</w:t>
      </w:r>
      <w:r w:rsidRPr="00CF7716">
        <w:rPr>
          <w:i/>
          <w:iCs/>
          <w:color w:val="000000" w:themeColor="text1"/>
          <w:sz w:val="20"/>
          <w:szCs w:val="20"/>
        </w:rPr>
        <w:t xml:space="preserve">orms </w:t>
      </w:r>
      <w:r w:rsidR="000A5C65" w:rsidRPr="00CF7716">
        <w:rPr>
          <w:i/>
          <w:iCs/>
          <w:color w:val="000000" w:themeColor="text1"/>
          <w:sz w:val="20"/>
          <w:szCs w:val="20"/>
        </w:rPr>
        <w:t>H</w:t>
      </w:r>
      <w:r w:rsidRPr="00CF7716">
        <w:rPr>
          <w:i/>
          <w:iCs/>
          <w:color w:val="000000" w:themeColor="text1"/>
          <w:sz w:val="20"/>
          <w:szCs w:val="20"/>
        </w:rPr>
        <w:t xml:space="preserve">elp or </w:t>
      </w:r>
      <w:r w:rsidR="000A5C65" w:rsidRPr="00CF7716">
        <w:rPr>
          <w:i/>
          <w:iCs/>
          <w:color w:val="000000" w:themeColor="text1"/>
          <w:sz w:val="20"/>
          <w:szCs w:val="20"/>
        </w:rPr>
        <w:t>H</w:t>
      </w:r>
      <w:r w:rsidRPr="00CF7716">
        <w:rPr>
          <w:i/>
          <w:iCs/>
          <w:color w:val="000000" w:themeColor="text1"/>
          <w:sz w:val="20"/>
          <w:szCs w:val="20"/>
        </w:rPr>
        <w:t xml:space="preserve">inder </w:t>
      </w:r>
      <w:r w:rsidR="000A5C65" w:rsidRPr="00CF7716">
        <w:rPr>
          <w:i/>
          <w:iCs/>
          <w:color w:val="000000" w:themeColor="text1"/>
          <w:sz w:val="20"/>
          <w:szCs w:val="20"/>
        </w:rPr>
        <w:t>D</w:t>
      </w:r>
      <w:r w:rsidRPr="00CF7716">
        <w:rPr>
          <w:i/>
          <w:iCs/>
          <w:color w:val="000000" w:themeColor="text1"/>
          <w:sz w:val="20"/>
          <w:szCs w:val="20"/>
        </w:rPr>
        <w:t>evelopment</w:t>
      </w:r>
      <w:r w:rsidR="000A5C65" w:rsidRPr="00CF7716">
        <w:rPr>
          <w:color w:val="000000" w:themeColor="text1"/>
          <w:sz w:val="20"/>
          <w:szCs w:val="20"/>
        </w:rPr>
        <w:t xml:space="preserve"> (</w:t>
      </w:r>
      <w:r w:rsidR="00E26B93">
        <w:rPr>
          <w:color w:val="000000" w:themeColor="text1"/>
          <w:sz w:val="20"/>
          <w:szCs w:val="20"/>
        </w:rPr>
        <w:t>Paris, OECD,</w:t>
      </w:r>
      <w:r w:rsidR="000A5C65" w:rsidRPr="00CF7716">
        <w:rPr>
          <w:color w:val="000000" w:themeColor="text1"/>
          <w:sz w:val="20"/>
          <w:szCs w:val="20"/>
        </w:rPr>
        <w:t xml:space="preserve"> </w:t>
      </w:r>
      <w:r w:rsidRPr="00CF7716">
        <w:rPr>
          <w:color w:val="000000" w:themeColor="text1"/>
          <w:sz w:val="20"/>
          <w:szCs w:val="20"/>
        </w:rPr>
        <w:t>2007</w:t>
      </w:r>
      <w:r w:rsidR="000A5C65" w:rsidRPr="00CF7716">
        <w:rPr>
          <w:color w:val="000000" w:themeColor="text1"/>
          <w:sz w:val="20"/>
          <w:szCs w:val="20"/>
        </w:rPr>
        <w:t xml:space="preserve">) </w:t>
      </w:r>
      <w:r w:rsidRPr="00CF7716">
        <w:rPr>
          <w:color w:val="000000" w:themeColor="text1"/>
          <w:sz w:val="20"/>
          <w:szCs w:val="20"/>
        </w:rPr>
        <w:t>93</w:t>
      </w:r>
    </w:p>
  </w:footnote>
  <w:footnote w:id="174">
    <w:p w14:paraId="5D8E164E" w14:textId="70D19D9E" w:rsidR="00B76958" w:rsidRPr="00CF7716" w:rsidRDefault="00B76958"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OECD</w:t>
      </w:r>
      <w:r w:rsidR="003244E7" w:rsidRPr="00CF7716">
        <w:rPr>
          <w:rFonts w:ascii="Times New Roman" w:hAnsi="Times New Roman" w:cs="Times New Roman"/>
          <w:color w:val="000000" w:themeColor="text1"/>
        </w:rPr>
        <w:t xml:space="preserve"> (n 5)</w:t>
      </w:r>
      <w:r w:rsidRPr="00CF7716">
        <w:rPr>
          <w:rFonts w:ascii="Times New Roman" w:hAnsi="Times New Roman" w:cs="Times New Roman"/>
          <w:color w:val="000000" w:themeColor="text1"/>
        </w:rPr>
        <w:t xml:space="preserve"> 12</w:t>
      </w:r>
      <w:r w:rsidR="003244E7" w:rsidRPr="00CF7716">
        <w:rPr>
          <w:rFonts w:ascii="Times New Roman" w:hAnsi="Times New Roman" w:cs="Times New Roman"/>
          <w:color w:val="000000" w:themeColor="text1"/>
        </w:rPr>
        <w:t>.</w:t>
      </w:r>
    </w:p>
  </w:footnote>
  <w:footnote w:id="175">
    <w:p w14:paraId="2128D3FD" w14:textId="3BADBCA1" w:rsidR="00066447" w:rsidRPr="00CF7716" w:rsidRDefault="00066447"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0A5C65" w:rsidRPr="00CF7716">
        <w:rPr>
          <w:color w:val="000000" w:themeColor="text1"/>
          <w:sz w:val="20"/>
          <w:szCs w:val="20"/>
        </w:rPr>
        <w:t xml:space="preserve">D </w:t>
      </w:r>
      <w:r w:rsidRPr="00CF7716">
        <w:rPr>
          <w:color w:val="000000" w:themeColor="text1"/>
          <w:sz w:val="20"/>
          <w:szCs w:val="20"/>
        </w:rPr>
        <w:t xml:space="preserve">North, </w:t>
      </w:r>
      <w:r w:rsidRPr="00CF7716">
        <w:rPr>
          <w:i/>
          <w:iCs/>
          <w:color w:val="000000" w:themeColor="text1"/>
          <w:sz w:val="20"/>
          <w:szCs w:val="20"/>
        </w:rPr>
        <w:t>Institutions,</w:t>
      </w:r>
      <w:r w:rsidRPr="00CF7716">
        <w:rPr>
          <w:color w:val="000000" w:themeColor="text1"/>
          <w:sz w:val="20"/>
          <w:szCs w:val="20"/>
        </w:rPr>
        <w:t xml:space="preserve"> </w:t>
      </w:r>
      <w:r w:rsidRPr="00CF7716">
        <w:rPr>
          <w:i/>
          <w:iCs/>
          <w:color w:val="000000" w:themeColor="text1"/>
          <w:sz w:val="20"/>
          <w:szCs w:val="20"/>
        </w:rPr>
        <w:t>Institutional Change, and Economic Performance</w:t>
      </w:r>
      <w:r w:rsidR="000A5C65" w:rsidRPr="00CF7716">
        <w:rPr>
          <w:color w:val="000000" w:themeColor="text1"/>
          <w:sz w:val="20"/>
          <w:szCs w:val="20"/>
        </w:rPr>
        <w:t xml:space="preserve"> (C</w:t>
      </w:r>
      <w:r w:rsidR="00E26B93">
        <w:rPr>
          <w:color w:val="000000" w:themeColor="text1"/>
          <w:sz w:val="20"/>
          <w:szCs w:val="20"/>
        </w:rPr>
        <w:t>ambridge, Cambridge University Press,</w:t>
      </w:r>
      <w:r w:rsidR="000A5C65" w:rsidRPr="00CF7716">
        <w:rPr>
          <w:color w:val="000000" w:themeColor="text1"/>
          <w:sz w:val="20"/>
          <w:szCs w:val="20"/>
        </w:rPr>
        <w:t xml:space="preserve"> 1990)</w:t>
      </w:r>
      <w:r w:rsidRPr="00CF7716">
        <w:rPr>
          <w:color w:val="000000" w:themeColor="text1"/>
          <w:sz w:val="20"/>
          <w:szCs w:val="20"/>
        </w:rPr>
        <w:t xml:space="preserve"> 45</w:t>
      </w:r>
      <w:r w:rsidR="000A5C65" w:rsidRPr="00CF7716">
        <w:rPr>
          <w:color w:val="000000" w:themeColor="text1"/>
          <w:sz w:val="20"/>
          <w:szCs w:val="20"/>
        </w:rPr>
        <w:t>.</w:t>
      </w:r>
    </w:p>
  </w:footnote>
  <w:footnote w:id="176">
    <w:p w14:paraId="15FF32D9" w14:textId="1150F65B" w:rsidR="00066447" w:rsidRPr="00CF7716" w:rsidRDefault="00066447"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00F60DD3" w:rsidRPr="00CF7716">
        <w:rPr>
          <w:rFonts w:ascii="Times New Roman" w:hAnsi="Times New Roman" w:cs="Times New Roman"/>
          <w:color w:val="000000" w:themeColor="text1"/>
        </w:rPr>
        <w:t xml:space="preserve"> </w:t>
      </w:r>
      <w:r w:rsidRPr="00CF7716">
        <w:rPr>
          <w:rFonts w:ascii="Times New Roman" w:hAnsi="Times New Roman" w:cs="Times New Roman"/>
          <w:color w:val="000000" w:themeColor="text1"/>
        </w:rPr>
        <w:t>Helmke and Levitsky</w:t>
      </w:r>
      <w:r w:rsidR="003244E7" w:rsidRPr="00CF7716">
        <w:rPr>
          <w:rFonts w:ascii="Times New Roman" w:hAnsi="Times New Roman" w:cs="Times New Roman"/>
          <w:color w:val="000000" w:themeColor="text1"/>
        </w:rPr>
        <w:t xml:space="preserve"> (n 160)</w:t>
      </w:r>
      <w:r w:rsidRPr="00CF7716">
        <w:rPr>
          <w:rFonts w:ascii="Times New Roman" w:hAnsi="Times New Roman" w:cs="Times New Roman"/>
          <w:color w:val="000000" w:themeColor="text1"/>
        </w:rPr>
        <w:t xml:space="preserve"> 728-729</w:t>
      </w:r>
      <w:r w:rsidR="003244E7" w:rsidRPr="00CF7716">
        <w:rPr>
          <w:rFonts w:ascii="Times New Roman" w:hAnsi="Times New Roman" w:cs="Times New Roman"/>
          <w:color w:val="000000" w:themeColor="text1"/>
        </w:rPr>
        <w:t>.</w:t>
      </w:r>
    </w:p>
  </w:footnote>
  <w:footnote w:id="177">
    <w:p w14:paraId="3CB06802" w14:textId="116E1AA8" w:rsidR="00C96B06" w:rsidRPr="00CF7716" w:rsidRDefault="00C96B06"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0A5C65" w:rsidRPr="00CF7716">
        <w:rPr>
          <w:color w:val="000000" w:themeColor="text1"/>
          <w:sz w:val="20"/>
          <w:szCs w:val="20"/>
        </w:rPr>
        <w:t xml:space="preserve">P </w:t>
      </w:r>
      <w:r w:rsidR="000C0665" w:rsidRPr="00CF7716">
        <w:rPr>
          <w:color w:val="000000" w:themeColor="text1"/>
          <w:sz w:val="20"/>
          <w:szCs w:val="20"/>
        </w:rPr>
        <w:t>Chabal</w:t>
      </w:r>
      <w:r w:rsidR="000A5C65" w:rsidRPr="00CF7716">
        <w:rPr>
          <w:color w:val="000000" w:themeColor="text1"/>
          <w:sz w:val="20"/>
          <w:szCs w:val="20"/>
        </w:rPr>
        <w:t xml:space="preserve"> </w:t>
      </w:r>
      <w:r w:rsidR="000C0665" w:rsidRPr="00CF7716">
        <w:rPr>
          <w:color w:val="000000" w:themeColor="text1"/>
          <w:sz w:val="20"/>
          <w:szCs w:val="20"/>
        </w:rPr>
        <w:t xml:space="preserve">and </w:t>
      </w:r>
      <w:r w:rsidR="000A5C65" w:rsidRPr="00CF7716">
        <w:rPr>
          <w:color w:val="000000" w:themeColor="text1"/>
          <w:sz w:val="20"/>
          <w:szCs w:val="20"/>
        </w:rPr>
        <w:t>JP</w:t>
      </w:r>
      <w:r w:rsidR="000C0665" w:rsidRPr="00CF7716">
        <w:rPr>
          <w:color w:val="000000" w:themeColor="text1"/>
          <w:sz w:val="20"/>
          <w:szCs w:val="20"/>
        </w:rPr>
        <w:t xml:space="preserve"> Daloz</w:t>
      </w:r>
      <w:r w:rsidR="000A5C65" w:rsidRPr="00CF7716">
        <w:rPr>
          <w:color w:val="000000" w:themeColor="text1"/>
          <w:sz w:val="20"/>
          <w:szCs w:val="20"/>
        </w:rPr>
        <w:t>,</w:t>
      </w:r>
      <w:r w:rsidR="000C0665" w:rsidRPr="00CF7716">
        <w:rPr>
          <w:color w:val="000000" w:themeColor="text1"/>
          <w:sz w:val="20"/>
          <w:szCs w:val="20"/>
        </w:rPr>
        <w:t xml:space="preserve"> </w:t>
      </w:r>
      <w:r w:rsidR="000C0665" w:rsidRPr="00CF7716">
        <w:rPr>
          <w:i/>
          <w:iCs/>
          <w:color w:val="000000" w:themeColor="text1"/>
          <w:sz w:val="20"/>
          <w:szCs w:val="20"/>
        </w:rPr>
        <w:t xml:space="preserve">Africa </w:t>
      </w:r>
      <w:r w:rsidR="000A5C65" w:rsidRPr="00CF7716">
        <w:rPr>
          <w:i/>
          <w:iCs/>
          <w:color w:val="000000" w:themeColor="text1"/>
          <w:sz w:val="20"/>
          <w:szCs w:val="20"/>
        </w:rPr>
        <w:t>W</w:t>
      </w:r>
      <w:r w:rsidR="000C0665" w:rsidRPr="00CF7716">
        <w:rPr>
          <w:i/>
          <w:iCs/>
          <w:color w:val="000000" w:themeColor="text1"/>
          <w:sz w:val="20"/>
          <w:szCs w:val="20"/>
        </w:rPr>
        <w:t xml:space="preserve">orks: </w:t>
      </w:r>
      <w:r w:rsidR="000A5C65" w:rsidRPr="00CF7716">
        <w:rPr>
          <w:i/>
          <w:iCs/>
          <w:color w:val="000000" w:themeColor="text1"/>
          <w:sz w:val="20"/>
          <w:szCs w:val="20"/>
        </w:rPr>
        <w:t>T</w:t>
      </w:r>
      <w:r w:rsidR="000C0665" w:rsidRPr="00CF7716">
        <w:rPr>
          <w:i/>
          <w:iCs/>
          <w:color w:val="000000" w:themeColor="text1"/>
          <w:sz w:val="20"/>
          <w:szCs w:val="20"/>
        </w:rPr>
        <w:t xml:space="preserve">he </w:t>
      </w:r>
      <w:r w:rsidR="000A5C65" w:rsidRPr="00CF7716">
        <w:rPr>
          <w:i/>
          <w:iCs/>
          <w:color w:val="000000" w:themeColor="text1"/>
          <w:sz w:val="20"/>
          <w:szCs w:val="20"/>
        </w:rPr>
        <w:t>P</w:t>
      </w:r>
      <w:r w:rsidR="000C0665" w:rsidRPr="00CF7716">
        <w:rPr>
          <w:i/>
          <w:iCs/>
          <w:color w:val="000000" w:themeColor="text1"/>
          <w:sz w:val="20"/>
          <w:szCs w:val="20"/>
        </w:rPr>
        <w:t xml:space="preserve">olitical </w:t>
      </w:r>
      <w:r w:rsidR="000A5C65" w:rsidRPr="00CF7716">
        <w:rPr>
          <w:i/>
          <w:iCs/>
          <w:color w:val="000000" w:themeColor="text1"/>
          <w:sz w:val="20"/>
          <w:szCs w:val="20"/>
        </w:rPr>
        <w:t>I</w:t>
      </w:r>
      <w:r w:rsidR="000C0665" w:rsidRPr="00CF7716">
        <w:rPr>
          <w:i/>
          <w:iCs/>
          <w:color w:val="000000" w:themeColor="text1"/>
          <w:sz w:val="20"/>
          <w:szCs w:val="20"/>
        </w:rPr>
        <w:t xml:space="preserve">nstrumentalization of </w:t>
      </w:r>
      <w:r w:rsidR="000A5C65" w:rsidRPr="00CF7716">
        <w:rPr>
          <w:i/>
          <w:iCs/>
          <w:color w:val="000000" w:themeColor="text1"/>
          <w:sz w:val="20"/>
          <w:szCs w:val="20"/>
        </w:rPr>
        <w:t>D</w:t>
      </w:r>
      <w:r w:rsidR="000C0665" w:rsidRPr="00CF7716">
        <w:rPr>
          <w:i/>
          <w:iCs/>
          <w:color w:val="000000" w:themeColor="text1"/>
          <w:sz w:val="20"/>
          <w:szCs w:val="20"/>
        </w:rPr>
        <w:t>isorder</w:t>
      </w:r>
      <w:r w:rsidR="000A5C65" w:rsidRPr="00CF7716">
        <w:rPr>
          <w:color w:val="000000" w:themeColor="text1"/>
          <w:sz w:val="20"/>
          <w:szCs w:val="20"/>
        </w:rPr>
        <w:t xml:space="preserve"> (</w:t>
      </w:r>
      <w:r w:rsidR="00E26B93">
        <w:rPr>
          <w:color w:val="000000" w:themeColor="text1"/>
          <w:sz w:val="20"/>
          <w:szCs w:val="20"/>
        </w:rPr>
        <w:t xml:space="preserve">Melton, </w:t>
      </w:r>
      <w:r w:rsidR="000C0665" w:rsidRPr="00CF7716">
        <w:rPr>
          <w:color w:val="000000" w:themeColor="text1"/>
          <w:sz w:val="20"/>
          <w:szCs w:val="20"/>
        </w:rPr>
        <w:t>James Currey 1998</w:t>
      </w:r>
      <w:r w:rsidR="000A5C65" w:rsidRPr="00CF7716">
        <w:rPr>
          <w:color w:val="000000" w:themeColor="text1"/>
          <w:sz w:val="20"/>
          <w:szCs w:val="20"/>
        </w:rPr>
        <w:t>)</w:t>
      </w:r>
      <w:r w:rsidR="000C0665" w:rsidRPr="00CF7716">
        <w:rPr>
          <w:color w:val="000000" w:themeColor="text1"/>
          <w:sz w:val="20"/>
          <w:szCs w:val="20"/>
        </w:rPr>
        <w:t xml:space="preserve"> xix</w:t>
      </w:r>
      <w:r w:rsidR="000A5C65" w:rsidRPr="00CF7716">
        <w:rPr>
          <w:color w:val="000000" w:themeColor="text1"/>
          <w:sz w:val="20"/>
          <w:szCs w:val="20"/>
        </w:rPr>
        <w:t>.</w:t>
      </w:r>
    </w:p>
  </w:footnote>
  <w:footnote w:id="178">
    <w:p w14:paraId="44E031E0" w14:textId="7250D448" w:rsidR="002557E3" w:rsidRPr="00CF7716" w:rsidRDefault="002557E3"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Tadros and Allouche</w:t>
      </w:r>
      <w:r w:rsidR="00D221DA" w:rsidRPr="00CF7716">
        <w:rPr>
          <w:rFonts w:ascii="Times New Roman" w:hAnsi="Times New Roman" w:cs="Times New Roman"/>
          <w:color w:val="000000" w:themeColor="text1"/>
        </w:rPr>
        <w:t xml:space="preserve"> (n 28) </w:t>
      </w:r>
      <w:r w:rsidRPr="00CF7716">
        <w:rPr>
          <w:rFonts w:ascii="Times New Roman" w:hAnsi="Times New Roman" w:cs="Times New Roman"/>
          <w:color w:val="000000" w:themeColor="text1"/>
        </w:rPr>
        <w:t>194.</w:t>
      </w:r>
    </w:p>
  </w:footnote>
  <w:footnote w:id="179">
    <w:p w14:paraId="07CCF520" w14:textId="70EB3AB7" w:rsidR="00F84CF5" w:rsidRPr="00CF7716" w:rsidRDefault="00F84CF5"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AA2804" w:rsidRPr="00CF7716">
        <w:rPr>
          <w:color w:val="000000" w:themeColor="text1"/>
          <w:sz w:val="20"/>
          <w:szCs w:val="20"/>
        </w:rPr>
        <w:t xml:space="preserve">L </w:t>
      </w:r>
      <w:r w:rsidRPr="00CF7716">
        <w:rPr>
          <w:color w:val="000000" w:themeColor="text1"/>
          <w:sz w:val="20"/>
          <w:szCs w:val="20"/>
        </w:rPr>
        <w:t xml:space="preserve">Arriola, </w:t>
      </w:r>
      <w:r w:rsidR="00AA2804" w:rsidRPr="00CF7716">
        <w:rPr>
          <w:color w:val="000000" w:themeColor="text1"/>
          <w:sz w:val="20"/>
          <w:szCs w:val="20"/>
        </w:rPr>
        <w:t>‘</w:t>
      </w:r>
      <w:r w:rsidRPr="00CF7716">
        <w:rPr>
          <w:color w:val="000000" w:themeColor="text1"/>
          <w:sz w:val="20"/>
          <w:szCs w:val="20"/>
        </w:rPr>
        <w:t xml:space="preserve">Patronage and </w:t>
      </w:r>
      <w:r w:rsidR="00AA2804" w:rsidRPr="00CF7716">
        <w:rPr>
          <w:color w:val="000000" w:themeColor="text1"/>
          <w:sz w:val="20"/>
          <w:szCs w:val="20"/>
        </w:rPr>
        <w:t>P</w:t>
      </w:r>
      <w:r w:rsidRPr="00CF7716">
        <w:rPr>
          <w:color w:val="000000" w:themeColor="text1"/>
          <w:sz w:val="20"/>
          <w:szCs w:val="20"/>
        </w:rPr>
        <w:t xml:space="preserve">olitical </w:t>
      </w:r>
      <w:r w:rsidR="00AA2804" w:rsidRPr="00CF7716">
        <w:rPr>
          <w:color w:val="000000" w:themeColor="text1"/>
          <w:sz w:val="20"/>
          <w:szCs w:val="20"/>
        </w:rPr>
        <w:t>S</w:t>
      </w:r>
      <w:r w:rsidRPr="00CF7716">
        <w:rPr>
          <w:color w:val="000000" w:themeColor="text1"/>
          <w:sz w:val="20"/>
          <w:szCs w:val="20"/>
        </w:rPr>
        <w:t>tability in Africa</w:t>
      </w:r>
      <w:r w:rsidR="00AA2804" w:rsidRPr="00CF7716">
        <w:rPr>
          <w:color w:val="000000" w:themeColor="text1"/>
          <w:sz w:val="20"/>
          <w:szCs w:val="20"/>
        </w:rPr>
        <w:t>’ (2009) 42</w:t>
      </w:r>
      <w:r w:rsidRPr="00CF7716">
        <w:rPr>
          <w:color w:val="000000" w:themeColor="text1"/>
          <w:sz w:val="20"/>
          <w:szCs w:val="20"/>
        </w:rPr>
        <w:t xml:space="preserve"> </w:t>
      </w:r>
      <w:r w:rsidRPr="00CF7716">
        <w:rPr>
          <w:i/>
          <w:iCs/>
          <w:color w:val="000000" w:themeColor="text1"/>
          <w:sz w:val="20"/>
          <w:szCs w:val="20"/>
        </w:rPr>
        <w:t>Comparative Political Studies</w:t>
      </w:r>
      <w:r w:rsidRPr="00CF7716">
        <w:rPr>
          <w:color w:val="000000" w:themeColor="text1"/>
          <w:sz w:val="20"/>
          <w:szCs w:val="20"/>
        </w:rPr>
        <w:t xml:space="preserve"> 1339, 1340.</w:t>
      </w:r>
    </w:p>
  </w:footnote>
  <w:footnote w:id="180">
    <w:p w14:paraId="51D208BD" w14:textId="7CCE8308" w:rsidR="00F03153" w:rsidRPr="00CF7716" w:rsidRDefault="00F03153"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AE68AD" w:rsidRPr="00CF7716">
        <w:rPr>
          <w:color w:val="000000" w:themeColor="text1"/>
          <w:sz w:val="20"/>
          <w:szCs w:val="20"/>
        </w:rPr>
        <w:t>North, Wallis</w:t>
      </w:r>
      <w:r w:rsidR="000A5C65" w:rsidRPr="00CF7716">
        <w:rPr>
          <w:color w:val="000000" w:themeColor="text1"/>
          <w:sz w:val="20"/>
          <w:szCs w:val="20"/>
        </w:rPr>
        <w:t xml:space="preserve"> </w:t>
      </w:r>
      <w:r w:rsidR="00AE68AD" w:rsidRPr="00CF7716">
        <w:rPr>
          <w:color w:val="000000" w:themeColor="text1"/>
          <w:sz w:val="20"/>
          <w:szCs w:val="20"/>
        </w:rPr>
        <w:t>and Weingast</w:t>
      </w:r>
      <w:r w:rsidR="003244E7" w:rsidRPr="00CF7716">
        <w:rPr>
          <w:color w:val="000000" w:themeColor="text1"/>
          <w:sz w:val="20"/>
          <w:szCs w:val="20"/>
        </w:rPr>
        <w:t xml:space="preserve"> (n 165) </w:t>
      </w:r>
      <w:r w:rsidR="00AE68AD" w:rsidRPr="00CF7716">
        <w:rPr>
          <w:color w:val="000000" w:themeColor="text1"/>
          <w:sz w:val="20"/>
          <w:szCs w:val="20"/>
        </w:rPr>
        <w:t>42</w:t>
      </w:r>
      <w:r w:rsidR="000A5C65" w:rsidRPr="00CF7716">
        <w:rPr>
          <w:color w:val="000000" w:themeColor="text1"/>
          <w:sz w:val="20"/>
          <w:szCs w:val="20"/>
        </w:rPr>
        <w:t>.</w:t>
      </w:r>
    </w:p>
  </w:footnote>
  <w:footnote w:id="181">
    <w:p w14:paraId="2CB9388A" w14:textId="0D3A955A" w:rsidR="004A1D36" w:rsidRPr="00CF7716" w:rsidRDefault="004A1D36" w:rsidP="00E65CEB">
      <w:pPr>
        <w:spacing w:line="480" w:lineRule="auto"/>
        <w:rPr>
          <w:color w:val="000000" w:themeColor="text1"/>
          <w:sz w:val="20"/>
          <w:szCs w:val="20"/>
        </w:rPr>
      </w:pPr>
      <w:r w:rsidRPr="00CF7716">
        <w:rPr>
          <w:rStyle w:val="FootnoteReference"/>
          <w:color w:val="000000" w:themeColor="text1"/>
          <w:sz w:val="20"/>
          <w:szCs w:val="20"/>
        </w:rPr>
        <w:footnoteRef/>
      </w:r>
      <w:r w:rsidRPr="00CF7716">
        <w:rPr>
          <w:color w:val="000000" w:themeColor="text1"/>
          <w:sz w:val="20"/>
          <w:szCs w:val="20"/>
        </w:rPr>
        <w:t xml:space="preserve"> </w:t>
      </w:r>
      <w:r w:rsidR="00B34C19" w:rsidRPr="00CF7716">
        <w:rPr>
          <w:color w:val="000000" w:themeColor="text1"/>
          <w:sz w:val="20"/>
          <w:szCs w:val="20"/>
        </w:rPr>
        <w:t>Barma</w:t>
      </w:r>
      <w:r w:rsidR="003244E7" w:rsidRPr="00CF7716">
        <w:rPr>
          <w:color w:val="000000" w:themeColor="text1"/>
          <w:sz w:val="20"/>
          <w:szCs w:val="20"/>
        </w:rPr>
        <w:t xml:space="preserve"> (n 141)</w:t>
      </w:r>
      <w:r w:rsidR="00B34C19" w:rsidRPr="00CF7716">
        <w:rPr>
          <w:color w:val="000000" w:themeColor="text1"/>
          <w:sz w:val="20"/>
          <w:szCs w:val="20"/>
        </w:rPr>
        <w:t xml:space="preserve">, </w:t>
      </w:r>
      <w:r w:rsidRPr="00CF7716">
        <w:rPr>
          <w:color w:val="000000" w:themeColor="text1"/>
          <w:sz w:val="20"/>
          <w:szCs w:val="20"/>
        </w:rPr>
        <w:t>290</w:t>
      </w:r>
      <w:r w:rsidR="00AA2804" w:rsidRPr="00CF7716">
        <w:rPr>
          <w:color w:val="000000" w:themeColor="text1"/>
          <w:sz w:val="20"/>
          <w:szCs w:val="20"/>
        </w:rPr>
        <w:t>.</w:t>
      </w:r>
    </w:p>
  </w:footnote>
  <w:footnote w:id="182">
    <w:p w14:paraId="5804B61A" w14:textId="320D4EE8" w:rsidR="0095055D" w:rsidRPr="00CF7716" w:rsidRDefault="0095055D"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009A495D" w:rsidRPr="00CF7716">
        <w:rPr>
          <w:rFonts w:ascii="Times New Roman" w:hAnsi="Times New Roman" w:cs="Times New Roman"/>
          <w:color w:val="000000" w:themeColor="text1"/>
        </w:rPr>
        <w:t>Budd</w:t>
      </w:r>
      <w:r w:rsidR="003244E7" w:rsidRPr="00CF7716">
        <w:rPr>
          <w:rFonts w:ascii="Times New Roman" w:hAnsi="Times New Roman" w:cs="Times New Roman"/>
          <w:color w:val="000000" w:themeColor="text1"/>
        </w:rPr>
        <w:t xml:space="preserve"> (n 149)</w:t>
      </w:r>
      <w:r w:rsidRPr="00CF7716">
        <w:rPr>
          <w:rFonts w:ascii="Times New Roman" w:hAnsi="Times New Roman" w:cs="Times New Roman"/>
          <w:color w:val="000000" w:themeColor="text1"/>
        </w:rPr>
        <w:t xml:space="preserve"> 12</w:t>
      </w:r>
      <w:r w:rsidR="003244E7" w:rsidRPr="00CF7716">
        <w:rPr>
          <w:rFonts w:ascii="Times New Roman" w:hAnsi="Times New Roman" w:cs="Times New Roman"/>
          <w:color w:val="000000" w:themeColor="text1"/>
        </w:rPr>
        <w:t>.</w:t>
      </w:r>
    </w:p>
  </w:footnote>
  <w:footnote w:id="183">
    <w:p w14:paraId="55B6FDC0" w14:textId="33A68D16" w:rsidR="00DC37BD" w:rsidRPr="00BF4C22" w:rsidRDefault="00DC37BD" w:rsidP="00E65CEB">
      <w:pPr>
        <w:pStyle w:val="FootnoteText"/>
        <w:spacing w:line="480" w:lineRule="auto"/>
        <w:rPr>
          <w:rFonts w:ascii="Times New Roman" w:hAnsi="Times New Roman" w:cs="Times New Roman"/>
          <w:color w:val="000000" w:themeColor="text1"/>
        </w:rPr>
      </w:pPr>
      <w:r w:rsidRPr="00CF7716">
        <w:rPr>
          <w:rStyle w:val="FootnoteReference"/>
          <w:rFonts w:ascii="Times New Roman" w:hAnsi="Times New Roman" w:cs="Times New Roman"/>
          <w:color w:val="000000" w:themeColor="text1"/>
        </w:rPr>
        <w:footnoteRef/>
      </w:r>
      <w:r w:rsidRPr="00CF7716">
        <w:rPr>
          <w:rFonts w:ascii="Times New Roman" w:hAnsi="Times New Roman" w:cs="Times New Roman"/>
          <w:color w:val="000000" w:themeColor="text1"/>
        </w:rPr>
        <w:t xml:space="preserve"> </w:t>
      </w:r>
      <w:r w:rsidR="00124B72" w:rsidRPr="00CF7716">
        <w:rPr>
          <w:rFonts w:ascii="Times New Roman" w:hAnsi="Times New Roman" w:cs="Times New Roman"/>
          <w:color w:val="000000" w:themeColor="text1"/>
        </w:rPr>
        <w:t xml:space="preserve">M </w:t>
      </w:r>
      <w:r w:rsidRPr="00CF7716">
        <w:rPr>
          <w:rFonts w:ascii="Times New Roman" w:hAnsi="Times New Roman" w:cs="Times New Roman"/>
          <w:color w:val="000000" w:themeColor="text1"/>
        </w:rPr>
        <w:t xml:space="preserve">Vom Hau, </w:t>
      </w:r>
      <w:r w:rsidR="00124B72" w:rsidRPr="00CF7716">
        <w:rPr>
          <w:rFonts w:ascii="Times New Roman" w:hAnsi="Times New Roman" w:cs="Times New Roman"/>
          <w:color w:val="000000" w:themeColor="text1"/>
        </w:rPr>
        <w:t>‘</w:t>
      </w:r>
      <w:r w:rsidRPr="00CF7716">
        <w:rPr>
          <w:rFonts w:ascii="Times New Roman" w:hAnsi="Times New Roman" w:cs="Times New Roman"/>
          <w:color w:val="000000" w:themeColor="text1"/>
        </w:rPr>
        <w:t xml:space="preserve">State capacity and </w:t>
      </w:r>
      <w:r w:rsidR="00124B72" w:rsidRPr="00CF7716">
        <w:rPr>
          <w:rFonts w:ascii="Times New Roman" w:hAnsi="Times New Roman" w:cs="Times New Roman"/>
          <w:color w:val="000000" w:themeColor="text1"/>
        </w:rPr>
        <w:t>I</w:t>
      </w:r>
      <w:r w:rsidRPr="00CF7716">
        <w:rPr>
          <w:rFonts w:ascii="Times New Roman" w:hAnsi="Times New Roman" w:cs="Times New Roman"/>
          <w:color w:val="000000" w:themeColor="text1"/>
        </w:rPr>
        <w:t xml:space="preserve">nclusive </w:t>
      </w:r>
      <w:r w:rsidR="00124B72" w:rsidRPr="00CF7716">
        <w:rPr>
          <w:rFonts w:ascii="Times New Roman" w:hAnsi="Times New Roman" w:cs="Times New Roman"/>
          <w:color w:val="000000" w:themeColor="text1"/>
        </w:rPr>
        <w:t>D</w:t>
      </w:r>
      <w:r w:rsidRPr="00CF7716">
        <w:rPr>
          <w:rFonts w:ascii="Times New Roman" w:hAnsi="Times New Roman" w:cs="Times New Roman"/>
          <w:color w:val="000000" w:themeColor="text1"/>
        </w:rPr>
        <w:t xml:space="preserve">evelopment: </w:t>
      </w:r>
      <w:r w:rsidR="00124B72" w:rsidRPr="00CF7716">
        <w:rPr>
          <w:rFonts w:ascii="Times New Roman" w:hAnsi="Times New Roman" w:cs="Times New Roman"/>
          <w:color w:val="000000" w:themeColor="text1"/>
        </w:rPr>
        <w:t>N</w:t>
      </w:r>
      <w:r w:rsidRPr="00CF7716">
        <w:rPr>
          <w:rFonts w:ascii="Times New Roman" w:hAnsi="Times New Roman" w:cs="Times New Roman"/>
          <w:color w:val="000000" w:themeColor="text1"/>
        </w:rPr>
        <w:t xml:space="preserve">ew </w:t>
      </w:r>
      <w:r w:rsidR="00124B72" w:rsidRPr="00CF7716">
        <w:rPr>
          <w:rFonts w:ascii="Times New Roman" w:hAnsi="Times New Roman" w:cs="Times New Roman"/>
          <w:color w:val="000000" w:themeColor="text1"/>
        </w:rPr>
        <w:t>C</w:t>
      </w:r>
      <w:r w:rsidRPr="00CF7716">
        <w:rPr>
          <w:rFonts w:ascii="Times New Roman" w:hAnsi="Times New Roman" w:cs="Times New Roman"/>
          <w:color w:val="000000" w:themeColor="text1"/>
        </w:rPr>
        <w:t xml:space="preserve">hallenges and </w:t>
      </w:r>
      <w:r w:rsidR="00124B72" w:rsidRPr="00CF7716">
        <w:rPr>
          <w:rFonts w:ascii="Times New Roman" w:hAnsi="Times New Roman" w:cs="Times New Roman"/>
          <w:color w:val="000000" w:themeColor="text1"/>
        </w:rPr>
        <w:t>D</w:t>
      </w:r>
      <w:r w:rsidRPr="00CF7716">
        <w:rPr>
          <w:rFonts w:ascii="Times New Roman" w:hAnsi="Times New Roman" w:cs="Times New Roman"/>
          <w:color w:val="000000" w:themeColor="text1"/>
        </w:rPr>
        <w:t>irections</w:t>
      </w:r>
      <w:r w:rsidR="00124B72" w:rsidRPr="00CF7716">
        <w:rPr>
          <w:rFonts w:ascii="Times New Roman" w:hAnsi="Times New Roman" w:cs="Times New Roman"/>
          <w:color w:val="000000" w:themeColor="text1"/>
        </w:rPr>
        <w:t>’ (2012)</w:t>
      </w:r>
      <w:r w:rsidRPr="00CF7716">
        <w:rPr>
          <w:rFonts w:ascii="Times New Roman" w:hAnsi="Times New Roman" w:cs="Times New Roman"/>
          <w:color w:val="000000" w:themeColor="text1"/>
        </w:rPr>
        <w:t xml:space="preserve"> </w:t>
      </w:r>
      <w:r w:rsidRPr="00CF7716">
        <w:rPr>
          <w:rFonts w:ascii="Times New Roman" w:hAnsi="Times New Roman" w:cs="Times New Roman"/>
          <w:i/>
          <w:iCs/>
          <w:color w:val="000000" w:themeColor="text1"/>
        </w:rPr>
        <w:t>Effective States and Inclusive Development Research Centre Working Paper</w:t>
      </w:r>
      <w:r w:rsidRPr="00CF7716">
        <w:rPr>
          <w:rFonts w:ascii="Times New Roman" w:hAnsi="Times New Roman" w:cs="Times New Roman"/>
          <w:color w:val="000000" w:themeColor="text1"/>
        </w:rPr>
        <w:t xml:space="preserve"> 2, 11 and 25</w:t>
      </w:r>
      <w:r w:rsidR="00124B72" w:rsidRPr="00CF7716">
        <w:rPr>
          <w:rFonts w:ascii="Times New Roman" w:hAnsi="Times New Roman" w:cs="Times New Roman"/>
          <w:color w:val="000000" w:themeColor="text1"/>
        </w:rPr>
        <w:t xml:space="preserve"> &lt; https://www.effective-states.org/working-paper-2-2/ &gt; date accesed </w:t>
      </w:r>
      <w:r w:rsidR="005A1075">
        <w:rPr>
          <w:rFonts w:ascii="Times New Roman" w:hAnsi="Times New Roman" w:cs="Times New Roman"/>
          <w:color w:val="000000" w:themeColor="text1"/>
        </w:rPr>
        <w:t>12 July</w:t>
      </w:r>
      <w:r w:rsidR="00BF4C22">
        <w:rPr>
          <w:rFonts w:ascii="Times New Roman" w:hAnsi="Times New Roman" w:cs="Times New Roman"/>
          <w:color w:val="000000" w:themeColor="text1"/>
        </w:rPr>
        <w:t xml:space="preserv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32009"/>
    <w:multiLevelType w:val="hybridMultilevel"/>
    <w:tmpl w:val="ED9E5820"/>
    <w:lvl w:ilvl="0" w:tplc="6882E4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E27B93"/>
    <w:multiLevelType w:val="hybridMultilevel"/>
    <w:tmpl w:val="810C2786"/>
    <w:lvl w:ilvl="0" w:tplc="C1EAB7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445A00"/>
    <w:multiLevelType w:val="hybridMultilevel"/>
    <w:tmpl w:val="2D00A9E2"/>
    <w:lvl w:ilvl="0" w:tplc="45FC59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7E6DAC"/>
    <w:multiLevelType w:val="hybridMultilevel"/>
    <w:tmpl w:val="B2782EBA"/>
    <w:lvl w:ilvl="0" w:tplc="80DE3F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97363E"/>
    <w:multiLevelType w:val="hybridMultilevel"/>
    <w:tmpl w:val="7812E0F4"/>
    <w:lvl w:ilvl="0" w:tplc="DAFA68E4">
      <w:start w:val="3"/>
      <w:numFmt w:val="bullet"/>
      <w:lvlText w:val=""/>
      <w:lvlJc w:val="left"/>
      <w:pPr>
        <w:ind w:left="720" w:hanging="360"/>
      </w:pPr>
      <w:rPr>
        <w:rFonts w:ascii="Symbol" w:eastAsia="Times New Roman" w:hAnsi="Symbol" w:cs="Times New Roman" w:hint="default"/>
        <w:color w:val="0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DA2DD7"/>
    <w:multiLevelType w:val="hybridMultilevel"/>
    <w:tmpl w:val="431290BC"/>
    <w:lvl w:ilvl="0" w:tplc="EA007E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2767319">
    <w:abstractNumId w:val="2"/>
  </w:num>
  <w:num w:numId="2" w16cid:durableId="466896109">
    <w:abstractNumId w:val="5"/>
  </w:num>
  <w:num w:numId="3" w16cid:durableId="1555971907">
    <w:abstractNumId w:val="3"/>
  </w:num>
  <w:num w:numId="4" w16cid:durableId="1457063785">
    <w:abstractNumId w:val="4"/>
  </w:num>
  <w:num w:numId="5" w16cid:durableId="1121610167">
    <w:abstractNumId w:val="1"/>
  </w:num>
  <w:num w:numId="6" w16cid:durableId="167098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5A"/>
    <w:rsid w:val="000060BB"/>
    <w:rsid w:val="00007B12"/>
    <w:rsid w:val="00014020"/>
    <w:rsid w:val="00020DBC"/>
    <w:rsid w:val="000219C3"/>
    <w:rsid w:val="00024371"/>
    <w:rsid w:val="0002586F"/>
    <w:rsid w:val="00026475"/>
    <w:rsid w:val="00027949"/>
    <w:rsid w:val="000307F2"/>
    <w:rsid w:val="0003257B"/>
    <w:rsid w:val="00032592"/>
    <w:rsid w:val="000330E8"/>
    <w:rsid w:val="000350B0"/>
    <w:rsid w:val="000368BC"/>
    <w:rsid w:val="00037C94"/>
    <w:rsid w:val="0004305C"/>
    <w:rsid w:val="000458A0"/>
    <w:rsid w:val="0004661E"/>
    <w:rsid w:val="000472B0"/>
    <w:rsid w:val="00053D27"/>
    <w:rsid w:val="00056530"/>
    <w:rsid w:val="000566AB"/>
    <w:rsid w:val="00057970"/>
    <w:rsid w:val="00061686"/>
    <w:rsid w:val="00061805"/>
    <w:rsid w:val="0006377B"/>
    <w:rsid w:val="00065374"/>
    <w:rsid w:val="00065BA3"/>
    <w:rsid w:val="00066447"/>
    <w:rsid w:val="00066AFA"/>
    <w:rsid w:val="000724C3"/>
    <w:rsid w:val="00073122"/>
    <w:rsid w:val="00082880"/>
    <w:rsid w:val="000861BB"/>
    <w:rsid w:val="00086AB1"/>
    <w:rsid w:val="000968AD"/>
    <w:rsid w:val="000A0AFC"/>
    <w:rsid w:val="000A231E"/>
    <w:rsid w:val="000A23E2"/>
    <w:rsid w:val="000A5C65"/>
    <w:rsid w:val="000B07D3"/>
    <w:rsid w:val="000B509E"/>
    <w:rsid w:val="000B677E"/>
    <w:rsid w:val="000C0665"/>
    <w:rsid w:val="000C09BE"/>
    <w:rsid w:val="000C1225"/>
    <w:rsid w:val="000C1350"/>
    <w:rsid w:val="000C1C79"/>
    <w:rsid w:val="000C543C"/>
    <w:rsid w:val="000C5CE6"/>
    <w:rsid w:val="000C6CE2"/>
    <w:rsid w:val="000D03BB"/>
    <w:rsid w:val="000D53F3"/>
    <w:rsid w:val="000E05E0"/>
    <w:rsid w:val="000E48C8"/>
    <w:rsid w:val="000F0942"/>
    <w:rsid w:val="000F1069"/>
    <w:rsid w:val="000F1615"/>
    <w:rsid w:val="000F2EC6"/>
    <w:rsid w:val="000F4411"/>
    <w:rsid w:val="000F4504"/>
    <w:rsid w:val="000F49CF"/>
    <w:rsid w:val="000F5ECA"/>
    <w:rsid w:val="000F60E6"/>
    <w:rsid w:val="00100AB0"/>
    <w:rsid w:val="001017D7"/>
    <w:rsid w:val="00103983"/>
    <w:rsid w:val="00105E68"/>
    <w:rsid w:val="001074CB"/>
    <w:rsid w:val="00107658"/>
    <w:rsid w:val="00107CE7"/>
    <w:rsid w:val="00115D96"/>
    <w:rsid w:val="00116C56"/>
    <w:rsid w:val="00121C9E"/>
    <w:rsid w:val="00122425"/>
    <w:rsid w:val="00124B72"/>
    <w:rsid w:val="0012594B"/>
    <w:rsid w:val="0013267D"/>
    <w:rsid w:val="001337D0"/>
    <w:rsid w:val="001374C0"/>
    <w:rsid w:val="00142882"/>
    <w:rsid w:val="00144BCF"/>
    <w:rsid w:val="00145DAE"/>
    <w:rsid w:val="001472C6"/>
    <w:rsid w:val="001473C1"/>
    <w:rsid w:val="001612BE"/>
    <w:rsid w:val="0016568F"/>
    <w:rsid w:val="00173AD6"/>
    <w:rsid w:val="001838D5"/>
    <w:rsid w:val="00186884"/>
    <w:rsid w:val="00195646"/>
    <w:rsid w:val="001A69FC"/>
    <w:rsid w:val="001A71B8"/>
    <w:rsid w:val="001B0317"/>
    <w:rsid w:val="001B0743"/>
    <w:rsid w:val="001B07F8"/>
    <w:rsid w:val="001B36E9"/>
    <w:rsid w:val="001B43DE"/>
    <w:rsid w:val="001C2F93"/>
    <w:rsid w:val="001C51FE"/>
    <w:rsid w:val="001C76B5"/>
    <w:rsid w:val="001D1567"/>
    <w:rsid w:val="001D3EC6"/>
    <w:rsid w:val="001D41E8"/>
    <w:rsid w:val="001D4E9B"/>
    <w:rsid w:val="001E4801"/>
    <w:rsid w:val="001E7B33"/>
    <w:rsid w:val="001F0AA5"/>
    <w:rsid w:val="001F5800"/>
    <w:rsid w:val="00207410"/>
    <w:rsid w:val="002256B1"/>
    <w:rsid w:val="00226584"/>
    <w:rsid w:val="00226AC9"/>
    <w:rsid w:val="002304FA"/>
    <w:rsid w:val="002361F9"/>
    <w:rsid w:val="002557E3"/>
    <w:rsid w:val="0026166F"/>
    <w:rsid w:val="0026333E"/>
    <w:rsid w:val="0026387A"/>
    <w:rsid w:val="002638B4"/>
    <w:rsid w:val="002639C8"/>
    <w:rsid w:val="00263B5A"/>
    <w:rsid w:val="002751BB"/>
    <w:rsid w:val="00276E43"/>
    <w:rsid w:val="00287340"/>
    <w:rsid w:val="00287686"/>
    <w:rsid w:val="00291490"/>
    <w:rsid w:val="00292894"/>
    <w:rsid w:val="002A4CC5"/>
    <w:rsid w:val="002A5365"/>
    <w:rsid w:val="002A5B8E"/>
    <w:rsid w:val="002A7E23"/>
    <w:rsid w:val="002C3A74"/>
    <w:rsid w:val="002C6767"/>
    <w:rsid w:val="002D2051"/>
    <w:rsid w:val="002D395A"/>
    <w:rsid w:val="002D483F"/>
    <w:rsid w:val="002E51D6"/>
    <w:rsid w:val="002F3793"/>
    <w:rsid w:val="002F5BE6"/>
    <w:rsid w:val="003016DE"/>
    <w:rsid w:val="003056F5"/>
    <w:rsid w:val="00306334"/>
    <w:rsid w:val="0031227B"/>
    <w:rsid w:val="00317A6F"/>
    <w:rsid w:val="003244E7"/>
    <w:rsid w:val="00326D85"/>
    <w:rsid w:val="0032725B"/>
    <w:rsid w:val="0033144F"/>
    <w:rsid w:val="00334658"/>
    <w:rsid w:val="0033680B"/>
    <w:rsid w:val="00352A34"/>
    <w:rsid w:val="00354632"/>
    <w:rsid w:val="00357EF7"/>
    <w:rsid w:val="00360B98"/>
    <w:rsid w:val="00374DCD"/>
    <w:rsid w:val="00375BA0"/>
    <w:rsid w:val="00375C12"/>
    <w:rsid w:val="00380FCD"/>
    <w:rsid w:val="00382FE4"/>
    <w:rsid w:val="00386AFD"/>
    <w:rsid w:val="0039099E"/>
    <w:rsid w:val="0039172A"/>
    <w:rsid w:val="003925CB"/>
    <w:rsid w:val="00392950"/>
    <w:rsid w:val="003959CE"/>
    <w:rsid w:val="00395DAF"/>
    <w:rsid w:val="003A2CE2"/>
    <w:rsid w:val="003A4B5E"/>
    <w:rsid w:val="003B0214"/>
    <w:rsid w:val="003B2CE9"/>
    <w:rsid w:val="003B502D"/>
    <w:rsid w:val="003B61B8"/>
    <w:rsid w:val="003B6AA9"/>
    <w:rsid w:val="003C0D93"/>
    <w:rsid w:val="003C33FD"/>
    <w:rsid w:val="003D04E1"/>
    <w:rsid w:val="003D4421"/>
    <w:rsid w:val="003D649C"/>
    <w:rsid w:val="003E270F"/>
    <w:rsid w:val="003E5D52"/>
    <w:rsid w:val="003E6606"/>
    <w:rsid w:val="003F0E89"/>
    <w:rsid w:val="003F2EAC"/>
    <w:rsid w:val="003F4BB8"/>
    <w:rsid w:val="003F4DA0"/>
    <w:rsid w:val="003F54A2"/>
    <w:rsid w:val="003F5B72"/>
    <w:rsid w:val="003F64F8"/>
    <w:rsid w:val="004052BC"/>
    <w:rsid w:val="004052CB"/>
    <w:rsid w:val="00410F54"/>
    <w:rsid w:val="00423185"/>
    <w:rsid w:val="00430DB3"/>
    <w:rsid w:val="00431267"/>
    <w:rsid w:val="00435153"/>
    <w:rsid w:val="00442958"/>
    <w:rsid w:val="00445C62"/>
    <w:rsid w:val="004522EC"/>
    <w:rsid w:val="00456F77"/>
    <w:rsid w:val="00457BF9"/>
    <w:rsid w:val="00463855"/>
    <w:rsid w:val="00465020"/>
    <w:rsid w:val="00472CB3"/>
    <w:rsid w:val="00473443"/>
    <w:rsid w:val="00480E20"/>
    <w:rsid w:val="00480F7C"/>
    <w:rsid w:val="00482F79"/>
    <w:rsid w:val="004935A4"/>
    <w:rsid w:val="004937D3"/>
    <w:rsid w:val="00494744"/>
    <w:rsid w:val="00495020"/>
    <w:rsid w:val="004951B8"/>
    <w:rsid w:val="004A1D36"/>
    <w:rsid w:val="004A262C"/>
    <w:rsid w:val="004A47FD"/>
    <w:rsid w:val="004A53EE"/>
    <w:rsid w:val="004A54DD"/>
    <w:rsid w:val="004A61BE"/>
    <w:rsid w:val="004B226C"/>
    <w:rsid w:val="004B35A6"/>
    <w:rsid w:val="004B557A"/>
    <w:rsid w:val="004C12A3"/>
    <w:rsid w:val="004C149B"/>
    <w:rsid w:val="004C1BB4"/>
    <w:rsid w:val="004C3663"/>
    <w:rsid w:val="004C66E2"/>
    <w:rsid w:val="004D19E5"/>
    <w:rsid w:val="004D1F14"/>
    <w:rsid w:val="004D3186"/>
    <w:rsid w:val="004E2B9F"/>
    <w:rsid w:val="004E2E1A"/>
    <w:rsid w:val="004E3DA4"/>
    <w:rsid w:val="004E4B6F"/>
    <w:rsid w:val="004F085D"/>
    <w:rsid w:val="004F0BC1"/>
    <w:rsid w:val="004F2853"/>
    <w:rsid w:val="004F433D"/>
    <w:rsid w:val="004F5D7F"/>
    <w:rsid w:val="005041B5"/>
    <w:rsid w:val="0050755A"/>
    <w:rsid w:val="00512B64"/>
    <w:rsid w:val="005167C5"/>
    <w:rsid w:val="00525037"/>
    <w:rsid w:val="0052538C"/>
    <w:rsid w:val="00527F1A"/>
    <w:rsid w:val="00532DD6"/>
    <w:rsid w:val="00536359"/>
    <w:rsid w:val="00545838"/>
    <w:rsid w:val="00557253"/>
    <w:rsid w:val="005575DD"/>
    <w:rsid w:val="00560883"/>
    <w:rsid w:val="005613FD"/>
    <w:rsid w:val="0056361C"/>
    <w:rsid w:val="00563DD9"/>
    <w:rsid w:val="005677DC"/>
    <w:rsid w:val="00567937"/>
    <w:rsid w:val="005723AD"/>
    <w:rsid w:val="00574BA2"/>
    <w:rsid w:val="00576FCA"/>
    <w:rsid w:val="0057765C"/>
    <w:rsid w:val="00581E06"/>
    <w:rsid w:val="00585F34"/>
    <w:rsid w:val="00591BA9"/>
    <w:rsid w:val="0059269A"/>
    <w:rsid w:val="005949C0"/>
    <w:rsid w:val="00596411"/>
    <w:rsid w:val="005966E3"/>
    <w:rsid w:val="005A1075"/>
    <w:rsid w:val="005A3BDF"/>
    <w:rsid w:val="005A48F1"/>
    <w:rsid w:val="005A51A5"/>
    <w:rsid w:val="005A53D4"/>
    <w:rsid w:val="005A7F0F"/>
    <w:rsid w:val="005B179C"/>
    <w:rsid w:val="005B4D1F"/>
    <w:rsid w:val="005B61DC"/>
    <w:rsid w:val="005D155B"/>
    <w:rsid w:val="005D5111"/>
    <w:rsid w:val="005E0CE3"/>
    <w:rsid w:val="005E5E7D"/>
    <w:rsid w:val="005F1DC1"/>
    <w:rsid w:val="005F5DEF"/>
    <w:rsid w:val="006020A6"/>
    <w:rsid w:val="00602265"/>
    <w:rsid w:val="00605177"/>
    <w:rsid w:val="00607B91"/>
    <w:rsid w:val="00615AD7"/>
    <w:rsid w:val="00615CAF"/>
    <w:rsid w:val="0061701E"/>
    <w:rsid w:val="00625DB5"/>
    <w:rsid w:val="00626641"/>
    <w:rsid w:val="00627D0C"/>
    <w:rsid w:val="00631573"/>
    <w:rsid w:val="00631B40"/>
    <w:rsid w:val="00632590"/>
    <w:rsid w:val="006403B0"/>
    <w:rsid w:val="006436C9"/>
    <w:rsid w:val="0064470F"/>
    <w:rsid w:val="00646F47"/>
    <w:rsid w:val="00650FF0"/>
    <w:rsid w:val="00653D60"/>
    <w:rsid w:val="006558F9"/>
    <w:rsid w:val="006604C5"/>
    <w:rsid w:val="006615AE"/>
    <w:rsid w:val="00664548"/>
    <w:rsid w:val="0066505D"/>
    <w:rsid w:val="00671DB4"/>
    <w:rsid w:val="00672CDE"/>
    <w:rsid w:val="00675788"/>
    <w:rsid w:val="006861BC"/>
    <w:rsid w:val="0068663F"/>
    <w:rsid w:val="006911CB"/>
    <w:rsid w:val="0069671C"/>
    <w:rsid w:val="006A20C1"/>
    <w:rsid w:val="006A4CFC"/>
    <w:rsid w:val="006A578F"/>
    <w:rsid w:val="006A6948"/>
    <w:rsid w:val="006A6D59"/>
    <w:rsid w:val="006B0248"/>
    <w:rsid w:val="006B0406"/>
    <w:rsid w:val="006B49F5"/>
    <w:rsid w:val="006B7C5A"/>
    <w:rsid w:val="006C32D5"/>
    <w:rsid w:val="006D09D8"/>
    <w:rsid w:val="006D29C7"/>
    <w:rsid w:val="006D454F"/>
    <w:rsid w:val="006D460F"/>
    <w:rsid w:val="006D4FF8"/>
    <w:rsid w:val="006E1545"/>
    <w:rsid w:val="006E3258"/>
    <w:rsid w:val="006E3E28"/>
    <w:rsid w:val="006F01F1"/>
    <w:rsid w:val="006F4BAE"/>
    <w:rsid w:val="006F532C"/>
    <w:rsid w:val="00701F99"/>
    <w:rsid w:val="00704BD2"/>
    <w:rsid w:val="007067AF"/>
    <w:rsid w:val="00707690"/>
    <w:rsid w:val="0070780F"/>
    <w:rsid w:val="0071115D"/>
    <w:rsid w:val="00721092"/>
    <w:rsid w:val="007248D4"/>
    <w:rsid w:val="00724DB8"/>
    <w:rsid w:val="0073370B"/>
    <w:rsid w:val="0074030C"/>
    <w:rsid w:val="00741709"/>
    <w:rsid w:val="007449F1"/>
    <w:rsid w:val="00750506"/>
    <w:rsid w:val="0075119D"/>
    <w:rsid w:val="00763F23"/>
    <w:rsid w:val="007647EE"/>
    <w:rsid w:val="00773078"/>
    <w:rsid w:val="0077519E"/>
    <w:rsid w:val="007770EE"/>
    <w:rsid w:val="00782643"/>
    <w:rsid w:val="00783236"/>
    <w:rsid w:val="00784DAD"/>
    <w:rsid w:val="007961C8"/>
    <w:rsid w:val="007A09DA"/>
    <w:rsid w:val="007A1B84"/>
    <w:rsid w:val="007A6BB1"/>
    <w:rsid w:val="007A7AD5"/>
    <w:rsid w:val="007B017A"/>
    <w:rsid w:val="007B2F58"/>
    <w:rsid w:val="007C1FA9"/>
    <w:rsid w:val="007D2C67"/>
    <w:rsid w:val="007D3BDB"/>
    <w:rsid w:val="007E4B68"/>
    <w:rsid w:val="007E5DD5"/>
    <w:rsid w:val="007F64D4"/>
    <w:rsid w:val="007F6A48"/>
    <w:rsid w:val="00801E18"/>
    <w:rsid w:val="00804E82"/>
    <w:rsid w:val="00805E31"/>
    <w:rsid w:val="00807E23"/>
    <w:rsid w:val="00811879"/>
    <w:rsid w:val="00814804"/>
    <w:rsid w:val="008162FB"/>
    <w:rsid w:val="00820662"/>
    <w:rsid w:val="0082211C"/>
    <w:rsid w:val="00822618"/>
    <w:rsid w:val="00824278"/>
    <w:rsid w:val="00825441"/>
    <w:rsid w:val="00825703"/>
    <w:rsid w:val="00834456"/>
    <w:rsid w:val="00834F73"/>
    <w:rsid w:val="00841B7D"/>
    <w:rsid w:val="00841DD0"/>
    <w:rsid w:val="00847A2C"/>
    <w:rsid w:val="00851CA1"/>
    <w:rsid w:val="008558A6"/>
    <w:rsid w:val="00862265"/>
    <w:rsid w:val="0086278A"/>
    <w:rsid w:val="008734EB"/>
    <w:rsid w:val="0088055C"/>
    <w:rsid w:val="00880C92"/>
    <w:rsid w:val="008826C8"/>
    <w:rsid w:val="00885B6D"/>
    <w:rsid w:val="008901A5"/>
    <w:rsid w:val="00891B4C"/>
    <w:rsid w:val="008A2A45"/>
    <w:rsid w:val="008A513F"/>
    <w:rsid w:val="008A52AA"/>
    <w:rsid w:val="008A75F0"/>
    <w:rsid w:val="008B0B4F"/>
    <w:rsid w:val="008B326A"/>
    <w:rsid w:val="008B52BD"/>
    <w:rsid w:val="008C14C5"/>
    <w:rsid w:val="008C5DCE"/>
    <w:rsid w:val="008D0C2B"/>
    <w:rsid w:val="008D0ED7"/>
    <w:rsid w:val="008D1CB9"/>
    <w:rsid w:val="008D23B4"/>
    <w:rsid w:val="008D4AF2"/>
    <w:rsid w:val="008D57D1"/>
    <w:rsid w:val="008D7AD7"/>
    <w:rsid w:val="008E6692"/>
    <w:rsid w:val="008F380A"/>
    <w:rsid w:val="00903BAC"/>
    <w:rsid w:val="009061B1"/>
    <w:rsid w:val="009113D2"/>
    <w:rsid w:val="00917BE4"/>
    <w:rsid w:val="009231DE"/>
    <w:rsid w:val="00931514"/>
    <w:rsid w:val="009333CC"/>
    <w:rsid w:val="00936AC3"/>
    <w:rsid w:val="009377BA"/>
    <w:rsid w:val="00940199"/>
    <w:rsid w:val="00940DA2"/>
    <w:rsid w:val="009418F5"/>
    <w:rsid w:val="009429C3"/>
    <w:rsid w:val="00944326"/>
    <w:rsid w:val="0095055D"/>
    <w:rsid w:val="009505FC"/>
    <w:rsid w:val="009522F2"/>
    <w:rsid w:val="009555A9"/>
    <w:rsid w:val="00955CA7"/>
    <w:rsid w:val="009561BF"/>
    <w:rsid w:val="00956F92"/>
    <w:rsid w:val="00957AE4"/>
    <w:rsid w:val="00960EC9"/>
    <w:rsid w:val="00963E71"/>
    <w:rsid w:val="0097018A"/>
    <w:rsid w:val="00970C2E"/>
    <w:rsid w:val="009718D3"/>
    <w:rsid w:val="009767F9"/>
    <w:rsid w:val="009822A2"/>
    <w:rsid w:val="0098255E"/>
    <w:rsid w:val="009848FC"/>
    <w:rsid w:val="00984EA0"/>
    <w:rsid w:val="00985299"/>
    <w:rsid w:val="009928D8"/>
    <w:rsid w:val="00993217"/>
    <w:rsid w:val="00993A0B"/>
    <w:rsid w:val="0099482F"/>
    <w:rsid w:val="0099571A"/>
    <w:rsid w:val="009968D9"/>
    <w:rsid w:val="009A495D"/>
    <w:rsid w:val="009B0503"/>
    <w:rsid w:val="009B15B7"/>
    <w:rsid w:val="009B1E07"/>
    <w:rsid w:val="009B20F5"/>
    <w:rsid w:val="009B64E5"/>
    <w:rsid w:val="009C4BA0"/>
    <w:rsid w:val="009C59BC"/>
    <w:rsid w:val="009C7FB2"/>
    <w:rsid w:val="009D150C"/>
    <w:rsid w:val="009D395F"/>
    <w:rsid w:val="009E0DD4"/>
    <w:rsid w:val="009E400A"/>
    <w:rsid w:val="009E6134"/>
    <w:rsid w:val="009E6433"/>
    <w:rsid w:val="009E776E"/>
    <w:rsid w:val="009F43F3"/>
    <w:rsid w:val="009F6AE2"/>
    <w:rsid w:val="00A213B6"/>
    <w:rsid w:val="00A21B7F"/>
    <w:rsid w:val="00A23372"/>
    <w:rsid w:val="00A24C98"/>
    <w:rsid w:val="00A34563"/>
    <w:rsid w:val="00A35DF0"/>
    <w:rsid w:val="00A37632"/>
    <w:rsid w:val="00A43489"/>
    <w:rsid w:val="00A520B2"/>
    <w:rsid w:val="00A60936"/>
    <w:rsid w:val="00A62232"/>
    <w:rsid w:val="00A63192"/>
    <w:rsid w:val="00A6580B"/>
    <w:rsid w:val="00A753ED"/>
    <w:rsid w:val="00A84FEB"/>
    <w:rsid w:val="00A87C2B"/>
    <w:rsid w:val="00A93922"/>
    <w:rsid w:val="00AA2804"/>
    <w:rsid w:val="00AA5467"/>
    <w:rsid w:val="00AB0F84"/>
    <w:rsid w:val="00AB2310"/>
    <w:rsid w:val="00AB39C9"/>
    <w:rsid w:val="00AB413E"/>
    <w:rsid w:val="00AC7171"/>
    <w:rsid w:val="00AD13B0"/>
    <w:rsid w:val="00AD3FB7"/>
    <w:rsid w:val="00AD4621"/>
    <w:rsid w:val="00AE4789"/>
    <w:rsid w:val="00AE5A20"/>
    <w:rsid w:val="00AE5B83"/>
    <w:rsid w:val="00AE5D60"/>
    <w:rsid w:val="00AE6089"/>
    <w:rsid w:val="00AE680E"/>
    <w:rsid w:val="00AE68AD"/>
    <w:rsid w:val="00AE72E4"/>
    <w:rsid w:val="00AF120D"/>
    <w:rsid w:val="00AF38B2"/>
    <w:rsid w:val="00AF3E9A"/>
    <w:rsid w:val="00B01B3D"/>
    <w:rsid w:val="00B03268"/>
    <w:rsid w:val="00B10451"/>
    <w:rsid w:val="00B11534"/>
    <w:rsid w:val="00B1154F"/>
    <w:rsid w:val="00B13A1C"/>
    <w:rsid w:val="00B140C9"/>
    <w:rsid w:val="00B16294"/>
    <w:rsid w:val="00B2063B"/>
    <w:rsid w:val="00B21A4B"/>
    <w:rsid w:val="00B22207"/>
    <w:rsid w:val="00B22EEA"/>
    <w:rsid w:val="00B31A2E"/>
    <w:rsid w:val="00B326A3"/>
    <w:rsid w:val="00B34C19"/>
    <w:rsid w:val="00B355F2"/>
    <w:rsid w:val="00B36B3A"/>
    <w:rsid w:val="00B45199"/>
    <w:rsid w:val="00B5100F"/>
    <w:rsid w:val="00B6369E"/>
    <w:rsid w:val="00B6794B"/>
    <w:rsid w:val="00B7681B"/>
    <w:rsid w:val="00B76958"/>
    <w:rsid w:val="00B77564"/>
    <w:rsid w:val="00B81769"/>
    <w:rsid w:val="00B82EC0"/>
    <w:rsid w:val="00B830C6"/>
    <w:rsid w:val="00B85416"/>
    <w:rsid w:val="00B86ABD"/>
    <w:rsid w:val="00B87F55"/>
    <w:rsid w:val="00B900EB"/>
    <w:rsid w:val="00B93BD3"/>
    <w:rsid w:val="00BA5015"/>
    <w:rsid w:val="00BA574D"/>
    <w:rsid w:val="00BA7692"/>
    <w:rsid w:val="00BB3BA5"/>
    <w:rsid w:val="00BB41E5"/>
    <w:rsid w:val="00BC0918"/>
    <w:rsid w:val="00BC398D"/>
    <w:rsid w:val="00BC5643"/>
    <w:rsid w:val="00BC5985"/>
    <w:rsid w:val="00BC5B68"/>
    <w:rsid w:val="00BC69A6"/>
    <w:rsid w:val="00BD443D"/>
    <w:rsid w:val="00BD59B9"/>
    <w:rsid w:val="00BE1B0C"/>
    <w:rsid w:val="00BE1D77"/>
    <w:rsid w:val="00BE440F"/>
    <w:rsid w:val="00BF22B6"/>
    <w:rsid w:val="00BF4C22"/>
    <w:rsid w:val="00C0001F"/>
    <w:rsid w:val="00C03C21"/>
    <w:rsid w:val="00C06E1F"/>
    <w:rsid w:val="00C13558"/>
    <w:rsid w:val="00C16AC3"/>
    <w:rsid w:val="00C23BFE"/>
    <w:rsid w:val="00C31892"/>
    <w:rsid w:val="00C31CFD"/>
    <w:rsid w:val="00C36649"/>
    <w:rsid w:val="00C36780"/>
    <w:rsid w:val="00C41682"/>
    <w:rsid w:val="00C423D4"/>
    <w:rsid w:val="00C430D1"/>
    <w:rsid w:val="00C433DD"/>
    <w:rsid w:val="00C46574"/>
    <w:rsid w:val="00C53B9E"/>
    <w:rsid w:val="00C64173"/>
    <w:rsid w:val="00C6636B"/>
    <w:rsid w:val="00C6661F"/>
    <w:rsid w:val="00C71893"/>
    <w:rsid w:val="00C73117"/>
    <w:rsid w:val="00C7510C"/>
    <w:rsid w:val="00C7578F"/>
    <w:rsid w:val="00C76D8D"/>
    <w:rsid w:val="00C77AA6"/>
    <w:rsid w:val="00C86FE7"/>
    <w:rsid w:val="00C948BF"/>
    <w:rsid w:val="00C96B06"/>
    <w:rsid w:val="00CA26BE"/>
    <w:rsid w:val="00CB0A1F"/>
    <w:rsid w:val="00CB1508"/>
    <w:rsid w:val="00CB1775"/>
    <w:rsid w:val="00CB55C8"/>
    <w:rsid w:val="00CB6922"/>
    <w:rsid w:val="00CC3D3A"/>
    <w:rsid w:val="00CC490A"/>
    <w:rsid w:val="00CC557A"/>
    <w:rsid w:val="00CC5DCD"/>
    <w:rsid w:val="00CD73B6"/>
    <w:rsid w:val="00CE30E8"/>
    <w:rsid w:val="00CE39A1"/>
    <w:rsid w:val="00CE4CF1"/>
    <w:rsid w:val="00CF09E0"/>
    <w:rsid w:val="00CF7716"/>
    <w:rsid w:val="00D016FA"/>
    <w:rsid w:val="00D07564"/>
    <w:rsid w:val="00D07D22"/>
    <w:rsid w:val="00D17366"/>
    <w:rsid w:val="00D220A6"/>
    <w:rsid w:val="00D221DA"/>
    <w:rsid w:val="00D30AA2"/>
    <w:rsid w:val="00D32164"/>
    <w:rsid w:val="00D33227"/>
    <w:rsid w:val="00D33787"/>
    <w:rsid w:val="00D33F67"/>
    <w:rsid w:val="00D411BF"/>
    <w:rsid w:val="00D50B95"/>
    <w:rsid w:val="00D64536"/>
    <w:rsid w:val="00D75A75"/>
    <w:rsid w:val="00D77D3D"/>
    <w:rsid w:val="00D87A3C"/>
    <w:rsid w:val="00DA0FEB"/>
    <w:rsid w:val="00DA277A"/>
    <w:rsid w:val="00DB08AA"/>
    <w:rsid w:val="00DB11C4"/>
    <w:rsid w:val="00DB2274"/>
    <w:rsid w:val="00DB4763"/>
    <w:rsid w:val="00DC03BD"/>
    <w:rsid w:val="00DC37BD"/>
    <w:rsid w:val="00DC408D"/>
    <w:rsid w:val="00DE11B4"/>
    <w:rsid w:val="00DE795A"/>
    <w:rsid w:val="00DE7DB3"/>
    <w:rsid w:val="00DF22B6"/>
    <w:rsid w:val="00DF4E23"/>
    <w:rsid w:val="00E02912"/>
    <w:rsid w:val="00E02EC0"/>
    <w:rsid w:val="00E11389"/>
    <w:rsid w:val="00E2329D"/>
    <w:rsid w:val="00E245FB"/>
    <w:rsid w:val="00E26B93"/>
    <w:rsid w:val="00E32864"/>
    <w:rsid w:val="00E33158"/>
    <w:rsid w:val="00E335F1"/>
    <w:rsid w:val="00E3578B"/>
    <w:rsid w:val="00E41D89"/>
    <w:rsid w:val="00E425EE"/>
    <w:rsid w:val="00E42B09"/>
    <w:rsid w:val="00E47814"/>
    <w:rsid w:val="00E51325"/>
    <w:rsid w:val="00E5707A"/>
    <w:rsid w:val="00E600CC"/>
    <w:rsid w:val="00E615D4"/>
    <w:rsid w:val="00E64020"/>
    <w:rsid w:val="00E65CEB"/>
    <w:rsid w:val="00E710BF"/>
    <w:rsid w:val="00E75C36"/>
    <w:rsid w:val="00E82605"/>
    <w:rsid w:val="00E828C8"/>
    <w:rsid w:val="00E85EC5"/>
    <w:rsid w:val="00E869F8"/>
    <w:rsid w:val="00E92C85"/>
    <w:rsid w:val="00E9536A"/>
    <w:rsid w:val="00EA1AC8"/>
    <w:rsid w:val="00EA6F60"/>
    <w:rsid w:val="00EB03BC"/>
    <w:rsid w:val="00EB1D8B"/>
    <w:rsid w:val="00EB20D8"/>
    <w:rsid w:val="00EB3AA0"/>
    <w:rsid w:val="00EC368F"/>
    <w:rsid w:val="00EC4468"/>
    <w:rsid w:val="00EC4AEB"/>
    <w:rsid w:val="00EC64F3"/>
    <w:rsid w:val="00EC7BF7"/>
    <w:rsid w:val="00ED202D"/>
    <w:rsid w:val="00ED3098"/>
    <w:rsid w:val="00ED3C87"/>
    <w:rsid w:val="00EE156B"/>
    <w:rsid w:val="00EE19A1"/>
    <w:rsid w:val="00EE217C"/>
    <w:rsid w:val="00EF1250"/>
    <w:rsid w:val="00EF48CB"/>
    <w:rsid w:val="00EF6184"/>
    <w:rsid w:val="00EF6CC8"/>
    <w:rsid w:val="00F00FAE"/>
    <w:rsid w:val="00F01F66"/>
    <w:rsid w:val="00F03098"/>
    <w:rsid w:val="00F03153"/>
    <w:rsid w:val="00F03EFC"/>
    <w:rsid w:val="00F14353"/>
    <w:rsid w:val="00F15474"/>
    <w:rsid w:val="00F17806"/>
    <w:rsid w:val="00F17BB4"/>
    <w:rsid w:val="00F23F48"/>
    <w:rsid w:val="00F3024A"/>
    <w:rsid w:val="00F30489"/>
    <w:rsid w:val="00F31C5C"/>
    <w:rsid w:val="00F32F9F"/>
    <w:rsid w:val="00F34D8E"/>
    <w:rsid w:val="00F4113B"/>
    <w:rsid w:val="00F41140"/>
    <w:rsid w:val="00F41647"/>
    <w:rsid w:val="00F439C1"/>
    <w:rsid w:val="00F456EE"/>
    <w:rsid w:val="00F533C3"/>
    <w:rsid w:val="00F60DD3"/>
    <w:rsid w:val="00F61FF9"/>
    <w:rsid w:val="00F63589"/>
    <w:rsid w:val="00F651D6"/>
    <w:rsid w:val="00F72B68"/>
    <w:rsid w:val="00F72EC3"/>
    <w:rsid w:val="00F753ED"/>
    <w:rsid w:val="00F75CC1"/>
    <w:rsid w:val="00F75DD9"/>
    <w:rsid w:val="00F84CF5"/>
    <w:rsid w:val="00F91B19"/>
    <w:rsid w:val="00F9544A"/>
    <w:rsid w:val="00F95BFC"/>
    <w:rsid w:val="00F974F2"/>
    <w:rsid w:val="00FA0CBD"/>
    <w:rsid w:val="00FA7232"/>
    <w:rsid w:val="00FA78F2"/>
    <w:rsid w:val="00FA7C36"/>
    <w:rsid w:val="00FB0743"/>
    <w:rsid w:val="00FB25CB"/>
    <w:rsid w:val="00FB4B3F"/>
    <w:rsid w:val="00FB5730"/>
    <w:rsid w:val="00FB6947"/>
    <w:rsid w:val="00FD1BE1"/>
    <w:rsid w:val="00FE2210"/>
    <w:rsid w:val="00FE7241"/>
    <w:rsid w:val="00FF3F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CE3C216"/>
  <w15:chartTrackingRefBased/>
  <w15:docId w15:val="{5A040E04-455C-8F4E-B242-9408D3E0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C9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755A"/>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0755A"/>
    <w:rPr>
      <w:sz w:val="20"/>
      <w:szCs w:val="20"/>
    </w:rPr>
  </w:style>
  <w:style w:type="character" w:styleId="FootnoteReference">
    <w:name w:val="footnote reference"/>
    <w:basedOn w:val="DefaultParagraphFont"/>
    <w:uiPriority w:val="99"/>
    <w:semiHidden/>
    <w:unhideWhenUsed/>
    <w:rsid w:val="0050755A"/>
    <w:rPr>
      <w:vertAlign w:val="superscript"/>
    </w:rPr>
  </w:style>
  <w:style w:type="character" w:styleId="CommentReference">
    <w:name w:val="annotation reference"/>
    <w:basedOn w:val="DefaultParagraphFont"/>
    <w:uiPriority w:val="99"/>
    <w:semiHidden/>
    <w:unhideWhenUsed/>
    <w:rsid w:val="00086AB1"/>
    <w:rPr>
      <w:sz w:val="16"/>
      <w:szCs w:val="16"/>
    </w:rPr>
  </w:style>
  <w:style w:type="paragraph" w:styleId="CommentText">
    <w:name w:val="annotation text"/>
    <w:basedOn w:val="Normal"/>
    <w:link w:val="CommentTextChar"/>
    <w:uiPriority w:val="99"/>
    <w:semiHidden/>
    <w:unhideWhenUsed/>
    <w:rsid w:val="00086AB1"/>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86AB1"/>
    <w:rPr>
      <w:sz w:val="20"/>
      <w:szCs w:val="20"/>
    </w:rPr>
  </w:style>
  <w:style w:type="paragraph" w:styleId="CommentSubject">
    <w:name w:val="annotation subject"/>
    <w:basedOn w:val="CommentText"/>
    <w:next w:val="CommentText"/>
    <w:link w:val="CommentSubjectChar"/>
    <w:uiPriority w:val="99"/>
    <w:semiHidden/>
    <w:unhideWhenUsed/>
    <w:rsid w:val="00086AB1"/>
    <w:rPr>
      <w:b/>
      <w:bCs/>
    </w:rPr>
  </w:style>
  <w:style w:type="character" w:customStyle="1" w:styleId="CommentSubjectChar">
    <w:name w:val="Comment Subject Char"/>
    <w:basedOn w:val="CommentTextChar"/>
    <w:link w:val="CommentSubject"/>
    <w:uiPriority w:val="99"/>
    <w:semiHidden/>
    <w:rsid w:val="00086AB1"/>
    <w:rPr>
      <w:b/>
      <w:bCs/>
      <w:sz w:val="20"/>
      <w:szCs w:val="20"/>
    </w:rPr>
  </w:style>
  <w:style w:type="character" w:styleId="Hyperlink">
    <w:name w:val="Hyperlink"/>
    <w:basedOn w:val="DefaultParagraphFont"/>
    <w:uiPriority w:val="99"/>
    <w:unhideWhenUsed/>
    <w:rsid w:val="00086AB1"/>
    <w:rPr>
      <w:color w:val="0000FF"/>
      <w:u w:val="single"/>
    </w:rPr>
  </w:style>
  <w:style w:type="paragraph" w:customStyle="1" w:styleId="Default">
    <w:name w:val="Default"/>
    <w:rsid w:val="009113D2"/>
    <w:pPr>
      <w:autoSpaceDE w:val="0"/>
      <w:autoSpaceDN w:val="0"/>
      <w:adjustRightInd w:val="0"/>
    </w:pPr>
    <w:rPr>
      <w:rFonts w:ascii="Code" w:hAnsi="Code" w:cs="Code"/>
      <w:color w:val="000000"/>
      <w:lang w:val="en-GB"/>
    </w:rPr>
  </w:style>
  <w:style w:type="paragraph" w:customStyle="1" w:styleId="Pa2">
    <w:name w:val="Pa2"/>
    <w:basedOn w:val="Default"/>
    <w:next w:val="Default"/>
    <w:uiPriority w:val="99"/>
    <w:rsid w:val="00173AD6"/>
    <w:pPr>
      <w:spacing w:line="201" w:lineRule="atLeast"/>
    </w:pPr>
    <w:rPr>
      <w:rFonts w:ascii="Saira" w:hAnsi="Saira" w:cstheme="minorBidi"/>
      <w:color w:val="auto"/>
    </w:rPr>
  </w:style>
  <w:style w:type="paragraph" w:customStyle="1" w:styleId="Pa1">
    <w:name w:val="Pa1"/>
    <w:basedOn w:val="Default"/>
    <w:next w:val="Default"/>
    <w:uiPriority w:val="99"/>
    <w:rsid w:val="00173AD6"/>
    <w:pPr>
      <w:spacing w:line="201" w:lineRule="atLeast"/>
    </w:pPr>
    <w:rPr>
      <w:rFonts w:ascii="Saira ExtraLight Italic" w:hAnsi="Saira ExtraLight Italic" w:cstheme="minorBidi"/>
      <w:color w:val="auto"/>
    </w:rPr>
  </w:style>
  <w:style w:type="character" w:customStyle="1" w:styleId="A3">
    <w:name w:val="A3"/>
    <w:uiPriority w:val="99"/>
    <w:rsid w:val="00173AD6"/>
    <w:rPr>
      <w:rFonts w:cs="Saira ExtraLight Italic"/>
      <w:i/>
      <w:iCs/>
      <w:color w:val="000000"/>
      <w:sz w:val="30"/>
      <w:szCs w:val="30"/>
    </w:rPr>
  </w:style>
  <w:style w:type="paragraph" w:styleId="ListParagraph">
    <w:name w:val="List Paragraph"/>
    <w:basedOn w:val="Normal"/>
    <w:uiPriority w:val="34"/>
    <w:qFormat/>
    <w:rsid w:val="0013267D"/>
    <w:pPr>
      <w:ind w:left="720"/>
      <w:contextualSpacing/>
    </w:pPr>
    <w:rPr>
      <w:rFonts w:asciiTheme="minorHAnsi" w:eastAsiaTheme="minorHAnsi" w:hAnsiTheme="minorHAnsi" w:cstheme="minorBidi"/>
      <w:lang w:eastAsia="en-US"/>
    </w:rPr>
  </w:style>
  <w:style w:type="character" w:customStyle="1" w:styleId="A12">
    <w:name w:val="A12"/>
    <w:uiPriority w:val="99"/>
    <w:rsid w:val="00207410"/>
    <w:rPr>
      <w:rFonts w:cs="Saira"/>
      <w:color w:val="000000"/>
      <w:sz w:val="11"/>
      <w:szCs w:val="11"/>
    </w:rPr>
  </w:style>
  <w:style w:type="character" w:customStyle="1" w:styleId="A13">
    <w:name w:val="A13"/>
    <w:uiPriority w:val="99"/>
    <w:rsid w:val="00C76D8D"/>
    <w:rPr>
      <w:rFonts w:cs="Saira Light"/>
      <w:color w:val="000000"/>
      <w:sz w:val="7"/>
      <w:szCs w:val="7"/>
    </w:rPr>
  </w:style>
  <w:style w:type="character" w:customStyle="1" w:styleId="highlight">
    <w:name w:val="highlight"/>
    <w:basedOn w:val="DefaultParagraphFont"/>
    <w:rsid w:val="00FE7241"/>
  </w:style>
  <w:style w:type="character" w:customStyle="1" w:styleId="markedcontent">
    <w:name w:val="markedcontent"/>
    <w:basedOn w:val="DefaultParagraphFont"/>
    <w:rsid w:val="00985299"/>
  </w:style>
  <w:style w:type="character" w:styleId="UnresolvedMention">
    <w:name w:val="Unresolved Mention"/>
    <w:basedOn w:val="DefaultParagraphFont"/>
    <w:uiPriority w:val="99"/>
    <w:semiHidden/>
    <w:unhideWhenUsed/>
    <w:rsid w:val="00F23F48"/>
    <w:rPr>
      <w:color w:val="605E5C"/>
      <w:shd w:val="clear" w:color="auto" w:fill="E1DFDD"/>
    </w:rPr>
  </w:style>
  <w:style w:type="character" w:styleId="Emphasis">
    <w:name w:val="Emphasis"/>
    <w:basedOn w:val="DefaultParagraphFont"/>
    <w:uiPriority w:val="20"/>
    <w:qFormat/>
    <w:rsid w:val="00532DD6"/>
    <w:rPr>
      <w:i/>
      <w:iCs/>
    </w:rPr>
  </w:style>
  <w:style w:type="character" w:styleId="FollowedHyperlink">
    <w:name w:val="FollowedHyperlink"/>
    <w:basedOn w:val="DefaultParagraphFont"/>
    <w:uiPriority w:val="99"/>
    <w:semiHidden/>
    <w:unhideWhenUsed/>
    <w:rsid w:val="005167C5"/>
    <w:rPr>
      <w:color w:val="954F72" w:themeColor="followedHyperlink"/>
      <w:u w:val="single"/>
    </w:rPr>
  </w:style>
  <w:style w:type="character" w:customStyle="1" w:styleId="articleentryauthorslinks">
    <w:name w:val="articleentryauthorslinks"/>
    <w:basedOn w:val="DefaultParagraphFont"/>
    <w:rsid w:val="005E5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3143">
      <w:bodyDiv w:val="1"/>
      <w:marLeft w:val="0"/>
      <w:marRight w:val="0"/>
      <w:marTop w:val="0"/>
      <w:marBottom w:val="0"/>
      <w:divBdr>
        <w:top w:val="none" w:sz="0" w:space="0" w:color="auto"/>
        <w:left w:val="none" w:sz="0" w:space="0" w:color="auto"/>
        <w:bottom w:val="none" w:sz="0" w:space="0" w:color="auto"/>
        <w:right w:val="none" w:sz="0" w:space="0" w:color="auto"/>
      </w:divBdr>
    </w:div>
    <w:div w:id="19551537">
      <w:bodyDiv w:val="1"/>
      <w:marLeft w:val="0"/>
      <w:marRight w:val="0"/>
      <w:marTop w:val="0"/>
      <w:marBottom w:val="0"/>
      <w:divBdr>
        <w:top w:val="none" w:sz="0" w:space="0" w:color="auto"/>
        <w:left w:val="none" w:sz="0" w:space="0" w:color="auto"/>
        <w:bottom w:val="none" w:sz="0" w:space="0" w:color="auto"/>
        <w:right w:val="none" w:sz="0" w:space="0" w:color="auto"/>
      </w:divBdr>
    </w:div>
    <w:div w:id="24796523">
      <w:bodyDiv w:val="1"/>
      <w:marLeft w:val="0"/>
      <w:marRight w:val="0"/>
      <w:marTop w:val="0"/>
      <w:marBottom w:val="0"/>
      <w:divBdr>
        <w:top w:val="none" w:sz="0" w:space="0" w:color="auto"/>
        <w:left w:val="none" w:sz="0" w:space="0" w:color="auto"/>
        <w:bottom w:val="none" w:sz="0" w:space="0" w:color="auto"/>
        <w:right w:val="none" w:sz="0" w:space="0" w:color="auto"/>
      </w:divBdr>
      <w:divsChild>
        <w:div w:id="1797330772">
          <w:marLeft w:val="0"/>
          <w:marRight w:val="0"/>
          <w:marTop w:val="0"/>
          <w:marBottom w:val="0"/>
          <w:divBdr>
            <w:top w:val="none" w:sz="0" w:space="0" w:color="auto"/>
            <w:left w:val="none" w:sz="0" w:space="0" w:color="auto"/>
            <w:bottom w:val="none" w:sz="0" w:space="0" w:color="auto"/>
            <w:right w:val="none" w:sz="0" w:space="0" w:color="auto"/>
          </w:divBdr>
        </w:div>
      </w:divsChild>
    </w:div>
    <w:div w:id="33359055">
      <w:bodyDiv w:val="1"/>
      <w:marLeft w:val="0"/>
      <w:marRight w:val="0"/>
      <w:marTop w:val="0"/>
      <w:marBottom w:val="0"/>
      <w:divBdr>
        <w:top w:val="none" w:sz="0" w:space="0" w:color="auto"/>
        <w:left w:val="none" w:sz="0" w:space="0" w:color="auto"/>
        <w:bottom w:val="none" w:sz="0" w:space="0" w:color="auto"/>
        <w:right w:val="none" w:sz="0" w:space="0" w:color="auto"/>
      </w:divBdr>
      <w:divsChild>
        <w:div w:id="545221850">
          <w:marLeft w:val="0"/>
          <w:marRight w:val="0"/>
          <w:marTop w:val="0"/>
          <w:marBottom w:val="0"/>
          <w:divBdr>
            <w:top w:val="none" w:sz="0" w:space="0" w:color="auto"/>
            <w:left w:val="none" w:sz="0" w:space="0" w:color="auto"/>
            <w:bottom w:val="none" w:sz="0" w:space="0" w:color="auto"/>
            <w:right w:val="none" w:sz="0" w:space="0" w:color="auto"/>
          </w:divBdr>
        </w:div>
      </w:divsChild>
    </w:div>
    <w:div w:id="35548001">
      <w:bodyDiv w:val="1"/>
      <w:marLeft w:val="0"/>
      <w:marRight w:val="0"/>
      <w:marTop w:val="0"/>
      <w:marBottom w:val="0"/>
      <w:divBdr>
        <w:top w:val="none" w:sz="0" w:space="0" w:color="auto"/>
        <w:left w:val="none" w:sz="0" w:space="0" w:color="auto"/>
        <w:bottom w:val="none" w:sz="0" w:space="0" w:color="auto"/>
        <w:right w:val="none" w:sz="0" w:space="0" w:color="auto"/>
      </w:divBdr>
    </w:div>
    <w:div w:id="39940479">
      <w:bodyDiv w:val="1"/>
      <w:marLeft w:val="0"/>
      <w:marRight w:val="0"/>
      <w:marTop w:val="0"/>
      <w:marBottom w:val="0"/>
      <w:divBdr>
        <w:top w:val="none" w:sz="0" w:space="0" w:color="auto"/>
        <w:left w:val="none" w:sz="0" w:space="0" w:color="auto"/>
        <w:bottom w:val="none" w:sz="0" w:space="0" w:color="auto"/>
        <w:right w:val="none" w:sz="0" w:space="0" w:color="auto"/>
      </w:divBdr>
    </w:div>
    <w:div w:id="157230705">
      <w:bodyDiv w:val="1"/>
      <w:marLeft w:val="0"/>
      <w:marRight w:val="0"/>
      <w:marTop w:val="0"/>
      <w:marBottom w:val="0"/>
      <w:divBdr>
        <w:top w:val="none" w:sz="0" w:space="0" w:color="auto"/>
        <w:left w:val="none" w:sz="0" w:space="0" w:color="auto"/>
        <w:bottom w:val="none" w:sz="0" w:space="0" w:color="auto"/>
        <w:right w:val="none" w:sz="0" w:space="0" w:color="auto"/>
      </w:divBdr>
    </w:div>
    <w:div w:id="159391050">
      <w:bodyDiv w:val="1"/>
      <w:marLeft w:val="0"/>
      <w:marRight w:val="0"/>
      <w:marTop w:val="0"/>
      <w:marBottom w:val="0"/>
      <w:divBdr>
        <w:top w:val="none" w:sz="0" w:space="0" w:color="auto"/>
        <w:left w:val="none" w:sz="0" w:space="0" w:color="auto"/>
        <w:bottom w:val="none" w:sz="0" w:space="0" w:color="auto"/>
        <w:right w:val="none" w:sz="0" w:space="0" w:color="auto"/>
      </w:divBdr>
      <w:divsChild>
        <w:div w:id="1803111026">
          <w:marLeft w:val="0"/>
          <w:marRight w:val="0"/>
          <w:marTop w:val="0"/>
          <w:marBottom w:val="0"/>
          <w:divBdr>
            <w:top w:val="none" w:sz="0" w:space="0" w:color="auto"/>
            <w:left w:val="none" w:sz="0" w:space="0" w:color="auto"/>
            <w:bottom w:val="none" w:sz="0" w:space="0" w:color="auto"/>
            <w:right w:val="none" w:sz="0" w:space="0" w:color="auto"/>
          </w:divBdr>
        </w:div>
      </w:divsChild>
    </w:div>
    <w:div w:id="182744518">
      <w:bodyDiv w:val="1"/>
      <w:marLeft w:val="0"/>
      <w:marRight w:val="0"/>
      <w:marTop w:val="0"/>
      <w:marBottom w:val="0"/>
      <w:divBdr>
        <w:top w:val="none" w:sz="0" w:space="0" w:color="auto"/>
        <w:left w:val="none" w:sz="0" w:space="0" w:color="auto"/>
        <w:bottom w:val="none" w:sz="0" w:space="0" w:color="auto"/>
        <w:right w:val="none" w:sz="0" w:space="0" w:color="auto"/>
      </w:divBdr>
      <w:divsChild>
        <w:div w:id="1483767500">
          <w:marLeft w:val="0"/>
          <w:marRight w:val="0"/>
          <w:marTop w:val="0"/>
          <w:marBottom w:val="0"/>
          <w:divBdr>
            <w:top w:val="none" w:sz="0" w:space="0" w:color="auto"/>
            <w:left w:val="none" w:sz="0" w:space="0" w:color="auto"/>
            <w:bottom w:val="none" w:sz="0" w:space="0" w:color="auto"/>
            <w:right w:val="none" w:sz="0" w:space="0" w:color="auto"/>
          </w:divBdr>
        </w:div>
      </w:divsChild>
    </w:div>
    <w:div w:id="191378466">
      <w:bodyDiv w:val="1"/>
      <w:marLeft w:val="0"/>
      <w:marRight w:val="0"/>
      <w:marTop w:val="0"/>
      <w:marBottom w:val="0"/>
      <w:divBdr>
        <w:top w:val="none" w:sz="0" w:space="0" w:color="auto"/>
        <w:left w:val="none" w:sz="0" w:space="0" w:color="auto"/>
        <w:bottom w:val="none" w:sz="0" w:space="0" w:color="auto"/>
        <w:right w:val="none" w:sz="0" w:space="0" w:color="auto"/>
      </w:divBdr>
    </w:div>
    <w:div w:id="192809860">
      <w:bodyDiv w:val="1"/>
      <w:marLeft w:val="0"/>
      <w:marRight w:val="0"/>
      <w:marTop w:val="0"/>
      <w:marBottom w:val="0"/>
      <w:divBdr>
        <w:top w:val="none" w:sz="0" w:space="0" w:color="auto"/>
        <w:left w:val="none" w:sz="0" w:space="0" w:color="auto"/>
        <w:bottom w:val="none" w:sz="0" w:space="0" w:color="auto"/>
        <w:right w:val="none" w:sz="0" w:space="0" w:color="auto"/>
      </w:divBdr>
    </w:div>
    <w:div w:id="197789165">
      <w:bodyDiv w:val="1"/>
      <w:marLeft w:val="0"/>
      <w:marRight w:val="0"/>
      <w:marTop w:val="0"/>
      <w:marBottom w:val="0"/>
      <w:divBdr>
        <w:top w:val="none" w:sz="0" w:space="0" w:color="auto"/>
        <w:left w:val="none" w:sz="0" w:space="0" w:color="auto"/>
        <w:bottom w:val="none" w:sz="0" w:space="0" w:color="auto"/>
        <w:right w:val="none" w:sz="0" w:space="0" w:color="auto"/>
      </w:divBdr>
    </w:div>
    <w:div w:id="201095022">
      <w:bodyDiv w:val="1"/>
      <w:marLeft w:val="0"/>
      <w:marRight w:val="0"/>
      <w:marTop w:val="0"/>
      <w:marBottom w:val="0"/>
      <w:divBdr>
        <w:top w:val="none" w:sz="0" w:space="0" w:color="auto"/>
        <w:left w:val="none" w:sz="0" w:space="0" w:color="auto"/>
        <w:bottom w:val="none" w:sz="0" w:space="0" w:color="auto"/>
        <w:right w:val="none" w:sz="0" w:space="0" w:color="auto"/>
      </w:divBdr>
    </w:div>
    <w:div w:id="222520889">
      <w:bodyDiv w:val="1"/>
      <w:marLeft w:val="0"/>
      <w:marRight w:val="0"/>
      <w:marTop w:val="0"/>
      <w:marBottom w:val="0"/>
      <w:divBdr>
        <w:top w:val="none" w:sz="0" w:space="0" w:color="auto"/>
        <w:left w:val="none" w:sz="0" w:space="0" w:color="auto"/>
        <w:bottom w:val="none" w:sz="0" w:space="0" w:color="auto"/>
        <w:right w:val="none" w:sz="0" w:space="0" w:color="auto"/>
      </w:divBdr>
    </w:div>
    <w:div w:id="257370868">
      <w:bodyDiv w:val="1"/>
      <w:marLeft w:val="0"/>
      <w:marRight w:val="0"/>
      <w:marTop w:val="0"/>
      <w:marBottom w:val="0"/>
      <w:divBdr>
        <w:top w:val="none" w:sz="0" w:space="0" w:color="auto"/>
        <w:left w:val="none" w:sz="0" w:space="0" w:color="auto"/>
        <w:bottom w:val="none" w:sz="0" w:space="0" w:color="auto"/>
        <w:right w:val="none" w:sz="0" w:space="0" w:color="auto"/>
      </w:divBdr>
      <w:divsChild>
        <w:div w:id="1605651598">
          <w:marLeft w:val="0"/>
          <w:marRight w:val="0"/>
          <w:marTop w:val="0"/>
          <w:marBottom w:val="0"/>
          <w:divBdr>
            <w:top w:val="none" w:sz="0" w:space="0" w:color="auto"/>
            <w:left w:val="none" w:sz="0" w:space="0" w:color="auto"/>
            <w:bottom w:val="none" w:sz="0" w:space="0" w:color="auto"/>
            <w:right w:val="none" w:sz="0" w:space="0" w:color="auto"/>
          </w:divBdr>
        </w:div>
      </w:divsChild>
    </w:div>
    <w:div w:id="312416696">
      <w:bodyDiv w:val="1"/>
      <w:marLeft w:val="0"/>
      <w:marRight w:val="0"/>
      <w:marTop w:val="0"/>
      <w:marBottom w:val="0"/>
      <w:divBdr>
        <w:top w:val="none" w:sz="0" w:space="0" w:color="auto"/>
        <w:left w:val="none" w:sz="0" w:space="0" w:color="auto"/>
        <w:bottom w:val="none" w:sz="0" w:space="0" w:color="auto"/>
        <w:right w:val="none" w:sz="0" w:space="0" w:color="auto"/>
      </w:divBdr>
    </w:div>
    <w:div w:id="320894596">
      <w:bodyDiv w:val="1"/>
      <w:marLeft w:val="0"/>
      <w:marRight w:val="0"/>
      <w:marTop w:val="0"/>
      <w:marBottom w:val="0"/>
      <w:divBdr>
        <w:top w:val="none" w:sz="0" w:space="0" w:color="auto"/>
        <w:left w:val="none" w:sz="0" w:space="0" w:color="auto"/>
        <w:bottom w:val="none" w:sz="0" w:space="0" w:color="auto"/>
        <w:right w:val="none" w:sz="0" w:space="0" w:color="auto"/>
      </w:divBdr>
      <w:divsChild>
        <w:div w:id="1966422481">
          <w:marLeft w:val="0"/>
          <w:marRight w:val="0"/>
          <w:marTop w:val="0"/>
          <w:marBottom w:val="0"/>
          <w:divBdr>
            <w:top w:val="none" w:sz="0" w:space="0" w:color="auto"/>
            <w:left w:val="none" w:sz="0" w:space="0" w:color="auto"/>
            <w:bottom w:val="none" w:sz="0" w:space="0" w:color="auto"/>
            <w:right w:val="none" w:sz="0" w:space="0" w:color="auto"/>
          </w:divBdr>
        </w:div>
      </w:divsChild>
    </w:div>
    <w:div w:id="338625768">
      <w:bodyDiv w:val="1"/>
      <w:marLeft w:val="0"/>
      <w:marRight w:val="0"/>
      <w:marTop w:val="0"/>
      <w:marBottom w:val="0"/>
      <w:divBdr>
        <w:top w:val="none" w:sz="0" w:space="0" w:color="auto"/>
        <w:left w:val="none" w:sz="0" w:space="0" w:color="auto"/>
        <w:bottom w:val="none" w:sz="0" w:space="0" w:color="auto"/>
        <w:right w:val="none" w:sz="0" w:space="0" w:color="auto"/>
      </w:divBdr>
    </w:div>
    <w:div w:id="340012715">
      <w:bodyDiv w:val="1"/>
      <w:marLeft w:val="0"/>
      <w:marRight w:val="0"/>
      <w:marTop w:val="0"/>
      <w:marBottom w:val="0"/>
      <w:divBdr>
        <w:top w:val="none" w:sz="0" w:space="0" w:color="auto"/>
        <w:left w:val="none" w:sz="0" w:space="0" w:color="auto"/>
        <w:bottom w:val="none" w:sz="0" w:space="0" w:color="auto"/>
        <w:right w:val="none" w:sz="0" w:space="0" w:color="auto"/>
      </w:divBdr>
    </w:div>
    <w:div w:id="344942259">
      <w:bodyDiv w:val="1"/>
      <w:marLeft w:val="0"/>
      <w:marRight w:val="0"/>
      <w:marTop w:val="0"/>
      <w:marBottom w:val="0"/>
      <w:divBdr>
        <w:top w:val="none" w:sz="0" w:space="0" w:color="auto"/>
        <w:left w:val="none" w:sz="0" w:space="0" w:color="auto"/>
        <w:bottom w:val="none" w:sz="0" w:space="0" w:color="auto"/>
        <w:right w:val="none" w:sz="0" w:space="0" w:color="auto"/>
      </w:divBdr>
      <w:divsChild>
        <w:div w:id="502816965">
          <w:marLeft w:val="0"/>
          <w:marRight w:val="0"/>
          <w:marTop w:val="0"/>
          <w:marBottom w:val="0"/>
          <w:divBdr>
            <w:top w:val="none" w:sz="0" w:space="0" w:color="auto"/>
            <w:left w:val="none" w:sz="0" w:space="0" w:color="auto"/>
            <w:bottom w:val="none" w:sz="0" w:space="0" w:color="auto"/>
            <w:right w:val="none" w:sz="0" w:space="0" w:color="auto"/>
          </w:divBdr>
        </w:div>
      </w:divsChild>
    </w:div>
    <w:div w:id="366568313">
      <w:bodyDiv w:val="1"/>
      <w:marLeft w:val="0"/>
      <w:marRight w:val="0"/>
      <w:marTop w:val="0"/>
      <w:marBottom w:val="0"/>
      <w:divBdr>
        <w:top w:val="none" w:sz="0" w:space="0" w:color="auto"/>
        <w:left w:val="none" w:sz="0" w:space="0" w:color="auto"/>
        <w:bottom w:val="none" w:sz="0" w:space="0" w:color="auto"/>
        <w:right w:val="none" w:sz="0" w:space="0" w:color="auto"/>
      </w:divBdr>
    </w:div>
    <w:div w:id="371612838">
      <w:bodyDiv w:val="1"/>
      <w:marLeft w:val="0"/>
      <w:marRight w:val="0"/>
      <w:marTop w:val="0"/>
      <w:marBottom w:val="0"/>
      <w:divBdr>
        <w:top w:val="none" w:sz="0" w:space="0" w:color="auto"/>
        <w:left w:val="none" w:sz="0" w:space="0" w:color="auto"/>
        <w:bottom w:val="none" w:sz="0" w:space="0" w:color="auto"/>
        <w:right w:val="none" w:sz="0" w:space="0" w:color="auto"/>
      </w:divBdr>
      <w:divsChild>
        <w:div w:id="465126792">
          <w:marLeft w:val="0"/>
          <w:marRight w:val="0"/>
          <w:marTop w:val="0"/>
          <w:marBottom w:val="0"/>
          <w:divBdr>
            <w:top w:val="none" w:sz="0" w:space="0" w:color="auto"/>
            <w:left w:val="none" w:sz="0" w:space="0" w:color="auto"/>
            <w:bottom w:val="none" w:sz="0" w:space="0" w:color="auto"/>
            <w:right w:val="none" w:sz="0" w:space="0" w:color="auto"/>
          </w:divBdr>
        </w:div>
      </w:divsChild>
    </w:div>
    <w:div w:id="386535876">
      <w:bodyDiv w:val="1"/>
      <w:marLeft w:val="0"/>
      <w:marRight w:val="0"/>
      <w:marTop w:val="0"/>
      <w:marBottom w:val="0"/>
      <w:divBdr>
        <w:top w:val="none" w:sz="0" w:space="0" w:color="auto"/>
        <w:left w:val="none" w:sz="0" w:space="0" w:color="auto"/>
        <w:bottom w:val="none" w:sz="0" w:space="0" w:color="auto"/>
        <w:right w:val="none" w:sz="0" w:space="0" w:color="auto"/>
      </w:divBdr>
    </w:div>
    <w:div w:id="398986628">
      <w:bodyDiv w:val="1"/>
      <w:marLeft w:val="0"/>
      <w:marRight w:val="0"/>
      <w:marTop w:val="0"/>
      <w:marBottom w:val="0"/>
      <w:divBdr>
        <w:top w:val="none" w:sz="0" w:space="0" w:color="auto"/>
        <w:left w:val="none" w:sz="0" w:space="0" w:color="auto"/>
        <w:bottom w:val="none" w:sz="0" w:space="0" w:color="auto"/>
        <w:right w:val="none" w:sz="0" w:space="0" w:color="auto"/>
      </w:divBdr>
    </w:div>
    <w:div w:id="399446674">
      <w:bodyDiv w:val="1"/>
      <w:marLeft w:val="0"/>
      <w:marRight w:val="0"/>
      <w:marTop w:val="0"/>
      <w:marBottom w:val="0"/>
      <w:divBdr>
        <w:top w:val="none" w:sz="0" w:space="0" w:color="auto"/>
        <w:left w:val="none" w:sz="0" w:space="0" w:color="auto"/>
        <w:bottom w:val="none" w:sz="0" w:space="0" w:color="auto"/>
        <w:right w:val="none" w:sz="0" w:space="0" w:color="auto"/>
      </w:divBdr>
    </w:div>
    <w:div w:id="405349048">
      <w:bodyDiv w:val="1"/>
      <w:marLeft w:val="0"/>
      <w:marRight w:val="0"/>
      <w:marTop w:val="0"/>
      <w:marBottom w:val="0"/>
      <w:divBdr>
        <w:top w:val="none" w:sz="0" w:space="0" w:color="auto"/>
        <w:left w:val="none" w:sz="0" w:space="0" w:color="auto"/>
        <w:bottom w:val="none" w:sz="0" w:space="0" w:color="auto"/>
        <w:right w:val="none" w:sz="0" w:space="0" w:color="auto"/>
      </w:divBdr>
    </w:div>
    <w:div w:id="464736519">
      <w:bodyDiv w:val="1"/>
      <w:marLeft w:val="0"/>
      <w:marRight w:val="0"/>
      <w:marTop w:val="0"/>
      <w:marBottom w:val="0"/>
      <w:divBdr>
        <w:top w:val="none" w:sz="0" w:space="0" w:color="auto"/>
        <w:left w:val="none" w:sz="0" w:space="0" w:color="auto"/>
        <w:bottom w:val="none" w:sz="0" w:space="0" w:color="auto"/>
        <w:right w:val="none" w:sz="0" w:space="0" w:color="auto"/>
      </w:divBdr>
    </w:div>
    <w:div w:id="481505791">
      <w:bodyDiv w:val="1"/>
      <w:marLeft w:val="0"/>
      <w:marRight w:val="0"/>
      <w:marTop w:val="0"/>
      <w:marBottom w:val="0"/>
      <w:divBdr>
        <w:top w:val="none" w:sz="0" w:space="0" w:color="auto"/>
        <w:left w:val="none" w:sz="0" w:space="0" w:color="auto"/>
        <w:bottom w:val="none" w:sz="0" w:space="0" w:color="auto"/>
        <w:right w:val="none" w:sz="0" w:space="0" w:color="auto"/>
      </w:divBdr>
      <w:divsChild>
        <w:div w:id="612710601">
          <w:marLeft w:val="0"/>
          <w:marRight w:val="0"/>
          <w:marTop w:val="0"/>
          <w:marBottom w:val="0"/>
          <w:divBdr>
            <w:top w:val="none" w:sz="0" w:space="0" w:color="auto"/>
            <w:left w:val="none" w:sz="0" w:space="0" w:color="auto"/>
            <w:bottom w:val="none" w:sz="0" w:space="0" w:color="auto"/>
            <w:right w:val="none" w:sz="0" w:space="0" w:color="auto"/>
          </w:divBdr>
        </w:div>
      </w:divsChild>
    </w:div>
    <w:div w:id="532689784">
      <w:bodyDiv w:val="1"/>
      <w:marLeft w:val="0"/>
      <w:marRight w:val="0"/>
      <w:marTop w:val="0"/>
      <w:marBottom w:val="0"/>
      <w:divBdr>
        <w:top w:val="none" w:sz="0" w:space="0" w:color="auto"/>
        <w:left w:val="none" w:sz="0" w:space="0" w:color="auto"/>
        <w:bottom w:val="none" w:sz="0" w:space="0" w:color="auto"/>
        <w:right w:val="none" w:sz="0" w:space="0" w:color="auto"/>
      </w:divBdr>
      <w:divsChild>
        <w:div w:id="173224631">
          <w:marLeft w:val="0"/>
          <w:marRight w:val="0"/>
          <w:marTop w:val="0"/>
          <w:marBottom w:val="0"/>
          <w:divBdr>
            <w:top w:val="none" w:sz="0" w:space="0" w:color="auto"/>
            <w:left w:val="none" w:sz="0" w:space="0" w:color="auto"/>
            <w:bottom w:val="none" w:sz="0" w:space="0" w:color="auto"/>
            <w:right w:val="none" w:sz="0" w:space="0" w:color="auto"/>
          </w:divBdr>
        </w:div>
      </w:divsChild>
    </w:div>
    <w:div w:id="544147343">
      <w:bodyDiv w:val="1"/>
      <w:marLeft w:val="0"/>
      <w:marRight w:val="0"/>
      <w:marTop w:val="0"/>
      <w:marBottom w:val="0"/>
      <w:divBdr>
        <w:top w:val="none" w:sz="0" w:space="0" w:color="auto"/>
        <w:left w:val="none" w:sz="0" w:space="0" w:color="auto"/>
        <w:bottom w:val="none" w:sz="0" w:space="0" w:color="auto"/>
        <w:right w:val="none" w:sz="0" w:space="0" w:color="auto"/>
      </w:divBdr>
    </w:div>
    <w:div w:id="590505281">
      <w:bodyDiv w:val="1"/>
      <w:marLeft w:val="0"/>
      <w:marRight w:val="0"/>
      <w:marTop w:val="0"/>
      <w:marBottom w:val="0"/>
      <w:divBdr>
        <w:top w:val="none" w:sz="0" w:space="0" w:color="auto"/>
        <w:left w:val="none" w:sz="0" w:space="0" w:color="auto"/>
        <w:bottom w:val="none" w:sz="0" w:space="0" w:color="auto"/>
        <w:right w:val="none" w:sz="0" w:space="0" w:color="auto"/>
      </w:divBdr>
      <w:divsChild>
        <w:div w:id="1209028861">
          <w:marLeft w:val="0"/>
          <w:marRight w:val="0"/>
          <w:marTop w:val="0"/>
          <w:marBottom w:val="0"/>
          <w:divBdr>
            <w:top w:val="none" w:sz="0" w:space="0" w:color="auto"/>
            <w:left w:val="none" w:sz="0" w:space="0" w:color="auto"/>
            <w:bottom w:val="none" w:sz="0" w:space="0" w:color="auto"/>
            <w:right w:val="none" w:sz="0" w:space="0" w:color="auto"/>
          </w:divBdr>
        </w:div>
      </w:divsChild>
    </w:div>
    <w:div w:id="606667141">
      <w:bodyDiv w:val="1"/>
      <w:marLeft w:val="0"/>
      <w:marRight w:val="0"/>
      <w:marTop w:val="0"/>
      <w:marBottom w:val="0"/>
      <w:divBdr>
        <w:top w:val="none" w:sz="0" w:space="0" w:color="auto"/>
        <w:left w:val="none" w:sz="0" w:space="0" w:color="auto"/>
        <w:bottom w:val="none" w:sz="0" w:space="0" w:color="auto"/>
        <w:right w:val="none" w:sz="0" w:space="0" w:color="auto"/>
      </w:divBdr>
    </w:div>
    <w:div w:id="610236115">
      <w:bodyDiv w:val="1"/>
      <w:marLeft w:val="0"/>
      <w:marRight w:val="0"/>
      <w:marTop w:val="0"/>
      <w:marBottom w:val="0"/>
      <w:divBdr>
        <w:top w:val="none" w:sz="0" w:space="0" w:color="auto"/>
        <w:left w:val="none" w:sz="0" w:space="0" w:color="auto"/>
        <w:bottom w:val="none" w:sz="0" w:space="0" w:color="auto"/>
        <w:right w:val="none" w:sz="0" w:space="0" w:color="auto"/>
      </w:divBdr>
      <w:divsChild>
        <w:div w:id="384381096">
          <w:marLeft w:val="0"/>
          <w:marRight w:val="0"/>
          <w:marTop w:val="0"/>
          <w:marBottom w:val="0"/>
          <w:divBdr>
            <w:top w:val="none" w:sz="0" w:space="0" w:color="auto"/>
            <w:left w:val="none" w:sz="0" w:space="0" w:color="auto"/>
            <w:bottom w:val="none" w:sz="0" w:space="0" w:color="auto"/>
            <w:right w:val="none" w:sz="0" w:space="0" w:color="auto"/>
          </w:divBdr>
        </w:div>
      </w:divsChild>
    </w:div>
    <w:div w:id="628390832">
      <w:bodyDiv w:val="1"/>
      <w:marLeft w:val="0"/>
      <w:marRight w:val="0"/>
      <w:marTop w:val="0"/>
      <w:marBottom w:val="0"/>
      <w:divBdr>
        <w:top w:val="none" w:sz="0" w:space="0" w:color="auto"/>
        <w:left w:val="none" w:sz="0" w:space="0" w:color="auto"/>
        <w:bottom w:val="none" w:sz="0" w:space="0" w:color="auto"/>
        <w:right w:val="none" w:sz="0" w:space="0" w:color="auto"/>
      </w:divBdr>
      <w:divsChild>
        <w:div w:id="887255663">
          <w:marLeft w:val="0"/>
          <w:marRight w:val="0"/>
          <w:marTop w:val="0"/>
          <w:marBottom w:val="0"/>
          <w:divBdr>
            <w:top w:val="none" w:sz="0" w:space="0" w:color="auto"/>
            <w:left w:val="none" w:sz="0" w:space="0" w:color="auto"/>
            <w:bottom w:val="none" w:sz="0" w:space="0" w:color="auto"/>
            <w:right w:val="none" w:sz="0" w:space="0" w:color="auto"/>
          </w:divBdr>
        </w:div>
      </w:divsChild>
    </w:div>
    <w:div w:id="630404473">
      <w:bodyDiv w:val="1"/>
      <w:marLeft w:val="0"/>
      <w:marRight w:val="0"/>
      <w:marTop w:val="0"/>
      <w:marBottom w:val="0"/>
      <w:divBdr>
        <w:top w:val="none" w:sz="0" w:space="0" w:color="auto"/>
        <w:left w:val="none" w:sz="0" w:space="0" w:color="auto"/>
        <w:bottom w:val="none" w:sz="0" w:space="0" w:color="auto"/>
        <w:right w:val="none" w:sz="0" w:space="0" w:color="auto"/>
      </w:divBdr>
    </w:div>
    <w:div w:id="636572470">
      <w:bodyDiv w:val="1"/>
      <w:marLeft w:val="0"/>
      <w:marRight w:val="0"/>
      <w:marTop w:val="0"/>
      <w:marBottom w:val="0"/>
      <w:divBdr>
        <w:top w:val="none" w:sz="0" w:space="0" w:color="auto"/>
        <w:left w:val="none" w:sz="0" w:space="0" w:color="auto"/>
        <w:bottom w:val="none" w:sz="0" w:space="0" w:color="auto"/>
        <w:right w:val="none" w:sz="0" w:space="0" w:color="auto"/>
      </w:divBdr>
    </w:div>
    <w:div w:id="641009315">
      <w:bodyDiv w:val="1"/>
      <w:marLeft w:val="0"/>
      <w:marRight w:val="0"/>
      <w:marTop w:val="0"/>
      <w:marBottom w:val="0"/>
      <w:divBdr>
        <w:top w:val="none" w:sz="0" w:space="0" w:color="auto"/>
        <w:left w:val="none" w:sz="0" w:space="0" w:color="auto"/>
        <w:bottom w:val="none" w:sz="0" w:space="0" w:color="auto"/>
        <w:right w:val="none" w:sz="0" w:space="0" w:color="auto"/>
      </w:divBdr>
    </w:div>
    <w:div w:id="643588150">
      <w:bodyDiv w:val="1"/>
      <w:marLeft w:val="0"/>
      <w:marRight w:val="0"/>
      <w:marTop w:val="0"/>
      <w:marBottom w:val="0"/>
      <w:divBdr>
        <w:top w:val="none" w:sz="0" w:space="0" w:color="auto"/>
        <w:left w:val="none" w:sz="0" w:space="0" w:color="auto"/>
        <w:bottom w:val="none" w:sz="0" w:space="0" w:color="auto"/>
        <w:right w:val="none" w:sz="0" w:space="0" w:color="auto"/>
      </w:divBdr>
      <w:divsChild>
        <w:div w:id="847643602">
          <w:marLeft w:val="0"/>
          <w:marRight w:val="0"/>
          <w:marTop w:val="0"/>
          <w:marBottom w:val="0"/>
          <w:divBdr>
            <w:top w:val="none" w:sz="0" w:space="0" w:color="auto"/>
            <w:left w:val="none" w:sz="0" w:space="0" w:color="auto"/>
            <w:bottom w:val="none" w:sz="0" w:space="0" w:color="auto"/>
            <w:right w:val="none" w:sz="0" w:space="0" w:color="auto"/>
          </w:divBdr>
        </w:div>
      </w:divsChild>
    </w:div>
    <w:div w:id="647438941">
      <w:bodyDiv w:val="1"/>
      <w:marLeft w:val="0"/>
      <w:marRight w:val="0"/>
      <w:marTop w:val="0"/>
      <w:marBottom w:val="0"/>
      <w:divBdr>
        <w:top w:val="none" w:sz="0" w:space="0" w:color="auto"/>
        <w:left w:val="none" w:sz="0" w:space="0" w:color="auto"/>
        <w:bottom w:val="none" w:sz="0" w:space="0" w:color="auto"/>
        <w:right w:val="none" w:sz="0" w:space="0" w:color="auto"/>
      </w:divBdr>
      <w:divsChild>
        <w:div w:id="494535538">
          <w:marLeft w:val="0"/>
          <w:marRight w:val="0"/>
          <w:marTop w:val="0"/>
          <w:marBottom w:val="0"/>
          <w:divBdr>
            <w:top w:val="none" w:sz="0" w:space="0" w:color="auto"/>
            <w:left w:val="none" w:sz="0" w:space="0" w:color="auto"/>
            <w:bottom w:val="none" w:sz="0" w:space="0" w:color="auto"/>
            <w:right w:val="none" w:sz="0" w:space="0" w:color="auto"/>
          </w:divBdr>
        </w:div>
      </w:divsChild>
    </w:div>
    <w:div w:id="669602624">
      <w:bodyDiv w:val="1"/>
      <w:marLeft w:val="0"/>
      <w:marRight w:val="0"/>
      <w:marTop w:val="0"/>
      <w:marBottom w:val="0"/>
      <w:divBdr>
        <w:top w:val="none" w:sz="0" w:space="0" w:color="auto"/>
        <w:left w:val="none" w:sz="0" w:space="0" w:color="auto"/>
        <w:bottom w:val="none" w:sz="0" w:space="0" w:color="auto"/>
        <w:right w:val="none" w:sz="0" w:space="0" w:color="auto"/>
      </w:divBdr>
    </w:div>
    <w:div w:id="670178141">
      <w:bodyDiv w:val="1"/>
      <w:marLeft w:val="0"/>
      <w:marRight w:val="0"/>
      <w:marTop w:val="0"/>
      <w:marBottom w:val="0"/>
      <w:divBdr>
        <w:top w:val="none" w:sz="0" w:space="0" w:color="auto"/>
        <w:left w:val="none" w:sz="0" w:space="0" w:color="auto"/>
        <w:bottom w:val="none" w:sz="0" w:space="0" w:color="auto"/>
        <w:right w:val="none" w:sz="0" w:space="0" w:color="auto"/>
      </w:divBdr>
      <w:divsChild>
        <w:div w:id="1867135438">
          <w:marLeft w:val="0"/>
          <w:marRight w:val="0"/>
          <w:marTop w:val="0"/>
          <w:marBottom w:val="0"/>
          <w:divBdr>
            <w:top w:val="none" w:sz="0" w:space="0" w:color="auto"/>
            <w:left w:val="none" w:sz="0" w:space="0" w:color="auto"/>
            <w:bottom w:val="none" w:sz="0" w:space="0" w:color="auto"/>
            <w:right w:val="none" w:sz="0" w:space="0" w:color="auto"/>
          </w:divBdr>
        </w:div>
      </w:divsChild>
    </w:div>
    <w:div w:id="679553205">
      <w:bodyDiv w:val="1"/>
      <w:marLeft w:val="0"/>
      <w:marRight w:val="0"/>
      <w:marTop w:val="0"/>
      <w:marBottom w:val="0"/>
      <w:divBdr>
        <w:top w:val="none" w:sz="0" w:space="0" w:color="auto"/>
        <w:left w:val="none" w:sz="0" w:space="0" w:color="auto"/>
        <w:bottom w:val="none" w:sz="0" w:space="0" w:color="auto"/>
        <w:right w:val="none" w:sz="0" w:space="0" w:color="auto"/>
      </w:divBdr>
    </w:div>
    <w:div w:id="696079780">
      <w:bodyDiv w:val="1"/>
      <w:marLeft w:val="0"/>
      <w:marRight w:val="0"/>
      <w:marTop w:val="0"/>
      <w:marBottom w:val="0"/>
      <w:divBdr>
        <w:top w:val="none" w:sz="0" w:space="0" w:color="auto"/>
        <w:left w:val="none" w:sz="0" w:space="0" w:color="auto"/>
        <w:bottom w:val="none" w:sz="0" w:space="0" w:color="auto"/>
        <w:right w:val="none" w:sz="0" w:space="0" w:color="auto"/>
      </w:divBdr>
      <w:divsChild>
        <w:div w:id="1160194435">
          <w:marLeft w:val="0"/>
          <w:marRight w:val="0"/>
          <w:marTop w:val="0"/>
          <w:marBottom w:val="0"/>
          <w:divBdr>
            <w:top w:val="none" w:sz="0" w:space="0" w:color="auto"/>
            <w:left w:val="none" w:sz="0" w:space="0" w:color="auto"/>
            <w:bottom w:val="none" w:sz="0" w:space="0" w:color="auto"/>
            <w:right w:val="none" w:sz="0" w:space="0" w:color="auto"/>
          </w:divBdr>
        </w:div>
      </w:divsChild>
    </w:div>
    <w:div w:id="737439293">
      <w:bodyDiv w:val="1"/>
      <w:marLeft w:val="0"/>
      <w:marRight w:val="0"/>
      <w:marTop w:val="0"/>
      <w:marBottom w:val="0"/>
      <w:divBdr>
        <w:top w:val="none" w:sz="0" w:space="0" w:color="auto"/>
        <w:left w:val="none" w:sz="0" w:space="0" w:color="auto"/>
        <w:bottom w:val="none" w:sz="0" w:space="0" w:color="auto"/>
        <w:right w:val="none" w:sz="0" w:space="0" w:color="auto"/>
      </w:divBdr>
      <w:divsChild>
        <w:div w:id="422142253">
          <w:marLeft w:val="0"/>
          <w:marRight w:val="0"/>
          <w:marTop w:val="0"/>
          <w:marBottom w:val="0"/>
          <w:divBdr>
            <w:top w:val="none" w:sz="0" w:space="0" w:color="auto"/>
            <w:left w:val="none" w:sz="0" w:space="0" w:color="auto"/>
            <w:bottom w:val="none" w:sz="0" w:space="0" w:color="auto"/>
            <w:right w:val="none" w:sz="0" w:space="0" w:color="auto"/>
          </w:divBdr>
        </w:div>
      </w:divsChild>
    </w:div>
    <w:div w:id="751657591">
      <w:bodyDiv w:val="1"/>
      <w:marLeft w:val="0"/>
      <w:marRight w:val="0"/>
      <w:marTop w:val="0"/>
      <w:marBottom w:val="0"/>
      <w:divBdr>
        <w:top w:val="none" w:sz="0" w:space="0" w:color="auto"/>
        <w:left w:val="none" w:sz="0" w:space="0" w:color="auto"/>
        <w:bottom w:val="none" w:sz="0" w:space="0" w:color="auto"/>
        <w:right w:val="none" w:sz="0" w:space="0" w:color="auto"/>
      </w:divBdr>
      <w:divsChild>
        <w:div w:id="2042590404">
          <w:marLeft w:val="0"/>
          <w:marRight w:val="0"/>
          <w:marTop w:val="0"/>
          <w:marBottom w:val="0"/>
          <w:divBdr>
            <w:top w:val="none" w:sz="0" w:space="0" w:color="auto"/>
            <w:left w:val="none" w:sz="0" w:space="0" w:color="auto"/>
            <w:bottom w:val="none" w:sz="0" w:space="0" w:color="auto"/>
            <w:right w:val="none" w:sz="0" w:space="0" w:color="auto"/>
          </w:divBdr>
        </w:div>
      </w:divsChild>
    </w:div>
    <w:div w:id="752318006">
      <w:bodyDiv w:val="1"/>
      <w:marLeft w:val="0"/>
      <w:marRight w:val="0"/>
      <w:marTop w:val="0"/>
      <w:marBottom w:val="0"/>
      <w:divBdr>
        <w:top w:val="none" w:sz="0" w:space="0" w:color="auto"/>
        <w:left w:val="none" w:sz="0" w:space="0" w:color="auto"/>
        <w:bottom w:val="none" w:sz="0" w:space="0" w:color="auto"/>
        <w:right w:val="none" w:sz="0" w:space="0" w:color="auto"/>
      </w:divBdr>
      <w:divsChild>
        <w:div w:id="229654050">
          <w:marLeft w:val="0"/>
          <w:marRight w:val="0"/>
          <w:marTop w:val="0"/>
          <w:marBottom w:val="0"/>
          <w:divBdr>
            <w:top w:val="none" w:sz="0" w:space="0" w:color="auto"/>
            <w:left w:val="none" w:sz="0" w:space="0" w:color="auto"/>
            <w:bottom w:val="none" w:sz="0" w:space="0" w:color="auto"/>
            <w:right w:val="none" w:sz="0" w:space="0" w:color="auto"/>
          </w:divBdr>
        </w:div>
      </w:divsChild>
    </w:div>
    <w:div w:id="798651773">
      <w:bodyDiv w:val="1"/>
      <w:marLeft w:val="0"/>
      <w:marRight w:val="0"/>
      <w:marTop w:val="0"/>
      <w:marBottom w:val="0"/>
      <w:divBdr>
        <w:top w:val="none" w:sz="0" w:space="0" w:color="auto"/>
        <w:left w:val="none" w:sz="0" w:space="0" w:color="auto"/>
        <w:bottom w:val="none" w:sz="0" w:space="0" w:color="auto"/>
        <w:right w:val="none" w:sz="0" w:space="0" w:color="auto"/>
      </w:divBdr>
      <w:divsChild>
        <w:div w:id="1177617523">
          <w:marLeft w:val="0"/>
          <w:marRight w:val="0"/>
          <w:marTop w:val="0"/>
          <w:marBottom w:val="0"/>
          <w:divBdr>
            <w:top w:val="none" w:sz="0" w:space="0" w:color="auto"/>
            <w:left w:val="none" w:sz="0" w:space="0" w:color="auto"/>
            <w:bottom w:val="none" w:sz="0" w:space="0" w:color="auto"/>
            <w:right w:val="none" w:sz="0" w:space="0" w:color="auto"/>
          </w:divBdr>
        </w:div>
      </w:divsChild>
    </w:div>
    <w:div w:id="808982507">
      <w:bodyDiv w:val="1"/>
      <w:marLeft w:val="0"/>
      <w:marRight w:val="0"/>
      <w:marTop w:val="0"/>
      <w:marBottom w:val="0"/>
      <w:divBdr>
        <w:top w:val="none" w:sz="0" w:space="0" w:color="auto"/>
        <w:left w:val="none" w:sz="0" w:space="0" w:color="auto"/>
        <w:bottom w:val="none" w:sz="0" w:space="0" w:color="auto"/>
        <w:right w:val="none" w:sz="0" w:space="0" w:color="auto"/>
      </w:divBdr>
    </w:div>
    <w:div w:id="813915328">
      <w:bodyDiv w:val="1"/>
      <w:marLeft w:val="0"/>
      <w:marRight w:val="0"/>
      <w:marTop w:val="0"/>
      <w:marBottom w:val="0"/>
      <w:divBdr>
        <w:top w:val="none" w:sz="0" w:space="0" w:color="auto"/>
        <w:left w:val="none" w:sz="0" w:space="0" w:color="auto"/>
        <w:bottom w:val="none" w:sz="0" w:space="0" w:color="auto"/>
        <w:right w:val="none" w:sz="0" w:space="0" w:color="auto"/>
      </w:divBdr>
      <w:divsChild>
        <w:div w:id="850801072">
          <w:marLeft w:val="0"/>
          <w:marRight w:val="0"/>
          <w:marTop w:val="0"/>
          <w:marBottom w:val="0"/>
          <w:divBdr>
            <w:top w:val="none" w:sz="0" w:space="0" w:color="auto"/>
            <w:left w:val="none" w:sz="0" w:space="0" w:color="auto"/>
            <w:bottom w:val="none" w:sz="0" w:space="0" w:color="auto"/>
            <w:right w:val="none" w:sz="0" w:space="0" w:color="auto"/>
          </w:divBdr>
        </w:div>
      </w:divsChild>
    </w:div>
    <w:div w:id="815873298">
      <w:bodyDiv w:val="1"/>
      <w:marLeft w:val="0"/>
      <w:marRight w:val="0"/>
      <w:marTop w:val="0"/>
      <w:marBottom w:val="0"/>
      <w:divBdr>
        <w:top w:val="none" w:sz="0" w:space="0" w:color="auto"/>
        <w:left w:val="none" w:sz="0" w:space="0" w:color="auto"/>
        <w:bottom w:val="none" w:sz="0" w:space="0" w:color="auto"/>
        <w:right w:val="none" w:sz="0" w:space="0" w:color="auto"/>
      </w:divBdr>
    </w:div>
    <w:div w:id="860581837">
      <w:bodyDiv w:val="1"/>
      <w:marLeft w:val="0"/>
      <w:marRight w:val="0"/>
      <w:marTop w:val="0"/>
      <w:marBottom w:val="0"/>
      <w:divBdr>
        <w:top w:val="none" w:sz="0" w:space="0" w:color="auto"/>
        <w:left w:val="none" w:sz="0" w:space="0" w:color="auto"/>
        <w:bottom w:val="none" w:sz="0" w:space="0" w:color="auto"/>
        <w:right w:val="none" w:sz="0" w:space="0" w:color="auto"/>
      </w:divBdr>
    </w:div>
    <w:div w:id="860625073">
      <w:bodyDiv w:val="1"/>
      <w:marLeft w:val="0"/>
      <w:marRight w:val="0"/>
      <w:marTop w:val="0"/>
      <w:marBottom w:val="0"/>
      <w:divBdr>
        <w:top w:val="none" w:sz="0" w:space="0" w:color="auto"/>
        <w:left w:val="none" w:sz="0" w:space="0" w:color="auto"/>
        <w:bottom w:val="none" w:sz="0" w:space="0" w:color="auto"/>
        <w:right w:val="none" w:sz="0" w:space="0" w:color="auto"/>
      </w:divBdr>
      <w:divsChild>
        <w:div w:id="45497940">
          <w:marLeft w:val="0"/>
          <w:marRight w:val="0"/>
          <w:marTop w:val="0"/>
          <w:marBottom w:val="0"/>
          <w:divBdr>
            <w:top w:val="none" w:sz="0" w:space="0" w:color="auto"/>
            <w:left w:val="none" w:sz="0" w:space="0" w:color="auto"/>
            <w:bottom w:val="none" w:sz="0" w:space="0" w:color="auto"/>
            <w:right w:val="none" w:sz="0" w:space="0" w:color="auto"/>
          </w:divBdr>
        </w:div>
      </w:divsChild>
    </w:div>
    <w:div w:id="882060246">
      <w:bodyDiv w:val="1"/>
      <w:marLeft w:val="0"/>
      <w:marRight w:val="0"/>
      <w:marTop w:val="0"/>
      <w:marBottom w:val="0"/>
      <w:divBdr>
        <w:top w:val="none" w:sz="0" w:space="0" w:color="auto"/>
        <w:left w:val="none" w:sz="0" w:space="0" w:color="auto"/>
        <w:bottom w:val="none" w:sz="0" w:space="0" w:color="auto"/>
        <w:right w:val="none" w:sz="0" w:space="0" w:color="auto"/>
      </w:divBdr>
    </w:div>
    <w:div w:id="902720425">
      <w:bodyDiv w:val="1"/>
      <w:marLeft w:val="0"/>
      <w:marRight w:val="0"/>
      <w:marTop w:val="0"/>
      <w:marBottom w:val="0"/>
      <w:divBdr>
        <w:top w:val="none" w:sz="0" w:space="0" w:color="auto"/>
        <w:left w:val="none" w:sz="0" w:space="0" w:color="auto"/>
        <w:bottom w:val="none" w:sz="0" w:space="0" w:color="auto"/>
        <w:right w:val="none" w:sz="0" w:space="0" w:color="auto"/>
      </w:divBdr>
      <w:divsChild>
        <w:div w:id="1342006524">
          <w:marLeft w:val="0"/>
          <w:marRight w:val="0"/>
          <w:marTop w:val="0"/>
          <w:marBottom w:val="0"/>
          <w:divBdr>
            <w:top w:val="none" w:sz="0" w:space="0" w:color="auto"/>
            <w:left w:val="none" w:sz="0" w:space="0" w:color="auto"/>
            <w:bottom w:val="none" w:sz="0" w:space="0" w:color="auto"/>
            <w:right w:val="none" w:sz="0" w:space="0" w:color="auto"/>
          </w:divBdr>
        </w:div>
      </w:divsChild>
    </w:div>
    <w:div w:id="959147887">
      <w:bodyDiv w:val="1"/>
      <w:marLeft w:val="0"/>
      <w:marRight w:val="0"/>
      <w:marTop w:val="0"/>
      <w:marBottom w:val="0"/>
      <w:divBdr>
        <w:top w:val="none" w:sz="0" w:space="0" w:color="auto"/>
        <w:left w:val="none" w:sz="0" w:space="0" w:color="auto"/>
        <w:bottom w:val="none" w:sz="0" w:space="0" w:color="auto"/>
        <w:right w:val="none" w:sz="0" w:space="0" w:color="auto"/>
      </w:divBdr>
      <w:divsChild>
        <w:div w:id="192963355">
          <w:marLeft w:val="0"/>
          <w:marRight w:val="0"/>
          <w:marTop w:val="0"/>
          <w:marBottom w:val="0"/>
          <w:divBdr>
            <w:top w:val="none" w:sz="0" w:space="0" w:color="auto"/>
            <w:left w:val="none" w:sz="0" w:space="0" w:color="auto"/>
            <w:bottom w:val="none" w:sz="0" w:space="0" w:color="auto"/>
            <w:right w:val="none" w:sz="0" w:space="0" w:color="auto"/>
          </w:divBdr>
        </w:div>
      </w:divsChild>
    </w:div>
    <w:div w:id="973489261">
      <w:bodyDiv w:val="1"/>
      <w:marLeft w:val="0"/>
      <w:marRight w:val="0"/>
      <w:marTop w:val="0"/>
      <w:marBottom w:val="0"/>
      <w:divBdr>
        <w:top w:val="none" w:sz="0" w:space="0" w:color="auto"/>
        <w:left w:val="none" w:sz="0" w:space="0" w:color="auto"/>
        <w:bottom w:val="none" w:sz="0" w:space="0" w:color="auto"/>
        <w:right w:val="none" w:sz="0" w:space="0" w:color="auto"/>
      </w:divBdr>
      <w:divsChild>
        <w:div w:id="1017848829">
          <w:marLeft w:val="0"/>
          <w:marRight w:val="0"/>
          <w:marTop w:val="0"/>
          <w:marBottom w:val="0"/>
          <w:divBdr>
            <w:top w:val="none" w:sz="0" w:space="0" w:color="auto"/>
            <w:left w:val="none" w:sz="0" w:space="0" w:color="auto"/>
            <w:bottom w:val="none" w:sz="0" w:space="0" w:color="auto"/>
            <w:right w:val="none" w:sz="0" w:space="0" w:color="auto"/>
          </w:divBdr>
        </w:div>
      </w:divsChild>
    </w:div>
    <w:div w:id="983973360">
      <w:bodyDiv w:val="1"/>
      <w:marLeft w:val="0"/>
      <w:marRight w:val="0"/>
      <w:marTop w:val="0"/>
      <w:marBottom w:val="0"/>
      <w:divBdr>
        <w:top w:val="none" w:sz="0" w:space="0" w:color="auto"/>
        <w:left w:val="none" w:sz="0" w:space="0" w:color="auto"/>
        <w:bottom w:val="none" w:sz="0" w:space="0" w:color="auto"/>
        <w:right w:val="none" w:sz="0" w:space="0" w:color="auto"/>
      </w:divBdr>
    </w:div>
    <w:div w:id="989023183">
      <w:bodyDiv w:val="1"/>
      <w:marLeft w:val="0"/>
      <w:marRight w:val="0"/>
      <w:marTop w:val="0"/>
      <w:marBottom w:val="0"/>
      <w:divBdr>
        <w:top w:val="none" w:sz="0" w:space="0" w:color="auto"/>
        <w:left w:val="none" w:sz="0" w:space="0" w:color="auto"/>
        <w:bottom w:val="none" w:sz="0" w:space="0" w:color="auto"/>
        <w:right w:val="none" w:sz="0" w:space="0" w:color="auto"/>
      </w:divBdr>
      <w:divsChild>
        <w:div w:id="1451825452">
          <w:marLeft w:val="0"/>
          <w:marRight w:val="0"/>
          <w:marTop w:val="0"/>
          <w:marBottom w:val="0"/>
          <w:divBdr>
            <w:top w:val="none" w:sz="0" w:space="0" w:color="auto"/>
            <w:left w:val="none" w:sz="0" w:space="0" w:color="auto"/>
            <w:bottom w:val="none" w:sz="0" w:space="0" w:color="auto"/>
            <w:right w:val="none" w:sz="0" w:space="0" w:color="auto"/>
          </w:divBdr>
        </w:div>
      </w:divsChild>
    </w:div>
    <w:div w:id="1022243829">
      <w:bodyDiv w:val="1"/>
      <w:marLeft w:val="0"/>
      <w:marRight w:val="0"/>
      <w:marTop w:val="0"/>
      <w:marBottom w:val="0"/>
      <w:divBdr>
        <w:top w:val="none" w:sz="0" w:space="0" w:color="auto"/>
        <w:left w:val="none" w:sz="0" w:space="0" w:color="auto"/>
        <w:bottom w:val="none" w:sz="0" w:space="0" w:color="auto"/>
        <w:right w:val="none" w:sz="0" w:space="0" w:color="auto"/>
      </w:divBdr>
    </w:div>
    <w:div w:id="1031228595">
      <w:bodyDiv w:val="1"/>
      <w:marLeft w:val="0"/>
      <w:marRight w:val="0"/>
      <w:marTop w:val="0"/>
      <w:marBottom w:val="0"/>
      <w:divBdr>
        <w:top w:val="none" w:sz="0" w:space="0" w:color="auto"/>
        <w:left w:val="none" w:sz="0" w:space="0" w:color="auto"/>
        <w:bottom w:val="none" w:sz="0" w:space="0" w:color="auto"/>
        <w:right w:val="none" w:sz="0" w:space="0" w:color="auto"/>
      </w:divBdr>
      <w:divsChild>
        <w:div w:id="141120419">
          <w:marLeft w:val="0"/>
          <w:marRight w:val="0"/>
          <w:marTop w:val="0"/>
          <w:marBottom w:val="0"/>
          <w:divBdr>
            <w:top w:val="none" w:sz="0" w:space="0" w:color="auto"/>
            <w:left w:val="none" w:sz="0" w:space="0" w:color="auto"/>
            <w:bottom w:val="none" w:sz="0" w:space="0" w:color="auto"/>
            <w:right w:val="none" w:sz="0" w:space="0" w:color="auto"/>
          </w:divBdr>
        </w:div>
      </w:divsChild>
    </w:div>
    <w:div w:id="1042825407">
      <w:bodyDiv w:val="1"/>
      <w:marLeft w:val="0"/>
      <w:marRight w:val="0"/>
      <w:marTop w:val="0"/>
      <w:marBottom w:val="0"/>
      <w:divBdr>
        <w:top w:val="none" w:sz="0" w:space="0" w:color="auto"/>
        <w:left w:val="none" w:sz="0" w:space="0" w:color="auto"/>
        <w:bottom w:val="none" w:sz="0" w:space="0" w:color="auto"/>
        <w:right w:val="none" w:sz="0" w:space="0" w:color="auto"/>
      </w:divBdr>
    </w:div>
    <w:div w:id="1084108710">
      <w:bodyDiv w:val="1"/>
      <w:marLeft w:val="0"/>
      <w:marRight w:val="0"/>
      <w:marTop w:val="0"/>
      <w:marBottom w:val="0"/>
      <w:divBdr>
        <w:top w:val="none" w:sz="0" w:space="0" w:color="auto"/>
        <w:left w:val="none" w:sz="0" w:space="0" w:color="auto"/>
        <w:bottom w:val="none" w:sz="0" w:space="0" w:color="auto"/>
        <w:right w:val="none" w:sz="0" w:space="0" w:color="auto"/>
      </w:divBdr>
    </w:div>
    <w:div w:id="1084379397">
      <w:bodyDiv w:val="1"/>
      <w:marLeft w:val="0"/>
      <w:marRight w:val="0"/>
      <w:marTop w:val="0"/>
      <w:marBottom w:val="0"/>
      <w:divBdr>
        <w:top w:val="none" w:sz="0" w:space="0" w:color="auto"/>
        <w:left w:val="none" w:sz="0" w:space="0" w:color="auto"/>
        <w:bottom w:val="none" w:sz="0" w:space="0" w:color="auto"/>
        <w:right w:val="none" w:sz="0" w:space="0" w:color="auto"/>
      </w:divBdr>
      <w:divsChild>
        <w:div w:id="516507835">
          <w:marLeft w:val="0"/>
          <w:marRight w:val="0"/>
          <w:marTop w:val="0"/>
          <w:marBottom w:val="0"/>
          <w:divBdr>
            <w:top w:val="none" w:sz="0" w:space="0" w:color="auto"/>
            <w:left w:val="none" w:sz="0" w:space="0" w:color="auto"/>
            <w:bottom w:val="none" w:sz="0" w:space="0" w:color="auto"/>
            <w:right w:val="none" w:sz="0" w:space="0" w:color="auto"/>
          </w:divBdr>
        </w:div>
      </w:divsChild>
    </w:div>
    <w:div w:id="1087730028">
      <w:bodyDiv w:val="1"/>
      <w:marLeft w:val="0"/>
      <w:marRight w:val="0"/>
      <w:marTop w:val="0"/>
      <w:marBottom w:val="0"/>
      <w:divBdr>
        <w:top w:val="none" w:sz="0" w:space="0" w:color="auto"/>
        <w:left w:val="none" w:sz="0" w:space="0" w:color="auto"/>
        <w:bottom w:val="none" w:sz="0" w:space="0" w:color="auto"/>
        <w:right w:val="none" w:sz="0" w:space="0" w:color="auto"/>
      </w:divBdr>
      <w:divsChild>
        <w:div w:id="798307306">
          <w:marLeft w:val="0"/>
          <w:marRight w:val="0"/>
          <w:marTop w:val="0"/>
          <w:marBottom w:val="0"/>
          <w:divBdr>
            <w:top w:val="none" w:sz="0" w:space="0" w:color="auto"/>
            <w:left w:val="none" w:sz="0" w:space="0" w:color="auto"/>
            <w:bottom w:val="none" w:sz="0" w:space="0" w:color="auto"/>
            <w:right w:val="none" w:sz="0" w:space="0" w:color="auto"/>
          </w:divBdr>
        </w:div>
      </w:divsChild>
    </w:div>
    <w:div w:id="1098603229">
      <w:bodyDiv w:val="1"/>
      <w:marLeft w:val="0"/>
      <w:marRight w:val="0"/>
      <w:marTop w:val="0"/>
      <w:marBottom w:val="0"/>
      <w:divBdr>
        <w:top w:val="none" w:sz="0" w:space="0" w:color="auto"/>
        <w:left w:val="none" w:sz="0" w:space="0" w:color="auto"/>
        <w:bottom w:val="none" w:sz="0" w:space="0" w:color="auto"/>
        <w:right w:val="none" w:sz="0" w:space="0" w:color="auto"/>
      </w:divBdr>
    </w:div>
    <w:div w:id="1099957347">
      <w:bodyDiv w:val="1"/>
      <w:marLeft w:val="0"/>
      <w:marRight w:val="0"/>
      <w:marTop w:val="0"/>
      <w:marBottom w:val="0"/>
      <w:divBdr>
        <w:top w:val="none" w:sz="0" w:space="0" w:color="auto"/>
        <w:left w:val="none" w:sz="0" w:space="0" w:color="auto"/>
        <w:bottom w:val="none" w:sz="0" w:space="0" w:color="auto"/>
        <w:right w:val="none" w:sz="0" w:space="0" w:color="auto"/>
      </w:divBdr>
    </w:div>
    <w:div w:id="1119452117">
      <w:bodyDiv w:val="1"/>
      <w:marLeft w:val="0"/>
      <w:marRight w:val="0"/>
      <w:marTop w:val="0"/>
      <w:marBottom w:val="0"/>
      <w:divBdr>
        <w:top w:val="none" w:sz="0" w:space="0" w:color="auto"/>
        <w:left w:val="none" w:sz="0" w:space="0" w:color="auto"/>
        <w:bottom w:val="none" w:sz="0" w:space="0" w:color="auto"/>
        <w:right w:val="none" w:sz="0" w:space="0" w:color="auto"/>
      </w:divBdr>
      <w:divsChild>
        <w:div w:id="35814073">
          <w:marLeft w:val="0"/>
          <w:marRight w:val="0"/>
          <w:marTop w:val="0"/>
          <w:marBottom w:val="0"/>
          <w:divBdr>
            <w:top w:val="none" w:sz="0" w:space="0" w:color="auto"/>
            <w:left w:val="none" w:sz="0" w:space="0" w:color="auto"/>
            <w:bottom w:val="none" w:sz="0" w:space="0" w:color="auto"/>
            <w:right w:val="none" w:sz="0" w:space="0" w:color="auto"/>
          </w:divBdr>
        </w:div>
      </w:divsChild>
    </w:div>
    <w:div w:id="1137604118">
      <w:bodyDiv w:val="1"/>
      <w:marLeft w:val="0"/>
      <w:marRight w:val="0"/>
      <w:marTop w:val="0"/>
      <w:marBottom w:val="0"/>
      <w:divBdr>
        <w:top w:val="none" w:sz="0" w:space="0" w:color="auto"/>
        <w:left w:val="none" w:sz="0" w:space="0" w:color="auto"/>
        <w:bottom w:val="none" w:sz="0" w:space="0" w:color="auto"/>
        <w:right w:val="none" w:sz="0" w:space="0" w:color="auto"/>
      </w:divBdr>
    </w:div>
    <w:div w:id="1139616907">
      <w:bodyDiv w:val="1"/>
      <w:marLeft w:val="0"/>
      <w:marRight w:val="0"/>
      <w:marTop w:val="0"/>
      <w:marBottom w:val="0"/>
      <w:divBdr>
        <w:top w:val="none" w:sz="0" w:space="0" w:color="auto"/>
        <w:left w:val="none" w:sz="0" w:space="0" w:color="auto"/>
        <w:bottom w:val="none" w:sz="0" w:space="0" w:color="auto"/>
        <w:right w:val="none" w:sz="0" w:space="0" w:color="auto"/>
      </w:divBdr>
      <w:divsChild>
        <w:div w:id="2050260395">
          <w:marLeft w:val="0"/>
          <w:marRight w:val="0"/>
          <w:marTop w:val="0"/>
          <w:marBottom w:val="0"/>
          <w:divBdr>
            <w:top w:val="none" w:sz="0" w:space="0" w:color="auto"/>
            <w:left w:val="none" w:sz="0" w:space="0" w:color="auto"/>
            <w:bottom w:val="none" w:sz="0" w:space="0" w:color="auto"/>
            <w:right w:val="none" w:sz="0" w:space="0" w:color="auto"/>
          </w:divBdr>
        </w:div>
      </w:divsChild>
    </w:div>
    <w:div w:id="1152453538">
      <w:bodyDiv w:val="1"/>
      <w:marLeft w:val="0"/>
      <w:marRight w:val="0"/>
      <w:marTop w:val="0"/>
      <w:marBottom w:val="0"/>
      <w:divBdr>
        <w:top w:val="none" w:sz="0" w:space="0" w:color="auto"/>
        <w:left w:val="none" w:sz="0" w:space="0" w:color="auto"/>
        <w:bottom w:val="none" w:sz="0" w:space="0" w:color="auto"/>
        <w:right w:val="none" w:sz="0" w:space="0" w:color="auto"/>
      </w:divBdr>
    </w:div>
    <w:div w:id="1158183873">
      <w:bodyDiv w:val="1"/>
      <w:marLeft w:val="0"/>
      <w:marRight w:val="0"/>
      <w:marTop w:val="0"/>
      <w:marBottom w:val="0"/>
      <w:divBdr>
        <w:top w:val="none" w:sz="0" w:space="0" w:color="auto"/>
        <w:left w:val="none" w:sz="0" w:space="0" w:color="auto"/>
        <w:bottom w:val="none" w:sz="0" w:space="0" w:color="auto"/>
        <w:right w:val="none" w:sz="0" w:space="0" w:color="auto"/>
      </w:divBdr>
    </w:div>
    <w:div w:id="1168251635">
      <w:bodyDiv w:val="1"/>
      <w:marLeft w:val="0"/>
      <w:marRight w:val="0"/>
      <w:marTop w:val="0"/>
      <w:marBottom w:val="0"/>
      <w:divBdr>
        <w:top w:val="none" w:sz="0" w:space="0" w:color="auto"/>
        <w:left w:val="none" w:sz="0" w:space="0" w:color="auto"/>
        <w:bottom w:val="none" w:sz="0" w:space="0" w:color="auto"/>
        <w:right w:val="none" w:sz="0" w:space="0" w:color="auto"/>
      </w:divBdr>
    </w:div>
    <w:div w:id="1179587127">
      <w:bodyDiv w:val="1"/>
      <w:marLeft w:val="0"/>
      <w:marRight w:val="0"/>
      <w:marTop w:val="0"/>
      <w:marBottom w:val="0"/>
      <w:divBdr>
        <w:top w:val="none" w:sz="0" w:space="0" w:color="auto"/>
        <w:left w:val="none" w:sz="0" w:space="0" w:color="auto"/>
        <w:bottom w:val="none" w:sz="0" w:space="0" w:color="auto"/>
        <w:right w:val="none" w:sz="0" w:space="0" w:color="auto"/>
      </w:divBdr>
    </w:div>
    <w:div w:id="1180896309">
      <w:bodyDiv w:val="1"/>
      <w:marLeft w:val="0"/>
      <w:marRight w:val="0"/>
      <w:marTop w:val="0"/>
      <w:marBottom w:val="0"/>
      <w:divBdr>
        <w:top w:val="none" w:sz="0" w:space="0" w:color="auto"/>
        <w:left w:val="none" w:sz="0" w:space="0" w:color="auto"/>
        <w:bottom w:val="none" w:sz="0" w:space="0" w:color="auto"/>
        <w:right w:val="none" w:sz="0" w:space="0" w:color="auto"/>
      </w:divBdr>
      <w:divsChild>
        <w:div w:id="1359309389">
          <w:marLeft w:val="0"/>
          <w:marRight w:val="0"/>
          <w:marTop w:val="0"/>
          <w:marBottom w:val="0"/>
          <w:divBdr>
            <w:top w:val="none" w:sz="0" w:space="0" w:color="auto"/>
            <w:left w:val="none" w:sz="0" w:space="0" w:color="auto"/>
            <w:bottom w:val="none" w:sz="0" w:space="0" w:color="auto"/>
            <w:right w:val="none" w:sz="0" w:space="0" w:color="auto"/>
          </w:divBdr>
        </w:div>
      </w:divsChild>
    </w:div>
    <w:div w:id="1193231773">
      <w:bodyDiv w:val="1"/>
      <w:marLeft w:val="0"/>
      <w:marRight w:val="0"/>
      <w:marTop w:val="0"/>
      <w:marBottom w:val="0"/>
      <w:divBdr>
        <w:top w:val="none" w:sz="0" w:space="0" w:color="auto"/>
        <w:left w:val="none" w:sz="0" w:space="0" w:color="auto"/>
        <w:bottom w:val="none" w:sz="0" w:space="0" w:color="auto"/>
        <w:right w:val="none" w:sz="0" w:space="0" w:color="auto"/>
      </w:divBdr>
    </w:div>
    <w:div w:id="1216355189">
      <w:bodyDiv w:val="1"/>
      <w:marLeft w:val="0"/>
      <w:marRight w:val="0"/>
      <w:marTop w:val="0"/>
      <w:marBottom w:val="0"/>
      <w:divBdr>
        <w:top w:val="none" w:sz="0" w:space="0" w:color="auto"/>
        <w:left w:val="none" w:sz="0" w:space="0" w:color="auto"/>
        <w:bottom w:val="none" w:sz="0" w:space="0" w:color="auto"/>
        <w:right w:val="none" w:sz="0" w:space="0" w:color="auto"/>
      </w:divBdr>
    </w:div>
    <w:div w:id="1232304177">
      <w:bodyDiv w:val="1"/>
      <w:marLeft w:val="0"/>
      <w:marRight w:val="0"/>
      <w:marTop w:val="0"/>
      <w:marBottom w:val="0"/>
      <w:divBdr>
        <w:top w:val="none" w:sz="0" w:space="0" w:color="auto"/>
        <w:left w:val="none" w:sz="0" w:space="0" w:color="auto"/>
        <w:bottom w:val="none" w:sz="0" w:space="0" w:color="auto"/>
        <w:right w:val="none" w:sz="0" w:space="0" w:color="auto"/>
      </w:divBdr>
    </w:div>
    <w:div w:id="1244990765">
      <w:bodyDiv w:val="1"/>
      <w:marLeft w:val="0"/>
      <w:marRight w:val="0"/>
      <w:marTop w:val="0"/>
      <w:marBottom w:val="0"/>
      <w:divBdr>
        <w:top w:val="none" w:sz="0" w:space="0" w:color="auto"/>
        <w:left w:val="none" w:sz="0" w:space="0" w:color="auto"/>
        <w:bottom w:val="none" w:sz="0" w:space="0" w:color="auto"/>
        <w:right w:val="none" w:sz="0" w:space="0" w:color="auto"/>
      </w:divBdr>
      <w:divsChild>
        <w:div w:id="1307201977">
          <w:marLeft w:val="0"/>
          <w:marRight w:val="0"/>
          <w:marTop w:val="0"/>
          <w:marBottom w:val="0"/>
          <w:divBdr>
            <w:top w:val="none" w:sz="0" w:space="0" w:color="auto"/>
            <w:left w:val="none" w:sz="0" w:space="0" w:color="auto"/>
            <w:bottom w:val="none" w:sz="0" w:space="0" w:color="auto"/>
            <w:right w:val="none" w:sz="0" w:space="0" w:color="auto"/>
          </w:divBdr>
        </w:div>
      </w:divsChild>
    </w:div>
    <w:div w:id="1257398268">
      <w:bodyDiv w:val="1"/>
      <w:marLeft w:val="0"/>
      <w:marRight w:val="0"/>
      <w:marTop w:val="0"/>
      <w:marBottom w:val="0"/>
      <w:divBdr>
        <w:top w:val="none" w:sz="0" w:space="0" w:color="auto"/>
        <w:left w:val="none" w:sz="0" w:space="0" w:color="auto"/>
        <w:bottom w:val="none" w:sz="0" w:space="0" w:color="auto"/>
        <w:right w:val="none" w:sz="0" w:space="0" w:color="auto"/>
      </w:divBdr>
      <w:divsChild>
        <w:div w:id="165901472">
          <w:marLeft w:val="0"/>
          <w:marRight w:val="0"/>
          <w:marTop w:val="0"/>
          <w:marBottom w:val="0"/>
          <w:divBdr>
            <w:top w:val="none" w:sz="0" w:space="0" w:color="auto"/>
            <w:left w:val="none" w:sz="0" w:space="0" w:color="auto"/>
            <w:bottom w:val="none" w:sz="0" w:space="0" w:color="auto"/>
            <w:right w:val="none" w:sz="0" w:space="0" w:color="auto"/>
          </w:divBdr>
        </w:div>
      </w:divsChild>
    </w:div>
    <w:div w:id="1305623816">
      <w:bodyDiv w:val="1"/>
      <w:marLeft w:val="0"/>
      <w:marRight w:val="0"/>
      <w:marTop w:val="0"/>
      <w:marBottom w:val="0"/>
      <w:divBdr>
        <w:top w:val="none" w:sz="0" w:space="0" w:color="auto"/>
        <w:left w:val="none" w:sz="0" w:space="0" w:color="auto"/>
        <w:bottom w:val="none" w:sz="0" w:space="0" w:color="auto"/>
        <w:right w:val="none" w:sz="0" w:space="0" w:color="auto"/>
      </w:divBdr>
    </w:div>
    <w:div w:id="1310555958">
      <w:bodyDiv w:val="1"/>
      <w:marLeft w:val="0"/>
      <w:marRight w:val="0"/>
      <w:marTop w:val="0"/>
      <w:marBottom w:val="0"/>
      <w:divBdr>
        <w:top w:val="none" w:sz="0" w:space="0" w:color="auto"/>
        <w:left w:val="none" w:sz="0" w:space="0" w:color="auto"/>
        <w:bottom w:val="none" w:sz="0" w:space="0" w:color="auto"/>
        <w:right w:val="none" w:sz="0" w:space="0" w:color="auto"/>
      </w:divBdr>
      <w:divsChild>
        <w:div w:id="1365254148">
          <w:marLeft w:val="0"/>
          <w:marRight w:val="0"/>
          <w:marTop w:val="0"/>
          <w:marBottom w:val="0"/>
          <w:divBdr>
            <w:top w:val="none" w:sz="0" w:space="0" w:color="auto"/>
            <w:left w:val="none" w:sz="0" w:space="0" w:color="auto"/>
            <w:bottom w:val="none" w:sz="0" w:space="0" w:color="auto"/>
            <w:right w:val="none" w:sz="0" w:space="0" w:color="auto"/>
          </w:divBdr>
        </w:div>
      </w:divsChild>
    </w:div>
    <w:div w:id="1319269217">
      <w:bodyDiv w:val="1"/>
      <w:marLeft w:val="0"/>
      <w:marRight w:val="0"/>
      <w:marTop w:val="0"/>
      <w:marBottom w:val="0"/>
      <w:divBdr>
        <w:top w:val="none" w:sz="0" w:space="0" w:color="auto"/>
        <w:left w:val="none" w:sz="0" w:space="0" w:color="auto"/>
        <w:bottom w:val="none" w:sz="0" w:space="0" w:color="auto"/>
        <w:right w:val="none" w:sz="0" w:space="0" w:color="auto"/>
      </w:divBdr>
      <w:divsChild>
        <w:div w:id="1182011925">
          <w:marLeft w:val="0"/>
          <w:marRight w:val="0"/>
          <w:marTop w:val="0"/>
          <w:marBottom w:val="0"/>
          <w:divBdr>
            <w:top w:val="none" w:sz="0" w:space="0" w:color="auto"/>
            <w:left w:val="none" w:sz="0" w:space="0" w:color="auto"/>
            <w:bottom w:val="none" w:sz="0" w:space="0" w:color="auto"/>
            <w:right w:val="none" w:sz="0" w:space="0" w:color="auto"/>
          </w:divBdr>
        </w:div>
      </w:divsChild>
    </w:div>
    <w:div w:id="1319311267">
      <w:bodyDiv w:val="1"/>
      <w:marLeft w:val="0"/>
      <w:marRight w:val="0"/>
      <w:marTop w:val="0"/>
      <w:marBottom w:val="0"/>
      <w:divBdr>
        <w:top w:val="none" w:sz="0" w:space="0" w:color="auto"/>
        <w:left w:val="none" w:sz="0" w:space="0" w:color="auto"/>
        <w:bottom w:val="none" w:sz="0" w:space="0" w:color="auto"/>
        <w:right w:val="none" w:sz="0" w:space="0" w:color="auto"/>
      </w:divBdr>
    </w:div>
    <w:div w:id="1325088471">
      <w:bodyDiv w:val="1"/>
      <w:marLeft w:val="0"/>
      <w:marRight w:val="0"/>
      <w:marTop w:val="0"/>
      <w:marBottom w:val="0"/>
      <w:divBdr>
        <w:top w:val="none" w:sz="0" w:space="0" w:color="auto"/>
        <w:left w:val="none" w:sz="0" w:space="0" w:color="auto"/>
        <w:bottom w:val="none" w:sz="0" w:space="0" w:color="auto"/>
        <w:right w:val="none" w:sz="0" w:space="0" w:color="auto"/>
      </w:divBdr>
      <w:divsChild>
        <w:div w:id="1821573372">
          <w:marLeft w:val="0"/>
          <w:marRight w:val="0"/>
          <w:marTop w:val="0"/>
          <w:marBottom w:val="0"/>
          <w:divBdr>
            <w:top w:val="none" w:sz="0" w:space="0" w:color="auto"/>
            <w:left w:val="none" w:sz="0" w:space="0" w:color="auto"/>
            <w:bottom w:val="none" w:sz="0" w:space="0" w:color="auto"/>
            <w:right w:val="none" w:sz="0" w:space="0" w:color="auto"/>
          </w:divBdr>
        </w:div>
      </w:divsChild>
    </w:div>
    <w:div w:id="1450274112">
      <w:bodyDiv w:val="1"/>
      <w:marLeft w:val="0"/>
      <w:marRight w:val="0"/>
      <w:marTop w:val="0"/>
      <w:marBottom w:val="0"/>
      <w:divBdr>
        <w:top w:val="none" w:sz="0" w:space="0" w:color="auto"/>
        <w:left w:val="none" w:sz="0" w:space="0" w:color="auto"/>
        <w:bottom w:val="none" w:sz="0" w:space="0" w:color="auto"/>
        <w:right w:val="none" w:sz="0" w:space="0" w:color="auto"/>
      </w:divBdr>
      <w:divsChild>
        <w:div w:id="131022324">
          <w:marLeft w:val="0"/>
          <w:marRight w:val="0"/>
          <w:marTop w:val="0"/>
          <w:marBottom w:val="0"/>
          <w:divBdr>
            <w:top w:val="none" w:sz="0" w:space="0" w:color="auto"/>
            <w:left w:val="none" w:sz="0" w:space="0" w:color="auto"/>
            <w:bottom w:val="none" w:sz="0" w:space="0" w:color="auto"/>
            <w:right w:val="none" w:sz="0" w:space="0" w:color="auto"/>
          </w:divBdr>
        </w:div>
      </w:divsChild>
    </w:div>
    <w:div w:id="1459838161">
      <w:bodyDiv w:val="1"/>
      <w:marLeft w:val="0"/>
      <w:marRight w:val="0"/>
      <w:marTop w:val="0"/>
      <w:marBottom w:val="0"/>
      <w:divBdr>
        <w:top w:val="none" w:sz="0" w:space="0" w:color="auto"/>
        <w:left w:val="none" w:sz="0" w:space="0" w:color="auto"/>
        <w:bottom w:val="none" w:sz="0" w:space="0" w:color="auto"/>
        <w:right w:val="none" w:sz="0" w:space="0" w:color="auto"/>
      </w:divBdr>
      <w:divsChild>
        <w:div w:id="1881362156">
          <w:marLeft w:val="0"/>
          <w:marRight w:val="0"/>
          <w:marTop w:val="0"/>
          <w:marBottom w:val="0"/>
          <w:divBdr>
            <w:top w:val="none" w:sz="0" w:space="0" w:color="auto"/>
            <w:left w:val="none" w:sz="0" w:space="0" w:color="auto"/>
            <w:bottom w:val="none" w:sz="0" w:space="0" w:color="auto"/>
            <w:right w:val="none" w:sz="0" w:space="0" w:color="auto"/>
          </w:divBdr>
        </w:div>
      </w:divsChild>
    </w:div>
    <w:div w:id="1488470898">
      <w:bodyDiv w:val="1"/>
      <w:marLeft w:val="0"/>
      <w:marRight w:val="0"/>
      <w:marTop w:val="0"/>
      <w:marBottom w:val="0"/>
      <w:divBdr>
        <w:top w:val="none" w:sz="0" w:space="0" w:color="auto"/>
        <w:left w:val="none" w:sz="0" w:space="0" w:color="auto"/>
        <w:bottom w:val="none" w:sz="0" w:space="0" w:color="auto"/>
        <w:right w:val="none" w:sz="0" w:space="0" w:color="auto"/>
      </w:divBdr>
    </w:div>
    <w:div w:id="1526214737">
      <w:bodyDiv w:val="1"/>
      <w:marLeft w:val="0"/>
      <w:marRight w:val="0"/>
      <w:marTop w:val="0"/>
      <w:marBottom w:val="0"/>
      <w:divBdr>
        <w:top w:val="none" w:sz="0" w:space="0" w:color="auto"/>
        <w:left w:val="none" w:sz="0" w:space="0" w:color="auto"/>
        <w:bottom w:val="none" w:sz="0" w:space="0" w:color="auto"/>
        <w:right w:val="none" w:sz="0" w:space="0" w:color="auto"/>
      </w:divBdr>
    </w:div>
    <w:div w:id="1545369165">
      <w:bodyDiv w:val="1"/>
      <w:marLeft w:val="0"/>
      <w:marRight w:val="0"/>
      <w:marTop w:val="0"/>
      <w:marBottom w:val="0"/>
      <w:divBdr>
        <w:top w:val="none" w:sz="0" w:space="0" w:color="auto"/>
        <w:left w:val="none" w:sz="0" w:space="0" w:color="auto"/>
        <w:bottom w:val="none" w:sz="0" w:space="0" w:color="auto"/>
        <w:right w:val="none" w:sz="0" w:space="0" w:color="auto"/>
      </w:divBdr>
      <w:divsChild>
        <w:div w:id="1640307449">
          <w:marLeft w:val="0"/>
          <w:marRight w:val="0"/>
          <w:marTop w:val="0"/>
          <w:marBottom w:val="0"/>
          <w:divBdr>
            <w:top w:val="none" w:sz="0" w:space="0" w:color="auto"/>
            <w:left w:val="none" w:sz="0" w:space="0" w:color="auto"/>
            <w:bottom w:val="none" w:sz="0" w:space="0" w:color="auto"/>
            <w:right w:val="none" w:sz="0" w:space="0" w:color="auto"/>
          </w:divBdr>
        </w:div>
      </w:divsChild>
    </w:div>
    <w:div w:id="1552963895">
      <w:bodyDiv w:val="1"/>
      <w:marLeft w:val="0"/>
      <w:marRight w:val="0"/>
      <w:marTop w:val="0"/>
      <w:marBottom w:val="0"/>
      <w:divBdr>
        <w:top w:val="none" w:sz="0" w:space="0" w:color="auto"/>
        <w:left w:val="none" w:sz="0" w:space="0" w:color="auto"/>
        <w:bottom w:val="none" w:sz="0" w:space="0" w:color="auto"/>
        <w:right w:val="none" w:sz="0" w:space="0" w:color="auto"/>
      </w:divBdr>
    </w:div>
    <w:div w:id="1591351975">
      <w:bodyDiv w:val="1"/>
      <w:marLeft w:val="0"/>
      <w:marRight w:val="0"/>
      <w:marTop w:val="0"/>
      <w:marBottom w:val="0"/>
      <w:divBdr>
        <w:top w:val="none" w:sz="0" w:space="0" w:color="auto"/>
        <w:left w:val="none" w:sz="0" w:space="0" w:color="auto"/>
        <w:bottom w:val="none" w:sz="0" w:space="0" w:color="auto"/>
        <w:right w:val="none" w:sz="0" w:space="0" w:color="auto"/>
      </w:divBdr>
      <w:divsChild>
        <w:div w:id="612253322">
          <w:marLeft w:val="0"/>
          <w:marRight w:val="0"/>
          <w:marTop w:val="0"/>
          <w:marBottom w:val="0"/>
          <w:divBdr>
            <w:top w:val="none" w:sz="0" w:space="0" w:color="auto"/>
            <w:left w:val="none" w:sz="0" w:space="0" w:color="auto"/>
            <w:bottom w:val="none" w:sz="0" w:space="0" w:color="auto"/>
            <w:right w:val="none" w:sz="0" w:space="0" w:color="auto"/>
          </w:divBdr>
        </w:div>
      </w:divsChild>
    </w:div>
    <w:div w:id="1596015468">
      <w:bodyDiv w:val="1"/>
      <w:marLeft w:val="0"/>
      <w:marRight w:val="0"/>
      <w:marTop w:val="0"/>
      <w:marBottom w:val="0"/>
      <w:divBdr>
        <w:top w:val="none" w:sz="0" w:space="0" w:color="auto"/>
        <w:left w:val="none" w:sz="0" w:space="0" w:color="auto"/>
        <w:bottom w:val="none" w:sz="0" w:space="0" w:color="auto"/>
        <w:right w:val="none" w:sz="0" w:space="0" w:color="auto"/>
      </w:divBdr>
      <w:divsChild>
        <w:div w:id="727075744">
          <w:marLeft w:val="0"/>
          <w:marRight w:val="0"/>
          <w:marTop w:val="0"/>
          <w:marBottom w:val="0"/>
          <w:divBdr>
            <w:top w:val="none" w:sz="0" w:space="0" w:color="auto"/>
            <w:left w:val="none" w:sz="0" w:space="0" w:color="auto"/>
            <w:bottom w:val="none" w:sz="0" w:space="0" w:color="auto"/>
            <w:right w:val="none" w:sz="0" w:space="0" w:color="auto"/>
          </w:divBdr>
        </w:div>
      </w:divsChild>
    </w:div>
    <w:div w:id="1600604688">
      <w:bodyDiv w:val="1"/>
      <w:marLeft w:val="0"/>
      <w:marRight w:val="0"/>
      <w:marTop w:val="0"/>
      <w:marBottom w:val="0"/>
      <w:divBdr>
        <w:top w:val="none" w:sz="0" w:space="0" w:color="auto"/>
        <w:left w:val="none" w:sz="0" w:space="0" w:color="auto"/>
        <w:bottom w:val="none" w:sz="0" w:space="0" w:color="auto"/>
        <w:right w:val="none" w:sz="0" w:space="0" w:color="auto"/>
      </w:divBdr>
      <w:divsChild>
        <w:div w:id="1627269395">
          <w:marLeft w:val="0"/>
          <w:marRight w:val="0"/>
          <w:marTop w:val="0"/>
          <w:marBottom w:val="0"/>
          <w:divBdr>
            <w:top w:val="none" w:sz="0" w:space="0" w:color="auto"/>
            <w:left w:val="none" w:sz="0" w:space="0" w:color="auto"/>
            <w:bottom w:val="none" w:sz="0" w:space="0" w:color="auto"/>
            <w:right w:val="none" w:sz="0" w:space="0" w:color="auto"/>
          </w:divBdr>
        </w:div>
      </w:divsChild>
    </w:div>
    <w:div w:id="1639844543">
      <w:bodyDiv w:val="1"/>
      <w:marLeft w:val="0"/>
      <w:marRight w:val="0"/>
      <w:marTop w:val="0"/>
      <w:marBottom w:val="0"/>
      <w:divBdr>
        <w:top w:val="none" w:sz="0" w:space="0" w:color="auto"/>
        <w:left w:val="none" w:sz="0" w:space="0" w:color="auto"/>
        <w:bottom w:val="none" w:sz="0" w:space="0" w:color="auto"/>
        <w:right w:val="none" w:sz="0" w:space="0" w:color="auto"/>
      </w:divBdr>
    </w:div>
    <w:div w:id="1646661523">
      <w:bodyDiv w:val="1"/>
      <w:marLeft w:val="0"/>
      <w:marRight w:val="0"/>
      <w:marTop w:val="0"/>
      <w:marBottom w:val="0"/>
      <w:divBdr>
        <w:top w:val="none" w:sz="0" w:space="0" w:color="auto"/>
        <w:left w:val="none" w:sz="0" w:space="0" w:color="auto"/>
        <w:bottom w:val="none" w:sz="0" w:space="0" w:color="auto"/>
        <w:right w:val="none" w:sz="0" w:space="0" w:color="auto"/>
      </w:divBdr>
    </w:div>
    <w:div w:id="1682586358">
      <w:bodyDiv w:val="1"/>
      <w:marLeft w:val="0"/>
      <w:marRight w:val="0"/>
      <w:marTop w:val="0"/>
      <w:marBottom w:val="0"/>
      <w:divBdr>
        <w:top w:val="none" w:sz="0" w:space="0" w:color="auto"/>
        <w:left w:val="none" w:sz="0" w:space="0" w:color="auto"/>
        <w:bottom w:val="none" w:sz="0" w:space="0" w:color="auto"/>
        <w:right w:val="none" w:sz="0" w:space="0" w:color="auto"/>
      </w:divBdr>
      <w:divsChild>
        <w:div w:id="1115253583">
          <w:marLeft w:val="0"/>
          <w:marRight w:val="0"/>
          <w:marTop w:val="0"/>
          <w:marBottom w:val="0"/>
          <w:divBdr>
            <w:top w:val="none" w:sz="0" w:space="0" w:color="auto"/>
            <w:left w:val="none" w:sz="0" w:space="0" w:color="auto"/>
            <w:bottom w:val="none" w:sz="0" w:space="0" w:color="auto"/>
            <w:right w:val="none" w:sz="0" w:space="0" w:color="auto"/>
          </w:divBdr>
        </w:div>
      </w:divsChild>
    </w:div>
    <w:div w:id="1686707737">
      <w:bodyDiv w:val="1"/>
      <w:marLeft w:val="0"/>
      <w:marRight w:val="0"/>
      <w:marTop w:val="0"/>
      <w:marBottom w:val="0"/>
      <w:divBdr>
        <w:top w:val="none" w:sz="0" w:space="0" w:color="auto"/>
        <w:left w:val="none" w:sz="0" w:space="0" w:color="auto"/>
        <w:bottom w:val="none" w:sz="0" w:space="0" w:color="auto"/>
        <w:right w:val="none" w:sz="0" w:space="0" w:color="auto"/>
      </w:divBdr>
    </w:div>
    <w:div w:id="1688287152">
      <w:bodyDiv w:val="1"/>
      <w:marLeft w:val="0"/>
      <w:marRight w:val="0"/>
      <w:marTop w:val="0"/>
      <w:marBottom w:val="0"/>
      <w:divBdr>
        <w:top w:val="none" w:sz="0" w:space="0" w:color="auto"/>
        <w:left w:val="none" w:sz="0" w:space="0" w:color="auto"/>
        <w:bottom w:val="none" w:sz="0" w:space="0" w:color="auto"/>
        <w:right w:val="none" w:sz="0" w:space="0" w:color="auto"/>
      </w:divBdr>
    </w:div>
    <w:div w:id="1688948069">
      <w:bodyDiv w:val="1"/>
      <w:marLeft w:val="0"/>
      <w:marRight w:val="0"/>
      <w:marTop w:val="0"/>
      <w:marBottom w:val="0"/>
      <w:divBdr>
        <w:top w:val="none" w:sz="0" w:space="0" w:color="auto"/>
        <w:left w:val="none" w:sz="0" w:space="0" w:color="auto"/>
        <w:bottom w:val="none" w:sz="0" w:space="0" w:color="auto"/>
        <w:right w:val="none" w:sz="0" w:space="0" w:color="auto"/>
      </w:divBdr>
    </w:div>
    <w:div w:id="1697996813">
      <w:bodyDiv w:val="1"/>
      <w:marLeft w:val="0"/>
      <w:marRight w:val="0"/>
      <w:marTop w:val="0"/>
      <w:marBottom w:val="0"/>
      <w:divBdr>
        <w:top w:val="none" w:sz="0" w:space="0" w:color="auto"/>
        <w:left w:val="none" w:sz="0" w:space="0" w:color="auto"/>
        <w:bottom w:val="none" w:sz="0" w:space="0" w:color="auto"/>
        <w:right w:val="none" w:sz="0" w:space="0" w:color="auto"/>
      </w:divBdr>
    </w:div>
    <w:div w:id="1701517729">
      <w:bodyDiv w:val="1"/>
      <w:marLeft w:val="0"/>
      <w:marRight w:val="0"/>
      <w:marTop w:val="0"/>
      <w:marBottom w:val="0"/>
      <w:divBdr>
        <w:top w:val="none" w:sz="0" w:space="0" w:color="auto"/>
        <w:left w:val="none" w:sz="0" w:space="0" w:color="auto"/>
        <w:bottom w:val="none" w:sz="0" w:space="0" w:color="auto"/>
        <w:right w:val="none" w:sz="0" w:space="0" w:color="auto"/>
      </w:divBdr>
    </w:div>
    <w:div w:id="1726220413">
      <w:bodyDiv w:val="1"/>
      <w:marLeft w:val="0"/>
      <w:marRight w:val="0"/>
      <w:marTop w:val="0"/>
      <w:marBottom w:val="0"/>
      <w:divBdr>
        <w:top w:val="none" w:sz="0" w:space="0" w:color="auto"/>
        <w:left w:val="none" w:sz="0" w:space="0" w:color="auto"/>
        <w:bottom w:val="none" w:sz="0" w:space="0" w:color="auto"/>
        <w:right w:val="none" w:sz="0" w:space="0" w:color="auto"/>
      </w:divBdr>
      <w:divsChild>
        <w:div w:id="1086270833">
          <w:marLeft w:val="0"/>
          <w:marRight w:val="0"/>
          <w:marTop w:val="0"/>
          <w:marBottom w:val="0"/>
          <w:divBdr>
            <w:top w:val="none" w:sz="0" w:space="0" w:color="auto"/>
            <w:left w:val="none" w:sz="0" w:space="0" w:color="auto"/>
            <w:bottom w:val="none" w:sz="0" w:space="0" w:color="auto"/>
            <w:right w:val="none" w:sz="0" w:space="0" w:color="auto"/>
          </w:divBdr>
        </w:div>
      </w:divsChild>
    </w:div>
    <w:div w:id="1767573302">
      <w:bodyDiv w:val="1"/>
      <w:marLeft w:val="0"/>
      <w:marRight w:val="0"/>
      <w:marTop w:val="0"/>
      <w:marBottom w:val="0"/>
      <w:divBdr>
        <w:top w:val="none" w:sz="0" w:space="0" w:color="auto"/>
        <w:left w:val="none" w:sz="0" w:space="0" w:color="auto"/>
        <w:bottom w:val="none" w:sz="0" w:space="0" w:color="auto"/>
        <w:right w:val="none" w:sz="0" w:space="0" w:color="auto"/>
      </w:divBdr>
    </w:div>
    <w:div w:id="1788770100">
      <w:bodyDiv w:val="1"/>
      <w:marLeft w:val="0"/>
      <w:marRight w:val="0"/>
      <w:marTop w:val="0"/>
      <w:marBottom w:val="0"/>
      <w:divBdr>
        <w:top w:val="none" w:sz="0" w:space="0" w:color="auto"/>
        <w:left w:val="none" w:sz="0" w:space="0" w:color="auto"/>
        <w:bottom w:val="none" w:sz="0" w:space="0" w:color="auto"/>
        <w:right w:val="none" w:sz="0" w:space="0" w:color="auto"/>
      </w:divBdr>
    </w:div>
    <w:div w:id="1799762276">
      <w:bodyDiv w:val="1"/>
      <w:marLeft w:val="0"/>
      <w:marRight w:val="0"/>
      <w:marTop w:val="0"/>
      <w:marBottom w:val="0"/>
      <w:divBdr>
        <w:top w:val="none" w:sz="0" w:space="0" w:color="auto"/>
        <w:left w:val="none" w:sz="0" w:space="0" w:color="auto"/>
        <w:bottom w:val="none" w:sz="0" w:space="0" w:color="auto"/>
        <w:right w:val="none" w:sz="0" w:space="0" w:color="auto"/>
      </w:divBdr>
    </w:div>
    <w:div w:id="1808890563">
      <w:bodyDiv w:val="1"/>
      <w:marLeft w:val="0"/>
      <w:marRight w:val="0"/>
      <w:marTop w:val="0"/>
      <w:marBottom w:val="0"/>
      <w:divBdr>
        <w:top w:val="none" w:sz="0" w:space="0" w:color="auto"/>
        <w:left w:val="none" w:sz="0" w:space="0" w:color="auto"/>
        <w:bottom w:val="none" w:sz="0" w:space="0" w:color="auto"/>
        <w:right w:val="none" w:sz="0" w:space="0" w:color="auto"/>
      </w:divBdr>
    </w:div>
    <w:div w:id="1822457674">
      <w:bodyDiv w:val="1"/>
      <w:marLeft w:val="0"/>
      <w:marRight w:val="0"/>
      <w:marTop w:val="0"/>
      <w:marBottom w:val="0"/>
      <w:divBdr>
        <w:top w:val="none" w:sz="0" w:space="0" w:color="auto"/>
        <w:left w:val="none" w:sz="0" w:space="0" w:color="auto"/>
        <w:bottom w:val="none" w:sz="0" w:space="0" w:color="auto"/>
        <w:right w:val="none" w:sz="0" w:space="0" w:color="auto"/>
      </w:divBdr>
      <w:divsChild>
        <w:div w:id="84620434">
          <w:marLeft w:val="0"/>
          <w:marRight w:val="0"/>
          <w:marTop w:val="0"/>
          <w:marBottom w:val="0"/>
          <w:divBdr>
            <w:top w:val="none" w:sz="0" w:space="0" w:color="auto"/>
            <w:left w:val="none" w:sz="0" w:space="0" w:color="auto"/>
            <w:bottom w:val="none" w:sz="0" w:space="0" w:color="auto"/>
            <w:right w:val="none" w:sz="0" w:space="0" w:color="auto"/>
          </w:divBdr>
        </w:div>
      </w:divsChild>
    </w:div>
    <w:div w:id="1842164224">
      <w:bodyDiv w:val="1"/>
      <w:marLeft w:val="0"/>
      <w:marRight w:val="0"/>
      <w:marTop w:val="0"/>
      <w:marBottom w:val="0"/>
      <w:divBdr>
        <w:top w:val="none" w:sz="0" w:space="0" w:color="auto"/>
        <w:left w:val="none" w:sz="0" w:space="0" w:color="auto"/>
        <w:bottom w:val="none" w:sz="0" w:space="0" w:color="auto"/>
        <w:right w:val="none" w:sz="0" w:space="0" w:color="auto"/>
      </w:divBdr>
      <w:divsChild>
        <w:div w:id="472529523">
          <w:marLeft w:val="0"/>
          <w:marRight w:val="0"/>
          <w:marTop w:val="0"/>
          <w:marBottom w:val="0"/>
          <w:divBdr>
            <w:top w:val="none" w:sz="0" w:space="0" w:color="auto"/>
            <w:left w:val="none" w:sz="0" w:space="0" w:color="auto"/>
            <w:bottom w:val="none" w:sz="0" w:space="0" w:color="auto"/>
            <w:right w:val="none" w:sz="0" w:space="0" w:color="auto"/>
          </w:divBdr>
        </w:div>
      </w:divsChild>
    </w:div>
    <w:div w:id="1869102324">
      <w:bodyDiv w:val="1"/>
      <w:marLeft w:val="0"/>
      <w:marRight w:val="0"/>
      <w:marTop w:val="0"/>
      <w:marBottom w:val="0"/>
      <w:divBdr>
        <w:top w:val="none" w:sz="0" w:space="0" w:color="auto"/>
        <w:left w:val="none" w:sz="0" w:space="0" w:color="auto"/>
        <w:bottom w:val="none" w:sz="0" w:space="0" w:color="auto"/>
        <w:right w:val="none" w:sz="0" w:space="0" w:color="auto"/>
      </w:divBdr>
    </w:div>
    <w:div w:id="1887057880">
      <w:bodyDiv w:val="1"/>
      <w:marLeft w:val="0"/>
      <w:marRight w:val="0"/>
      <w:marTop w:val="0"/>
      <w:marBottom w:val="0"/>
      <w:divBdr>
        <w:top w:val="none" w:sz="0" w:space="0" w:color="auto"/>
        <w:left w:val="none" w:sz="0" w:space="0" w:color="auto"/>
        <w:bottom w:val="none" w:sz="0" w:space="0" w:color="auto"/>
        <w:right w:val="none" w:sz="0" w:space="0" w:color="auto"/>
      </w:divBdr>
      <w:divsChild>
        <w:div w:id="441652922">
          <w:marLeft w:val="0"/>
          <w:marRight w:val="0"/>
          <w:marTop w:val="0"/>
          <w:marBottom w:val="0"/>
          <w:divBdr>
            <w:top w:val="none" w:sz="0" w:space="0" w:color="auto"/>
            <w:left w:val="none" w:sz="0" w:space="0" w:color="auto"/>
            <w:bottom w:val="none" w:sz="0" w:space="0" w:color="auto"/>
            <w:right w:val="none" w:sz="0" w:space="0" w:color="auto"/>
          </w:divBdr>
        </w:div>
      </w:divsChild>
    </w:div>
    <w:div w:id="1921139286">
      <w:bodyDiv w:val="1"/>
      <w:marLeft w:val="0"/>
      <w:marRight w:val="0"/>
      <w:marTop w:val="0"/>
      <w:marBottom w:val="0"/>
      <w:divBdr>
        <w:top w:val="none" w:sz="0" w:space="0" w:color="auto"/>
        <w:left w:val="none" w:sz="0" w:space="0" w:color="auto"/>
        <w:bottom w:val="none" w:sz="0" w:space="0" w:color="auto"/>
        <w:right w:val="none" w:sz="0" w:space="0" w:color="auto"/>
      </w:divBdr>
      <w:divsChild>
        <w:div w:id="873689789">
          <w:marLeft w:val="0"/>
          <w:marRight w:val="0"/>
          <w:marTop w:val="0"/>
          <w:marBottom w:val="0"/>
          <w:divBdr>
            <w:top w:val="none" w:sz="0" w:space="0" w:color="auto"/>
            <w:left w:val="none" w:sz="0" w:space="0" w:color="auto"/>
            <w:bottom w:val="none" w:sz="0" w:space="0" w:color="auto"/>
            <w:right w:val="none" w:sz="0" w:space="0" w:color="auto"/>
          </w:divBdr>
        </w:div>
      </w:divsChild>
    </w:div>
    <w:div w:id="1933313524">
      <w:bodyDiv w:val="1"/>
      <w:marLeft w:val="0"/>
      <w:marRight w:val="0"/>
      <w:marTop w:val="0"/>
      <w:marBottom w:val="0"/>
      <w:divBdr>
        <w:top w:val="none" w:sz="0" w:space="0" w:color="auto"/>
        <w:left w:val="none" w:sz="0" w:space="0" w:color="auto"/>
        <w:bottom w:val="none" w:sz="0" w:space="0" w:color="auto"/>
        <w:right w:val="none" w:sz="0" w:space="0" w:color="auto"/>
      </w:divBdr>
    </w:div>
    <w:div w:id="1962026512">
      <w:bodyDiv w:val="1"/>
      <w:marLeft w:val="0"/>
      <w:marRight w:val="0"/>
      <w:marTop w:val="0"/>
      <w:marBottom w:val="0"/>
      <w:divBdr>
        <w:top w:val="none" w:sz="0" w:space="0" w:color="auto"/>
        <w:left w:val="none" w:sz="0" w:space="0" w:color="auto"/>
        <w:bottom w:val="none" w:sz="0" w:space="0" w:color="auto"/>
        <w:right w:val="none" w:sz="0" w:space="0" w:color="auto"/>
      </w:divBdr>
      <w:divsChild>
        <w:div w:id="1652951037">
          <w:marLeft w:val="0"/>
          <w:marRight w:val="0"/>
          <w:marTop w:val="0"/>
          <w:marBottom w:val="0"/>
          <w:divBdr>
            <w:top w:val="none" w:sz="0" w:space="0" w:color="auto"/>
            <w:left w:val="none" w:sz="0" w:space="0" w:color="auto"/>
            <w:bottom w:val="none" w:sz="0" w:space="0" w:color="auto"/>
            <w:right w:val="none" w:sz="0" w:space="0" w:color="auto"/>
          </w:divBdr>
        </w:div>
      </w:divsChild>
    </w:div>
    <w:div w:id="2009864533">
      <w:bodyDiv w:val="1"/>
      <w:marLeft w:val="0"/>
      <w:marRight w:val="0"/>
      <w:marTop w:val="0"/>
      <w:marBottom w:val="0"/>
      <w:divBdr>
        <w:top w:val="none" w:sz="0" w:space="0" w:color="auto"/>
        <w:left w:val="none" w:sz="0" w:space="0" w:color="auto"/>
        <w:bottom w:val="none" w:sz="0" w:space="0" w:color="auto"/>
        <w:right w:val="none" w:sz="0" w:space="0" w:color="auto"/>
      </w:divBdr>
    </w:div>
    <w:div w:id="2011331102">
      <w:bodyDiv w:val="1"/>
      <w:marLeft w:val="0"/>
      <w:marRight w:val="0"/>
      <w:marTop w:val="0"/>
      <w:marBottom w:val="0"/>
      <w:divBdr>
        <w:top w:val="none" w:sz="0" w:space="0" w:color="auto"/>
        <w:left w:val="none" w:sz="0" w:space="0" w:color="auto"/>
        <w:bottom w:val="none" w:sz="0" w:space="0" w:color="auto"/>
        <w:right w:val="none" w:sz="0" w:space="0" w:color="auto"/>
      </w:divBdr>
    </w:div>
    <w:div w:id="2014146233">
      <w:bodyDiv w:val="1"/>
      <w:marLeft w:val="0"/>
      <w:marRight w:val="0"/>
      <w:marTop w:val="0"/>
      <w:marBottom w:val="0"/>
      <w:divBdr>
        <w:top w:val="none" w:sz="0" w:space="0" w:color="auto"/>
        <w:left w:val="none" w:sz="0" w:space="0" w:color="auto"/>
        <w:bottom w:val="none" w:sz="0" w:space="0" w:color="auto"/>
        <w:right w:val="none" w:sz="0" w:space="0" w:color="auto"/>
      </w:divBdr>
    </w:div>
    <w:div w:id="2015720123">
      <w:bodyDiv w:val="1"/>
      <w:marLeft w:val="0"/>
      <w:marRight w:val="0"/>
      <w:marTop w:val="0"/>
      <w:marBottom w:val="0"/>
      <w:divBdr>
        <w:top w:val="none" w:sz="0" w:space="0" w:color="auto"/>
        <w:left w:val="none" w:sz="0" w:space="0" w:color="auto"/>
        <w:bottom w:val="none" w:sz="0" w:space="0" w:color="auto"/>
        <w:right w:val="none" w:sz="0" w:space="0" w:color="auto"/>
      </w:divBdr>
    </w:div>
    <w:div w:id="2030375800">
      <w:bodyDiv w:val="1"/>
      <w:marLeft w:val="0"/>
      <w:marRight w:val="0"/>
      <w:marTop w:val="0"/>
      <w:marBottom w:val="0"/>
      <w:divBdr>
        <w:top w:val="none" w:sz="0" w:space="0" w:color="auto"/>
        <w:left w:val="none" w:sz="0" w:space="0" w:color="auto"/>
        <w:bottom w:val="none" w:sz="0" w:space="0" w:color="auto"/>
        <w:right w:val="none" w:sz="0" w:space="0" w:color="auto"/>
      </w:divBdr>
    </w:div>
    <w:div w:id="2034306058">
      <w:bodyDiv w:val="1"/>
      <w:marLeft w:val="0"/>
      <w:marRight w:val="0"/>
      <w:marTop w:val="0"/>
      <w:marBottom w:val="0"/>
      <w:divBdr>
        <w:top w:val="none" w:sz="0" w:space="0" w:color="auto"/>
        <w:left w:val="none" w:sz="0" w:space="0" w:color="auto"/>
        <w:bottom w:val="none" w:sz="0" w:space="0" w:color="auto"/>
        <w:right w:val="none" w:sz="0" w:space="0" w:color="auto"/>
      </w:divBdr>
    </w:div>
    <w:div w:id="2035567985">
      <w:bodyDiv w:val="1"/>
      <w:marLeft w:val="0"/>
      <w:marRight w:val="0"/>
      <w:marTop w:val="0"/>
      <w:marBottom w:val="0"/>
      <w:divBdr>
        <w:top w:val="none" w:sz="0" w:space="0" w:color="auto"/>
        <w:left w:val="none" w:sz="0" w:space="0" w:color="auto"/>
        <w:bottom w:val="none" w:sz="0" w:space="0" w:color="auto"/>
        <w:right w:val="none" w:sz="0" w:space="0" w:color="auto"/>
      </w:divBdr>
    </w:div>
    <w:div w:id="2088528793">
      <w:bodyDiv w:val="1"/>
      <w:marLeft w:val="0"/>
      <w:marRight w:val="0"/>
      <w:marTop w:val="0"/>
      <w:marBottom w:val="0"/>
      <w:divBdr>
        <w:top w:val="none" w:sz="0" w:space="0" w:color="auto"/>
        <w:left w:val="none" w:sz="0" w:space="0" w:color="auto"/>
        <w:bottom w:val="none" w:sz="0" w:space="0" w:color="auto"/>
        <w:right w:val="none" w:sz="0" w:space="0" w:color="auto"/>
      </w:divBdr>
    </w:div>
    <w:div w:id="2111968008">
      <w:bodyDiv w:val="1"/>
      <w:marLeft w:val="0"/>
      <w:marRight w:val="0"/>
      <w:marTop w:val="0"/>
      <w:marBottom w:val="0"/>
      <w:divBdr>
        <w:top w:val="none" w:sz="0" w:space="0" w:color="auto"/>
        <w:left w:val="none" w:sz="0" w:space="0" w:color="auto"/>
        <w:bottom w:val="none" w:sz="0" w:space="0" w:color="auto"/>
        <w:right w:val="none" w:sz="0" w:space="0" w:color="auto"/>
      </w:divBdr>
    </w:div>
    <w:div w:id="2114784530">
      <w:bodyDiv w:val="1"/>
      <w:marLeft w:val="0"/>
      <w:marRight w:val="0"/>
      <w:marTop w:val="0"/>
      <w:marBottom w:val="0"/>
      <w:divBdr>
        <w:top w:val="none" w:sz="0" w:space="0" w:color="auto"/>
        <w:left w:val="none" w:sz="0" w:space="0" w:color="auto"/>
        <w:bottom w:val="none" w:sz="0" w:space="0" w:color="auto"/>
        <w:right w:val="none" w:sz="0" w:space="0" w:color="auto"/>
      </w:divBdr>
    </w:div>
    <w:div w:id="21288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rio.org/download/publicationfile/2051/Jarland%20et%20al%20-%20How%20Should%20We%20Understand%20Recurring%20Conflicts,%20Conflict%20Trends%203-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4D73D-07E1-564F-A4C9-CF27CE66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10232</Words>
  <Characters>58326</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McAuliffe, Padraig</dc:creator>
  <cp:keywords/>
  <dc:description/>
  <cp:lastModifiedBy>McAuliffe, Padraig</cp:lastModifiedBy>
  <cp:revision>2</cp:revision>
  <dcterms:created xsi:type="dcterms:W3CDTF">2022-09-21T12:41:00Z</dcterms:created>
  <dcterms:modified xsi:type="dcterms:W3CDTF">2022-09-21T12:41:00Z</dcterms:modified>
</cp:coreProperties>
</file>