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7B5" w:rsidRDefault="006B37B5" w:rsidP="00DC549A">
      <w:pPr>
        <w:pStyle w:val="NormalWeb"/>
        <w:jc w:val="center"/>
        <w:rPr>
          <w:b/>
          <w:color w:val="000000"/>
        </w:rPr>
      </w:pPr>
      <w:r>
        <w:rPr>
          <w:b/>
          <w:color w:val="000000"/>
        </w:rPr>
        <w:t>#externalisation</w:t>
      </w:r>
    </w:p>
    <w:p w:rsidR="006B37B5" w:rsidRDefault="006B37B5" w:rsidP="006B37B5">
      <w:pPr>
        <w:pStyle w:val="NormalWeb"/>
        <w:rPr>
          <w:b/>
          <w:color w:val="000000"/>
        </w:rPr>
      </w:pPr>
    </w:p>
    <w:p w:rsidR="003662DC" w:rsidRDefault="001956C2" w:rsidP="00DC549A">
      <w:pPr>
        <w:pStyle w:val="NormalWeb"/>
        <w:jc w:val="center"/>
        <w:rPr>
          <w:b/>
          <w:color w:val="000000"/>
        </w:rPr>
      </w:pPr>
      <w:r>
        <w:rPr>
          <w:b/>
          <w:color w:val="000000"/>
        </w:rPr>
        <w:t>The EU External Border as a Site of Preventive (In)Justice</w:t>
      </w:r>
    </w:p>
    <w:p w:rsidR="00E266A7" w:rsidRDefault="00E266A7" w:rsidP="00DC549A">
      <w:pPr>
        <w:pStyle w:val="NormalWeb"/>
        <w:jc w:val="center"/>
        <w:rPr>
          <w:b/>
          <w:color w:val="000000"/>
        </w:rPr>
      </w:pPr>
    </w:p>
    <w:p w:rsidR="00E266A7" w:rsidRDefault="00E266A7" w:rsidP="00DC549A">
      <w:pPr>
        <w:pStyle w:val="NormalWeb"/>
        <w:jc w:val="center"/>
        <w:rPr>
          <w:b/>
          <w:color w:val="000000"/>
        </w:rPr>
      </w:pPr>
      <w:r>
        <w:rPr>
          <w:b/>
          <w:color w:val="000000"/>
        </w:rPr>
        <w:t>Abstract</w:t>
      </w:r>
    </w:p>
    <w:p w:rsidR="00E266A7" w:rsidRDefault="0033709C" w:rsidP="00E266A7">
      <w:pPr>
        <w:jc w:val="both"/>
        <w:rPr>
          <w:rFonts w:ascii="Times New Roman" w:hAnsi="Times New Roman" w:cs="Times New Roman"/>
          <w:sz w:val="24"/>
          <w:szCs w:val="24"/>
        </w:rPr>
      </w:pPr>
      <w:r>
        <w:rPr>
          <w:rFonts w:ascii="Times New Roman" w:hAnsi="Times New Roman" w:cs="Times New Roman"/>
          <w:sz w:val="24"/>
          <w:szCs w:val="24"/>
        </w:rPr>
        <w:t xml:space="preserve">The aim of the </w:t>
      </w:r>
      <w:r w:rsidR="00E266A7">
        <w:rPr>
          <w:rFonts w:ascii="Times New Roman" w:hAnsi="Times New Roman" w:cs="Times New Roman"/>
          <w:sz w:val="24"/>
          <w:szCs w:val="24"/>
        </w:rPr>
        <w:t xml:space="preserve">article is to fill a gap in the literature on the externalisation of immigration control by focusing systematically not on practices of extraterritorial immigration control but on the externalisation of immigration control </w:t>
      </w:r>
      <w:r w:rsidR="00E266A7" w:rsidRPr="00DC549A">
        <w:rPr>
          <w:rFonts w:ascii="Times New Roman" w:hAnsi="Times New Roman" w:cs="Times New Roman"/>
          <w:i/>
          <w:sz w:val="24"/>
          <w:szCs w:val="24"/>
        </w:rPr>
        <w:t>at</w:t>
      </w:r>
      <w:r w:rsidR="00E266A7">
        <w:rPr>
          <w:rFonts w:ascii="Times New Roman" w:hAnsi="Times New Roman" w:cs="Times New Roman"/>
          <w:sz w:val="24"/>
          <w:szCs w:val="24"/>
        </w:rPr>
        <w:t xml:space="preserve"> the EU external border. The article will provide an analysis of the transformation of the EU external border from the theoretical perspective of preventive justice and map its </w:t>
      </w:r>
      <w:proofErr w:type="gramStart"/>
      <w:r w:rsidR="00E266A7">
        <w:rPr>
          <w:rFonts w:ascii="Times New Roman" w:hAnsi="Times New Roman" w:cs="Times New Roman"/>
          <w:sz w:val="24"/>
          <w:szCs w:val="24"/>
        </w:rPr>
        <w:t>transformation  into</w:t>
      </w:r>
      <w:proofErr w:type="gramEnd"/>
      <w:r w:rsidR="00E266A7">
        <w:rPr>
          <w:rFonts w:ascii="Times New Roman" w:hAnsi="Times New Roman" w:cs="Times New Roman"/>
          <w:sz w:val="24"/>
          <w:szCs w:val="24"/>
        </w:rPr>
        <w:t xml:space="preserve"> a site of preventive injustice.. The article will examine four parallel and inter-related trends of preventive injustice on the border: the denial of law and pushbacks, and their handling by judicial authorities and EU institutions and </w:t>
      </w:r>
      <w:proofErr w:type="gramStart"/>
      <w:r w:rsidR="00E266A7">
        <w:rPr>
          <w:rFonts w:ascii="Times New Roman" w:hAnsi="Times New Roman" w:cs="Times New Roman"/>
          <w:sz w:val="24"/>
          <w:szCs w:val="24"/>
        </w:rPr>
        <w:t>agencies ;</w:t>
      </w:r>
      <w:proofErr w:type="gramEnd"/>
      <w:r w:rsidR="00E266A7">
        <w:rPr>
          <w:rFonts w:ascii="Times New Roman" w:hAnsi="Times New Roman" w:cs="Times New Roman"/>
          <w:sz w:val="24"/>
          <w:szCs w:val="24"/>
        </w:rPr>
        <w:t xml:space="preserve"> the emerging framework of the </w:t>
      </w:r>
      <w:proofErr w:type="spellStart"/>
      <w:r w:rsidR="00E266A7">
        <w:rPr>
          <w:rFonts w:ascii="Times New Roman" w:hAnsi="Times New Roman" w:cs="Times New Roman"/>
          <w:sz w:val="24"/>
          <w:szCs w:val="24"/>
        </w:rPr>
        <w:t>instrumentalisation</w:t>
      </w:r>
      <w:proofErr w:type="spellEnd"/>
      <w:r w:rsidR="00E266A7">
        <w:rPr>
          <w:rFonts w:ascii="Times New Roman" w:hAnsi="Times New Roman" w:cs="Times New Roman"/>
          <w:sz w:val="24"/>
          <w:szCs w:val="24"/>
        </w:rPr>
        <w:t xml:space="preserve"> of migration; the normalisation of border procedures based on the fiction of ‘non-entry’ and detention of third country nationals at the border, to back up non-entry policies. The article will evaluate critically the consequences of this emerging paradigm of externalisation for well-established principles of primary and secondary EU law and highlight the rule of law deficit externalisation at the border entails.</w:t>
      </w:r>
    </w:p>
    <w:p w:rsidR="00E266A7" w:rsidRDefault="00E266A7" w:rsidP="00E266A7">
      <w:pPr>
        <w:pStyle w:val="NormalWeb"/>
        <w:jc w:val="both"/>
        <w:rPr>
          <w:b/>
          <w:color w:val="000000"/>
        </w:rPr>
      </w:pPr>
    </w:p>
    <w:p w:rsidR="00E266A7" w:rsidRDefault="00E266A7" w:rsidP="00DC549A">
      <w:pPr>
        <w:pStyle w:val="NormalWeb"/>
        <w:jc w:val="center"/>
        <w:rPr>
          <w:b/>
          <w:color w:val="000000"/>
        </w:rPr>
      </w:pPr>
    </w:p>
    <w:p w:rsidR="001956C2" w:rsidRDefault="00C326A7" w:rsidP="00DC549A">
      <w:pPr>
        <w:pStyle w:val="NormalWeb"/>
        <w:numPr>
          <w:ilvl w:val="0"/>
          <w:numId w:val="4"/>
        </w:numPr>
        <w:jc w:val="center"/>
        <w:rPr>
          <w:b/>
          <w:color w:val="000000"/>
        </w:rPr>
      </w:pPr>
      <w:r>
        <w:rPr>
          <w:b/>
          <w:color w:val="000000"/>
        </w:rPr>
        <w:t>Introduction</w:t>
      </w:r>
      <w:r w:rsidR="004D646B">
        <w:rPr>
          <w:rStyle w:val="FootnoteReference"/>
          <w:b/>
          <w:color w:val="000000"/>
        </w:rPr>
        <w:footnoteReference w:id="1"/>
      </w:r>
    </w:p>
    <w:p w:rsidR="00C326A7" w:rsidRPr="002B5A38" w:rsidRDefault="00B84222" w:rsidP="00B84222">
      <w:pPr>
        <w:pStyle w:val="NormalWeb"/>
        <w:jc w:val="both"/>
        <w:rPr>
          <w:color w:val="000000"/>
        </w:rPr>
      </w:pPr>
      <w:r>
        <w:rPr>
          <w:color w:val="000000"/>
        </w:rPr>
        <w:t xml:space="preserve">The past two decades have witnessed the intensification and proliferation of externalisation of migration control mechanisms in Europe. State practices of extraterritorial immigration control </w:t>
      </w:r>
      <w:r>
        <w:rPr>
          <w:rStyle w:val="FootnoteReference"/>
          <w:color w:val="000000"/>
        </w:rPr>
        <w:footnoteReference w:id="2"/>
      </w:r>
      <w:r>
        <w:rPr>
          <w:color w:val="000000"/>
        </w:rPr>
        <w:t xml:space="preserve">have evolved to lead to the multiplication of borders in the development of various layers of externalisation, which this special issue aims to explore in critical detail. A key aim of externalisation is prevention: to prevent third country nationals from reaching the external border of the EU and its Member States in the first place, and increasingly to prevent access not only to the territory, but also to law. </w:t>
      </w:r>
      <w:r w:rsidR="00C326A7">
        <w:t>This article</w:t>
      </w:r>
      <w:r w:rsidR="00C326A7" w:rsidRPr="009E6243">
        <w:t xml:space="preserve"> will examine </w:t>
      </w:r>
      <w:r w:rsidR="00C326A7">
        <w:t xml:space="preserve">the legal </w:t>
      </w:r>
      <w:r w:rsidR="00C326A7" w:rsidRPr="009E6243">
        <w:t>challenge</w:t>
      </w:r>
      <w:r w:rsidR="00C326A7">
        <w:t xml:space="preserve">s underpinning the externalisation of </w:t>
      </w:r>
      <w:r w:rsidR="00C326A7" w:rsidRPr="009E6243">
        <w:t xml:space="preserve">immigration control </w:t>
      </w:r>
      <w:r w:rsidR="00C326A7">
        <w:t>in Europe from</w:t>
      </w:r>
      <w:r w:rsidR="00C326A7" w:rsidRPr="009E6243">
        <w:t xml:space="preserve"> the theoretical framework of preventive justice. The term ‘preventive justice’ has been used in the context of domestic criminal law as a phenomenon extending the scope of criminal law to gradually remove the link between criminalisation and prosecution on the one hand and the commission of concrete acts on the other.</w:t>
      </w:r>
      <w:r w:rsidR="00C326A7" w:rsidRPr="001A6D31">
        <w:rPr>
          <w:rStyle w:val="FootnoteReference"/>
        </w:rPr>
        <w:footnoteReference w:id="3"/>
      </w:r>
      <w:r w:rsidR="00C326A7" w:rsidRPr="009E6243">
        <w:t xml:space="preserve"> For the purposes of this article,</w:t>
      </w:r>
      <w:r w:rsidR="001241F6">
        <w:t xml:space="preserve"> the concept of</w:t>
      </w:r>
      <w:r w:rsidR="00C326A7" w:rsidRPr="009E6243">
        <w:t xml:space="preserve"> preventive justice is </w:t>
      </w:r>
      <w:r w:rsidR="0025593A">
        <w:t xml:space="preserve">applied at the level of EU law and is </w:t>
      </w:r>
      <w:r w:rsidR="00C326A7" w:rsidRPr="009E6243">
        <w:t xml:space="preserve">understood more broadly as the exercise of state power </w:t>
      </w:r>
      <w:r w:rsidR="00C326A7" w:rsidRPr="009E6243">
        <w:lastRenderedPageBreak/>
        <w:t>in order to prevent future acts which are deemed to constitute security threats.</w:t>
      </w:r>
      <w:r w:rsidR="00C326A7" w:rsidRPr="00F70444">
        <w:rPr>
          <w:rStyle w:val="FootnoteReference"/>
        </w:rPr>
        <w:footnoteReference w:id="4"/>
      </w:r>
      <w:r w:rsidR="00C326A7" w:rsidRPr="009E6243">
        <w:t xml:space="preserve"> </w:t>
      </w:r>
      <w:r w:rsidR="0025593A">
        <w:t>The p</w:t>
      </w:r>
      <w:r w:rsidR="00C326A7" w:rsidRPr="009E6243">
        <w:t>reventive justice</w:t>
      </w:r>
      <w:r w:rsidR="0025593A">
        <w:t xml:space="preserve"> paradigm</w:t>
      </w:r>
      <w:r w:rsidR="00C326A7" w:rsidRPr="009E6243">
        <w:t xml:space="preserve"> is thus forward rather than backward looking; it </w:t>
      </w:r>
      <w:r w:rsidR="0025593A">
        <w:t>is justified by states and EU institutions as aiming</w:t>
      </w:r>
      <w:r w:rsidR="00C326A7" w:rsidRPr="009E6243">
        <w:t xml:space="preserve"> at preventing potential threats rather than punishing past acts; and in this manner i</w:t>
      </w:r>
      <w:r w:rsidR="0025593A">
        <w:t>t introduces a system of control</w:t>
      </w:r>
      <w:r w:rsidR="00C326A7" w:rsidRPr="009E6243">
        <w:t xml:space="preserve"> based on the creation of suspect or undesirable individuals on the basis of ongoing risk assessment.</w:t>
      </w:r>
      <w:r w:rsidR="00C326A7" w:rsidRPr="000D0DC0">
        <w:rPr>
          <w:rStyle w:val="FootnoteReference"/>
        </w:rPr>
        <w:footnoteReference w:id="5"/>
      </w:r>
      <w:r w:rsidR="00C324F3">
        <w:t xml:space="preserve"> </w:t>
      </w:r>
      <w:r w:rsidR="00CB64A8" w:rsidRPr="002B5A38">
        <w:t xml:space="preserve">While in the field of criminal law the preventive justice paradigm focuses primarily on the pre-emption of the commission of future criminal offences, in the field of immigration law the paradigm aims at preventing access of migrants to the territorial borders of states, and the external border of the European Union, and ultimately preventing access to law. </w:t>
      </w:r>
      <w:r w:rsidR="00C324F3" w:rsidRPr="002B5A38">
        <w:t>In the process</w:t>
      </w:r>
      <w:r w:rsidR="00C326A7" w:rsidRPr="002B5A38">
        <w:t xml:space="preserve"> of the externalisation of immigration control, the preventive justice paradigm</w:t>
      </w:r>
      <w:r w:rsidRPr="002B5A38">
        <w:t xml:space="preserve"> </w:t>
      </w:r>
      <w:r w:rsidR="00C324F3" w:rsidRPr="002B5A38">
        <w:t>expresses itself</w:t>
      </w:r>
      <w:r w:rsidR="00C326A7" w:rsidRPr="002B5A38">
        <w:t xml:space="preserve"> in a number of profound change</w:t>
      </w:r>
      <w:r w:rsidR="00405BAC" w:rsidRPr="002B5A38">
        <w:t>s</w:t>
      </w:r>
      <w:r w:rsidR="00C326A7" w:rsidRPr="002B5A38">
        <w:t xml:space="preserve"> in the law of the border itself.</w:t>
      </w:r>
      <w:r w:rsidR="00C326A7" w:rsidRPr="002B5A38">
        <w:rPr>
          <w:rStyle w:val="FootnoteReference"/>
        </w:rPr>
        <w:footnoteReference w:id="6"/>
      </w:r>
      <w:r w:rsidR="0025593A" w:rsidRPr="002B5A38">
        <w:t xml:space="preserve"> A key element of this paradigmatic shift is the exclusion from the territory and from legal safeguards of third country nationals - generating thus a paradigm of preventive injustice</w:t>
      </w:r>
      <w:r w:rsidR="00CB64A8" w:rsidRPr="002B5A38">
        <w:t>, which is premised upon the denial of the rule of law towards migrants.</w:t>
      </w:r>
    </w:p>
    <w:p w:rsidR="00C326A7" w:rsidRDefault="00405BAC" w:rsidP="00C326A7">
      <w:pPr>
        <w:jc w:val="both"/>
        <w:rPr>
          <w:rFonts w:ascii="Times New Roman" w:hAnsi="Times New Roman" w:cs="Times New Roman"/>
          <w:sz w:val="24"/>
          <w:szCs w:val="24"/>
        </w:rPr>
      </w:pPr>
      <w:r w:rsidRPr="002B5A38">
        <w:rPr>
          <w:rFonts w:ascii="Times New Roman" w:hAnsi="Times New Roman" w:cs="Times New Roman"/>
          <w:sz w:val="24"/>
          <w:szCs w:val="24"/>
        </w:rPr>
        <w:t>The aim of the pre</w:t>
      </w:r>
      <w:r w:rsidR="00DC549A" w:rsidRPr="002B5A38">
        <w:rPr>
          <w:rFonts w:ascii="Times New Roman" w:hAnsi="Times New Roman" w:cs="Times New Roman"/>
          <w:sz w:val="24"/>
          <w:szCs w:val="24"/>
        </w:rPr>
        <w:t>sent article is to fill a gap in</w:t>
      </w:r>
      <w:r w:rsidRPr="002B5A38">
        <w:rPr>
          <w:rFonts w:ascii="Times New Roman" w:hAnsi="Times New Roman" w:cs="Times New Roman"/>
          <w:sz w:val="24"/>
          <w:szCs w:val="24"/>
        </w:rPr>
        <w:t xml:space="preserve"> the</w:t>
      </w:r>
      <w:r>
        <w:rPr>
          <w:rFonts w:ascii="Times New Roman" w:hAnsi="Times New Roman" w:cs="Times New Roman"/>
          <w:sz w:val="24"/>
          <w:szCs w:val="24"/>
        </w:rPr>
        <w:t xml:space="preserve"> literature on the externalisation of immigration control by focusing</w:t>
      </w:r>
      <w:r w:rsidR="00DC549A">
        <w:rPr>
          <w:rFonts w:ascii="Times New Roman" w:hAnsi="Times New Roman" w:cs="Times New Roman"/>
          <w:sz w:val="24"/>
          <w:szCs w:val="24"/>
        </w:rPr>
        <w:t xml:space="preserve"> systematically</w:t>
      </w:r>
      <w:r>
        <w:rPr>
          <w:rFonts w:ascii="Times New Roman" w:hAnsi="Times New Roman" w:cs="Times New Roman"/>
          <w:sz w:val="24"/>
          <w:szCs w:val="24"/>
        </w:rPr>
        <w:t xml:space="preserve"> not on</w:t>
      </w:r>
      <w:r w:rsidR="00DC549A">
        <w:rPr>
          <w:rFonts w:ascii="Times New Roman" w:hAnsi="Times New Roman" w:cs="Times New Roman"/>
          <w:sz w:val="24"/>
          <w:szCs w:val="24"/>
        </w:rPr>
        <w:t xml:space="preserve"> practices of</w:t>
      </w:r>
      <w:r>
        <w:rPr>
          <w:rFonts w:ascii="Times New Roman" w:hAnsi="Times New Roman" w:cs="Times New Roman"/>
          <w:sz w:val="24"/>
          <w:szCs w:val="24"/>
        </w:rPr>
        <w:t xml:space="preserve"> extraterritorial imm</w:t>
      </w:r>
      <w:r w:rsidR="00DC549A">
        <w:rPr>
          <w:rFonts w:ascii="Times New Roman" w:hAnsi="Times New Roman" w:cs="Times New Roman"/>
          <w:sz w:val="24"/>
          <w:szCs w:val="24"/>
        </w:rPr>
        <w:t xml:space="preserve">igration control but on the externalisation of immigration control </w:t>
      </w:r>
      <w:r w:rsidR="00DC549A" w:rsidRPr="00DC549A">
        <w:rPr>
          <w:rFonts w:ascii="Times New Roman" w:hAnsi="Times New Roman" w:cs="Times New Roman"/>
          <w:i/>
          <w:sz w:val="24"/>
          <w:szCs w:val="24"/>
        </w:rPr>
        <w:t>at</w:t>
      </w:r>
      <w:r w:rsidR="00DC549A">
        <w:rPr>
          <w:rFonts w:ascii="Times New Roman" w:hAnsi="Times New Roman" w:cs="Times New Roman"/>
          <w:sz w:val="24"/>
          <w:szCs w:val="24"/>
        </w:rPr>
        <w:t xml:space="preserve"> the EU </w:t>
      </w:r>
      <w:r>
        <w:rPr>
          <w:rFonts w:ascii="Times New Roman" w:hAnsi="Times New Roman" w:cs="Times New Roman"/>
          <w:sz w:val="24"/>
          <w:szCs w:val="24"/>
        </w:rPr>
        <w:t>external border. The article will provide a taxonomy of the transformation of the EU external border into a site of preventive</w:t>
      </w:r>
      <w:r w:rsidR="000C69B3">
        <w:rPr>
          <w:rFonts w:ascii="Times New Roman" w:hAnsi="Times New Roman" w:cs="Times New Roman"/>
          <w:sz w:val="24"/>
          <w:szCs w:val="24"/>
        </w:rPr>
        <w:t xml:space="preserve"> (</w:t>
      </w:r>
      <w:r>
        <w:rPr>
          <w:rFonts w:ascii="Times New Roman" w:hAnsi="Times New Roman" w:cs="Times New Roman"/>
          <w:sz w:val="24"/>
          <w:szCs w:val="24"/>
        </w:rPr>
        <w:t xml:space="preserve">in)justice, through efforts by Member States and the European Union to prevent third country nationals’ access to territory and access to law even when they have </w:t>
      </w:r>
      <w:r w:rsidR="00DC549A">
        <w:rPr>
          <w:rFonts w:ascii="Times New Roman" w:hAnsi="Times New Roman" w:cs="Times New Roman"/>
          <w:sz w:val="24"/>
          <w:szCs w:val="24"/>
        </w:rPr>
        <w:t xml:space="preserve">superseded obstacles of extraterritorial immigration control and </w:t>
      </w:r>
      <w:r>
        <w:rPr>
          <w:rFonts w:ascii="Times New Roman" w:hAnsi="Times New Roman" w:cs="Times New Roman"/>
          <w:sz w:val="24"/>
          <w:szCs w:val="24"/>
        </w:rPr>
        <w:t>managed to reach the EU external border</w:t>
      </w:r>
      <w:r w:rsidR="00DC549A">
        <w:rPr>
          <w:rFonts w:ascii="Times New Roman" w:hAnsi="Times New Roman" w:cs="Times New Roman"/>
          <w:sz w:val="24"/>
          <w:szCs w:val="24"/>
        </w:rPr>
        <w:t xml:space="preserve"> in the first place</w:t>
      </w:r>
      <w:r>
        <w:rPr>
          <w:rFonts w:ascii="Times New Roman" w:hAnsi="Times New Roman" w:cs="Times New Roman"/>
          <w:sz w:val="24"/>
          <w:szCs w:val="24"/>
        </w:rPr>
        <w:t>. The article will examine four parallel and inter-related trends of preventive (in)justice on the border: pushbacks, and their handling by judicial authorities and EU institutions and agencies</w:t>
      </w:r>
      <w:r w:rsidR="0025593A">
        <w:rPr>
          <w:rFonts w:ascii="Times New Roman" w:hAnsi="Times New Roman" w:cs="Times New Roman"/>
          <w:sz w:val="24"/>
          <w:szCs w:val="24"/>
        </w:rPr>
        <w:t xml:space="preserve"> (section 2)</w:t>
      </w:r>
      <w:r>
        <w:rPr>
          <w:rFonts w:ascii="Times New Roman" w:hAnsi="Times New Roman" w:cs="Times New Roman"/>
          <w:sz w:val="24"/>
          <w:szCs w:val="24"/>
        </w:rPr>
        <w:t xml:space="preserve">; the emerging framework of the </w:t>
      </w:r>
      <w:proofErr w:type="spellStart"/>
      <w:r>
        <w:rPr>
          <w:rFonts w:ascii="Times New Roman" w:hAnsi="Times New Roman" w:cs="Times New Roman"/>
          <w:sz w:val="24"/>
          <w:szCs w:val="24"/>
        </w:rPr>
        <w:t>instrumentalisation</w:t>
      </w:r>
      <w:proofErr w:type="spellEnd"/>
      <w:r>
        <w:rPr>
          <w:rFonts w:ascii="Times New Roman" w:hAnsi="Times New Roman" w:cs="Times New Roman"/>
          <w:sz w:val="24"/>
          <w:szCs w:val="24"/>
        </w:rPr>
        <w:t xml:space="preserve"> of migration; the normalisation of border procedures based on the fiction of ‘non-entry</w:t>
      </w:r>
      <w:proofErr w:type="gramStart"/>
      <w:r>
        <w:rPr>
          <w:rFonts w:ascii="Times New Roman" w:hAnsi="Times New Roman" w:cs="Times New Roman"/>
          <w:sz w:val="24"/>
          <w:szCs w:val="24"/>
        </w:rPr>
        <w:t>’</w:t>
      </w:r>
      <w:r w:rsidR="0025593A">
        <w:rPr>
          <w:rFonts w:ascii="Times New Roman" w:hAnsi="Times New Roman" w:cs="Times New Roman"/>
          <w:sz w:val="24"/>
          <w:szCs w:val="24"/>
        </w:rPr>
        <w:t>(</w:t>
      </w:r>
      <w:proofErr w:type="gramEnd"/>
      <w:r w:rsidR="0025593A">
        <w:rPr>
          <w:rFonts w:ascii="Times New Roman" w:hAnsi="Times New Roman" w:cs="Times New Roman"/>
          <w:sz w:val="24"/>
          <w:szCs w:val="24"/>
        </w:rPr>
        <w:t>section 3)</w:t>
      </w:r>
      <w:r>
        <w:rPr>
          <w:rFonts w:ascii="Times New Roman" w:hAnsi="Times New Roman" w:cs="Times New Roman"/>
          <w:sz w:val="24"/>
          <w:szCs w:val="24"/>
        </w:rPr>
        <w:t xml:space="preserve"> and detention of third country nationals at the border, to back up non-entry policies</w:t>
      </w:r>
      <w:r w:rsidR="0025593A">
        <w:rPr>
          <w:rFonts w:ascii="Times New Roman" w:hAnsi="Times New Roman" w:cs="Times New Roman"/>
          <w:sz w:val="24"/>
          <w:szCs w:val="24"/>
        </w:rPr>
        <w:t xml:space="preserve"> (section 4)</w:t>
      </w:r>
      <w:r>
        <w:rPr>
          <w:rFonts w:ascii="Times New Roman" w:hAnsi="Times New Roman" w:cs="Times New Roman"/>
          <w:sz w:val="24"/>
          <w:szCs w:val="24"/>
        </w:rPr>
        <w:t>. The article will evaluate critically the consequences of this emerging paradigm of externalisation for well-established principles of primary and secondary EU law and highlight the rule of law deficit exte</w:t>
      </w:r>
      <w:r w:rsidR="0025593A">
        <w:rPr>
          <w:rFonts w:ascii="Times New Roman" w:hAnsi="Times New Roman" w:cs="Times New Roman"/>
          <w:sz w:val="24"/>
          <w:szCs w:val="24"/>
        </w:rPr>
        <w:t>rnalisation at the border entail</w:t>
      </w:r>
      <w:r>
        <w:rPr>
          <w:rFonts w:ascii="Times New Roman" w:hAnsi="Times New Roman" w:cs="Times New Roman"/>
          <w:sz w:val="24"/>
          <w:szCs w:val="24"/>
        </w:rPr>
        <w:t>s.</w:t>
      </w:r>
    </w:p>
    <w:p w:rsidR="00B84222" w:rsidRDefault="00B84222" w:rsidP="00C326A7">
      <w:pPr>
        <w:jc w:val="both"/>
        <w:rPr>
          <w:rFonts w:ascii="Times New Roman" w:hAnsi="Times New Roman" w:cs="Times New Roman"/>
          <w:sz w:val="24"/>
          <w:szCs w:val="24"/>
        </w:rPr>
      </w:pPr>
    </w:p>
    <w:p w:rsidR="00C326A7" w:rsidRDefault="00C326A7" w:rsidP="00C326A7">
      <w:pPr>
        <w:pStyle w:val="NormalWeb"/>
        <w:jc w:val="both"/>
        <w:rPr>
          <w:b/>
          <w:color w:val="000000"/>
        </w:rPr>
      </w:pPr>
    </w:p>
    <w:p w:rsidR="001956C2" w:rsidRDefault="003E31F4" w:rsidP="00405BAC">
      <w:pPr>
        <w:pStyle w:val="NormalWeb"/>
        <w:numPr>
          <w:ilvl w:val="0"/>
          <w:numId w:val="4"/>
        </w:numPr>
        <w:jc w:val="center"/>
        <w:rPr>
          <w:b/>
          <w:color w:val="000000"/>
        </w:rPr>
      </w:pPr>
      <w:r>
        <w:rPr>
          <w:b/>
          <w:color w:val="000000"/>
        </w:rPr>
        <w:t xml:space="preserve">Preventive (In)Justice as </w:t>
      </w:r>
      <w:r w:rsidR="00E266A7">
        <w:rPr>
          <w:b/>
          <w:color w:val="000000"/>
        </w:rPr>
        <w:t>Denial of Law</w:t>
      </w:r>
      <w:r>
        <w:rPr>
          <w:b/>
          <w:color w:val="000000"/>
        </w:rPr>
        <w:t xml:space="preserve"> at the Border. Collective Expulsion, Pushbacks and the Role of </w:t>
      </w:r>
      <w:proofErr w:type="spellStart"/>
      <w:r>
        <w:rPr>
          <w:b/>
          <w:color w:val="000000"/>
        </w:rPr>
        <w:t>Frontex</w:t>
      </w:r>
      <w:proofErr w:type="spellEnd"/>
    </w:p>
    <w:p w:rsidR="001956C2" w:rsidRPr="00037BDD" w:rsidRDefault="001956C2" w:rsidP="001956C2">
      <w:pPr>
        <w:pStyle w:val="NormalWeb"/>
        <w:jc w:val="both"/>
        <w:rPr>
          <w:color w:val="000000"/>
        </w:rPr>
      </w:pPr>
      <w:r>
        <w:rPr>
          <w:color w:val="000000"/>
        </w:rPr>
        <w:t>A key example of preventive injustice at the border includes</w:t>
      </w:r>
      <w:r w:rsidR="00A218DA">
        <w:rPr>
          <w:color w:val="000000"/>
        </w:rPr>
        <w:t xml:space="preserve"> the exclusion of third country nationals who have reached the external border or the te</w:t>
      </w:r>
      <w:r w:rsidR="00F03CF2">
        <w:rPr>
          <w:color w:val="000000"/>
        </w:rPr>
        <w:t>rritory of EU Member States fro</w:t>
      </w:r>
      <w:r w:rsidR="00A218DA">
        <w:rPr>
          <w:color w:val="000000"/>
        </w:rPr>
        <w:t>m the application of EU law, including EU asyl</w:t>
      </w:r>
      <w:r w:rsidR="00F03CF2">
        <w:rPr>
          <w:color w:val="000000"/>
        </w:rPr>
        <w:t>um law. This trend is manifested</w:t>
      </w:r>
      <w:r w:rsidR="001241F6">
        <w:rPr>
          <w:color w:val="000000"/>
        </w:rPr>
        <w:t xml:space="preserve"> clearly</w:t>
      </w:r>
      <w:r w:rsidR="00A218DA">
        <w:rPr>
          <w:color w:val="000000"/>
        </w:rPr>
        <w:t xml:space="preserve"> by</w:t>
      </w:r>
      <w:r>
        <w:rPr>
          <w:color w:val="000000"/>
        </w:rPr>
        <w:t xml:space="preserve"> </w:t>
      </w:r>
      <w:r w:rsidR="00F03CF2">
        <w:rPr>
          <w:color w:val="000000"/>
        </w:rPr>
        <w:t>the growing state practice of p</w:t>
      </w:r>
      <w:r>
        <w:rPr>
          <w:color w:val="000000"/>
        </w:rPr>
        <w:t>ushba</w:t>
      </w:r>
      <w:r w:rsidR="00F03CF2">
        <w:rPr>
          <w:color w:val="000000"/>
        </w:rPr>
        <w:t>c</w:t>
      </w:r>
      <w:r>
        <w:rPr>
          <w:color w:val="000000"/>
        </w:rPr>
        <w:t xml:space="preserve">ks- defined as </w:t>
      </w:r>
      <w:r w:rsidRPr="006D33C7">
        <w:rPr>
          <w:color w:val="444444"/>
          <w:shd w:val="clear" w:color="auto" w:fill="FFFFFF"/>
        </w:rPr>
        <w:t xml:space="preserve">refusals of entry and expulsions without any </w:t>
      </w:r>
      <w:r w:rsidRPr="006D33C7">
        <w:rPr>
          <w:color w:val="444444"/>
          <w:shd w:val="clear" w:color="auto" w:fill="FFFFFF"/>
        </w:rPr>
        <w:lastRenderedPageBreak/>
        <w:t>individual assessment of protection needs</w:t>
      </w:r>
      <w:r>
        <w:rPr>
          <w:color w:val="444444"/>
          <w:shd w:val="clear" w:color="auto" w:fill="FFFFFF"/>
        </w:rPr>
        <w:t>.</w:t>
      </w:r>
      <w:r>
        <w:rPr>
          <w:rStyle w:val="FootnoteReference"/>
          <w:color w:val="444444"/>
          <w:shd w:val="clear" w:color="auto" w:fill="FFFFFF"/>
        </w:rPr>
        <w:footnoteReference w:id="7"/>
      </w:r>
      <w:r>
        <w:rPr>
          <w:color w:val="444444"/>
          <w:shd w:val="clear" w:color="auto" w:fill="FFFFFF"/>
        </w:rPr>
        <w:t xml:space="preserve"> Pushback practices are being normalised</w:t>
      </w:r>
      <w:r>
        <w:rPr>
          <w:rStyle w:val="FootnoteReference"/>
          <w:color w:val="444444"/>
          <w:shd w:val="clear" w:color="auto" w:fill="FFFFFF"/>
        </w:rPr>
        <w:footnoteReference w:id="8"/>
      </w:r>
      <w:r>
        <w:rPr>
          <w:color w:val="444444"/>
          <w:shd w:val="clear" w:color="auto" w:fill="FFFFFF"/>
        </w:rPr>
        <w:t xml:space="preserve"> and are no longer observed exclusively in the context of extraterritorial immigration control,</w:t>
      </w:r>
      <w:r>
        <w:rPr>
          <w:rStyle w:val="FootnoteReference"/>
          <w:color w:val="444444"/>
          <w:shd w:val="clear" w:color="auto" w:fill="FFFFFF"/>
        </w:rPr>
        <w:footnoteReference w:id="9"/>
      </w:r>
      <w:r>
        <w:rPr>
          <w:color w:val="444444"/>
          <w:shd w:val="clear" w:color="auto" w:fill="FFFFFF"/>
        </w:rPr>
        <w:t xml:space="preserve"> but are increasingly documented at the EU external border and within the EU territory.</w:t>
      </w:r>
      <w:r>
        <w:rPr>
          <w:rStyle w:val="FootnoteReference"/>
          <w:color w:val="444444"/>
          <w:shd w:val="clear" w:color="auto" w:fill="FFFFFF"/>
        </w:rPr>
        <w:footnoteReference w:id="10"/>
      </w:r>
      <w:r>
        <w:rPr>
          <w:color w:val="444444"/>
          <w:shd w:val="clear" w:color="auto" w:fill="FFFFFF"/>
        </w:rPr>
        <w:t xml:space="preserve"> They entail essentially a denial of </w:t>
      </w:r>
      <w:r w:rsidR="0025593A">
        <w:rPr>
          <w:color w:val="444444"/>
          <w:shd w:val="clear" w:color="auto" w:fill="FFFFFF"/>
        </w:rPr>
        <w:t>the rule of law towards third country nationals</w:t>
      </w:r>
      <w:r>
        <w:rPr>
          <w:color w:val="444444"/>
          <w:shd w:val="clear" w:color="auto" w:fill="FFFFFF"/>
        </w:rPr>
        <w:t xml:space="preserve">, whose access to the territory is not accompanied by access to law. In this manner, pushbacks challenge a number of fundamental rights, including the right to asylum and the prohibition of </w:t>
      </w:r>
      <w:r>
        <w:rPr>
          <w:rFonts w:ascii="PT Sans" w:hAnsi="PT Sans"/>
          <w:color w:val="000000"/>
          <w:shd w:val="clear" w:color="auto" w:fill="FFFFFF"/>
        </w:rPr>
        <w:t xml:space="preserve"> collective expulsions, which as has been eloquently noted can be seen as a fence prohibiting the expulsion of persons without a minimum examination of each case because only such minimum examination can guarantee that there is no </w:t>
      </w:r>
      <w:r w:rsidRPr="000865F9">
        <w:rPr>
          <w:rFonts w:ascii="PT Sans" w:hAnsi="PT Sans"/>
          <w:i/>
          <w:color w:val="000000"/>
          <w:shd w:val="clear" w:color="auto" w:fill="FFFFFF"/>
        </w:rPr>
        <w:t>refoulement</w:t>
      </w:r>
      <w:r>
        <w:rPr>
          <w:rFonts w:ascii="PT Sans" w:hAnsi="PT Sans"/>
          <w:color w:val="000000"/>
          <w:shd w:val="clear" w:color="auto" w:fill="FFFFFF"/>
        </w:rPr>
        <w:t>.</w:t>
      </w:r>
      <w:r>
        <w:rPr>
          <w:rStyle w:val="FootnoteReference"/>
          <w:rFonts w:ascii="PT Sans" w:hAnsi="PT Sans"/>
          <w:color w:val="000000"/>
          <w:shd w:val="clear" w:color="auto" w:fill="FFFFFF"/>
        </w:rPr>
        <w:footnoteReference w:id="11"/>
      </w:r>
      <w:r>
        <w:rPr>
          <w:rFonts w:ascii="PT Sans" w:hAnsi="PT Sans"/>
          <w:color w:val="000000"/>
          <w:shd w:val="clear" w:color="auto" w:fill="FFFFFF"/>
        </w:rPr>
        <w:t xml:space="preserve"> Yet in spite of the profound negative effect of pushbacks on the rule of law and fundamental rights, we have witnessed recently the trend by the European Court of Human Rights to justify such state practices. </w:t>
      </w:r>
      <w:r w:rsidR="00D80D22">
        <w:rPr>
          <w:rFonts w:ascii="PT Sans" w:hAnsi="PT Sans"/>
          <w:color w:val="000000"/>
          <w:shd w:val="clear" w:color="auto" w:fill="FFFFFF"/>
        </w:rPr>
        <w:t xml:space="preserve">This justification is linked with the negation of the applicability of the law to third country nationals who have reached the external border. </w:t>
      </w:r>
      <w:r>
        <w:rPr>
          <w:rFonts w:ascii="PT Sans" w:hAnsi="PT Sans"/>
          <w:color w:val="000000"/>
          <w:shd w:val="clear" w:color="auto" w:fill="FFFFFF"/>
        </w:rPr>
        <w:t xml:space="preserve">In the case of </w:t>
      </w:r>
      <w:r>
        <w:rPr>
          <w:rFonts w:ascii="PT Sans" w:hAnsi="PT Sans"/>
          <w:i/>
          <w:color w:val="000000"/>
          <w:shd w:val="clear" w:color="auto" w:fill="FFFFFF"/>
        </w:rPr>
        <w:t>ND and NT</w:t>
      </w:r>
      <w:r>
        <w:rPr>
          <w:rStyle w:val="FootnoteReference"/>
          <w:rFonts w:ascii="PT Sans" w:hAnsi="PT Sans"/>
          <w:i/>
          <w:color w:val="000000"/>
          <w:shd w:val="clear" w:color="auto" w:fill="FFFFFF"/>
        </w:rPr>
        <w:footnoteReference w:id="12"/>
      </w:r>
      <w:r>
        <w:rPr>
          <w:rFonts w:ascii="PT Sans" w:hAnsi="PT Sans"/>
          <w:i/>
          <w:color w:val="000000"/>
          <w:shd w:val="clear" w:color="auto" w:fill="FFFFFF"/>
        </w:rPr>
        <w:t xml:space="preserve">  </w:t>
      </w:r>
      <w:r>
        <w:rPr>
          <w:rFonts w:ascii="PT Sans" w:hAnsi="PT Sans"/>
          <w:color w:val="000000"/>
          <w:shd w:val="clear" w:color="auto" w:fill="FFFFFF"/>
        </w:rPr>
        <w:t>the ECtHR found tha</w:t>
      </w:r>
      <w:r w:rsidR="00456F84">
        <w:rPr>
          <w:rFonts w:ascii="PT Sans" w:hAnsi="PT Sans"/>
          <w:color w:val="000000"/>
          <w:shd w:val="clear" w:color="auto" w:fill="FFFFFF"/>
        </w:rPr>
        <w:t>t the expulsion of third country nationals from</w:t>
      </w:r>
      <w:r>
        <w:rPr>
          <w:rFonts w:ascii="PT Sans" w:hAnsi="PT Sans"/>
          <w:color w:val="000000"/>
          <w:shd w:val="clear" w:color="auto" w:fill="FFFFFF"/>
        </w:rPr>
        <w:t xml:space="preserve"> the Spanish land border were not in breach of the Convention. The Court did so by privileging in its reasoning the assessment of whether the migrant’s ‘own conduct’ contributed to </w:t>
      </w:r>
      <w:r w:rsidR="00456F84">
        <w:rPr>
          <w:color w:val="000000"/>
          <w:shd w:val="clear" w:color="auto" w:fill="FFFFFF"/>
        </w:rPr>
        <w:t>how they reached the border</w:t>
      </w:r>
      <w:r w:rsidRPr="008102C4">
        <w:rPr>
          <w:color w:val="000000"/>
          <w:shd w:val="clear" w:color="auto" w:fill="FFFFFF"/>
        </w:rPr>
        <w:t xml:space="preserve">. The Court referred to its earlier case-law according to which </w:t>
      </w:r>
      <w:r w:rsidRPr="008102C4">
        <w:t xml:space="preserve">the applicant’s own conduct is a relevant factor in assessing the protection to be afforded under Article 4 of Protocol No. 4. </w:t>
      </w:r>
      <w:r w:rsidRPr="008102C4">
        <w:rPr>
          <w:rStyle w:val="FootnoteReference"/>
        </w:rPr>
        <w:footnoteReference w:id="13"/>
      </w:r>
      <w:r>
        <w:t xml:space="preserve"> In a key paragraph, the Strasbourg Court stated that:</w:t>
      </w:r>
    </w:p>
    <w:p w:rsidR="001956C2" w:rsidRPr="00C04F1D" w:rsidRDefault="001956C2" w:rsidP="001956C2">
      <w:pPr>
        <w:jc w:val="both"/>
        <w:rPr>
          <w:rFonts w:ascii="Times New Roman" w:hAnsi="Times New Roman" w:cs="Times New Roman"/>
          <w:sz w:val="24"/>
          <w:szCs w:val="24"/>
        </w:rPr>
      </w:pPr>
      <w:r w:rsidRPr="00C04F1D">
        <w:rPr>
          <w:rFonts w:ascii="Times New Roman" w:hAnsi="Times New Roman" w:cs="Times New Roman"/>
          <w:sz w:val="24"/>
          <w:szCs w:val="24"/>
        </w:rPr>
        <w:t xml:space="preserve">‘In the Court’s view, the same principle must also apply to situations in which the conduct of persons who cross a land border in an unauthorised manner, deliberately take advantage of their large numbers and use force, is such as to create a clearly disruptive situation which is difficult to control and endangers public safety. In this context, however, in assessing a complaint under Article 4 of Protocol No. 4, the Court will importantly take account of whether, in the circumstances of the particular case, the respondent State provided genuine and effective access to means of legal entry, in particular border procedures. Where the respondent State provided such access but an applicant did not make use of it, the Court will consider, in the present context and without prejudice to the application of Articles 2 and 3, whether there </w:t>
      </w:r>
      <w:r w:rsidRPr="00C04F1D">
        <w:rPr>
          <w:rFonts w:ascii="Times New Roman" w:hAnsi="Times New Roman" w:cs="Times New Roman"/>
          <w:sz w:val="24"/>
          <w:szCs w:val="24"/>
        </w:rPr>
        <w:lastRenderedPageBreak/>
        <w:t>were cogent reasons not to do so which were based on objective facts for which the respondent State was responsible.’’</w:t>
      </w:r>
      <w:r w:rsidRPr="00C04F1D">
        <w:rPr>
          <w:rStyle w:val="FootnoteReference"/>
          <w:rFonts w:ascii="Times New Roman" w:hAnsi="Times New Roman" w:cs="Times New Roman"/>
          <w:sz w:val="24"/>
          <w:szCs w:val="24"/>
        </w:rPr>
        <w:footnoteReference w:id="14"/>
      </w:r>
    </w:p>
    <w:p w:rsidR="001956C2" w:rsidRDefault="001241F6" w:rsidP="001956C2">
      <w:pPr>
        <w:pStyle w:val="NormalWeb"/>
        <w:jc w:val="both"/>
      </w:pPr>
      <w:r>
        <w:rPr>
          <w:color w:val="000000"/>
        </w:rPr>
        <w:t>The Court’</w:t>
      </w:r>
      <w:r w:rsidR="001956C2">
        <w:rPr>
          <w:color w:val="000000"/>
        </w:rPr>
        <w:t>s reasoning is highly problematic. It reverses the power asymmetry between the state and the migrant by claiming that states are threatened by collective migrant violence. This rhetoric goes beyond a mere securitisation of migration and views, in an unsubstantiated and exaggerated manner, migrants as a direct threat to state stability. This securitisation and militarisation of migration fuels further attempts to limit access to the rule of law through the contamination of the legal discourse by nebulous concepts such as the ‘</w:t>
      </w:r>
      <w:proofErr w:type="spellStart"/>
      <w:r w:rsidR="001956C2">
        <w:rPr>
          <w:color w:val="000000"/>
        </w:rPr>
        <w:t>instrumentalisation</w:t>
      </w:r>
      <w:proofErr w:type="spellEnd"/>
      <w:r w:rsidR="001956C2">
        <w:rPr>
          <w:color w:val="000000"/>
        </w:rPr>
        <w:t>’ of migration.</w:t>
      </w:r>
      <w:r w:rsidR="001956C2">
        <w:rPr>
          <w:rStyle w:val="FootnoteReference"/>
          <w:color w:val="000000"/>
        </w:rPr>
        <w:footnoteReference w:id="15"/>
      </w:r>
      <w:r w:rsidR="001956C2">
        <w:rPr>
          <w:color w:val="000000"/>
        </w:rPr>
        <w:t xml:space="preserve">  Crucially, by over-emphasising the significance of migrants’ ‘own conduct’ the Court’s discourse reveals again the strength of the preventive paradigm based on the concept of the ‘good’ and the ‘deserving’ migrant who will not abuse the system</w:t>
      </w:r>
      <w:r w:rsidR="001956C2">
        <w:rPr>
          <w:rStyle w:val="FootnoteReference"/>
          <w:color w:val="000000"/>
        </w:rPr>
        <w:footnoteReference w:id="16"/>
      </w:r>
      <w:r w:rsidR="001956C2">
        <w:rPr>
          <w:color w:val="000000"/>
        </w:rPr>
        <w:t>- only in this case probity is to be proven not by having a claim to asylum, or by submitted an asylum application (whose possibility is essentially denied by pushbacks), but by accessing the border in specifically designated points by states- where access to the territory is becoming more and more difficult through the establishment of transit zones and border procedures.</w:t>
      </w:r>
      <w:r w:rsidR="001956C2">
        <w:rPr>
          <w:rStyle w:val="FootnoteReference"/>
          <w:color w:val="000000"/>
        </w:rPr>
        <w:footnoteReference w:id="17"/>
      </w:r>
      <w:r w:rsidR="001956C2">
        <w:rPr>
          <w:color w:val="000000"/>
        </w:rPr>
        <w:t xml:space="preserve"> The Strasbourg Court attempts to balance its suspicion towards migrants with a requirement to states to provide genuine and effective access to legal entry, a requirement which appears to disregard current reality.</w:t>
      </w:r>
      <w:r w:rsidR="001956C2">
        <w:rPr>
          <w:rStyle w:val="FootnoteReference"/>
          <w:color w:val="000000"/>
        </w:rPr>
        <w:footnoteReference w:id="18"/>
      </w:r>
      <w:r w:rsidR="001956C2">
        <w:rPr>
          <w:color w:val="000000"/>
        </w:rPr>
        <w:t xml:space="preserve"> In subsequent case-law, the Strasbourg Court found that pushbacks by Poland and Hungary were in breach of the prohibition of collective expulsion as they did not result from the migrants’ ‘own conduct’</w:t>
      </w:r>
      <w:r w:rsidR="001956C2">
        <w:rPr>
          <w:rStyle w:val="FootnoteReference"/>
          <w:color w:val="000000"/>
        </w:rPr>
        <w:footnoteReference w:id="19"/>
      </w:r>
      <w:r w:rsidR="001956C2">
        <w:rPr>
          <w:color w:val="000000"/>
        </w:rPr>
        <w:t xml:space="preserve"> and as individuals were denied a genuine and </w:t>
      </w:r>
      <w:r w:rsidR="001956C2">
        <w:rPr>
          <w:color w:val="000000"/>
        </w:rPr>
        <w:lastRenderedPageBreak/>
        <w:t>effective opportunity to seek protection</w:t>
      </w:r>
      <w:r w:rsidR="001956C2">
        <w:rPr>
          <w:rStyle w:val="FootnoteReference"/>
          <w:color w:val="000000"/>
        </w:rPr>
        <w:footnoteReference w:id="20"/>
      </w:r>
      <w:r w:rsidR="001956C2">
        <w:rPr>
          <w:color w:val="000000"/>
        </w:rPr>
        <w:t xml:space="preserve">- while it also confirmed that irregular entry as such </w:t>
      </w:r>
      <w:r w:rsidR="001956C2" w:rsidRPr="009B3539">
        <w:t>did not preclude the applicability of Article 4 of Protocol No. 4 of the Convention.</w:t>
      </w:r>
      <w:r w:rsidR="001956C2">
        <w:rPr>
          <w:rStyle w:val="FootnoteReference"/>
        </w:rPr>
        <w:footnoteReference w:id="21"/>
      </w:r>
      <w:r w:rsidR="001956C2">
        <w:t xml:space="preserve"> </w:t>
      </w:r>
    </w:p>
    <w:p w:rsidR="001956C2" w:rsidRDefault="001956C2" w:rsidP="001956C2">
      <w:pPr>
        <w:pStyle w:val="NormalWeb"/>
        <w:jc w:val="both"/>
        <w:rPr>
          <w:rStyle w:val="s68f5eaef"/>
          <w:color w:val="000000"/>
          <w:shd w:val="clear" w:color="auto" w:fill="FFFFFF"/>
        </w:rPr>
      </w:pPr>
      <w:r>
        <w:t>In spite of these attempts to clarify and nuance its jurisprudence, the ECtHR ‘own conduct’ test in ND and NT remains applicable. This has been confirmed in the recent ruling of AA and Others v North Macedonia.</w:t>
      </w:r>
      <w:r>
        <w:rPr>
          <w:rStyle w:val="FootnoteReference"/>
        </w:rPr>
        <w:footnoteReference w:id="22"/>
      </w:r>
      <w:r>
        <w:t xml:space="preserve"> In its ruling, the Strasbourg Court applied ND and NT and again found that there was no case of collective expulsion. </w:t>
      </w:r>
      <w:r w:rsidRPr="00123B94">
        <w:t xml:space="preserve">The Court added here another element to the ‘bad character’ of the migrant- namely that </w:t>
      </w:r>
      <w:r w:rsidRPr="00123B94">
        <w:rPr>
          <w:rStyle w:val="s68f5eaef"/>
          <w:color w:val="000000"/>
          <w:shd w:val="clear" w:color="auto" w:fill="FFFFFF"/>
        </w:rPr>
        <w:t>that the applicants had not been interested in applying for asylum in the respondent State, but had rather been interested only in transiting through it.</w:t>
      </w:r>
      <w:r w:rsidRPr="00123B94">
        <w:rPr>
          <w:rStyle w:val="FootnoteReference"/>
          <w:color w:val="000000"/>
          <w:shd w:val="clear" w:color="auto" w:fill="FFFFFF"/>
        </w:rPr>
        <w:footnoteReference w:id="23"/>
      </w:r>
      <w:r w:rsidRPr="00123B94">
        <w:rPr>
          <w:rStyle w:val="s68f5eaef"/>
          <w:color w:val="000000"/>
          <w:shd w:val="clear" w:color="auto" w:fill="FFFFFF"/>
        </w:rPr>
        <w:t xml:space="preserve"> The Court ignored reports and concerns regarding pushbacks, and found that ‘, ‘in spite of some shortcomings in the asylum procedure and reported pushbacks’ it was not convinced that the respondent State failed to provide genuine and effective access to procedures for legal entry into North Macedonia.</w:t>
      </w:r>
      <w:r w:rsidRPr="00123B94">
        <w:rPr>
          <w:rStyle w:val="FootnoteReference"/>
          <w:color w:val="000000"/>
          <w:shd w:val="clear" w:color="auto" w:fill="FFFFFF"/>
        </w:rPr>
        <w:footnoteReference w:id="24"/>
      </w:r>
      <w:r w:rsidRPr="00123B94">
        <w:rPr>
          <w:rStyle w:val="s68f5eaef"/>
          <w:color w:val="000000"/>
          <w:shd w:val="clear" w:color="auto" w:fill="FFFFFF"/>
        </w:rPr>
        <w:t xml:space="preserve"> Denial of access to the rule of law was the migrants’ fault: it was in fact the applicants who placed themselves in jeopardy by participating in the illegal entry onto Macedonian territory taking advantage of the group’s large numbers;  they did not make use of the existing legal procedures for gaining lawful entry to Macedonian territory, thus the lack of individual removal decisions can be attributed to the fact that the applicants, if they indeed wished to assert rights under the Convention, did not make use of the official entry procedures existing for that purpose, and was thus a consequence of their own conduct. </w:t>
      </w:r>
      <w:r w:rsidRPr="00123B94">
        <w:rPr>
          <w:rStyle w:val="FootnoteReference"/>
          <w:color w:val="000000"/>
          <w:shd w:val="clear" w:color="auto" w:fill="FFFFFF"/>
        </w:rPr>
        <w:footnoteReference w:id="25"/>
      </w:r>
      <w:r w:rsidRPr="00123B94">
        <w:rPr>
          <w:rStyle w:val="s68f5eaef"/>
          <w:color w:val="000000"/>
          <w:shd w:val="clear" w:color="auto" w:fill="FFFFFF"/>
        </w:rPr>
        <w:t xml:space="preserve"> The exclusionary spirit of ND and NT is thus alive and well.</w:t>
      </w:r>
    </w:p>
    <w:p w:rsidR="00D80D22" w:rsidRDefault="001956C2" w:rsidP="001956C2">
      <w:pPr>
        <w:jc w:val="both"/>
        <w:rPr>
          <w:rFonts w:ascii="Times New Roman" w:hAnsi="Times New Roman" w:cs="Times New Roman"/>
          <w:sz w:val="24"/>
          <w:szCs w:val="24"/>
        </w:rPr>
      </w:pPr>
      <w:r w:rsidRPr="004524CE">
        <w:rPr>
          <w:rStyle w:val="s68f5eaef"/>
          <w:rFonts w:ascii="Times New Roman" w:hAnsi="Times New Roman" w:cs="Times New Roman"/>
          <w:color w:val="000000"/>
          <w:sz w:val="24"/>
          <w:szCs w:val="24"/>
          <w:shd w:val="clear" w:color="auto" w:fill="FFFFFF"/>
        </w:rPr>
        <w:t>The approach of the Strasbourg Court sits uneasily with EU law.</w:t>
      </w:r>
      <w:r w:rsidRPr="004524CE">
        <w:rPr>
          <w:rStyle w:val="FootnoteReference"/>
          <w:rFonts w:ascii="Times New Roman" w:hAnsi="Times New Roman" w:cs="Times New Roman"/>
          <w:color w:val="000000"/>
          <w:sz w:val="24"/>
          <w:szCs w:val="24"/>
          <w:shd w:val="clear" w:color="auto" w:fill="FFFFFF"/>
        </w:rPr>
        <w:footnoteReference w:id="26"/>
      </w:r>
      <w:r w:rsidRPr="004524CE">
        <w:rPr>
          <w:rStyle w:val="s68f5eaef"/>
          <w:rFonts w:ascii="Times New Roman" w:hAnsi="Times New Roman" w:cs="Times New Roman"/>
          <w:color w:val="000000"/>
          <w:sz w:val="24"/>
          <w:szCs w:val="24"/>
          <w:shd w:val="clear" w:color="auto" w:fill="FFFFFF"/>
        </w:rPr>
        <w:t xml:space="preserve"> </w:t>
      </w:r>
      <w:r w:rsidR="00D80D22">
        <w:rPr>
          <w:rStyle w:val="s68f5eaef"/>
          <w:rFonts w:ascii="Times New Roman" w:hAnsi="Times New Roman" w:cs="Times New Roman"/>
          <w:color w:val="000000"/>
          <w:sz w:val="24"/>
          <w:szCs w:val="24"/>
          <w:shd w:val="clear" w:color="auto" w:fill="FFFFFF"/>
        </w:rPr>
        <w:t xml:space="preserve">The Strasbourg case-law justifies the non-applicability of the law to third country nationals who have reached the EU external border and thus enables the further removal of third country nationals from the territory of the Union including through collective expulsion and pushbacks. </w:t>
      </w:r>
      <w:r w:rsidRPr="004524CE">
        <w:rPr>
          <w:rStyle w:val="s68f5eaef"/>
          <w:rFonts w:ascii="Times New Roman" w:hAnsi="Times New Roman" w:cs="Times New Roman"/>
          <w:color w:val="000000"/>
          <w:sz w:val="24"/>
          <w:szCs w:val="24"/>
          <w:shd w:val="clear" w:color="auto" w:fill="FFFFFF"/>
        </w:rPr>
        <w:t xml:space="preserve">Pushbacks constitute a direct challenge to the rule of law, and render access to asylum illusory. State practices on pushbacks thus challenge a number of key provisions of both primary and </w:t>
      </w:r>
      <w:r w:rsidRPr="004524CE">
        <w:rPr>
          <w:rStyle w:val="s68f5eaef"/>
          <w:rFonts w:ascii="Times New Roman" w:hAnsi="Times New Roman" w:cs="Times New Roman"/>
          <w:color w:val="000000"/>
          <w:sz w:val="24"/>
          <w:szCs w:val="24"/>
          <w:shd w:val="clear" w:color="auto" w:fill="FFFFFF"/>
        </w:rPr>
        <w:lastRenderedPageBreak/>
        <w:t>secondary EU law.</w:t>
      </w:r>
      <w:r w:rsidRPr="004524CE">
        <w:rPr>
          <w:rStyle w:val="FootnoteReference"/>
          <w:rFonts w:ascii="Times New Roman" w:hAnsi="Times New Roman" w:cs="Times New Roman"/>
          <w:color w:val="000000"/>
          <w:sz w:val="24"/>
          <w:szCs w:val="24"/>
          <w:shd w:val="clear" w:color="auto" w:fill="FFFFFF"/>
        </w:rPr>
        <w:footnoteReference w:id="27"/>
      </w:r>
      <w:r w:rsidRPr="004524CE">
        <w:rPr>
          <w:rStyle w:val="s68f5eaef"/>
          <w:rFonts w:ascii="Times New Roman" w:hAnsi="Times New Roman" w:cs="Times New Roman"/>
          <w:color w:val="000000"/>
          <w:sz w:val="24"/>
          <w:szCs w:val="24"/>
          <w:shd w:val="clear" w:color="auto" w:fill="FFFFFF"/>
        </w:rPr>
        <w:t xml:space="preserve"> Of greater relevance to the limitation by EU law of the preventive agenda in pushbacks are Articles 18 and 19 of the Charter (on </w:t>
      </w:r>
      <w:r w:rsidRPr="004524CE">
        <w:rPr>
          <w:rFonts w:ascii="Times New Roman" w:hAnsi="Times New Roman" w:cs="Times New Roman"/>
          <w:sz w:val="24"/>
          <w:szCs w:val="24"/>
        </w:rPr>
        <w:t>19 [prohibition of collective expulsions] 18 [right to asylum and non-refoulement]</w:t>
      </w:r>
      <w:r w:rsidRPr="004524CE">
        <w:rPr>
          <w:rStyle w:val="s68f5eaef"/>
          <w:rFonts w:ascii="Times New Roman" w:hAnsi="Times New Roman" w:cs="Times New Roman"/>
          <w:color w:val="000000"/>
          <w:sz w:val="24"/>
          <w:szCs w:val="24"/>
          <w:shd w:val="clear" w:color="auto" w:fill="FFFFFF"/>
        </w:rPr>
        <w:t>….), Article 78 TFEU [</w:t>
      </w:r>
      <w:r w:rsidRPr="004524CE">
        <w:rPr>
          <w:rFonts w:ascii="Times New Roman" w:hAnsi="Times New Roman" w:cs="Times New Roman"/>
          <w:sz w:val="24"/>
          <w:szCs w:val="24"/>
        </w:rPr>
        <w:t>asylum policy ensuring compliance with the principle of non-refoulement]</w:t>
      </w:r>
      <w:r w:rsidRPr="004524CE">
        <w:rPr>
          <w:rStyle w:val="s68f5eaef"/>
          <w:rFonts w:ascii="Times New Roman" w:hAnsi="Times New Roman" w:cs="Times New Roman"/>
          <w:color w:val="000000"/>
          <w:sz w:val="24"/>
          <w:szCs w:val="24"/>
          <w:shd w:val="clear" w:color="auto" w:fill="FFFFFF"/>
        </w:rPr>
        <w:t>, and a number of provisions of secondary EU law, including in the asylum procedures Directive</w:t>
      </w:r>
      <w:r w:rsidRPr="004524CE">
        <w:rPr>
          <w:rStyle w:val="FootnoteReference"/>
          <w:rFonts w:ascii="Times New Roman" w:hAnsi="Times New Roman" w:cs="Times New Roman"/>
          <w:color w:val="000000"/>
          <w:sz w:val="24"/>
          <w:szCs w:val="24"/>
          <w:shd w:val="clear" w:color="auto" w:fill="FFFFFF"/>
        </w:rPr>
        <w:footnoteReference w:id="28"/>
      </w:r>
      <w:r w:rsidRPr="004524CE">
        <w:rPr>
          <w:rStyle w:val="s68f5eaef"/>
          <w:rFonts w:ascii="Times New Roman" w:hAnsi="Times New Roman" w:cs="Times New Roman"/>
          <w:color w:val="000000"/>
          <w:sz w:val="24"/>
          <w:szCs w:val="24"/>
          <w:shd w:val="clear" w:color="auto" w:fill="FFFFFF"/>
        </w:rPr>
        <w:t xml:space="preserve"> and in the Schengen Borders Code- whose application is  </w:t>
      </w:r>
      <w:r w:rsidRPr="004524CE">
        <w:rPr>
          <w:rFonts w:ascii="Times New Roman" w:hAnsi="Times New Roman" w:cs="Times New Roman"/>
          <w:sz w:val="24"/>
          <w:szCs w:val="24"/>
        </w:rPr>
        <w:t>without prejudice to [...] the rights of refugees and persons requesting international protection, in particular as regards non-refoulement.</w:t>
      </w:r>
      <w:r w:rsidRPr="004524CE">
        <w:rPr>
          <w:rStyle w:val="FootnoteReference"/>
          <w:rFonts w:ascii="Times New Roman" w:hAnsi="Times New Roman" w:cs="Times New Roman"/>
          <w:sz w:val="24"/>
          <w:szCs w:val="24"/>
        </w:rPr>
        <w:footnoteReference w:id="29"/>
      </w:r>
      <w:r w:rsidRPr="004524CE">
        <w:rPr>
          <w:rFonts w:ascii="Times New Roman" w:hAnsi="Times New Roman" w:cs="Times New Roman"/>
          <w:sz w:val="24"/>
          <w:szCs w:val="24"/>
        </w:rPr>
        <w:t xml:space="preserve">’. </w:t>
      </w:r>
    </w:p>
    <w:p w:rsidR="001956C2" w:rsidRDefault="001956C2" w:rsidP="001956C2">
      <w:pPr>
        <w:jc w:val="both"/>
        <w:rPr>
          <w:rFonts w:ascii="Times New Roman" w:hAnsi="Times New Roman" w:cs="Times New Roman"/>
          <w:color w:val="000000"/>
          <w:sz w:val="24"/>
          <w:szCs w:val="24"/>
        </w:rPr>
      </w:pPr>
      <w:r w:rsidRPr="004524CE">
        <w:rPr>
          <w:rFonts w:ascii="Times New Roman" w:hAnsi="Times New Roman" w:cs="Times New Roman"/>
          <w:sz w:val="24"/>
          <w:szCs w:val="24"/>
        </w:rPr>
        <w:t>The Court of Justice will be the key venue where th</w:t>
      </w:r>
      <w:r w:rsidR="00456F84">
        <w:rPr>
          <w:rFonts w:ascii="Times New Roman" w:hAnsi="Times New Roman" w:cs="Times New Roman"/>
          <w:sz w:val="24"/>
          <w:szCs w:val="24"/>
        </w:rPr>
        <w:t>e compatibility of state practic</w:t>
      </w:r>
      <w:r w:rsidRPr="004524CE">
        <w:rPr>
          <w:rFonts w:ascii="Times New Roman" w:hAnsi="Times New Roman" w:cs="Times New Roman"/>
          <w:sz w:val="24"/>
          <w:szCs w:val="24"/>
        </w:rPr>
        <w:t xml:space="preserve">e on pushbacks with EU law will be tested. </w:t>
      </w:r>
      <w:r w:rsidR="00456F84">
        <w:rPr>
          <w:rFonts w:ascii="Times New Roman" w:hAnsi="Times New Roman" w:cs="Times New Roman"/>
          <w:sz w:val="24"/>
          <w:szCs w:val="24"/>
        </w:rPr>
        <w:t>In a related matter on the non-application of the law on the external border, t</w:t>
      </w:r>
      <w:r w:rsidRPr="004524CE">
        <w:rPr>
          <w:rFonts w:ascii="Times New Roman" w:hAnsi="Times New Roman" w:cs="Times New Roman"/>
          <w:sz w:val="24"/>
          <w:szCs w:val="24"/>
        </w:rPr>
        <w:t>he Court has already</w:t>
      </w:r>
      <w:r w:rsidR="00456F84">
        <w:rPr>
          <w:rFonts w:ascii="Times New Roman" w:hAnsi="Times New Roman" w:cs="Times New Roman"/>
          <w:sz w:val="24"/>
          <w:szCs w:val="24"/>
        </w:rPr>
        <w:t xml:space="preserve"> ruled</w:t>
      </w:r>
      <w:r w:rsidRPr="004524CE">
        <w:rPr>
          <w:rFonts w:ascii="Times New Roman" w:hAnsi="Times New Roman" w:cs="Times New Roman"/>
          <w:sz w:val="24"/>
          <w:szCs w:val="24"/>
        </w:rPr>
        <w:t xml:space="preserve"> against state efforts to exclude access to the law</w:t>
      </w:r>
      <w:r w:rsidR="00456F84">
        <w:rPr>
          <w:rFonts w:ascii="Times New Roman" w:hAnsi="Times New Roman" w:cs="Times New Roman"/>
          <w:sz w:val="24"/>
          <w:szCs w:val="24"/>
        </w:rPr>
        <w:t xml:space="preserve"> </w:t>
      </w:r>
      <w:r w:rsidRPr="004524CE">
        <w:rPr>
          <w:rFonts w:ascii="Times New Roman" w:hAnsi="Times New Roman" w:cs="Times New Roman"/>
          <w:sz w:val="24"/>
          <w:szCs w:val="24"/>
        </w:rPr>
        <w:t>by the use of transit zones by Hungary. The Court found such practices contrary to Article 6(1) of the proce</w:t>
      </w:r>
      <w:r w:rsidR="00006A12">
        <w:rPr>
          <w:rFonts w:ascii="Times New Roman" w:hAnsi="Times New Roman" w:cs="Times New Roman"/>
          <w:sz w:val="24"/>
          <w:szCs w:val="24"/>
        </w:rPr>
        <w:t>dures Directive</w:t>
      </w:r>
      <w:r w:rsidRPr="004524CE">
        <w:rPr>
          <w:rFonts w:ascii="Times New Roman" w:hAnsi="Times New Roman" w:cs="Times New Roman"/>
          <w:sz w:val="24"/>
          <w:szCs w:val="24"/>
        </w:rPr>
        <w:t>,</w:t>
      </w:r>
      <w:r w:rsidRPr="004524CE">
        <w:rPr>
          <w:rStyle w:val="FootnoteReference"/>
          <w:rFonts w:ascii="Times New Roman" w:hAnsi="Times New Roman" w:cs="Times New Roman"/>
          <w:sz w:val="24"/>
          <w:szCs w:val="24"/>
        </w:rPr>
        <w:footnoteReference w:id="30"/>
      </w:r>
      <w:r w:rsidRPr="004524CE">
        <w:rPr>
          <w:rFonts w:ascii="Times New Roman" w:hAnsi="Times New Roman" w:cs="Times New Roman"/>
          <w:sz w:val="24"/>
          <w:szCs w:val="24"/>
        </w:rPr>
        <w:t xml:space="preserve"> noting the </w:t>
      </w:r>
      <w:r w:rsidRPr="004524CE">
        <w:rPr>
          <w:rFonts w:ascii="Times New Roman" w:hAnsi="Times New Roman" w:cs="Times New Roman"/>
          <w:color w:val="000000"/>
          <w:sz w:val="24"/>
          <w:szCs w:val="24"/>
        </w:rPr>
        <w:t xml:space="preserve">consistent and generalised administrative practice of the Hungarian authorities aimed at limiting access to the transit zones of </w:t>
      </w:r>
      <w:proofErr w:type="spellStart"/>
      <w:r w:rsidRPr="004524CE">
        <w:rPr>
          <w:rFonts w:ascii="Times New Roman" w:hAnsi="Times New Roman" w:cs="Times New Roman"/>
          <w:color w:val="000000"/>
          <w:sz w:val="24"/>
          <w:szCs w:val="24"/>
        </w:rPr>
        <w:t>Röszke</w:t>
      </w:r>
      <w:proofErr w:type="spellEnd"/>
      <w:r w:rsidRPr="004524CE">
        <w:rPr>
          <w:rFonts w:ascii="Times New Roman" w:hAnsi="Times New Roman" w:cs="Times New Roman"/>
          <w:color w:val="000000"/>
          <w:sz w:val="24"/>
          <w:szCs w:val="24"/>
        </w:rPr>
        <w:t xml:space="preserve"> and </w:t>
      </w:r>
      <w:proofErr w:type="spellStart"/>
      <w:r w:rsidRPr="004524CE">
        <w:rPr>
          <w:rFonts w:ascii="Times New Roman" w:hAnsi="Times New Roman" w:cs="Times New Roman"/>
          <w:color w:val="000000"/>
          <w:sz w:val="24"/>
          <w:szCs w:val="24"/>
        </w:rPr>
        <w:t>Tompa</w:t>
      </w:r>
      <w:proofErr w:type="spellEnd"/>
      <w:r w:rsidRPr="004524CE">
        <w:rPr>
          <w:rFonts w:ascii="Times New Roman" w:hAnsi="Times New Roman" w:cs="Times New Roman"/>
          <w:color w:val="000000"/>
          <w:sz w:val="24"/>
          <w:szCs w:val="24"/>
        </w:rPr>
        <w:t xml:space="preserve"> so systematically and drastically that third-country nationals or stateless persons who, arriving from Serbia, wished to access, in Hungary, the international protection procedure, in practice were confronted with </w:t>
      </w:r>
      <w:r w:rsidRPr="004524CE">
        <w:rPr>
          <w:rFonts w:ascii="Times New Roman" w:hAnsi="Times New Roman" w:cs="Times New Roman"/>
          <w:i/>
          <w:color w:val="000000"/>
          <w:sz w:val="24"/>
          <w:szCs w:val="24"/>
        </w:rPr>
        <w:t>the virtual impossibility of making an application for international protection in Hungary.</w:t>
      </w:r>
      <w:r w:rsidRPr="004524CE">
        <w:rPr>
          <w:rStyle w:val="FootnoteReference"/>
          <w:rFonts w:ascii="Times New Roman" w:hAnsi="Times New Roman" w:cs="Times New Roman"/>
          <w:i/>
          <w:color w:val="000000"/>
          <w:sz w:val="24"/>
          <w:szCs w:val="24"/>
        </w:rPr>
        <w:footnoteReference w:id="31"/>
      </w:r>
      <w:r w:rsidRPr="004524CE">
        <w:rPr>
          <w:rFonts w:ascii="Times New Roman" w:hAnsi="Times New Roman" w:cs="Times New Roman"/>
          <w:i/>
          <w:color w:val="000000"/>
          <w:sz w:val="24"/>
          <w:szCs w:val="24"/>
        </w:rPr>
        <w:t xml:space="preserve"> </w:t>
      </w:r>
      <w:r w:rsidR="00006A12">
        <w:rPr>
          <w:rFonts w:ascii="Times New Roman" w:hAnsi="Times New Roman" w:cs="Times New Roman"/>
          <w:color w:val="000000"/>
          <w:sz w:val="24"/>
          <w:szCs w:val="24"/>
        </w:rPr>
        <w:t>In a departure from the Str</w:t>
      </w:r>
      <w:r w:rsidRPr="004524CE">
        <w:rPr>
          <w:rFonts w:ascii="Times New Roman" w:hAnsi="Times New Roman" w:cs="Times New Roman"/>
          <w:color w:val="000000"/>
          <w:sz w:val="24"/>
          <w:szCs w:val="24"/>
        </w:rPr>
        <w:t>asbou</w:t>
      </w:r>
      <w:r w:rsidR="00006A12">
        <w:rPr>
          <w:rFonts w:ascii="Times New Roman" w:hAnsi="Times New Roman" w:cs="Times New Roman"/>
          <w:color w:val="000000"/>
          <w:sz w:val="24"/>
          <w:szCs w:val="24"/>
        </w:rPr>
        <w:t>r</w:t>
      </w:r>
      <w:r w:rsidRPr="004524CE">
        <w:rPr>
          <w:rFonts w:ascii="Times New Roman" w:hAnsi="Times New Roman" w:cs="Times New Roman"/>
          <w:color w:val="000000"/>
          <w:sz w:val="24"/>
          <w:szCs w:val="24"/>
        </w:rPr>
        <w:t>g Court’s approach in ND and NT, the CJEU noted that, while it is for Member States to ensure that external borders are crossed legally under the Schengen Borders Code [with Regulation 2016/399], compliance with such an obligation cannot, however, justify the Member States’ infringement of Article 6 of Directive 2013/32</w:t>
      </w:r>
      <w:r w:rsidRPr="004524CE">
        <w:rPr>
          <w:rStyle w:val="FootnoteReference"/>
          <w:rFonts w:ascii="Times New Roman" w:hAnsi="Times New Roman" w:cs="Times New Roman"/>
          <w:color w:val="000000"/>
          <w:sz w:val="24"/>
          <w:szCs w:val="24"/>
        </w:rPr>
        <w:footnoteReference w:id="32"/>
      </w:r>
      <w:r w:rsidRPr="004524CE">
        <w:rPr>
          <w:rFonts w:ascii="Times New Roman" w:hAnsi="Times New Roman" w:cs="Times New Roman"/>
          <w:color w:val="000000"/>
          <w:sz w:val="24"/>
          <w:szCs w:val="24"/>
        </w:rPr>
        <w:t xml:space="preserve"> </w:t>
      </w:r>
      <w:r w:rsidR="00456F84">
        <w:rPr>
          <w:rFonts w:ascii="Times New Roman" w:hAnsi="Times New Roman" w:cs="Times New Roman"/>
          <w:color w:val="000000"/>
          <w:sz w:val="24"/>
          <w:szCs w:val="24"/>
        </w:rPr>
        <w:t xml:space="preserve">It is submitted that this reasoning is also applicable in cases of pushbacks from the external border and from the territory of EU Member States. </w:t>
      </w:r>
      <w:r w:rsidR="001740C3">
        <w:rPr>
          <w:rFonts w:ascii="Times New Roman" w:hAnsi="Times New Roman" w:cs="Times New Roman"/>
          <w:color w:val="000000"/>
          <w:sz w:val="24"/>
          <w:szCs w:val="24"/>
        </w:rPr>
        <w:t>The right</w:t>
      </w:r>
      <w:r w:rsidRPr="004524CE">
        <w:rPr>
          <w:rFonts w:ascii="Times New Roman" w:hAnsi="Times New Roman" w:cs="Times New Roman"/>
          <w:color w:val="000000"/>
          <w:sz w:val="24"/>
          <w:szCs w:val="24"/>
        </w:rPr>
        <w:t xml:space="preserve"> </w:t>
      </w:r>
      <w:r w:rsidR="00456F84">
        <w:rPr>
          <w:rFonts w:ascii="Times New Roman" w:hAnsi="Times New Roman" w:cs="Times New Roman"/>
          <w:color w:val="000000"/>
          <w:sz w:val="24"/>
          <w:szCs w:val="24"/>
        </w:rPr>
        <w:t>to asylum</w:t>
      </w:r>
      <w:r w:rsidR="001740C3">
        <w:rPr>
          <w:rFonts w:ascii="Times New Roman" w:hAnsi="Times New Roman" w:cs="Times New Roman"/>
          <w:color w:val="000000"/>
          <w:sz w:val="24"/>
          <w:szCs w:val="24"/>
        </w:rPr>
        <w:t xml:space="preserve"> and obligations under secondary EU asylum law take</w:t>
      </w:r>
      <w:r>
        <w:rPr>
          <w:rFonts w:ascii="Times New Roman" w:hAnsi="Times New Roman" w:cs="Times New Roman"/>
          <w:color w:val="000000"/>
          <w:sz w:val="24"/>
          <w:szCs w:val="24"/>
        </w:rPr>
        <w:t xml:space="preserve"> precedenc</w:t>
      </w:r>
      <w:r w:rsidR="001740C3">
        <w:rPr>
          <w:rFonts w:ascii="Times New Roman" w:hAnsi="Times New Roman" w:cs="Times New Roman"/>
          <w:color w:val="000000"/>
          <w:sz w:val="24"/>
          <w:szCs w:val="24"/>
        </w:rPr>
        <w:t>e over pushbacks and barriers to</w:t>
      </w:r>
      <w:r>
        <w:rPr>
          <w:rFonts w:ascii="Times New Roman" w:hAnsi="Times New Roman" w:cs="Times New Roman"/>
          <w:color w:val="000000"/>
          <w:sz w:val="24"/>
          <w:szCs w:val="24"/>
        </w:rPr>
        <w:t xml:space="preserve"> access to the</w:t>
      </w:r>
      <w:r w:rsidR="00456F84">
        <w:rPr>
          <w:rFonts w:ascii="Times New Roman" w:hAnsi="Times New Roman" w:cs="Times New Roman"/>
          <w:color w:val="000000"/>
          <w:sz w:val="24"/>
          <w:szCs w:val="24"/>
        </w:rPr>
        <w:t xml:space="preserve"> asylum procedure and to the</w:t>
      </w:r>
      <w:r>
        <w:rPr>
          <w:rFonts w:ascii="Times New Roman" w:hAnsi="Times New Roman" w:cs="Times New Roman"/>
          <w:color w:val="000000"/>
          <w:sz w:val="24"/>
          <w:szCs w:val="24"/>
        </w:rPr>
        <w:t xml:space="preserve"> rule of law.</w:t>
      </w:r>
      <w:r w:rsidR="00456F84">
        <w:rPr>
          <w:rStyle w:val="FootnoteReference"/>
          <w:rFonts w:ascii="Times New Roman" w:hAnsi="Times New Roman" w:cs="Times New Roman"/>
          <w:color w:val="000000"/>
          <w:sz w:val="24"/>
          <w:szCs w:val="24"/>
        </w:rPr>
        <w:footnoteReference w:id="33"/>
      </w:r>
    </w:p>
    <w:p w:rsidR="001956C2" w:rsidRDefault="001956C2" w:rsidP="001956C2">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In addition to the scrutiny of Member States’ pushback practices by the CJEU, a key avenue for ensuring compliance with EU law is the work of </w:t>
      </w:r>
      <w:proofErr w:type="spellStart"/>
      <w:r>
        <w:rPr>
          <w:rFonts w:ascii="Times New Roman" w:hAnsi="Times New Roman" w:cs="Times New Roman"/>
          <w:color w:val="000000"/>
          <w:sz w:val="24"/>
          <w:szCs w:val="24"/>
        </w:rPr>
        <w:t>Frontex</w:t>
      </w:r>
      <w:proofErr w:type="spellEnd"/>
      <w:r>
        <w:rPr>
          <w:rFonts w:ascii="Times New Roman" w:hAnsi="Times New Roman" w:cs="Times New Roman"/>
          <w:color w:val="000000"/>
          <w:sz w:val="24"/>
          <w:szCs w:val="24"/>
        </w:rPr>
        <w:t xml:space="preserve">, </w:t>
      </w:r>
      <w:r w:rsidR="003E31F4">
        <w:rPr>
          <w:rFonts w:ascii="Times New Roman" w:hAnsi="Times New Roman" w:cs="Times New Roman"/>
          <w:color w:val="000000"/>
          <w:sz w:val="24"/>
          <w:szCs w:val="24"/>
        </w:rPr>
        <w:t>the EU border management agency</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In the recent past, </w:t>
      </w:r>
      <w:proofErr w:type="spellStart"/>
      <w:r>
        <w:rPr>
          <w:rFonts w:ascii="Times New Roman" w:hAnsi="Times New Roman" w:cs="Times New Roman"/>
          <w:color w:val="000000"/>
          <w:sz w:val="24"/>
          <w:szCs w:val="24"/>
        </w:rPr>
        <w:t>Frontex</w:t>
      </w:r>
      <w:proofErr w:type="spellEnd"/>
      <w:r>
        <w:rPr>
          <w:rFonts w:ascii="Times New Roman" w:hAnsi="Times New Roman" w:cs="Times New Roman"/>
          <w:color w:val="000000"/>
          <w:sz w:val="24"/>
          <w:szCs w:val="24"/>
        </w:rPr>
        <w:t xml:space="preserve"> has been subject to intense scrutiny and investigations by a number of EU bodies and institutions, including the European Parliament, the European Court of Auditors, and OLAF, on its involvement </w:t>
      </w:r>
      <w:proofErr w:type="spellStart"/>
      <w:r>
        <w:rPr>
          <w:rFonts w:ascii="Times New Roman" w:hAnsi="Times New Roman" w:cs="Times New Roman"/>
          <w:color w:val="000000"/>
          <w:sz w:val="24"/>
          <w:szCs w:val="24"/>
        </w:rPr>
        <w:t>inand</w:t>
      </w:r>
      <w:proofErr w:type="spellEnd"/>
      <w:r>
        <w:rPr>
          <w:rFonts w:ascii="Times New Roman" w:hAnsi="Times New Roman" w:cs="Times New Roman"/>
          <w:color w:val="000000"/>
          <w:sz w:val="24"/>
          <w:szCs w:val="24"/>
        </w:rPr>
        <w:t>/or alleged failure to effectively prevent pushbacks at the EU external border.</w:t>
      </w:r>
      <w:r>
        <w:rPr>
          <w:rStyle w:val="FootnoteReference"/>
          <w:rFonts w:ascii="Times New Roman" w:hAnsi="Times New Roman" w:cs="Times New Roman"/>
          <w:color w:val="000000"/>
          <w:sz w:val="24"/>
          <w:szCs w:val="24"/>
        </w:rPr>
        <w:footnoteReference w:id="34"/>
      </w:r>
      <w:r>
        <w:rPr>
          <w:rFonts w:ascii="Times New Roman" w:hAnsi="Times New Roman" w:cs="Times New Roman"/>
          <w:color w:val="000000"/>
          <w:sz w:val="24"/>
          <w:szCs w:val="24"/>
        </w:rPr>
        <w:t xml:space="preserve"> A central issue which has emerged in this context is the lack of transparency in </w:t>
      </w:r>
      <w:proofErr w:type="spellStart"/>
      <w:r>
        <w:rPr>
          <w:rFonts w:ascii="Times New Roman" w:hAnsi="Times New Roman" w:cs="Times New Roman"/>
          <w:color w:val="000000"/>
          <w:sz w:val="24"/>
          <w:szCs w:val="24"/>
        </w:rPr>
        <w:t>Frontex</w:t>
      </w:r>
      <w:proofErr w:type="spellEnd"/>
      <w:r>
        <w:rPr>
          <w:rFonts w:ascii="Times New Roman" w:hAnsi="Times New Roman" w:cs="Times New Roman"/>
          <w:color w:val="000000"/>
          <w:sz w:val="24"/>
          <w:szCs w:val="24"/>
        </w:rPr>
        <w:t xml:space="preserve"> activities and what has been called the deniability of </w:t>
      </w:r>
      <w:proofErr w:type="spellStart"/>
      <w:r>
        <w:rPr>
          <w:rFonts w:ascii="Times New Roman" w:hAnsi="Times New Roman" w:cs="Times New Roman"/>
          <w:color w:val="000000"/>
          <w:sz w:val="24"/>
          <w:szCs w:val="24"/>
        </w:rPr>
        <w:t>Frontex</w:t>
      </w:r>
      <w:proofErr w:type="spellEnd"/>
      <w:r>
        <w:rPr>
          <w:rFonts w:ascii="Times New Roman" w:hAnsi="Times New Roman" w:cs="Times New Roman"/>
          <w:color w:val="000000"/>
          <w:sz w:val="24"/>
          <w:szCs w:val="24"/>
        </w:rPr>
        <w:t xml:space="preserve"> action and responsibility for fundamental rights violations at the border.</w:t>
      </w:r>
      <w:r>
        <w:rPr>
          <w:rStyle w:val="FootnoteReference"/>
          <w:rFonts w:ascii="Times New Roman" w:hAnsi="Times New Roman" w:cs="Times New Roman"/>
          <w:color w:val="000000"/>
          <w:sz w:val="24"/>
          <w:szCs w:val="24"/>
        </w:rPr>
        <w:footnoteReference w:id="35"/>
      </w:r>
      <w:r>
        <w:rPr>
          <w:rFonts w:ascii="Times New Roman" w:hAnsi="Times New Roman" w:cs="Times New Roman"/>
          <w:color w:val="000000"/>
          <w:sz w:val="24"/>
          <w:szCs w:val="24"/>
        </w:rPr>
        <w:t xml:space="preserve"> The issue of deniability emanates from the open question, present since the beginning of discussions to establish a European border agency in the early 2000s, on whether an EU agency should replace Member States in conducting border control on the EU external border.</w:t>
      </w:r>
      <w:r>
        <w:rPr>
          <w:rStyle w:val="FootnoteReference"/>
          <w:rFonts w:ascii="Times New Roman" w:hAnsi="Times New Roman" w:cs="Times New Roman"/>
          <w:color w:val="000000"/>
          <w:sz w:val="24"/>
          <w:szCs w:val="24"/>
        </w:rPr>
        <w:footnoteReference w:id="36"/>
      </w:r>
      <w:r>
        <w:rPr>
          <w:rFonts w:ascii="Times New Roman" w:hAnsi="Times New Roman" w:cs="Times New Roman"/>
          <w:color w:val="000000"/>
          <w:sz w:val="24"/>
          <w:szCs w:val="24"/>
        </w:rPr>
        <w:t xml:space="preserve"> The Agency was given ultimately a role of support and co-ordination- leading to situations, even in the present day, where </w:t>
      </w:r>
      <w:proofErr w:type="spellStart"/>
      <w:r>
        <w:rPr>
          <w:rFonts w:ascii="Times New Roman" w:hAnsi="Times New Roman" w:cs="Times New Roman"/>
          <w:color w:val="000000"/>
          <w:sz w:val="24"/>
          <w:szCs w:val="24"/>
        </w:rPr>
        <w:t>Frontex</w:t>
      </w:r>
      <w:proofErr w:type="spellEnd"/>
      <w:r>
        <w:rPr>
          <w:rFonts w:ascii="Times New Roman" w:hAnsi="Times New Roman" w:cs="Times New Roman"/>
          <w:color w:val="000000"/>
          <w:sz w:val="24"/>
          <w:szCs w:val="24"/>
        </w:rPr>
        <w:t xml:space="preserve"> effectively hides behind Member States [and Member States hide behind </w:t>
      </w:r>
      <w:proofErr w:type="spellStart"/>
      <w:r>
        <w:rPr>
          <w:rFonts w:ascii="Times New Roman" w:hAnsi="Times New Roman" w:cs="Times New Roman"/>
          <w:color w:val="000000"/>
          <w:sz w:val="24"/>
          <w:szCs w:val="24"/>
        </w:rPr>
        <w:t>Frontex</w:t>
      </w:r>
      <w:proofErr w:type="spellEnd"/>
      <w:r>
        <w:rPr>
          <w:rFonts w:ascii="Times New Roman" w:hAnsi="Times New Roman" w:cs="Times New Roman"/>
          <w:color w:val="000000"/>
          <w:sz w:val="24"/>
          <w:szCs w:val="24"/>
        </w:rPr>
        <w:t>]</w:t>
      </w:r>
      <w:r w:rsidR="003E31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denying responsibility for EU law and fundamental rights violations.</w:t>
      </w:r>
      <w:r>
        <w:rPr>
          <w:rStyle w:val="FootnoteReference"/>
          <w:rFonts w:ascii="Times New Roman" w:hAnsi="Times New Roman" w:cs="Times New Roman"/>
          <w:color w:val="000000"/>
          <w:sz w:val="24"/>
          <w:szCs w:val="24"/>
        </w:rPr>
        <w:footnoteReference w:id="37"/>
      </w:r>
      <w:r>
        <w:rPr>
          <w:rFonts w:ascii="Times New Roman" w:hAnsi="Times New Roman" w:cs="Times New Roman"/>
          <w:color w:val="000000"/>
          <w:sz w:val="24"/>
          <w:szCs w:val="24"/>
        </w:rPr>
        <w:t xml:space="preserve"> However, the subsequent evolution of the </w:t>
      </w:r>
      <w:proofErr w:type="spellStart"/>
      <w:r>
        <w:rPr>
          <w:rFonts w:ascii="Times New Roman" w:hAnsi="Times New Roman" w:cs="Times New Roman"/>
          <w:color w:val="000000"/>
          <w:sz w:val="24"/>
          <w:szCs w:val="24"/>
        </w:rPr>
        <w:t>Frontex</w:t>
      </w:r>
      <w:proofErr w:type="spellEnd"/>
      <w:r>
        <w:rPr>
          <w:rFonts w:ascii="Times New Roman" w:hAnsi="Times New Roman" w:cs="Times New Roman"/>
          <w:color w:val="000000"/>
          <w:sz w:val="24"/>
          <w:szCs w:val="24"/>
        </w:rPr>
        <w:t xml:space="preserve"> legislative framew</w:t>
      </w:r>
      <w:r w:rsidR="00006A12">
        <w:rPr>
          <w:rFonts w:ascii="Times New Roman" w:hAnsi="Times New Roman" w:cs="Times New Roman"/>
          <w:color w:val="000000"/>
          <w:sz w:val="24"/>
          <w:szCs w:val="24"/>
        </w:rPr>
        <w:t>ork has</w:t>
      </w:r>
      <w:r>
        <w:rPr>
          <w:rFonts w:ascii="Times New Roman" w:hAnsi="Times New Roman" w:cs="Times New Roman"/>
          <w:color w:val="000000"/>
          <w:sz w:val="24"/>
          <w:szCs w:val="24"/>
        </w:rPr>
        <w:t xml:space="preserve"> rendered this argument less plausible. </w:t>
      </w:r>
      <w:proofErr w:type="spellStart"/>
      <w:r>
        <w:rPr>
          <w:rFonts w:ascii="Times New Roman" w:hAnsi="Times New Roman" w:cs="Times New Roman"/>
          <w:color w:val="000000"/>
          <w:sz w:val="24"/>
          <w:szCs w:val="24"/>
        </w:rPr>
        <w:t>Frontex</w:t>
      </w:r>
      <w:proofErr w:type="spellEnd"/>
      <w:r>
        <w:rPr>
          <w:rFonts w:ascii="Times New Roman" w:hAnsi="Times New Roman" w:cs="Times New Roman"/>
          <w:color w:val="000000"/>
          <w:sz w:val="24"/>
          <w:szCs w:val="24"/>
        </w:rPr>
        <w:t xml:space="preserve"> has shared responsibility with Member States,</w:t>
      </w:r>
      <w:r>
        <w:rPr>
          <w:rStyle w:val="FootnoteReference"/>
          <w:rFonts w:ascii="Times New Roman" w:hAnsi="Times New Roman" w:cs="Times New Roman"/>
          <w:color w:val="000000"/>
          <w:sz w:val="24"/>
          <w:szCs w:val="24"/>
        </w:rPr>
        <w:footnoteReference w:id="38"/>
      </w:r>
      <w:r>
        <w:rPr>
          <w:rFonts w:ascii="Times New Roman" w:hAnsi="Times New Roman" w:cs="Times New Roman"/>
          <w:color w:val="000000"/>
          <w:sz w:val="24"/>
          <w:szCs w:val="24"/>
        </w:rPr>
        <w:t xml:space="preserve"> and can deploy its own corps of border guards</w:t>
      </w:r>
      <w:r>
        <w:rPr>
          <w:rStyle w:val="FootnoteReference"/>
          <w:rFonts w:ascii="Times New Roman" w:hAnsi="Times New Roman" w:cs="Times New Roman"/>
          <w:color w:val="000000"/>
          <w:sz w:val="24"/>
          <w:szCs w:val="24"/>
        </w:rPr>
        <w:footnoteReference w:id="39"/>
      </w:r>
      <w:r>
        <w:rPr>
          <w:rFonts w:ascii="Times New Roman" w:hAnsi="Times New Roman" w:cs="Times New Roman"/>
          <w:color w:val="000000"/>
          <w:sz w:val="24"/>
          <w:szCs w:val="24"/>
        </w:rPr>
        <w:t>, backed up by integrated planning,</w:t>
      </w:r>
      <w:r>
        <w:rPr>
          <w:rStyle w:val="FootnoteReference"/>
          <w:rFonts w:ascii="Times New Roman" w:hAnsi="Times New Roman" w:cs="Times New Roman"/>
          <w:color w:val="000000"/>
          <w:sz w:val="24"/>
          <w:szCs w:val="24"/>
        </w:rPr>
        <w:footnoteReference w:id="40"/>
      </w:r>
      <w:r>
        <w:rPr>
          <w:rFonts w:ascii="Times New Roman" w:hAnsi="Times New Roman" w:cs="Times New Roman"/>
          <w:color w:val="000000"/>
          <w:sz w:val="24"/>
          <w:szCs w:val="24"/>
        </w:rPr>
        <w:t xml:space="preserve"> and executive powers</w:t>
      </w:r>
      <w:r>
        <w:rPr>
          <w:rStyle w:val="FootnoteReference"/>
          <w:rFonts w:ascii="Times New Roman" w:hAnsi="Times New Roman" w:cs="Times New Roman"/>
          <w:color w:val="000000"/>
          <w:sz w:val="24"/>
          <w:szCs w:val="24"/>
        </w:rPr>
        <w:footnoteReference w:id="41"/>
      </w:r>
      <w:r>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While references to a coordinating and support role of </w:t>
      </w:r>
      <w:proofErr w:type="spellStart"/>
      <w:r>
        <w:rPr>
          <w:rFonts w:ascii="Times New Roman" w:hAnsi="Times New Roman" w:cs="Times New Roman"/>
          <w:color w:val="000000"/>
          <w:sz w:val="24"/>
          <w:szCs w:val="24"/>
        </w:rPr>
        <w:t>Frontex</w:t>
      </w:r>
      <w:proofErr w:type="spellEnd"/>
      <w:r>
        <w:rPr>
          <w:rFonts w:ascii="Times New Roman" w:hAnsi="Times New Roman" w:cs="Times New Roman"/>
          <w:color w:val="000000"/>
          <w:sz w:val="24"/>
          <w:szCs w:val="24"/>
        </w:rPr>
        <w:t xml:space="preserve"> in relation to Member States remain in the 2019 Regulation,</w:t>
      </w:r>
      <w:r>
        <w:rPr>
          <w:rStyle w:val="FootnoteReference"/>
          <w:rFonts w:ascii="Times New Roman" w:hAnsi="Times New Roman" w:cs="Times New Roman"/>
          <w:color w:val="000000"/>
          <w:sz w:val="24"/>
          <w:szCs w:val="24"/>
        </w:rPr>
        <w:footnoteReference w:id="42"/>
      </w:r>
      <w:r>
        <w:rPr>
          <w:rFonts w:ascii="Times New Roman" w:hAnsi="Times New Roman" w:cs="Times New Roman"/>
          <w:color w:val="000000"/>
          <w:sz w:val="24"/>
          <w:szCs w:val="24"/>
        </w:rPr>
        <w:t xml:space="preserve"> and while it has been argued that the attribution of executive powers </w:t>
      </w:r>
      <w:r>
        <w:rPr>
          <w:rFonts w:ascii="Times New Roman" w:hAnsi="Times New Roman" w:cs="Times New Roman"/>
          <w:color w:val="000000"/>
          <w:sz w:val="24"/>
          <w:szCs w:val="24"/>
        </w:rPr>
        <w:lastRenderedPageBreak/>
        <w:t>brings the Agency to uncharted waters,</w:t>
      </w:r>
      <w:r>
        <w:rPr>
          <w:rStyle w:val="FootnoteReference"/>
          <w:rFonts w:ascii="Times New Roman" w:hAnsi="Times New Roman" w:cs="Times New Roman"/>
          <w:color w:val="000000"/>
          <w:sz w:val="24"/>
          <w:szCs w:val="24"/>
        </w:rPr>
        <w:footnoteReference w:id="43"/>
      </w:r>
      <w:r>
        <w:rPr>
          <w:rFonts w:ascii="Times New Roman" w:hAnsi="Times New Roman" w:cs="Times New Roman"/>
          <w:color w:val="000000"/>
          <w:sz w:val="24"/>
          <w:szCs w:val="24"/>
        </w:rPr>
        <w:t xml:space="preserve"> it is submitted that the legislative and operational evolution of </w:t>
      </w:r>
      <w:proofErr w:type="spellStart"/>
      <w:r>
        <w:rPr>
          <w:rFonts w:ascii="Times New Roman" w:hAnsi="Times New Roman" w:cs="Times New Roman"/>
          <w:color w:val="000000"/>
          <w:sz w:val="24"/>
          <w:szCs w:val="24"/>
        </w:rPr>
        <w:t>Frontex</w:t>
      </w:r>
      <w:proofErr w:type="spellEnd"/>
      <w:r>
        <w:rPr>
          <w:rFonts w:ascii="Times New Roman" w:hAnsi="Times New Roman" w:cs="Times New Roman"/>
          <w:color w:val="000000"/>
          <w:sz w:val="24"/>
          <w:szCs w:val="24"/>
        </w:rPr>
        <w:t xml:space="preserve"> confirms the Agency’s growing powers, with which comes direct responsibility.</w:t>
      </w:r>
      <w:r>
        <w:rPr>
          <w:rStyle w:val="FootnoteReference"/>
          <w:rFonts w:ascii="Times New Roman" w:hAnsi="Times New Roman" w:cs="Times New Roman"/>
          <w:color w:val="000000"/>
          <w:sz w:val="24"/>
          <w:szCs w:val="24"/>
        </w:rPr>
        <w:footnoteReference w:id="44"/>
      </w:r>
    </w:p>
    <w:p w:rsidR="001956C2" w:rsidRDefault="001956C2" w:rsidP="001956C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its operations, </w:t>
      </w:r>
      <w:proofErr w:type="spellStart"/>
      <w:r>
        <w:rPr>
          <w:rFonts w:ascii="Times New Roman" w:hAnsi="Times New Roman" w:cs="Times New Roman"/>
          <w:color w:val="000000"/>
          <w:sz w:val="24"/>
          <w:szCs w:val="24"/>
        </w:rPr>
        <w:t>Front</w:t>
      </w:r>
      <w:r w:rsidRPr="006635C1">
        <w:rPr>
          <w:rFonts w:ascii="Times New Roman" w:hAnsi="Times New Roman" w:cs="Times New Roman"/>
          <w:color w:val="000000"/>
          <w:sz w:val="24"/>
          <w:szCs w:val="24"/>
        </w:rPr>
        <w:t>ex</w:t>
      </w:r>
      <w:proofErr w:type="spellEnd"/>
      <w:r w:rsidRPr="006635C1">
        <w:rPr>
          <w:rFonts w:ascii="Times New Roman" w:hAnsi="Times New Roman" w:cs="Times New Roman"/>
          <w:color w:val="000000"/>
          <w:sz w:val="24"/>
          <w:szCs w:val="24"/>
        </w:rPr>
        <w:t xml:space="preserve"> as an EU agency is bound by EU law including by EU fundamental rights benchmarks. These include the Charter </w:t>
      </w:r>
      <w:r>
        <w:rPr>
          <w:rFonts w:ascii="Times New Roman" w:hAnsi="Times New Roman" w:cs="Times New Roman"/>
          <w:color w:val="000000"/>
          <w:sz w:val="24"/>
          <w:szCs w:val="24"/>
        </w:rPr>
        <w:t xml:space="preserve">of Fundamental Rights, with </w:t>
      </w:r>
      <w:proofErr w:type="spellStart"/>
      <w:r>
        <w:rPr>
          <w:rFonts w:ascii="Times New Roman" w:hAnsi="Times New Roman" w:cs="Times New Roman"/>
          <w:color w:val="000000"/>
          <w:sz w:val="24"/>
          <w:szCs w:val="24"/>
        </w:rPr>
        <w:t>Frontex</w:t>
      </w:r>
      <w:proofErr w:type="spellEnd"/>
      <w:r>
        <w:rPr>
          <w:rFonts w:ascii="Times New Roman" w:hAnsi="Times New Roman" w:cs="Times New Roman"/>
          <w:color w:val="000000"/>
          <w:sz w:val="24"/>
          <w:szCs w:val="24"/>
        </w:rPr>
        <w:t xml:space="preserve"> being bound by</w:t>
      </w:r>
      <w:r w:rsidRPr="006635C1">
        <w:rPr>
          <w:rFonts w:ascii="Times New Roman" w:hAnsi="Times New Roman" w:cs="Times New Roman"/>
          <w:color w:val="000000"/>
          <w:sz w:val="24"/>
          <w:szCs w:val="24"/>
        </w:rPr>
        <w:t xml:space="preserve"> positive </w:t>
      </w:r>
      <w:r w:rsidRPr="00934003">
        <w:rPr>
          <w:rFonts w:ascii="Times New Roman" w:hAnsi="Times New Roman" w:cs="Times New Roman"/>
          <w:color w:val="000000"/>
          <w:sz w:val="24"/>
          <w:szCs w:val="24"/>
        </w:rPr>
        <w:t xml:space="preserve">obligations to protect individuals from fundamental rights </w:t>
      </w:r>
      <w:proofErr w:type="spellStart"/>
      <w:r w:rsidRPr="00934003">
        <w:rPr>
          <w:rFonts w:ascii="Times New Roman" w:hAnsi="Times New Roman" w:cs="Times New Roman"/>
          <w:color w:val="000000"/>
          <w:sz w:val="24"/>
          <w:szCs w:val="24"/>
        </w:rPr>
        <w:t>violatiions</w:t>
      </w:r>
      <w:proofErr w:type="spellEnd"/>
      <w:r w:rsidRPr="00934003">
        <w:rPr>
          <w:rFonts w:ascii="Times New Roman" w:hAnsi="Times New Roman" w:cs="Times New Roman"/>
          <w:color w:val="000000"/>
          <w:sz w:val="24"/>
          <w:szCs w:val="24"/>
        </w:rPr>
        <w:t>.</w:t>
      </w:r>
      <w:r w:rsidRPr="00934003">
        <w:rPr>
          <w:rStyle w:val="FootnoteReference"/>
          <w:rFonts w:ascii="Times New Roman" w:hAnsi="Times New Roman" w:cs="Times New Roman"/>
          <w:color w:val="000000"/>
          <w:sz w:val="24"/>
          <w:szCs w:val="24"/>
        </w:rPr>
        <w:footnoteReference w:id="45"/>
      </w:r>
      <w:r w:rsidRPr="006635C1">
        <w:rPr>
          <w:rFonts w:ascii="Times New Roman" w:hAnsi="Times New Roman" w:cs="Times New Roman"/>
          <w:b/>
          <w:color w:val="000000"/>
          <w:sz w:val="24"/>
          <w:szCs w:val="24"/>
        </w:rPr>
        <w:t xml:space="preserve"> </w:t>
      </w:r>
      <w:r w:rsidRPr="006635C1">
        <w:rPr>
          <w:rFonts w:ascii="Times New Roman" w:hAnsi="Times New Roman" w:cs="Times New Roman"/>
          <w:color w:val="000000"/>
          <w:sz w:val="24"/>
          <w:szCs w:val="24"/>
        </w:rPr>
        <w:t xml:space="preserve">The 2019 </w:t>
      </w:r>
      <w:proofErr w:type="spellStart"/>
      <w:r w:rsidRPr="006635C1">
        <w:rPr>
          <w:rFonts w:ascii="Times New Roman" w:hAnsi="Times New Roman" w:cs="Times New Roman"/>
          <w:color w:val="000000"/>
          <w:sz w:val="24"/>
          <w:szCs w:val="24"/>
        </w:rPr>
        <w:t>Frontex</w:t>
      </w:r>
      <w:proofErr w:type="spellEnd"/>
      <w:r w:rsidRPr="006635C1">
        <w:rPr>
          <w:rFonts w:ascii="Times New Roman" w:hAnsi="Times New Roman" w:cs="Times New Roman"/>
          <w:color w:val="000000"/>
          <w:sz w:val="24"/>
          <w:szCs w:val="24"/>
        </w:rPr>
        <w:t xml:space="preserve"> Regulation includes a number of provisions setting out clearly the requirement of </w:t>
      </w:r>
      <w:proofErr w:type="spellStart"/>
      <w:r w:rsidRPr="006635C1">
        <w:rPr>
          <w:rFonts w:ascii="Times New Roman" w:hAnsi="Times New Roman" w:cs="Times New Roman"/>
          <w:color w:val="000000"/>
          <w:sz w:val="24"/>
          <w:szCs w:val="24"/>
        </w:rPr>
        <w:t>Frontex</w:t>
      </w:r>
      <w:proofErr w:type="spellEnd"/>
      <w:r w:rsidRPr="006635C1">
        <w:rPr>
          <w:rFonts w:ascii="Times New Roman" w:hAnsi="Times New Roman" w:cs="Times New Roman"/>
          <w:color w:val="000000"/>
          <w:sz w:val="24"/>
          <w:szCs w:val="24"/>
        </w:rPr>
        <w:t xml:space="preserve"> to comply with fundamental rights. According to Article 5(4) of the Regulation, </w:t>
      </w:r>
      <w:proofErr w:type="spellStart"/>
      <w:r w:rsidRPr="006635C1">
        <w:rPr>
          <w:rFonts w:ascii="Times New Roman" w:hAnsi="Times New Roman" w:cs="Times New Roman"/>
          <w:color w:val="000000"/>
          <w:sz w:val="24"/>
          <w:szCs w:val="24"/>
        </w:rPr>
        <w:t>Frontex</w:t>
      </w:r>
      <w:proofErr w:type="spellEnd"/>
      <w:r w:rsidRPr="006635C1">
        <w:rPr>
          <w:rFonts w:ascii="Times New Roman" w:hAnsi="Times New Roman" w:cs="Times New Roman"/>
          <w:color w:val="000000"/>
          <w:sz w:val="24"/>
          <w:szCs w:val="24"/>
        </w:rPr>
        <w:t xml:space="preserve"> will contribute to the continuous and uniform application of Union law, </w:t>
      </w:r>
      <w:r w:rsidRPr="006635C1">
        <w:rPr>
          <w:rFonts w:ascii="Times New Roman" w:hAnsi="Times New Roman" w:cs="Times New Roman"/>
          <w:i/>
          <w:color w:val="000000"/>
          <w:sz w:val="24"/>
          <w:szCs w:val="24"/>
        </w:rPr>
        <w:t>including the Union </w:t>
      </w:r>
      <w:r w:rsidRPr="006635C1">
        <w:rPr>
          <w:rStyle w:val="italic"/>
          <w:rFonts w:ascii="Times New Roman" w:hAnsi="Times New Roman" w:cs="Times New Roman"/>
          <w:i/>
          <w:iCs/>
          <w:color w:val="000000"/>
          <w:sz w:val="24"/>
          <w:szCs w:val="24"/>
        </w:rPr>
        <w:t>acquis</w:t>
      </w:r>
      <w:r w:rsidRPr="006635C1">
        <w:rPr>
          <w:rFonts w:ascii="Times New Roman" w:hAnsi="Times New Roman" w:cs="Times New Roman"/>
          <w:i/>
          <w:color w:val="000000"/>
          <w:sz w:val="24"/>
          <w:szCs w:val="24"/>
        </w:rPr>
        <w:t xml:space="preserve"> on fundamental rights, in particular the Charter of Fundamental Rights of the European </w:t>
      </w:r>
      <w:proofErr w:type="gramStart"/>
      <w:r w:rsidRPr="006635C1">
        <w:rPr>
          <w:rFonts w:ascii="Times New Roman" w:hAnsi="Times New Roman" w:cs="Times New Roman"/>
          <w:i/>
          <w:color w:val="000000"/>
          <w:sz w:val="24"/>
          <w:szCs w:val="24"/>
        </w:rPr>
        <w:t>Union</w:t>
      </w:r>
      <w:r>
        <w:rPr>
          <w:rFonts w:ascii="Times New Roman" w:hAnsi="Times New Roman" w:cs="Times New Roman"/>
          <w:color w:val="000000"/>
          <w:sz w:val="24"/>
          <w:szCs w:val="24"/>
        </w:rPr>
        <w:t>,</w:t>
      </w:r>
      <w:r w:rsidRPr="006635C1">
        <w:rPr>
          <w:rFonts w:ascii="Times New Roman" w:hAnsi="Times New Roman" w:cs="Times New Roman"/>
          <w:color w:val="000000"/>
          <w:sz w:val="24"/>
          <w:szCs w:val="24"/>
        </w:rPr>
        <w:t>,</w:t>
      </w:r>
      <w:proofErr w:type="gramEnd"/>
      <w:r w:rsidRPr="006635C1">
        <w:rPr>
          <w:rFonts w:ascii="Times New Roman" w:hAnsi="Times New Roman" w:cs="Times New Roman"/>
          <w:color w:val="000000"/>
          <w:sz w:val="24"/>
          <w:szCs w:val="24"/>
        </w:rPr>
        <w:t xml:space="preserve"> at external borders. Its contribution shall include the exchange of good practices.</w:t>
      </w:r>
      <w:r w:rsidRPr="006635C1">
        <w:rPr>
          <w:rStyle w:val="FootnoteReference"/>
          <w:rFonts w:ascii="Times New Roman" w:hAnsi="Times New Roman" w:cs="Times New Roman"/>
          <w:color w:val="000000"/>
          <w:sz w:val="24"/>
          <w:szCs w:val="24"/>
        </w:rPr>
        <w:footnoteReference w:id="46"/>
      </w:r>
      <w:r w:rsidRPr="006635C1">
        <w:rPr>
          <w:rFonts w:ascii="Times New Roman" w:hAnsi="Times New Roman" w:cs="Times New Roman"/>
          <w:color w:val="000000"/>
          <w:sz w:val="24"/>
          <w:szCs w:val="24"/>
        </w:rPr>
        <w:t xml:space="preserve"> In the performance of its tasks, </w:t>
      </w:r>
      <w:proofErr w:type="spellStart"/>
      <w:r w:rsidRPr="006635C1">
        <w:rPr>
          <w:rFonts w:ascii="Times New Roman" w:hAnsi="Times New Roman" w:cs="Times New Roman"/>
          <w:color w:val="000000"/>
          <w:sz w:val="24"/>
          <w:szCs w:val="24"/>
        </w:rPr>
        <w:t>Frontes</w:t>
      </w:r>
      <w:proofErr w:type="spellEnd"/>
      <w:r w:rsidRPr="006635C1">
        <w:rPr>
          <w:rFonts w:ascii="Times New Roman" w:hAnsi="Times New Roman" w:cs="Times New Roman"/>
          <w:color w:val="000000"/>
          <w:sz w:val="24"/>
          <w:szCs w:val="24"/>
        </w:rPr>
        <w:t xml:space="preserve"> must ensure that no person, in contravention of the principle of </w:t>
      </w:r>
      <w:r w:rsidRPr="006635C1">
        <w:rPr>
          <w:rStyle w:val="italic"/>
          <w:rFonts w:ascii="Times New Roman" w:hAnsi="Times New Roman" w:cs="Times New Roman"/>
          <w:i/>
          <w:iCs/>
          <w:color w:val="000000"/>
          <w:sz w:val="24"/>
          <w:szCs w:val="24"/>
        </w:rPr>
        <w:t>non-refoulement</w:t>
      </w:r>
      <w:r w:rsidRPr="006635C1">
        <w:rPr>
          <w:rFonts w:ascii="Times New Roman" w:hAnsi="Times New Roman" w:cs="Times New Roman"/>
          <w:color w:val="000000"/>
          <w:sz w:val="24"/>
          <w:szCs w:val="24"/>
        </w:rPr>
        <w:t>, be forced to disembark in, forced to enter, or conducted to a country, or be otherwise handed over or returned to the authorities of a country where there is, inter alia, a serious risk that he or she would be subjected to the death penalty, torture, persecution, or other inhuman or degrading treatment or punishment, or where his or her life or freedom would be threatened on account of his or her race, religion, nationality, sexual orientation, membership of a particular social group or political opinion, or from which there is a risk of expulsion, removal, extradition or return to another country in contravention of the principle of </w:t>
      </w:r>
      <w:r w:rsidRPr="006635C1">
        <w:rPr>
          <w:rStyle w:val="italic"/>
          <w:rFonts w:ascii="Times New Roman" w:hAnsi="Times New Roman" w:cs="Times New Roman"/>
          <w:i/>
          <w:iCs/>
          <w:color w:val="000000"/>
          <w:sz w:val="24"/>
          <w:szCs w:val="24"/>
        </w:rPr>
        <w:t>non-refoulement</w:t>
      </w:r>
      <w:r w:rsidRPr="006635C1">
        <w:rPr>
          <w:rFonts w:ascii="Times New Roman" w:hAnsi="Times New Roman" w:cs="Times New Roman"/>
          <w:color w:val="000000"/>
          <w:sz w:val="24"/>
          <w:szCs w:val="24"/>
        </w:rPr>
        <w:t>.</w:t>
      </w:r>
      <w:r w:rsidRPr="006635C1">
        <w:rPr>
          <w:rStyle w:val="FootnoteReference"/>
          <w:rFonts w:ascii="Times New Roman" w:hAnsi="Times New Roman" w:cs="Times New Roman"/>
          <w:color w:val="000000"/>
          <w:sz w:val="24"/>
          <w:szCs w:val="24"/>
        </w:rPr>
        <w:footnoteReference w:id="47"/>
      </w:r>
      <w:r w:rsidRPr="006635C1">
        <w:rPr>
          <w:rFonts w:ascii="Times New Roman" w:hAnsi="Times New Roman" w:cs="Times New Roman"/>
          <w:color w:val="000000"/>
          <w:sz w:val="24"/>
          <w:szCs w:val="24"/>
        </w:rPr>
        <w:t xml:space="preserve"> Members of </w:t>
      </w:r>
      <w:proofErr w:type="spellStart"/>
      <w:r w:rsidRPr="006635C1">
        <w:rPr>
          <w:rFonts w:ascii="Times New Roman" w:hAnsi="Times New Roman" w:cs="Times New Roman"/>
          <w:color w:val="000000"/>
          <w:sz w:val="24"/>
          <w:szCs w:val="24"/>
        </w:rPr>
        <w:t>Frontes</w:t>
      </w:r>
      <w:proofErr w:type="spellEnd"/>
      <w:r w:rsidRPr="006635C1">
        <w:rPr>
          <w:rFonts w:ascii="Times New Roman" w:hAnsi="Times New Roman" w:cs="Times New Roman"/>
          <w:color w:val="000000"/>
          <w:sz w:val="24"/>
          <w:szCs w:val="24"/>
        </w:rPr>
        <w:t xml:space="preserve"> teams must fully ensure respect for fundamental rights and shall comply with Union and international law and the national law of the host Member State.</w:t>
      </w:r>
      <w:r w:rsidRPr="006635C1">
        <w:rPr>
          <w:rStyle w:val="FootnoteReference"/>
          <w:rFonts w:ascii="Times New Roman" w:hAnsi="Times New Roman" w:cs="Times New Roman"/>
          <w:color w:val="000000"/>
          <w:sz w:val="24"/>
          <w:szCs w:val="24"/>
        </w:rPr>
        <w:footnoteReference w:id="48"/>
      </w:r>
      <w:r w:rsidRPr="006635C1">
        <w:rPr>
          <w:rFonts w:ascii="Times New Roman" w:hAnsi="Times New Roman" w:cs="Times New Roman"/>
          <w:color w:val="000000"/>
          <w:sz w:val="24"/>
          <w:szCs w:val="24"/>
        </w:rPr>
        <w:t xml:space="preserve"> And the </w:t>
      </w:r>
      <w:proofErr w:type="spellStart"/>
      <w:r w:rsidRPr="006635C1">
        <w:rPr>
          <w:rFonts w:ascii="Times New Roman" w:hAnsi="Times New Roman" w:cs="Times New Roman"/>
          <w:color w:val="000000"/>
          <w:sz w:val="24"/>
          <w:szCs w:val="24"/>
        </w:rPr>
        <w:t>Frontex</w:t>
      </w:r>
      <w:proofErr w:type="spellEnd"/>
      <w:r w:rsidRPr="006635C1">
        <w:rPr>
          <w:rFonts w:ascii="Times New Roman" w:hAnsi="Times New Roman" w:cs="Times New Roman"/>
          <w:color w:val="000000"/>
          <w:sz w:val="24"/>
          <w:szCs w:val="24"/>
        </w:rPr>
        <w:t xml:space="preserve"> Coordinating Officer, acting </w:t>
      </w:r>
      <w:r w:rsidRPr="006635C1">
        <w:rPr>
          <w:rFonts w:ascii="Times New Roman" w:hAnsi="Times New Roman" w:cs="Times New Roman"/>
          <w:sz w:val="24"/>
          <w:szCs w:val="24"/>
        </w:rPr>
        <w:t>on behalf of the Agency in all aspects of the deployment of the teams, must monitor the correct implementation of the operational plan, including, in cooperation with the fundamental rights monitors, as regards the protection of fundamental rights and report to the executive director on this;</w:t>
      </w:r>
      <w:r w:rsidRPr="006635C1">
        <w:rPr>
          <w:rStyle w:val="FootnoteReference"/>
          <w:rFonts w:ascii="Times New Roman" w:hAnsi="Times New Roman" w:cs="Times New Roman"/>
          <w:color w:val="000000"/>
          <w:sz w:val="24"/>
          <w:szCs w:val="24"/>
        </w:rPr>
        <w:t xml:space="preserve"> </w:t>
      </w:r>
      <w:r w:rsidRPr="006635C1">
        <w:rPr>
          <w:rStyle w:val="FootnoteReference"/>
          <w:rFonts w:ascii="Times New Roman" w:hAnsi="Times New Roman" w:cs="Times New Roman"/>
          <w:color w:val="000000"/>
          <w:sz w:val="24"/>
          <w:szCs w:val="24"/>
        </w:rPr>
        <w:footnoteReference w:id="49"/>
      </w:r>
    </w:p>
    <w:p w:rsidR="001956C2" w:rsidRPr="00114213" w:rsidRDefault="001956C2" w:rsidP="001956C2">
      <w:pPr>
        <w:pStyle w:val="Normal2"/>
        <w:shd w:val="clear" w:color="auto" w:fill="FFFFFF"/>
        <w:spacing w:before="120" w:beforeAutospacing="0" w:after="0" w:afterAutospacing="0"/>
        <w:jc w:val="both"/>
        <w:rPr>
          <w:rFonts w:ascii="inherit" w:hAnsi="inherit"/>
          <w:color w:val="000000"/>
        </w:rPr>
      </w:pPr>
      <w:r>
        <w:rPr>
          <w:rFonts w:ascii="inherit" w:hAnsi="inherit"/>
          <w:color w:val="000000"/>
        </w:rPr>
        <w:t xml:space="preserve">The text of the </w:t>
      </w:r>
      <w:proofErr w:type="spellStart"/>
      <w:r>
        <w:rPr>
          <w:rFonts w:ascii="inherit" w:hAnsi="inherit"/>
          <w:color w:val="000000"/>
        </w:rPr>
        <w:t>Frontex</w:t>
      </w:r>
      <w:proofErr w:type="spellEnd"/>
      <w:r>
        <w:rPr>
          <w:rFonts w:ascii="inherit" w:hAnsi="inherit"/>
          <w:color w:val="000000"/>
        </w:rPr>
        <w:t xml:space="preserve"> Regulation thus pays lip service to the fundamental rights benchmarks which underpin the operations of the Agency. But how are these obligations enforced? There are at present two levels of fundamental </w:t>
      </w:r>
      <w:r w:rsidR="001740C3">
        <w:rPr>
          <w:rFonts w:ascii="inherit" w:hAnsi="inherit"/>
          <w:color w:val="000000"/>
        </w:rPr>
        <w:t>rights accountability</w:t>
      </w:r>
      <w:r w:rsidR="00250BE4">
        <w:rPr>
          <w:rFonts w:ascii="inherit" w:hAnsi="inherit"/>
          <w:color w:val="000000"/>
        </w:rPr>
        <w:t xml:space="preserve"> for </w:t>
      </w:r>
      <w:proofErr w:type="spellStart"/>
      <w:r w:rsidR="00250BE4">
        <w:rPr>
          <w:rFonts w:ascii="inherit" w:hAnsi="inherit"/>
          <w:color w:val="000000"/>
        </w:rPr>
        <w:t>Front</w:t>
      </w:r>
      <w:r>
        <w:rPr>
          <w:rFonts w:ascii="inherit" w:hAnsi="inherit"/>
          <w:color w:val="000000"/>
        </w:rPr>
        <w:t>ex</w:t>
      </w:r>
      <w:proofErr w:type="spellEnd"/>
      <w:r>
        <w:rPr>
          <w:rFonts w:ascii="inherit" w:hAnsi="inherit"/>
          <w:color w:val="000000"/>
        </w:rPr>
        <w:t xml:space="preserve">: one internal and one external. In terms of internal accountability, the </w:t>
      </w:r>
      <w:proofErr w:type="spellStart"/>
      <w:r>
        <w:rPr>
          <w:rFonts w:ascii="inherit" w:hAnsi="inherit"/>
          <w:color w:val="000000"/>
        </w:rPr>
        <w:t>Frontex</w:t>
      </w:r>
      <w:proofErr w:type="spellEnd"/>
      <w:r>
        <w:rPr>
          <w:rFonts w:ascii="inherit" w:hAnsi="inherit"/>
          <w:color w:val="000000"/>
        </w:rPr>
        <w:t xml:space="preserve"> Regulation includes provisions on the </w:t>
      </w:r>
      <w:r>
        <w:rPr>
          <w:rFonts w:ascii="inherit" w:hAnsi="inherit"/>
          <w:color w:val="000000"/>
        </w:rPr>
        <w:lastRenderedPageBreak/>
        <w:t xml:space="preserve">responsibility of the </w:t>
      </w:r>
      <w:proofErr w:type="spellStart"/>
      <w:r>
        <w:rPr>
          <w:rFonts w:ascii="inherit" w:hAnsi="inherit"/>
          <w:color w:val="000000"/>
        </w:rPr>
        <w:t>Frontex</w:t>
      </w:r>
      <w:proofErr w:type="spellEnd"/>
      <w:r>
        <w:rPr>
          <w:rFonts w:ascii="inherit" w:hAnsi="inherit"/>
          <w:color w:val="000000"/>
        </w:rPr>
        <w:t xml:space="preserve"> Director to act in case of </w:t>
      </w:r>
      <w:r w:rsidRPr="00114213">
        <w:rPr>
          <w:rFonts w:ascii="inherit" w:hAnsi="inherit"/>
          <w:color w:val="000000"/>
        </w:rPr>
        <w:t xml:space="preserve">breach of fundamental rights; </w:t>
      </w:r>
      <w:r w:rsidRPr="00114213">
        <w:rPr>
          <w:rStyle w:val="FootnoteReference"/>
          <w:rFonts w:ascii="inherit" w:hAnsi="inherit"/>
          <w:color w:val="000000"/>
        </w:rPr>
        <w:footnoteReference w:id="50"/>
      </w:r>
      <w:r w:rsidRPr="00114213">
        <w:rPr>
          <w:rFonts w:ascii="inherit" w:hAnsi="inherit"/>
          <w:color w:val="000000"/>
        </w:rPr>
        <w:t>combined with duty of coordinating officer to report concerns on fundamental rights</w:t>
      </w:r>
      <w:r w:rsidRPr="00114213">
        <w:rPr>
          <w:rStyle w:val="FootnoteReference"/>
          <w:rFonts w:ascii="inherit" w:hAnsi="inherit"/>
          <w:color w:val="000000"/>
        </w:rPr>
        <w:footnoteReference w:id="51"/>
      </w:r>
      <w:r w:rsidRPr="00114213">
        <w:rPr>
          <w:rFonts w:ascii="inherit" w:hAnsi="inherit"/>
          <w:color w:val="000000"/>
        </w:rPr>
        <w:t xml:space="preserve">   this is backed up by the role of the </w:t>
      </w:r>
      <w:proofErr w:type="spellStart"/>
      <w:r w:rsidRPr="00114213">
        <w:rPr>
          <w:rFonts w:ascii="inherit" w:hAnsi="inherit"/>
          <w:color w:val="000000"/>
        </w:rPr>
        <w:t>Frootex</w:t>
      </w:r>
      <w:proofErr w:type="spellEnd"/>
      <w:r w:rsidRPr="00114213">
        <w:rPr>
          <w:rFonts w:ascii="inherit" w:hAnsi="inherit"/>
          <w:color w:val="000000"/>
        </w:rPr>
        <w:t xml:space="preserve"> Fundamental Rights Officer</w:t>
      </w:r>
      <w:r w:rsidRPr="00114213">
        <w:rPr>
          <w:rStyle w:val="FootnoteReference"/>
          <w:rFonts w:ascii="inherit" w:hAnsi="inherit"/>
          <w:color w:val="000000"/>
        </w:rPr>
        <w:footnoteReference w:id="52"/>
      </w:r>
      <w:r w:rsidRPr="00114213">
        <w:rPr>
          <w:rFonts w:ascii="inherit" w:hAnsi="inherit"/>
          <w:color w:val="000000"/>
        </w:rPr>
        <w:t xml:space="preserve"> and the </w:t>
      </w:r>
      <w:proofErr w:type="spellStart"/>
      <w:r w:rsidRPr="00114213">
        <w:rPr>
          <w:rFonts w:ascii="inherit" w:hAnsi="inherit"/>
          <w:color w:val="000000"/>
        </w:rPr>
        <w:t>Frontex</w:t>
      </w:r>
      <w:proofErr w:type="spellEnd"/>
      <w:r w:rsidRPr="00114213">
        <w:rPr>
          <w:rFonts w:ascii="inherit" w:hAnsi="inherit"/>
          <w:color w:val="000000"/>
        </w:rPr>
        <w:t xml:space="preserve"> Fundamental Rights Consultative Forum;</w:t>
      </w:r>
      <w:r w:rsidRPr="00114213">
        <w:rPr>
          <w:rStyle w:val="FootnoteReference"/>
          <w:rFonts w:ascii="inherit" w:hAnsi="inherit"/>
          <w:color w:val="000000"/>
        </w:rPr>
        <w:footnoteReference w:id="53"/>
      </w:r>
      <w:r w:rsidRPr="00114213">
        <w:rPr>
          <w:rFonts w:ascii="inherit" w:hAnsi="inherit"/>
          <w:color w:val="000000"/>
        </w:rPr>
        <w:t xml:space="preserve"> and by the strengthening of an internal </w:t>
      </w:r>
      <w:proofErr w:type="spellStart"/>
      <w:r w:rsidRPr="00114213">
        <w:rPr>
          <w:rFonts w:ascii="inherit" w:hAnsi="inherit"/>
          <w:color w:val="000000"/>
        </w:rPr>
        <w:t>Frontex</w:t>
      </w:r>
      <w:proofErr w:type="spellEnd"/>
      <w:r w:rsidRPr="00114213">
        <w:rPr>
          <w:rFonts w:ascii="inherit" w:hAnsi="inherit"/>
          <w:color w:val="000000"/>
        </w:rPr>
        <w:t xml:space="preserve"> complaints mechanism</w:t>
      </w:r>
      <w:r w:rsidRPr="00114213">
        <w:rPr>
          <w:rStyle w:val="FootnoteReference"/>
          <w:rFonts w:ascii="inherit" w:hAnsi="inherit"/>
          <w:color w:val="000000"/>
        </w:rPr>
        <w:footnoteReference w:id="54"/>
      </w:r>
      <w:r w:rsidRPr="00114213">
        <w:rPr>
          <w:rFonts w:ascii="inherit" w:hAnsi="inherit"/>
          <w:color w:val="000000"/>
        </w:rPr>
        <w:t xml:space="preserve">,In terms of the external accountability of </w:t>
      </w:r>
      <w:proofErr w:type="spellStart"/>
      <w:r w:rsidRPr="00114213">
        <w:rPr>
          <w:rFonts w:ascii="inherit" w:hAnsi="inherit"/>
          <w:color w:val="000000"/>
        </w:rPr>
        <w:t>Frontex</w:t>
      </w:r>
      <w:proofErr w:type="spellEnd"/>
      <w:r w:rsidRPr="00114213">
        <w:rPr>
          <w:rFonts w:ascii="inherit" w:hAnsi="inherit"/>
          <w:color w:val="000000"/>
        </w:rPr>
        <w:t xml:space="preserve">, the main avenue is recourse to the CJEU. The CJEU has express jurisdiction on actions challenging the legality of </w:t>
      </w:r>
      <w:proofErr w:type="spellStart"/>
      <w:r w:rsidRPr="00114213">
        <w:rPr>
          <w:rFonts w:ascii="inherit" w:hAnsi="inherit"/>
          <w:color w:val="000000"/>
        </w:rPr>
        <w:t>Frontex</w:t>
      </w:r>
      <w:proofErr w:type="spellEnd"/>
      <w:r w:rsidRPr="00114213">
        <w:rPr>
          <w:rFonts w:ascii="inherit" w:hAnsi="inherit"/>
          <w:color w:val="000000"/>
        </w:rPr>
        <w:t xml:space="preserve"> acts and of failure to act, and on actions for damages.</w:t>
      </w:r>
      <w:r w:rsidRPr="00114213">
        <w:rPr>
          <w:rStyle w:val="FootnoteReference"/>
          <w:rFonts w:ascii="inherit" w:hAnsi="inherit"/>
          <w:color w:val="000000"/>
        </w:rPr>
        <w:footnoteReference w:id="55"/>
      </w:r>
    </w:p>
    <w:p w:rsidR="001956C2" w:rsidRDefault="001956C2" w:rsidP="001956C2">
      <w:pPr>
        <w:jc w:val="both"/>
        <w:rPr>
          <w:rFonts w:ascii="Times New Roman" w:hAnsi="Times New Roman" w:cs="Times New Roman"/>
          <w:sz w:val="24"/>
          <w:szCs w:val="24"/>
        </w:rPr>
      </w:pPr>
    </w:p>
    <w:p w:rsidR="001956C2" w:rsidRDefault="001956C2" w:rsidP="001956C2">
      <w:pPr>
        <w:jc w:val="both"/>
        <w:rPr>
          <w:rFonts w:ascii="Times New Roman" w:hAnsi="Times New Roman" w:cs="Times New Roman"/>
          <w:sz w:val="24"/>
          <w:szCs w:val="24"/>
        </w:rPr>
      </w:pPr>
      <w:r>
        <w:rPr>
          <w:rFonts w:ascii="Times New Roman" w:hAnsi="Times New Roman" w:cs="Times New Roman"/>
          <w:sz w:val="24"/>
          <w:szCs w:val="24"/>
        </w:rPr>
        <w:t>Both these avenues of internal and external accountability have shortcomings. In terms of internal accountability, it has been noted that the mechanisms introduced are not effective in ensuring meaningful fundamental rights protection. The Complaints mechanism has been underused</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and has been criticised as not providing adequate safeguards of independence.</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T </w:t>
      </w:r>
      <w:r>
        <w:rPr>
          <w:rFonts w:ascii="Times New Roman" w:hAnsi="Times New Roman" w:cs="Times New Roman"/>
          <w:sz w:val="24"/>
          <w:szCs w:val="24"/>
        </w:rPr>
        <w:lastRenderedPageBreak/>
        <w:t>The legislative framework</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and actual stance of the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Director – who has resigned at the time of finalising this article- have also faced heavy criticism including by the European Parliament LIBE Committee for not taking fundamental rights responsibility under the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Regulation seriously.</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In terms of external accountability, the CJEU jurisdiction on actions for annulment of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acts has been criticised as being too narrow, with the action for damages being put forward as a more credible redress avenue.</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Actions for damages would however provide limited solutions to systemic non-compliance of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with EU law, as their framing and limitations will provide with little incentive for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to address the issue in a systematic and generalised manner. The limits of actions under Article 263 TFEU are real, and reflect the rule of law gap in terms of CJEU judicial protection vis-à-vis acts of EU agencies in the AFSJ which break the mould of traditional EU regulatory/management agencies and are now agencies exercising coercive powers with a direct effect on the legal position and fundamental rights of individuals.</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As evidenced in negotiations and the eventually adopted text of the EPPO Regulation, there is reluctance to grant the CJEU extensive jurisdiction for executive acts of EU agencies in the territory of EU Member States, or even for key decisions influencing </w:t>
      </w:r>
      <w:r>
        <w:rPr>
          <w:rFonts w:ascii="Times New Roman" w:hAnsi="Times New Roman" w:cs="Times New Roman"/>
          <w:sz w:val="24"/>
          <w:szCs w:val="24"/>
        </w:rPr>
        <w:lastRenderedPageBreak/>
        <w:t xml:space="preserve">the legal </w:t>
      </w:r>
      <w:proofErr w:type="spellStart"/>
      <w:r>
        <w:rPr>
          <w:rFonts w:ascii="Times New Roman" w:hAnsi="Times New Roman" w:cs="Times New Roman"/>
          <w:sz w:val="24"/>
          <w:szCs w:val="24"/>
        </w:rPr>
        <w:t>positon</w:t>
      </w:r>
      <w:proofErr w:type="spellEnd"/>
      <w:r>
        <w:rPr>
          <w:rFonts w:ascii="Times New Roman" w:hAnsi="Times New Roman" w:cs="Times New Roman"/>
          <w:sz w:val="24"/>
          <w:szCs w:val="24"/>
        </w:rPr>
        <w:t xml:space="preserve"> of individuals.</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This results in the unsatisfactory situation that many acts of EU agencies are not scrutinised by the CJEU. </w:t>
      </w:r>
    </w:p>
    <w:p w:rsidR="001956C2" w:rsidRDefault="001956C2" w:rsidP="001956C2">
      <w:pPr>
        <w:jc w:val="both"/>
        <w:rPr>
          <w:rFonts w:ascii="Times New Roman" w:hAnsi="Times New Roman" w:cs="Times New Roman"/>
          <w:sz w:val="24"/>
          <w:szCs w:val="24"/>
        </w:rPr>
      </w:pPr>
      <w:r>
        <w:rPr>
          <w:rFonts w:ascii="Times New Roman" w:hAnsi="Times New Roman" w:cs="Times New Roman"/>
          <w:sz w:val="24"/>
          <w:szCs w:val="24"/>
        </w:rPr>
        <w:t xml:space="preserve">While in the case of the EPPO this lack of EU judicial protection is at least accompanied by avenues of judicial scrutiny at national level, the same cannot necessarily be said expressly for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although the attribution of shared responsibility and executive powers to a European corps of border guards acting in the territory of Member States could support an argument in favour of redress before national courts if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officers are equated legally with national border guards of the host state. A more effective avenue for judicial remedy may prove to be actions for failure to act. These actions will enable to scrutinise in detail the fundamental rights responsibility of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and the extent to which it meets its positive obligations to prevent fundamental rights violations during its operations.</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Litigation under failure to act will give the opportunity to the CJEU to circumscribe in detail both the EU benchmarks underpinning </w:t>
      </w:r>
      <w:proofErr w:type="spellStart"/>
      <w:r>
        <w:rPr>
          <w:rFonts w:ascii="Times New Roman" w:hAnsi="Times New Roman" w:cs="Times New Roman"/>
          <w:sz w:val="24"/>
          <w:szCs w:val="24"/>
        </w:rPr>
        <w:t>Frotnex</w:t>
      </w:r>
      <w:proofErr w:type="spellEnd"/>
      <w:r>
        <w:rPr>
          <w:rFonts w:ascii="Times New Roman" w:hAnsi="Times New Roman" w:cs="Times New Roman"/>
          <w:sz w:val="24"/>
          <w:szCs w:val="24"/>
        </w:rPr>
        <w:t xml:space="preserve"> operations and to outline avenues of effective enforcement of these rights and effective judicial protection.</w:t>
      </w:r>
    </w:p>
    <w:p w:rsidR="001956C2" w:rsidRDefault="001956C2" w:rsidP="001956C2">
      <w:pPr>
        <w:jc w:val="both"/>
        <w:rPr>
          <w:rFonts w:ascii="Times New Roman" w:hAnsi="Times New Roman" w:cs="Times New Roman"/>
          <w:sz w:val="24"/>
          <w:szCs w:val="24"/>
        </w:rPr>
      </w:pPr>
      <w:r>
        <w:rPr>
          <w:rFonts w:ascii="Times New Roman" w:hAnsi="Times New Roman" w:cs="Times New Roman"/>
          <w:sz w:val="24"/>
          <w:szCs w:val="24"/>
        </w:rPr>
        <w:t xml:space="preserve">In view of the limits of the current accountability avenues of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accountability, a third, intermediate way has been put forward: the establishment of </w:t>
      </w:r>
      <w:proofErr w:type="spellStart"/>
      <w:r>
        <w:rPr>
          <w:rFonts w:ascii="Times New Roman" w:hAnsi="Times New Roman" w:cs="Times New Roman"/>
          <w:sz w:val="24"/>
          <w:szCs w:val="24"/>
        </w:rPr>
        <w:t>indpeendenr</w:t>
      </w:r>
      <w:proofErr w:type="spellEnd"/>
      <w:r>
        <w:rPr>
          <w:rFonts w:ascii="Times New Roman" w:hAnsi="Times New Roman" w:cs="Times New Roman"/>
          <w:sz w:val="24"/>
          <w:szCs w:val="24"/>
        </w:rPr>
        <w:t xml:space="preserve">, external accountability mechanisms by an independent body. The </w:t>
      </w:r>
      <w:proofErr w:type="spellStart"/>
      <w:r>
        <w:rPr>
          <w:rFonts w:ascii="Times New Roman" w:hAnsi="Times New Roman" w:cs="Times New Roman"/>
          <w:sz w:val="24"/>
          <w:szCs w:val="24"/>
        </w:rPr>
        <w:t>establishemtn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mechansisms</w:t>
      </w:r>
      <w:proofErr w:type="spellEnd"/>
      <w:r>
        <w:rPr>
          <w:rFonts w:ascii="Times New Roman" w:hAnsi="Times New Roman" w:cs="Times New Roman"/>
          <w:sz w:val="24"/>
          <w:szCs w:val="24"/>
        </w:rPr>
        <w:t xml:space="preserve"> of external oversight of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has been put forward by Elspeth Guild, who draws upon current developments on external oversight in other areas of EU law (most notably large-scale surveillance and data retention) and links the need for independent oversight with the need to obtain credible real-time information and to establish regular fact-finding avenues in order to ensure transparency in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operations.</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External independent oversight mechanisms would also serve to provide another layer of remedy for individuals, which will be more effective than the current internal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complaints procedure and will ensure broader and more imminent access to justice in comparison with the limits of the CJEU in terms of </w:t>
      </w:r>
      <w:r>
        <w:rPr>
          <w:rFonts w:ascii="Times New Roman" w:hAnsi="Times New Roman" w:cs="Times New Roman"/>
          <w:sz w:val="24"/>
          <w:szCs w:val="24"/>
        </w:rPr>
        <w:lastRenderedPageBreak/>
        <w:t xml:space="preserve">jurisdiction and timing. The establishment of an independent oversight mechanism for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must be combined with a broader constitutional re-think of the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Regulation, in order to establish in clearer terms the powers and responsibility of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a the external border and in the territory of Member States. It is essential that the law is unambiguous in order to </w:t>
      </w:r>
      <w:proofErr w:type="gramStart"/>
      <w:r>
        <w:rPr>
          <w:rFonts w:ascii="Times New Roman" w:hAnsi="Times New Roman" w:cs="Times New Roman"/>
          <w:sz w:val="24"/>
          <w:szCs w:val="24"/>
        </w:rPr>
        <w:t>address  the</w:t>
      </w:r>
      <w:proofErr w:type="gramEnd"/>
      <w:r>
        <w:rPr>
          <w:rFonts w:ascii="Times New Roman" w:hAnsi="Times New Roman" w:cs="Times New Roman"/>
          <w:sz w:val="24"/>
          <w:szCs w:val="24"/>
        </w:rPr>
        <w:t xml:space="preserve"> </w:t>
      </w:r>
      <w:r w:rsidR="0008187F">
        <w:rPr>
          <w:rFonts w:ascii="Times New Roman" w:hAnsi="Times New Roman" w:cs="Times New Roman"/>
          <w:sz w:val="24"/>
          <w:szCs w:val="24"/>
        </w:rPr>
        <w:t xml:space="preserve">current </w:t>
      </w:r>
      <w:r>
        <w:rPr>
          <w:rFonts w:ascii="Times New Roman" w:hAnsi="Times New Roman" w:cs="Times New Roman"/>
          <w:sz w:val="24"/>
          <w:szCs w:val="24"/>
        </w:rPr>
        <w:t xml:space="preserve">rule of law deficit  of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hiding behind Member States and vice-versa, and to regulate clearly the role of </w:t>
      </w:r>
      <w:proofErr w:type="spellStart"/>
      <w:r>
        <w:rPr>
          <w:rFonts w:ascii="Times New Roman" w:hAnsi="Times New Roman" w:cs="Times New Roman"/>
          <w:sz w:val="24"/>
          <w:szCs w:val="24"/>
        </w:rPr>
        <w:t>Frontex</w:t>
      </w:r>
      <w:proofErr w:type="spellEnd"/>
      <w:r>
        <w:rPr>
          <w:rFonts w:ascii="Times New Roman" w:hAnsi="Times New Roman" w:cs="Times New Roman"/>
          <w:sz w:val="24"/>
          <w:szCs w:val="24"/>
        </w:rPr>
        <w:t xml:space="preserve"> both as a mon</w:t>
      </w:r>
      <w:r w:rsidR="0008187F">
        <w:rPr>
          <w:rFonts w:ascii="Times New Roman" w:hAnsi="Times New Roman" w:cs="Times New Roman"/>
          <w:sz w:val="24"/>
          <w:szCs w:val="24"/>
        </w:rPr>
        <w:t>itoring and as a monitored EU a</w:t>
      </w:r>
      <w:r>
        <w:rPr>
          <w:rFonts w:ascii="Times New Roman" w:hAnsi="Times New Roman" w:cs="Times New Roman"/>
          <w:sz w:val="24"/>
          <w:szCs w:val="24"/>
        </w:rPr>
        <w:t>gency.</w:t>
      </w:r>
      <w:r w:rsidR="0008187F">
        <w:rPr>
          <w:rFonts w:ascii="Times New Roman" w:hAnsi="Times New Roman" w:cs="Times New Roman"/>
          <w:sz w:val="24"/>
          <w:szCs w:val="24"/>
        </w:rPr>
        <w:t xml:space="preserve"> It must be made clear that the mandate of </w:t>
      </w:r>
      <w:proofErr w:type="spellStart"/>
      <w:r w:rsidR="0008187F">
        <w:rPr>
          <w:rFonts w:ascii="Times New Roman" w:hAnsi="Times New Roman" w:cs="Times New Roman"/>
          <w:sz w:val="24"/>
          <w:szCs w:val="24"/>
        </w:rPr>
        <w:t>Frontex</w:t>
      </w:r>
      <w:proofErr w:type="spellEnd"/>
      <w:r w:rsidR="0008187F">
        <w:rPr>
          <w:rFonts w:ascii="Times New Roman" w:hAnsi="Times New Roman" w:cs="Times New Roman"/>
          <w:sz w:val="24"/>
          <w:szCs w:val="24"/>
        </w:rPr>
        <w:t xml:space="preserve"> includes the scrutiny of the compatibility of state action within </w:t>
      </w:r>
      <w:proofErr w:type="spellStart"/>
      <w:r w:rsidR="0008187F">
        <w:rPr>
          <w:rFonts w:ascii="Times New Roman" w:hAnsi="Times New Roman" w:cs="Times New Roman"/>
          <w:sz w:val="24"/>
          <w:szCs w:val="24"/>
        </w:rPr>
        <w:t>Frontex</w:t>
      </w:r>
      <w:proofErr w:type="spellEnd"/>
      <w:r w:rsidR="0008187F">
        <w:rPr>
          <w:rFonts w:ascii="Times New Roman" w:hAnsi="Times New Roman" w:cs="Times New Roman"/>
          <w:sz w:val="24"/>
          <w:szCs w:val="24"/>
        </w:rPr>
        <w:t xml:space="preserve"> operations with EU law and that </w:t>
      </w:r>
      <w:proofErr w:type="spellStart"/>
      <w:r w:rsidR="0008187F">
        <w:rPr>
          <w:rFonts w:ascii="Times New Roman" w:hAnsi="Times New Roman" w:cs="Times New Roman"/>
          <w:sz w:val="24"/>
          <w:szCs w:val="24"/>
        </w:rPr>
        <w:t>Frontex</w:t>
      </w:r>
      <w:proofErr w:type="spellEnd"/>
      <w:r w:rsidR="0008187F">
        <w:rPr>
          <w:rFonts w:ascii="Times New Roman" w:hAnsi="Times New Roman" w:cs="Times New Roman"/>
          <w:sz w:val="24"/>
          <w:szCs w:val="24"/>
        </w:rPr>
        <w:t xml:space="preserve"> entails direct responsibility – under  a ’strict liability’ regime =for breaches of EU law during </w:t>
      </w:r>
      <w:proofErr w:type="spellStart"/>
      <w:r w:rsidR="0008187F">
        <w:rPr>
          <w:rFonts w:ascii="Times New Roman" w:hAnsi="Times New Roman" w:cs="Times New Roman"/>
          <w:sz w:val="24"/>
          <w:szCs w:val="24"/>
        </w:rPr>
        <w:t>Frontex</w:t>
      </w:r>
      <w:proofErr w:type="spellEnd"/>
      <w:r w:rsidR="0008187F">
        <w:rPr>
          <w:rFonts w:ascii="Times New Roman" w:hAnsi="Times New Roman" w:cs="Times New Roman"/>
          <w:sz w:val="24"/>
          <w:szCs w:val="24"/>
        </w:rPr>
        <w:t xml:space="preserve"> operations, whether instigated by </w:t>
      </w:r>
      <w:proofErr w:type="spellStart"/>
      <w:r w:rsidR="0008187F">
        <w:rPr>
          <w:rFonts w:ascii="Times New Roman" w:hAnsi="Times New Roman" w:cs="Times New Roman"/>
          <w:sz w:val="24"/>
          <w:szCs w:val="24"/>
        </w:rPr>
        <w:t>Frontex</w:t>
      </w:r>
      <w:proofErr w:type="spellEnd"/>
      <w:r w:rsidR="0008187F">
        <w:rPr>
          <w:rFonts w:ascii="Times New Roman" w:hAnsi="Times New Roman" w:cs="Times New Roman"/>
          <w:sz w:val="24"/>
          <w:szCs w:val="24"/>
        </w:rPr>
        <w:t xml:space="preserve"> agents or not.</w:t>
      </w:r>
    </w:p>
    <w:p w:rsidR="0025593A" w:rsidRDefault="0025593A" w:rsidP="001956C2">
      <w:pPr>
        <w:jc w:val="both"/>
        <w:rPr>
          <w:rFonts w:ascii="Times New Roman" w:hAnsi="Times New Roman" w:cs="Times New Roman"/>
          <w:sz w:val="24"/>
          <w:szCs w:val="24"/>
        </w:rPr>
      </w:pPr>
      <w:r>
        <w:rPr>
          <w:rFonts w:ascii="Times New Roman" w:hAnsi="Times New Roman" w:cs="Times New Roman"/>
          <w:sz w:val="24"/>
          <w:szCs w:val="24"/>
        </w:rPr>
        <w:t>Through these different parameters, a clear manifestation of a</w:t>
      </w:r>
      <w:r w:rsidR="00D80D22">
        <w:rPr>
          <w:rFonts w:ascii="Times New Roman" w:hAnsi="Times New Roman" w:cs="Times New Roman"/>
          <w:sz w:val="24"/>
          <w:szCs w:val="24"/>
        </w:rPr>
        <w:t xml:space="preserve"> multi-faceted</w:t>
      </w:r>
      <w:r>
        <w:rPr>
          <w:rFonts w:ascii="Times New Roman" w:hAnsi="Times New Roman" w:cs="Times New Roman"/>
          <w:sz w:val="24"/>
          <w:szCs w:val="24"/>
        </w:rPr>
        <w:t xml:space="preserve"> paradigm of preventive injustice</w:t>
      </w:r>
      <w:r w:rsidR="00F03CF2">
        <w:rPr>
          <w:rFonts w:ascii="Times New Roman" w:hAnsi="Times New Roman" w:cs="Times New Roman"/>
          <w:sz w:val="24"/>
          <w:szCs w:val="24"/>
        </w:rPr>
        <w:t xml:space="preserve"> on the external border</w:t>
      </w:r>
      <w:r>
        <w:rPr>
          <w:rFonts w:ascii="Times New Roman" w:hAnsi="Times New Roman" w:cs="Times New Roman"/>
          <w:sz w:val="24"/>
          <w:szCs w:val="24"/>
        </w:rPr>
        <w:t xml:space="preserve"> emerges. This paradigm is </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on the negation of the applicability of</w:t>
      </w:r>
      <w:r w:rsidR="00D80D22">
        <w:rPr>
          <w:rFonts w:ascii="Times New Roman" w:hAnsi="Times New Roman" w:cs="Times New Roman"/>
          <w:sz w:val="24"/>
          <w:szCs w:val="24"/>
        </w:rPr>
        <w:t xml:space="preserve"> the</w:t>
      </w:r>
      <w:r>
        <w:rPr>
          <w:rFonts w:ascii="Times New Roman" w:hAnsi="Times New Roman" w:cs="Times New Roman"/>
          <w:sz w:val="24"/>
          <w:szCs w:val="24"/>
        </w:rPr>
        <w:t xml:space="preserve"> law- including the right to asylum- to third country nationals reaching the</w:t>
      </w:r>
      <w:r w:rsidR="00D80D22">
        <w:rPr>
          <w:rFonts w:ascii="Times New Roman" w:hAnsi="Times New Roman" w:cs="Times New Roman"/>
          <w:sz w:val="24"/>
          <w:szCs w:val="24"/>
        </w:rPr>
        <w:t xml:space="preserve"> EU</w:t>
      </w:r>
      <w:r>
        <w:rPr>
          <w:rFonts w:ascii="Times New Roman" w:hAnsi="Times New Roman" w:cs="Times New Roman"/>
          <w:sz w:val="24"/>
          <w:szCs w:val="24"/>
        </w:rPr>
        <w:t xml:space="preserve"> external border and the territory of EU Member States. The proliferation of pushback practices in EU Member States and denial of the rule of law in transit zones</w:t>
      </w:r>
      <w:r w:rsidR="00F03CF2">
        <w:rPr>
          <w:rFonts w:ascii="Times New Roman" w:hAnsi="Times New Roman" w:cs="Times New Roman"/>
          <w:sz w:val="24"/>
          <w:szCs w:val="24"/>
        </w:rPr>
        <w:t xml:space="preserve"> and to third country nationals located in the territory of EU Member States</w:t>
      </w:r>
      <w:r>
        <w:rPr>
          <w:rFonts w:ascii="Times New Roman" w:hAnsi="Times New Roman" w:cs="Times New Roman"/>
          <w:sz w:val="24"/>
          <w:szCs w:val="24"/>
        </w:rPr>
        <w:t xml:space="preserve"> appears to be tolerate</w:t>
      </w:r>
      <w:r w:rsidR="00D80D22">
        <w:rPr>
          <w:rFonts w:ascii="Times New Roman" w:hAnsi="Times New Roman" w:cs="Times New Roman"/>
          <w:sz w:val="24"/>
          <w:szCs w:val="24"/>
        </w:rPr>
        <w:t>d</w:t>
      </w:r>
      <w:r>
        <w:rPr>
          <w:rFonts w:ascii="Times New Roman" w:hAnsi="Times New Roman" w:cs="Times New Roman"/>
          <w:sz w:val="24"/>
          <w:szCs w:val="24"/>
        </w:rPr>
        <w:t xml:space="preserve"> by key European institutions</w:t>
      </w:r>
      <w:r w:rsidR="00F03CF2">
        <w:rPr>
          <w:rFonts w:ascii="Times New Roman" w:hAnsi="Times New Roman" w:cs="Times New Roman"/>
          <w:sz w:val="24"/>
          <w:szCs w:val="24"/>
        </w:rPr>
        <w:t xml:space="preserve"> and agencies</w:t>
      </w:r>
      <w:r>
        <w:rPr>
          <w:rFonts w:ascii="Times New Roman" w:hAnsi="Times New Roman" w:cs="Times New Roman"/>
          <w:sz w:val="24"/>
          <w:szCs w:val="24"/>
        </w:rPr>
        <w:t>, such as the European Court of Human Righ</w:t>
      </w:r>
      <w:r w:rsidR="00F03CF2">
        <w:rPr>
          <w:rFonts w:ascii="Times New Roman" w:hAnsi="Times New Roman" w:cs="Times New Roman"/>
          <w:sz w:val="24"/>
          <w:szCs w:val="24"/>
        </w:rPr>
        <w:t xml:space="preserve">ts and at the EU level by </w:t>
      </w:r>
      <w:proofErr w:type="spellStart"/>
      <w:r w:rsidR="00F03CF2">
        <w:rPr>
          <w:rFonts w:ascii="Times New Roman" w:hAnsi="Times New Roman" w:cs="Times New Roman"/>
          <w:sz w:val="24"/>
          <w:szCs w:val="24"/>
        </w:rPr>
        <w:t>Frontex</w:t>
      </w:r>
      <w:proofErr w:type="spellEnd"/>
      <w:r w:rsidR="00F03CF2">
        <w:rPr>
          <w:rFonts w:ascii="Times New Roman" w:hAnsi="Times New Roman" w:cs="Times New Roman"/>
          <w:sz w:val="24"/>
          <w:szCs w:val="24"/>
        </w:rPr>
        <w:t>,</w:t>
      </w:r>
      <w:r w:rsidR="00D80D22">
        <w:rPr>
          <w:rFonts w:ascii="Times New Roman" w:hAnsi="Times New Roman" w:cs="Times New Roman"/>
          <w:sz w:val="24"/>
          <w:szCs w:val="24"/>
        </w:rPr>
        <w:t xml:space="preserve"> thus leaving practices contrary to the rule of law and to a number of fundamental rights</w:t>
      </w:r>
      <w:r w:rsidR="00F03CF2">
        <w:rPr>
          <w:rFonts w:ascii="Times New Roman" w:hAnsi="Times New Roman" w:cs="Times New Roman"/>
          <w:sz w:val="24"/>
          <w:szCs w:val="24"/>
        </w:rPr>
        <w:t>, including the right to asylum,</w:t>
      </w:r>
      <w:r w:rsidR="00D80D22">
        <w:rPr>
          <w:rFonts w:ascii="Times New Roman" w:hAnsi="Times New Roman" w:cs="Times New Roman"/>
          <w:sz w:val="24"/>
          <w:szCs w:val="24"/>
        </w:rPr>
        <w:t xml:space="preserve"> outside meaningful scrutiny or accountability. A paradigmatic change from preventive injustice to a rule of law compliant model of justice will entail decisive intervention by the Court of Justice and by the EU legislator and will depend ultimately on the establishment of strong mechanisms o</w:t>
      </w:r>
      <w:r w:rsidR="00F03CF2">
        <w:rPr>
          <w:rFonts w:ascii="Times New Roman" w:hAnsi="Times New Roman" w:cs="Times New Roman"/>
          <w:sz w:val="24"/>
          <w:szCs w:val="24"/>
        </w:rPr>
        <w:t xml:space="preserve">f scrutiny of compliance of Member States and EU agencies with the </w:t>
      </w:r>
      <w:r w:rsidR="00D80D22">
        <w:rPr>
          <w:rFonts w:ascii="Times New Roman" w:hAnsi="Times New Roman" w:cs="Times New Roman"/>
          <w:sz w:val="24"/>
          <w:szCs w:val="24"/>
        </w:rPr>
        <w:t xml:space="preserve">rule of law and fundamental rights </w:t>
      </w:r>
      <w:r w:rsidR="00F03CF2">
        <w:rPr>
          <w:rFonts w:ascii="Times New Roman" w:hAnsi="Times New Roman" w:cs="Times New Roman"/>
          <w:sz w:val="24"/>
          <w:szCs w:val="24"/>
        </w:rPr>
        <w:t>at</w:t>
      </w:r>
      <w:r w:rsidR="00D80D22">
        <w:rPr>
          <w:rFonts w:ascii="Times New Roman" w:hAnsi="Times New Roman" w:cs="Times New Roman"/>
          <w:sz w:val="24"/>
          <w:szCs w:val="24"/>
        </w:rPr>
        <w:t xml:space="preserve"> the external border.</w:t>
      </w:r>
    </w:p>
    <w:p w:rsidR="001956C2" w:rsidRDefault="001956C2" w:rsidP="001956C2">
      <w:pPr>
        <w:jc w:val="both"/>
        <w:rPr>
          <w:rFonts w:ascii="Times New Roman" w:hAnsi="Times New Roman" w:cs="Times New Roman"/>
          <w:sz w:val="24"/>
          <w:szCs w:val="24"/>
        </w:rPr>
      </w:pPr>
    </w:p>
    <w:p w:rsidR="001956C2" w:rsidRDefault="00895AC6" w:rsidP="00405BAC">
      <w:pPr>
        <w:pStyle w:val="NormalWeb"/>
        <w:numPr>
          <w:ilvl w:val="0"/>
          <w:numId w:val="4"/>
        </w:numPr>
        <w:jc w:val="center"/>
        <w:rPr>
          <w:b/>
          <w:color w:val="000000"/>
        </w:rPr>
      </w:pPr>
      <w:r>
        <w:rPr>
          <w:b/>
          <w:color w:val="000000"/>
        </w:rPr>
        <w:t xml:space="preserve">Preventive (In)Justice as the </w:t>
      </w:r>
      <w:proofErr w:type="spellStart"/>
      <w:r w:rsidR="00405BAC">
        <w:rPr>
          <w:b/>
          <w:color w:val="000000"/>
        </w:rPr>
        <w:t>I</w:t>
      </w:r>
      <w:r w:rsidR="001956C2">
        <w:rPr>
          <w:b/>
          <w:color w:val="000000"/>
        </w:rPr>
        <w:t>nstrumentalisation</w:t>
      </w:r>
      <w:proofErr w:type="spellEnd"/>
      <w:r>
        <w:rPr>
          <w:b/>
          <w:color w:val="000000"/>
        </w:rPr>
        <w:t xml:space="preserve"> of Migration: When Securitised Politics seeps into Law</w:t>
      </w:r>
    </w:p>
    <w:p w:rsidR="001956C2" w:rsidRDefault="001956C2" w:rsidP="001956C2">
      <w:pPr>
        <w:pStyle w:val="NormalWeb"/>
        <w:jc w:val="both"/>
        <w:rPr>
          <w:color w:val="000000"/>
          <w:bdr w:val="none" w:sz="0" w:space="0" w:color="auto" w:frame="1"/>
        </w:rPr>
      </w:pPr>
      <w:r>
        <w:rPr>
          <w:color w:val="000000"/>
        </w:rPr>
        <w:t xml:space="preserve">A further escalation of attempts to prevent </w:t>
      </w:r>
      <w:r w:rsidR="00D80D22">
        <w:rPr>
          <w:color w:val="000000"/>
        </w:rPr>
        <w:t>access of third country nationals</w:t>
      </w:r>
      <w:r>
        <w:rPr>
          <w:color w:val="000000"/>
        </w:rPr>
        <w:t xml:space="preserve"> to the territory of EU Member States has been linked with the introduction of the term ‘</w:t>
      </w:r>
      <w:proofErr w:type="spellStart"/>
      <w:r>
        <w:rPr>
          <w:color w:val="000000"/>
        </w:rPr>
        <w:t>instrumentalisation</w:t>
      </w:r>
      <w:proofErr w:type="spellEnd"/>
      <w:r>
        <w:rPr>
          <w:color w:val="000000"/>
        </w:rPr>
        <w:t xml:space="preserve">’ of migration into the EU legal vocabulary. Events in the EU external border with Belarus have led the European Council of October 2021 to frame migrant flows as a hybrid threat stemming from </w:t>
      </w:r>
      <w:proofErr w:type="spellStart"/>
      <w:r>
        <w:rPr>
          <w:color w:val="000000"/>
        </w:rPr>
        <w:t>attemtps</w:t>
      </w:r>
      <w:proofErr w:type="spellEnd"/>
      <w:r>
        <w:rPr>
          <w:color w:val="000000"/>
        </w:rPr>
        <w:t xml:space="preserve"> by third countries to instrumentalise migrants for political purposes.</w:t>
      </w:r>
      <w:r>
        <w:rPr>
          <w:rStyle w:val="FootnoteReference"/>
          <w:color w:val="000000"/>
        </w:rPr>
        <w:footnoteReference w:id="65"/>
      </w:r>
      <w:r>
        <w:rPr>
          <w:color w:val="000000"/>
        </w:rPr>
        <w:t xml:space="preserve"> The European Council called upon the Commission to propose legislation in the field.</w:t>
      </w:r>
      <w:r>
        <w:rPr>
          <w:rStyle w:val="FootnoteReference"/>
          <w:color w:val="000000"/>
        </w:rPr>
        <w:footnoteReference w:id="66"/>
      </w:r>
      <w:r>
        <w:rPr>
          <w:color w:val="000000"/>
        </w:rPr>
        <w:t xml:space="preserve"> The Commission has since responded with a package of three measures: a proposal for a Decision on provisional emergency measures for the benefit of Latvia, Lithuania and Poland;</w:t>
      </w:r>
      <w:r>
        <w:rPr>
          <w:rStyle w:val="FootnoteReference"/>
          <w:color w:val="000000"/>
        </w:rPr>
        <w:footnoteReference w:id="67"/>
      </w:r>
      <w:r>
        <w:rPr>
          <w:color w:val="000000"/>
        </w:rPr>
        <w:t xml:space="preserve"> a general </w:t>
      </w:r>
      <w:r>
        <w:rPr>
          <w:color w:val="000000"/>
        </w:rPr>
        <w:lastRenderedPageBreak/>
        <w:t xml:space="preserve">Regulation </w:t>
      </w:r>
      <w:r>
        <w:t xml:space="preserve">addressing situations of </w:t>
      </w:r>
      <w:proofErr w:type="spellStart"/>
      <w:r>
        <w:t>instrumentalisation</w:t>
      </w:r>
      <w:proofErr w:type="spellEnd"/>
      <w:r>
        <w:t xml:space="preserve"> in the field of migration and asylum;</w:t>
      </w:r>
      <w:r>
        <w:rPr>
          <w:rStyle w:val="FootnoteReference"/>
        </w:rPr>
        <w:footnoteReference w:id="68"/>
      </w:r>
      <w:r>
        <w:t xml:space="preserve"> and a proposal to amend the Schengen Borders Code.</w:t>
      </w:r>
      <w:r>
        <w:rPr>
          <w:rStyle w:val="FootnoteReference"/>
        </w:rPr>
        <w:footnoteReference w:id="69"/>
      </w:r>
      <w:r>
        <w:t xml:space="preserve"> A definition of </w:t>
      </w:r>
      <w:proofErr w:type="spellStart"/>
      <w:r>
        <w:t>instrumentalisation</w:t>
      </w:r>
      <w:proofErr w:type="spellEnd"/>
      <w:r>
        <w:t xml:space="preserve"> is included in the latter document. According to the Commission, </w:t>
      </w:r>
      <w:r w:rsidRPr="00F40692">
        <w:rPr>
          <w:color w:val="000000"/>
          <w:bdr w:val="none" w:sz="0" w:space="0" w:color="auto" w:frame="1"/>
        </w:rPr>
        <w:t>‘</w:t>
      </w:r>
      <w:proofErr w:type="spellStart"/>
      <w:r w:rsidRPr="00F40692">
        <w:rPr>
          <w:color w:val="000000"/>
          <w:bdr w:val="none" w:sz="0" w:space="0" w:color="auto" w:frame="1"/>
        </w:rPr>
        <w:t>instrumentalisation</w:t>
      </w:r>
      <w:proofErr w:type="spellEnd"/>
      <w:r w:rsidRPr="00F40692">
        <w:rPr>
          <w:color w:val="000000"/>
          <w:bdr w:val="none" w:sz="0" w:space="0" w:color="auto" w:frame="1"/>
        </w:rPr>
        <w:t xml:space="preserve"> of migrants’ refers to a situation where a third country instigates irregular migratory flows into the Union by actively encouraging or facilitating the movement of third country nationals to the external borders, onto or from within its territory and then onwards to those external borders, where such actions are indicative of an intention of a third country to destabilise the Union or a Member State, where the nature of such actions is liable to put at risk essential State functions, including its territorial integrity, the maintenance of law and order or the saf</w:t>
      </w:r>
      <w:r>
        <w:rPr>
          <w:color w:val="000000"/>
          <w:bdr w:val="none" w:sz="0" w:space="0" w:color="auto" w:frame="1"/>
        </w:rPr>
        <w:t>eguard of its national security. This definition is inserted in the Schengen Borders Code</w:t>
      </w:r>
      <w:r>
        <w:rPr>
          <w:rStyle w:val="FootnoteReference"/>
          <w:color w:val="000000"/>
          <w:bdr w:val="none" w:sz="0" w:space="0" w:color="auto" w:frame="1"/>
        </w:rPr>
        <w:footnoteReference w:id="70"/>
      </w:r>
      <w:r>
        <w:rPr>
          <w:color w:val="000000"/>
          <w:bdr w:val="none" w:sz="0" w:space="0" w:color="auto" w:frame="1"/>
        </w:rPr>
        <w:t xml:space="preserve"> and is also applicable to the general Regulation on </w:t>
      </w:r>
      <w:proofErr w:type="spellStart"/>
      <w:r>
        <w:rPr>
          <w:color w:val="000000"/>
          <w:bdr w:val="none" w:sz="0" w:space="0" w:color="auto" w:frame="1"/>
        </w:rPr>
        <w:t>instrumentalsiation</w:t>
      </w:r>
      <w:proofErr w:type="spellEnd"/>
      <w:r>
        <w:rPr>
          <w:color w:val="000000"/>
          <w:bdr w:val="none" w:sz="0" w:space="0" w:color="auto" w:frame="1"/>
        </w:rPr>
        <w:t>.</w:t>
      </w:r>
      <w:r>
        <w:rPr>
          <w:rStyle w:val="FootnoteReference"/>
          <w:color w:val="000000"/>
          <w:bdr w:val="none" w:sz="0" w:space="0" w:color="auto" w:frame="1"/>
        </w:rPr>
        <w:footnoteReference w:id="71"/>
      </w:r>
    </w:p>
    <w:p w:rsidR="001956C2" w:rsidRDefault="001956C2" w:rsidP="001956C2">
      <w:pPr>
        <w:pStyle w:val="NormalWeb"/>
        <w:jc w:val="both"/>
      </w:pPr>
      <w:r>
        <w:rPr>
          <w:color w:val="000000"/>
          <w:bdr w:val="none" w:sz="0" w:space="0" w:color="auto" w:frame="1"/>
        </w:rPr>
        <w:t xml:space="preserve">Putting forward this new legal concept of </w:t>
      </w:r>
      <w:proofErr w:type="spellStart"/>
      <w:r>
        <w:rPr>
          <w:color w:val="000000"/>
          <w:bdr w:val="none" w:sz="0" w:space="0" w:color="auto" w:frame="1"/>
        </w:rPr>
        <w:t>isntrumentalisation</w:t>
      </w:r>
      <w:proofErr w:type="spellEnd"/>
      <w:r>
        <w:rPr>
          <w:color w:val="000000"/>
          <w:bdr w:val="none" w:sz="0" w:space="0" w:color="auto" w:frame="1"/>
        </w:rPr>
        <w:t xml:space="preserve"> in the field of EU immigration law reflects the confluence between a securitisation and a militarisation agenda- and frames migration flows as a weapon of war. The Commission claims that </w:t>
      </w:r>
      <w:r w:rsidRPr="00684584">
        <w:rPr>
          <w:color w:val="000000"/>
          <w:bdr w:val="none" w:sz="0" w:space="0" w:color="auto" w:frame="1"/>
        </w:rPr>
        <w:t xml:space="preserve">‘a </w:t>
      </w:r>
      <w:r w:rsidRPr="00684584">
        <w:t>highly worrying phenomenon observed is the increasing role of State actors in artificially creating and facilitating irregular migration, using migratory flows as a tool for political purposes, to destabilise the European Union and its Member States’</w:t>
      </w:r>
      <w:r>
        <w:rPr>
          <w:rStyle w:val="FootnoteReference"/>
        </w:rPr>
        <w:footnoteReference w:id="72"/>
      </w:r>
      <w:r>
        <w:t xml:space="preserve"> and states that</w:t>
      </w:r>
      <w:r w:rsidRPr="00C557ED">
        <w:rPr>
          <w:b/>
        </w:rPr>
        <w:t xml:space="preserve"> </w:t>
      </w:r>
      <w:r w:rsidRPr="00684584">
        <w:t xml:space="preserve">‘others’ may attempt to conduct hybrid attacks on the Union that include the </w:t>
      </w:r>
      <w:proofErr w:type="spellStart"/>
      <w:r w:rsidRPr="00684584">
        <w:t>instrumentalisation</w:t>
      </w:r>
      <w:proofErr w:type="spellEnd"/>
      <w:r w:rsidRPr="00684584">
        <w:t xml:space="preserve"> of migrants</w:t>
      </w:r>
      <w:r>
        <w:t xml:space="preserve"> in the futu</w:t>
      </w:r>
      <w:r w:rsidRPr="00684584">
        <w:t>re.</w:t>
      </w:r>
      <w:r>
        <w:rPr>
          <w:rStyle w:val="FootnoteReference"/>
        </w:rPr>
        <w:footnoteReference w:id="73"/>
      </w:r>
      <w:r>
        <w:t xml:space="preserve"> The framing of the potential use of migrants as a means to destabilise the Union or its Member States renders migration as a threat to national security</w:t>
      </w:r>
      <w:r>
        <w:rPr>
          <w:rStyle w:val="FootnoteReference"/>
        </w:rPr>
        <w:footnoteReference w:id="74"/>
      </w:r>
      <w:r>
        <w:t xml:space="preserve"> and is used to justify further erosion of the rule of law. The Commission advocates in favour of ‘flexibility’ for Member States in addressing </w:t>
      </w:r>
      <w:proofErr w:type="spellStart"/>
      <w:r>
        <w:t>instrumetnalisation</w:t>
      </w:r>
      <w:proofErr w:type="spellEnd"/>
      <w:r>
        <w:t>, going further than the proposals put forward in the Pact.</w:t>
      </w:r>
      <w:r>
        <w:rPr>
          <w:rStyle w:val="FootnoteReference"/>
        </w:rPr>
        <w:footnoteReference w:id="75"/>
      </w:r>
      <w:r>
        <w:t xml:space="preserve"> This flexibility is linked with the establishment of a permanent state of emergency on the external border</w:t>
      </w:r>
      <w:r>
        <w:rPr>
          <w:rStyle w:val="FootnoteReference"/>
        </w:rPr>
        <w:footnoteReference w:id="76"/>
      </w:r>
      <w:r>
        <w:t xml:space="preserve"> leading to a permanent paradigm of preventive (in)justice </w:t>
      </w:r>
      <w:proofErr w:type="spellStart"/>
      <w:r>
        <w:t>sysemtatically</w:t>
      </w:r>
      <w:proofErr w:type="spellEnd"/>
      <w:r>
        <w:t xml:space="preserve"> limiting access to the territory and law of the Union and its Member States – with the exception </w:t>
      </w:r>
      <w:r>
        <w:lastRenderedPageBreak/>
        <w:t>thus becoming the norm. The preventive and securitised/</w:t>
      </w:r>
      <w:proofErr w:type="spellStart"/>
      <w:r>
        <w:t>mulitarised</w:t>
      </w:r>
      <w:proofErr w:type="spellEnd"/>
      <w:r>
        <w:t xml:space="preserve"> framing behind the use of </w:t>
      </w:r>
      <w:proofErr w:type="spellStart"/>
      <w:r>
        <w:t>instrumetnalisation</w:t>
      </w:r>
      <w:proofErr w:type="spellEnd"/>
      <w:r>
        <w:t xml:space="preserve"> is further reflected in the Preamble to the Regulation. According to the Preamble, in </w:t>
      </w:r>
      <w:r w:rsidRPr="00021C0C">
        <w:t xml:space="preserve">situations of </w:t>
      </w:r>
      <w:proofErr w:type="spellStart"/>
      <w:r w:rsidRPr="00021C0C">
        <w:t>insteumentalisation</w:t>
      </w:r>
      <w:proofErr w:type="spellEnd"/>
      <w:r w:rsidRPr="00021C0C">
        <w:t xml:space="preserve"> ‘it is essential to prevent the entry of those who do not fulfil entry conditions’</w:t>
      </w:r>
      <w:r w:rsidRPr="00021C0C">
        <w:rPr>
          <w:rStyle w:val="FootnoteReference"/>
        </w:rPr>
        <w:footnoteReference w:id="77"/>
      </w:r>
      <w:r w:rsidRPr="00021C0C">
        <w:t>. Migration</w:t>
      </w:r>
      <w:r w:rsidRPr="00C362ED">
        <w:t xml:space="preserve"> flows are linked to violence which EU Member States are called to address: Where Member States are confronted at its external border with violent actions, including in the context of attempts by third country nationals to force entry </w:t>
      </w:r>
      <w:proofErr w:type="spellStart"/>
      <w:r w:rsidRPr="00C362ED">
        <w:t>en</w:t>
      </w:r>
      <w:proofErr w:type="spellEnd"/>
      <w:r w:rsidRPr="00C362ED">
        <w:t xml:space="preserve"> masse and using disproportionate violent means, they should be able to take the necessary measures in accordance with their national law to preserve security, law and order.</w:t>
      </w:r>
      <w:r w:rsidRPr="00C362ED">
        <w:rPr>
          <w:rStyle w:val="FootnoteReference"/>
        </w:rPr>
        <w:footnoteReference w:id="78"/>
      </w:r>
    </w:p>
    <w:p w:rsidR="001956C2" w:rsidRPr="00C26A1E" w:rsidRDefault="001956C2" w:rsidP="001956C2">
      <w:pPr>
        <w:pStyle w:val="NormalWeb"/>
        <w:jc w:val="both"/>
      </w:pPr>
      <w:r>
        <w:t xml:space="preserve">The preventive and securitised framing of </w:t>
      </w:r>
      <w:proofErr w:type="spellStart"/>
      <w:r>
        <w:t>instrumentalsation</w:t>
      </w:r>
      <w:proofErr w:type="spellEnd"/>
      <w:r>
        <w:t xml:space="preserve"> leads to the normalisation of a state of emergency. The draft Regulation expressly puts forward an emergency migration and asylum procedure in a situation of </w:t>
      </w:r>
      <w:proofErr w:type="spellStart"/>
      <w:r>
        <w:t>insteumentalisation</w:t>
      </w:r>
      <w:proofErr w:type="spellEnd"/>
      <w:r>
        <w:t xml:space="preserve"> of migrants.</w:t>
      </w:r>
      <w:r>
        <w:rPr>
          <w:rStyle w:val="FootnoteReference"/>
        </w:rPr>
        <w:footnoteReference w:id="79"/>
      </w:r>
      <w:r>
        <w:t xml:space="preserve"> This emergency procedure departs not only from currently applicable EU law standards, but also from the highly exclusionary reform of asylum procedures – through the emphasis on border procedures- witnessed in the Pact. The new emergency procedure will apply widely in terms of territorial scope- to third country nationals ‘apprehended </w:t>
      </w:r>
      <w:r w:rsidRPr="00021C0C">
        <w:t>or found in the proximity</w:t>
      </w:r>
      <w:r>
        <w:t xml:space="preserve"> of the external border with the third country instrumentalising migrants in connection with an unauthorised crossing or who have presented themselves at border crossing points.’</w:t>
      </w:r>
      <w:r>
        <w:rPr>
          <w:rStyle w:val="FootnoteReference"/>
        </w:rPr>
        <w:footnoteReference w:id="80"/>
      </w:r>
      <w:r>
        <w:t xml:space="preserve"> By way of derogation from the proposed asylum procedures Regulation in the Pact, applications for asylum must be registered no later than four weeks after applications are made, with Member States prioritising the registration of applications ;likely to be well founded.’</w:t>
      </w:r>
      <w:r>
        <w:rPr>
          <w:rStyle w:val="FootnoteReference"/>
        </w:rPr>
        <w:footnoteReference w:id="81"/>
      </w:r>
      <w:r>
        <w:t xml:space="preserve"> Moreover, decisions on the admissibility and on the merits of asylum applications will be taken at the border or transit zones regarding </w:t>
      </w:r>
      <w:r>
        <w:rPr>
          <w:i/>
        </w:rPr>
        <w:t xml:space="preserve">all </w:t>
      </w:r>
      <w:r>
        <w:t>registered applications.</w:t>
      </w:r>
      <w:r>
        <w:rPr>
          <w:rStyle w:val="FootnoteReference"/>
        </w:rPr>
        <w:footnoteReference w:id="82"/>
      </w:r>
      <w:r>
        <w:t xml:space="preserve"> The maximum duration of this emergency procedure will be sixteen weeks.</w:t>
      </w:r>
      <w:r>
        <w:rPr>
          <w:rStyle w:val="FootnoteReference"/>
        </w:rPr>
        <w:footnoteReference w:id="83"/>
      </w:r>
      <w:r>
        <w:t xml:space="preserve"> In this manner, border procedures- at the border and transit zones- are normalised. They apply to all asylum applicants- who are all deemed to constitute a risk to national security- and for whom limited legal safeguards and detention will apply.</w:t>
      </w:r>
      <w:r>
        <w:rPr>
          <w:rStyle w:val="FootnoteReference"/>
        </w:rPr>
        <w:footnoteReference w:id="84"/>
      </w:r>
      <w:r>
        <w:t xml:space="preserve">  Reaching the border no longer means access to territory and results in serious derogations from and challenges to EU l</w:t>
      </w:r>
      <w:r w:rsidR="00D80D22">
        <w:t xml:space="preserve">aw. The preventive framing of </w:t>
      </w:r>
      <w:proofErr w:type="spellStart"/>
      <w:r w:rsidR="00D80D22">
        <w:t>ins</w:t>
      </w:r>
      <w:r>
        <w:t>trumentalissation</w:t>
      </w:r>
      <w:proofErr w:type="spellEnd"/>
      <w:r>
        <w:t xml:space="preserve"> is further discerned clearly in the </w:t>
      </w:r>
      <w:proofErr w:type="spellStart"/>
      <w:r>
        <w:t>Commissiion’s</w:t>
      </w:r>
      <w:proofErr w:type="spellEnd"/>
      <w:r>
        <w:t xml:space="preserve"> proposal to amend the Schengen Borders Code, which emphasises the objective to prevent unauthorised border crossings</w:t>
      </w:r>
      <w:r>
        <w:rPr>
          <w:rStyle w:val="FootnoteReference"/>
        </w:rPr>
        <w:footnoteReference w:id="85"/>
      </w:r>
      <w:r>
        <w:t xml:space="preserve"> via the increased use of technology.</w:t>
      </w:r>
      <w:r>
        <w:rPr>
          <w:rStyle w:val="FootnoteReference"/>
        </w:rPr>
        <w:footnoteReference w:id="86"/>
      </w:r>
      <w:r>
        <w:t xml:space="preserve"> The proposal to amend the Schengen Border Code further normalises the </w:t>
      </w:r>
      <w:r>
        <w:lastRenderedPageBreak/>
        <w:t xml:space="preserve">state practices justified by the Strasbourg Court in ND and NT by stating that in a situation of </w:t>
      </w:r>
      <w:proofErr w:type="spellStart"/>
      <w:r>
        <w:t>instrumentalisation</w:t>
      </w:r>
      <w:proofErr w:type="spellEnd"/>
      <w:r>
        <w:t xml:space="preserve"> of migrants Member States </w:t>
      </w:r>
      <w:r w:rsidRPr="00842F2D">
        <w:rPr>
          <w:rFonts w:ascii="inherit" w:hAnsi="inherit"/>
          <w:color w:val="000000"/>
          <w:bdr w:val="none" w:sz="0" w:space="0" w:color="auto" w:frame="1"/>
        </w:rPr>
        <w:t>may limit the number of border crossing points or their opening hours where the circumstances so require.</w:t>
      </w:r>
      <w:r w:rsidRPr="00842F2D">
        <w:rPr>
          <w:rStyle w:val="FootnoteReference"/>
          <w:rFonts w:ascii="inherit" w:hAnsi="inherit"/>
          <w:color w:val="000000"/>
          <w:bdr w:val="none" w:sz="0" w:space="0" w:color="auto" w:frame="1"/>
        </w:rPr>
        <w:footnoteReference w:id="87"/>
      </w:r>
    </w:p>
    <w:p w:rsidR="001241F6" w:rsidRDefault="001956C2" w:rsidP="001956C2">
      <w:pPr>
        <w:pStyle w:val="NormalWeb"/>
        <w:jc w:val="both"/>
      </w:pPr>
      <w:r>
        <w:t xml:space="preserve">The proposals on the </w:t>
      </w:r>
      <w:proofErr w:type="spellStart"/>
      <w:r>
        <w:t>instrumentalisation</w:t>
      </w:r>
      <w:proofErr w:type="spellEnd"/>
      <w:r>
        <w:t xml:space="preserve"> of migration normalise a state of emergency in the control of the EU external border and undermine further the rule of law and challenge fundamental rights enshrined in primary and secondary EU law. This normalisation has occurred on the basis of a knee-jerk political reaction which has resulted in an attempt to translate contested political judgments into legal terms.</w:t>
      </w:r>
      <w:r w:rsidR="00415A91">
        <w:rPr>
          <w:rStyle w:val="FootnoteReference"/>
        </w:rPr>
        <w:footnoteReference w:id="88"/>
      </w:r>
      <w:r>
        <w:t xml:space="preserve"> The result has been a legal definition of </w:t>
      </w:r>
      <w:proofErr w:type="spellStart"/>
      <w:r>
        <w:t>instrumentalsiation</w:t>
      </w:r>
      <w:proofErr w:type="spellEnd"/>
      <w:r>
        <w:t xml:space="preserve"> which is not compatible with the rule of law- it consists of terms which are vague and which do not meet the standards of legal certainty and foreseeability. Moreover, the Commission proposals do not include much detail on the process of deciding whether </w:t>
      </w:r>
      <w:proofErr w:type="spellStart"/>
      <w:r>
        <w:t>instrumentalisation</w:t>
      </w:r>
      <w:proofErr w:type="spellEnd"/>
      <w:r>
        <w:t xml:space="preserve"> is taking place-</w:t>
      </w:r>
      <w:r>
        <w:rPr>
          <w:rStyle w:val="FootnoteReference"/>
        </w:rPr>
        <w:footnoteReference w:id="89"/>
      </w:r>
      <w:r>
        <w:t xml:space="preserve"> and what the legal safeguards are to ensure that migrant representations are made during the decision-making process on whether </w:t>
      </w:r>
      <w:proofErr w:type="spellStart"/>
      <w:r>
        <w:t>instrumentalsiation</w:t>
      </w:r>
      <w:proofErr w:type="spellEnd"/>
      <w:r>
        <w:t xml:space="preserve"> is taking place and whether the decision to trigger the emergency procedure itself is subject to a legal remedy. The triggering of the emergency procedure on the grounds of </w:t>
      </w:r>
      <w:proofErr w:type="spellStart"/>
      <w:r>
        <w:t>instrumentalisation</w:t>
      </w:r>
      <w:proofErr w:type="spellEnd"/>
      <w:r>
        <w:t xml:space="preserve"> normalises state practices on </w:t>
      </w:r>
      <w:proofErr w:type="spellStart"/>
      <w:r>
        <w:t>broder</w:t>
      </w:r>
      <w:proofErr w:type="spellEnd"/>
      <w:r>
        <w:t xml:space="preserve"> procedures and the use of transit zones</w:t>
      </w:r>
      <w:r>
        <w:rPr>
          <w:rStyle w:val="FootnoteReference"/>
        </w:rPr>
        <w:footnoteReference w:id="90"/>
      </w:r>
      <w:r>
        <w:t xml:space="preserve"> linked with detention and the application of very limited legal safeguards to the migrants affected. The framing of </w:t>
      </w:r>
      <w:proofErr w:type="spellStart"/>
      <w:r>
        <w:t>instrumentalisation</w:t>
      </w:r>
      <w:proofErr w:type="spellEnd"/>
      <w:r>
        <w:t xml:space="preserve"> does away even with existing problematic attempts to risk assess migrants- and it treats </w:t>
      </w:r>
      <w:r w:rsidRPr="001241F6">
        <w:rPr>
          <w:i/>
        </w:rPr>
        <w:t xml:space="preserve">all </w:t>
      </w:r>
      <w:r>
        <w:t xml:space="preserve">migrants reaching the external border as high risk, </w:t>
      </w:r>
      <w:r w:rsidR="001241F6">
        <w:t xml:space="preserve">posing </w:t>
      </w:r>
      <w:r>
        <w:t xml:space="preserve">national security threats. </w:t>
      </w:r>
      <w:proofErr w:type="spellStart"/>
      <w:r>
        <w:t>Fundanentally</w:t>
      </w:r>
      <w:proofErr w:type="spellEnd"/>
      <w:r>
        <w:t>, treating individuals as instruments or weapons is a blatant denial of agency and rights, and becomes itself an instrument of dehumanisation</w:t>
      </w:r>
      <w:r>
        <w:rPr>
          <w:rStyle w:val="FootnoteReference"/>
        </w:rPr>
        <w:footnoteReference w:id="91"/>
      </w:r>
      <w:r>
        <w:t xml:space="preserve"> constituting a direct attack on human dignity.</w:t>
      </w:r>
    </w:p>
    <w:p w:rsidR="001241F6" w:rsidRDefault="001241F6" w:rsidP="001956C2">
      <w:pPr>
        <w:pStyle w:val="NormalWeb"/>
        <w:jc w:val="both"/>
      </w:pPr>
      <w:r>
        <w:lastRenderedPageBreak/>
        <w:t xml:space="preserve">The compatibility of the </w:t>
      </w:r>
      <w:proofErr w:type="spellStart"/>
      <w:r>
        <w:t>instrumentalisation</w:t>
      </w:r>
      <w:proofErr w:type="spellEnd"/>
      <w:r>
        <w:t xml:space="preserve"> proposals with the rule of law and with EU fundamental rights is questionable. The CJEU will have the opportunity to test the compatibility of national legislation preventing access to law on </w:t>
      </w:r>
      <w:proofErr w:type="spellStart"/>
      <w:r>
        <w:t>instrumentalisation</w:t>
      </w:r>
      <w:proofErr w:type="spellEnd"/>
      <w:r>
        <w:t xml:space="preserve"> grounds. In a pending case involving the enactment of legislation in Lithuania to address mass migration flows from Belarus, the Advocate General has issued his Opinion at the time of the finalisation of this article.</w:t>
      </w:r>
      <w:r>
        <w:rPr>
          <w:rStyle w:val="FootnoteReference"/>
        </w:rPr>
        <w:footnoteReference w:id="92"/>
      </w:r>
      <w:r>
        <w:t xml:space="preserve"> The case involves a request by Lithuania to derogate from EU asylum law, by evoking Article 72 TFEU, and by arguing that the mass influx of migrants would generate abuse as only a small number of these migrants would be ‘bona fide’ refugees, with the remaining individuals having the sole aim of being admitted into the Schengen area and to delay their return while being already in an irregular status.</w:t>
      </w:r>
      <w:r>
        <w:rPr>
          <w:rStyle w:val="FootnoteReference"/>
        </w:rPr>
        <w:footnoteReference w:id="93"/>
      </w:r>
      <w:r w:rsidR="00831926">
        <w:t xml:space="preserve"> Advocate General </w:t>
      </w:r>
      <w:proofErr w:type="spellStart"/>
      <w:r w:rsidR="00831926">
        <w:t>Emiliou</w:t>
      </w:r>
      <w:proofErr w:type="spellEnd"/>
      <w:r w:rsidR="00831926">
        <w:t xml:space="preserve"> rejected the request by the Lithuanian government to derogate from EU law, in a twin-track line of reasoning. Firstly, the AG held that existing EU asylum law already includes ways in which Member States can respond in situations of mass influx.</w:t>
      </w:r>
      <w:r w:rsidR="00831926">
        <w:rPr>
          <w:rStyle w:val="FootnoteReference"/>
        </w:rPr>
        <w:footnoteReference w:id="94"/>
      </w:r>
      <w:r w:rsidR="00831926">
        <w:t xml:space="preserve"> Secondly, the AG held that the national law in question is incompatible with EU fundamental rights law. The AG dismissed the argument of the Lithuanian government that the Strasbourg ruling in N.D. and N.T. was applicable in this case and justified the domestic legislation. The AG held that ND and NT </w:t>
      </w:r>
      <w:proofErr w:type="gramStart"/>
      <w:r w:rsidR="00831926">
        <w:t>was</w:t>
      </w:r>
      <w:proofErr w:type="gramEnd"/>
      <w:r w:rsidR="00831926">
        <w:t xml:space="preserve"> not applicable in the present case, </w:t>
      </w:r>
      <w:r w:rsidR="00CB64A8">
        <w:rPr>
          <w:rStyle w:val="FootnoteReference"/>
        </w:rPr>
        <w:footnoteReference w:id="95"/>
      </w:r>
      <w:r w:rsidR="00CB64A8">
        <w:t xml:space="preserve"> </w:t>
      </w:r>
      <w:r w:rsidR="00CB64A8" w:rsidRPr="00075F2A">
        <w:t xml:space="preserve">rejecting thus the normalisation of the framing by Member States of migrants as violent dangerous individuals </w:t>
      </w:r>
      <w:r w:rsidR="00774FFA" w:rsidRPr="00075F2A">
        <w:t>who do not merit protection.</w:t>
      </w:r>
      <w:r w:rsidR="00774FFA">
        <w:rPr>
          <w:b/>
        </w:rPr>
        <w:t xml:space="preserve">  </w:t>
      </w:r>
      <w:r w:rsidR="00774FFA">
        <w:t>I</w:t>
      </w:r>
      <w:r w:rsidR="00831926">
        <w:t xml:space="preserve">mportantly, </w:t>
      </w:r>
      <w:r w:rsidR="00774FFA">
        <w:t xml:space="preserve">the AG </w:t>
      </w:r>
      <w:r w:rsidR="00831926">
        <w:t xml:space="preserve">followed up </w:t>
      </w:r>
      <w:r w:rsidR="00774FFA">
        <w:t xml:space="preserve">this finding </w:t>
      </w:r>
      <w:r w:rsidR="00831926">
        <w:t>by expressly stating that even if one supposes that the Strasbourg judgment is understood as authorising states to not take into account an asylum application by third countr</w:t>
      </w:r>
      <w:bookmarkStart w:id="0" w:name="_GoBack"/>
      <w:bookmarkEnd w:id="0"/>
      <w:r w:rsidR="00831926">
        <w:t>y nationals who have entered irregularly in the framework of mass influx, EU law would provide a more extensive level of protection than the ECHR, on the basis of Articles 18 and 19(2) of the Charter.</w:t>
      </w:r>
      <w:r w:rsidR="00831926">
        <w:rPr>
          <w:rStyle w:val="FootnoteReference"/>
        </w:rPr>
        <w:footnoteReference w:id="96"/>
      </w:r>
      <w:r w:rsidR="00831926">
        <w:t xml:space="preserve"> This finding is extremely significant in establishing a constitutional basis for access to asylum in the EU. If confirmed by the Court, it will send the strongest signal possible on the incompatibility of both state practices of non-access to law and of the current Commission </w:t>
      </w:r>
      <w:proofErr w:type="spellStart"/>
      <w:r w:rsidR="00831926">
        <w:t>instrumentalisation</w:t>
      </w:r>
      <w:proofErr w:type="spellEnd"/>
      <w:r w:rsidR="00831926">
        <w:t xml:space="preserve"> proposals with EU law.</w:t>
      </w:r>
    </w:p>
    <w:p w:rsidR="00513E75" w:rsidRDefault="00513E75" w:rsidP="001956C2">
      <w:pPr>
        <w:pStyle w:val="NormalWeb"/>
        <w:jc w:val="both"/>
      </w:pPr>
    </w:p>
    <w:p w:rsidR="001956C2" w:rsidRDefault="00895AC6" w:rsidP="00405BAC">
      <w:pPr>
        <w:pStyle w:val="NormalWeb"/>
        <w:numPr>
          <w:ilvl w:val="0"/>
          <w:numId w:val="4"/>
        </w:numPr>
        <w:jc w:val="center"/>
        <w:rPr>
          <w:b/>
          <w:color w:val="000000"/>
        </w:rPr>
      </w:pPr>
      <w:r>
        <w:rPr>
          <w:b/>
          <w:color w:val="000000"/>
        </w:rPr>
        <w:t xml:space="preserve">Preventive (In)Justice and the Fiction of </w:t>
      </w:r>
      <w:r w:rsidR="001956C2">
        <w:rPr>
          <w:b/>
          <w:color w:val="000000"/>
        </w:rPr>
        <w:t>‘Non-entry’</w:t>
      </w:r>
    </w:p>
    <w:p w:rsidR="001956C2" w:rsidRPr="00675561" w:rsidRDefault="001956C2" w:rsidP="001956C2">
      <w:pPr>
        <w:pStyle w:val="NormalWeb"/>
        <w:jc w:val="both"/>
        <w:rPr>
          <w:b/>
        </w:rPr>
      </w:pPr>
      <w:r>
        <w:rPr>
          <w:color w:val="000000"/>
        </w:rPr>
        <w:t xml:space="preserve">Another layer of transformation of the external border into a site of preventive injustice is linked with the normalisation of border procedures in EU law, </w:t>
      </w:r>
      <w:proofErr w:type="gramStart"/>
      <w:r>
        <w:rPr>
          <w:color w:val="000000"/>
        </w:rPr>
        <w:t>While</w:t>
      </w:r>
      <w:proofErr w:type="gramEnd"/>
      <w:r>
        <w:rPr>
          <w:color w:val="000000"/>
        </w:rPr>
        <w:t xml:space="preserve"> pushbacks entail access to the territory without access to law, border procedures entail a legal fiction of ‘non-entry’,</w:t>
      </w:r>
      <w:r>
        <w:rPr>
          <w:rStyle w:val="FootnoteReference"/>
          <w:color w:val="000000"/>
        </w:rPr>
        <w:footnoteReference w:id="97"/>
      </w:r>
      <w:r>
        <w:rPr>
          <w:color w:val="000000"/>
        </w:rPr>
        <w:t xml:space="preserve"> although individuals have reached the external border, accompanied by limited access to law. Border procedures have appeared from the very first stage of the Common European Asylum </w:t>
      </w:r>
      <w:r>
        <w:rPr>
          <w:color w:val="000000"/>
        </w:rPr>
        <w:lastRenderedPageBreak/>
        <w:t>System (CEAS), with the 2005 asylum procedures Directive</w:t>
      </w:r>
      <w:r>
        <w:rPr>
          <w:rStyle w:val="FootnoteReference"/>
          <w:color w:val="000000"/>
        </w:rPr>
        <w:footnoteReference w:id="98"/>
      </w:r>
      <w:r>
        <w:rPr>
          <w:color w:val="000000"/>
        </w:rPr>
        <w:t xml:space="preserve"> allowing Member States to introduce border procedures at the border or in transit zones.</w:t>
      </w:r>
      <w:r>
        <w:rPr>
          <w:rStyle w:val="FootnoteReference"/>
          <w:color w:val="000000"/>
        </w:rPr>
        <w:footnoteReference w:id="99"/>
      </w:r>
      <w:r>
        <w:rPr>
          <w:color w:val="000000"/>
        </w:rPr>
        <w:t xml:space="preserve"> The introduction of border procedures must be seen within the broader context of the aim of prevention and deflection in the asylum procedures Directive, combined with the introduction of provisions on safe third countries and limited remedies.</w:t>
      </w:r>
      <w:r>
        <w:rPr>
          <w:rStyle w:val="FootnoteReference"/>
          <w:color w:val="000000"/>
        </w:rPr>
        <w:footnoteReference w:id="100"/>
      </w:r>
      <w:r>
        <w:rPr>
          <w:color w:val="000000"/>
        </w:rPr>
        <w:t xml:space="preserve"> It was noted at the time that border procedures </w:t>
      </w:r>
      <w:r w:rsidRPr="009932FF">
        <w:t>run counter to the acknowledged necessity of admitting asylum seekers to the territory, in order to carry out a proper asylum process.</w:t>
      </w:r>
      <w:r>
        <w:rPr>
          <w:rStyle w:val="FootnoteReference"/>
        </w:rPr>
        <w:footnoteReference w:id="101"/>
      </w:r>
      <w:r>
        <w:t xml:space="preserve">  Yet provisions on border procedures were retained in the recast asylum procedures Directive of </w:t>
      </w:r>
      <w:r w:rsidRPr="00895AC6">
        <w:t>2013.</w:t>
      </w:r>
      <w:r w:rsidRPr="00895AC6">
        <w:rPr>
          <w:rStyle w:val="FootnoteReference"/>
        </w:rPr>
        <w:footnoteReference w:id="102"/>
      </w:r>
      <w:r>
        <w:rPr>
          <w:b/>
        </w:rPr>
        <w:t xml:space="preserve"> </w:t>
      </w:r>
      <w:r>
        <w:t>Member States may introduce border procedures at the border, in transit zones</w:t>
      </w:r>
      <w:r>
        <w:rPr>
          <w:rStyle w:val="FootnoteReference"/>
        </w:rPr>
        <w:footnoteReference w:id="103"/>
      </w:r>
      <w:r>
        <w:t xml:space="preserve"> and, in </w:t>
      </w:r>
      <w:r w:rsidRPr="00E256E8">
        <w:rPr>
          <w:color w:val="000000"/>
        </w:rPr>
        <w:t xml:space="preserve">the event of </w:t>
      </w:r>
      <w:r w:rsidRPr="003A7443">
        <w:rPr>
          <w:color w:val="000000"/>
        </w:rPr>
        <w:t>arrivals involving a large number of third-country nationals at locations in proximity to the border or transit zone.</w:t>
      </w:r>
      <w:r w:rsidRPr="003A7443">
        <w:rPr>
          <w:rStyle w:val="FootnoteReference"/>
          <w:color w:val="000000"/>
        </w:rPr>
        <w:footnoteReference w:id="104"/>
      </w:r>
      <w:r>
        <w:rPr>
          <w:color w:val="000000"/>
        </w:rPr>
        <w:t xml:space="preserve"> Border procedures apply on a number of grounds, the majority of which relate to cases where the asylum seeker is viewed as a threat, as abusive or as </w:t>
      </w:r>
      <w:r w:rsidRPr="003A5FC9">
        <w:rPr>
          <w:i/>
          <w:color w:val="000000"/>
        </w:rPr>
        <w:t>mala fide</w:t>
      </w:r>
      <w:r>
        <w:rPr>
          <w:color w:val="000000"/>
        </w:rPr>
        <w:t>.</w:t>
      </w:r>
      <w:r>
        <w:rPr>
          <w:rStyle w:val="FootnoteReference"/>
          <w:color w:val="000000"/>
        </w:rPr>
        <w:footnoteReference w:id="105"/>
      </w:r>
      <w:r>
        <w:rPr>
          <w:color w:val="000000"/>
        </w:rPr>
        <w:t xml:space="preserve"> These include cases where the applicant is deemed to have misled the authorities; </w:t>
      </w:r>
      <w:r>
        <w:rPr>
          <w:rStyle w:val="FootnoteReference"/>
          <w:color w:val="000000"/>
        </w:rPr>
        <w:footnoteReference w:id="106"/>
      </w:r>
      <w:r>
        <w:rPr>
          <w:color w:val="000000"/>
        </w:rPr>
        <w:t xml:space="preserve"> it </w:t>
      </w:r>
      <w:r>
        <w:rPr>
          <w:rFonts w:ascii="inherit" w:hAnsi="inherit"/>
          <w:color w:val="000000"/>
        </w:rPr>
        <w:t xml:space="preserve">is likely that, </w:t>
      </w:r>
      <w:r w:rsidRPr="003A5FC9">
        <w:rPr>
          <w:rFonts w:ascii="inherit" w:hAnsi="inherit"/>
          <w:color w:val="000000"/>
        </w:rPr>
        <w:t>in bad faith, the applicant has destroyed or disposed of an identity or travel document that would have helped establish his or her identity or nationality;</w:t>
      </w:r>
      <w:r w:rsidRPr="003A5FC9">
        <w:rPr>
          <w:rStyle w:val="FootnoteReference"/>
          <w:rFonts w:ascii="inherit" w:hAnsi="inherit"/>
          <w:color w:val="000000"/>
        </w:rPr>
        <w:footnoteReference w:id="107"/>
      </w:r>
      <w:r w:rsidRPr="003A5FC9">
        <w:rPr>
          <w:rFonts w:ascii="inherit" w:hAnsi="inherit"/>
          <w:color w:val="000000"/>
        </w:rPr>
        <w:t xml:space="preserve"> </w:t>
      </w:r>
      <w:r>
        <w:rPr>
          <w:rFonts w:ascii="inherit" w:hAnsi="inherit"/>
          <w:color w:val="000000"/>
        </w:rPr>
        <w:t xml:space="preserve">the </w:t>
      </w:r>
      <w:r w:rsidRPr="003A5FC9">
        <w:rPr>
          <w:rFonts w:ascii="inherit" w:hAnsi="inherit"/>
          <w:color w:val="000000"/>
        </w:rPr>
        <w:t>applicant has made clearly inconsistent and contradictory, clearly false or obviously improbable representations which contradict sufficiently verified country-of-origin information, thus making his or her claim clearly unconvincing;</w:t>
      </w:r>
      <w:r w:rsidRPr="003A5FC9">
        <w:rPr>
          <w:rStyle w:val="FootnoteReference"/>
          <w:rFonts w:ascii="inherit" w:hAnsi="inherit"/>
          <w:color w:val="000000"/>
        </w:rPr>
        <w:footnoteReference w:id="108"/>
      </w:r>
      <w:r w:rsidRPr="003A5FC9">
        <w:rPr>
          <w:rFonts w:ascii="inherit" w:hAnsi="inherit"/>
          <w:color w:val="000000"/>
        </w:rPr>
        <w:t xml:space="preserve"> </w:t>
      </w:r>
      <w:r>
        <w:rPr>
          <w:rFonts w:ascii="inherit" w:hAnsi="inherit"/>
          <w:color w:val="000000"/>
        </w:rPr>
        <w:t xml:space="preserve">the </w:t>
      </w:r>
      <w:r w:rsidRPr="003A5FC9">
        <w:rPr>
          <w:rFonts w:ascii="inherit" w:hAnsi="inherit"/>
          <w:color w:val="000000"/>
        </w:rPr>
        <w:t>applicant is making an application merely in order to delay or frustrate the enforcement of an earlier or imminent decision which would result in his or her removal;</w:t>
      </w:r>
      <w:r w:rsidRPr="003A5FC9">
        <w:rPr>
          <w:rStyle w:val="FootnoteReference"/>
          <w:rFonts w:ascii="inherit" w:hAnsi="inherit"/>
          <w:color w:val="000000"/>
        </w:rPr>
        <w:footnoteReference w:id="109"/>
      </w:r>
      <w:r w:rsidRPr="003A5FC9">
        <w:rPr>
          <w:rFonts w:ascii="inherit" w:hAnsi="inherit"/>
          <w:color w:val="000000"/>
        </w:rPr>
        <w:t xml:space="preserve"> </w:t>
      </w:r>
      <w:r>
        <w:rPr>
          <w:rFonts w:ascii="inherit" w:hAnsi="inherit"/>
          <w:color w:val="000000"/>
        </w:rPr>
        <w:t xml:space="preserve">the </w:t>
      </w:r>
      <w:r w:rsidRPr="003A5FC9">
        <w:rPr>
          <w:rFonts w:ascii="inherit" w:hAnsi="inherit"/>
          <w:color w:val="000000"/>
        </w:rPr>
        <w:t xml:space="preserve">applicant entered </w:t>
      </w:r>
      <w:r w:rsidRPr="003A5FC9">
        <w:rPr>
          <w:rFonts w:ascii="inherit" w:hAnsi="inherit"/>
          <w:color w:val="000000"/>
        </w:rPr>
        <w:lastRenderedPageBreak/>
        <w:t>the territory of the Member State unlawfully or prolonged his or her stay unlawfully and, without good reason, has either not presented himself or herself to the authorities or not made an application for international protection as soon as possible, given the circumstances of his or her entry;</w:t>
      </w:r>
      <w:r w:rsidRPr="003A5FC9">
        <w:rPr>
          <w:rStyle w:val="FootnoteReference"/>
          <w:rFonts w:ascii="inherit" w:hAnsi="inherit"/>
          <w:color w:val="000000"/>
        </w:rPr>
        <w:footnoteReference w:id="110"/>
      </w:r>
      <w:r w:rsidRPr="003A5FC9">
        <w:rPr>
          <w:rFonts w:ascii="inherit" w:hAnsi="inherit"/>
          <w:color w:val="000000"/>
        </w:rPr>
        <w:t xml:space="preserve"> the applicant refuses to comply with an obligation to have his or her fingerprints taken in accordance with the </w:t>
      </w:r>
      <w:proofErr w:type="spellStart"/>
      <w:r w:rsidRPr="003A5FC9">
        <w:rPr>
          <w:rFonts w:ascii="inherit" w:hAnsi="inherit"/>
          <w:color w:val="000000"/>
        </w:rPr>
        <w:t>Eurodac</w:t>
      </w:r>
      <w:proofErr w:type="spellEnd"/>
      <w:r w:rsidRPr="003A5FC9">
        <w:rPr>
          <w:rFonts w:ascii="inherit" w:hAnsi="inherit"/>
          <w:color w:val="000000"/>
        </w:rPr>
        <w:t xml:space="preserve"> Regulation; </w:t>
      </w:r>
      <w:r w:rsidRPr="003A5FC9">
        <w:rPr>
          <w:rStyle w:val="FootnoteReference"/>
          <w:rFonts w:ascii="inherit" w:hAnsi="inherit"/>
          <w:color w:val="000000"/>
        </w:rPr>
        <w:footnoteReference w:id="111"/>
      </w:r>
      <w:r w:rsidRPr="003A5FC9">
        <w:rPr>
          <w:rFonts w:ascii="inherit" w:hAnsi="inherit"/>
          <w:color w:val="000000"/>
        </w:rPr>
        <w:t>and</w:t>
      </w:r>
      <w:r>
        <w:rPr>
          <w:rFonts w:ascii="inherit" w:hAnsi="inherit"/>
          <w:color w:val="000000"/>
        </w:rPr>
        <w:t xml:space="preserve"> the</w:t>
      </w:r>
      <w:r w:rsidRPr="003A5FC9">
        <w:rPr>
          <w:rFonts w:ascii="inherit" w:hAnsi="inherit"/>
          <w:color w:val="000000"/>
        </w:rPr>
        <w:t xml:space="preserve"> applicant may, for serious reasons, be considered a danger to the national security or public order of the Member State, or the applicant has been forcibly expelled for serious reasons of public security or public order under national law.</w:t>
      </w:r>
      <w:r w:rsidRPr="003A5FC9">
        <w:rPr>
          <w:rStyle w:val="FootnoteReference"/>
          <w:rFonts w:ascii="inherit" w:hAnsi="inherit"/>
          <w:color w:val="000000"/>
        </w:rPr>
        <w:footnoteReference w:id="112"/>
      </w:r>
      <w:r>
        <w:rPr>
          <w:rFonts w:ascii="inherit" w:hAnsi="inherit"/>
          <w:color w:val="000000"/>
        </w:rPr>
        <w:t xml:space="preserve"> </w:t>
      </w:r>
      <w:r w:rsidRPr="00675561">
        <w:rPr>
          <w:rFonts w:ascii="inherit" w:hAnsi="inherit"/>
          <w:color w:val="000000"/>
        </w:rPr>
        <w:t>Border procedures thus reflect a preventive paradigm targeting the unwanted migrant who is portrayed increasingly as unworthy of full legal protection.</w:t>
      </w:r>
    </w:p>
    <w:p w:rsidR="001956C2" w:rsidRPr="00675561" w:rsidRDefault="001956C2" w:rsidP="001956C2">
      <w:pPr>
        <w:jc w:val="both"/>
        <w:rPr>
          <w:rFonts w:ascii="Times New Roman" w:hAnsi="Times New Roman" w:cs="Times New Roman"/>
          <w:sz w:val="24"/>
          <w:szCs w:val="24"/>
        </w:rPr>
      </w:pPr>
      <w:r>
        <w:rPr>
          <w:rFonts w:ascii="inherit" w:hAnsi="inherit"/>
          <w:color w:val="000000"/>
        </w:rPr>
        <w:t xml:space="preserve">The implementation of the recast asylum procedures Directive has demonstrated a serious rule of law deficit in Member States’ handling of border procedures. </w:t>
      </w:r>
      <w:proofErr w:type="spellStart"/>
      <w:r>
        <w:rPr>
          <w:rFonts w:ascii="inherit" w:hAnsi="inherit"/>
          <w:color w:val="000000"/>
        </w:rPr>
        <w:t>Cornelisse</w:t>
      </w:r>
      <w:proofErr w:type="spellEnd"/>
      <w:r>
        <w:rPr>
          <w:rFonts w:ascii="inherit" w:hAnsi="inherit"/>
          <w:color w:val="000000"/>
        </w:rPr>
        <w:t xml:space="preserve"> has noted that </w:t>
      </w:r>
      <w:r w:rsidRPr="00675561">
        <w:t xml:space="preserve">border procedures </w:t>
      </w:r>
      <w:r w:rsidRPr="0014605B">
        <w:rPr>
          <w:rFonts w:ascii="Times New Roman" w:hAnsi="Times New Roman" w:cs="Times New Roman"/>
          <w:sz w:val="24"/>
          <w:szCs w:val="24"/>
        </w:rPr>
        <w:t>are generally carried out in transit zones or international zones of airports, spaces that form fully part</w:t>
      </w:r>
      <w:r w:rsidRPr="00675561">
        <w:t xml:space="preserve"> </w:t>
      </w:r>
      <w:r w:rsidRPr="00675561">
        <w:rPr>
          <w:rFonts w:ascii="Times New Roman" w:hAnsi="Times New Roman" w:cs="Times New Roman"/>
          <w:sz w:val="24"/>
          <w:szCs w:val="24"/>
        </w:rPr>
        <w:t>of the territory of the state, and over which the state exercises jurisdiction and they generally entail deprivation of liberty either in a conventional detention centre, or because the applicants’ situation legally and factually amounts to a deprivation of liberty.</w:t>
      </w:r>
      <w:r w:rsidRPr="00675561">
        <w:rPr>
          <w:rStyle w:val="FootnoteReference"/>
          <w:rFonts w:ascii="Times New Roman" w:hAnsi="Times New Roman" w:cs="Times New Roman"/>
          <w:sz w:val="24"/>
          <w:szCs w:val="24"/>
        </w:rPr>
        <w:footnoteReference w:id="113"/>
      </w:r>
      <w:r w:rsidRPr="00675561">
        <w:rPr>
          <w:rFonts w:ascii="Times New Roman" w:hAnsi="Times New Roman" w:cs="Times New Roman"/>
          <w:sz w:val="24"/>
          <w:szCs w:val="24"/>
        </w:rPr>
        <w:t xml:space="preserve"> A study by the European Parliament has highlighted the lack of a common understanding among Member States of what a border procedure is, with Implementation is far from uniform and violations of the right to liberty, the prohibition of refoulement, the right to asylum and the right to an effective remedy occur on a structural basis. The Report notes in detail that some Member States deny legal entry to applicants at the border and process their asylum applications while their freedom of movement is restricted or their liberty is deprived, but do not qualify this procedure as a border procedure in national law-   employing thus a border procedure as a matter of fact, while dispensing with the EU law provisions governing them. It is further noted that the many facultative grounds that may justify the use of a border procedure laid down in Articles 33 and 31(8) APD contain many terms that may be interpreted broadly or restrictively by the Member State and that EU law is also not clear on whether border procedures may be used at internal borders. Moreover, Article 20(2) and the procedures Directive leaves it to the Member States to decide whether they grant a right to free legal assistance in the administrative phase of the border procedure. </w:t>
      </w:r>
      <w:r w:rsidRPr="00675561">
        <w:rPr>
          <w:rStyle w:val="FootnoteReference"/>
          <w:rFonts w:ascii="Times New Roman" w:hAnsi="Times New Roman" w:cs="Times New Roman"/>
          <w:sz w:val="24"/>
          <w:szCs w:val="24"/>
        </w:rPr>
        <w:footnoteReference w:id="114"/>
      </w:r>
    </w:p>
    <w:p w:rsidR="001956C2" w:rsidRDefault="001956C2" w:rsidP="001956C2">
      <w:pPr>
        <w:pStyle w:val="NormalWeb"/>
        <w:shd w:val="clear" w:color="auto" w:fill="FFFFFF"/>
        <w:spacing w:before="0" w:beforeAutospacing="0" w:after="0" w:afterAutospacing="0" w:line="345" w:lineRule="atLeast"/>
        <w:jc w:val="both"/>
        <w:textAlignment w:val="baseline"/>
      </w:pPr>
      <w:r w:rsidRPr="00610BC8">
        <w:t>Notwithstanding the rule of law challenges in the design and implementation of border procedures in EU law, the Pact on Migration and Asylum attempts to normalise them further.</w:t>
      </w:r>
      <w:r>
        <w:rPr>
          <w:b/>
        </w:rPr>
        <w:t xml:space="preserve"> </w:t>
      </w:r>
      <w:r>
        <w:t>The amended Commission proposal for an asylum procedures Directive</w:t>
      </w:r>
      <w:r>
        <w:rPr>
          <w:rStyle w:val="FootnoteReference"/>
        </w:rPr>
        <w:footnoteReference w:id="115"/>
      </w:r>
      <w:r>
        <w:t xml:space="preserve"> is underpinned by a preventive agenda informed by the perception of asylum seekers as abusive and expanding the concept of unwanted third country national to those who are deemed having a low chance </w:t>
      </w:r>
      <w:r>
        <w:lastRenderedPageBreak/>
        <w:t>of receiving international protection. The aim of the proposal is to provide</w:t>
      </w:r>
      <w:r w:rsidRPr="00610BC8">
        <w:t xml:space="preserve"> ‘tools to respond to abuses of asylum procedures and preventing unauthorised movements.’</w:t>
      </w:r>
      <w:r w:rsidRPr="00610BC8">
        <w:rPr>
          <w:rStyle w:val="FootnoteReference"/>
        </w:rPr>
        <w:footnoteReference w:id="116"/>
      </w:r>
      <w:r w:rsidRPr="00610BC8">
        <w:t xml:space="preserve"> The Commission put forward a joint asylum and return procedure- aiming to stop third country nationals at the border and to swiftly return them if their application is rejected- whose purpose is ‘to quickly assess abusive asylum requests or asylum requests made at the external border by applicants coming from third countries with a low recognition rate in order to swiftly return those without a right to stay in the Union- with the joint asylum and return border procedure perceived as an important migration management tool to prevent unauthorised entries and unauthorised movements, in particular as mixed flows include a significant share of asylum applicants who come from countries with a low recognition rate.</w:t>
      </w:r>
      <w:r w:rsidRPr="00610BC8">
        <w:rPr>
          <w:rStyle w:val="FootnoteReference"/>
        </w:rPr>
        <w:footnoteReference w:id="117"/>
      </w:r>
      <w:r>
        <w:t xml:space="preserve"> The Pact thus puts forward what the Commission calls ‘a new pre-entry phase’ consisting of pre-screening, a more developed accelerated procedure and a border procedure for asylum and return.</w:t>
      </w:r>
      <w:r>
        <w:rPr>
          <w:rStyle w:val="FootnoteReference"/>
        </w:rPr>
        <w:footnoteReference w:id="118"/>
      </w:r>
      <w:r>
        <w:t xml:space="preserve"> New rules on asylum procedures are justified on the grounds of preventing </w:t>
      </w:r>
      <w:r w:rsidRPr="00610BC8">
        <w:t>migrants from delaying procedures for the sole purpose of preventing their removal from the Union and misusing the asylum system.</w:t>
      </w:r>
      <w:r w:rsidRPr="00610BC8">
        <w:rPr>
          <w:rStyle w:val="FootnoteReference"/>
        </w:rPr>
        <w:footnoteReference w:id="119"/>
      </w:r>
      <w:r>
        <w:t xml:space="preserve"> The Commission proposal extends significantly the grounds of applying border procedures, normalising them on the external border,</w:t>
      </w:r>
      <w:r>
        <w:rPr>
          <w:rStyle w:val="FootnoteReference"/>
        </w:rPr>
        <w:footnoteReference w:id="120"/>
      </w:r>
      <w:r>
        <w:t xml:space="preserve"> and states expressly that applicants subject to the border procedure will not be authorised to enter the territory of the Member State.</w:t>
      </w:r>
      <w:r>
        <w:rPr>
          <w:rStyle w:val="FootnoteReference"/>
        </w:rPr>
        <w:footnoteReference w:id="121"/>
      </w:r>
      <w:r>
        <w:t xml:space="preserve"> </w:t>
      </w:r>
    </w:p>
    <w:p w:rsidR="001956C2" w:rsidRDefault="001956C2" w:rsidP="001956C2">
      <w:pPr>
        <w:pStyle w:val="NormalWeb"/>
        <w:shd w:val="clear" w:color="auto" w:fill="FFFFFF"/>
        <w:spacing w:before="0" w:beforeAutospacing="0" w:after="0" w:afterAutospacing="0" w:line="345" w:lineRule="atLeast"/>
        <w:jc w:val="both"/>
        <w:textAlignment w:val="baseline"/>
      </w:pPr>
    </w:p>
    <w:p w:rsidR="001956C2" w:rsidRPr="00985388" w:rsidRDefault="001956C2" w:rsidP="001956C2">
      <w:pPr>
        <w:pStyle w:val="NormalWeb"/>
        <w:shd w:val="clear" w:color="auto" w:fill="FFFFFF"/>
        <w:spacing w:before="0" w:beforeAutospacing="0" w:after="0" w:afterAutospacing="0" w:line="345" w:lineRule="atLeast"/>
        <w:jc w:val="both"/>
        <w:textAlignment w:val="baseline"/>
      </w:pPr>
      <w:r w:rsidRPr="00985388">
        <w:t>The Commission’s preventive approach based on the fiction of ‘non-entry’ is further confirmed by its proposal for a pre-screening Regulation accompanying the amended procedures Directive.</w:t>
      </w:r>
      <w:r w:rsidRPr="00985388">
        <w:rPr>
          <w:rStyle w:val="FootnoteReference"/>
        </w:rPr>
        <w:footnoteReference w:id="122"/>
      </w:r>
      <w:r w:rsidRPr="00985388">
        <w:t xml:space="preserve"> Pre-entry screening will apply (as with the procedures Directive) to both third country nationals who are present at the external border without fulfilling the entry conditions and to third country nationals after disembarkation, following a search and rescue operation.</w:t>
      </w:r>
      <w:r w:rsidRPr="00985388">
        <w:rPr>
          <w:rStyle w:val="FootnoteReference"/>
        </w:rPr>
        <w:footnoteReference w:id="123"/>
      </w:r>
      <w:r w:rsidRPr="00985388">
        <w:t xml:space="preserve"> The perception of third country nationals (regardless of their protection needs) as unwanted and as dangerous is thus again being normalised and extends to health and security risks- with pre-screening entailing entering third country nationals to the wide web of EU migration surveillance infrastructures including the EU migration databases such as the SIS and the registration of biometrics.</w:t>
      </w:r>
      <w:r w:rsidRPr="00985388">
        <w:rPr>
          <w:rStyle w:val="FootnoteReference"/>
        </w:rPr>
        <w:footnoteReference w:id="124"/>
      </w:r>
      <w:r w:rsidRPr="00985388">
        <w:t xml:space="preserve"> The preventive framework of pre-entry screening is confirmed </w:t>
      </w:r>
      <w:r w:rsidRPr="00985388">
        <w:lastRenderedPageBreak/>
        <w:t>throughout the text of the draft Regulation. Screening should be conducted at or in proximity to the external border, before the persons concerned are authorised to enter the territory- with Member States called to apply measures pursuant to national law to prevent the persons concerned from entering the territory during the screening, a process which may include detention.</w:t>
      </w:r>
      <w:r w:rsidRPr="00985388">
        <w:rPr>
          <w:rStyle w:val="FootnoteReference"/>
        </w:rPr>
        <w:footnoteReference w:id="125"/>
      </w:r>
      <w:r w:rsidRPr="00985388">
        <w:t xml:space="preserve"> The pre-screening procedure is aimed at being speedy</w:t>
      </w:r>
      <w:r>
        <w:rPr>
          <w:rStyle w:val="FootnoteReference"/>
        </w:rPr>
        <w:footnoteReference w:id="126"/>
      </w:r>
      <w:r w:rsidRPr="00985388">
        <w:t xml:space="preserve"> and during screening the third country nationals involved will not be authorised to enter the territory of a Member State</w:t>
      </w:r>
      <w:r>
        <w:t>.</w:t>
      </w:r>
      <w:r>
        <w:rPr>
          <w:rStyle w:val="FootnoteReference"/>
        </w:rPr>
        <w:footnoteReference w:id="127"/>
      </w:r>
    </w:p>
    <w:p w:rsidR="001956C2" w:rsidRPr="00985388" w:rsidRDefault="001956C2" w:rsidP="001956C2">
      <w:pPr>
        <w:pStyle w:val="NormalWeb"/>
        <w:shd w:val="clear" w:color="auto" w:fill="FFFFFF"/>
        <w:spacing w:before="0" w:beforeAutospacing="0" w:after="0" w:afterAutospacing="0" w:line="345" w:lineRule="atLeast"/>
        <w:jc w:val="both"/>
        <w:textAlignment w:val="baseline"/>
      </w:pPr>
    </w:p>
    <w:p w:rsidR="001956C2" w:rsidRPr="00B65F7A" w:rsidRDefault="001956C2" w:rsidP="001956C2">
      <w:pPr>
        <w:pStyle w:val="NormalWeb"/>
        <w:shd w:val="clear" w:color="auto" w:fill="FFFFFF"/>
        <w:spacing w:before="0" w:beforeAutospacing="0" w:after="0" w:afterAutospacing="0" w:line="345" w:lineRule="atLeast"/>
        <w:jc w:val="both"/>
        <w:textAlignment w:val="baseline"/>
        <w:rPr>
          <w:color w:val="333333"/>
          <w:shd w:val="clear" w:color="auto" w:fill="FFFFFF"/>
        </w:rPr>
      </w:pPr>
      <w:r w:rsidRPr="005E423F">
        <w:t xml:space="preserve">The negative consequences of the preventive approach embraced in the Pact for the rights of asylum seekers have been well-documented by scholars. Vested-Hansen has noted that </w:t>
      </w:r>
      <w:r w:rsidRPr="005E423F">
        <w:rPr>
          <w:color w:val="333333"/>
          <w:shd w:val="clear" w:color="auto" w:fill="FFFFFF"/>
        </w:rPr>
        <w:t xml:space="preserve">the asylum border procedure will in practice merge or overlap with, or have blurred boundaries toward, the pre-entry screening procedure </w:t>
      </w:r>
      <w:r>
        <w:rPr>
          <w:color w:val="333333"/>
          <w:shd w:val="clear" w:color="auto" w:fill="FFFFFF"/>
        </w:rPr>
        <w:t>and the return border procedure- leading to</w:t>
      </w:r>
      <w:r w:rsidRPr="005E423F">
        <w:rPr>
          <w:color w:val="333333"/>
          <w:shd w:val="clear" w:color="auto" w:fill="FFFFFF"/>
        </w:rPr>
        <w:t xml:space="preserve"> a serious risk of deviating from crucial procedural safeguards for asylum seekers and further undermining the effectiveness of the substantive EU rules on qualification of refugees and other third-country nationals in need of protection</w:t>
      </w:r>
      <w:r>
        <w:rPr>
          <w:color w:val="333333"/>
          <w:shd w:val="clear" w:color="auto" w:fill="FFFFFF"/>
        </w:rPr>
        <w:t>.</w:t>
      </w:r>
      <w:r w:rsidRPr="005E423F">
        <w:rPr>
          <w:rStyle w:val="FootnoteReference"/>
        </w:rPr>
        <w:footnoteReference w:id="128"/>
      </w:r>
      <w:r>
        <w:rPr>
          <w:color w:val="333333"/>
          <w:shd w:val="clear" w:color="auto" w:fill="FFFFFF"/>
        </w:rPr>
        <w:t xml:space="preserve"> The generalisation of the fiction of ‘non-entry’ generates significant rule of law challenges. In a manner reminiscent of the Strasbourg Court’s approach in ND and NT, notwithstanding having managed to reach the EU external border, third country nationals are deemed not to have reached the territory of EU Member States. ‘Non-entry’ does not lead to complete negation of the law (as with pushbacks), but to prevention of access to the full asylum procedure and safeguards under EU law. </w:t>
      </w:r>
      <w:proofErr w:type="spellStart"/>
      <w:r>
        <w:rPr>
          <w:color w:val="333333"/>
          <w:shd w:val="clear" w:color="auto" w:fill="FFFFFF"/>
        </w:rPr>
        <w:t>Cassarino</w:t>
      </w:r>
      <w:proofErr w:type="spellEnd"/>
      <w:r>
        <w:rPr>
          <w:color w:val="333333"/>
          <w:shd w:val="clear" w:color="auto" w:fill="FFFFFF"/>
        </w:rPr>
        <w:t xml:space="preserve"> and Marin have called this a process of </w:t>
      </w:r>
      <w:proofErr w:type="spellStart"/>
      <w:r>
        <w:rPr>
          <w:color w:val="333333"/>
          <w:shd w:val="clear" w:color="auto" w:fill="FFFFFF"/>
        </w:rPr>
        <w:t>deterritorialisation</w:t>
      </w:r>
      <w:proofErr w:type="spellEnd"/>
      <w:r>
        <w:rPr>
          <w:color w:val="333333"/>
          <w:shd w:val="clear" w:color="auto" w:fill="FFFFFF"/>
        </w:rPr>
        <w:t>, whereby territory is separated from the legal order.</w:t>
      </w:r>
      <w:r>
        <w:rPr>
          <w:rStyle w:val="FootnoteReference"/>
          <w:color w:val="333333"/>
          <w:shd w:val="clear" w:color="auto" w:fill="FFFFFF"/>
        </w:rPr>
        <w:footnoteReference w:id="129"/>
      </w:r>
      <w:r>
        <w:rPr>
          <w:color w:val="333333"/>
          <w:shd w:val="clear" w:color="auto" w:fill="FFFFFF"/>
        </w:rPr>
        <w:t xml:space="preserve"> This process may lead to a serious rule of law deficit, whereby national practices of confinement and detention at the border (or even within the territory of Member States) are </w:t>
      </w:r>
      <w:r>
        <w:rPr>
          <w:color w:val="333333"/>
          <w:shd w:val="clear" w:color="auto" w:fill="FFFFFF"/>
        </w:rPr>
        <w:lastRenderedPageBreak/>
        <w:t>deemed not to constitute entry to the territory.</w:t>
      </w:r>
      <w:r>
        <w:rPr>
          <w:rStyle w:val="FootnoteReference"/>
          <w:color w:val="333333"/>
          <w:shd w:val="clear" w:color="auto" w:fill="FFFFFF"/>
        </w:rPr>
        <w:footnoteReference w:id="130"/>
      </w:r>
      <w:r>
        <w:rPr>
          <w:color w:val="333333"/>
          <w:shd w:val="clear" w:color="auto" w:fill="FFFFFF"/>
        </w:rPr>
        <w:t xml:space="preserve"> In this manner, the EU asylum process is transformed from a process of asylum applications within the territory of the Member States governed by the full safeguards of EU law to a situation whereby the majority of asylum-seekers are kept at the border and out of the territory, with limited legal safeguards and with the aim of the process being essentially speedy removal.</w:t>
      </w:r>
      <w:r>
        <w:rPr>
          <w:rStyle w:val="FootnoteReference"/>
          <w:color w:val="333333"/>
          <w:shd w:val="clear" w:color="auto" w:fill="FFFFFF"/>
        </w:rPr>
        <w:footnoteReference w:id="131"/>
      </w:r>
      <w:r>
        <w:rPr>
          <w:color w:val="333333"/>
          <w:shd w:val="clear" w:color="auto" w:fill="FFFFFF"/>
        </w:rPr>
        <w:t xml:space="preserve"> This approach reflects clearly the preventive paradigm in EU border control viewing third country nationals as a threat. As Elspeth Guild has eloquently noted, the</w:t>
      </w:r>
      <w:r w:rsidRPr="00B65F7A">
        <w:rPr>
          <w:color w:val="333333"/>
          <w:shd w:val="clear" w:color="auto" w:fill="FFFFFF"/>
        </w:rPr>
        <w:t xml:space="preserve"> presumption is that anyone who arrives irregularly must by definition be unwanted in the EU.</w:t>
      </w:r>
      <w:r w:rsidRPr="00B65F7A">
        <w:rPr>
          <w:rStyle w:val="FootnoteReference"/>
          <w:color w:val="333333"/>
          <w:shd w:val="clear" w:color="auto" w:fill="FFFFFF"/>
        </w:rPr>
        <w:footnoteReference w:id="132"/>
      </w:r>
    </w:p>
    <w:p w:rsidR="001956C2" w:rsidRDefault="001956C2" w:rsidP="001956C2">
      <w:pPr>
        <w:pStyle w:val="NormalWeb"/>
        <w:shd w:val="clear" w:color="auto" w:fill="FFFFFF"/>
        <w:spacing w:before="0" w:beforeAutospacing="0" w:after="0" w:afterAutospacing="0" w:line="345" w:lineRule="atLeast"/>
        <w:textAlignment w:val="baseline"/>
      </w:pPr>
    </w:p>
    <w:p w:rsidR="001956C2" w:rsidRPr="00C87DBD" w:rsidRDefault="001956C2" w:rsidP="00C87DBD">
      <w:pPr>
        <w:shd w:val="clear" w:color="auto" w:fill="FFFFFF"/>
        <w:spacing w:after="0" w:line="240" w:lineRule="auto"/>
        <w:textAlignment w:val="baseline"/>
        <w:rPr>
          <w:rFonts w:ascii="Segoe UI" w:eastAsia="Times New Roman" w:hAnsi="Segoe UI" w:cs="Segoe UI"/>
          <w:color w:val="201F1E"/>
          <w:sz w:val="23"/>
          <w:szCs w:val="23"/>
          <w:lang w:eastAsia="en-GB"/>
        </w:rPr>
      </w:pPr>
    </w:p>
    <w:p w:rsidR="001956C2" w:rsidRPr="006344C0" w:rsidRDefault="001956C2" w:rsidP="001956C2">
      <w:pPr>
        <w:jc w:val="both"/>
        <w:rPr>
          <w:rFonts w:ascii="Times New Roman" w:hAnsi="Times New Roman" w:cs="Times New Roman"/>
          <w:sz w:val="24"/>
          <w:szCs w:val="24"/>
        </w:rPr>
      </w:pPr>
    </w:p>
    <w:p w:rsidR="001956C2" w:rsidRDefault="00895AC6" w:rsidP="00405BAC">
      <w:pPr>
        <w:pStyle w:val="NormalWeb"/>
        <w:numPr>
          <w:ilvl w:val="0"/>
          <w:numId w:val="4"/>
        </w:numPr>
        <w:jc w:val="center"/>
        <w:rPr>
          <w:b/>
          <w:color w:val="000000"/>
        </w:rPr>
      </w:pPr>
      <w:r>
        <w:rPr>
          <w:b/>
          <w:color w:val="000000"/>
        </w:rPr>
        <w:t xml:space="preserve">Preventive (In)Justice as Preventive </w:t>
      </w:r>
      <w:r w:rsidR="00405BAC">
        <w:rPr>
          <w:b/>
          <w:color w:val="000000"/>
        </w:rPr>
        <w:t>D</w:t>
      </w:r>
      <w:r w:rsidR="001956C2">
        <w:rPr>
          <w:b/>
          <w:color w:val="000000"/>
        </w:rPr>
        <w:t>etention</w:t>
      </w:r>
    </w:p>
    <w:p w:rsidR="001956C2" w:rsidRPr="002A534D" w:rsidRDefault="001956C2" w:rsidP="001956C2">
      <w:pPr>
        <w:pStyle w:val="NormalWeb"/>
        <w:jc w:val="both"/>
        <w:rPr>
          <w:color w:val="000000"/>
        </w:rPr>
      </w:pPr>
      <w:r>
        <w:rPr>
          <w:color w:val="000000"/>
        </w:rPr>
        <w:t>The rule of law challenges posed by the preventive paradigm of control at the EU external border are exacerbated by the gradual normalisation of detention at the border. Immigration detention is a key example of the criminalisation of migration, with coercive state intervention which is similar to imprisonment and involving deprivation of liberty being applied for conduct which is not a criminal, but an administrative matter, and to persons who have not committed any criminal offence.</w:t>
      </w:r>
      <w:r>
        <w:rPr>
          <w:rStyle w:val="FootnoteReference"/>
          <w:color w:val="000000"/>
        </w:rPr>
        <w:footnoteReference w:id="133"/>
      </w:r>
      <w:r>
        <w:rPr>
          <w:color w:val="000000"/>
        </w:rPr>
        <w:t xml:space="preserve"> The crimina</w:t>
      </w:r>
      <w:r w:rsidR="006C0765">
        <w:rPr>
          <w:color w:val="000000"/>
        </w:rPr>
        <w:t>l</w:t>
      </w:r>
      <w:r>
        <w:rPr>
          <w:color w:val="000000"/>
        </w:rPr>
        <w:t xml:space="preserve">isation of migration through immigration detention is based on a strong preventive rationale, underpinned by the view of the migrant as a risk. As </w:t>
      </w:r>
      <w:proofErr w:type="spellStart"/>
      <w:r>
        <w:rPr>
          <w:color w:val="000000"/>
        </w:rPr>
        <w:t>Campesi</w:t>
      </w:r>
      <w:proofErr w:type="spellEnd"/>
      <w:r>
        <w:rPr>
          <w:color w:val="000000"/>
        </w:rPr>
        <w:t xml:space="preserve"> has noted, immigration detention is</w:t>
      </w:r>
      <w:r w:rsidRPr="002A534D">
        <w:rPr>
          <w:color w:val="000000"/>
        </w:rPr>
        <w:t xml:space="preserve"> </w:t>
      </w:r>
      <w:r w:rsidRPr="002A534D">
        <w:t>an inherently punitive measure having a powerful stigmatizing effect, strengthening the public perception that irregular migration is tied to crime and disorder and depends on the characterization of migrants not just as unwanted outsiders but also as potentially dangerous subjects.</w:t>
      </w:r>
      <w:r w:rsidRPr="002A534D">
        <w:rPr>
          <w:rStyle w:val="FootnoteReference"/>
        </w:rPr>
        <w:footnoteReference w:id="134"/>
      </w:r>
      <w:r>
        <w:t xml:space="preserve">  </w:t>
      </w:r>
      <w:proofErr w:type="spellStart"/>
      <w:r>
        <w:t>Campesi</w:t>
      </w:r>
      <w:proofErr w:type="spellEnd"/>
      <w:r>
        <w:t xml:space="preserve"> adds eloquently that:</w:t>
      </w:r>
    </w:p>
    <w:p w:rsidR="001956C2" w:rsidRPr="002A534D" w:rsidRDefault="001956C2" w:rsidP="001956C2">
      <w:pPr>
        <w:jc w:val="both"/>
        <w:rPr>
          <w:rFonts w:ascii="Times New Roman" w:hAnsi="Times New Roman" w:cs="Times New Roman"/>
          <w:sz w:val="24"/>
          <w:szCs w:val="24"/>
        </w:rPr>
      </w:pPr>
      <w:r w:rsidRPr="002A534D">
        <w:rPr>
          <w:rFonts w:ascii="Times New Roman" w:hAnsi="Times New Roman" w:cs="Times New Roman"/>
          <w:sz w:val="24"/>
          <w:szCs w:val="24"/>
        </w:rPr>
        <w:t xml:space="preserve">‘immigration detention that can be related to the symbolic dimension of penalties… clearly belongs to the family of preventive measures, given that in its implementation it follows the logic of a control model in which the exercise of coercive powers is not justified on account of </w:t>
      </w:r>
      <w:r w:rsidRPr="002A534D">
        <w:rPr>
          <w:rFonts w:ascii="Times New Roman" w:hAnsi="Times New Roman" w:cs="Times New Roman"/>
          <w:sz w:val="24"/>
          <w:szCs w:val="24"/>
        </w:rPr>
        <w:lastRenderedPageBreak/>
        <w:t>‘individual responsibility’ and ‘culpability’, but rather is based on the construction of abstract typologies of ‘dangerous individuals’ identified as presenting risks to society…according to this argument, migrants placed in detention are never considered to be full legal subjects but are taken into custody precisely because they are deemed irresponsible and untrustworthy.’</w:t>
      </w:r>
      <w:r w:rsidRPr="002A534D">
        <w:rPr>
          <w:rStyle w:val="FootnoteReference"/>
          <w:rFonts w:ascii="Times New Roman" w:hAnsi="Times New Roman" w:cs="Times New Roman"/>
          <w:sz w:val="24"/>
          <w:szCs w:val="24"/>
        </w:rPr>
        <w:footnoteReference w:id="135"/>
      </w:r>
    </w:p>
    <w:p w:rsidR="001956C2" w:rsidRDefault="001956C2" w:rsidP="001956C2">
      <w:pPr>
        <w:jc w:val="both"/>
        <w:rPr>
          <w:rFonts w:ascii="Times New Roman" w:hAnsi="Times New Roman" w:cs="Times New Roman"/>
          <w:color w:val="000000"/>
          <w:sz w:val="24"/>
          <w:szCs w:val="24"/>
        </w:rPr>
      </w:pPr>
      <w:r>
        <w:rPr>
          <w:rFonts w:ascii="Times New Roman" w:hAnsi="Times New Roman" w:cs="Times New Roman"/>
          <w:sz w:val="24"/>
          <w:szCs w:val="24"/>
        </w:rPr>
        <w:t>This preventive character of immigration detention based on the perception of the migrant as risk is reflected in EU law, which contains a number of provisions allowing immigration detention in the territory. EU asylum law (the reception conditions Directive and the Dublin Regulation) and EU immigration law (the Return Directive) all contain provisions on detention and at the heart of the justification of detention in all three instruments is the perception of migrants as constituting a ‘risk of absconding.’</w:t>
      </w:r>
      <w:r>
        <w:rPr>
          <w:rStyle w:val="FootnoteReference"/>
          <w:rFonts w:ascii="Times New Roman" w:hAnsi="Times New Roman" w:cs="Times New Roman"/>
          <w:sz w:val="24"/>
          <w:szCs w:val="24"/>
        </w:rPr>
        <w:footnoteReference w:id="136"/>
      </w:r>
      <w:r>
        <w:rPr>
          <w:rFonts w:ascii="Times New Roman" w:hAnsi="Times New Roman" w:cs="Times New Roman"/>
          <w:sz w:val="24"/>
          <w:szCs w:val="24"/>
        </w:rPr>
        <w:t xml:space="preserve"> The criminal law undertones of the terminology of ‘risk of absconding’ have been noted by authors </w:t>
      </w:r>
      <w:r>
        <w:rPr>
          <w:rStyle w:val="FootnoteReference"/>
          <w:rFonts w:ascii="Times New Roman" w:hAnsi="Times New Roman" w:cs="Times New Roman"/>
          <w:sz w:val="24"/>
          <w:szCs w:val="24"/>
        </w:rPr>
        <w:footnoteReference w:id="137"/>
      </w:r>
      <w:r>
        <w:rPr>
          <w:rFonts w:ascii="Times New Roman" w:hAnsi="Times New Roman" w:cs="Times New Roman"/>
          <w:sz w:val="24"/>
          <w:szCs w:val="24"/>
        </w:rPr>
        <w:t xml:space="preserve"> reflecting a framing of the migrant as risk and resulting potentially intro further criminalisation of migration through the (over)use of immigration detention by Member States. The CJEU has attempted to place limits to national discretion in defining grounds of detention by requiring a minimum of rule of law safeguards related to the quality and foreseeability of law</w:t>
      </w:r>
      <w:r>
        <w:rPr>
          <w:rStyle w:val="FootnoteReference"/>
          <w:rFonts w:ascii="Times New Roman" w:hAnsi="Times New Roman" w:cs="Times New Roman"/>
          <w:sz w:val="24"/>
          <w:szCs w:val="24"/>
        </w:rPr>
        <w:footnoteReference w:id="138"/>
      </w:r>
      <w:r>
        <w:rPr>
          <w:rFonts w:ascii="Times New Roman" w:hAnsi="Times New Roman" w:cs="Times New Roman"/>
          <w:sz w:val="24"/>
          <w:szCs w:val="24"/>
        </w:rPr>
        <w:t xml:space="preserve"> and requiring legislation to articulate clearly </w:t>
      </w:r>
      <w:r w:rsidRPr="00BE5677">
        <w:rPr>
          <w:rFonts w:ascii="Times New Roman" w:eastAsia="Times New Roman" w:hAnsi="Times New Roman" w:cs="Times New Roman"/>
          <w:color w:val="000000"/>
          <w:sz w:val="24"/>
          <w:szCs w:val="24"/>
          <w:lang w:eastAsia="en-GB"/>
        </w:rPr>
        <w:t>objective criteria underlying the reasons for believing that an applicant may abscond.</w:t>
      </w:r>
      <w:r w:rsidRPr="00BE5677">
        <w:rPr>
          <w:rStyle w:val="FootnoteReference"/>
          <w:rFonts w:ascii="Times New Roman" w:eastAsia="Times New Roman" w:hAnsi="Times New Roman" w:cs="Times New Roman"/>
          <w:color w:val="000000"/>
          <w:sz w:val="24"/>
          <w:szCs w:val="24"/>
          <w:lang w:eastAsia="en-GB"/>
        </w:rPr>
        <w:footnoteReference w:id="139"/>
      </w:r>
      <w:r>
        <w:rPr>
          <w:rFonts w:ascii="Times New Roman" w:eastAsia="Times New Roman" w:hAnsi="Times New Roman" w:cs="Times New Roman"/>
          <w:color w:val="000000"/>
          <w:sz w:val="24"/>
          <w:szCs w:val="24"/>
          <w:lang w:eastAsia="en-GB"/>
        </w:rPr>
        <w:t xml:space="preserve"> However, the CJEU has in another ruling justified detention in order to prevent risk </w:t>
      </w:r>
      <w:r>
        <w:rPr>
          <w:rFonts w:ascii="Times New Roman" w:eastAsia="Times New Roman" w:hAnsi="Times New Roman" w:cs="Times New Roman"/>
          <w:color w:val="000000"/>
          <w:sz w:val="24"/>
          <w:szCs w:val="24"/>
          <w:lang w:eastAsia="en-GB"/>
        </w:rPr>
        <w:lastRenderedPageBreak/>
        <w:t>of absconding 3in the asylum process on the basis of the proper functioning of the Common European Asylum System</w:t>
      </w:r>
      <w:r>
        <w:rPr>
          <w:rStyle w:val="FootnoteReference"/>
          <w:rFonts w:ascii="Times New Roman" w:eastAsia="Times New Roman" w:hAnsi="Times New Roman" w:cs="Times New Roman"/>
          <w:color w:val="000000"/>
          <w:sz w:val="24"/>
          <w:szCs w:val="24"/>
          <w:lang w:eastAsia="en-GB"/>
        </w:rPr>
        <w:footnoteReference w:id="140"/>
      </w:r>
      <w:r>
        <w:rPr>
          <w:rFonts w:ascii="Times New Roman" w:eastAsia="Times New Roman" w:hAnsi="Times New Roman" w:cs="Times New Roman"/>
          <w:color w:val="000000"/>
          <w:sz w:val="24"/>
          <w:szCs w:val="24"/>
          <w:lang w:eastAsia="en-GB"/>
        </w:rPr>
        <w:t xml:space="preserve"> with detention allowing the applicant to </w:t>
      </w:r>
      <w:r w:rsidRPr="008A63F0">
        <w:rPr>
          <w:rFonts w:ascii="Times New Roman" w:hAnsi="Times New Roman" w:cs="Times New Roman"/>
          <w:color w:val="000000"/>
          <w:sz w:val="24"/>
          <w:szCs w:val="24"/>
        </w:rPr>
        <w:t xml:space="preserve">be available to the national authorities so that they are able, to interview him and, consequently, to contribute to the </w:t>
      </w:r>
      <w:r w:rsidRPr="00BE5677">
        <w:rPr>
          <w:rFonts w:ascii="Times New Roman" w:hAnsi="Times New Roman" w:cs="Times New Roman"/>
          <w:color w:val="000000"/>
          <w:sz w:val="24"/>
          <w:szCs w:val="24"/>
        </w:rPr>
        <w:t>prevention of possible secondary movements.</w:t>
      </w:r>
      <w:r w:rsidRPr="00BE5677">
        <w:rPr>
          <w:rStyle w:val="FootnoteReference"/>
          <w:rFonts w:ascii="Times New Roman" w:hAnsi="Times New Roman" w:cs="Times New Roman"/>
          <w:color w:val="000000"/>
          <w:sz w:val="24"/>
          <w:szCs w:val="24"/>
        </w:rPr>
        <w:footnoteReference w:id="141"/>
      </w:r>
      <w:r w:rsidRPr="00BE5677">
        <w:rPr>
          <w:rFonts w:ascii="Times New Roman" w:hAnsi="Times New Roman" w:cs="Times New Roman"/>
          <w:color w:val="000000"/>
          <w:sz w:val="24"/>
          <w:szCs w:val="24"/>
        </w:rPr>
        <w:t xml:space="preserve"> The right to liberty this takes second place to the preventive aims of immigration detention, with the CJEU normalising detention by elevating it to a con</w:t>
      </w:r>
      <w:r>
        <w:rPr>
          <w:rFonts w:ascii="Times New Roman" w:hAnsi="Times New Roman" w:cs="Times New Roman"/>
          <w:color w:val="000000"/>
          <w:sz w:val="24"/>
          <w:szCs w:val="24"/>
        </w:rPr>
        <w:t>stituent element of the effectiv</w:t>
      </w:r>
      <w:r w:rsidRPr="00BE5677">
        <w:rPr>
          <w:rFonts w:ascii="Times New Roman" w:hAnsi="Times New Roman" w:cs="Times New Roman"/>
          <w:color w:val="000000"/>
          <w:sz w:val="24"/>
          <w:szCs w:val="24"/>
        </w:rPr>
        <w:t>e functioning of the Common European Asylum System.</w:t>
      </w:r>
      <w:r w:rsidRPr="00BE5677">
        <w:rPr>
          <w:rStyle w:val="FootnoteReference"/>
          <w:rFonts w:ascii="Times New Roman" w:hAnsi="Times New Roman" w:cs="Times New Roman"/>
          <w:color w:val="000000"/>
          <w:sz w:val="24"/>
          <w:szCs w:val="24"/>
        </w:rPr>
        <w:footnoteReference w:id="142"/>
      </w:r>
    </w:p>
    <w:p w:rsidR="001956C2" w:rsidRDefault="001956C2" w:rsidP="001956C2">
      <w:pPr>
        <w:jc w:val="both"/>
        <w:rPr>
          <w:rFonts w:ascii="Times New Roman" w:hAnsi="Times New Roman" w:cs="Times New Roman"/>
          <w:color w:val="1C1D1E"/>
          <w:sz w:val="24"/>
          <w:szCs w:val="24"/>
          <w:shd w:val="clear" w:color="auto" w:fill="FFFFFF"/>
        </w:rPr>
      </w:pPr>
      <w:r>
        <w:rPr>
          <w:rFonts w:ascii="Times New Roman" w:hAnsi="Times New Roman" w:cs="Times New Roman"/>
          <w:color w:val="000000"/>
          <w:sz w:val="24"/>
          <w:szCs w:val="24"/>
        </w:rPr>
        <w:t>The practices of immigration detention within the territory of EU Member States has been increasingly accompanied by detention at the border. It has been documented that the implementation of border procedures by EU Member States have led widely to immigration detention.</w:t>
      </w:r>
      <w:r>
        <w:rPr>
          <w:rStyle w:val="FootnoteReference"/>
          <w:rFonts w:ascii="Times New Roman" w:hAnsi="Times New Roman" w:cs="Times New Roman"/>
          <w:color w:val="000000"/>
          <w:sz w:val="24"/>
          <w:szCs w:val="24"/>
        </w:rPr>
        <w:footnoteReference w:id="143"/>
      </w:r>
      <w:r>
        <w:rPr>
          <w:rFonts w:ascii="Times New Roman" w:hAnsi="Times New Roman" w:cs="Times New Roman"/>
          <w:color w:val="000000"/>
          <w:sz w:val="24"/>
          <w:szCs w:val="24"/>
        </w:rPr>
        <w:t xml:space="preserve">  </w:t>
      </w:r>
      <w:r w:rsidRPr="000324B0">
        <w:rPr>
          <w:rFonts w:ascii="Times New Roman" w:hAnsi="Times New Roman" w:cs="Times New Roman"/>
          <w:color w:val="000000"/>
          <w:sz w:val="24"/>
          <w:szCs w:val="24"/>
        </w:rPr>
        <w:t xml:space="preserve">It has been noted in particular that </w:t>
      </w:r>
      <w:r w:rsidRPr="000324B0">
        <w:rPr>
          <w:rFonts w:ascii="Times New Roman" w:hAnsi="Times New Roman" w:cs="Times New Roman"/>
          <w:sz w:val="24"/>
          <w:szCs w:val="24"/>
        </w:rPr>
        <w:t>secondary EU law, by not clearly defining the relationship between border procedures and detention, leaves Member States too much scope for applying de facto detention practices.</w:t>
      </w:r>
      <w:r>
        <w:rPr>
          <w:rStyle w:val="FootnoteReference"/>
          <w:rFonts w:ascii="Times New Roman" w:hAnsi="Times New Roman" w:cs="Times New Roman"/>
          <w:sz w:val="24"/>
          <w:szCs w:val="24"/>
        </w:rPr>
        <w:footnoteReference w:id="144"/>
      </w:r>
      <w:r>
        <w:rPr>
          <w:rFonts w:ascii="Times New Roman" w:hAnsi="Times New Roman" w:cs="Times New Roman"/>
          <w:sz w:val="24"/>
          <w:szCs w:val="24"/>
        </w:rPr>
        <w:t xml:space="preserve"> This lack of clarity leads to considerable diversity </w:t>
      </w:r>
      <w:r w:rsidRPr="000324B0">
        <w:rPr>
          <w:rFonts w:ascii="Times New Roman" w:hAnsi="Times New Roman" w:cs="Times New Roman"/>
          <w:sz w:val="24"/>
          <w:szCs w:val="24"/>
        </w:rPr>
        <w:t xml:space="preserve">as regards the legal treatment of detention between Member States- </w:t>
      </w:r>
      <w:r w:rsidRPr="000324B0">
        <w:rPr>
          <w:rFonts w:ascii="Times New Roman" w:hAnsi="Times New Roman" w:cs="Times New Roman"/>
          <w:color w:val="1C1D1E"/>
          <w:sz w:val="24"/>
          <w:szCs w:val="24"/>
          <w:shd w:val="clear" w:color="auto" w:fill="FFFFFF"/>
        </w:rPr>
        <w:t>The result is that practices that are qualified as detention by one Member State may not be seen as such by another. </w:t>
      </w:r>
      <w:r w:rsidRPr="000324B0">
        <w:rPr>
          <w:rStyle w:val="FootnoteReference"/>
          <w:rFonts w:ascii="Times New Roman" w:hAnsi="Times New Roman" w:cs="Times New Roman"/>
          <w:color w:val="1C1D1E"/>
          <w:sz w:val="24"/>
          <w:szCs w:val="24"/>
          <w:shd w:val="clear" w:color="auto" w:fill="FFFFFF"/>
        </w:rPr>
        <w:footnoteReference w:id="145"/>
      </w:r>
      <w:r>
        <w:rPr>
          <w:rFonts w:ascii="Times New Roman" w:hAnsi="Times New Roman" w:cs="Times New Roman"/>
          <w:color w:val="1C1D1E"/>
          <w:sz w:val="24"/>
          <w:szCs w:val="24"/>
          <w:shd w:val="clear" w:color="auto" w:fill="FFFFFF"/>
        </w:rPr>
        <w:t xml:space="preserve"> This diversity does not only demonstrate a lack of harmonisation, but also generates significant rule of law challenges.  Member States mislabel detention practices and do not treat confinement of migrants as immigration detention, resulting in the non-applicability of EU law, including fundamental rights, standards in the detention of third country nationals. </w:t>
      </w:r>
    </w:p>
    <w:p w:rsidR="001956C2" w:rsidRDefault="001956C2" w:rsidP="001956C2">
      <w:pPr>
        <w:jc w:val="both"/>
        <w:rPr>
          <w:rFonts w:ascii="Times New Roman" w:hAnsi="Times New Roman" w:cs="Times New Roman"/>
          <w:color w:val="000000"/>
          <w:sz w:val="24"/>
          <w:szCs w:val="24"/>
        </w:rPr>
      </w:pPr>
      <w:r>
        <w:rPr>
          <w:rFonts w:ascii="Times New Roman" w:hAnsi="Times New Roman" w:cs="Times New Roman"/>
          <w:color w:val="1C1D1E"/>
          <w:sz w:val="24"/>
          <w:szCs w:val="24"/>
          <w:shd w:val="clear" w:color="auto" w:fill="FFFFFF"/>
        </w:rPr>
        <w:t>The Court of Justice has attempted to address this rule of law deficit resulting from the reluctance of Member States to call detention by its name in the case of Commission v Hungary, involving immigration detention in transit zones.</w:t>
      </w:r>
      <w:r>
        <w:rPr>
          <w:rStyle w:val="FootnoteReference"/>
          <w:rFonts w:ascii="Times New Roman" w:hAnsi="Times New Roman" w:cs="Times New Roman"/>
          <w:color w:val="1C1D1E"/>
          <w:sz w:val="24"/>
          <w:szCs w:val="24"/>
          <w:shd w:val="clear" w:color="auto" w:fill="FFFFFF"/>
        </w:rPr>
        <w:footnoteReference w:id="146"/>
      </w:r>
      <w:r>
        <w:rPr>
          <w:rFonts w:ascii="Times New Roman" w:hAnsi="Times New Roman" w:cs="Times New Roman"/>
          <w:color w:val="1C1D1E"/>
          <w:sz w:val="24"/>
          <w:szCs w:val="24"/>
          <w:shd w:val="clear" w:color="auto" w:fill="FFFFFF"/>
        </w:rPr>
        <w:t xml:space="preserve"> The Court held that </w:t>
      </w:r>
      <w:r w:rsidRPr="00231877">
        <w:rPr>
          <w:color w:val="000000"/>
          <w:sz w:val="27"/>
          <w:szCs w:val="27"/>
        </w:rPr>
        <w:t xml:space="preserve">the </w:t>
      </w:r>
      <w:r w:rsidRPr="00231877">
        <w:rPr>
          <w:rFonts w:ascii="Times New Roman" w:hAnsi="Times New Roman" w:cs="Times New Roman"/>
          <w:color w:val="000000"/>
          <w:sz w:val="24"/>
          <w:szCs w:val="24"/>
        </w:rPr>
        <w:t>detention of an applicant for international protection is an autonomous concept of EU law</w:t>
      </w:r>
      <w:r w:rsidRPr="00144214">
        <w:rPr>
          <w:rFonts w:ascii="Times New Roman" w:hAnsi="Times New Roman" w:cs="Times New Roman"/>
          <w:color w:val="000000"/>
          <w:sz w:val="24"/>
          <w:szCs w:val="24"/>
        </w:rPr>
        <w:t xml:space="preserve"> understood as any coercive measure that deprives that applicant of his or her freedom of movement and isolates him or her from the rest of the population, by requiring him or her to remain permanently within a restricted and closed perimeter</w:t>
      </w:r>
      <w:r>
        <w:rPr>
          <w:rFonts w:ascii="Times New Roman" w:hAnsi="Times New Roman" w:cs="Times New Roman"/>
          <w:color w:val="000000"/>
          <w:sz w:val="24"/>
          <w:szCs w:val="24"/>
        </w:rPr>
        <w:t xml:space="preserve">. </w:t>
      </w:r>
      <w:r>
        <w:rPr>
          <w:rStyle w:val="FootnoteReference"/>
          <w:rFonts w:ascii="Times New Roman" w:hAnsi="Times New Roman" w:cs="Times New Roman"/>
          <w:color w:val="000000"/>
          <w:sz w:val="24"/>
          <w:szCs w:val="24"/>
        </w:rPr>
        <w:footnoteReference w:id="147"/>
      </w:r>
      <w:r>
        <w:rPr>
          <w:rFonts w:ascii="Times New Roman" w:hAnsi="Times New Roman" w:cs="Times New Roman"/>
          <w:color w:val="000000"/>
          <w:sz w:val="24"/>
          <w:szCs w:val="24"/>
        </w:rPr>
        <w:t xml:space="preserve"> The use of autonomous concepts is </w:t>
      </w:r>
      <w:r>
        <w:rPr>
          <w:rFonts w:ascii="Times New Roman" w:hAnsi="Times New Roman" w:cs="Times New Roman"/>
          <w:color w:val="000000"/>
          <w:sz w:val="24"/>
          <w:szCs w:val="24"/>
        </w:rPr>
        <w:lastRenderedPageBreak/>
        <w:t>not only an attempt by the Court to manage legal diversity,</w:t>
      </w:r>
      <w:r>
        <w:rPr>
          <w:rStyle w:val="FootnoteReference"/>
          <w:rFonts w:ascii="Times New Roman" w:hAnsi="Times New Roman" w:cs="Times New Roman"/>
          <w:color w:val="000000"/>
          <w:sz w:val="24"/>
          <w:szCs w:val="24"/>
        </w:rPr>
        <w:footnoteReference w:id="148"/>
      </w:r>
      <w:r>
        <w:rPr>
          <w:rFonts w:ascii="Times New Roman" w:hAnsi="Times New Roman" w:cs="Times New Roman"/>
          <w:color w:val="000000"/>
          <w:sz w:val="24"/>
          <w:szCs w:val="24"/>
        </w:rPr>
        <w:t xml:space="preserve"> but can also be seen as an attempt to uphold the rule of law by bringing practices of detention within the scope of EU law. In another ruling involving border procedures, the Court has held that the concept of detention has the same meaning across EU immigration and asylum law,</w:t>
      </w:r>
      <w:r>
        <w:rPr>
          <w:rStyle w:val="FootnoteReference"/>
          <w:rFonts w:ascii="Times New Roman" w:hAnsi="Times New Roman" w:cs="Times New Roman"/>
          <w:color w:val="000000"/>
          <w:sz w:val="24"/>
          <w:szCs w:val="24"/>
        </w:rPr>
        <w:footnoteReference w:id="149"/>
      </w:r>
      <w:r>
        <w:rPr>
          <w:rFonts w:ascii="Times New Roman" w:hAnsi="Times New Roman" w:cs="Times New Roman"/>
          <w:color w:val="000000"/>
          <w:sz w:val="24"/>
          <w:szCs w:val="24"/>
        </w:rPr>
        <w:t xml:space="preserve"> and articulated a number of safeguards underpinning the imposition of immigration detention in EU asylum law.</w:t>
      </w:r>
      <w:r>
        <w:rPr>
          <w:rStyle w:val="FootnoteReference"/>
          <w:rFonts w:ascii="Times New Roman" w:hAnsi="Times New Roman" w:cs="Times New Roman"/>
          <w:color w:val="000000"/>
          <w:sz w:val="24"/>
          <w:szCs w:val="24"/>
        </w:rPr>
        <w:footnoteReference w:id="150"/>
      </w:r>
      <w:r>
        <w:rPr>
          <w:rFonts w:ascii="Times New Roman" w:hAnsi="Times New Roman" w:cs="Times New Roman"/>
          <w:color w:val="000000"/>
          <w:sz w:val="24"/>
          <w:szCs w:val="24"/>
        </w:rPr>
        <w:t xml:space="preserve"> These safeguards include multiple proportionality checks</w:t>
      </w:r>
      <w:r>
        <w:rPr>
          <w:rStyle w:val="FootnoteReference"/>
          <w:rFonts w:ascii="Times New Roman" w:hAnsi="Times New Roman" w:cs="Times New Roman"/>
          <w:color w:val="000000"/>
          <w:sz w:val="24"/>
          <w:szCs w:val="24"/>
        </w:rPr>
        <w:footnoteReference w:id="151"/>
      </w:r>
      <w:r>
        <w:rPr>
          <w:rFonts w:ascii="Times New Roman" w:hAnsi="Times New Roman" w:cs="Times New Roman"/>
          <w:color w:val="000000"/>
          <w:sz w:val="24"/>
          <w:szCs w:val="24"/>
        </w:rPr>
        <w:t xml:space="preserve"> including establishing through an individual assessment that less coercive measures would not be effective.</w:t>
      </w:r>
      <w:r>
        <w:rPr>
          <w:rStyle w:val="FootnoteReference"/>
          <w:rFonts w:ascii="Times New Roman" w:hAnsi="Times New Roman" w:cs="Times New Roman"/>
          <w:color w:val="000000"/>
          <w:sz w:val="24"/>
          <w:szCs w:val="24"/>
        </w:rPr>
        <w:footnoteReference w:id="152"/>
      </w:r>
      <w:r>
        <w:rPr>
          <w:rFonts w:ascii="Times New Roman" w:hAnsi="Times New Roman" w:cs="Times New Roman"/>
          <w:color w:val="000000"/>
          <w:sz w:val="24"/>
          <w:szCs w:val="24"/>
        </w:rPr>
        <w:t xml:space="preserve"> N</w:t>
      </w:r>
      <w:r w:rsidRPr="007B71F4">
        <w:rPr>
          <w:rFonts w:ascii="Times New Roman" w:hAnsi="Times New Roman" w:cs="Times New Roman"/>
          <w:color w:val="000000"/>
          <w:sz w:val="24"/>
          <w:szCs w:val="24"/>
        </w:rPr>
        <w:t>ational authorities cannot place an applicant for international protection in detention without having previously determined, on a case-by-case basis, whether such detention is proportionate to the aims which it pursue</w:t>
      </w:r>
      <w:r>
        <w:rPr>
          <w:rFonts w:ascii="Times New Roman" w:hAnsi="Times New Roman" w:cs="Times New Roman"/>
          <w:color w:val="000000"/>
          <w:sz w:val="24"/>
          <w:szCs w:val="24"/>
        </w:rPr>
        <w:t>s.</w:t>
      </w:r>
      <w:r>
        <w:rPr>
          <w:rStyle w:val="FootnoteReference"/>
          <w:rFonts w:ascii="Times New Roman" w:hAnsi="Times New Roman" w:cs="Times New Roman"/>
          <w:color w:val="000000"/>
          <w:sz w:val="24"/>
          <w:szCs w:val="24"/>
        </w:rPr>
        <w:footnoteReference w:id="153"/>
      </w:r>
    </w:p>
    <w:p w:rsidR="001956C2" w:rsidRDefault="001956C2" w:rsidP="001956C2">
      <w:pPr>
        <w:jc w:val="both"/>
        <w:rPr>
          <w:rFonts w:ascii="Times New Roman" w:hAnsi="Times New Roman" w:cs="Times New Roman"/>
          <w:color w:val="000000"/>
          <w:sz w:val="24"/>
          <w:szCs w:val="24"/>
        </w:rPr>
      </w:pPr>
      <w:r>
        <w:rPr>
          <w:rFonts w:ascii="Times New Roman" w:hAnsi="Times New Roman" w:cs="Times New Roman"/>
          <w:color w:val="000000"/>
          <w:sz w:val="24"/>
          <w:szCs w:val="24"/>
        </w:rPr>
        <w:t>The Court of Justice’s rule of law parameters on immigration detention are important in assessing the move towards the normalisation of detention in the Pact</w:t>
      </w:r>
      <w:r w:rsidR="00DE2D92">
        <w:rPr>
          <w:rFonts w:ascii="Times New Roman" w:hAnsi="Times New Roman" w:cs="Times New Roman"/>
          <w:color w:val="000000"/>
          <w:sz w:val="24"/>
          <w:szCs w:val="24"/>
        </w:rPr>
        <w:t>- which as seen above extends the categories of third country nationals subject to border procedures and pre-screening measures while allowing the detention of third country nationals for these purposes</w:t>
      </w:r>
      <w:r>
        <w:rPr>
          <w:rFonts w:ascii="Times New Roman" w:hAnsi="Times New Roman" w:cs="Times New Roman"/>
          <w:color w:val="000000"/>
          <w:sz w:val="24"/>
          <w:szCs w:val="24"/>
        </w:rPr>
        <w:t>.</w:t>
      </w:r>
      <w:r w:rsidR="00DE2D92">
        <w:rPr>
          <w:rStyle w:val="FootnoteReference"/>
          <w:rFonts w:ascii="Times New Roman" w:hAnsi="Times New Roman" w:cs="Times New Roman"/>
          <w:color w:val="000000"/>
          <w:sz w:val="24"/>
          <w:szCs w:val="24"/>
        </w:rPr>
        <w:footnoteReference w:id="154"/>
      </w:r>
      <w:r>
        <w:rPr>
          <w:rFonts w:ascii="Times New Roman" w:hAnsi="Times New Roman" w:cs="Times New Roman"/>
          <w:color w:val="000000"/>
          <w:sz w:val="24"/>
          <w:szCs w:val="24"/>
        </w:rPr>
        <w:t xml:space="preserve"> Firstly, it is clear from the Court’s case-law treating detention as a broad, autonomous concept, that EU law is applicable to national detention practices, including de facto detention, which may result from the implementation of the new asylum procedures and pre-screening measures</w:t>
      </w:r>
      <w:r>
        <w:rPr>
          <w:rStyle w:val="FootnoteReference"/>
          <w:rFonts w:ascii="Times New Roman" w:hAnsi="Times New Roman" w:cs="Times New Roman"/>
          <w:color w:val="000000"/>
          <w:sz w:val="24"/>
          <w:szCs w:val="24"/>
        </w:rPr>
        <w:footnoteReference w:id="155"/>
      </w:r>
      <w:r>
        <w:rPr>
          <w:rFonts w:ascii="Times New Roman" w:hAnsi="Times New Roman" w:cs="Times New Roman"/>
          <w:color w:val="000000"/>
          <w:sz w:val="24"/>
          <w:szCs w:val="24"/>
        </w:rPr>
        <w:t>- including detention in transit zones and within the territory. Secondly, it is clear that the proportionality test developed by the CJEU requires an individualised, case-by-0case assessment of the necessity of detention- a requirement which appears not to be met by the Pact proposals on generalised detention at the border. Thirdly, detention must be proportionate to the aims pursued by the legislation. While the CJEU has accepted that detention may be justified for the purposes of identifying asylum seekers, the proportionality test will not be met when the aims of the legislation are defined in an overtly broad manner- as is the case when legislation is justified under the general aim of preventing entry in the territory and secondary movements.</w:t>
      </w:r>
      <w:r w:rsidR="006C0765">
        <w:rPr>
          <w:rFonts w:ascii="Times New Roman" w:hAnsi="Times New Roman" w:cs="Times New Roman"/>
          <w:color w:val="000000"/>
          <w:sz w:val="24"/>
          <w:szCs w:val="24"/>
        </w:rPr>
        <w:t xml:space="preserve"> Recent Opinions of Advocate Generals aim to establish further rule of law limits to immigration detention. Detention is not permitted on the grounds that a third country national may commit a criminal offence in the future, as detention on the basis of a probability of risk </w:t>
      </w:r>
      <w:r w:rsidR="006C0765">
        <w:rPr>
          <w:rFonts w:ascii="Times New Roman" w:hAnsi="Times New Roman" w:cs="Times New Roman"/>
          <w:color w:val="000000"/>
          <w:sz w:val="24"/>
          <w:szCs w:val="24"/>
        </w:rPr>
        <w:lastRenderedPageBreak/>
        <w:t>of commission of an offence in the future does not satisfy the requirement of legal certainty.</w:t>
      </w:r>
      <w:r w:rsidR="006C0765">
        <w:rPr>
          <w:rStyle w:val="FootnoteReference"/>
          <w:rFonts w:ascii="Times New Roman" w:hAnsi="Times New Roman" w:cs="Times New Roman"/>
          <w:color w:val="000000"/>
          <w:sz w:val="24"/>
          <w:szCs w:val="24"/>
        </w:rPr>
        <w:footnoteReference w:id="156"/>
      </w:r>
      <w:r w:rsidR="006C0765">
        <w:rPr>
          <w:rFonts w:ascii="Times New Roman" w:hAnsi="Times New Roman" w:cs="Times New Roman"/>
          <w:color w:val="000000"/>
          <w:sz w:val="24"/>
          <w:szCs w:val="24"/>
        </w:rPr>
        <w:t xml:space="preserve"> Moreover, detention is not permitted on the sole ground that a third country national has entered the territory of a Member State irregularly, being contrary to Article 8(3) of the reception conditions Directive.</w:t>
      </w:r>
      <w:r w:rsidR="006C0765">
        <w:rPr>
          <w:rStyle w:val="FootnoteReference"/>
          <w:rFonts w:ascii="Times New Roman" w:hAnsi="Times New Roman" w:cs="Times New Roman"/>
          <w:color w:val="000000"/>
          <w:sz w:val="24"/>
          <w:szCs w:val="24"/>
        </w:rPr>
        <w:footnoteReference w:id="157"/>
      </w:r>
      <w:r w:rsidR="006C0765">
        <w:rPr>
          <w:rFonts w:ascii="Times New Roman" w:hAnsi="Times New Roman" w:cs="Times New Roman"/>
          <w:color w:val="000000"/>
          <w:sz w:val="24"/>
          <w:szCs w:val="24"/>
        </w:rPr>
        <w:t xml:space="preserve"> Both these findings if confirmed by the Court are central in</w:t>
      </w:r>
      <w:r w:rsidR="00D51C4F">
        <w:rPr>
          <w:rFonts w:ascii="Times New Roman" w:hAnsi="Times New Roman" w:cs="Times New Roman"/>
          <w:color w:val="000000"/>
          <w:sz w:val="24"/>
          <w:szCs w:val="24"/>
        </w:rPr>
        <w:t xml:space="preserve"> challenging the framing by the Commission and by Member States of border crossings as abuse, in</w:t>
      </w:r>
      <w:r w:rsidR="006C0765">
        <w:rPr>
          <w:rFonts w:ascii="Times New Roman" w:hAnsi="Times New Roman" w:cs="Times New Roman"/>
          <w:color w:val="000000"/>
          <w:sz w:val="24"/>
          <w:szCs w:val="24"/>
        </w:rPr>
        <w:t xml:space="preserve"> </w:t>
      </w:r>
      <w:r w:rsidR="00D51C4F">
        <w:rPr>
          <w:rFonts w:ascii="Times New Roman" w:hAnsi="Times New Roman" w:cs="Times New Roman"/>
          <w:color w:val="000000"/>
          <w:sz w:val="24"/>
          <w:szCs w:val="24"/>
        </w:rPr>
        <w:t>limiting the power of Member States to detain third country nationals and in rejecting the normalisation of detention in the Pact. They are a reminder of the requirement of meaningful rule of law safeguards in immigration detention as applied by Member States and controlled by EU law.</w:t>
      </w:r>
    </w:p>
    <w:p w:rsidR="001956C2" w:rsidRDefault="001956C2" w:rsidP="001956C2">
      <w:pPr>
        <w:jc w:val="both"/>
        <w:rPr>
          <w:rFonts w:ascii="Times New Roman" w:hAnsi="Times New Roman" w:cs="Times New Roman"/>
          <w:color w:val="000000"/>
          <w:sz w:val="24"/>
          <w:szCs w:val="24"/>
        </w:rPr>
      </w:pPr>
    </w:p>
    <w:p w:rsidR="001956C2" w:rsidRPr="00405BAC" w:rsidRDefault="00C326A7" w:rsidP="00405BAC">
      <w:pPr>
        <w:pStyle w:val="ListParagraph"/>
        <w:numPr>
          <w:ilvl w:val="0"/>
          <w:numId w:val="4"/>
        </w:numPr>
        <w:jc w:val="center"/>
        <w:rPr>
          <w:rFonts w:ascii="Times New Roman" w:hAnsi="Times New Roman" w:cs="Times New Roman"/>
          <w:b/>
          <w:color w:val="333333"/>
          <w:sz w:val="24"/>
          <w:szCs w:val="24"/>
        </w:rPr>
      </w:pPr>
      <w:r w:rsidRPr="00405BAC">
        <w:rPr>
          <w:rFonts w:ascii="Times New Roman" w:hAnsi="Times New Roman" w:cs="Times New Roman"/>
          <w:b/>
          <w:color w:val="333333"/>
          <w:sz w:val="24"/>
          <w:szCs w:val="24"/>
        </w:rPr>
        <w:t>Conclusion</w:t>
      </w:r>
      <w:r w:rsidR="0079668F">
        <w:rPr>
          <w:rFonts w:ascii="Times New Roman" w:hAnsi="Times New Roman" w:cs="Times New Roman"/>
          <w:b/>
          <w:color w:val="333333"/>
          <w:sz w:val="24"/>
          <w:szCs w:val="24"/>
        </w:rPr>
        <w:t>: Restoring the Rule of Law at the Border</w:t>
      </w:r>
    </w:p>
    <w:p w:rsidR="00A8316C" w:rsidRDefault="00A8316C" w:rsidP="001956C2">
      <w:pPr>
        <w:jc w:val="both"/>
        <w:rPr>
          <w:rFonts w:ascii="Times New Roman" w:hAnsi="Times New Roman" w:cs="Times New Roman"/>
          <w:color w:val="333333"/>
          <w:sz w:val="24"/>
          <w:szCs w:val="24"/>
        </w:rPr>
      </w:pPr>
    </w:p>
    <w:p w:rsidR="00255912" w:rsidRDefault="000F20B8" w:rsidP="001956C2">
      <w:pPr>
        <w:jc w:val="both"/>
        <w:rPr>
          <w:rFonts w:ascii="Times New Roman" w:hAnsi="Times New Roman" w:cs="Times New Roman"/>
          <w:sz w:val="24"/>
          <w:szCs w:val="24"/>
        </w:rPr>
      </w:pPr>
      <w:r>
        <w:rPr>
          <w:rFonts w:ascii="Times New Roman" w:hAnsi="Times New Roman" w:cs="Times New Roman"/>
          <w:color w:val="333333"/>
          <w:sz w:val="24"/>
          <w:szCs w:val="24"/>
        </w:rPr>
        <w:t xml:space="preserve">The transformation of the EU external border into a site of preventive injustice reflects what Ayelet </w:t>
      </w:r>
      <w:proofErr w:type="spellStart"/>
      <w:r>
        <w:rPr>
          <w:rFonts w:ascii="Times New Roman" w:hAnsi="Times New Roman" w:cs="Times New Roman"/>
          <w:color w:val="333333"/>
          <w:sz w:val="24"/>
          <w:szCs w:val="24"/>
        </w:rPr>
        <w:t>Shachar</w:t>
      </w:r>
      <w:proofErr w:type="spellEnd"/>
      <w:r>
        <w:rPr>
          <w:rFonts w:ascii="Times New Roman" w:hAnsi="Times New Roman" w:cs="Times New Roman"/>
          <w:color w:val="333333"/>
          <w:sz w:val="24"/>
          <w:szCs w:val="24"/>
        </w:rPr>
        <w:t xml:space="preserve"> reflects a key feature of what Ayelet </w:t>
      </w:r>
      <w:proofErr w:type="spellStart"/>
      <w:r>
        <w:rPr>
          <w:rFonts w:ascii="Times New Roman" w:hAnsi="Times New Roman" w:cs="Times New Roman"/>
          <w:color w:val="333333"/>
          <w:sz w:val="24"/>
          <w:szCs w:val="24"/>
        </w:rPr>
        <w:t>Shachar</w:t>
      </w:r>
      <w:proofErr w:type="spellEnd"/>
      <w:r>
        <w:rPr>
          <w:rFonts w:ascii="Times New Roman" w:hAnsi="Times New Roman" w:cs="Times New Roman"/>
          <w:color w:val="333333"/>
          <w:sz w:val="24"/>
          <w:szCs w:val="24"/>
        </w:rPr>
        <w:t xml:space="preserve"> calls ‘the shifting border’: the </w:t>
      </w:r>
      <w:r w:rsidRPr="000F20B8">
        <w:rPr>
          <w:rFonts w:ascii="Times New Roman" w:hAnsi="Times New Roman" w:cs="Times New Roman"/>
          <w:sz w:val="24"/>
          <w:szCs w:val="24"/>
        </w:rPr>
        <w:t>distinction between physical entry</w:t>
      </w:r>
      <w:r w:rsidRPr="000F20B8">
        <w:rPr>
          <w:rFonts w:ascii="Times New Roman" w:hAnsi="Times New Roman" w:cs="Times New Roman"/>
          <w:i/>
          <w:sz w:val="24"/>
          <w:szCs w:val="24"/>
        </w:rPr>
        <w:t xml:space="preserve"> </w:t>
      </w:r>
      <w:r w:rsidRPr="000F20B8">
        <w:rPr>
          <w:rFonts w:ascii="Times New Roman" w:hAnsi="Times New Roman" w:cs="Times New Roman"/>
          <w:sz w:val="24"/>
          <w:szCs w:val="24"/>
        </w:rPr>
        <w:t>into the country (which does not count for immigration purposes) and lawful admission</w:t>
      </w:r>
      <w:r w:rsidRPr="000F20B8">
        <w:rPr>
          <w:rFonts w:ascii="Times New Roman" w:hAnsi="Times New Roman" w:cs="Times New Roman"/>
          <w:i/>
          <w:sz w:val="24"/>
          <w:szCs w:val="24"/>
        </w:rPr>
        <w:t xml:space="preserve"> </w:t>
      </w:r>
      <w:r w:rsidRPr="000F20B8">
        <w:rPr>
          <w:rFonts w:ascii="Times New Roman" w:hAnsi="Times New Roman" w:cs="Times New Roman"/>
          <w:sz w:val="24"/>
          <w:szCs w:val="24"/>
        </w:rPr>
        <w:t>through a recognized port of entry (which makes one’s presence in the territory permissible, and therefore visible, in the eyes of the regulatory state).</w:t>
      </w:r>
      <w:r w:rsidRPr="000F20B8">
        <w:rPr>
          <w:rStyle w:val="FootnoteReference"/>
          <w:rFonts w:ascii="Times New Roman" w:hAnsi="Times New Roman" w:cs="Times New Roman"/>
          <w:sz w:val="24"/>
          <w:szCs w:val="24"/>
        </w:rPr>
        <w:footnoteReference w:id="158"/>
      </w:r>
      <w:r>
        <w:rPr>
          <w:rFonts w:ascii="Times New Roman" w:hAnsi="Times New Roman" w:cs="Times New Roman"/>
          <w:sz w:val="24"/>
          <w:szCs w:val="24"/>
        </w:rPr>
        <w:t xml:space="preserve"> As it has been demonstrated in this article. The EU external border is shifting in two directions: firstly in denying access to law and secondly in denying access to territory to third country nationals who have reached the border and the territory of EU Member States. In this manner, the preventive agenda in the externalisation of immigration control- reflected primarily in extraterritorial immigration control practices- increasingly extends closer to the territory, and contaminates the EU external border (and the territory of Member States) as well. </w:t>
      </w:r>
      <w:r w:rsidR="00255912">
        <w:rPr>
          <w:rFonts w:ascii="Times New Roman" w:hAnsi="Times New Roman" w:cs="Times New Roman"/>
          <w:sz w:val="24"/>
          <w:szCs w:val="24"/>
        </w:rPr>
        <w:t xml:space="preserve">The shifting EU external border represents a marked departure from the </w:t>
      </w:r>
      <w:r w:rsidR="00255912">
        <w:rPr>
          <w:rFonts w:ascii="Times New Roman" w:hAnsi="Times New Roman" w:cs="Times New Roman"/>
          <w:i/>
          <w:sz w:val="24"/>
          <w:szCs w:val="24"/>
        </w:rPr>
        <w:t xml:space="preserve">Hirsi </w:t>
      </w:r>
      <w:r w:rsidR="00255912">
        <w:rPr>
          <w:rFonts w:ascii="Times New Roman" w:hAnsi="Times New Roman" w:cs="Times New Roman"/>
          <w:sz w:val="24"/>
          <w:szCs w:val="24"/>
        </w:rPr>
        <w:t>warning against lawless zones – or legal black holes</w:t>
      </w:r>
      <w:r w:rsidR="00255912">
        <w:rPr>
          <w:rStyle w:val="FootnoteReference"/>
          <w:rFonts w:ascii="Times New Roman" w:hAnsi="Times New Roman" w:cs="Times New Roman"/>
          <w:sz w:val="24"/>
          <w:szCs w:val="24"/>
        </w:rPr>
        <w:footnoteReference w:id="159"/>
      </w:r>
      <w:r w:rsidR="00255912">
        <w:rPr>
          <w:rFonts w:ascii="Times New Roman" w:hAnsi="Times New Roman" w:cs="Times New Roman"/>
          <w:sz w:val="24"/>
          <w:szCs w:val="24"/>
        </w:rPr>
        <w:t>- in the field of human rights protection of third country nationals</w:t>
      </w:r>
      <w:r w:rsidR="00255912">
        <w:rPr>
          <w:rStyle w:val="FootnoteReference"/>
          <w:rFonts w:ascii="Times New Roman" w:hAnsi="Times New Roman" w:cs="Times New Roman"/>
          <w:sz w:val="24"/>
          <w:szCs w:val="24"/>
        </w:rPr>
        <w:footnoteReference w:id="160"/>
      </w:r>
      <w:r w:rsidR="00255912">
        <w:rPr>
          <w:rFonts w:ascii="Times New Roman" w:hAnsi="Times New Roman" w:cs="Times New Roman"/>
          <w:sz w:val="24"/>
          <w:szCs w:val="24"/>
        </w:rPr>
        <w:t xml:space="preserve"> and presents grave challenges for the rule of law, in terms of negating the very applicability of law to third country nationals and in terms of tolerating unchecked state arbitrariness in border control leading to the exclusion of third country nationals. The EU external border is this being transformed into a site of preventive injustice, based upon the framing of all migrants as </w:t>
      </w:r>
      <w:r w:rsidR="00255912">
        <w:rPr>
          <w:rFonts w:ascii="Times New Roman" w:hAnsi="Times New Roman" w:cs="Times New Roman"/>
          <w:sz w:val="24"/>
          <w:szCs w:val="24"/>
        </w:rPr>
        <w:lastRenderedPageBreak/>
        <w:t xml:space="preserve">undesirable, risky and threatening to the stability of the state and of the EU- and thus not meriting legal and human rights protection. This paradigm of preventive (in)justice </w:t>
      </w:r>
      <w:proofErr w:type="spellStart"/>
      <w:r w:rsidR="00255912">
        <w:rPr>
          <w:rFonts w:ascii="Times New Roman" w:hAnsi="Times New Roman" w:cs="Times New Roman"/>
          <w:sz w:val="24"/>
          <w:szCs w:val="24"/>
        </w:rPr>
        <w:t>s</w:t>
      </w:r>
      <w:proofErr w:type="spellEnd"/>
      <w:r w:rsidR="00255912">
        <w:rPr>
          <w:rFonts w:ascii="Times New Roman" w:hAnsi="Times New Roman" w:cs="Times New Roman"/>
          <w:sz w:val="24"/>
          <w:szCs w:val="24"/>
        </w:rPr>
        <w:t xml:space="preserve"> in stark contrast with the European tradition of human rights protection, within which everyone is entitled to fundamental rights.</w:t>
      </w:r>
    </w:p>
    <w:p w:rsidR="001956C2" w:rsidRPr="0060769D" w:rsidRDefault="00E426CE" w:rsidP="001956C2">
      <w:pPr>
        <w:jc w:val="both"/>
        <w:rPr>
          <w:rFonts w:ascii="Times New Roman" w:hAnsi="Times New Roman" w:cs="Times New Roman"/>
          <w:color w:val="333333"/>
          <w:sz w:val="24"/>
          <w:szCs w:val="24"/>
        </w:rPr>
      </w:pPr>
      <w:r>
        <w:rPr>
          <w:rFonts w:ascii="Times New Roman" w:hAnsi="Times New Roman" w:cs="Times New Roman"/>
          <w:sz w:val="24"/>
          <w:szCs w:val="24"/>
        </w:rPr>
        <w:t>In view of the grave threats that the paradigm of preventive injustice on the external border poses for upholding the rule of law and</w:t>
      </w:r>
      <w:r w:rsidR="00255912">
        <w:rPr>
          <w:rFonts w:ascii="Times New Roman" w:hAnsi="Times New Roman" w:cs="Times New Roman"/>
          <w:sz w:val="24"/>
          <w:szCs w:val="24"/>
        </w:rPr>
        <w:t xml:space="preserve"> </w:t>
      </w:r>
      <w:r>
        <w:rPr>
          <w:rFonts w:ascii="Times New Roman" w:hAnsi="Times New Roman" w:cs="Times New Roman"/>
          <w:sz w:val="24"/>
          <w:szCs w:val="24"/>
        </w:rPr>
        <w:t xml:space="preserve">protecting fundamental rights in the EU, there is an urgent need to revisit this paradigm by conducting a detailed scrutiny of both state practices and emerging EU law on the external border from the perspective of their compatibility with EU constitutional law. In terms of </w:t>
      </w:r>
      <w:r w:rsidR="0060769D">
        <w:rPr>
          <w:rFonts w:ascii="Times New Roman" w:hAnsi="Times New Roman" w:cs="Times New Roman"/>
          <w:sz w:val="24"/>
          <w:szCs w:val="24"/>
        </w:rPr>
        <w:t xml:space="preserve">EU Member States’ preventive action, and in particular pushbacks, there is a clear need for ongoing and meaningful monitoring on the ground of state action and ensuing fundamental rights violations at EU level, both by </w:t>
      </w:r>
      <w:proofErr w:type="spellStart"/>
      <w:r w:rsidR="0060769D">
        <w:rPr>
          <w:rFonts w:ascii="Times New Roman" w:hAnsi="Times New Roman" w:cs="Times New Roman"/>
          <w:sz w:val="24"/>
          <w:szCs w:val="24"/>
        </w:rPr>
        <w:t>Frontex</w:t>
      </w:r>
      <w:proofErr w:type="spellEnd"/>
      <w:r w:rsidR="0060769D">
        <w:rPr>
          <w:rFonts w:ascii="Times New Roman" w:hAnsi="Times New Roman" w:cs="Times New Roman"/>
          <w:sz w:val="24"/>
          <w:szCs w:val="24"/>
        </w:rPr>
        <w:t xml:space="preserve"> (whose mandate and accountability mechanisms must be clarified and strengthened) and by EU institutions more broadly (the current proposals enhancing </w:t>
      </w:r>
      <w:r w:rsidR="0060769D" w:rsidRPr="004C3573">
        <w:rPr>
          <w:rFonts w:ascii="Times New Roman" w:hAnsi="Times New Roman" w:cs="Times New Roman"/>
          <w:sz w:val="24"/>
          <w:szCs w:val="24"/>
        </w:rPr>
        <w:t>Schengen</w:t>
      </w:r>
      <w:r w:rsidR="004C3573" w:rsidRPr="004C3573">
        <w:rPr>
          <w:rFonts w:ascii="Times New Roman" w:hAnsi="Times New Roman" w:cs="Times New Roman"/>
          <w:sz w:val="24"/>
          <w:szCs w:val="24"/>
        </w:rPr>
        <w:t xml:space="preserve"> </w:t>
      </w:r>
      <w:r w:rsidR="0060769D" w:rsidRPr="004C3573">
        <w:rPr>
          <w:rFonts w:ascii="Times New Roman" w:hAnsi="Times New Roman" w:cs="Times New Roman"/>
          <w:sz w:val="24"/>
          <w:szCs w:val="24"/>
        </w:rPr>
        <w:t>evaluation</w:t>
      </w:r>
      <w:r w:rsidR="004C3573" w:rsidRPr="004C3573">
        <w:rPr>
          <w:rFonts w:ascii="Times New Roman" w:hAnsi="Times New Roman" w:cs="Times New Roman"/>
          <w:sz w:val="24"/>
          <w:szCs w:val="24"/>
        </w:rPr>
        <w:t xml:space="preserve"> mechanisms</w:t>
      </w:r>
      <w:r w:rsidR="0060769D">
        <w:rPr>
          <w:rFonts w:ascii="Times New Roman" w:hAnsi="Times New Roman" w:cs="Times New Roman"/>
          <w:b/>
          <w:sz w:val="24"/>
          <w:szCs w:val="24"/>
        </w:rPr>
        <w:t xml:space="preserve"> </w:t>
      </w:r>
      <w:r w:rsidR="0060769D">
        <w:rPr>
          <w:rFonts w:ascii="Times New Roman" w:hAnsi="Times New Roman" w:cs="Times New Roman"/>
          <w:sz w:val="24"/>
          <w:szCs w:val="24"/>
        </w:rPr>
        <w:t>constitute a step in that direction).</w:t>
      </w:r>
      <w:r w:rsidR="0060769D">
        <w:rPr>
          <w:rStyle w:val="FootnoteReference"/>
          <w:rFonts w:ascii="Times New Roman" w:hAnsi="Times New Roman" w:cs="Times New Roman"/>
          <w:sz w:val="24"/>
          <w:szCs w:val="24"/>
        </w:rPr>
        <w:footnoteReference w:id="161"/>
      </w:r>
      <w:r w:rsidR="0060769D">
        <w:rPr>
          <w:rFonts w:ascii="Times New Roman" w:hAnsi="Times New Roman" w:cs="Times New Roman"/>
          <w:sz w:val="24"/>
          <w:szCs w:val="24"/>
        </w:rPr>
        <w:t xml:space="preserve"> At the level of EU law, recent proposals to amend the asylum </w:t>
      </w:r>
      <w:r w:rsidR="0060769D">
        <w:rPr>
          <w:rFonts w:ascii="Times New Roman" w:hAnsi="Times New Roman" w:cs="Times New Roman"/>
          <w:i/>
          <w:sz w:val="24"/>
          <w:szCs w:val="24"/>
        </w:rPr>
        <w:t xml:space="preserve">acquis </w:t>
      </w:r>
      <w:r w:rsidR="0060769D">
        <w:rPr>
          <w:rFonts w:ascii="Times New Roman" w:hAnsi="Times New Roman" w:cs="Times New Roman"/>
          <w:sz w:val="24"/>
          <w:szCs w:val="24"/>
        </w:rPr>
        <w:t xml:space="preserve">must be seriously reconsidered. The legislative proposals on the </w:t>
      </w:r>
      <w:proofErr w:type="spellStart"/>
      <w:r w:rsidR="0060769D">
        <w:rPr>
          <w:rFonts w:ascii="Times New Roman" w:hAnsi="Times New Roman" w:cs="Times New Roman"/>
          <w:sz w:val="24"/>
          <w:szCs w:val="24"/>
        </w:rPr>
        <w:t>instrumentalisation</w:t>
      </w:r>
      <w:proofErr w:type="spellEnd"/>
      <w:r w:rsidR="0060769D">
        <w:rPr>
          <w:rFonts w:ascii="Times New Roman" w:hAnsi="Times New Roman" w:cs="Times New Roman"/>
          <w:sz w:val="24"/>
          <w:szCs w:val="24"/>
        </w:rPr>
        <w:t xml:space="preserve"> of migration should be rejected- they are based on dubious assumptions, constitute a knee-jerk political reaction framing migration flows as an emergency threat, and contaminate EU law with national preventive practices which fall foul of EU law and deny, in essence, access to asylum. The fiction of ‘non-entry’ should be treated for what it is, a fiction, and in essence be abandoned. Border procedures should remain exceptional, with the rule being that third country nationals have access to the full asylum procedure within EU territory. The provisions on detention must be clear and reflect the key safeguards developed by the CJEU: detention must not be generalised, but be treated as a measure of last resort, justified under clear criteria set in law and on the grounds of a decision taken on a case-by-case basis and on the basis of an individualised assessment. Zooming out from the individual components of the emerging EU paradigm of preventive injustice at the external border,</w:t>
      </w:r>
      <w:r w:rsidR="002B6A89">
        <w:rPr>
          <w:rFonts w:ascii="Times New Roman" w:hAnsi="Times New Roman" w:cs="Times New Roman"/>
          <w:sz w:val="24"/>
          <w:szCs w:val="24"/>
        </w:rPr>
        <w:t xml:space="preserve"> restoring the rule o</w:t>
      </w:r>
      <w:r w:rsidR="008372D4">
        <w:rPr>
          <w:rFonts w:ascii="Times New Roman" w:hAnsi="Times New Roman" w:cs="Times New Roman"/>
          <w:sz w:val="24"/>
          <w:szCs w:val="24"/>
        </w:rPr>
        <w:t>f law at the EU external border</w:t>
      </w:r>
      <w:r w:rsidR="0060769D">
        <w:rPr>
          <w:rFonts w:ascii="Times New Roman" w:hAnsi="Times New Roman" w:cs="Times New Roman"/>
          <w:sz w:val="24"/>
          <w:szCs w:val="24"/>
        </w:rPr>
        <w:t xml:space="preserve"> </w:t>
      </w:r>
      <w:r w:rsidR="002B6A89">
        <w:rPr>
          <w:rFonts w:ascii="Times New Roman" w:hAnsi="Times New Roman" w:cs="Times New Roman"/>
          <w:sz w:val="24"/>
          <w:szCs w:val="24"/>
        </w:rPr>
        <w:t xml:space="preserve">necessitates a </w:t>
      </w:r>
      <w:r w:rsidR="0060769D">
        <w:rPr>
          <w:rFonts w:ascii="Times New Roman" w:hAnsi="Times New Roman" w:cs="Times New Roman"/>
          <w:sz w:val="24"/>
          <w:szCs w:val="24"/>
        </w:rPr>
        <w:t>radical reframing of the migrant reaching the border in EU law: from someone who is perceived as dangerous and undesirable to an individual who is entitled to the protection of the law.</w:t>
      </w:r>
    </w:p>
    <w:p w:rsidR="000F20B8" w:rsidRDefault="000F20B8" w:rsidP="001956C2">
      <w:pPr>
        <w:jc w:val="both"/>
        <w:rPr>
          <w:rFonts w:ascii="Times New Roman" w:hAnsi="Times New Roman" w:cs="Times New Roman"/>
          <w:color w:val="333333"/>
          <w:sz w:val="24"/>
          <w:szCs w:val="24"/>
        </w:rPr>
      </w:pPr>
    </w:p>
    <w:p w:rsidR="00452325" w:rsidRPr="006344C0" w:rsidRDefault="00452325" w:rsidP="00603331">
      <w:pPr>
        <w:jc w:val="both"/>
        <w:rPr>
          <w:rFonts w:ascii="Times New Roman" w:hAnsi="Times New Roman" w:cs="Times New Roman"/>
          <w:sz w:val="24"/>
          <w:szCs w:val="24"/>
        </w:rPr>
      </w:pPr>
    </w:p>
    <w:sectPr w:rsidR="00452325" w:rsidRPr="006344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A30" w:rsidRDefault="00D57A30" w:rsidP="00603331">
      <w:pPr>
        <w:spacing w:after="0" w:line="240" w:lineRule="auto"/>
      </w:pPr>
      <w:r>
        <w:separator/>
      </w:r>
    </w:p>
  </w:endnote>
  <w:endnote w:type="continuationSeparator" w:id="0">
    <w:p w:rsidR="00D57A30" w:rsidRDefault="00D57A30" w:rsidP="0060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A30" w:rsidRDefault="00D57A30" w:rsidP="00603331">
      <w:pPr>
        <w:spacing w:after="0" w:line="240" w:lineRule="auto"/>
      </w:pPr>
      <w:r>
        <w:separator/>
      </w:r>
    </w:p>
  </w:footnote>
  <w:footnote w:type="continuationSeparator" w:id="0">
    <w:p w:rsidR="00D57A30" w:rsidRDefault="00D57A30" w:rsidP="00603331">
      <w:pPr>
        <w:spacing w:after="0" w:line="240" w:lineRule="auto"/>
      </w:pPr>
      <w:r>
        <w:continuationSeparator/>
      </w:r>
    </w:p>
  </w:footnote>
  <w:footnote w:id="1">
    <w:p w:rsidR="001241F6" w:rsidRPr="0000659F" w:rsidRDefault="001241F6">
      <w:pPr>
        <w:pStyle w:val="FootnoteText"/>
        <w:rPr>
          <w:rFonts w:ascii="Times New Roman" w:hAnsi="Times New Roman" w:cs="Times New Roman"/>
          <w:lang w:val="en-GB"/>
        </w:rPr>
      </w:pPr>
      <w:r w:rsidRPr="0000659F">
        <w:rPr>
          <w:rStyle w:val="FootnoteReference"/>
          <w:rFonts w:ascii="Times New Roman" w:hAnsi="Times New Roman" w:cs="Times New Roman"/>
        </w:rPr>
        <w:footnoteRef/>
      </w:r>
      <w:r w:rsidRPr="0000659F">
        <w:rPr>
          <w:rFonts w:ascii="Times New Roman" w:hAnsi="Times New Roman" w:cs="Times New Roman"/>
          <w:lang w:val="en-GB"/>
        </w:rPr>
        <w:t xml:space="preserve"> I am grateful to Karine Caunes</w:t>
      </w:r>
      <w:r w:rsidR="00CB64A8">
        <w:rPr>
          <w:rFonts w:ascii="Times New Roman" w:hAnsi="Times New Roman" w:cs="Times New Roman"/>
          <w:lang w:val="en-GB"/>
        </w:rPr>
        <w:t>,</w:t>
      </w:r>
      <w:r w:rsidRPr="0000659F">
        <w:rPr>
          <w:rFonts w:ascii="Times New Roman" w:hAnsi="Times New Roman" w:cs="Times New Roman"/>
          <w:lang w:val="en-GB"/>
        </w:rPr>
        <w:t xml:space="preserve"> Juan Santos </w:t>
      </w:r>
      <w:proofErr w:type="spellStart"/>
      <w:r w:rsidRPr="0000659F">
        <w:rPr>
          <w:rFonts w:ascii="Times New Roman" w:hAnsi="Times New Roman" w:cs="Times New Roman"/>
          <w:lang w:val="en-GB"/>
        </w:rPr>
        <w:t>Vara</w:t>
      </w:r>
      <w:proofErr w:type="spellEnd"/>
      <w:r w:rsidR="00CB64A8">
        <w:rPr>
          <w:rFonts w:ascii="Times New Roman" w:hAnsi="Times New Roman" w:cs="Times New Roman"/>
          <w:lang w:val="en-GB"/>
        </w:rPr>
        <w:t xml:space="preserve"> and the anonymous reviewer</w:t>
      </w:r>
      <w:r w:rsidRPr="0000659F">
        <w:rPr>
          <w:rFonts w:ascii="Times New Roman" w:hAnsi="Times New Roman" w:cs="Times New Roman"/>
          <w:lang w:val="en-GB"/>
        </w:rPr>
        <w:t xml:space="preserve"> for their insightful comments on an earlier draft. The usual disclaimer applies.</w:t>
      </w:r>
    </w:p>
  </w:footnote>
  <w:footnote w:id="2">
    <w:p w:rsidR="001241F6" w:rsidRPr="0000659F" w:rsidRDefault="001241F6" w:rsidP="0000659F">
      <w:pPr>
        <w:jc w:val="both"/>
        <w:rPr>
          <w:rFonts w:ascii="Times New Roman" w:hAnsi="Times New Roman" w:cs="Times New Roman"/>
          <w:i/>
          <w:sz w:val="20"/>
          <w:szCs w:val="20"/>
        </w:rPr>
      </w:pPr>
      <w:r w:rsidRPr="0000659F">
        <w:rPr>
          <w:rStyle w:val="FootnoteReference"/>
          <w:rFonts w:ascii="Times New Roman" w:hAnsi="Times New Roman" w:cs="Times New Roman"/>
          <w:sz w:val="20"/>
          <w:szCs w:val="20"/>
        </w:rPr>
        <w:footnoteRef/>
      </w:r>
      <w:r w:rsidRPr="0000659F">
        <w:rPr>
          <w:rFonts w:ascii="Times New Roman" w:hAnsi="Times New Roman" w:cs="Times New Roman"/>
          <w:sz w:val="20"/>
          <w:szCs w:val="20"/>
        </w:rPr>
        <w:t xml:space="preserve"> For an early analysis see B. Ryan and V. Mitsilegas (eds.),</w:t>
      </w:r>
      <w:r w:rsidRPr="0000659F">
        <w:rPr>
          <w:rFonts w:ascii="Times New Roman" w:hAnsi="Times New Roman" w:cs="Times New Roman"/>
          <w:i/>
          <w:sz w:val="20"/>
          <w:szCs w:val="20"/>
        </w:rPr>
        <w:t xml:space="preserve"> Extraterritorial Immigration Control: Legal Challenges</w:t>
      </w:r>
      <w:r w:rsidRPr="0000659F">
        <w:rPr>
          <w:rFonts w:ascii="Times New Roman" w:hAnsi="Times New Roman" w:cs="Times New Roman"/>
          <w:sz w:val="20"/>
          <w:szCs w:val="20"/>
        </w:rPr>
        <w:t xml:space="preserve"> (Brill/</w:t>
      </w:r>
      <w:proofErr w:type="spellStart"/>
      <w:proofErr w:type="gramStart"/>
      <w:r w:rsidRPr="0000659F">
        <w:rPr>
          <w:rFonts w:ascii="Times New Roman" w:hAnsi="Times New Roman" w:cs="Times New Roman"/>
          <w:sz w:val="20"/>
          <w:szCs w:val="20"/>
        </w:rPr>
        <w:t>Nijhoff</w:t>
      </w:r>
      <w:proofErr w:type="spellEnd"/>
      <w:r w:rsidRPr="0000659F">
        <w:rPr>
          <w:rFonts w:ascii="Times New Roman" w:hAnsi="Times New Roman" w:cs="Times New Roman"/>
          <w:sz w:val="20"/>
          <w:szCs w:val="20"/>
        </w:rPr>
        <w:t>,,</w:t>
      </w:r>
      <w:proofErr w:type="gramEnd"/>
      <w:r w:rsidRPr="0000659F">
        <w:rPr>
          <w:rFonts w:ascii="Times New Roman" w:hAnsi="Times New Roman" w:cs="Times New Roman"/>
          <w:sz w:val="20"/>
          <w:szCs w:val="20"/>
        </w:rPr>
        <w:t xml:space="preserve"> 2010).</w:t>
      </w:r>
    </w:p>
  </w:footnote>
  <w:footnote w:id="3">
    <w:p w:rsidR="001241F6" w:rsidRPr="0000659F" w:rsidRDefault="001241F6" w:rsidP="00C326A7">
      <w:pPr>
        <w:pStyle w:val="FootnoteText"/>
        <w:jc w:val="both"/>
        <w:rPr>
          <w:rFonts w:ascii="Times New Roman" w:hAnsi="Times New Roman" w:cs="Times New Roman"/>
          <w:lang w:val="en-GB"/>
        </w:rPr>
      </w:pPr>
    </w:p>
    <w:p w:rsidR="001241F6" w:rsidRPr="0000659F" w:rsidRDefault="001241F6" w:rsidP="00C326A7">
      <w:pPr>
        <w:pStyle w:val="FootnoteText"/>
        <w:jc w:val="both"/>
        <w:rPr>
          <w:rFonts w:ascii="Times New Roman" w:hAnsi="Times New Roman" w:cs="Times New Roman"/>
          <w:lang w:val="en-GB"/>
        </w:rPr>
      </w:pPr>
      <w:r w:rsidRPr="0000659F">
        <w:rPr>
          <w:rStyle w:val="FootnoteReference"/>
          <w:rFonts w:ascii="Times New Roman" w:hAnsi="Times New Roman" w:cs="Times New Roman"/>
          <w:lang w:val="en-GB"/>
        </w:rPr>
        <w:footnoteRef/>
      </w:r>
      <w:r w:rsidRPr="0000659F">
        <w:rPr>
          <w:rFonts w:ascii="Times New Roman" w:hAnsi="Times New Roman" w:cs="Times New Roman"/>
          <w:lang w:val="en-GB"/>
        </w:rPr>
        <w:t xml:space="preserve"> A. Ashworth and L. </w:t>
      </w:r>
      <w:proofErr w:type="spellStart"/>
      <w:proofErr w:type="gramStart"/>
      <w:r w:rsidRPr="0000659F">
        <w:rPr>
          <w:rFonts w:ascii="Times New Roman" w:hAnsi="Times New Roman" w:cs="Times New Roman"/>
          <w:lang w:val="en-GB"/>
        </w:rPr>
        <w:t>Zedner</w:t>
      </w:r>
      <w:proofErr w:type="spellEnd"/>
      <w:r w:rsidRPr="0000659F">
        <w:rPr>
          <w:rFonts w:ascii="Times New Roman" w:hAnsi="Times New Roman" w:cs="Times New Roman"/>
          <w:lang w:val="en-GB"/>
        </w:rPr>
        <w:t>,,</w:t>
      </w:r>
      <w:proofErr w:type="gramEnd"/>
      <w:r w:rsidRPr="0000659F">
        <w:rPr>
          <w:rFonts w:ascii="Times New Roman" w:hAnsi="Times New Roman" w:cs="Times New Roman"/>
          <w:lang w:val="en-GB"/>
        </w:rPr>
        <w:t xml:space="preserve"> </w:t>
      </w:r>
      <w:r w:rsidRPr="0000659F">
        <w:rPr>
          <w:rFonts w:ascii="Times New Roman" w:hAnsi="Times New Roman" w:cs="Times New Roman"/>
          <w:i/>
          <w:lang w:val="en-GB"/>
        </w:rPr>
        <w:t xml:space="preserve">Preventive Justice </w:t>
      </w:r>
      <w:r w:rsidRPr="0000659F">
        <w:rPr>
          <w:rFonts w:ascii="Times New Roman" w:hAnsi="Times New Roman" w:cs="Times New Roman"/>
          <w:lang w:val="en-GB"/>
        </w:rPr>
        <w:t>(OUP, 2014).</w:t>
      </w:r>
    </w:p>
  </w:footnote>
  <w:footnote w:id="4">
    <w:p w:rsidR="001241F6" w:rsidRPr="0000659F" w:rsidRDefault="001241F6" w:rsidP="00C326A7">
      <w:pPr>
        <w:spacing w:after="0" w:line="257" w:lineRule="auto"/>
        <w:jc w:val="both"/>
        <w:rPr>
          <w:rFonts w:ascii="Times New Roman" w:hAnsi="Times New Roman" w:cs="Times New Roman"/>
          <w:sz w:val="20"/>
          <w:szCs w:val="20"/>
        </w:rPr>
      </w:pPr>
      <w:r w:rsidRPr="0000659F">
        <w:rPr>
          <w:rStyle w:val="FootnoteReference"/>
          <w:rFonts w:ascii="Times New Roman" w:hAnsi="Times New Roman" w:cs="Times New Roman"/>
          <w:sz w:val="20"/>
          <w:szCs w:val="20"/>
        </w:rPr>
        <w:footnoteRef/>
      </w:r>
      <w:r w:rsidRPr="0000659F">
        <w:rPr>
          <w:rFonts w:ascii="Times New Roman" w:hAnsi="Times New Roman" w:cs="Times New Roman"/>
          <w:sz w:val="20"/>
          <w:szCs w:val="20"/>
        </w:rPr>
        <w:t xml:space="preserve"> V. Mitsilegas, ‘The Security Union as a Paradigm of Preventive Justice: Challenges for Citizenship, Fundamental Rights and the Rule of Law’ in V. Mitsilegas and S. Carrera (eds), </w:t>
      </w:r>
      <w:r w:rsidRPr="0000659F">
        <w:rPr>
          <w:rFonts w:ascii="Times New Roman" w:hAnsi="Times New Roman" w:cs="Times New Roman"/>
          <w:i/>
          <w:sz w:val="20"/>
          <w:szCs w:val="20"/>
        </w:rPr>
        <w:t xml:space="preserve">Constitutionalising the Security Union. Effectiveness, Rule of Law and Rights in Countering Terrorism and Crime </w:t>
      </w:r>
      <w:r w:rsidRPr="0000659F">
        <w:rPr>
          <w:rFonts w:ascii="Times New Roman" w:hAnsi="Times New Roman" w:cs="Times New Roman"/>
          <w:sz w:val="20"/>
          <w:szCs w:val="20"/>
        </w:rPr>
        <w:t>(CEPS 2017) 2.</w:t>
      </w:r>
    </w:p>
  </w:footnote>
  <w:footnote w:id="5">
    <w:p w:rsidR="001241F6" w:rsidRPr="0000659F" w:rsidRDefault="001241F6" w:rsidP="00C326A7">
      <w:pPr>
        <w:pStyle w:val="FootnoteText"/>
        <w:jc w:val="both"/>
        <w:rPr>
          <w:rFonts w:ascii="Times New Roman" w:hAnsi="Times New Roman" w:cs="Times New Roman"/>
          <w:lang w:val="en-GB"/>
        </w:rPr>
      </w:pPr>
      <w:r w:rsidRPr="0000659F">
        <w:rPr>
          <w:rStyle w:val="FootnoteReference"/>
          <w:rFonts w:ascii="Times New Roman" w:hAnsi="Times New Roman" w:cs="Times New Roman"/>
          <w:lang w:val="en-GB"/>
        </w:rPr>
        <w:footnoteRef/>
      </w:r>
      <w:r w:rsidRPr="0000659F">
        <w:rPr>
          <w:rFonts w:ascii="Times New Roman" w:hAnsi="Times New Roman" w:cs="Times New Roman"/>
          <w:lang w:val="en-GB"/>
        </w:rPr>
        <w:t xml:space="preserve"> V. Mitsilegas, </w:t>
      </w:r>
      <w:r w:rsidRPr="0000659F">
        <w:rPr>
          <w:rFonts w:ascii="Times New Roman" w:hAnsi="Times New Roman" w:cs="Times New Roman"/>
          <w:i/>
          <w:lang w:val="en-GB"/>
        </w:rPr>
        <w:t xml:space="preserve">EU Criminal Law After Lisbon </w:t>
      </w:r>
      <w:r w:rsidRPr="0000659F">
        <w:rPr>
          <w:rFonts w:ascii="Times New Roman" w:hAnsi="Times New Roman" w:cs="Times New Roman"/>
          <w:lang w:val="en-GB"/>
        </w:rPr>
        <w:t xml:space="preserve">(Hart Publishing 2016), </w:t>
      </w:r>
      <w:proofErr w:type="spellStart"/>
      <w:r w:rsidRPr="0000659F">
        <w:rPr>
          <w:rFonts w:ascii="Times New Roman" w:hAnsi="Times New Roman" w:cs="Times New Roman"/>
          <w:lang w:val="en-GB"/>
        </w:rPr>
        <w:t>ch</w:t>
      </w:r>
      <w:proofErr w:type="spellEnd"/>
      <w:r w:rsidRPr="0000659F">
        <w:rPr>
          <w:rFonts w:ascii="Times New Roman" w:hAnsi="Times New Roman" w:cs="Times New Roman"/>
          <w:lang w:val="en-GB"/>
        </w:rPr>
        <w:t xml:space="preserve"> 9.</w:t>
      </w:r>
    </w:p>
  </w:footnote>
  <w:footnote w:id="6">
    <w:p w:rsidR="001241F6" w:rsidRPr="00EF4126" w:rsidRDefault="001241F6" w:rsidP="00C326A7">
      <w:pPr>
        <w:pStyle w:val="FootnoteText"/>
        <w:jc w:val="both"/>
        <w:rPr>
          <w:rFonts w:ascii="Times New Roman" w:hAnsi="Times New Roman" w:cs="Times New Roman"/>
          <w:lang w:val="en-GB"/>
        </w:rPr>
      </w:pPr>
      <w:r w:rsidRPr="0000659F">
        <w:rPr>
          <w:rStyle w:val="FootnoteReference"/>
          <w:rFonts w:ascii="Times New Roman" w:hAnsi="Times New Roman" w:cs="Times New Roman"/>
          <w:lang w:val="en-GB"/>
        </w:rPr>
        <w:footnoteRef/>
      </w:r>
      <w:r w:rsidRPr="0000659F">
        <w:rPr>
          <w:rFonts w:ascii="Times New Roman" w:hAnsi="Times New Roman" w:cs="Times New Roman"/>
          <w:lang w:val="en-GB"/>
        </w:rPr>
        <w:t xml:space="preserve"> V. Mitsilegas, ‘The Law of the Border and the Borders of Law – Rethinking Border Control from the Perspective of the Individual’ in L. Weber (ed.), </w:t>
      </w:r>
      <w:r w:rsidRPr="0000659F">
        <w:rPr>
          <w:rFonts w:ascii="Times New Roman" w:hAnsi="Times New Roman" w:cs="Times New Roman"/>
          <w:i/>
          <w:lang w:val="en-GB"/>
        </w:rPr>
        <w:t>Rethinking Border Control for a Globalizing World – A Preferred Future’</w:t>
      </w:r>
      <w:r w:rsidRPr="0000659F">
        <w:rPr>
          <w:rFonts w:ascii="Times New Roman" w:hAnsi="Times New Roman" w:cs="Times New Roman"/>
          <w:lang w:val="en-GB"/>
        </w:rPr>
        <w:t xml:space="preserve"> (Routledge 2015).15.</w:t>
      </w:r>
    </w:p>
  </w:footnote>
  <w:footnote w:id="7">
    <w:p w:rsidR="001241F6" w:rsidRPr="001748BA" w:rsidRDefault="001241F6" w:rsidP="001956C2">
      <w:pPr>
        <w:jc w:val="both"/>
        <w:rPr>
          <w:rFonts w:ascii="Times New Roman" w:hAnsi="Times New Roman" w:cs="Times New Roman"/>
          <w:color w:val="0000FF"/>
          <w:sz w:val="20"/>
          <w:szCs w:val="20"/>
          <w:u w:val="single"/>
        </w:rPr>
      </w:pPr>
      <w:r w:rsidRPr="001748BA">
        <w:rPr>
          <w:rStyle w:val="FootnoteReference"/>
          <w:rFonts w:ascii="Times New Roman" w:hAnsi="Times New Roman" w:cs="Times New Roman"/>
          <w:sz w:val="20"/>
          <w:szCs w:val="20"/>
        </w:rPr>
        <w:footnoteRef/>
      </w:r>
      <w:r w:rsidRPr="001748BA">
        <w:rPr>
          <w:rFonts w:ascii="Times New Roman" w:hAnsi="Times New Roman" w:cs="Times New Roman"/>
          <w:sz w:val="20"/>
          <w:szCs w:val="20"/>
        </w:rPr>
        <w:t xml:space="preserve"> Council of Europe Parliamentary Assembly, </w:t>
      </w:r>
      <w:r w:rsidRPr="001748BA">
        <w:rPr>
          <w:rFonts w:ascii="Times New Roman" w:hAnsi="Times New Roman" w:cs="Times New Roman"/>
          <w:i/>
          <w:sz w:val="20"/>
          <w:szCs w:val="20"/>
        </w:rPr>
        <w:t>Pushbacks Practice and Policy in Council of Europe Member States</w:t>
      </w:r>
      <w:r w:rsidRPr="001748BA">
        <w:rPr>
          <w:rFonts w:ascii="Times New Roman" w:hAnsi="Times New Roman" w:cs="Times New Roman"/>
          <w:sz w:val="20"/>
          <w:szCs w:val="20"/>
        </w:rPr>
        <w:t xml:space="preserve">  Resolution 2299 (2019), available on</w:t>
      </w:r>
      <w:r w:rsidRPr="001748BA">
        <w:rPr>
          <w:rFonts w:ascii="Times New Roman" w:hAnsi="Times New Roman" w:cs="Times New Roman"/>
          <w:i/>
          <w:sz w:val="20"/>
          <w:szCs w:val="20"/>
        </w:rPr>
        <w:t xml:space="preserve">, </w:t>
      </w:r>
      <w:hyperlink r:id="rId1" w:history="1">
        <w:r w:rsidRPr="001748BA">
          <w:rPr>
            <w:rStyle w:val="Hyperlink"/>
            <w:rFonts w:ascii="Times New Roman" w:hAnsi="Times New Roman" w:cs="Times New Roman"/>
            <w:sz w:val="20"/>
            <w:szCs w:val="20"/>
          </w:rPr>
          <w:t>https://assembly.coe.int/nw/xml/XRef/Xref-XML2HTML-en.asp?fileid=28074;(all</w:t>
        </w:r>
      </w:hyperlink>
      <w:r w:rsidRPr="001748BA">
        <w:rPr>
          <w:rStyle w:val="Hyperlink"/>
          <w:rFonts w:ascii="Times New Roman" w:hAnsi="Times New Roman" w:cs="Times New Roman"/>
          <w:sz w:val="20"/>
          <w:szCs w:val="20"/>
        </w:rPr>
        <w:t xml:space="preserve"> websites last accessed on 12 June 2022);  ; see also  </w:t>
      </w:r>
      <w:r w:rsidRPr="001748BA">
        <w:rPr>
          <w:rFonts w:ascii="Times New Roman" w:hAnsi="Times New Roman" w:cs="Times New Roman"/>
          <w:sz w:val="20"/>
          <w:szCs w:val="20"/>
        </w:rPr>
        <w:t xml:space="preserve">T. </w:t>
      </w:r>
      <w:proofErr w:type="spellStart"/>
      <w:r w:rsidRPr="001748BA">
        <w:rPr>
          <w:rFonts w:ascii="Times New Roman" w:hAnsi="Times New Roman" w:cs="Times New Roman"/>
          <w:sz w:val="20"/>
          <w:szCs w:val="20"/>
        </w:rPr>
        <w:t>Strik</w:t>
      </w:r>
      <w:proofErr w:type="spellEnd"/>
      <w:r w:rsidRPr="001748BA">
        <w:rPr>
          <w:rFonts w:ascii="Times New Roman" w:hAnsi="Times New Roman" w:cs="Times New Roman"/>
          <w:sz w:val="20"/>
          <w:szCs w:val="20"/>
        </w:rPr>
        <w:t xml:space="preserve">, ‘Mechanisms to prevent pushbacks’ in S. Carrera and M. Stefan (eds.), </w:t>
      </w:r>
      <w:r w:rsidRPr="001748BA">
        <w:rPr>
          <w:rFonts w:ascii="Times New Roman" w:hAnsi="Times New Roman" w:cs="Times New Roman"/>
          <w:i/>
          <w:sz w:val="20"/>
          <w:szCs w:val="20"/>
        </w:rPr>
        <w:t xml:space="preserve">Fundamental Rights Challenges in Border Controls and Expulsion of Irregular Immigrants in the European Union. Complaint Mechanisms and Access to Justice </w:t>
      </w:r>
      <w:r w:rsidRPr="001748BA">
        <w:rPr>
          <w:rFonts w:ascii="Times New Roman" w:hAnsi="Times New Roman" w:cs="Times New Roman"/>
          <w:sz w:val="20"/>
          <w:szCs w:val="20"/>
        </w:rPr>
        <w:t>(Routledge, 2020) 234, 254.</w:t>
      </w:r>
    </w:p>
  </w:footnote>
  <w:footnote w:id="8">
    <w:p w:rsidR="001241F6" w:rsidRPr="001748BA" w:rsidRDefault="001241F6" w:rsidP="001956C2">
      <w:pPr>
        <w:pStyle w:val="FootnoteText"/>
        <w:rPr>
          <w:rFonts w:ascii="Times New Roman" w:hAnsi="Times New Roman" w:cs="Times New Roman"/>
          <w:lang w:val="en-GB"/>
        </w:rPr>
      </w:pPr>
      <w:r w:rsidRPr="001748BA">
        <w:rPr>
          <w:rStyle w:val="FootnoteReference"/>
          <w:rFonts w:ascii="Times New Roman" w:hAnsi="Times New Roman" w:cs="Times New Roman"/>
        </w:rPr>
        <w:footnoteRef/>
      </w:r>
      <w:r w:rsidRPr="001748BA">
        <w:rPr>
          <w:rFonts w:ascii="Times New Roman" w:hAnsi="Times New Roman" w:cs="Times New Roman"/>
          <w:lang w:val="en-GB"/>
        </w:rPr>
        <w:t xml:space="preserve"> See Council of Europe above.</w:t>
      </w:r>
    </w:p>
  </w:footnote>
  <w:footnote w:id="9">
    <w:p w:rsidR="001241F6" w:rsidRPr="001748BA" w:rsidRDefault="001241F6" w:rsidP="001956C2">
      <w:pPr>
        <w:pStyle w:val="FootnoteText"/>
        <w:rPr>
          <w:rFonts w:ascii="Times New Roman" w:hAnsi="Times New Roman" w:cs="Times New Roman"/>
          <w:lang w:val="en-GB"/>
        </w:rPr>
      </w:pPr>
      <w:r w:rsidRPr="001748BA">
        <w:rPr>
          <w:rStyle w:val="FootnoteReference"/>
          <w:rFonts w:ascii="Times New Roman" w:hAnsi="Times New Roman" w:cs="Times New Roman"/>
        </w:rPr>
        <w:footnoteRef/>
      </w:r>
      <w:r w:rsidRPr="001748BA">
        <w:rPr>
          <w:rFonts w:ascii="Times New Roman" w:hAnsi="Times New Roman" w:cs="Times New Roman"/>
          <w:lang w:val="en-GB"/>
        </w:rPr>
        <w:t xml:space="preserve"> For an analysis of pushbacks as part of extraterritorial immigration control, see M. Giuffre, </w:t>
      </w:r>
      <w:r w:rsidRPr="001748BA">
        <w:rPr>
          <w:rFonts w:ascii="Times New Roman" w:hAnsi="Times New Roman" w:cs="Times New Roman"/>
          <w:i/>
          <w:lang w:val="en-GB"/>
        </w:rPr>
        <w:t xml:space="preserve">The Readmission of Asylum Seekers under International Law </w:t>
      </w:r>
      <w:r w:rsidRPr="001748BA">
        <w:rPr>
          <w:rFonts w:ascii="Times New Roman" w:hAnsi="Times New Roman" w:cs="Times New Roman"/>
          <w:lang w:val="en-GB"/>
        </w:rPr>
        <w:t>(</w:t>
      </w:r>
      <w:proofErr w:type="gramStart"/>
      <w:r w:rsidRPr="001748BA">
        <w:rPr>
          <w:rFonts w:ascii="Times New Roman" w:hAnsi="Times New Roman" w:cs="Times New Roman"/>
          <w:lang w:val="en-GB"/>
        </w:rPr>
        <w:t>Hart,,</w:t>
      </w:r>
      <w:proofErr w:type="gramEnd"/>
      <w:r w:rsidRPr="001748BA">
        <w:rPr>
          <w:rFonts w:ascii="Times New Roman" w:hAnsi="Times New Roman" w:cs="Times New Roman"/>
          <w:lang w:val="en-GB"/>
        </w:rPr>
        <w:t xml:space="preserve"> 2020).</w:t>
      </w:r>
    </w:p>
  </w:footnote>
  <w:footnote w:id="10">
    <w:p w:rsidR="001241F6" w:rsidRPr="0010407A" w:rsidRDefault="001241F6" w:rsidP="0010407A">
      <w:pPr>
        <w:jc w:val="both"/>
        <w:rPr>
          <w:rFonts w:ascii="Times New Roman" w:hAnsi="Times New Roman" w:cs="Times New Roman"/>
          <w:color w:val="444444"/>
          <w:sz w:val="20"/>
          <w:szCs w:val="20"/>
          <w:shd w:val="clear" w:color="auto" w:fill="FFFFFF"/>
        </w:rPr>
      </w:pPr>
      <w:r w:rsidRPr="001748BA">
        <w:rPr>
          <w:rStyle w:val="FootnoteReference"/>
          <w:rFonts w:ascii="Times New Roman" w:hAnsi="Times New Roman" w:cs="Times New Roman"/>
          <w:sz w:val="20"/>
          <w:szCs w:val="20"/>
        </w:rPr>
        <w:footnoteRef/>
      </w:r>
      <w:r w:rsidRPr="0010407A">
        <w:rPr>
          <w:rFonts w:ascii="Times New Roman" w:hAnsi="Times New Roman" w:cs="Times New Roman"/>
          <w:sz w:val="20"/>
          <w:szCs w:val="20"/>
        </w:rPr>
        <w:t xml:space="preserve"> Council of Europe Parliamentary Assembly, above.</w:t>
      </w:r>
      <w:r w:rsidRPr="0010407A">
        <w:rPr>
          <w:rFonts w:ascii="Times New Roman" w:hAnsi="Times New Roman" w:cs="Times New Roman"/>
          <w:color w:val="444444"/>
          <w:sz w:val="20"/>
          <w:szCs w:val="20"/>
          <w:shd w:val="clear" w:color="auto" w:fill="FFFFFF"/>
        </w:rPr>
        <w:t xml:space="preserve"> It is noted that as these practices are widespread, and in some countries systematic, these “pushbacks” can be considered as part of national policies rather than incidental actions</w:t>
      </w:r>
    </w:p>
  </w:footnote>
  <w:footnote w:id="11">
    <w:p w:rsidR="001241F6" w:rsidRPr="001748BA" w:rsidRDefault="001241F6" w:rsidP="0010407A">
      <w:pPr>
        <w:pStyle w:val="c01pointnumerotealtn"/>
        <w:spacing w:after="240" w:afterAutospacing="0"/>
        <w:jc w:val="both"/>
        <w:rPr>
          <w:color w:val="000000"/>
          <w:sz w:val="20"/>
          <w:szCs w:val="20"/>
        </w:rPr>
      </w:pPr>
      <w:r w:rsidRPr="001748BA">
        <w:rPr>
          <w:rStyle w:val="FootnoteReference"/>
          <w:sz w:val="20"/>
          <w:szCs w:val="20"/>
        </w:rPr>
        <w:footnoteRef/>
      </w:r>
      <w:r w:rsidRPr="001748BA">
        <w:rPr>
          <w:sz w:val="20"/>
          <w:szCs w:val="20"/>
        </w:rPr>
        <w:t xml:space="preserve"> D. Schmaltz, </w:t>
      </w:r>
      <w:r w:rsidRPr="001748BA">
        <w:rPr>
          <w:rStyle w:val="Emphasis"/>
          <w:color w:val="000000"/>
          <w:sz w:val="20"/>
          <w:szCs w:val="20"/>
          <w:shd w:val="clear" w:color="auto" w:fill="FFFFFF"/>
        </w:rPr>
        <w:t xml:space="preserve">Enlarging the Hole in the Fence of Migrants’ Rights: A.A. and others v. North Macedonia, </w:t>
      </w:r>
      <w:proofErr w:type="spellStart"/>
      <w:r w:rsidRPr="001748BA">
        <w:rPr>
          <w:rStyle w:val="Emphasis"/>
          <w:color w:val="000000"/>
          <w:sz w:val="20"/>
          <w:szCs w:val="20"/>
          <w:shd w:val="clear" w:color="auto" w:fill="FFFFFF"/>
        </w:rPr>
        <w:t>VerfBlog</w:t>
      </w:r>
      <w:proofErr w:type="spellEnd"/>
      <w:r w:rsidRPr="001748BA">
        <w:rPr>
          <w:rStyle w:val="Emphasis"/>
          <w:color w:val="000000"/>
          <w:sz w:val="20"/>
          <w:szCs w:val="20"/>
          <w:shd w:val="clear" w:color="auto" w:fill="FFFFFF"/>
        </w:rPr>
        <w:t>,</w:t>
      </w:r>
      <w:r w:rsidRPr="001748BA">
        <w:rPr>
          <w:color w:val="000000"/>
          <w:sz w:val="20"/>
          <w:szCs w:val="20"/>
          <w:shd w:val="clear" w:color="auto" w:fill="FFFFFF"/>
        </w:rPr>
        <w:t> 2022/4/06,</w:t>
      </w:r>
      <w:r w:rsidRPr="001748BA">
        <w:rPr>
          <w:rStyle w:val="Hyperlink"/>
          <w:rFonts w:eastAsiaTheme="majorEastAsia"/>
          <w:sz w:val="20"/>
          <w:szCs w:val="20"/>
        </w:rPr>
        <w:t xml:space="preserve"> </w:t>
      </w:r>
      <w:hyperlink r:id="rId2" w:history="1">
        <w:r w:rsidRPr="001748BA">
          <w:rPr>
            <w:rStyle w:val="Hyperlink"/>
            <w:rFonts w:eastAsiaTheme="majorEastAsia"/>
            <w:sz w:val="20"/>
            <w:szCs w:val="20"/>
          </w:rPr>
          <w:t>https://verfassungsblog.de/enlarging-the-hole-in-the-fence-of-migrants-rights/</w:t>
        </w:r>
      </w:hyperlink>
    </w:p>
  </w:footnote>
  <w:footnote w:id="12">
    <w:p w:rsidR="001241F6" w:rsidRPr="001748BA" w:rsidRDefault="001241F6" w:rsidP="001956C2">
      <w:pPr>
        <w:pStyle w:val="s6e50bd9a"/>
        <w:shd w:val="clear" w:color="auto" w:fill="FFFFFF"/>
        <w:spacing w:before="0" w:beforeAutospacing="0" w:after="0" w:afterAutospacing="0"/>
        <w:rPr>
          <w:color w:val="000000"/>
          <w:sz w:val="20"/>
          <w:szCs w:val="20"/>
        </w:rPr>
      </w:pPr>
      <w:r w:rsidRPr="001748BA">
        <w:rPr>
          <w:rStyle w:val="FootnoteReference"/>
          <w:sz w:val="20"/>
          <w:szCs w:val="20"/>
        </w:rPr>
        <w:footnoteRef/>
      </w:r>
      <w:r w:rsidRPr="001748BA">
        <w:rPr>
          <w:sz w:val="20"/>
          <w:szCs w:val="20"/>
        </w:rPr>
        <w:t xml:space="preserve"> </w:t>
      </w:r>
      <w:r w:rsidRPr="001748BA">
        <w:rPr>
          <w:rStyle w:val="s38c10080"/>
          <w:bCs/>
          <w:i/>
          <w:iCs/>
          <w:color w:val="000000"/>
          <w:sz w:val="20"/>
          <w:szCs w:val="20"/>
        </w:rPr>
        <w:t>N.D. and N.T. v. Spain [GC]</w:t>
      </w:r>
      <w:r w:rsidRPr="001748BA">
        <w:rPr>
          <w:rStyle w:val="s7d2086b4"/>
          <w:bCs/>
          <w:color w:val="000000"/>
          <w:sz w:val="20"/>
          <w:szCs w:val="20"/>
        </w:rPr>
        <w:t> –Application numbers  </w:t>
      </w:r>
      <w:hyperlink r:id="rId3" w:anchor="{%22appno%22:[%228675/15%22]}" w:tgtFrame="_blank" w:history="1">
        <w:r w:rsidRPr="001748BA">
          <w:rPr>
            <w:rStyle w:val="Hyperlink"/>
            <w:rFonts w:eastAsiaTheme="majorEastAsia"/>
            <w:bCs/>
            <w:color w:val="0069D6"/>
            <w:sz w:val="20"/>
            <w:szCs w:val="20"/>
          </w:rPr>
          <w:t>8675/15</w:t>
        </w:r>
      </w:hyperlink>
      <w:r w:rsidRPr="001748BA">
        <w:rPr>
          <w:rStyle w:val="s7d2086b4"/>
          <w:bCs/>
          <w:color w:val="000000"/>
          <w:sz w:val="20"/>
          <w:szCs w:val="20"/>
        </w:rPr>
        <w:t> and </w:t>
      </w:r>
      <w:hyperlink r:id="rId4" w:anchor="{%22appno%22:[%228697/15%22]}" w:tgtFrame="_blank" w:history="1">
        <w:r w:rsidRPr="001748BA">
          <w:rPr>
            <w:rStyle w:val="Hyperlink"/>
            <w:rFonts w:eastAsiaTheme="majorEastAsia"/>
            <w:bCs/>
            <w:color w:val="0069D6"/>
            <w:sz w:val="20"/>
            <w:szCs w:val="20"/>
          </w:rPr>
          <w:t>8697/15</w:t>
        </w:r>
      </w:hyperlink>
      <w:r w:rsidRPr="001748BA">
        <w:rPr>
          <w:rStyle w:val="Hyperlink"/>
          <w:rFonts w:eastAsiaTheme="majorEastAsia"/>
          <w:bCs/>
          <w:color w:val="0069D6"/>
          <w:sz w:val="20"/>
          <w:szCs w:val="20"/>
        </w:rPr>
        <w:t xml:space="preserve">; </w:t>
      </w:r>
      <w:r w:rsidRPr="001748BA">
        <w:rPr>
          <w:color w:val="000000"/>
          <w:sz w:val="20"/>
          <w:szCs w:val="20"/>
        </w:rPr>
        <w:t xml:space="preserve"> </w:t>
      </w:r>
      <w:r w:rsidRPr="001748BA">
        <w:rPr>
          <w:rStyle w:val="sfbbfee58"/>
          <w:color w:val="000000"/>
          <w:sz w:val="20"/>
          <w:szCs w:val="20"/>
        </w:rPr>
        <w:t>Judgment of 13.2.2020 [GC].</w:t>
      </w:r>
    </w:p>
    <w:p w:rsidR="001241F6" w:rsidRPr="00C971BD" w:rsidRDefault="001241F6" w:rsidP="001956C2">
      <w:pPr>
        <w:pStyle w:val="FootnoteText"/>
        <w:rPr>
          <w:rFonts w:ascii="Times New Roman" w:hAnsi="Times New Roman" w:cs="Times New Roman"/>
          <w:lang w:val="en-GB"/>
        </w:rPr>
      </w:pPr>
    </w:p>
  </w:footnote>
  <w:footnote w:id="13">
    <w:p w:rsidR="001241F6" w:rsidRPr="00C971BD" w:rsidRDefault="001241F6" w:rsidP="001956C2">
      <w:pPr>
        <w:jc w:val="both"/>
        <w:rPr>
          <w:rFonts w:ascii="Times New Roman" w:hAnsi="Times New Roman" w:cs="Times New Roman"/>
          <w:i/>
          <w:sz w:val="20"/>
          <w:szCs w:val="20"/>
        </w:rPr>
      </w:pPr>
      <w:r w:rsidRPr="00C971BD">
        <w:rPr>
          <w:rStyle w:val="FootnoteReference"/>
          <w:rFonts w:ascii="Times New Roman" w:hAnsi="Times New Roman" w:cs="Times New Roman"/>
          <w:sz w:val="20"/>
          <w:szCs w:val="20"/>
        </w:rPr>
        <w:footnoteRef/>
      </w:r>
      <w:r w:rsidRPr="00C971BD">
        <w:rPr>
          <w:rFonts w:ascii="Times New Roman" w:hAnsi="Times New Roman" w:cs="Times New Roman"/>
          <w:sz w:val="20"/>
          <w:szCs w:val="20"/>
        </w:rPr>
        <w:t xml:space="preserve"> N.D. and N.T., para. 200.</w:t>
      </w:r>
    </w:p>
    <w:p w:rsidR="001241F6" w:rsidRPr="008102C4" w:rsidRDefault="001241F6" w:rsidP="001956C2">
      <w:pPr>
        <w:pStyle w:val="FootnoteText"/>
        <w:rPr>
          <w:lang w:val="en-GB"/>
        </w:rPr>
      </w:pPr>
    </w:p>
  </w:footnote>
  <w:footnote w:id="14">
    <w:p w:rsidR="001241F6" w:rsidRPr="002A336B" w:rsidRDefault="001241F6" w:rsidP="001956C2">
      <w:pPr>
        <w:pStyle w:val="FootnoteText"/>
        <w:rPr>
          <w:rFonts w:ascii="Times New Roman" w:hAnsi="Times New Roman" w:cs="Times New Roman"/>
          <w:lang w:val="en-GB"/>
        </w:rPr>
      </w:pPr>
      <w:r w:rsidRPr="002A336B">
        <w:rPr>
          <w:rStyle w:val="FootnoteReference"/>
          <w:rFonts w:ascii="Times New Roman" w:hAnsi="Times New Roman" w:cs="Times New Roman"/>
        </w:rPr>
        <w:footnoteRef/>
      </w:r>
      <w:r w:rsidRPr="002A336B">
        <w:rPr>
          <w:rFonts w:ascii="Times New Roman" w:hAnsi="Times New Roman" w:cs="Times New Roman"/>
          <w:lang w:val="en-GB"/>
        </w:rPr>
        <w:t xml:space="preserve"> ND and NT, para 201.Emphasis added.</w:t>
      </w:r>
    </w:p>
  </w:footnote>
  <w:footnote w:id="15">
    <w:p w:rsidR="001241F6" w:rsidRPr="002A336B" w:rsidRDefault="001241F6" w:rsidP="001956C2">
      <w:pPr>
        <w:pStyle w:val="FootnoteText"/>
        <w:rPr>
          <w:rFonts w:ascii="Times New Roman" w:hAnsi="Times New Roman" w:cs="Times New Roman"/>
          <w:lang w:val="en-GB"/>
        </w:rPr>
      </w:pPr>
      <w:r w:rsidRPr="002A336B">
        <w:rPr>
          <w:rStyle w:val="FootnoteReference"/>
          <w:rFonts w:ascii="Times New Roman" w:hAnsi="Times New Roman" w:cs="Times New Roman"/>
        </w:rPr>
        <w:footnoteRef/>
      </w:r>
      <w:r w:rsidRPr="002A336B">
        <w:rPr>
          <w:rFonts w:ascii="Times New Roman" w:hAnsi="Times New Roman" w:cs="Times New Roman"/>
          <w:lang w:val="en-GB"/>
        </w:rPr>
        <w:t xml:space="preserve"> See section 3 below.</w:t>
      </w:r>
    </w:p>
  </w:footnote>
  <w:footnote w:id="16">
    <w:p w:rsidR="001241F6" w:rsidRPr="002A336B" w:rsidRDefault="001241F6" w:rsidP="001956C2">
      <w:pPr>
        <w:jc w:val="both"/>
        <w:rPr>
          <w:rFonts w:ascii="Times New Roman" w:hAnsi="Times New Roman" w:cs="Times New Roman"/>
          <w:sz w:val="20"/>
          <w:szCs w:val="20"/>
        </w:rPr>
      </w:pPr>
      <w:r w:rsidRPr="002A336B">
        <w:rPr>
          <w:rStyle w:val="FootnoteReference"/>
          <w:rFonts w:ascii="Times New Roman" w:hAnsi="Times New Roman" w:cs="Times New Roman"/>
          <w:sz w:val="20"/>
          <w:szCs w:val="20"/>
        </w:rPr>
        <w:footnoteRef/>
      </w:r>
      <w:r w:rsidRPr="002A336B">
        <w:rPr>
          <w:rFonts w:ascii="Times New Roman" w:hAnsi="Times New Roman" w:cs="Times New Roman"/>
          <w:sz w:val="20"/>
          <w:szCs w:val="20"/>
        </w:rPr>
        <w:t xml:space="preserve"> S. Carrera, </w:t>
      </w:r>
      <w:r w:rsidRPr="002A336B">
        <w:rPr>
          <w:rFonts w:ascii="Times New Roman" w:hAnsi="Times New Roman" w:cs="Times New Roman"/>
          <w:i/>
          <w:sz w:val="20"/>
          <w:szCs w:val="20"/>
        </w:rPr>
        <w:t xml:space="preserve">The Strasbourg Court Judgement N.D. and N.T. v Spain A Carte Blanche to Push Backs at EU External Borders?, </w:t>
      </w:r>
      <w:r>
        <w:rPr>
          <w:rFonts w:ascii="Times New Roman" w:hAnsi="Times New Roman" w:cs="Times New Roman"/>
          <w:i/>
          <w:sz w:val="20"/>
          <w:szCs w:val="20"/>
        </w:rPr>
        <w:t>(</w:t>
      </w:r>
      <w:r w:rsidRPr="0010407A">
        <w:rPr>
          <w:rFonts w:ascii="Times New Roman" w:hAnsi="Times New Roman" w:cs="Times New Roman"/>
          <w:sz w:val="20"/>
          <w:szCs w:val="20"/>
        </w:rPr>
        <w:t>EUI Working Paper RSCAS 2020/21).</w:t>
      </w:r>
      <w:r>
        <w:rPr>
          <w:rFonts w:ascii="Times New Roman" w:hAnsi="Times New Roman" w:cs="Times New Roman"/>
          <w:sz w:val="20"/>
          <w:szCs w:val="20"/>
        </w:rPr>
        <w:t xml:space="preserve">, </w:t>
      </w:r>
      <w:hyperlink r:id="rId5" w:history="1">
        <w:r w:rsidRPr="00FD61DF">
          <w:rPr>
            <w:rStyle w:val="Hyperlink"/>
            <w:rFonts w:ascii="Times New Roman" w:hAnsi="Times New Roman" w:cs="Times New Roman"/>
            <w:sz w:val="20"/>
            <w:szCs w:val="20"/>
          </w:rPr>
          <w:t>https://cadmus.eui.eu/handle/1814/66629</w:t>
        </w:r>
      </w:hyperlink>
      <w:r>
        <w:rPr>
          <w:rFonts w:ascii="Times New Roman" w:hAnsi="Times New Roman" w:cs="Times New Roman"/>
          <w:sz w:val="20"/>
          <w:szCs w:val="20"/>
        </w:rPr>
        <w:t xml:space="preserve"> </w:t>
      </w:r>
    </w:p>
  </w:footnote>
  <w:footnote w:id="17">
    <w:p w:rsidR="001241F6" w:rsidRPr="002A336B" w:rsidRDefault="001241F6" w:rsidP="001956C2">
      <w:pPr>
        <w:pStyle w:val="FootnoteText"/>
        <w:rPr>
          <w:rFonts w:ascii="Times New Roman" w:hAnsi="Times New Roman" w:cs="Times New Roman"/>
          <w:lang w:val="en-GB"/>
        </w:rPr>
      </w:pPr>
      <w:r w:rsidRPr="002A336B">
        <w:rPr>
          <w:rStyle w:val="FootnoteReference"/>
          <w:rFonts w:ascii="Times New Roman" w:hAnsi="Times New Roman" w:cs="Times New Roman"/>
        </w:rPr>
        <w:footnoteRef/>
      </w:r>
      <w:r w:rsidRPr="002A336B">
        <w:rPr>
          <w:rFonts w:ascii="Times New Roman" w:hAnsi="Times New Roman" w:cs="Times New Roman"/>
          <w:lang w:val="en-GB"/>
        </w:rPr>
        <w:t xml:space="preserve"> On border procedures, see section 4 below.</w:t>
      </w:r>
    </w:p>
  </w:footnote>
  <w:footnote w:id="18">
    <w:p w:rsidR="001241F6" w:rsidRPr="0010407A" w:rsidRDefault="001241F6" w:rsidP="001956C2">
      <w:pPr>
        <w:jc w:val="both"/>
        <w:rPr>
          <w:rFonts w:ascii="Times New Roman" w:hAnsi="Times New Roman" w:cs="Times New Roman"/>
          <w:color w:val="0000FF"/>
          <w:sz w:val="20"/>
          <w:szCs w:val="20"/>
          <w:u w:val="single"/>
        </w:rPr>
      </w:pPr>
      <w:r w:rsidRPr="002A336B">
        <w:rPr>
          <w:rStyle w:val="FootnoteReference"/>
          <w:rFonts w:ascii="Times New Roman" w:hAnsi="Times New Roman" w:cs="Times New Roman"/>
          <w:sz w:val="20"/>
          <w:szCs w:val="20"/>
        </w:rPr>
        <w:footnoteRef/>
      </w:r>
      <w:r w:rsidRPr="002A336B">
        <w:rPr>
          <w:rFonts w:ascii="Times New Roman" w:hAnsi="Times New Roman" w:cs="Times New Roman"/>
          <w:sz w:val="20"/>
          <w:szCs w:val="20"/>
        </w:rPr>
        <w:t>.</w:t>
      </w:r>
      <w:r w:rsidRPr="002A336B">
        <w:rPr>
          <w:rFonts w:ascii="Times New Roman" w:hAnsi="Times New Roman" w:cs="Times New Roman"/>
          <w:color w:val="333333"/>
          <w:sz w:val="20"/>
          <w:szCs w:val="20"/>
        </w:rPr>
        <w:t xml:space="preserve">D. </w:t>
      </w:r>
      <w:proofErr w:type="spellStart"/>
      <w:r w:rsidRPr="002A336B">
        <w:rPr>
          <w:rFonts w:ascii="Times New Roman" w:hAnsi="Times New Roman" w:cs="Times New Roman"/>
          <w:color w:val="333333"/>
          <w:sz w:val="20"/>
          <w:szCs w:val="20"/>
        </w:rPr>
        <w:t>Thym</w:t>
      </w:r>
      <w:proofErr w:type="spellEnd"/>
      <w:r w:rsidRPr="002A336B">
        <w:rPr>
          <w:rFonts w:ascii="Times New Roman" w:hAnsi="Times New Roman" w:cs="Times New Roman"/>
          <w:color w:val="333333"/>
          <w:sz w:val="20"/>
          <w:szCs w:val="20"/>
        </w:rPr>
        <w:t xml:space="preserve">, </w:t>
      </w:r>
      <w:r w:rsidRPr="002A336B">
        <w:rPr>
          <w:rFonts w:ascii="Times New Roman" w:hAnsi="Times New Roman" w:cs="Times New Roman"/>
          <w:i/>
          <w:color w:val="333333"/>
          <w:sz w:val="20"/>
          <w:szCs w:val="20"/>
        </w:rPr>
        <w:t xml:space="preserve">A </w:t>
      </w:r>
      <w:proofErr w:type="spellStart"/>
      <w:r w:rsidRPr="002A336B">
        <w:rPr>
          <w:rFonts w:ascii="Times New Roman" w:hAnsi="Times New Roman" w:cs="Times New Roman"/>
          <w:i/>
          <w:color w:val="333333"/>
          <w:sz w:val="20"/>
          <w:szCs w:val="20"/>
        </w:rPr>
        <w:t>Restrictionist</w:t>
      </w:r>
      <w:proofErr w:type="spellEnd"/>
      <w:r w:rsidRPr="002A336B">
        <w:rPr>
          <w:rFonts w:ascii="Times New Roman" w:hAnsi="Times New Roman" w:cs="Times New Roman"/>
          <w:i/>
          <w:color w:val="333333"/>
          <w:sz w:val="20"/>
          <w:szCs w:val="20"/>
        </w:rPr>
        <w:t xml:space="preserve"> Revolution? A Counter-intuitive reading of the ECtHR’s N.D &amp; N.T. judgment on ‘hot expulsions’ </w:t>
      </w:r>
      <w:r w:rsidRPr="002A336B">
        <w:rPr>
          <w:rFonts w:ascii="Times New Roman" w:hAnsi="Times New Roman" w:cs="Times New Roman"/>
          <w:color w:val="333333"/>
          <w:sz w:val="20"/>
          <w:szCs w:val="20"/>
        </w:rPr>
        <w:t xml:space="preserve">, 17.2.2020, </w:t>
      </w:r>
      <w:hyperlink r:id="rId6" w:history="1">
        <w:r w:rsidRPr="002A336B">
          <w:rPr>
            <w:rStyle w:val="Hyperlink"/>
            <w:rFonts w:ascii="Times New Roman" w:hAnsi="Times New Roman" w:cs="Times New Roman"/>
            <w:sz w:val="20"/>
            <w:szCs w:val="20"/>
          </w:rPr>
          <w:t>http://eumigrationlawblog.eu/a-restrictionist-revolution-a-counter-intuitive-reading-of-the-ecthrs-n-d-n-t-judgment-on-hot-expulsions/</w:t>
        </w:r>
      </w:hyperlink>
      <w:r>
        <w:rPr>
          <w:rStyle w:val="Hyperlink"/>
          <w:rFonts w:ascii="Times New Roman" w:hAnsi="Times New Roman" w:cs="Times New Roman"/>
          <w:sz w:val="20"/>
          <w:szCs w:val="20"/>
        </w:rPr>
        <w:t xml:space="preserve">. </w:t>
      </w:r>
      <w:r w:rsidR="003E31F4">
        <w:rPr>
          <w:rStyle w:val="Hyperlink"/>
          <w:rFonts w:ascii="Times New Roman" w:hAnsi="Times New Roman" w:cs="Times New Roman"/>
          <w:sz w:val="20"/>
          <w:szCs w:val="20"/>
        </w:rPr>
        <w:t xml:space="preserve">. </w:t>
      </w:r>
      <w:r>
        <w:rPr>
          <w:rStyle w:val="Hyperlink"/>
          <w:rFonts w:ascii="Times New Roman" w:hAnsi="Times New Roman" w:cs="Times New Roman"/>
          <w:sz w:val="20"/>
          <w:szCs w:val="20"/>
        </w:rPr>
        <w:t xml:space="preserve"> </w:t>
      </w:r>
      <w:proofErr w:type="spellStart"/>
      <w:r w:rsidRPr="002A336B">
        <w:rPr>
          <w:rFonts w:ascii="Times New Roman" w:hAnsi="Times New Roman" w:cs="Times New Roman"/>
          <w:color w:val="333333"/>
          <w:sz w:val="20"/>
          <w:szCs w:val="20"/>
        </w:rPr>
        <w:t>Thym</w:t>
      </w:r>
      <w:proofErr w:type="spellEnd"/>
      <w:r w:rsidRPr="002A336B">
        <w:rPr>
          <w:rFonts w:ascii="Times New Roman" w:hAnsi="Times New Roman" w:cs="Times New Roman"/>
          <w:color w:val="333333"/>
          <w:sz w:val="20"/>
          <w:szCs w:val="20"/>
        </w:rPr>
        <w:t xml:space="preserve"> notes that the Court’s assessment of Spanish practice leaves the reader with the impression that the insistence on legal pathways is nothing more than a humanitarian fig leaf for border closures and that the factual situation of the </w:t>
      </w:r>
      <w:r w:rsidRPr="002A336B">
        <w:rPr>
          <w:rStyle w:val="Emphasis"/>
          <w:rFonts w:ascii="Times New Roman" w:hAnsi="Times New Roman" w:cs="Times New Roman"/>
          <w:color w:val="333333"/>
          <w:sz w:val="20"/>
          <w:szCs w:val="20"/>
          <w:bdr w:val="none" w:sz="0" w:space="0" w:color="auto" w:frame="1"/>
        </w:rPr>
        <w:t>N.D. &amp; N.T.</w:t>
      </w:r>
      <w:r w:rsidRPr="002A336B">
        <w:rPr>
          <w:rFonts w:ascii="Times New Roman" w:hAnsi="Times New Roman" w:cs="Times New Roman"/>
          <w:color w:val="333333"/>
          <w:sz w:val="20"/>
          <w:szCs w:val="20"/>
        </w:rPr>
        <w:t> case discloses a noticeable mismatch between potential aspirations and factual entry option.</w:t>
      </w:r>
    </w:p>
  </w:footnote>
  <w:footnote w:id="19">
    <w:p w:rsidR="001241F6" w:rsidRPr="0010407A" w:rsidRDefault="001241F6" w:rsidP="0010407A">
      <w:pPr>
        <w:pStyle w:val="s6e50bd9a"/>
        <w:shd w:val="clear" w:color="auto" w:fill="FFFFFF"/>
        <w:spacing w:before="0" w:beforeAutospacing="0" w:after="0" w:afterAutospacing="0"/>
        <w:rPr>
          <w:color w:val="000000"/>
          <w:sz w:val="20"/>
          <w:szCs w:val="20"/>
        </w:rPr>
      </w:pPr>
      <w:r w:rsidRPr="0010407A">
        <w:rPr>
          <w:rStyle w:val="FootnoteReference"/>
          <w:sz w:val="20"/>
          <w:szCs w:val="20"/>
        </w:rPr>
        <w:footnoteRef/>
      </w:r>
      <w:r w:rsidRPr="0010407A">
        <w:rPr>
          <w:i/>
          <w:sz w:val="20"/>
          <w:szCs w:val="20"/>
        </w:rPr>
        <w:t>M.K. and Others v Poland</w:t>
      </w:r>
      <w:r w:rsidRPr="0010407A">
        <w:rPr>
          <w:sz w:val="20"/>
          <w:szCs w:val="20"/>
        </w:rPr>
        <w:t xml:space="preserve">-, application </w:t>
      </w:r>
      <w:proofErr w:type="spellStart"/>
      <w:r w:rsidRPr="0010407A">
        <w:rPr>
          <w:sz w:val="20"/>
          <w:szCs w:val="20"/>
        </w:rPr>
        <w:t>nos</w:t>
      </w:r>
      <w:proofErr w:type="spellEnd"/>
      <w:r w:rsidRPr="0010407A">
        <w:rPr>
          <w:sz w:val="20"/>
          <w:szCs w:val="20"/>
        </w:rPr>
        <w:t xml:space="preserve"> </w:t>
      </w:r>
      <w:hyperlink r:id="rId7" w:anchor="{%22appno%22:[%2240503/17%22]}" w:tgtFrame="_blank" w:history="1">
        <w:r w:rsidRPr="0010407A">
          <w:rPr>
            <w:rStyle w:val="Hyperlink"/>
            <w:b/>
            <w:bCs/>
            <w:color w:val="0069D6"/>
            <w:sz w:val="20"/>
            <w:szCs w:val="20"/>
          </w:rPr>
          <w:t>40503/17</w:t>
        </w:r>
      </w:hyperlink>
      <w:r w:rsidRPr="0010407A">
        <w:rPr>
          <w:rStyle w:val="s7d2086b4"/>
          <w:b/>
          <w:bCs/>
          <w:color w:val="000000"/>
          <w:sz w:val="20"/>
          <w:szCs w:val="20"/>
        </w:rPr>
        <w:t>, </w:t>
      </w:r>
      <w:hyperlink r:id="rId8" w:anchor="{%22appno%22:[%2242902/17%22]}" w:tgtFrame="_blank" w:history="1">
        <w:r w:rsidRPr="0010407A">
          <w:rPr>
            <w:rStyle w:val="Hyperlink"/>
            <w:b/>
            <w:bCs/>
            <w:color w:val="0069D6"/>
            <w:sz w:val="20"/>
            <w:szCs w:val="20"/>
          </w:rPr>
          <w:t>42902/17</w:t>
        </w:r>
      </w:hyperlink>
      <w:r w:rsidRPr="0010407A">
        <w:rPr>
          <w:rStyle w:val="s7d2086b4"/>
          <w:b/>
          <w:bCs/>
          <w:color w:val="000000"/>
          <w:sz w:val="20"/>
          <w:szCs w:val="20"/>
        </w:rPr>
        <w:t> and </w:t>
      </w:r>
      <w:hyperlink r:id="rId9" w:anchor="{%22appno%22:[%2243643/17%22]}" w:tgtFrame="_blank" w:history="1">
        <w:r w:rsidRPr="0010407A">
          <w:rPr>
            <w:rStyle w:val="Hyperlink"/>
            <w:b/>
            <w:bCs/>
            <w:color w:val="0069D6"/>
            <w:sz w:val="20"/>
            <w:szCs w:val="20"/>
          </w:rPr>
          <w:t>43643/17</w:t>
        </w:r>
      </w:hyperlink>
      <w:r w:rsidRPr="0010407A">
        <w:rPr>
          <w:rStyle w:val="sfbbfee58"/>
          <w:color w:val="000000"/>
          <w:sz w:val="20"/>
          <w:szCs w:val="20"/>
        </w:rPr>
        <w:t>Judgment of  23.7.2020. A</w:t>
      </w:r>
      <w:r w:rsidR="003E31F4">
        <w:rPr>
          <w:sz w:val="20"/>
          <w:szCs w:val="20"/>
        </w:rPr>
        <w:t>ccording to the Strasbourg Co</w:t>
      </w:r>
      <w:r w:rsidRPr="0010407A">
        <w:rPr>
          <w:sz w:val="20"/>
          <w:szCs w:val="20"/>
        </w:rPr>
        <w:t xml:space="preserve">urt, in this case the applicants had tried to make use of the procedure for submitting applications for international protection that should have been available to them under Polish law and, accordingly, they had attempted to cross the border in a legal manner, using an official checkpoint and subjecting themselves to border checks (para. 207).  </w:t>
      </w:r>
    </w:p>
  </w:footnote>
  <w:footnote w:id="20">
    <w:p w:rsidR="001241F6" w:rsidRPr="0010407A" w:rsidRDefault="001241F6" w:rsidP="0010407A">
      <w:pPr>
        <w:jc w:val="both"/>
        <w:rPr>
          <w:rFonts w:ascii="Times New Roman" w:hAnsi="Times New Roman" w:cs="Times New Roman"/>
          <w:sz w:val="20"/>
          <w:szCs w:val="20"/>
        </w:rPr>
      </w:pPr>
      <w:r w:rsidRPr="0010407A">
        <w:rPr>
          <w:rStyle w:val="FootnoteReference"/>
          <w:rFonts w:ascii="Times New Roman" w:hAnsi="Times New Roman" w:cs="Times New Roman"/>
          <w:sz w:val="20"/>
          <w:szCs w:val="20"/>
        </w:rPr>
        <w:footnoteRef/>
      </w:r>
      <w:r w:rsidRPr="0010407A">
        <w:rPr>
          <w:rFonts w:ascii="Times New Roman" w:hAnsi="Times New Roman" w:cs="Times New Roman"/>
          <w:sz w:val="20"/>
          <w:szCs w:val="20"/>
        </w:rPr>
        <w:t xml:space="preserve"> In </w:t>
      </w:r>
      <w:r w:rsidRPr="0010407A">
        <w:rPr>
          <w:rFonts w:ascii="Times New Roman" w:hAnsi="Times New Roman" w:cs="Times New Roman"/>
          <w:bCs/>
          <w:i/>
          <w:iCs/>
          <w:sz w:val="20"/>
          <w:szCs w:val="20"/>
        </w:rPr>
        <w:t xml:space="preserve">Shahzad v. Hungary </w:t>
      </w:r>
      <w:r w:rsidRPr="0010407A">
        <w:rPr>
          <w:rFonts w:ascii="Times New Roman" w:hAnsi="Times New Roman" w:cs="Times New Roman"/>
          <w:i/>
          <w:iCs/>
          <w:color w:val="000000"/>
          <w:sz w:val="20"/>
          <w:szCs w:val="20"/>
          <w:shd w:val="clear" w:color="auto" w:fill="FFFFFF"/>
        </w:rPr>
        <w:t>Application no. </w:t>
      </w:r>
      <w:hyperlink r:id="rId10" w:anchor="{%22appno%22:[%2212625/17%22]}" w:tgtFrame="_blank" w:history="1">
        <w:r w:rsidRPr="0010407A">
          <w:rPr>
            <w:rStyle w:val="Hyperlink"/>
            <w:rFonts w:ascii="Times New Roman" w:hAnsi="Times New Roman" w:cs="Times New Roman"/>
            <w:i/>
            <w:iCs/>
            <w:color w:val="0069D6"/>
            <w:sz w:val="20"/>
            <w:szCs w:val="20"/>
            <w:shd w:val="clear" w:color="auto" w:fill="FFFFFF"/>
          </w:rPr>
          <w:t>12625/17</w:t>
        </w:r>
      </w:hyperlink>
      <w:r w:rsidRPr="0010407A">
        <w:rPr>
          <w:rFonts w:ascii="Times New Roman" w:hAnsi="Times New Roman" w:cs="Times New Roman"/>
          <w:sz w:val="20"/>
          <w:szCs w:val="20"/>
        </w:rPr>
        <w:t xml:space="preserve"> Judgment of 8.10.2021)</w:t>
      </w:r>
      <w:r w:rsidRPr="0010407A">
        <w:rPr>
          <w:rFonts w:ascii="Times New Roman" w:hAnsi="Times New Roman" w:cs="Times New Roman"/>
          <w:bCs/>
          <w:i/>
          <w:iCs/>
          <w:sz w:val="20"/>
          <w:szCs w:val="20"/>
        </w:rPr>
        <w:t xml:space="preserve"> </w:t>
      </w:r>
      <w:r w:rsidRPr="0010407A">
        <w:rPr>
          <w:rFonts w:ascii="Times New Roman" w:hAnsi="Times New Roman" w:cs="Times New Roman"/>
          <w:bCs/>
          <w:iCs/>
          <w:sz w:val="20"/>
          <w:szCs w:val="20"/>
        </w:rPr>
        <w:t>the Strasbourg Court</w:t>
      </w:r>
      <w:r w:rsidRPr="0010407A">
        <w:rPr>
          <w:rFonts w:ascii="Times New Roman" w:hAnsi="Times New Roman" w:cs="Times New Roman"/>
          <w:bCs/>
          <w:i/>
          <w:iCs/>
          <w:sz w:val="20"/>
          <w:szCs w:val="20"/>
        </w:rPr>
        <w:t xml:space="preserve"> </w:t>
      </w:r>
      <w:r w:rsidRPr="0010407A">
        <w:rPr>
          <w:rFonts w:ascii="Times New Roman" w:hAnsi="Times New Roman" w:cs="Times New Roman"/>
          <w:sz w:val="20"/>
          <w:szCs w:val="20"/>
        </w:rPr>
        <w:t xml:space="preserve">held that the removal of the applicant to the external side of the border fence amounted to an expulsion within the meaning of Article 4 of Protocol No. 4 ECHR (para. 52).  The ECtHR noted that the only way the applicant could have entered Hungary legally was through the two transit zones in </w:t>
      </w:r>
      <w:proofErr w:type="spellStart"/>
      <w:r w:rsidRPr="0010407A">
        <w:rPr>
          <w:rFonts w:ascii="Times New Roman" w:hAnsi="Times New Roman" w:cs="Times New Roman"/>
          <w:sz w:val="20"/>
          <w:szCs w:val="20"/>
        </w:rPr>
        <w:t>Tompa</w:t>
      </w:r>
      <w:proofErr w:type="spellEnd"/>
      <w:r w:rsidRPr="0010407A">
        <w:rPr>
          <w:rFonts w:ascii="Times New Roman" w:hAnsi="Times New Roman" w:cs="Times New Roman"/>
          <w:sz w:val="20"/>
          <w:szCs w:val="20"/>
        </w:rPr>
        <w:t xml:space="preserve"> and </w:t>
      </w:r>
      <w:proofErr w:type="spellStart"/>
      <w:r w:rsidRPr="0010407A">
        <w:rPr>
          <w:rFonts w:ascii="Times New Roman" w:hAnsi="Times New Roman" w:cs="Times New Roman"/>
          <w:sz w:val="20"/>
          <w:szCs w:val="20"/>
        </w:rPr>
        <w:t>Röszke</w:t>
      </w:r>
      <w:proofErr w:type="spellEnd"/>
      <w:r w:rsidRPr="0010407A">
        <w:rPr>
          <w:rFonts w:ascii="Times New Roman" w:hAnsi="Times New Roman" w:cs="Times New Roman"/>
          <w:sz w:val="20"/>
          <w:szCs w:val="20"/>
        </w:rPr>
        <w:t xml:space="preserve">, which were located approximately 40 km and 84 km respectively from the location the applicant had been returned to (para. 63).  Based on the applicant’s submissions to the ECtHR, as corroborated by UNHCR’s reports, the ECtHR held it was nearly impossible to make use of the asylum procedure there and concluded that Hungary had failed to provide the applicant with an effective means of legal entry and that the lack of an individual expulsion decision could not be attributed to the his own conduct (para. 65).  </w:t>
      </w:r>
    </w:p>
  </w:footnote>
  <w:footnote w:id="21">
    <w:p w:rsidR="001241F6" w:rsidRPr="0010407A" w:rsidRDefault="001241F6" w:rsidP="001956C2">
      <w:pPr>
        <w:spacing w:line="259" w:lineRule="auto"/>
        <w:rPr>
          <w:rFonts w:ascii="Times New Roman" w:hAnsi="Times New Roman" w:cs="Times New Roman"/>
          <w:bCs/>
          <w:i/>
          <w:iCs/>
          <w:sz w:val="20"/>
          <w:szCs w:val="20"/>
        </w:rPr>
      </w:pPr>
      <w:r w:rsidRPr="0010407A">
        <w:rPr>
          <w:rStyle w:val="FootnoteReference"/>
          <w:rFonts w:ascii="Times New Roman" w:hAnsi="Times New Roman" w:cs="Times New Roman"/>
          <w:sz w:val="20"/>
          <w:szCs w:val="20"/>
        </w:rPr>
        <w:footnoteRef/>
      </w:r>
      <w:r w:rsidRPr="0010407A">
        <w:rPr>
          <w:rFonts w:ascii="Times New Roman" w:hAnsi="Times New Roman" w:cs="Times New Roman"/>
          <w:sz w:val="20"/>
          <w:szCs w:val="20"/>
        </w:rPr>
        <w:t xml:space="preserve"> </w:t>
      </w:r>
      <w:r w:rsidRPr="0010407A">
        <w:rPr>
          <w:rFonts w:ascii="Times New Roman" w:hAnsi="Times New Roman" w:cs="Times New Roman"/>
          <w:bCs/>
          <w:i/>
          <w:iCs/>
          <w:sz w:val="20"/>
          <w:szCs w:val="20"/>
        </w:rPr>
        <w:t xml:space="preserve">M.H. and Others v. Croatia, </w:t>
      </w:r>
      <w:r w:rsidRPr="0010407A">
        <w:rPr>
          <w:rFonts w:ascii="Times New Roman" w:hAnsi="Times New Roman" w:cs="Times New Roman"/>
          <w:i/>
          <w:iCs/>
          <w:color w:val="000000"/>
          <w:sz w:val="20"/>
          <w:szCs w:val="20"/>
          <w:shd w:val="clear" w:color="auto" w:fill="FFFFFF"/>
        </w:rPr>
        <w:t>(Applications nos. </w:t>
      </w:r>
      <w:hyperlink r:id="rId11" w:anchor="{%22appno%22:[%2215670/18%22]}" w:tgtFrame="_blank" w:history="1">
        <w:r w:rsidRPr="0010407A">
          <w:rPr>
            <w:rStyle w:val="Hyperlink"/>
            <w:rFonts w:ascii="Times New Roman" w:hAnsi="Times New Roman" w:cs="Times New Roman"/>
            <w:i/>
            <w:iCs/>
            <w:color w:val="0069D6"/>
            <w:sz w:val="20"/>
            <w:szCs w:val="20"/>
            <w:shd w:val="clear" w:color="auto" w:fill="FFFFFF"/>
          </w:rPr>
          <w:t>15670/18</w:t>
        </w:r>
      </w:hyperlink>
      <w:r w:rsidRPr="0010407A">
        <w:rPr>
          <w:rFonts w:ascii="Times New Roman" w:hAnsi="Times New Roman" w:cs="Times New Roman"/>
          <w:i/>
          <w:iCs/>
          <w:color w:val="000000"/>
          <w:sz w:val="20"/>
          <w:szCs w:val="20"/>
          <w:shd w:val="clear" w:color="auto" w:fill="FFFFFF"/>
        </w:rPr>
        <w:t> and </w:t>
      </w:r>
      <w:hyperlink r:id="rId12" w:anchor="{%22appno%22:[%2243115/18%22]}" w:tgtFrame="_blank" w:history="1">
        <w:r w:rsidRPr="0010407A">
          <w:rPr>
            <w:rStyle w:val="Hyperlink"/>
            <w:rFonts w:ascii="Times New Roman" w:hAnsi="Times New Roman" w:cs="Times New Roman"/>
            <w:i/>
            <w:iCs/>
            <w:color w:val="0069D6"/>
            <w:sz w:val="20"/>
            <w:szCs w:val="20"/>
            <w:shd w:val="clear" w:color="auto" w:fill="FFFFFF"/>
          </w:rPr>
          <w:t>43115/18</w:t>
        </w:r>
      </w:hyperlink>
      <w:r w:rsidRPr="0010407A">
        <w:rPr>
          <w:rFonts w:ascii="Times New Roman" w:hAnsi="Times New Roman" w:cs="Times New Roman"/>
          <w:i/>
          <w:iCs/>
          <w:color w:val="000000"/>
          <w:sz w:val="20"/>
          <w:szCs w:val="20"/>
          <w:shd w:val="clear" w:color="auto" w:fill="FFFFFF"/>
        </w:rPr>
        <w:t xml:space="preserve">) </w:t>
      </w:r>
      <w:r w:rsidRPr="0010407A">
        <w:rPr>
          <w:rFonts w:ascii="Times New Roman" w:hAnsi="Times New Roman" w:cs="Times New Roman"/>
          <w:iCs/>
          <w:color w:val="000000"/>
          <w:sz w:val="20"/>
          <w:szCs w:val="20"/>
          <w:shd w:val="clear" w:color="auto" w:fill="FFFFFF"/>
        </w:rPr>
        <w:t>Judgment of 18/11/2021</w:t>
      </w:r>
      <w:r w:rsidRPr="0010407A">
        <w:rPr>
          <w:rFonts w:ascii="Times New Roman" w:hAnsi="Times New Roman" w:cs="Times New Roman"/>
          <w:i/>
          <w:iCs/>
          <w:color w:val="000000"/>
          <w:sz w:val="20"/>
          <w:szCs w:val="20"/>
          <w:shd w:val="clear" w:color="auto" w:fill="FFFFFF"/>
        </w:rPr>
        <w:t>)</w:t>
      </w:r>
      <w:r w:rsidRPr="0010407A">
        <w:rPr>
          <w:rFonts w:ascii="Times New Roman" w:hAnsi="Times New Roman" w:cs="Times New Roman"/>
          <w:bCs/>
          <w:i/>
          <w:iCs/>
          <w:sz w:val="20"/>
          <w:szCs w:val="20"/>
        </w:rPr>
        <w:t xml:space="preserve"> </w:t>
      </w:r>
      <w:r w:rsidRPr="0010407A">
        <w:rPr>
          <w:rFonts w:ascii="Times New Roman" w:hAnsi="Times New Roman" w:cs="Times New Roman"/>
          <w:sz w:val="20"/>
          <w:szCs w:val="20"/>
        </w:rPr>
        <w:t>paras 279-280.</w:t>
      </w:r>
    </w:p>
  </w:footnote>
  <w:footnote w:id="22">
    <w:p w:rsidR="001241F6" w:rsidRPr="0010407A" w:rsidRDefault="001241F6" w:rsidP="001956C2">
      <w:pPr>
        <w:pStyle w:val="c01pointnumerotealtn"/>
        <w:spacing w:after="240" w:afterAutospacing="0"/>
        <w:ind w:left="567" w:hanging="539"/>
        <w:jc w:val="both"/>
        <w:rPr>
          <w:iCs/>
          <w:color w:val="000000"/>
          <w:sz w:val="20"/>
          <w:szCs w:val="20"/>
        </w:rPr>
      </w:pPr>
      <w:r w:rsidRPr="0010407A">
        <w:rPr>
          <w:rStyle w:val="FootnoteReference"/>
          <w:sz w:val="20"/>
          <w:szCs w:val="20"/>
        </w:rPr>
        <w:footnoteRef/>
      </w:r>
      <w:r w:rsidRPr="0010407A">
        <w:rPr>
          <w:sz w:val="20"/>
          <w:szCs w:val="20"/>
        </w:rPr>
        <w:t xml:space="preserve"> </w:t>
      </w:r>
      <w:r w:rsidRPr="0010407A">
        <w:rPr>
          <w:rStyle w:val="sa2b98c15"/>
          <w:bCs/>
          <w:i/>
          <w:color w:val="000000"/>
          <w:sz w:val="20"/>
          <w:szCs w:val="20"/>
        </w:rPr>
        <w:t>A.A. and Others v. North Macedonia</w:t>
      </w:r>
      <w:r w:rsidRPr="0010407A">
        <w:rPr>
          <w:rStyle w:val="sa2b98c15"/>
          <w:bCs/>
          <w:color w:val="000000"/>
          <w:sz w:val="20"/>
          <w:szCs w:val="20"/>
        </w:rPr>
        <w:t xml:space="preserve"> </w:t>
      </w:r>
      <w:r w:rsidRPr="0010407A">
        <w:rPr>
          <w:rStyle w:val="sbc73225d"/>
          <w:i/>
          <w:iCs/>
          <w:color w:val="000000"/>
          <w:sz w:val="20"/>
          <w:szCs w:val="20"/>
        </w:rPr>
        <w:t>(Applications nos. </w:t>
      </w:r>
      <w:hyperlink r:id="rId13" w:anchor="{%22appno%22:[%2255798/16%22]}" w:tgtFrame="_blank" w:history="1">
        <w:r w:rsidRPr="0010407A">
          <w:rPr>
            <w:rStyle w:val="Hyperlink"/>
            <w:rFonts w:eastAsiaTheme="majorEastAsia"/>
            <w:i/>
            <w:iCs/>
            <w:color w:val="0069D6"/>
            <w:sz w:val="20"/>
            <w:szCs w:val="20"/>
          </w:rPr>
          <w:t>55798/16</w:t>
        </w:r>
      </w:hyperlink>
      <w:r w:rsidRPr="0010407A">
        <w:rPr>
          <w:rStyle w:val="sbc73225d"/>
          <w:i/>
          <w:iCs/>
          <w:color w:val="000000"/>
          <w:sz w:val="20"/>
          <w:szCs w:val="20"/>
        </w:rPr>
        <w:t xml:space="preserve"> and 4 others, </w:t>
      </w:r>
      <w:r w:rsidRPr="0010407A">
        <w:rPr>
          <w:rStyle w:val="sbc73225d"/>
          <w:iCs/>
          <w:color w:val="000000"/>
          <w:sz w:val="20"/>
          <w:szCs w:val="20"/>
        </w:rPr>
        <w:t>Judgment of 5.4. 2022)</w:t>
      </w:r>
    </w:p>
  </w:footnote>
  <w:footnote w:id="23">
    <w:p w:rsidR="001241F6" w:rsidRPr="0010407A" w:rsidRDefault="001241F6" w:rsidP="001956C2">
      <w:pPr>
        <w:pStyle w:val="FootnoteText"/>
        <w:rPr>
          <w:rFonts w:ascii="Times New Roman" w:hAnsi="Times New Roman" w:cs="Times New Roman"/>
          <w:lang w:val="en-GB"/>
        </w:rPr>
      </w:pPr>
      <w:r w:rsidRPr="0010407A">
        <w:rPr>
          <w:rStyle w:val="FootnoteReference"/>
          <w:rFonts w:ascii="Times New Roman" w:hAnsi="Times New Roman" w:cs="Times New Roman"/>
        </w:rPr>
        <w:footnoteRef/>
      </w:r>
      <w:r w:rsidRPr="0010407A">
        <w:rPr>
          <w:rFonts w:ascii="Times New Roman" w:hAnsi="Times New Roman" w:cs="Times New Roman"/>
          <w:lang w:val="en-GB"/>
        </w:rPr>
        <w:t xml:space="preserve"> Para. 121.</w:t>
      </w:r>
    </w:p>
  </w:footnote>
  <w:footnote w:id="24">
    <w:p w:rsidR="001241F6" w:rsidRPr="0010407A" w:rsidRDefault="001241F6" w:rsidP="001956C2">
      <w:pPr>
        <w:pStyle w:val="FootnoteText"/>
        <w:rPr>
          <w:rFonts w:ascii="Times New Roman" w:hAnsi="Times New Roman" w:cs="Times New Roman"/>
          <w:lang w:val="en-GB"/>
        </w:rPr>
      </w:pPr>
      <w:r w:rsidRPr="0010407A">
        <w:rPr>
          <w:rStyle w:val="FootnoteReference"/>
          <w:rFonts w:ascii="Times New Roman" w:hAnsi="Times New Roman" w:cs="Times New Roman"/>
        </w:rPr>
        <w:footnoteRef/>
      </w:r>
      <w:r w:rsidRPr="0010407A">
        <w:rPr>
          <w:rFonts w:ascii="Times New Roman" w:hAnsi="Times New Roman" w:cs="Times New Roman"/>
          <w:lang w:val="en-GB"/>
        </w:rPr>
        <w:t xml:space="preserve"> Para. 122.</w:t>
      </w:r>
    </w:p>
  </w:footnote>
  <w:footnote w:id="25">
    <w:p w:rsidR="001241F6" w:rsidRPr="0010407A" w:rsidRDefault="001241F6" w:rsidP="001956C2">
      <w:pPr>
        <w:pStyle w:val="FootnoteText"/>
        <w:rPr>
          <w:rFonts w:ascii="Times New Roman" w:hAnsi="Times New Roman" w:cs="Times New Roman"/>
          <w:lang w:val="en-GB"/>
        </w:rPr>
      </w:pPr>
      <w:r w:rsidRPr="0010407A">
        <w:rPr>
          <w:rStyle w:val="FootnoteReference"/>
          <w:rFonts w:ascii="Times New Roman" w:hAnsi="Times New Roman" w:cs="Times New Roman"/>
        </w:rPr>
        <w:footnoteRef/>
      </w:r>
      <w:r w:rsidRPr="0010407A">
        <w:rPr>
          <w:rFonts w:ascii="Times New Roman" w:hAnsi="Times New Roman" w:cs="Times New Roman"/>
          <w:lang w:val="en-GB"/>
        </w:rPr>
        <w:t xml:space="preserve"> Para. 123, by reference to ND and </w:t>
      </w:r>
      <w:proofErr w:type="gramStart"/>
      <w:r w:rsidRPr="0010407A">
        <w:rPr>
          <w:rFonts w:ascii="Times New Roman" w:hAnsi="Times New Roman" w:cs="Times New Roman"/>
          <w:lang w:val="en-GB"/>
        </w:rPr>
        <w:t xml:space="preserve">NT </w:t>
      </w:r>
      <w:r>
        <w:rPr>
          <w:rFonts w:ascii="Times New Roman" w:hAnsi="Times New Roman" w:cs="Times New Roman"/>
          <w:lang w:val="en-GB"/>
        </w:rPr>
        <w:t>,</w:t>
      </w:r>
      <w:proofErr w:type="gramEnd"/>
      <w:r>
        <w:rPr>
          <w:rFonts w:ascii="Times New Roman" w:hAnsi="Times New Roman" w:cs="Times New Roman"/>
          <w:lang w:val="en-GB"/>
        </w:rPr>
        <w:t xml:space="preserve"> para.</w:t>
      </w:r>
      <w:r w:rsidRPr="0010407A">
        <w:rPr>
          <w:rFonts w:ascii="Times New Roman" w:hAnsi="Times New Roman" w:cs="Times New Roman"/>
          <w:lang w:val="en-GB"/>
        </w:rPr>
        <w:t xml:space="preserve"> 231).</w:t>
      </w:r>
    </w:p>
  </w:footnote>
  <w:footnote w:id="26">
    <w:p w:rsidR="001241F6" w:rsidRPr="0010407A" w:rsidRDefault="001241F6" w:rsidP="001956C2">
      <w:pPr>
        <w:jc w:val="both"/>
        <w:rPr>
          <w:rStyle w:val="Hyperlink"/>
          <w:rFonts w:ascii="Times New Roman" w:hAnsi="Times New Roman" w:cs="Times New Roman"/>
          <w:sz w:val="20"/>
          <w:szCs w:val="20"/>
        </w:rPr>
      </w:pPr>
      <w:r w:rsidRPr="0010407A">
        <w:rPr>
          <w:rStyle w:val="FootnoteReference"/>
          <w:rFonts w:ascii="Times New Roman" w:hAnsi="Times New Roman" w:cs="Times New Roman"/>
          <w:sz w:val="20"/>
          <w:szCs w:val="20"/>
        </w:rPr>
        <w:footnoteRef/>
      </w:r>
      <w:r w:rsidRPr="0010407A">
        <w:rPr>
          <w:rFonts w:ascii="Times New Roman" w:hAnsi="Times New Roman" w:cs="Times New Roman"/>
          <w:sz w:val="20"/>
          <w:szCs w:val="20"/>
        </w:rPr>
        <w:t xml:space="preserve"> On the challenges that ND and NT poses to EU law principles, see N. </w:t>
      </w:r>
      <w:proofErr w:type="spellStart"/>
      <w:r w:rsidRPr="0010407A">
        <w:rPr>
          <w:rFonts w:ascii="Times New Roman" w:hAnsi="Times New Roman" w:cs="Times New Roman"/>
          <w:sz w:val="20"/>
          <w:szCs w:val="20"/>
        </w:rPr>
        <w:t>Markand</w:t>
      </w:r>
      <w:proofErr w:type="spellEnd"/>
      <w:r w:rsidRPr="0010407A">
        <w:rPr>
          <w:rFonts w:ascii="Times New Roman" w:hAnsi="Times New Roman" w:cs="Times New Roman"/>
          <w:sz w:val="20"/>
          <w:szCs w:val="20"/>
        </w:rPr>
        <w:t xml:space="preserve">,  </w:t>
      </w:r>
      <w:r w:rsidRPr="0010407A">
        <w:rPr>
          <w:rFonts w:ascii="Times New Roman" w:hAnsi="Times New Roman" w:cs="Times New Roman"/>
          <w:i/>
          <w:sz w:val="20"/>
          <w:szCs w:val="20"/>
        </w:rPr>
        <w:t xml:space="preserve">A Hole of Unclear Dimensions: Reading N.D. and N.T. v Spain, </w:t>
      </w:r>
      <w:r w:rsidRPr="0010407A">
        <w:rPr>
          <w:rFonts w:ascii="Times New Roman" w:hAnsi="Times New Roman" w:cs="Times New Roman"/>
          <w:sz w:val="20"/>
          <w:szCs w:val="20"/>
        </w:rPr>
        <w:t xml:space="preserve">1.4.2020, </w:t>
      </w:r>
      <w:hyperlink r:id="rId14" w:history="1">
        <w:r w:rsidRPr="0010407A">
          <w:rPr>
            <w:rStyle w:val="Hyperlink"/>
            <w:rFonts w:ascii="Times New Roman" w:hAnsi="Times New Roman" w:cs="Times New Roman"/>
            <w:sz w:val="20"/>
            <w:szCs w:val="20"/>
          </w:rPr>
          <w:t>https://eumigrationlawblog.eu/a-hole-of-unclear-dimensions-reading-nd-and-nt-v-spain/</w:t>
        </w:r>
      </w:hyperlink>
      <w:r w:rsidRPr="0010407A">
        <w:rPr>
          <w:rStyle w:val="Hyperlink"/>
          <w:rFonts w:ascii="Times New Roman" w:hAnsi="Times New Roman" w:cs="Times New Roman"/>
          <w:sz w:val="20"/>
          <w:szCs w:val="20"/>
        </w:rPr>
        <w:t xml:space="preserve">;   </w:t>
      </w:r>
      <w:proofErr w:type="spellStart"/>
      <w:r w:rsidRPr="0010407A">
        <w:rPr>
          <w:rFonts w:ascii="Times New Roman" w:hAnsi="Times New Roman" w:cs="Times New Roman"/>
          <w:color w:val="333333"/>
          <w:sz w:val="20"/>
          <w:szCs w:val="20"/>
        </w:rPr>
        <w:t>Thym,</w:t>
      </w:r>
      <w:r w:rsidRPr="0010407A">
        <w:rPr>
          <w:rFonts w:ascii="Times New Roman" w:hAnsi="Times New Roman" w:cs="Times New Roman"/>
          <w:i/>
          <w:color w:val="333333"/>
          <w:sz w:val="20"/>
          <w:szCs w:val="20"/>
        </w:rPr>
        <w:t>op.cit</w:t>
      </w:r>
      <w:proofErr w:type="spellEnd"/>
      <w:r w:rsidRPr="0010407A">
        <w:rPr>
          <w:rFonts w:ascii="Times New Roman" w:hAnsi="Times New Roman" w:cs="Times New Roman"/>
          <w:i/>
          <w:color w:val="333333"/>
          <w:sz w:val="20"/>
          <w:szCs w:val="20"/>
        </w:rPr>
        <w:t>.</w:t>
      </w:r>
      <w:r w:rsidRPr="0010407A">
        <w:rPr>
          <w:rStyle w:val="Hyperlink"/>
          <w:rFonts w:ascii="Times New Roman" w:hAnsi="Times New Roman" w:cs="Times New Roman"/>
          <w:sz w:val="20"/>
          <w:szCs w:val="20"/>
        </w:rPr>
        <w:t xml:space="preserve"> </w:t>
      </w:r>
    </w:p>
    <w:p w:rsidR="001241F6" w:rsidRPr="00C971BD" w:rsidRDefault="001241F6" w:rsidP="001956C2">
      <w:pPr>
        <w:jc w:val="both"/>
        <w:rPr>
          <w:rFonts w:ascii="Times New Roman" w:hAnsi="Times New Roman" w:cs="Times New Roman"/>
          <w:i/>
          <w:sz w:val="20"/>
          <w:szCs w:val="20"/>
        </w:rPr>
      </w:pPr>
    </w:p>
    <w:p w:rsidR="001241F6" w:rsidRPr="00C971BD" w:rsidRDefault="001241F6" w:rsidP="001956C2">
      <w:pPr>
        <w:pStyle w:val="FootnoteText"/>
        <w:rPr>
          <w:rFonts w:ascii="Times New Roman" w:hAnsi="Times New Roman" w:cs="Times New Roman"/>
          <w:lang w:val="en-GB"/>
        </w:rPr>
      </w:pPr>
    </w:p>
  </w:footnote>
  <w:footnote w:id="27">
    <w:p w:rsidR="001241F6" w:rsidRPr="00FB3E48" w:rsidRDefault="001241F6" w:rsidP="00FB3E48">
      <w:pPr>
        <w:jc w:val="both"/>
        <w:rPr>
          <w:rFonts w:ascii="Times New Roman" w:hAnsi="Times New Roman" w:cs="Times New Roman"/>
          <w:sz w:val="20"/>
          <w:szCs w:val="20"/>
        </w:rPr>
      </w:pPr>
      <w:r w:rsidRPr="00C971BD">
        <w:rPr>
          <w:rStyle w:val="FootnoteReference"/>
          <w:rFonts w:ascii="Times New Roman" w:hAnsi="Times New Roman" w:cs="Times New Roman"/>
          <w:sz w:val="20"/>
          <w:szCs w:val="20"/>
        </w:rPr>
        <w:footnoteRef/>
      </w:r>
      <w:r w:rsidRPr="00C971BD">
        <w:rPr>
          <w:rFonts w:ascii="Times New Roman" w:hAnsi="Times New Roman" w:cs="Times New Roman"/>
          <w:sz w:val="20"/>
          <w:szCs w:val="20"/>
        </w:rPr>
        <w:t xml:space="preserve"> For an excellent overview see T. </w:t>
      </w:r>
      <w:proofErr w:type="spellStart"/>
      <w:r w:rsidRPr="00C971BD">
        <w:rPr>
          <w:rFonts w:ascii="Times New Roman" w:hAnsi="Times New Roman" w:cs="Times New Roman"/>
          <w:sz w:val="20"/>
          <w:szCs w:val="20"/>
        </w:rPr>
        <w:t>Strik</w:t>
      </w:r>
      <w:proofErr w:type="spellEnd"/>
      <w:r w:rsidRPr="00C971BD">
        <w:rPr>
          <w:rFonts w:ascii="Times New Roman" w:hAnsi="Times New Roman" w:cs="Times New Roman"/>
          <w:sz w:val="20"/>
          <w:szCs w:val="20"/>
        </w:rPr>
        <w:t xml:space="preserve">, ‘Mechanisms to prevent pushbacks’ in S. Carrera and M. Stefan (eds.), </w:t>
      </w:r>
      <w:r w:rsidRPr="00C971BD">
        <w:rPr>
          <w:rFonts w:ascii="Times New Roman" w:hAnsi="Times New Roman" w:cs="Times New Roman"/>
          <w:i/>
          <w:sz w:val="20"/>
          <w:szCs w:val="20"/>
        </w:rPr>
        <w:t>Fundamental Rights Challenges in Border Controls and Expulsion of Irregular Immigrants in the European Union. Complaint Me</w:t>
      </w:r>
      <w:r>
        <w:rPr>
          <w:rFonts w:ascii="Times New Roman" w:hAnsi="Times New Roman" w:cs="Times New Roman"/>
          <w:i/>
          <w:sz w:val="20"/>
          <w:szCs w:val="20"/>
        </w:rPr>
        <w:t xml:space="preserve">chanisms and Access to Justice </w:t>
      </w:r>
      <w:r>
        <w:rPr>
          <w:rFonts w:ascii="Times New Roman" w:hAnsi="Times New Roman" w:cs="Times New Roman"/>
          <w:sz w:val="20"/>
          <w:szCs w:val="20"/>
        </w:rPr>
        <w:t xml:space="preserve">(Routledge, 2020 234, </w:t>
      </w:r>
      <w:r w:rsidRPr="00C971BD">
        <w:rPr>
          <w:rFonts w:ascii="Times New Roman" w:hAnsi="Times New Roman" w:cs="Times New Roman"/>
          <w:sz w:val="20"/>
          <w:szCs w:val="20"/>
        </w:rPr>
        <w:t xml:space="preserve">239; </w:t>
      </w:r>
      <w:r>
        <w:rPr>
          <w:rFonts w:ascii="Times New Roman" w:hAnsi="Times New Roman" w:cs="Times New Roman"/>
          <w:sz w:val="20"/>
          <w:szCs w:val="20"/>
        </w:rPr>
        <w:t xml:space="preserve">see also European Parliamentary Research Service, </w:t>
      </w:r>
      <w:r>
        <w:rPr>
          <w:rFonts w:ascii="Times New Roman" w:hAnsi="Times New Roman" w:cs="Times New Roman"/>
          <w:i/>
          <w:sz w:val="20"/>
          <w:szCs w:val="20"/>
        </w:rPr>
        <w:t xml:space="preserve">Pushbacks at the EU’s External Borders </w:t>
      </w:r>
      <w:r>
        <w:rPr>
          <w:rFonts w:ascii="Times New Roman" w:hAnsi="Times New Roman" w:cs="Times New Roman"/>
          <w:sz w:val="20"/>
          <w:szCs w:val="20"/>
        </w:rPr>
        <w:t xml:space="preserve">(Briefing Note, author: A. </w:t>
      </w:r>
      <w:proofErr w:type="spellStart"/>
      <w:r>
        <w:rPr>
          <w:rFonts w:ascii="Times New Roman" w:hAnsi="Times New Roman" w:cs="Times New Roman"/>
          <w:sz w:val="20"/>
          <w:szCs w:val="20"/>
        </w:rPr>
        <w:t>Radjenovic</w:t>
      </w:r>
      <w:proofErr w:type="spellEnd"/>
      <w:r>
        <w:rPr>
          <w:rFonts w:ascii="Times New Roman" w:hAnsi="Times New Roman" w:cs="Times New Roman"/>
          <w:sz w:val="20"/>
          <w:szCs w:val="20"/>
        </w:rPr>
        <w:t>, PE 689.368, March 2021,</w:t>
      </w:r>
      <w:hyperlink r:id="rId15" w:history="1">
        <w:r w:rsidRPr="00C971BD">
          <w:rPr>
            <w:rStyle w:val="Hyperlink"/>
            <w:rFonts w:ascii="Times New Roman" w:hAnsi="Times New Roman" w:cs="Times New Roman"/>
            <w:sz w:val="20"/>
            <w:szCs w:val="20"/>
          </w:rPr>
          <w:t>https://www.europarl.europa.eu/RegData/etudes/BRIE/2021/689368/EPRS_BRI(2021)689368_EN.pdf</w:t>
        </w:r>
      </w:hyperlink>
    </w:p>
  </w:footnote>
  <w:footnote w:id="28">
    <w:p w:rsidR="001241F6" w:rsidRPr="00FB3E48" w:rsidRDefault="001241F6" w:rsidP="00FB3E48">
      <w:pPr>
        <w:pStyle w:val="NormalWeb"/>
        <w:jc w:val="both"/>
        <w:rPr>
          <w:color w:val="000000"/>
          <w:sz w:val="20"/>
          <w:szCs w:val="20"/>
          <w:shd w:val="clear" w:color="auto" w:fill="FFFFFF"/>
        </w:rPr>
      </w:pPr>
      <w:r w:rsidRPr="00C971BD">
        <w:rPr>
          <w:rStyle w:val="FootnoteReference"/>
          <w:sz w:val="20"/>
          <w:szCs w:val="20"/>
        </w:rPr>
        <w:footnoteRef/>
      </w:r>
      <w:r w:rsidRPr="00C971BD">
        <w:rPr>
          <w:sz w:val="20"/>
          <w:szCs w:val="20"/>
        </w:rPr>
        <w:t xml:space="preserve"> The asylum procedures Directive </w:t>
      </w:r>
      <w:r w:rsidRPr="00C971BD">
        <w:rPr>
          <w:color w:val="333333"/>
          <w:sz w:val="20"/>
          <w:szCs w:val="20"/>
          <w:shd w:val="clear" w:color="auto" w:fill="FFFFFF"/>
        </w:rPr>
        <w:t xml:space="preserve">also applies at the border (Art. 2(1) and Art. 43 APD) bringing a number of EU law safeguards on access to the asylum process- see also </w:t>
      </w:r>
      <w:proofErr w:type="spellStart"/>
      <w:r w:rsidRPr="00C971BD">
        <w:rPr>
          <w:color w:val="333333"/>
          <w:sz w:val="20"/>
          <w:szCs w:val="20"/>
          <w:shd w:val="clear" w:color="auto" w:fill="FFFFFF"/>
        </w:rPr>
        <w:t>Markard</w:t>
      </w:r>
      <w:proofErr w:type="spellEnd"/>
      <w:r w:rsidRPr="00C971BD">
        <w:rPr>
          <w:color w:val="333333"/>
          <w:sz w:val="20"/>
          <w:szCs w:val="20"/>
          <w:shd w:val="clear" w:color="auto" w:fill="FFFFFF"/>
        </w:rPr>
        <w:t xml:space="preserve"> </w:t>
      </w:r>
      <w:proofErr w:type="spellStart"/>
      <w:r w:rsidRPr="00C971BD">
        <w:rPr>
          <w:color w:val="333333"/>
          <w:sz w:val="20"/>
          <w:szCs w:val="20"/>
          <w:shd w:val="clear" w:color="auto" w:fill="FFFFFF"/>
        </w:rPr>
        <w:t>op.cit</w:t>
      </w:r>
      <w:proofErr w:type="spellEnd"/>
      <w:r w:rsidRPr="00C971BD">
        <w:rPr>
          <w:color w:val="333333"/>
          <w:sz w:val="20"/>
          <w:szCs w:val="20"/>
          <w:shd w:val="clear" w:color="auto" w:fill="FFFFFF"/>
        </w:rPr>
        <w:t>.</w:t>
      </w:r>
    </w:p>
  </w:footnote>
  <w:footnote w:id="29">
    <w:p w:rsidR="001241F6" w:rsidRPr="00C971BD" w:rsidRDefault="001241F6" w:rsidP="001956C2">
      <w:pPr>
        <w:pStyle w:val="FootnoteText"/>
        <w:rPr>
          <w:rFonts w:ascii="Times New Roman" w:hAnsi="Times New Roman" w:cs="Times New Roman"/>
          <w:lang w:val="en-GB"/>
        </w:rPr>
      </w:pPr>
      <w:r w:rsidRPr="00C971BD">
        <w:rPr>
          <w:rStyle w:val="FootnoteReference"/>
          <w:rFonts w:ascii="Times New Roman" w:hAnsi="Times New Roman" w:cs="Times New Roman"/>
        </w:rPr>
        <w:footnoteRef/>
      </w:r>
      <w:r w:rsidRPr="00C971BD">
        <w:rPr>
          <w:rFonts w:ascii="Times New Roman" w:hAnsi="Times New Roman" w:cs="Times New Roman"/>
          <w:lang w:val="en-GB"/>
        </w:rPr>
        <w:t xml:space="preserve"> </w:t>
      </w:r>
      <w:r>
        <w:rPr>
          <w:rFonts w:ascii="Times New Roman" w:hAnsi="Times New Roman" w:cs="Times New Roman"/>
          <w:lang w:val="en-GB"/>
        </w:rPr>
        <w:t xml:space="preserve">According to </w:t>
      </w:r>
      <w:r w:rsidRPr="00C971BD">
        <w:rPr>
          <w:rFonts w:ascii="Times New Roman" w:hAnsi="Times New Roman" w:cs="Times New Roman"/>
          <w:lang w:val="en-GB"/>
        </w:rPr>
        <w:t>Article 3</w:t>
      </w:r>
      <w:r>
        <w:rPr>
          <w:rFonts w:ascii="Times New Roman" w:hAnsi="Times New Roman" w:cs="Times New Roman"/>
          <w:lang w:val="en-GB"/>
        </w:rPr>
        <w:t xml:space="preserve"> of the</w:t>
      </w:r>
      <w:r w:rsidRPr="00C971BD">
        <w:rPr>
          <w:rFonts w:ascii="Times New Roman" w:hAnsi="Times New Roman" w:cs="Times New Roman"/>
          <w:lang w:val="en-GB"/>
        </w:rPr>
        <w:t xml:space="preserve"> S</w:t>
      </w:r>
      <w:r>
        <w:rPr>
          <w:rFonts w:ascii="Times New Roman" w:hAnsi="Times New Roman" w:cs="Times New Roman"/>
          <w:lang w:val="en-GB"/>
        </w:rPr>
        <w:t xml:space="preserve">chengen </w:t>
      </w:r>
      <w:r w:rsidRPr="00C971BD">
        <w:rPr>
          <w:rFonts w:ascii="Times New Roman" w:hAnsi="Times New Roman" w:cs="Times New Roman"/>
          <w:lang w:val="en-GB"/>
        </w:rPr>
        <w:t>B</w:t>
      </w:r>
      <w:r>
        <w:rPr>
          <w:rFonts w:ascii="Times New Roman" w:hAnsi="Times New Roman" w:cs="Times New Roman"/>
          <w:lang w:val="en-GB"/>
        </w:rPr>
        <w:t xml:space="preserve">orders </w:t>
      </w:r>
      <w:r w:rsidRPr="00C971BD">
        <w:rPr>
          <w:rFonts w:ascii="Times New Roman" w:hAnsi="Times New Roman" w:cs="Times New Roman"/>
          <w:lang w:val="en-GB"/>
        </w:rPr>
        <w:t>C</w:t>
      </w:r>
      <w:r>
        <w:rPr>
          <w:rFonts w:ascii="Times New Roman" w:hAnsi="Times New Roman" w:cs="Times New Roman"/>
          <w:lang w:val="en-GB"/>
        </w:rPr>
        <w:t>ode</w:t>
      </w:r>
      <w:r w:rsidRPr="00C971BD">
        <w:rPr>
          <w:rFonts w:ascii="Times New Roman" w:hAnsi="Times New Roman" w:cs="Times New Roman"/>
          <w:lang w:val="en-GB"/>
        </w:rPr>
        <w:t>. the obligation to refuse entry ‘shall be without prejudice to the application of special provisions concerning the right of asylum and to international protection- Recital 36 Preamble and Art 4 SBC, which requires Member States to apply the SCB in accordance with the Member States’ obligations as regards in</w:t>
      </w:r>
      <w:r>
        <w:rPr>
          <w:rFonts w:ascii="Times New Roman" w:hAnsi="Times New Roman" w:cs="Times New Roman"/>
          <w:lang w:val="en-GB"/>
        </w:rPr>
        <w:t>ternational protection and non-r</w:t>
      </w:r>
      <w:r w:rsidRPr="00C971BD">
        <w:rPr>
          <w:rFonts w:ascii="Times New Roman" w:hAnsi="Times New Roman" w:cs="Times New Roman"/>
          <w:lang w:val="en-GB"/>
        </w:rPr>
        <w:t>efoulement.</w:t>
      </w:r>
    </w:p>
  </w:footnote>
  <w:footnote w:id="30">
    <w:p w:rsidR="001241F6" w:rsidRPr="00C971BD" w:rsidRDefault="001241F6" w:rsidP="001956C2">
      <w:pPr>
        <w:pStyle w:val="FootnoteText"/>
        <w:rPr>
          <w:rFonts w:ascii="Times New Roman" w:hAnsi="Times New Roman" w:cs="Times New Roman"/>
          <w:lang w:val="en-GB"/>
        </w:rPr>
      </w:pPr>
      <w:r w:rsidRPr="00C971BD">
        <w:rPr>
          <w:rStyle w:val="FootnoteReference"/>
          <w:rFonts w:ascii="Times New Roman" w:hAnsi="Times New Roman" w:cs="Times New Roman"/>
        </w:rPr>
        <w:footnoteRef/>
      </w:r>
      <w:r>
        <w:rPr>
          <w:rFonts w:ascii="Times New Roman" w:hAnsi="Times New Roman" w:cs="Times New Roman"/>
          <w:lang w:val="en-GB"/>
        </w:rPr>
        <w:t xml:space="preserve"> Case C-909/18, </w:t>
      </w:r>
      <w:r w:rsidRPr="00D41CC5">
        <w:rPr>
          <w:rFonts w:ascii="Times New Roman" w:hAnsi="Times New Roman" w:cs="Times New Roman"/>
          <w:i/>
          <w:lang w:val="en-GB"/>
        </w:rPr>
        <w:t>Commission v Hungary</w:t>
      </w:r>
      <w:r w:rsidRPr="00C971BD">
        <w:rPr>
          <w:rFonts w:ascii="Times New Roman" w:hAnsi="Times New Roman" w:cs="Times New Roman"/>
          <w:lang w:val="en-GB"/>
        </w:rPr>
        <w:t xml:space="preserve"> </w:t>
      </w:r>
      <w:r w:rsidRPr="00D41CC5">
        <w:rPr>
          <w:rFonts w:ascii="Open Sans" w:hAnsi="Open Sans"/>
          <w:b/>
          <w:bCs/>
          <w:color w:val="5F5F5F"/>
          <w:lang w:val="en-GB"/>
        </w:rPr>
        <w:t>ECLI:EU:C:2020:1029</w:t>
      </w:r>
      <w:r>
        <w:rPr>
          <w:rFonts w:ascii="Open Sans" w:hAnsi="Open Sans"/>
          <w:b/>
          <w:bCs/>
          <w:color w:val="5F5F5F"/>
          <w:lang w:val="en-GB"/>
        </w:rPr>
        <w:t>,</w:t>
      </w:r>
      <w:r w:rsidRPr="00C971BD">
        <w:rPr>
          <w:rFonts w:ascii="Times New Roman" w:hAnsi="Times New Roman" w:cs="Times New Roman"/>
          <w:lang w:val="en-GB"/>
        </w:rPr>
        <w:t xml:space="preserve"> para. 119.</w:t>
      </w:r>
    </w:p>
  </w:footnote>
  <w:footnote w:id="31">
    <w:p w:rsidR="001241F6" w:rsidRPr="00FB3E48" w:rsidRDefault="001241F6" w:rsidP="00FB3E48">
      <w:pPr>
        <w:jc w:val="both"/>
        <w:rPr>
          <w:rFonts w:ascii="Times New Roman" w:hAnsi="Times New Roman" w:cs="Times New Roman"/>
          <w:sz w:val="20"/>
          <w:szCs w:val="20"/>
        </w:rPr>
      </w:pPr>
      <w:r w:rsidRPr="00C971BD">
        <w:rPr>
          <w:rStyle w:val="FootnoteReference"/>
          <w:rFonts w:ascii="Times New Roman" w:hAnsi="Times New Roman" w:cs="Times New Roman"/>
          <w:sz w:val="20"/>
          <w:szCs w:val="20"/>
        </w:rPr>
        <w:footnoteRef/>
      </w:r>
      <w:r w:rsidRPr="00C971BD">
        <w:rPr>
          <w:rFonts w:ascii="Times New Roman" w:hAnsi="Times New Roman" w:cs="Times New Roman"/>
          <w:sz w:val="20"/>
          <w:szCs w:val="20"/>
        </w:rPr>
        <w:t xml:space="preserve"> </w:t>
      </w:r>
      <w:r w:rsidRPr="00D41CC5">
        <w:rPr>
          <w:rFonts w:ascii="Times New Roman" w:hAnsi="Times New Roman" w:cs="Times New Roman"/>
          <w:i/>
          <w:sz w:val="20"/>
          <w:szCs w:val="20"/>
        </w:rPr>
        <w:t>Commission v Hungary</w:t>
      </w:r>
      <w:r>
        <w:rPr>
          <w:rFonts w:ascii="Times New Roman" w:hAnsi="Times New Roman" w:cs="Times New Roman"/>
          <w:sz w:val="20"/>
          <w:szCs w:val="20"/>
        </w:rPr>
        <w:t xml:space="preserve"> para. 118. Emphasis added.</w:t>
      </w:r>
    </w:p>
  </w:footnote>
  <w:footnote w:id="32">
    <w:p w:rsidR="001241F6" w:rsidRPr="004524CE" w:rsidRDefault="001241F6" w:rsidP="001956C2">
      <w:pPr>
        <w:pStyle w:val="FootnoteText"/>
        <w:rPr>
          <w:lang w:val="en-GB"/>
        </w:rPr>
      </w:pPr>
      <w:r>
        <w:rPr>
          <w:rStyle w:val="FootnoteReference"/>
        </w:rPr>
        <w:footnoteRef/>
      </w:r>
      <w:r w:rsidRPr="004524CE">
        <w:rPr>
          <w:lang w:val="en-GB"/>
        </w:rPr>
        <w:t xml:space="preserve"> </w:t>
      </w:r>
      <w:r w:rsidRPr="00D41CC5">
        <w:rPr>
          <w:rFonts w:ascii="Times New Roman" w:hAnsi="Times New Roman" w:cs="Times New Roman"/>
          <w:i/>
          <w:lang w:val="en-GB"/>
        </w:rPr>
        <w:t>Commission v Hungary</w:t>
      </w:r>
      <w:r w:rsidRPr="00D41CC5">
        <w:rPr>
          <w:rFonts w:ascii="Times New Roman" w:hAnsi="Times New Roman" w:cs="Times New Roman"/>
          <w:lang w:val="en-GB"/>
        </w:rPr>
        <w:t xml:space="preserve"> </w:t>
      </w:r>
      <w:r>
        <w:rPr>
          <w:lang w:val="en-GB"/>
        </w:rPr>
        <w:t>para. 127.</w:t>
      </w:r>
    </w:p>
  </w:footnote>
  <w:footnote w:id="33">
    <w:p w:rsidR="001241F6" w:rsidRPr="00E97B5D" w:rsidRDefault="001241F6" w:rsidP="00D41CC5">
      <w:pPr>
        <w:pStyle w:val="c36centre"/>
        <w:spacing w:before="0" w:beforeAutospacing="0" w:after="0" w:afterAutospacing="0"/>
        <w:jc w:val="both"/>
        <w:rPr>
          <w:rFonts w:ascii="Open Sans" w:hAnsi="Open Sans"/>
          <w:color w:val="000000"/>
          <w:sz w:val="18"/>
          <w:szCs w:val="18"/>
        </w:rPr>
      </w:pPr>
      <w:r>
        <w:rPr>
          <w:rStyle w:val="FootnoteReference"/>
        </w:rPr>
        <w:footnoteRef/>
      </w:r>
      <w:r w:rsidRPr="00456F84">
        <w:t xml:space="preserve"> </w:t>
      </w:r>
      <w:r w:rsidRPr="00FB3E48">
        <w:rPr>
          <w:sz w:val="20"/>
          <w:szCs w:val="20"/>
        </w:rPr>
        <w:t xml:space="preserve">See to that effect the Opinion of AG </w:t>
      </w:r>
      <w:proofErr w:type="spellStart"/>
      <w:r w:rsidRPr="00FB3E48">
        <w:rPr>
          <w:sz w:val="20"/>
          <w:szCs w:val="20"/>
        </w:rPr>
        <w:t>Emiliou</w:t>
      </w:r>
      <w:proofErr w:type="spellEnd"/>
      <w:r w:rsidRPr="00FB3E48">
        <w:rPr>
          <w:sz w:val="20"/>
          <w:szCs w:val="20"/>
        </w:rPr>
        <w:t xml:space="preserve"> holding that a national provision which does not allow third country nationals who have entered illegally to access a procedure for applying</w:t>
      </w:r>
      <w:r w:rsidRPr="00D41CC5">
        <w:t xml:space="preserve"> </w:t>
      </w:r>
      <w:r w:rsidRPr="00FB3E48">
        <w:rPr>
          <w:sz w:val="20"/>
          <w:szCs w:val="20"/>
        </w:rPr>
        <w:t xml:space="preserve">for international protection in the territory of a Member State is incompatible with Article 6(1) and (2) and with Article 7 (1) of the procedures Directive Opinion in Case C-72/22 PPU, </w:t>
      </w:r>
      <w:proofErr w:type="spellStart"/>
      <w:r w:rsidRPr="00FB3E48">
        <w:rPr>
          <w:bCs/>
          <w:i/>
          <w:color w:val="334D55"/>
          <w:sz w:val="20"/>
          <w:szCs w:val="20"/>
        </w:rPr>
        <w:t>Valstybės</w:t>
      </w:r>
      <w:proofErr w:type="spellEnd"/>
      <w:r w:rsidRPr="00FB3E48">
        <w:rPr>
          <w:bCs/>
          <w:i/>
          <w:color w:val="334D55"/>
          <w:sz w:val="20"/>
          <w:szCs w:val="20"/>
        </w:rPr>
        <w:t xml:space="preserve"> </w:t>
      </w:r>
      <w:proofErr w:type="spellStart"/>
      <w:r w:rsidRPr="00FB3E48">
        <w:rPr>
          <w:bCs/>
          <w:i/>
          <w:color w:val="334D55"/>
          <w:sz w:val="20"/>
          <w:szCs w:val="20"/>
        </w:rPr>
        <w:t>sienos</w:t>
      </w:r>
      <w:proofErr w:type="spellEnd"/>
      <w:r w:rsidRPr="00FB3E48">
        <w:rPr>
          <w:bCs/>
          <w:i/>
          <w:color w:val="334D55"/>
          <w:sz w:val="20"/>
          <w:szCs w:val="20"/>
        </w:rPr>
        <w:t xml:space="preserve"> </w:t>
      </w:r>
      <w:proofErr w:type="spellStart"/>
      <w:r w:rsidRPr="00FB3E48">
        <w:rPr>
          <w:bCs/>
          <w:i/>
          <w:color w:val="334D55"/>
          <w:sz w:val="20"/>
          <w:szCs w:val="20"/>
        </w:rPr>
        <w:t>apsaugos</w:t>
      </w:r>
      <w:proofErr w:type="spellEnd"/>
      <w:r w:rsidRPr="00FB3E48">
        <w:rPr>
          <w:bCs/>
          <w:i/>
          <w:color w:val="334D55"/>
          <w:sz w:val="20"/>
          <w:szCs w:val="20"/>
        </w:rPr>
        <w:t xml:space="preserve"> </w:t>
      </w:r>
      <w:proofErr w:type="spellStart"/>
      <w:r w:rsidRPr="00FB3E48">
        <w:rPr>
          <w:bCs/>
          <w:i/>
          <w:color w:val="334D55"/>
          <w:sz w:val="20"/>
          <w:szCs w:val="20"/>
        </w:rPr>
        <w:t>tarnyba</w:t>
      </w:r>
      <w:proofErr w:type="spellEnd"/>
      <w:r w:rsidRPr="00FB3E48">
        <w:rPr>
          <w:bCs/>
          <w:i/>
          <w:color w:val="334D55"/>
          <w:sz w:val="20"/>
          <w:szCs w:val="20"/>
        </w:rPr>
        <w:t>,</w:t>
      </w:r>
      <w:r w:rsidRPr="00FB3E48">
        <w:rPr>
          <w:bCs/>
          <w:color w:val="334D55"/>
          <w:sz w:val="20"/>
          <w:szCs w:val="20"/>
        </w:rPr>
        <w:t xml:space="preserve"> delivered on 2.6.2022</w:t>
      </w:r>
      <w:r w:rsidRPr="00FB3E48">
        <w:rPr>
          <w:sz w:val="20"/>
          <w:szCs w:val="20"/>
        </w:rPr>
        <w:t xml:space="preserve"> </w:t>
      </w:r>
      <w:r w:rsidRPr="00FB3E48">
        <w:rPr>
          <w:color w:val="000000"/>
          <w:sz w:val="20"/>
          <w:szCs w:val="20"/>
        </w:rPr>
        <w:t xml:space="preserve"> </w:t>
      </w:r>
      <w:r w:rsidRPr="00FB3E48">
        <w:rPr>
          <w:color w:val="666666"/>
          <w:sz w:val="20"/>
          <w:szCs w:val="20"/>
        </w:rPr>
        <w:t>ECLI:EU:C:2022:431, para. 81</w:t>
      </w:r>
      <w:r w:rsidRPr="00D41CC5">
        <w:rPr>
          <w:color w:val="666666"/>
        </w:rPr>
        <w:t>.</w:t>
      </w:r>
    </w:p>
    <w:p w:rsidR="001241F6" w:rsidRPr="00B52E23" w:rsidRDefault="001241F6">
      <w:pPr>
        <w:pStyle w:val="FootnoteText"/>
        <w:rPr>
          <w:rFonts w:ascii="Times New Roman" w:hAnsi="Times New Roman" w:cs="Times New Roman"/>
          <w:lang w:val="en-GB"/>
        </w:rPr>
      </w:pPr>
    </w:p>
  </w:footnote>
  <w:footnote w:id="34">
    <w:p w:rsidR="003E31F4" w:rsidRPr="003E31F4" w:rsidRDefault="001241F6" w:rsidP="001956C2">
      <w:pPr>
        <w:jc w:val="both"/>
        <w:rPr>
          <w:rFonts w:ascii="Times New Roman" w:hAnsi="Times New Roman" w:cs="Times New Roman"/>
          <w:color w:val="0000FF"/>
          <w:sz w:val="20"/>
          <w:szCs w:val="20"/>
        </w:rPr>
      </w:pPr>
      <w:r w:rsidRPr="00B52E23">
        <w:rPr>
          <w:rStyle w:val="FootnoteReference"/>
          <w:rFonts w:ascii="Times New Roman" w:hAnsi="Times New Roman" w:cs="Times New Roman"/>
          <w:sz w:val="20"/>
          <w:szCs w:val="20"/>
        </w:rPr>
        <w:footnoteRef/>
      </w:r>
      <w:r w:rsidRPr="00B52E23">
        <w:rPr>
          <w:rFonts w:ascii="Times New Roman" w:hAnsi="Times New Roman" w:cs="Times New Roman"/>
          <w:sz w:val="20"/>
          <w:szCs w:val="20"/>
        </w:rPr>
        <w:t xml:space="preserve"> </w:t>
      </w:r>
      <w:proofErr w:type="spellStart"/>
      <w:r w:rsidRPr="00B52E23">
        <w:rPr>
          <w:rFonts w:ascii="Times New Roman" w:hAnsi="Times New Roman" w:cs="Times New Roman"/>
          <w:sz w:val="20"/>
          <w:szCs w:val="20"/>
        </w:rPr>
        <w:t>E.Guild</w:t>
      </w:r>
      <w:proofErr w:type="spellEnd"/>
      <w:r w:rsidRPr="00B52E23">
        <w:rPr>
          <w:rFonts w:ascii="Times New Roman" w:hAnsi="Times New Roman" w:cs="Times New Roman"/>
          <w:sz w:val="20"/>
          <w:szCs w:val="20"/>
        </w:rPr>
        <w:t xml:space="preserve">, </w:t>
      </w:r>
      <w:r w:rsidRPr="00B52E23">
        <w:rPr>
          <w:rFonts w:ascii="Times New Roman" w:hAnsi="Times New Roman" w:cs="Times New Roman"/>
          <w:i/>
          <w:sz w:val="20"/>
          <w:szCs w:val="20"/>
        </w:rPr>
        <w:t xml:space="preserve">The </w:t>
      </w:r>
      <w:proofErr w:type="spellStart"/>
      <w:r w:rsidRPr="00B52E23">
        <w:rPr>
          <w:rFonts w:ascii="Times New Roman" w:hAnsi="Times New Roman" w:cs="Times New Roman"/>
          <w:i/>
          <w:sz w:val="20"/>
          <w:szCs w:val="20"/>
        </w:rPr>
        <w:t>Frontex</w:t>
      </w:r>
      <w:proofErr w:type="spellEnd"/>
      <w:r w:rsidRPr="00B52E23">
        <w:rPr>
          <w:rFonts w:ascii="Times New Roman" w:hAnsi="Times New Roman" w:cs="Times New Roman"/>
          <w:i/>
          <w:sz w:val="20"/>
          <w:szCs w:val="20"/>
        </w:rPr>
        <w:t xml:space="preserve"> Pushback Controversy: Lessons on Oversight (Part I), </w:t>
      </w:r>
      <w:r w:rsidRPr="00B52E23">
        <w:rPr>
          <w:rFonts w:ascii="Times New Roman" w:hAnsi="Times New Roman" w:cs="Times New Roman"/>
          <w:sz w:val="20"/>
          <w:szCs w:val="20"/>
        </w:rPr>
        <w:t xml:space="preserve">19.4.2021, </w:t>
      </w:r>
      <w:hyperlink r:id="rId16" w:history="1">
        <w:r w:rsidRPr="00B52E23">
          <w:rPr>
            <w:rStyle w:val="Hyperlink"/>
            <w:rFonts w:ascii="Times New Roman" w:hAnsi="Times New Roman" w:cs="Times New Roman"/>
            <w:sz w:val="20"/>
            <w:szCs w:val="20"/>
          </w:rPr>
          <w:t>https://eumigrationlawblog.eu/the-frontex-push-back-controversy-lessons-on-oversight-part-i/</w:t>
        </w:r>
      </w:hyperlink>
      <w:r w:rsidR="003E31F4">
        <w:rPr>
          <w:rStyle w:val="Hyperlink"/>
          <w:rFonts w:ascii="Times New Roman" w:hAnsi="Times New Roman" w:cs="Times New Roman"/>
          <w:sz w:val="20"/>
          <w:szCs w:val="20"/>
        </w:rPr>
        <w:t>.</w:t>
      </w:r>
      <w:r w:rsidR="003E31F4">
        <w:rPr>
          <w:rStyle w:val="Hyperlink"/>
          <w:rFonts w:ascii="Times New Roman" w:hAnsi="Times New Roman" w:cs="Times New Roman"/>
          <w:sz w:val="20"/>
          <w:szCs w:val="20"/>
          <w:u w:val="none"/>
        </w:rPr>
        <w:t xml:space="preserve"> </w:t>
      </w:r>
      <w:r w:rsidR="003E31F4">
        <w:rPr>
          <w:rFonts w:ascii="Times New Roman" w:hAnsi="Times New Roman" w:cs="Times New Roman"/>
        </w:rPr>
        <w:t xml:space="preserve">It has been reported that the OLAF investigation has found extensive involvement of </w:t>
      </w:r>
      <w:proofErr w:type="spellStart"/>
      <w:r w:rsidR="003E31F4">
        <w:rPr>
          <w:rFonts w:ascii="Times New Roman" w:hAnsi="Times New Roman" w:cs="Times New Roman"/>
        </w:rPr>
        <w:t>Frontex</w:t>
      </w:r>
      <w:proofErr w:type="spellEnd"/>
      <w:r w:rsidR="003E31F4">
        <w:rPr>
          <w:rFonts w:ascii="Times New Roman" w:hAnsi="Times New Roman" w:cs="Times New Roman"/>
        </w:rPr>
        <w:t xml:space="preserve"> in pushbacks by the Greek authorities- </w:t>
      </w:r>
      <w:hyperlink r:id="rId17" w:history="1">
        <w:r w:rsidR="003E31F4" w:rsidRPr="00292790">
          <w:rPr>
            <w:rStyle w:val="Hyperlink"/>
            <w:rFonts w:ascii="Times New Roman" w:hAnsi="Times New Roman" w:cs="Times New Roman"/>
          </w:rPr>
          <w:t>https://www.spiegel.de/international/europe/frontex-scandal-classified-report-reveals-full-extent-of-cover-up-a-cd749d04-689d-4407-8939-9e1bf55175fd</w:t>
        </w:r>
      </w:hyperlink>
      <w:r w:rsidR="003E31F4">
        <w:rPr>
          <w:rFonts w:ascii="Times New Roman" w:hAnsi="Times New Roman" w:cs="Times New Roman"/>
        </w:rPr>
        <w:t>, accessed on 9 August 2022.</w:t>
      </w:r>
    </w:p>
    <w:p w:rsidR="001241F6" w:rsidRPr="00B52E23" w:rsidRDefault="001241F6" w:rsidP="001956C2">
      <w:pPr>
        <w:pStyle w:val="FootnoteText"/>
        <w:rPr>
          <w:rFonts w:ascii="Times New Roman" w:hAnsi="Times New Roman" w:cs="Times New Roman"/>
          <w:lang w:val="en-GB"/>
        </w:rPr>
      </w:pPr>
    </w:p>
  </w:footnote>
  <w:footnote w:id="35">
    <w:p w:rsidR="001241F6" w:rsidRPr="00B52E23" w:rsidRDefault="001241F6" w:rsidP="001956C2">
      <w:pPr>
        <w:jc w:val="both"/>
        <w:rPr>
          <w:rFonts w:ascii="Times New Roman" w:hAnsi="Times New Roman" w:cs="Times New Roman"/>
          <w:b/>
          <w:sz w:val="20"/>
          <w:szCs w:val="20"/>
        </w:rPr>
      </w:pPr>
      <w:r w:rsidRPr="00B52E23">
        <w:rPr>
          <w:rStyle w:val="FootnoteReference"/>
          <w:rFonts w:ascii="Times New Roman" w:hAnsi="Times New Roman" w:cs="Times New Roman"/>
          <w:sz w:val="20"/>
          <w:szCs w:val="20"/>
        </w:rPr>
        <w:footnoteRef/>
      </w:r>
      <w:r w:rsidRPr="00B52E23">
        <w:rPr>
          <w:rFonts w:ascii="Times New Roman" w:hAnsi="Times New Roman" w:cs="Times New Roman"/>
          <w:sz w:val="20"/>
          <w:szCs w:val="20"/>
        </w:rPr>
        <w:t xml:space="preserve"> On </w:t>
      </w:r>
      <w:proofErr w:type="spellStart"/>
      <w:r w:rsidRPr="00B52E23">
        <w:rPr>
          <w:rFonts w:ascii="Times New Roman" w:hAnsi="Times New Roman" w:cs="Times New Roman"/>
          <w:sz w:val="20"/>
          <w:szCs w:val="20"/>
        </w:rPr>
        <w:t>Frontex</w:t>
      </w:r>
      <w:proofErr w:type="spellEnd"/>
      <w:r w:rsidRPr="00B52E23">
        <w:rPr>
          <w:rFonts w:ascii="Times New Roman" w:hAnsi="Times New Roman" w:cs="Times New Roman"/>
          <w:sz w:val="20"/>
          <w:szCs w:val="20"/>
        </w:rPr>
        <w:t xml:space="preserve"> deniability, see E. </w:t>
      </w:r>
      <w:proofErr w:type="spellStart"/>
      <w:r w:rsidRPr="00B52E23">
        <w:rPr>
          <w:rFonts w:ascii="Times New Roman" w:hAnsi="Times New Roman" w:cs="Times New Roman"/>
          <w:sz w:val="20"/>
          <w:szCs w:val="20"/>
        </w:rPr>
        <w:t>Kuskonmaz</w:t>
      </w:r>
      <w:proofErr w:type="spellEnd"/>
      <w:r w:rsidRPr="00B52E23">
        <w:rPr>
          <w:rFonts w:ascii="Times New Roman" w:hAnsi="Times New Roman" w:cs="Times New Roman"/>
          <w:sz w:val="20"/>
          <w:szCs w:val="20"/>
        </w:rPr>
        <w:t xml:space="preserve"> and </w:t>
      </w:r>
      <w:proofErr w:type="spellStart"/>
      <w:r w:rsidRPr="00B52E23">
        <w:rPr>
          <w:rFonts w:ascii="Times New Roman" w:hAnsi="Times New Roman" w:cs="Times New Roman"/>
          <w:sz w:val="20"/>
          <w:szCs w:val="20"/>
        </w:rPr>
        <w:t>E.Guild</w:t>
      </w:r>
      <w:proofErr w:type="spellEnd"/>
      <w:r w:rsidRPr="00B52E23">
        <w:rPr>
          <w:rFonts w:ascii="Times New Roman" w:hAnsi="Times New Roman" w:cs="Times New Roman"/>
          <w:sz w:val="20"/>
          <w:szCs w:val="20"/>
        </w:rPr>
        <w:t xml:space="preserve">, </w:t>
      </w:r>
      <w:r w:rsidRPr="00B52E23">
        <w:rPr>
          <w:rFonts w:ascii="Times New Roman" w:hAnsi="Times New Roman" w:cs="Times New Roman"/>
          <w:i/>
          <w:sz w:val="20"/>
          <w:szCs w:val="20"/>
        </w:rPr>
        <w:t xml:space="preserve">Deniability? </w:t>
      </w:r>
      <w:proofErr w:type="spellStart"/>
      <w:r w:rsidRPr="00B52E23">
        <w:rPr>
          <w:rFonts w:ascii="Times New Roman" w:hAnsi="Times New Roman" w:cs="Times New Roman"/>
          <w:i/>
          <w:sz w:val="20"/>
          <w:szCs w:val="20"/>
        </w:rPr>
        <w:t>Frontex</w:t>
      </w:r>
      <w:proofErr w:type="spellEnd"/>
      <w:r w:rsidRPr="00B52E23">
        <w:rPr>
          <w:rFonts w:ascii="Times New Roman" w:hAnsi="Times New Roman" w:cs="Times New Roman"/>
          <w:i/>
          <w:sz w:val="20"/>
          <w:szCs w:val="20"/>
        </w:rPr>
        <w:t xml:space="preserve"> and Border Violence in the EU, </w:t>
      </w:r>
      <w:proofErr w:type="gramStart"/>
      <w:r w:rsidRPr="00B52E23">
        <w:rPr>
          <w:rFonts w:ascii="Times New Roman" w:hAnsi="Times New Roman" w:cs="Times New Roman"/>
          <w:sz w:val="20"/>
          <w:szCs w:val="20"/>
        </w:rPr>
        <w:t>19.1.2022,.</w:t>
      </w:r>
      <w:proofErr w:type="gramEnd"/>
      <w:r w:rsidRPr="00B52E23">
        <w:rPr>
          <w:rStyle w:val="Hyperlink"/>
          <w:rFonts w:ascii="Times New Roman" w:hAnsi="Times New Roman" w:cs="Times New Roman"/>
          <w:b/>
          <w:sz w:val="20"/>
          <w:szCs w:val="20"/>
        </w:rPr>
        <w:t xml:space="preserve"> </w:t>
      </w:r>
      <w:hyperlink r:id="rId18" w:history="1">
        <w:r w:rsidRPr="00B52E23">
          <w:rPr>
            <w:rStyle w:val="Hyperlink"/>
            <w:rFonts w:ascii="Times New Roman" w:hAnsi="Times New Roman" w:cs="Times New Roman"/>
            <w:b/>
            <w:sz w:val="20"/>
            <w:szCs w:val="20"/>
          </w:rPr>
          <w:t>https://rli.blogs.sas.ac.uk/2022/01/19/deniability-frontex-and-border-violence-in-the-eu/</w:t>
        </w:r>
      </w:hyperlink>
      <w:r w:rsidRPr="00B52E23">
        <w:rPr>
          <w:rStyle w:val="Hyperlink"/>
          <w:rFonts w:ascii="Times New Roman" w:hAnsi="Times New Roman" w:cs="Times New Roman"/>
          <w:b/>
          <w:sz w:val="20"/>
          <w:szCs w:val="20"/>
        </w:rPr>
        <w:t xml:space="preserve">; </w:t>
      </w:r>
      <w:r w:rsidRPr="00B52E23">
        <w:rPr>
          <w:rFonts w:ascii="Times New Roman" w:hAnsi="Times New Roman" w:cs="Times New Roman"/>
          <w:sz w:val="20"/>
          <w:szCs w:val="20"/>
        </w:rPr>
        <w:t xml:space="preserve"> see further  C. </w:t>
      </w:r>
      <w:proofErr w:type="spellStart"/>
      <w:r w:rsidRPr="00B52E23">
        <w:rPr>
          <w:rFonts w:ascii="Times New Roman" w:hAnsi="Times New Roman" w:cs="Times New Roman"/>
          <w:sz w:val="20"/>
          <w:szCs w:val="20"/>
        </w:rPr>
        <w:t>Bachiller</w:t>
      </w:r>
      <w:proofErr w:type="spellEnd"/>
      <w:r w:rsidRPr="00B52E23">
        <w:rPr>
          <w:rFonts w:ascii="Times New Roman" w:hAnsi="Times New Roman" w:cs="Times New Roman"/>
          <w:sz w:val="20"/>
          <w:szCs w:val="20"/>
        </w:rPr>
        <w:t xml:space="preserve"> Lopez and N. Keady-Tabbal, </w:t>
      </w:r>
      <w:r w:rsidRPr="00B52E23">
        <w:rPr>
          <w:rFonts w:ascii="Times New Roman" w:hAnsi="Times New Roman" w:cs="Times New Roman"/>
          <w:i/>
          <w:sz w:val="20"/>
          <w:szCs w:val="20"/>
        </w:rPr>
        <w:t xml:space="preserve">Validating Border Violence on the Aegean, </w:t>
      </w:r>
      <w:r w:rsidRPr="00B52E23">
        <w:rPr>
          <w:rFonts w:ascii="Times New Roman" w:hAnsi="Times New Roman" w:cs="Times New Roman"/>
          <w:sz w:val="20"/>
          <w:szCs w:val="20"/>
        </w:rPr>
        <w:t>13.1.2021,</w:t>
      </w:r>
      <w:r w:rsidRPr="00B52E23">
        <w:rPr>
          <w:rStyle w:val="Hyperlink"/>
          <w:rFonts w:ascii="Times New Roman" w:hAnsi="Times New Roman" w:cs="Times New Roman"/>
          <w:b/>
          <w:sz w:val="20"/>
          <w:szCs w:val="20"/>
        </w:rPr>
        <w:t xml:space="preserve"> </w:t>
      </w:r>
      <w:hyperlink r:id="rId19" w:history="1">
        <w:r w:rsidRPr="00B52E23">
          <w:rPr>
            <w:rStyle w:val="Hyperlink"/>
            <w:rFonts w:ascii="Times New Roman" w:hAnsi="Times New Roman" w:cs="Times New Roman"/>
            <w:sz w:val="20"/>
            <w:szCs w:val="20"/>
          </w:rPr>
          <w:t>https://www.law.ox.ac.uk/research-subject-groups/centre-criminology/centreborder-criminologies/blog/2021/01/validating-border</w:t>
        </w:r>
      </w:hyperlink>
    </w:p>
    <w:p w:rsidR="001241F6" w:rsidRPr="00B52E23" w:rsidRDefault="001241F6" w:rsidP="001956C2">
      <w:pPr>
        <w:pStyle w:val="FootnoteText"/>
        <w:rPr>
          <w:rFonts w:ascii="Times New Roman" w:hAnsi="Times New Roman" w:cs="Times New Roman"/>
          <w:lang w:val="en-GB"/>
        </w:rPr>
      </w:pPr>
    </w:p>
  </w:footnote>
  <w:footnote w:id="36">
    <w:p w:rsidR="001241F6" w:rsidRPr="00B52E23" w:rsidRDefault="001241F6" w:rsidP="001956C2">
      <w:pPr>
        <w:jc w:val="both"/>
        <w:rPr>
          <w:rFonts w:ascii="Times New Roman" w:hAnsi="Times New Roman" w:cs="Times New Roman"/>
          <w:sz w:val="20"/>
          <w:szCs w:val="20"/>
        </w:rPr>
      </w:pPr>
      <w:r w:rsidRPr="00B52E23">
        <w:rPr>
          <w:rStyle w:val="FootnoteReference"/>
          <w:rFonts w:ascii="Times New Roman" w:hAnsi="Times New Roman" w:cs="Times New Roman"/>
          <w:sz w:val="20"/>
          <w:szCs w:val="20"/>
        </w:rPr>
        <w:footnoteRef/>
      </w:r>
      <w:r w:rsidRPr="00B52E23">
        <w:rPr>
          <w:rFonts w:ascii="Times New Roman" w:hAnsi="Times New Roman" w:cs="Times New Roman"/>
          <w:sz w:val="20"/>
          <w:szCs w:val="20"/>
        </w:rPr>
        <w:t xml:space="preserve"> House of Lords Select Committee on the European Union, </w:t>
      </w:r>
      <w:r w:rsidRPr="00B52E23">
        <w:rPr>
          <w:rFonts w:ascii="Times New Roman" w:hAnsi="Times New Roman" w:cs="Times New Roman"/>
          <w:i/>
          <w:sz w:val="20"/>
          <w:szCs w:val="20"/>
        </w:rPr>
        <w:t xml:space="preserve">Proposals for a European Border Guard, </w:t>
      </w:r>
      <w:r w:rsidRPr="00B52E23">
        <w:rPr>
          <w:rFonts w:ascii="Times New Roman" w:hAnsi="Times New Roman" w:cs="Times New Roman"/>
          <w:sz w:val="20"/>
          <w:szCs w:val="20"/>
        </w:rPr>
        <w:t>29</w:t>
      </w:r>
      <w:r w:rsidRPr="00B52E23">
        <w:rPr>
          <w:rFonts w:ascii="Times New Roman" w:hAnsi="Times New Roman" w:cs="Times New Roman"/>
          <w:sz w:val="20"/>
          <w:szCs w:val="20"/>
          <w:vertAlign w:val="superscript"/>
        </w:rPr>
        <w:t>th</w:t>
      </w:r>
      <w:r w:rsidRPr="00B52E23">
        <w:rPr>
          <w:rFonts w:ascii="Times New Roman" w:hAnsi="Times New Roman" w:cs="Times New Roman"/>
          <w:sz w:val="20"/>
          <w:szCs w:val="20"/>
        </w:rPr>
        <w:t xml:space="preserve"> Report, session 2002-2003, HL Paper  133; V. Mitsilegas, ‘Border Security in the European Union. Towards Centralised Controls and Maximum Surveillance’ in E. Guild, H. Toner and A. </w:t>
      </w:r>
      <w:proofErr w:type="spellStart"/>
      <w:r w:rsidRPr="00B52E23">
        <w:rPr>
          <w:rFonts w:ascii="Times New Roman" w:hAnsi="Times New Roman" w:cs="Times New Roman"/>
          <w:sz w:val="20"/>
          <w:szCs w:val="20"/>
        </w:rPr>
        <w:t>Baldaccini</w:t>
      </w:r>
      <w:proofErr w:type="spellEnd"/>
      <w:r w:rsidRPr="00B52E23">
        <w:rPr>
          <w:rFonts w:ascii="Times New Roman" w:hAnsi="Times New Roman" w:cs="Times New Roman"/>
          <w:sz w:val="20"/>
          <w:szCs w:val="20"/>
        </w:rPr>
        <w:t xml:space="preserve"> (eds.), </w:t>
      </w:r>
      <w:r w:rsidRPr="00B52E23">
        <w:rPr>
          <w:rFonts w:ascii="Times New Roman" w:hAnsi="Times New Roman" w:cs="Times New Roman"/>
          <w:i/>
          <w:sz w:val="20"/>
          <w:szCs w:val="20"/>
        </w:rPr>
        <w:t xml:space="preserve">Whose Freedom, Security and Justice? EU Immigration and Asylum Law and </w:t>
      </w:r>
      <w:proofErr w:type="gramStart"/>
      <w:r w:rsidRPr="00B52E23">
        <w:rPr>
          <w:rFonts w:ascii="Times New Roman" w:hAnsi="Times New Roman" w:cs="Times New Roman"/>
          <w:i/>
          <w:sz w:val="20"/>
          <w:szCs w:val="20"/>
        </w:rPr>
        <w:t>Policy</w:t>
      </w:r>
      <w:r w:rsidRPr="00B52E23">
        <w:rPr>
          <w:rFonts w:ascii="Times New Roman" w:hAnsi="Times New Roman" w:cs="Times New Roman"/>
          <w:sz w:val="20"/>
          <w:szCs w:val="20"/>
        </w:rPr>
        <w:t xml:space="preserve"> )Hart</w:t>
      </w:r>
      <w:proofErr w:type="gramEnd"/>
      <w:r w:rsidRPr="00B52E23">
        <w:rPr>
          <w:rFonts w:ascii="Times New Roman" w:hAnsi="Times New Roman" w:cs="Times New Roman"/>
          <w:sz w:val="20"/>
          <w:szCs w:val="20"/>
        </w:rPr>
        <w:t xml:space="preserve"> Publishing, 2007) 359.</w:t>
      </w:r>
    </w:p>
    <w:p w:rsidR="001241F6" w:rsidRPr="00B52E23" w:rsidRDefault="001241F6" w:rsidP="001956C2">
      <w:pPr>
        <w:pStyle w:val="FootnoteText"/>
        <w:rPr>
          <w:rFonts w:ascii="Times New Roman" w:hAnsi="Times New Roman" w:cs="Times New Roman"/>
          <w:lang w:val="en-GB"/>
        </w:rPr>
      </w:pPr>
    </w:p>
  </w:footnote>
  <w:footnote w:id="37">
    <w:p w:rsidR="001241F6" w:rsidRPr="00B52E23" w:rsidRDefault="001241F6" w:rsidP="00B52E23">
      <w:pPr>
        <w:pStyle w:val="Heading1"/>
        <w:spacing w:after="240"/>
        <w:jc w:val="both"/>
        <w:rPr>
          <w:rFonts w:ascii="Times New Roman" w:hAnsi="Times New Roman" w:cs="Times New Roman"/>
          <w:color w:val="000000"/>
          <w:sz w:val="20"/>
          <w:szCs w:val="20"/>
        </w:rPr>
      </w:pPr>
      <w:r w:rsidRPr="00B52E23">
        <w:rPr>
          <w:rStyle w:val="FootnoteReference"/>
          <w:rFonts w:ascii="Times New Roman" w:hAnsi="Times New Roman" w:cs="Times New Roman"/>
          <w:sz w:val="20"/>
          <w:szCs w:val="20"/>
        </w:rPr>
        <w:footnoteRef/>
      </w:r>
      <w:r w:rsidRPr="00B52E23">
        <w:rPr>
          <w:rFonts w:ascii="Times New Roman" w:hAnsi="Times New Roman" w:cs="Times New Roman"/>
          <w:sz w:val="20"/>
          <w:szCs w:val="20"/>
        </w:rPr>
        <w:t xml:space="preserve"> This phenomenon has been called ‘blame shifting by design’- </w:t>
      </w:r>
      <w:proofErr w:type="spellStart"/>
      <w:r w:rsidRPr="00B52E23">
        <w:rPr>
          <w:rFonts w:ascii="Times New Roman" w:hAnsi="Times New Roman" w:cs="Times New Roman"/>
          <w:sz w:val="20"/>
          <w:szCs w:val="20"/>
        </w:rPr>
        <w:t>M.Fink</w:t>
      </w:r>
      <w:proofErr w:type="spellEnd"/>
      <w:r w:rsidRPr="00B52E23">
        <w:rPr>
          <w:rFonts w:ascii="Times New Roman" w:hAnsi="Times New Roman" w:cs="Times New Roman"/>
          <w:sz w:val="20"/>
          <w:szCs w:val="20"/>
        </w:rPr>
        <w:t xml:space="preserve">, </w:t>
      </w:r>
      <w:r w:rsidRPr="00B52E23">
        <w:rPr>
          <w:rFonts w:ascii="Times New Roman" w:hAnsi="Times New Roman" w:cs="Times New Roman"/>
          <w:color w:val="000000"/>
          <w:sz w:val="20"/>
          <w:szCs w:val="20"/>
        </w:rPr>
        <w:t xml:space="preserve">Why it is so Hard to Hold </w:t>
      </w:r>
      <w:proofErr w:type="spellStart"/>
      <w:r w:rsidRPr="00B52E23">
        <w:rPr>
          <w:rFonts w:ascii="Times New Roman" w:hAnsi="Times New Roman" w:cs="Times New Roman"/>
          <w:color w:val="000000"/>
          <w:sz w:val="20"/>
          <w:szCs w:val="20"/>
        </w:rPr>
        <w:t>Frontex</w:t>
      </w:r>
      <w:proofErr w:type="spellEnd"/>
      <w:r w:rsidRPr="00B52E23">
        <w:rPr>
          <w:rFonts w:ascii="Times New Roman" w:hAnsi="Times New Roman" w:cs="Times New Roman"/>
          <w:color w:val="000000"/>
          <w:sz w:val="20"/>
          <w:szCs w:val="20"/>
        </w:rPr>
        <w:t xml:space="preserve"> Accountable: On Blame-Shifting and an Outdated Remedies System, 26.11.2020, </w:t>
      </w:r>
      <w:hyperlink r:id="rId20" w:history="1">
        <w:r w:rsidRPr="00B52E23">
          <w:rPr>
            <w:rStyle w:val="Hyperlink"/>
            <w:rFonts w:ascii="Times New Roman" w:hAnsi="Times New Roman" w:cs="Times New Roman"/>
            <w:sz w:val="20"/>
            <w:szCs w:val="20"/>
          </w:rPr>
          <w:t>https://www.ejiltalk.org/why-it-is-so-hard-to-hold-frontex-accountable-on-blame-shifting-and-an-outdated-remedies-system</w:t>
        </w:r>
      </w:hyperlink>
      <w:r w:rsidRPr="00B52E23">
        <w:rPr>
          <w:rFonts w:ascii="Times New Roman" w:hAnsi="Times New Roman" w:cs="Times New Roman"/>
          <w:sz w:val="20"/>
          <w:szCs w:val="20"/>
        </w:rPr>
        <w:t xml:space="preserve"> </w:t>
      </w:r>
    </w:p>
  </w:footnote>
  <w:footnote w:id="38">
    <w:p w:rsidR="001241F6" w:rsidRPr="00B52E23" w:rsidRDefault="001241F6" w:rsidP="001956C2">
      <w:pPr>
        <w:pStyle w:val="ti-art"/>
        <w:shd w:val="clear" w:color="auto" w:fill="FFFFFF"/>
        <w:spacing w:before="360" w:beforeAutospacing="0" w:after="120" w:afterAutospacing="0"/>
        <w:rPr>
          <w:i/>
          <w:iCs/>
          <w:color w:val="000000"/>
          <w:sz w:val="20"/>
          <w:szCs w:val="20"/>
        </w:rPr>
      </w:pPr>
      <w:r w:rsidRPr="00B52E23">
        <w:rPr>
          <w:rStyle w:val="FootnoteReference"/>
          <w:sz w:val="20"/>
          <w:szCs w:val="20"/>
        </w:rPr>
        <w:footnoteRef/>
      </w:r>
      <w:r w:rsidRPr="00B52E23">
        <w:rPr>
          <w:sz w:val="20"/>
          <w:szCs w:val="20"/>
        </w:rPr>
        <w:t xml:space="preserve"> Regulation (EU) 2019/1896 on the European Border and Coast Guard and repealing Regulations (EU) No 1052/2013 and (EU) 2016/1624 , OJ L 295/1, 14.11.2019, See Art 7 and Recital 12. </w:t>
      </w:r>
    </w:p>
    <w:p w:rsidR="001241F6" w:rsidRPr="00B52E23" w:rsidRDefault="001241F6" w:rsidP="001956C2">
      <w:pPr>
        <w:pStyle w:val="FootnoteText"/>
        <w:rPr>
          <w:rFonts w:ascii="Times New Roman" w:hAnsi="Times New Roman" w:cs="Times New Roman"/>
          <w:lang w:val="en-GB"/>
        </w:rPr>
      </w:pPr>
    </w:p>
  </w:footnote>
  <w:footnote w:id="39">
    <w:p w:rsidR="001241F6" w:rsidRPr="00B52E23" w:rsidRDefault="001241F6" w:rsidP="001956C2">
      <w:pPr>
        <w:pStyle w:val="FootnoteText"/>
        <w:rPr>
          <w:rFonts w:ascii="Times New Roman" w:hAnsi="Times New Roman" w:cs="Times New Roman"/>
          <w:lang w:val="en-GB"/>
        </w:rPr>
      </w:pPr>
      <w:r w:rsidRPr="00B52E23">
        <w:rPr>
          <w:rStyle w:val="FootnoteReference"/>
          <w:rFonts w:ascii="Times New Roman" w:hAnsi="Times New Roman" w:cs="Times New Roman"/>
        </w:rPr>
        <w:footnoteRef/>
      </w:r>
      <w:r w:rsidRPr="00B52E23">
        <w:rPr>
          <w:rFonts w:ascii="Times New Roman" w:hAnsi="Times New Roman" w:cs="Times New Roman"/>
          <w:lang w:val="en-GB"/>
        </w:rPr>
        <w:t xml:space="preserve"> Art 5(2), Reg 2019/1896.</w:t>
      </w:r>
    </w:p>
  </w:footnote>
  <w:footnote w:id="40">
    <w:p w:rsidR="001241F6" w:rsidRPr="00B52E23" w:rsidRDefault="001241F6" w:rsidP="001956C2">
      <w:pPr>
        <w:pStyle w:val="FootnoteText"/>
        <w:rPr>
          <w:rFonts w:ascii="Times New Roman" w:hAnsi="Times New Roman" w:cs="Times New Roman"/>
          <w:lang w:val="en-GB"/>
        </w:rPr>
      </w:pPr>
      <w:r w:rsidRPr="00B52E23">
        <w:rPr>
          <w:rStyle w:val="FootnoteReference"/>
          <w:rFonts w:ascii="Times New Roman" w:hAnsi="Times New Roman" w:cs="Times New Roman"/>
        </w:rPr>
        <w:footnoteRef/>
      </w:r>
      <w:r w:rsidRPr="00B52E23">
        <w:rPr>
          <w:rFonts w:ascii="Times New Roman" w:hAnsi="Times New Roman" w:cs="Times New Roman"/>
          <w:lang w:val="en-GB"/>
        </w:rPr>
        <w:t xml:space="preserve"> Art 9(1), Reg 2019/1896.</w:t>
      </w:r>
    </w:p>
  </w:footnote>
  <w:footnote w:id="41">
    <w:p w:rsidR="001241F6" w:rsidRPr="00B52E23" w:rsidRDefault="001241F6" w:rsidP="001956C2">
      <w:pPr>
        <w:pStyle w:val="FootnoteText"/>
        <w:rPr>
          <w:rFonts w:ascii="Times New Roman" w:hAnsi="Times New Roman" w:cs="Times New Roman"/>
          <w:lang w:val="en-GB"/>
        </w:rPr>
      </w:pPr>
      <w:r w:rsidRPr="00B52E23">
        <w:rPr>
          <w:rStyle w:val="FootnoteReference"/>
          <w:rFonts w:ascii="Times New Roman" w:hAnsi="Times New Roman" w:cs="Times New Roman"/>
        </w:rPr>
        <w:footnoteRef/>
      </w:r>
      <w:r w:rsidRPr="00B52E23">
        <w:rPr>
          <w:rFonts w:ascii="Times New Roman" w:hAnsi="Times New Roman" w:cs="Times New Roman"/>
          <w:lang w:val="en-GB"/>
        </w:rPr>
        <w:t xml:space="preserve"> Art 54(3), Reg 2019/1896.</w:t>
      </w:r>
    </w:p>
  </w:footnote>
  <w:footnote w:id="42">
    <w:p w:rsidR="001241F6" w:rsidRPr="000C69B3" w:rsidRDefault="001241F6" w:rsidP="001956C2">
      <w:pPr>
        <w:pStyle w:val="FootnoteText"/>
        <w:rPr>
          <w:rFonts w:ascii="Times New Roman" w:hAnsi="Times New Roman" w:cs="Times New Roman"/>
          <w:lang w:val="en-GB"/>
        </w:rPr>
      </w:pPr>
      <w:r w:rsidRPr="00B52E23">
        <w:rPr>
          <w:rStyle w:val="FootnoteReference"/>
          <w:rFonts w:ascii="Times New Roman" w:hAnsi="Times New Roman" w:cs="Times New Roman"/>
        </w:rPr>
        <w:footnoteRef/>
      </w:r>
      <w:r w:rsidRPr="00B52E23">
        <w:rPr>
          <w:rFonts w:ascii="Times New Roman" w:hAnsi="Times New Roman" w:cs="Times New Roman"/>
          <w:lang w:val="en-GB"/>
        </w:rPr>
        <w:t xml:space="preserve"> Art 62) and 54(2), Reg 2019/1896.</w:t>
      </w:r>
    </w:p>
  </w:footnote>
  <w:footnote w:id="43">
    <w:p w:rsidR="001241F6" w:rsidRPr="00F616A2" w:rsidRDefault="001241F6" w:rsidP="001956C2">
      <w:pPr>
        <w:jc w:val="both"/>
        <w:rPr>
          <w:rFonts w:ascii="Times New Roman" w:hAnsi="Times New Roman" w:cs="Times New Roman"/>
          <w:sz w:val="20"/>
          <w:szCs w:val="20"/>
        </w:rPr>
      </w:pPr>
      <w:r w:rsidRPr="000C69B3">
        <w:rPr>
          <w:rStyle w:val="FootnoteReference"/>
          <w:rFonts w:ascii="Times New Roman" w:hAnsi="Times New Roman" w:cs="Times New Roman"/>
          <w:sz w:val="20"/>
          <w:szCs w:val="20"/>
        </w:rPr>
        <w:footnoteRef/>
      </w:r>
      <w:r w:rsidRPr="000C69B3">
        <w:rPr>
          <w:rFonts w:ascii="Times New Roman" w:hAnsi="Times New Roman" w:cs="Times New Roman"/>
          <w:sz w:val="20"/>
          <w:szCs w:val="20"/>
        </w:rPr>
        <w:t xml:space="preserve"> J. Santos </w:t>
      </w:r>
      <w:proofErr w:type="spellStart"/>
      <w:r w:rsidRPr="000C69B3">
        <w:rPr>
          <w:rFonts w:ascii="Times New Roman" w:hAnsi="Times New Roman" w:cs="Times New Roman"/>
          <w:sz w:val="20"/>
          <w:szCs w:val="20"/>
        </w:rPr>
        <w:t>Vara</w:t>
      </w:r>
      <w:proofErr w:type="spellEnd"/>
      <w:r w:rsidRPr="000C69B3">
        <w:rPr>
          <w:rFonts w:ascii="Times New Roman" w:hAnsi="Times New Roman" w:cs="Times New Roman"/>
          <w:sz w:val="20"/>
          <w:szCs w:val="20"/>
        </w:rPr>
        <w:t xml:space="preserve">, </w:t>
      </w:r>
      <w:r>
        <w:rPr>
          <w:rFonts w:ascii="Times New Roman" w:hAnsi="Times New Roman" w:cs="Times New Roman"/>
          <w:sz w:val="20"/>
          <w:szCs w:val="20"/>
        </w:rPr>
        <w:t xml:space="preserve">‘The European Border and Coast Guard in the New Regulation: Towards Centralisation in Border Management’ in S. Carrera, D. Curtin and A. Geddes (eds.), </w:t>
      </w:r>
      <w:r>
        <w:rPr>
          <w:rFonts w:ascii="Times New Roman" w:hAnsi="Times New Roman" w:cs="Times New Roman"/>
          <w:i/>
          <w:sz w:val="20"/>
          <w:szCs w:val="20"/>
        </w:rPr>
        <w:t xml:space="preserve">20 Years Anniversary of the Tampere Programme </w:t>
      </w:r>
      <w:r>
        <w:rPr>
          <w:rFonts w:ascii="Times New Roman" w:hAnsi="Times New Roman" w:cs="Times New Roman"/>
          <w:sz w:val="20"/>
          <w:szCs w:val="20"/>
        </w:rPr>
        <w:t>(EUI, 2020), 57, 72.</w:t>
      </w:r>
    </w:p>
    <w:p w:rsidR="001241F6" w:rsidRPr="00F017B0" w:rsidRDefault="001241F6" w:rsidP="001956C2">
      <w:pPr>
        <w:pStyle w:val="FootnoteText"/>
        <w:rPr>
          <w:lang w:val="en-GB"/>
        </w:rPr>
      </w:pPr>
    </w:p>
  </w:footnote>
  <w:footnote w:id="44">
    <w:p w:rsidR="001241F6" w:rsidRPr="00853B7F" w:rsidRDefault="001241F6" w:rsidP="001956C2">
      <w:pPr>
        <w:pStyle w:val="FootnoteText"/>
        <w:rPr>
          <w:rFonts w:ascii="Times New Roman" w:hAnsi="Times New Roman" w:cs="Times New Roman"/>
          <w:lang w:val="en-GB"/>
        </w:rPr>
      </w:pPr>
      <w:r w:rsidRPr="00853B7F">
        <w:rPr>
          <w:rStyle w:val="FootnoteReference"/>
          <w:rFonts w:ascii="Times New Roman" w:hAnsi="Times New Roman" w:cs="Times New Roman"/>
        </w:rPr>
        <w:footnoteRef/>
      </w:r>
      <w:r w:rsidRPr="00853B7F">
        <w:rPr>
          <w:rFonts w:ascii="Times New Roman" w:hAnsi="Times New Roman" w:cs="Times New Roman"/>
          <w:lang w:val="en-GB"/>
        </w:rPr>
        <w:t xml:space="preserve"> See also </w:t>
      </w:r>
      <w:proofErr w:type="spellStart"/>
      <w:r w:rsidRPr="00853B7F">
        <w:rPr>
          <w:rFonts w:ascii="Times New Roman" w:hAnsi="Times New Roman" w:cs="Times New Roman"/>
          <w:lang w:val="en-GB"/>
        </w:rPr>
        <w:t>Gkliati</w:t>
      </w:r>
      <w:proofErr w:type="spellEnd"/>
      <w:r w:rsidRPr="00853B7F">
        <w:rPr>
          <w:rFonts w:ascii="Times New Roman" w:hAnsi="Times New Roman" w:cs="Times New Roman"/>
          <w:lang w:val="en-GB"/>
        </w:rPr>
        <w:t xml:space="preserve">, who argues that  the 2019 legislative amendment brings a shift of focus from complicity, as the main form of responsibility for </w:t>
      </w:r>
      <w:proofErr w:type="spellStart"/>
      <w:r w:rsidRPr="00853B7F">
        <w:rPr>
          <w:rFonts w:ascii="Times New Roman" w:hAnsi="Times New Roman" w:cs="Times New Roman"/>
          <w:lang w:val="en-GB"/>
        </w:rPr>
        <w:t>Frontex</w:t>
      </w:r>
      <w:proofErr w:type="spellEnd"/>
      <w:r w:rsidRPr="00853B7F">
        <w:rPr>
          <w:rFonts w:ascii="Times New Roman" w:hAnsi="Times New Roman" w:cs="Times New Roman"/>
          <w:lang w:val="en-GB"/>
        </w:rPr>
        <w:t>, to direc</w:t>
      </w:r>
      <w:r>
        <w:rPr>
          <w:rFonts w:ascii="Times New Roman" w:hAnsi="Times New Roman" w:cs="Times New Roman"/>
          <w:lang w:val="en-GB"/>
        </w:rPr>
        <w:t xml:space="preserve">t responsibility- M. </w:t>
      </w:r>
      <w:proofErr w:type="spellStart"/>
      <w:r>
        <w:rPr>
          <w:rFonts w:ascii="Times New Roman" w:hAnsi="Times New Roman" w:cs="Times New Roman"/>
          <w:lang w:val="en-GB"/>
        </w:rPr>
        <w:t>Gkliati</w:t>
      </w:r>
      <w:proofErr w:type="spellEnd"/>
      <w:r>
        <w:rPr>
          <w:rFonts w:ascii="Times New Roman" w:hAnsi="Times New Roman" w:cs="Times New Roman"/>
          <w:lang w:val="en-GB"/>
        </w:rPr>
        <w:t>, T</w:t>
      </w:r>
      <w:r w:rsidRPr="00853B7F">
        <w:rPr>
          <w:rFonts w:ascii="Times New Roman" w:hAnsi="Times New Roman" w:cs="Times New Roman"/>
          <w:lang w:val="en-GB"/>
        </w:rPr>
        <w:t>he Next Phase of The European Border and Coast Guard: Responsibility for Returns and Push-</w:t>
      </w:r>
      <w:r>
        <w:rPr>
          <w:rFonts w:ascii="Times New Roman" w:hAnsi="Times New Roman" w:cs="Times New Roman"/>
          <w:lang w:val="en-GB"/>
        </w:rPr>
        <w:t xml:space="preserve">backs in Hungary and Greece’ (2022) 7 </w:t>
      </w:r>
      <w:r w:rsidRPr="00853B7F">
        <w:rPr>
          <w:rFonts w:ascii="Times New Roman" w:hAnsi="Times New Roman" w:cs="Times New Roman"/>
          <w:i/>
          <w:lang w:val="en-GB"/>
        </w:rPr>
        <w:t>European Papers</w:t>
      </w:r>
      <w:r>
        <w:rPr>
          <w:rFonts w:ascii="Times New Roman" w:hAnsi="Times New Roman" w:cs="Times New Roman"/>
          <w:lang w:val="en-GB"/>
        </w:rPr>
        <w:t xml:space="preserve"> 171</w:t>
      </w:r>
      <w:r w:rsidRPr="00853B7F">
        <w:rPr>
          <w:rFonts w:ascii="Times New Roman" w:hAnsi="Times New Roman" w:cs="Times New Roman"/>
          <w:lang w:val="en-GB"/>
        </w:rPr>
        <w:t xml:space="preserve">, 192. </w:t>
      </w:r>
      <w:proofErr w:type="spellStart"/>
      <w:r>
        <w:rPr>
          <w:rFonts w:ascii="Times New Roman" w:hAnsi="Times New Roman" w:cs="Times New Roman"/>
          <w:lang w:val="en-GB"/>
        </w:rPr>
        <w:t>Gkliati</w:t>
      </w:r>
      <w:proofErr w:type="spellEnd"/>
      <w:r>
        <w:rPr>
          <w:rFonts w:ascii="Times New Roman" w:hAnsi="Times New Roman" w:cs="Times New Roman"/>
          <w:lang w:val="en-GB"/>
        </w:rPr>
        <w:t xml:space="preserve"> refers to G. </w:t>
      </w:r>
      <w:r w:rsidRPr="00853B7F">
        <w:rPr>
          <w:rFonts w:ascii="Times New Roman" w:hAnsi="Times New Roman" w:cs="Times New Roman"/>
          <w:lang w:val="en-GB"/>
        </w:rPr>
        <w:t xml:space="preserve">Goodwin-Gil, </w:t>
      </w:r>
      <w:r>
        <w:rPr>
          <w:rFonts w:ascii="Times New Roman" w:hAnsi="Times New Roman" w:cs="Times New Roman"/>
          <w:lang w:val="en-GB"/>
        </w:rPr>
        <w:t>‘</w:t>
      </w:r>
      <w:r w:rsidRPr="00853B7F">
        <w:rPr>
          <w:rFonts w:ascii="Times New Roman" w:hAnsi="Times New Roman" w:cs="Times New Roman"/>
          <w:bCs/>
          <w:color w:val="2A2A2A"/>
          <w:shd w:val="clear" w:color="auto" w:fill="FFFFFF"/>
          <w:lang w:val="en-GB"/>
        </w:rPr>
        <w:t>The Right to Seek Asylum: Interception at Sea and the Principle of </w:t>
      </w:r>
      <w:r w:rsidRPr="00853B7F">
        <w:rPr>
          <w:rStyle w:val="Emphasis"/>
          <w:rFonts w:ascii="Times New Roman" w:hAnsi="Times New Roman" w:cs="Times New Roman"/>
          <w:bCs/>
          <w:color w:val="2A2A2A"/>
          <w:bdr w:val="none" w:sz="0" w:space="0" w:color="auto" w:frame="1"/>
          <w:shd w:val="clear" w:color="auto" w:fill="FFFFFF"/>
          <w:lang w:val="en-GB"/>
        </w:rPr>
        <w:t xml:space="preserve">Non-Refoulement </w:t>
      </w:r>
      <w:r>
        <w:rPr>
          <w:rStyle w:val="Emphasis"/>
          <w:rFonts w:ascii="Times New Roman" w:hAnsi="Times New Roman" w:cs="Times New Roman"/>
          <w:bCs/>
          <w:color w:val="2A2A2A"/>
          <w:bdr w:val="none" w:sz="0" w:space="0" w:color="auto" w:frame="1"/>
          <w:shd w:val="clear" w:color="auto" w:fill="FFFFFF"/>
          <w:lang w:val="en-GB"/>
        </w:rPr>
        <w:t>‘</w:t>
      </w:r>
      <w:r>
        <w:rPr>
          <w:rStyle w:val="Emphasis"/>
          <w:rFonts w:ascii="Times New Roman" w:hAnsi="Times New Roman" w:cs="Times New Roman"/>
          <w:bCs/>
          <w:i w:val="0"/>
          <w:color w:val="2A2A2A"/>
          <w:bdr w:val="none" w:sz="0" w:space="0" w:color="auto" w:frame="1"/>
          <w:shd w:val="clear" w:color="auto" w:fill="FFFFFF"/>
          <w:lang w:val="en-GB"/>
        </w:rPr>
        <w:t xml:space="preserve">)2011) 23 </w:t>
      </w:r>
      <w:r>
        <w:rPr>
          <w:rStyle w:val="Emphasis"/>
          <w:rFonts w:ascii="Times New Roman" w:hAnsi="Times New Roman" w:cs="Times New Roman"/>
          <w:bCs/>
          <w:color w:val="2A2A2A"/>
          <w:bdr w:val="none" w:sz="0" w:space="0" w:color="auto" w:frame="1"/>
          <w:shd w:val="clear" w:color="auto" w:fill="FFFFFF"/>
          <w:lang w:val="en-GB"/>
        </w:rPr>
        <w:t xml:space="preserve">IJRL </w:t>
      </w:r>
      <w:r w:rsidRPr="001048F2">
        <w:rPr>
          <w:rStyle w:val="Emphasis"/>
          <w:rFonts w:ascii="Times New Roman" w:hAnsi="Times New Roman" w:cs="Times New Roman"/>
          <w:bCs/>
          <w:i w:val="0"/>
          <w:color w:val="2A2A2A"/>
          <w:bdr w:val="none" w:sz="0" w:space="0" w:color="auto" w:frame="1"/>
          <w:shd w:val="clear" w:color="auto" w:fill="FFFFFF"/>
          <w:lang w:val="en-GB"/>
        </w:rPr>
        <w:t xml:space="preserve"> 443</w:t>
      </w:r>
      <w:r>
        <w:rPr>
          <w:rStyle w:val="Emphasis"/>
          <w:rFonts w:ascii="Times New Roman" w:hAnsi="Times New Roman" w:cs="Times New Roman"/>
          <w:bCs/>
          <w:color w:val="2A2A2A"/>
          <w:bdr w:val="none" w:sz="0" w:space="0" w:color="auto" w:frame="1"/>
          <w:shd w:val="clear" w:color="auto" w:fill="FFFFFF"/>
          <w:lang w:val="en-GB"/>
        </w:rPr>
        <w:t xml:space="preserve">. </w:t>
      </w:r>
      <w:proofErr w:type="spellStart"/>
      <w:r>
        <w:rPr>
          <w:rFonts w:ascii="Times New Roman" w:hAnsi="Times New Roman" w:cs="Times New Roman"/>
          <w:lang w:val="en-GB"/>
        </w:rPr>
        <w:t>Gkliati</w:t>
      </w:r>
      <w:proofErr w:type="spellEnd"/>
      <w:r w:rsidRPr="00853B7F">
        <w:rPr>
          <w:rFonts w:ascii="Times New Roman" w:hAnsi="Times New Roman" w:cs="Times New Roman"/>
          <w:lang w:val="en-GB"/>
        </w:rPr>
        <w:t xml:space="preserve"> also rightly notes that </w:t>
      </w:r>
      <w:proofErr w:type="spellStart"/>
      <w:r w:rsidRPr="00853B7F">
        <w:rPr>
          <w:rFonts w:ascii="Times New Roman" w:hAnsi="Times New Roman" w:cs="Times New Roman"/>
          <w:lang w:val="en-GB"/>
        </w:rPr>
        <w:t>Frontex</w:t>
      </w:r>
      <w:proofErr w:type="spellEnd"/>
      <w:r w:rsidRPr="00853B7F">
        <w:rPr>
          <w:rFonts w:ascii="Times New Roman" w:hAnsi="Times New Roman" w:cs="Times New Roman"/>
          <w:lang w:val="en-GB"/>
        </w:rPr>
        <w:t xml:space="preserve"> sets the scene f</w:t>
      </w:r>
      <w:r>
        <w:rPr>
          <w:rFonts w:ascii="Times New Roman" w:hAnsi="Times New Roman" w:cs="Times New Roman"/>
          <w:lang w:val="en-GB"/>
        </w:rPr>
        <w:t xml:space="preserve">or Member States’ operations- </w:t>
      </w:r>
      <w:r w:rsidRPr="00853B7F">
        <w:rPr>
          <w:rFonts w:ascii="Times New Roman" w:hAnsi="Times New Roman" w:cs="Times New Roman"/>
          <w:lang w:val="en-GB"/>
        </w:rPr>
        <w:t>187</w:t>
      </w:r>
    </w:p>
  </w:footnote>
  <w:footnote w:id="45">
    <w:p w:rsidR="001241F6" w:rsidRPr="00C04F1D" w:rsidRDefault="001241F6" w:rsidP="001956C2">
      <w:pPr>
        <w:jc w:val="both"/>
        <w:rPr>
          <w:rFonts w:ascii="Times New Roman" w:hAnsi="Times New Roman" w:cs="Times New Roman"/>
          <w:sz w:val="20"/>
          <w:szCs w:val="20"/>
        </w:rPr>
      </w:pPr>
      <w:r w:rsidRPr="00C04F1D">
        <w:rPr>
          <w:rStyle w:val="FootnoteReference"/>
          <w:rFonts w:ascii="Times New Roman" w:hAnsi="Times New Roman" w:cs="Times New Roman"/>
          <w:sz w:val="20"/>
          <w:szCs w:val="20"/>
        </w:rPr>
        <w:footnoteRef/>
      </w:r>
      <w:r w:rsidRPr="00C04F1D">
        <w:rPr>
          <w:rFonts w:ascii="Times New Roman" w:hAnsi="Times New Roman" w:cs="Times New Roman"/>
          <w:sz w:val="20"/>
          <w:szCs w:val="20"/>
        </w:rPr>
        <w:t xml:space="preserve"> See also M. Fink, ‘The Action for Damages as a Fundamental Rights Rem</w:t>
      </w:r>
      <w:r>
        <w:rPr>
          <w:rFonts w:ascii="Times New Roman" w:hAnsi="Times New Roman" w:cs="Times New Roman"/>
          <w:sz w:val="20"/>
          <w:szCs w:val="20"/>
        </w:rPr>
        <w:t xml:space="preserve">edy. Holding </w:t>
      </w:r>
      <w:proofErr w:type="spellStart"/>
      <w:r>
        <w:rPr>
          <w:rFonts w:ascii="Times New Roman" w:hAnsi="Times New Roman" w:cs="Times New Roman"/>
          <w:sz w:val="20"/>
          <w:szCs w:val="20"/>
        </w:rPr>
        <w:t>Frontex</w:t>
      </w:r>
      <w:proofErr w:type="spellEnd"/>
      <w:r>
        <w:rPr>
          <w:rFonts w:ascii="Times New Roman" w:hAnsi="Times New Roman" w:cs="Times New Roman"/>
          <w:sz w:val="20"/>
          <w:szCs w:val="20"/>
        </w:rPr>
        <w:t xml:space="preserve"> Liable’ (2020) 21 </w:t>
      </w:r>
      <w:r>
        <w:rPr>
          <w:rFonts w:ascii="Times New Roman" w:hAnsi="Times New Roman" w:cs="Times New Roman"/>
          <w:i/>
          <w:sz w:val="20"/>
          <w:szCs w:val="20"/>
        </w:rPr>
        <w:t xml:space="preserve">German Law Journal </w:t>
      </w:r>
      <w:r>
        <w:rPr>
          <w:rFonts w:ascii="Times New Roman" w:hAnsi="Times New Roman" w:cs="Times New Roman"/>
          <w:sz w:val="20"/>
          <w:szCs w:val="20"/>
        </w:rPr>
        <w:t>532</w:t>
      </w:r>
      <w:r w:rsidRPr="00C04F1D">
        <w:rPr>
          <w:rFonts w:ascii="Times New Roman" w:hAnsi="Times New Roman" w:cs="Times New Roman"/>
          <w:sz w:val="20"/>
          <w:szCs w:val="20"/>
        </w:rPr>
        <w:t>.</w:t>
      </w:r>
    </w:p>
  </w:footnote>
  <w:footnote w:id="46">
    <w:p w:rsidR="001241F6" w:rsidRPr="00C04F1D" w:rsidRDefault="001241F6" w:rsidP="001956C2">
      <w:pPr>
        <w:pStyle w:val="FootnoteText"/>
        <w:rPr>
          <w:rFonts w:ascii="Times New Roman" w:hAnsi="Times New Roman" w:cs="Times New Roman"/>
          <w:lang w:val="en-GB"/>
        </w:rPr>
      </w:pPr>
      <w:r w:rsidRPr="00C04F1D">
        <w:rPr>
          <w:rStyle w:val="FootnoteReference"/>
          <w:rFonts w:ascii="Times New Roman" w:hAnsi="Times New Roman" w:cs="Times New Roman"/>
        </w:rPr>
        <w:footnoteRef/>
      </w:r>
      <w:r w:rsidRPr="00C04F1D">
        <w:rPr>
          <w:rFonts w:ascii="Times New Roman" w:hAnsi="Times New Roman" w:cs="Times New Roman"/>
          <w:lang w:val="en-GB"/>
        </w:rPr>
        <w:t xml:space="preserve"> Emphasis added.</w:t>
      </w:r>
    </w:p>
  </w:footnote>
  <w:footnote w:id="47">
    <w:p w:rsidR="001241F6" w:rsidRPr="00C04F1D" w:rsidRDefault="001241F6" w:rsidP="001956C2">
      <w:pPr>
        <w:pStyle w:val="FootnoteText"/>
        <w:rPr>
          <w:rFonts w:ascii="Times New Roman" w:hAnsi="Times New Roman" w:cs="Times New Roman"/>
          <w:lang w:val="en-GB"/>
        </w:rPr>
      </w:pPr>
      <w:r w:rsidRPr="00C04F1D">
        <w:rPr>
          <w:rStyle w:val="FootnoteReference"/>
          <w:rFonts w:ascii="Times New Roman" w:hAnsi="Times New Roman" w:cs="Times New Roman"/>
        </w:rPr>
        <w:footnoteRef/>
      </w:r>
      <w:r>
        <w:rPr>
          <w:rFonts w:ascii="Times New Roman" w:hAnsi="Times New Roman" w:cs="Times New Roman"/>
          <w:lang w:val="en-GB"/>
        </w:rPr>
        <w:t xml:space="preserve"> Art 80(2), </w:t>
      </w:r>
      <w:r w:rsidRPr="00B52E23">
        <w:rPr>
          <w:rFonts w:ascii="Times New Roman" w:hAnsi="Times New Roman" w:cs="Times New Roman"/>
          <w:lang w:val="en-GB"/>
        </w:rPr>
        <w:t>Reg 2019/1896.</w:t>
      </w:r>
    </w:p>
  </w:footnote>
  <w:footnote w:id="48">
    <w:p w:rsidR="001241F6" w:rsidRPr="00C04F1D" w:rsidRDefault="001241F6" w:rsidP="001956C2">
      <w:pPr>
        <w:pStyle w:val="FootnoteText"/>
        <w:rPr>
          <w:rFonts w:ascii="Times New Roman" w:hAnsi="Times New Roman" w:cs="Times New Roman"/>
          <w:lang w:val="en-GB"/>
        </w:rPr>
      </w:pPr>
      <w:r w:rsidRPr="00C04F1D">
        <w:rPr>
          <w:rStyle w:val="FootnoteReference"/>
          <w:rFonts w:ascii="Times New Roman" w:hAnsi="Times New Roman" w:cs="Times New Roman"/>
        </w:rPr>
        <w:footnoteRef/>
      </w:r>
      <w:r>
        <w:rPr>
          <w:rFonts w:ascii="Times New Roman" w:hAnsi="Times New Roman" w:cs="Times New Roman"/>
          <w:lang w:val="en-GB"/>
        </w:rPr>
        <w:t xml:space="preserve"> Art 83(2), </w:t>
      </w:r>
      <w:r w:rsidRPr="00B52E23">
        <w:rPr>
          <w:rFonts w:ascii="Times New Roman" w:hAnsi="Times New Roman" w:cs="Times New Roman"/>
          <w:lang w:val="en-GB"/>
        </w:rPr>
        <w:t>Reg 2019/1896.</w:t>
      </w:r>
    </w:p>
  </w:footnote>
  <w:footnote w:id="49">
    <w:p w:rsidR="001241F6" w:rsidRPr="00C04F1D" w:rsidRDefault="001241F6" w:rsidP="001956C2">
      <w:pPr>
        <w:jc w:val="both"/>
        <w:rPr>
          <w:rFonts w:ascii="Times New Roman" w:hAnsi="Times New Roman" w:cs="Times New Roman"/>
          <w:sz w:val="20"/>
          <w:szCs w:val="20"/>
        </w:rPr>
      </w:pPr>
      <w:r w:rsidRPr="00C04F1D">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Art 44(3)(b), </w:t>
      </w:r>
      <w:r w:rsidRPr="00B52E23">
        <w:rPr>
          <w:rFonts w:ascii="Times New Roman" w:hAnsi="Times New Roman" w:cs="Times New Roman"/>
          <w:sz w:val="20"/>
          <w:szCs w:val="20"/>
        </w:rPr>
        <w:t>Reg 2019/1896.</w:t>
      </w:r>
    </w:p>
  </w:footnote>
  <w:footnote w:id="50">
    <w:p w:rsidR="001241F6" w:rsidRPr="00C04F1D" w:rsidRDefault="001241F6" w:rsidP="001956C2">
      <w:pPr>
        <w:pStyle w:val="Normal2"/>
        <w:shd w:val="clear" w:color="auto" w:fill="FFFFFF"/>
        <w:spacing w:before="120" w:beforeAutospacing="0" w:after="0" w:afterAutospacing="0"/>
        <w:jc w:val="both"/>
        <w:rPr>
          <w:color w:val="000000"/>
          <w:sz w:val="20"/>
          <w:szCs w:val="20"/>
        </w:rPr>
      </w:pPr>
      <w:r w:rsidRPr="00C04F1D">
        <w:rPr>
          <w:rStyle w:val="FootnoteReference"/>
          <w:sz w:val="20"/>
          <w:szCs w:val="20"/>
        </w:rPr>
        <w:footnoteRef/>
      </w:r>
      <w:r>
        <w:rPr>
          <w:iCs/>
          <w:color w:val="000000"/>
          <w:sz w:val="20"/>
          <w:szCs w:val="20"/>
        </w:rPr>
        <w:t xml:space="preserve"> According to Article 46 of the </w:t>
      </w:r>
      <w:proofErr w:type="spellStart"/>
      <w:r>
        <w:rPr>
          <w:iCs/>
          <w:color w:val="000000"/>
          <w:sz w:val="20"/>
          <w:szCs w:val="20"/>
        </w:rPr>
        <w:t>Frontex</w:t>
      </w:r>
      <w:proofErr w:type="spellEnd"/>
      <w:r>
        <w:rPr>
          <w:iCs/>
          <w:color w:val="000000"/>
          <w:sz w:val="20"/>
          <w:szCs w:val="20"/>
        </w:rPr>
        <w:t xml:space="preserve"> Regulation, the</w:t>
      </w:r>
      <w:r w:rsidRPr="00C04F1D">
        <w:rPr>
          <w:iCs/>
          <w:color w:val="000000"/>
          <w:sz w:val="20"/>
          <w:szCs w:val="20"/>
        </w:rPr>
        <w:t xml:space="preserve"> Executive Director</w:t>
      </w:r>
      <w:r>
        <w:rPr>
          <w:iCs/>
          <w:color w:val="000000"/>
          <w:sz w:val="20"/>
          <w:szCs w:val="20"/>
        </w:rPr>
        <w:t>:</w:t>
      </w:r>
      <w:r w:rsidRPr="00C04F1D">
        <w:rPr>
          <w:iCs/>
          <w:color w:val="000000"/>
          <w:sz w:val="20"/>
          <w:szCs w:val="20"/>
        </w:rPr>
        <w:t xml:space="preserve"> must terminate </w:t>
      </w:r>
      <w:r w:rsidRPr="00C04F1D">
        <w:rPr>
          <w:color w:val="000000"/>
          <w:sz w:val="20"/>
          <w:szCs w:val="20"/>
        </w:rPr>
        <w:t>any activity of the Agency if the conditions to conduct those activities a</w:t>
      </w:r>
      <w:r>
        <w:rPr>
          <w:color w:val="000000"/>
          <w:sz w:val="20"/>
          <w:szCs w:val="20"/>
        </w:rPr>
        <w:t xml:space="preserve">re no longer fulfilled (Art </w:t>
      </w:r>
      <w:r w:rsidRPr="00C04F1D">
        <w:rPr>
          <w:color w:val="000000"/>
          <w:sz w:val="20"/>
          <w:szCs w:val="20"/>
        </w:rPr>
        <w:t>46(1)), must withdraw the financing of an activity or suspend or terminate it if the operational plan is not respected b</w:t>
      </w:r>
      <w:r>
        <w:rPr>
          <w:color w:val="000000"/>
          <w:sz w:val="20"/>
          <w:szCs w:val="20"/>
        </w:rPr>
        <w:t>y the host Member State (Art</w:t>
      </w:r>
      <w:r w:rsidRPr="00C04F1D">
        <w:rPr>
          <w:color w:val="000000"/>
          <w:sz w:val="20"/>
          <w:szCs w:val="20"/>
        </w:rPr>
        <w:t xml:space="preserve"> 46(3)), must withdraw the financing for any activity by the Agency, or suspend or terminate any activity by the Agency, in whole or in part, if he or she considers that there are violations of fundamental rights or international protection obligations related to the activity concerned that are of a serious nature o</w:t>
      </w:r>
      <w:r>
        <w:rPr>
          <w:color w:val="000000"/>
          <w:sz w:val="20"/>
          <w:szCs w:val="20"/>
        </w:rPr>
        <w:t>r are likely to persist (Art</w:t>
      </w:r>
      <w:r w:rsidRPr="00C04F1D">
        <w:rPr>
          <w:color w:val="000000"/>
          <w:sz w:val="20"/>
          <w:szCs w:val="20"/>
        </w:rPr>
        <w:t xml:space="preserve"> 46(4)) and must decide not to launch any activity by the Agency where he or she considers that there would already be serious reasons at the beginning of the activity to suspend or terminate it because it could lead to violations of fundamental rights or international protection obligatio</w:t>
      </w:r>
      <w:r>
        <w:rPr>
          <w:color w:val="000000"/>
          <w:sz w:val="20"/>
          <w:szCs w:val="20"/>
        </w:rPr>
        <w:t>ns of a serious nature (Art</w:t>
      </w:r>
      <w:r w:rsidRPr="00C04F1D">
        <w:rPr>
          <w:color w:val="000000"/>
          <w:sz w:val="20"/>
          <w:szCs w:val="20"/>
        </w:rPr>
        <w:t>46(5)).</w:t>
      </w:r>
    </w:p>
    <w:p w:rsidR="001241F6" w:rsidRPr="00C04F1D" w:rsidRDefault="001241F6" w:rsidP="001956C2">
      <w:pPr>
        <w:pStyle w:val="FootnoteText"/>
        <w:rPr>
          <w:rFonts w:ascii="Times New Roman" w:hAnsi="Times New Roman" w:cs="Times New Roman"/>
          <w:lang w:val="en-GB"/>
        </w:rPr>
      </w:pPr>
    </w:p>
  </w:footnote>
  <w:footnote w:id="51">
    <w:p w:rsidR="001241F6" w:rsidRPr="00097A1B" w:rsidRDefault="001241F6" w:rsidP="00C04F1D">
      <w:pPr>
        <w:pStyle w:val="Normal2"/>
        <w:shd w:val="clear" w:color="auto" w:fill="FFFFFF"/>
        <w:spacing w:before="120" w:beforeAutospacing="0" w:after="0" w:afterAutospacing="0"/>
        <w:jc w:val="both"/>
        <w:rPr>
          <w:color w:val="000000"/>
          <w:sz w:val="20"/>
          <w:szCs w:val="20"/>
        </w:rPr>
      </w:pPr>
      <w:r w:rsidRPr="00097A1B">
        <w:rPr>
          <w:rStyle w:val="FootnoteReference"/>
          <w:sz w:val="20"/>
          <w:szCs w:val="20"/>
        </w:rPr>
        <w:footnoteRef/>
      </w:r>
      <w:r w:rsidRPr="00097A1B">
        <w:rPr>
          <w:sz w:val="20"/>
          <w:szCs w:val="20"/>
        </w:rPr>
        <w:t xml:space="preserve"> According to Article </w:t>
      </w:r>
      <w:r w:rsidRPr="00097A1B">
        <w:rPr>
          <w:color w:val="000000"/>
          <w:sz w:val="20"/>
          <w:szCs w:val="20"/>
        </w:rPr>
        <w:t>43(3), in cases where the instructions issued to the teams are not in compliance with the operational plan, the coordinating officer shall immediately report to the executive director, who may, if appropriate, take action in accordance with Article 46(3).Members of the teams must, in the performance of their tasks and in the exercise of their powers, fully respect fundamental rights, including access to asylum procedures and human dignity (Art 43(4)).</w:t>
      </w:r>
    </w:p>
  </w:footnote>
  <w:footnote w:id="52">
    <w:p w:rsidR="001241F6" w:rsidRPr="00097A1B" w:rsidRDefault="001241F6" w:rsidP="001956C2">
      <w:pPr>
        <w:pStyle w:val="FootnoteText"/>
        <w:rPr>
          <w:rFonts w:ascii="Times New Roman" w:hAnsi="Times New Roman" w:cs="Times New Roman"/>
          <w:lang w:val="en-GB"/>
        </w:rPr>
      </w:pPr>
      <w:r w:rsidRPr="00097A1B">
        <w:rPr>
          <w:rStyle w:val="FootnoteReference"/>
          <w:rFonts w:ascii="Times New Roman" w:hAnsi="Times New Roman" w:cs="Times New Roman"/>
        </w:rPr>
        <w:footnoteRef/>
      </w:r>
      <w:r w:rsidRPr="00097A1B">
        <w:rPr>
          <w:rFonts w:ascii="Times New Roman" w:hAnsi="Times New Roman" w:cs="Times New Roman"/>
          <w:lang w:val="en-GB"/>
        </w:rPr>
        <w:t xml:space="preserve"> Art 109 Reg 2019/1896.</w:t>
      </w:r>
    </w:p>
  </w:footnote>
  <w:footnote w:id="53">
    <w:p w:rsidR="001241F6" w:rsidRPr="00097A1B" w:rsidRDefault="001241F6" w:rsidP="001956C2">
      <w:pPr>
        <w:pStyle w:val="FootnoteText"/>
        <w:rPr>
          <w:rFonts w:ascii="Times New Roman" w:hAnsi="Times New Roman" w:cs="Times New Roman"/>
          <w:lang w:val="en-GB"/>
        </w:rPr>
      </w:pPr>
      <w:r w:rsidRPr="00097A1B">
        <w:rPr>
          <w:rStyle w:val="FootnoteReference"/>
          <w:rFonts w:ascii="Times New Roman" w:hAnsi="Times New Roman" w:cs="Times New Roman"/>
        </w:rPr>
        <w:footnoteRef/>
      </w:r>
      <w:r w:rsidRPr="00097A1B">
        <w:rPr>
          <w:rFonts w:ascii="Times New Roman" w:hAnsi="Times New Roman" w:cs="Times New Roman"/>
          <w:lang w:val="en-GB"/>
        </w:rPr>
        <w:t xml:space="preserve"> Art 106, Reg 2019/1896.</w:t>
      </w:r>
    </w:p>
  </w:footnote>
  <w:footnote w:id="54">
    <w:p w:rsidR="001241F6" w:rsidRPr="00097A1B" w:rsidRDefault="001241F6" w:rsidP="001956C2">
      <w:pPr>
        <w:pStyle w:val="FootnoteText"/>
        <w:rPr>
          <w:rFonts w:ascii="Times New Roman" w:hAnsi="Times New Roman" w:cs="Times New Roman"/>
          <w:lang w:val="en-GB"/>
        </w:rPr>
      </w:pPr>
      <w:r w:rsidRPr="00097A1B">
        <w:rPr>
          <w:rStyle w:val="FootnoteReference"/>
          <w:rFonts w:ascii="Times New Roman" w:hAnsi="Times New Roman" w:cs="Times New Roman"/>
        </w:rPr>
        <w:footnoteRef/>
      </w:r>
      <w:r w:rsidRPr="00097A1B">
        <w:rPr>
          <w:rFonts w:ascii="Times New Roman" w:hAnsi="Times New Roman" w:cs="Times New Roman"/>
          <w:lang w:val="en-GB"/>
        </w:rPr>
        <w:t>Art 111, Reg 2019/1896.</w:t>
      </w:r>
    </w:p>
  </w:footnote>
  <w:footnote w:id="55">
    <w:p w:rsidR="001241F6" w:rsidRPr="00097A1B" w:rsidRDefault="001241F6" w:rsidP="001956C2">
      <w:pPr>
        <w:pStyle w:val="FootnoteText"/>
        <w:rPr>
          <w:rFonts w:ascii="Times New Roman" w:hAnsi="Times New Roman" w:cs="Times New Roman"/>
          <w:lang w:val="en-GB"/>
        </w:rPr>
      </w:pPr>
      <w:r w:rsidRPr="00097A1B">
        <w:rPr>
          <w:rStyle w:val="FootnoteReference"/>
          <w:rFonts w:ascii="Times New Roman" w:hAnsi="Times New Roman" w:cs="Times New Roman"/>
        </w:rPr>
        <w:footnoteRef/>
      </w:r>
      <w:r w:rsidRPr="00097A1B">
        <w:rPr>
          <w:rFonts w:ascii="Times New Roman" w:hAnsi="Times New Roman" w:cs="Times New Roman"/>
          <w:lang w:val="en-GB"/>
        </w:rPr>
        <w:t xml:space="preserve"> Art 98(1), Reg 2019/1896.</w:t>
      </w:r>
    </w:p>
  </w:footnote>
  <w:footnote w:id="56">
    <w:p w:rsidR="001241F6" w:rsidRPr="00097A1B" w:rsidRDefault="001241F6" w:rsidP="00097A1B">
      <w:pPr>
        <w:rPr>
          <w:rFonts w:ascii="Times New Roman" w:hAnsi="Times New Roman" w:cs="Times New Roman"/>
          <w:sz w:val="20"/>
          <w:szCs w:val="20"/>
        </w:rPr>
      </w:pPr>
      <w:r w:rsidRPr="00097A1B">
        <w:rPr>
          <w:rStyle w:val="FootnoteReference"/>
          <w:rFonts w:ascii="Times New Roman" w:hAnsi="Times New Roman" w:cs="Times New Roman"/>
          <w:sz w:val="20"/>
          <w:szCs w:val="20"/>
        </w:rPr>
        <w:footnoteRef/>
      </w:r>
      <w:r w:rsidRPr="00097A1B">
        <w:rPr>
          <w:rFonts w:ascii="Times New Roman" w:hAnsi="Times New Roman" w:cs="Times New Roman"/>
          <w:sz w:val="20"/>
          <w:szCs w:val="20"/>
        </w:rPr>
        <w:t xml:space="preserve"> European Ombudsman, </w:t>
      </w:r>
      <w:r w:rsidRPr="00097A1B">
        <w:rPr>
          <w:rFonts w:ascii="Times New Roman" w:hAnsi="Times New Roman" w:cs="Times New Roman"/>
          <w:i/>
          <w:sz w:val="20"/>
          <w:szCs w:val="20"/>
        </w:rPr>
        <w:t xml:space="preserve">Ombudsman makes suggestions to improve the accountability of </w:t>
      </w:r>
      <w:proofErr w:type="spellStart"/>
      <w:r w:rsidRPr="00097A1B">
        <w:rPr>
          <w:rFonts w:ascii="Times New Roman" w:hAnsi="Times New Roman" w:cs="Times New Roman"/>
          <w:i/>
          <w:sz w:val="20"/>
          <w:szCs w:val="20"/>
        </w:rPr>
        <w:t>Frontex’s</w:t>
      </w:r>
      <w:proofErr w:type="spellEnd"/>
      <w:r w:rsidRPr="00097A1B">
        <w:rPr>
          <w:rFonts w:ascii="Times New Roman" w:hAnsi="Times New Roman" w:cs="Times New Roman"/>
          <w:i/>
          <w:sz w:val="20"/>
          <w:szCs w:val="20"/>
        </w:rPr>
        <w:t xml:space="preserve"> work, </w:t>
      </w:r>
      <w:r w:rsidRPr="00097A1B">
        <w:rPr>
          <w:rFonts w:ascii="Times New Roman" w:hAnsi="Times New Roman" w:cs="Times New Roman"/>
          <w:sz w:val="20"/>
          <w:szCs w:val="20"/>
        </w:rPr>
        <w:t xml:space="preserve">16.6.2021, </w:t>
      </w:r>
      <w:hyperlink r:id="rId21" w:history="1">
        <w:r w:rsidRPr="00097A1B">
          <w:rPr>
            <w:rStyle w:val="Hyperlink"/>
            <w:rFonts w:ascii="Times New Roman" w:hAnsi="Times New Roman" w:cs="Times New Roman"/>
            <w:sz w:val="20"/>
            <w:szCs w:val="20"/>
            <w:shd w:val="clear" w:color="auto" w:fill="FFFFFF"/>
          </w:rPr>
          <w:t>https://www.ombudsman.europa.eu/en/news-document/en/143159?utm_source=some_EO&amp;utm_medium=tw_organic&amp;utm_campaign=Frontex_accountability_suggestion</w:t>
        </w:r>
      </w:hyperlink>
      <w:r w:rsidRPr="00097A1B">
        <w:rPr>
          <w:rStyle w:val="Hyperlink"/>
          <w:rFonts w:ascii="Times New Roman" w:hAnsi="Times New Roman" w:cs="Times New Roman"/>
          <w:sz w:val="20"/>
          <w:szCs w:val="20"/>
          <w:shd w:val="clear" w:color="auto" w:fill="FFFFFF"/>
        </w:rPr>
        <w:t xml:space="preserve">. </w:t>
      </w:r>
      <w:r w:rsidRPr="00097A1B">
        <w:rPr>
          <w:rFonts w:ascii="Times New Roman" w:hAnsi="Times New Roman" w:cs="Times New Roman"/>
          <w:sz w:val="20"/>
          <w:szCs w:val="20"/>
        </w:rPr>
        <w:t xml:space="preserve">The Ombudsman inquiry </w:t>
      </w:r>
      <w:r w:rsidRPr="00097A1B">
        <w:rPr>
          <w:rFonts w:ascii="Times New Roman" w:eastAsia="Times New Roman" w:hAnsi="Times New Roman" w:cs="Times New Roman"/>
          <w:color w:val="000000"/>
          <w:sz w:val="20"/>
          <w:szCs w:val="20"/>
          <w:lang w:eastAsia="en-GB"/>
        </w:rPr>
        <w:t xml:space="preserve">showed that the complaints mechanism dealt with a very low number of complaints (22 admissible complaints by January 2021) since it was established in 2016 and none of them concerned the actions of </w:t>
      </w:r>
      <w:proofErr w:type="spellStart"/>
      <w:r w:rsidRPr="00097A1B">
        <w:rPr>
          <w:rFonts w:ascii="Times New Roman" w:eastAsia="Times New Roman" w:hAnsi="Times New Roman" w:cs="Times New Roman"/>
          <w:color w:val="000000"/>
          <w:sz w:val="20"/>
          <w:szCs w:val="20"/>
          <w:lang w:eastAsia="en-GB"/>
        </w:rPr>
        <w:t>Frontex</w:t>
      </w:r>
      <w:proofErr w:type="spellEnd"/>
      <w:r w:rsidRPr="00097A1B">
        <w:rPr>
          <w:rFonts w:ascii="Times New Roman" w:eastAsia="Times New Roman" w:hAnsi="Times New Roman" w:cs="Times New Roman"/>
          <w:color w:val="000000"/>
          <w:sz w:val="20"/>
          <w:szCs w:val="20"/>
          <w:lang w:eastAsia="en-GB"/>
        </w:rPr>
        <w:t xml:space="preserve"> staff members. The concerns of the Ombudsman were shared by the European Parliament Committee on Civil Liberties in its fact</w:t>
      </w:r>
      <w:r w:rsidRPr="00097A1B">
        <w:rPr>
          <w:rFonts w:ascii="Times New Roman" w:hAnsi="Times New Roman" w:cs="Times New Roman"/>
          <w:sz w:val="20"/>
          <w:szCs w:val="20"/>
        </w:rPr>
        <w:t xml:space="preserve">-finding investigation on </w:t>
      </w:r>
      <w:proofErr w:type="spellStart"/>
      <w:r w:rsidRPr="00097A1B">
        <w:rPr>
          <w:rFonts w:ascii="Times New Roman" w:hAnsi="Times New Roman" w:cs="Times New Roman"/>
          <w:sz w:val="20"/>
          <w:szCs w:val="20"/>
        </w:rPr>
        <w:t>Frontex</w:t>
      </w:r>
      <w:proofErr w:type="spellEnd"/>
      <w:r w:rsidRPr="00097A1B">
        <w:rPr>
          <w:rFonts w:ascii="Times New Roman" w:hAnsi="Times New Roman" w:cs="Times New Roman"/>
          <w:sz w:val="20"/>
          <w:szCs w:val="20"/>
        </w:rPr>
        <w:t xml:space="preserve"> concerning alleged fundamental rights violations, (Rapporteur: </w:t>
      </w:r>
      <w:proofErr w:type="spellStart"/>
      <w:r w:rsidRPr="00097A1B">
        <w:rPr>
          <w:rFonts w:ascii="Times New Roman" w:hAnsi="Times New Roman" w:cs="Times New Roman"/>
          <w:sz w:val="20"/>
          <w:szCs w:val="20"/>
        </w:rPr>
        <w:t>Tineke</w:t>
      </w:r>
      <w:proofErr w:type="spellEnd"/>
      <w:r w:rsidRPr="00097A1B">
        <w:rPr>
          <w:rFonts w:ascii="Times New Roman" w:hAnsi="Times New Roman" w:cs="Times New Roman"/>
          <w:sz w:val="20"/>
          <w:szCs w:val="20"/>
        </w:rPr>
        <w:t xml:space="preserve"> </w:t>
      </w:r>
      <w:proofErr w:type="spellStart"/>
      <w:r w:rsidRPr="00097A1B">
        <w:rPr>
          <w:rFonts w:ascii="Times New Roman" w:hAnsi="Times New Roman" w:cs="Times New Roman"/>
          <w:sz w:val="20"/>
          <w:szCs w:val="20"/>
        </w:rPr>
        <w:t>Strik</w:t>
      </w:r>
      <w:proofErr w:type="spellEnd"/>
      <w:r w:rsidRPr="00097A1B">
        <w:rPr>
          <w:rFonts w:ascii="Times New Roman" w:hAnsi="Times New Roman" w:cs="Times New Roman"/>
          <w:sz w:val="20"/>
          <w:szCs w:val="20"/>
        </w:rPr>
        <w:t>, 14.7.2021</w:t>
      </w:r>
      <w:r>
        <w:rPr>
          <w:rFonts w:ascii="Times New Roman" w:hAnsi="Times New Roman" w:cs="Times New Roman"/>
          <w:sz w:val="20"/>
          <w:szCs w:val="20"/>
        </w:rPr>
        <w:t>)</w:t>
      </w:r>
      <w:r w:rsidRPr="00097A1B">
        <w:rPr>
          <w:rFonts w:ascii="Times New Roman" w:hAnsi="Times New Roman" w:cs="Times New Roman"/>
          <w:sz w:val="20"/>
          <w:szCs w:val="20"/>
        </w:rPr>
        <w:t xml:space="preserve">, </w:t>
      </w:r>
      <w:hyperlink r:id="rId22" w:history="1">
        <w:r w:rsidRPr="00097A1B">
          <w:rPr>
            <w:rStyle w:val="Hyperlink"/>
            <w:rFonts w:ascii="Times New Roman" w:hAnsi="Times New Roman" w:cs="Times New Roman"/>
            <w:sz w:val="20"/>
            <w:szCs w:val="20"/>
          </w:rPr>
          <w:t>https://www.europarl.europa.eu/cmsdata/238156/14072021%20Final%20Report%20FSWG_en.pdf</w:t>
        </w:r>
      </w:hyperlink>
      <w:r w:rsidRPr="00097A1B">
        <w:rPr>
          <w:rFonts w:ascii="Times New Roman" w:hAnsi="Times New Roman" w:cs="Times New Roman"/>
          <w:sz w:val="20"/>
          <w:szCs w:val="20"/>
        </w:rPr>
        <w:t xml:space="preserve"> </w:t>
      </w:r>
    </w:p>
    <w:p w:rsidR="001241F6" w:rsidRPr="00097A1B" w:rsidRDefault="001241F6" w:rsidP="001956C2">
      <w:pPr>
        <w:jc w:val="both"/>
        <w:rPr>
          <w:rFonts w:ascii="Times New Roman" w:hAnsi="Times New Roman" w:cs="Times New Roman"/>
          <w:sz w:val="20"/>
          <w:szCs w:val="20"/>
        </w:rPr>
      </w:pPr>
      <w:r w:rsidRPr="00097A1B">
        <w:rPr>
          <w:rFonts w:ascii="Times New Roman" w:hAnsi="Times New Roman" w:cs="Times New Roman"/>
          <w:sz w:val="20"/>
          <w:szCs w:val="20"/>
        </w:rPr>
        <w:t xml:space="preserve">the complaints mechanism currently does not meet the criteria of effectiveness concerning accessibility, institutional independence, and transparency and stressed that timely and adequate follow up by Member States to complaints is essential. </w:t>
      </w:r>
    </w:p>
    <w:p w:rsidR="001241F6" w:rsidRPr="00097A1B" w:rsidRDefault="001241F6" w:rsidP="001956C2">
      <w:pPr>
        <w:pStyle w:val="FootnoteText"/>
        <w:rPr>
          <w:rFonts w:ascii="Times New Roman" w:hAnsi="Times New Roman" w:cs="Times New Roman"/>
          <w:lang w:val="en-GB"/>
        </w:rPr>
      </w:pPr>
    </w:p>
  </w:footnote>
  <w:footnote w:id="57">
    <w:p w:rsidR="001241F6" w:rsidRPr="00097A1B" w:rsidRDefault="001241F6" w:rsidP="001956C2">
      <w:pPr>
        <w:jc w:val="both"/>
        <w:rPr>
          <w:rFonts w:ascii="Times New Roman" w:hAnsi="Times New Roman" w:cs="Times New Roman"/>
          <w:sz w:val="20"/>
          <w:szCs w:val="20"/>
        </w:rPr>
      </w:pPr>
      <w:r w:rsidRPr="00097A1B">
        <w:rPr>
          <w:rStyle w:val="FootnoteReference"/>
          <w:rFonts w:ascii="Times New Roman" w:hAnsi="Times New Roman" w:cs="Times New Roman"/>
          <w:sz w:val="20"/>
          <w:szCs w:val="20"/>
        </w:rPr>
        <w:footnoteRef/>
      </w:r>
      <w:r w:rsidRPr="00097A1B">
        <w:rPr>
          <w:rFonts w:ascii="Times New Roman" w:hAnsi="Times New Roman" w:cs="Times New Roman"/>
          <w:sz w:val="20"/>
          <w:szCs w:val="20"/>
        </w:rPr>
        <w:t xml:space="preserve"> Santos </w:t>
      </w:r>
      <w:proofErr w:type="spellStart"/>
      <w:r w:rsidRPr="00097A1B">
        <w:rPr>
          <w:rFonts w:ascii="Times New Roman" w:hAnsi="Times New Roman" w:cs="Times New Roman"/>
          <w:sz w:val="20"/>
          <w:szCs w:val="20"/>
        </w:rPr>
        <w:t>Vara</w:t>
      </w:r>
      <w:proofErr w:type="spellEnd"/>
      <w:r w:rsidRPr="00097A1B">
        <w:rPr>
          <w:rFonts w:ascii="Times New Roman" w:hAnsi="Times New Roman" w:cs="Times New Roman"/>
          <w:sz w:val="20"/>
          <w:szCs w:val="20"/>
        </w:rPr>
        <w:t xml:space="preserve"> notes that the Complaints mechanism is an administrative procedure that cannot substitute the right to an effective remedy under Article 47 of the Charter of Fundamental Rights and remains an internal oversight that is not impartial or independent (op. cit., 76-77).</w:t>
      </w:r>
    </w:p>
    <w:p w:rsidR="001241F6" w:rsidRPr="00853B7F" w:rsidRDefault="001241F6" w:rsidP="001956C2">
      <w:pPr>
        <w:pStyle w:val="FootnoteText"/>
        <w:rPr>
          <w:rFonts w:ascii="Times New Roman" w:hAnsi="Times New Roman" w:cs="Times New Roman"/>
          <w:lang w:val="en-GB"/>
        </w:rPr>
      </w:pPr>
    </w:p>
  </w:footnote>
  <w:footnote w:id="58">
    <w:p w:rsidR="001241F6" w:rsidRPr="00133C66" w:rsidRDefault="001241F6" w:rsidP="00C04F1D">
      <w:pPr>
        <w:pStyle w:val="NormalWeb"/>
        <w:jc w:val="both"/>
        <w:rPr>
          <w:color w:val="000000"/>
          <w:sz w:val="20"/>
          <w:szCs w:val="20"/>
        </w:rPr>
      </w:pPr>
      <w:r w:rsidRPr="00853B7F">
        <w:rPr>
          <w:rStyle w:val="FootnoteReference"/>
          <w:sz w:val="20"/>
          <w:szCs w:val="20"/>
        </w:rPr>
        <w:footnoteRef/>
      </w:r>
      <w:r w:rsidRPr="00853B7F">
        <w:rPr>
          <w:sz w:val="20"/>
          <w:szCs w:val="20"/>
        </w:rPr>
        <w:t xml:space="preserve"> The </w:t>
      </w:r>
      <w:proofErr w:type="spellStart"/>
      <w:r w:rsidRPr="00853B7F">
        <w:rPr>
          <w:sz w:val="20"/>
          <w:szCs w:val="20"/>
        </w:rPr>
        <w:t>Meijers</w:t>
      </w:r>
      <w:proofErr w:type="spellEnd"/>
      <w:r w:rsidRPr="00853B7F">
        <w:rPr>
          <w:sz w:val="20"/>
          <w:szCs w:val="20"/>
        </w:rPr>
        <w:t xml:space="preserve"> Committee notes with concern that Article 46 leaves the decision on suspensions or terminations almost entirely to the Executive Director with practically no safeguards or accountab</w:t>
      </w:r>
      <w:r>
        <w:rPr>
          <w:sz w:val="20"/>
          <w:szCs w:val="20"/>
        </w:rPr>
        <w:t xml:space="preserve">ility mechanisms in place- </w:t>
      </w:r>
      <w:proofErr w:type="spellStart"/>
      <w:r>
        <w:rPr>
          <w:sz w:val="20"/>
          <w:szCs w:val="20"/>
        </w:rPr>
        <w:t>Meijers</w:t>
      </w:r>
      <w:proofErr w:type="spellEnd"/>
      <w:r>
        <w:rPr>
          <w:sz w:val="20"/>
          <w:szCs w:val="20"/>
        </w:rPr>
        <w:t xml:space="preserve"> Committee, </w:t>
      </w:r>
      <w:proofErr w:type="spellStart"/>
      <w:r>
        <w:rPr>
          <w:i/>
          <w:sz w:val="20"/>
          <w:szCs w:val="20"/>
        </w:rPr>
        <w:t>Frontex</w:t>
      </w:r>
      <w:proofErr w:type="spellEnd"/>
      <w:r>
        <w:rPr>
          <w:i/>
          <w:sz w:val="20"/>
          <w:szCs w:val="20"/>
        </w:rPr>
        <w:t xml:space="preserve"> and Pushbacks: Obligations and </w:t>
      </w:r>
      <w:proofErr w:type="spellStart"/>
      <w:r>
        <w:rPr>
          <w:i/>
          <w:sz w:val="20"/>
          <w:szCs w:val="20"/>
        </w:rPr>
        <w:t>Accoiuntability</w:t>
      </w:r>
      <w:proofErr w:type="spellEnd"/>
      <w:r>
        <w:rPr>
          <w:i/>
          <w:sz w:val="20"/>
          <w:szCs w:val="20"/>
        </w:rPr>
        <w:t xml:space="preserve">, </w:t>
      </w:r>
      <w:r>
        <w:rPr>
          <w:sz w:val="20"/>
          <w:szCs w:val="20"/>
        </w:rPr>
        <w:t xml:space="preserve">CM 2105, April 2021, </w:t>
      </w:r>
      <w:hyperlink r:id="rId23" w:history="1">
        <w:r w:rsidRPr="00FD61DF">
          <w:rPr>
            <w:rStyle w:val="Hyperlink"/>
            <w:sz w:val="20"/>
            <w:szCs w:val="20"/>
          </w:rPr>
          <w:t>https://www.commissie-meijers.nl/wp-content/uploads/2021/09/cm2105_frontex_and_pushbacks.pdf</w:t>
        </w:r>
      </w:hyperlink>
      <w:r>
        <w:rPr>
          <w:sz w:val="20"/>
          <w:szCs w:val="20"/>
        </w:rPr>
        <w:t xml:space="preserve"> </w:t>
      </w:r>
    </w:p>
    <w:p w:rsidR="001241F6" w:rsidRPr="00853B7F" w:rsidRDefault="001241F6" w:rsidP="001956C2">
      <w:pPr>
        <w:pStyle w:val="FootnoteText"/>
        <w:rPr>
          <w:rFonts w:ascii="Times New Roman" w:hAnsi="Times New Roman" w:cs="Times New Roman"/>
          <w:lang w:val="en-GB"/>
        </w:rPr>
      </w:pPr>
    </w:p>
  </w:footnote>
  <w:footnote w:id="59">
    <w:p w:rsidR="001241F6" w:rsidRPr="00E10F89" w:rsidRDefault="001241F6" w:rsidP="00E10F89">
      <w:pPr>
        <w:pStyle w:val="NormalWeb"/>
        <w:jc w:val="both"/>
        <w:rPr>
          <w:b/>
          <w:sz w:val="20"/>
          <w:szCs w:val="20"/>
        </w:rPr>
      </w:pPr>
      <w:r w:rsidRPr="00853B7F">
        <w:rPr>
          <w:rStyle w:val="FootnoteReference"/>
          <w:sz w:val="20"/>
          <w:szCs w:val="20"/>
        </w:rPr>
        <w:footnoteRef/>
      </w:r>
      <w:r w:rsidRPr="00853B7F">
        <w:rPr>
          <w:sz w:val="20"/>
          <w:szCs w:val="20"/>
        </w:rPr>
        <w:t xml:space="preserve"> </w:t>
      </w:r>
      <w:r>
        <w:rPr>
          <w:sz w:val="20"/>
          <w:szCs w:val="20"/>
        </w:rPr>
        <w:t xml:space="preserve">See the LIBE Committee Report (op. cit.) according to which while the </w:t>
      </w:r>
      <w:proofErr w:type="spellStart"/>
      <w:r>
        <w:rPr>
          <w:sz w:val="20"/>
          <w:szCs w:val="20"/>
        </w:rPr>
        <w:t>Frontex</w:t>
      </w:r>
      <w:proofErr w:type="spellEnd"/>
      <w:r>
        <w:rPr>
          <w:sz w:val="20"/>
          <w:szCs w:val="20"/>
        </w:rPr>
        <w:t xml:space="preserve"> Scrutiny Working Group (FSWG) </w:t>
      </w:r>
      <w:r w:rsidRPr="00853B7F">
        <w:rPr>
          <w:sz w:val="20"/>
          <w:szCs w:val="20"/>
        </w:rPr>
        <w:t xml:space="preserve">did not find conclusive evidence on the direct performance of pushbacks and/or collective expulsions by </w:t>
      </w:r>
      <w:proofErr w:type="spellStart"/>
      <w:r w:rsidRPr="00853B7F">
        <w:rPr>
          <w:sz w:val="20"/>
          <w:szCs w:val="20"/>
        </w:rPr>
        <w:t>Frontex</w:t>
      </w:r>
      <w:proofErr w:type="spellEnd"/>
      <w:r w:rsidRPr="00853B7F">
        <w:rPr>
          <w:sz w:val="20"/>
          <w:szCs w:val="20"/>
        </w:rPr>
        <w:t xml:space="preserve"> in the serious incident cases th</w:t>
      </w:r>
      <w:r>
        <w:rPr>
          <w:sz w:val="20"/>
          <w:szCs w:val="20"/>
        </w:rPr>
        <w:t>at could be examined by it, .</w:t>
      </w:r>
      <w:r w:rsidRPr="00853B7F">
        <w:rPr>
          <w:sz w:val="20"/>
          <w:szCs w:val="20"/>
        </w:rPr>
        <w:t xml:space="preserve"> the FSWG concludes that the Agency found evidence in support of allegations of fundamental rights violations in Member States with which it had a joint operation, but failed to address and follow-up on these violations promptly, vigilantly and effectively. As a result, </w:t>
      </w:r>
      <w:proofErr w:type="spellStart"/>
      <w:r w:rsidRPr="00853B7F">
        <w:rPr>
          <w:sz w:val="20"/>
          <w:szCs w:val="20"/>
        </w:rPr>
        <w:t>Frontex</w:t>
      </w:r>
      <w:proofErr w:type="spellEnd"/>
      <w:r w:rsidRPr="00853B7F">
        <w:rPr>
          <w:sz w:val="20"/>
          <w:szCs w:val="20"/>
        </w:rPr>
        <w:t xml:space="preserve"> did not prevent these violations, nor reduced the risk of futur</w:t>
      </w:r>
      <w:r>
        <w:rPr>
          <w:sz w:val="20"/>
          <w:szCs w:val="20"/>
        </w:rPr>
        <w:t xml:space="preserve">e fundamental rights violations. The FSWG further noted its concern </w:t>
      </w:r>
      <w:r w:rsidRPr="00853B7F">
        <w:rPr>
          <w:sz w:val="20"/>
          <w:szCs w:val="20"/>
        </w:rPr>
        <w:t>about the lack of cooperation of the Executive Director to ensure compliance with some of the provisions of the EBCG Regulation, notably on fundamental rights, which led to significant delays in the im</w:t>
      </w:r>
      <w:r>
        <w:rPr>
          <w:sz w:val="20"/>
          <w:szCs w:val="20"/>
        </w:rPr>
        <w:t>plementation of the Regulation.</w:t>
      </w:r>
    </w:p>
    <w:p w:rsidR="001241F6" w:rsidRPr="00853B7F" w:rsidRDefault="001241F6" w:rsidP="001956C2">
      <w:pPr>
        <w:pStyle w:val="FootnoteText"/>
        <w:rPr>
          <w:rFonts w:ascii="Times New Roman" w:hAnsi="Times New Roman" w:cs="Times New Roman"/>
          <w:lang w:val="en-GB"/>
        </w:rPr>
      </w:pPr>
    </w:p>
  </w:footnote>
  <w:footnote w:id="60">
    <w:p w:rsidR="001241F6" w:rsidRPr="00853B7F" w:rsidRDefault="001241F6" w:rsidP="00853B7F">
      <w:pPr>
        <w:jc w:val="both"/>
        <w:rPr>
          <w:rFonts w:ascii="Times New Roman" w:hAnsi="Times New Roman" w:cs="Times New Roman"/>
          <w:color w:val="666666"/>
          <w:sz w:val="20"/>
          <w:szCs w:val="20"/>
          <w:shd w:val="clear" w:color="auto" w:fill="FFFFFF"/>
        </w:rPr>
      </w:pPr>
      <w:r w:rsidRPr="00853B7F">
        <w:rPr>
          <w:rStyle w:val="FootnoteReference"/>
          <w:rFonts w:ascii="Times New Roman" w:hAnsi="Times New Roman" w:cs="Times New Roman"/>
          <w:sz w:val="20"/>
          <w:szCs w:val="20"/>
        </w:rPr>
        <w:footnoteRef/>
      </w:r>
      <w:r w:rsidRPr="00853B7F">
        <w:rPr>
          <w:rFonts w:ascii="Times New Roman" w:hAnsi="Times New Roman" w:cs="Times New Roman"/>
          <w:sz w:val="20"/>
          <w:szCs w:val="20"/>
        </w:rPr>
        <w:t xml:space="preserve"> </w:t>
      </w:r>
      <w:r>
        <w:rPr>
          <w:rFonts w:ascii="Times New Roman" w:hAnsi="Times New Roman" w:cs="Times New Roman"/>
          <w:sz w:val="20"/>
          <w:szCs w:val="20"/>
        </w:rPr>
        <w:t>Fink, op. cit. (Blame-shifting)</w:t>
      </w:r>
      <w:r>
        <w:rPr>
          <w:rStyle w:val="Hyperlink"/>
          <w:rFonts w:ascii="Times New Roman" w:hAnsi="Times New Roman" w:cs="Times New Roman"/>
          <w:sz w:val="20"/>
          <w:szCs w:val="20"/>
          <w:shd w:val="clear" w:color="auto" w:fill="FFFFFF"/>
        </w:rPr>
        <w:t>.</w:t>
      </w:r>
    </w:p>
  </w:footnote>
  <w:footnote w:id="61">
    <w:p w:rsidR="001241F6" w:rsidRPr="00853B7F" w:rsidRDefault="001241F6" w:rsidP="00A56C27">
      <w:pPr>
        <w:pStyle w:val="Heading1"/>
        <w:shd w:val="clear" w:color="auto" w:fill="FFFFFF"/>
        <w:spacing w:line="310" w:lineRule="atLeast"/>
        <w:jc w:val="both"/>
        <w:textAlignment w:val="baseline"/>
        <w:rPr>
          <w:rFonts w:ascii="Times New Roman" w:hAnsi="Times New Roman" w:cs="Times New Roman"/>
          <w:color w:val="333333"/>
          <w:sz w:val="20"/>
          <w:szCs w:val="20"/>
        </w:rPr>
      </w:pPr>
      <w:r w:rsidRPr="00853B7F">
        <w:rPr>
          <w:rStyle w:val="FootnoteReference"/>
          <w:rFonts w:ascii="Times New Roman" w:hAnsi="Times New Roman" w:cs="Times New Roman"/>
          <w:sz w:val="20"/>
          <w:szCs w:val="20"/>
        </w:rPr>
        <w:footnoteRef/>
      </w:r>
      <w:r w:rsidRPr="00853B7F">
        <w:rPr>
          <w:rFonts w:ascii="Times New Roman" w:hAnsi="Times New Roman" w:cs="Times New Roman"/>
          <w:sz w:val="20"/>
          <w:szCs w:val="20"/>
        </w:rPr>
        <w:t xml:space="preserve">J. </w:t>
      </w:r>
      <w:proofErr w:type="spellStart"/>
      <w:r w:rsidRPr="00853B7F">
        <w:rPr>
          <w:rFonts w:ascii="Times New Roman" w:hAnsi="Times New Roman" w:cs="Times New Roman"/>
          <w:sz w:val="20"/>
          <w:szCs w:val="20"/>
        </w:rPr>
        <w:t>Rijpma</w:t>
      </w:r>
      <w:proofErr w:type="spellEnd"/>
      <w:r w:rsidRPr="00853B7F">
        <w:rPr>
          <w:rFonts w:ascii="Times New Roman" w:hAnsi="Times New Roman" w:cs="Times New Roman"/>
          <w:sz w:val="20"/>
          <w:szCs w:val="20"/>
        </w:rPr>
        <w:t xml:space="preserve"> and M. Fink ‘The Management of The European Union’s External Borders’ forthcoming in: P De </w:t>
      </w:r>
      <w:proofErr w:type="spellStart"/>
      <w:r w:rsidRPr="00853B7F">
        <w:rPr>
          <w:rFonts w:ascii="Times New Roman" w:hAnsi="Times New Roman" w:cs="Times New Roman"/>
          <w:sz w:val="20"/>
          <w:szCs w:val="20"/>
        </w:rPr>
        <w:t>Bruycker</w:t>
      </w:r>
      <w:proofErr w:type="spellEnd"/>
      <w:r w:rsidRPr="00853B7F">
        <w:rPr>
          <w:rFonts w:ascii="Times New Roman" w:hAnsi="Times New Roman" w:cs="Times New Roman"/>
          <w:sz w:val="20"/>
          <w:szCs w:val="20"/>
        </w:rPr>
        <w:t xml:space="preserve"> and L </w:t>
      </w:r>
      <w:proofErr w:type="spellStart"/>
      <w:r w:rsidRPr="00853B7F">
        <w:rPr>
          <w:rFonts w:ascii="Times New Roman" w:hAnsi="Times New Roman" w:cs="Times New Roman"/>
          <w:sz w:val="20"/>
          <w:szCs w:val="20"/>
        </w:rPr>
        <w:t>Tsourdi</w:t>
      </w:r>
      <w:proofErr w:type="spellEnd"/>
      <w:r w:rsidRPr="00853B7F">
        <w:rPr>
          <w:rFonts w:ascii="Times New Roman" w:hAnsi="Times New Roman" w:cs="Times New Roman"/>
          <w:sz w:val="20"/>
          <w:szCs w:val="20"/>
        </w:rPr>
        <w:t xml:space="preserve"> (eds) </w:t>
      </w:r>
      <w:r w:rsidRPr="00A56C27">
        <w:rPr>
          <w:rFonts w:ascii="Times New Roman" w:hAnsi="Times New Roman" w:cs="Times New Roman"/>
          <w:i/>
          <w:sz w:val="20"/>
          <w:szCs w:val="20"/>
        </w:rPr>
        <w:t>Research Handbook on EU Asylum and Migration Law</w:t>
      </w:r>
      <w:r w:rsidRPr="00853B7F">
        <w:rPr>
          <w:rFonts w:ascii="Times New Roman" w:hAnsi="Times New Roman" w:cs="Times New Roman"/>
          <w:sz w:val="20"/>
          <w:szCs w:val="20"/>
        </w:rPr>
        <w:t xml:space="preserve"> (Edward Elgar</w:t>
      </w:r>
      <w:r>
        <w:rPr>
          <w:rFonts w:ascii="Times New Roman" w:hAnsi="Times New Roman" w:cs="Times New Roman"/>
          <w:sz w:val="20"/>
          <w:szCs w:val="20"/>
        </w:rPr>
        <w:t xml:space="preserve">, forthcoming </w:t>
      </w:r>
      <w:r w:rsidRPr="00853B7F">
        <w:rPr>
          <w:rFonts w:ascii="Times New Roman" w:hAnsi="Times New Roman" w:cs="Times New Roman"/>
          <w:sz w:val="20"/>
          <w:szCs w:val="20"/>
        </w:rPr>
        <w:t xml:space="preserve">) note that border management involves ‘factual’ conduct- </w:t>
      </w:r>
      <w:r>
        <w:rPr>
          <w:rFonts w:ascii="Times New Roman" w:hAnsi="Times New Roman" w:cs="Times New Roman"/>
          <w:sz w:val="20"/>
          <w:szCs w:val="20"/>
        </w:rPr>
        <w:t>(</w:t>
      </w:r>
      <w:hyperlink r:id="rId24" w:history="1">
        <w:r w:rsidRPr="00FD61DF">
          <w:rPr>
            <w:rStyle w:val="Hyperlink"/>
            <w:rFonts w:ascii="Times New Roman" w:hAnsi="Times New Roman" w:cs="Times New Roman"/>
            <w:sz w:val="20"/>
            <w:szCs w:val="20"/>
          </w:rPr>
          <w:t>https://papers.ssrn.com/sol3/papers.cfm?abstract_id=3737407</w:t>
        </w:r>
      </w:hyperlink>
      <w:r>
        <w:rPr>
          <w:rFonts w:ascii="Times New Roman" w:hAnsi="Times New Roman" w:cs="Times New Roman"/>
          <w:sz w:val="20"/>
          <w:szCs w:val="20"/>
        </w:rPr>
        <w:t xml:space="preserve"> </w:t>
      </w:r>
      <w:r w:rsidRPr="00853B7F">
        <w:rPr>
          <w:rFonts w:ascii="Times New Roman" w:hAnsi="Times New Roman" w:cs="Times New Roman"/>
          <w:sz w:val="20"/>
          <w:szCs w:val="20"/>
        </w:rPr>
        <w:t xml:space="preserve">whereas Bas </w:t>
      </w:r>
      <w:proofErr w:type="spellStart"/>
      <w:r w:rsidRPr="00853B7F">
        <w:rPr>
          <w:rFonts w:ascii="Times New Roman" w:hAnsi="Times New Roman" w:cs="Times New Roman"/>
          <w:sz w:val="20"/>
          <w:szCs w:val="20"/>
        </w:rPr>
        <w:t>Schotel</w:t>
      </w:r>
      <w:proofErr w:type="spellEnd"/>
      <w:r w:rsidRPr="00853B7F">
        <w:rPr>
          <w:rFonts w:ascii="Times New Roman" w:hAnsi="Times New Roman" w:cs="Times New Roman"/>
          <w:sz w:val="20"/>
          <w:szCs w:val="20"/>
        </w:rPr>
        <w:t xml:space="preserve"> points out that </w:t>
      </w:r>
      <w:r>
        <w:rPr>
          <w:rFonts w:ascii="Times New Roman" w:hAnsi="Times New Roman" w:cs="Times New Roman"/>
          <w:color w:val="333333"/>
          <w:sz w:val="20"/>
          <w:szCs w:val="20"/>
          <w:shd w:val="clear" w:color="auto" w:fill="FFFFFF"/>
        </w:rPr>
        <w:t>l</w:t>
      </w:r>
      <w:r w:rsidRPr="00853B7F">
        <w:rPr>
          <w:rFonts w:ascii="Times New Roman" w:hAnsi="Times New Roman" w:cs="Times New Roman"/>
          <w:color w:val="333333"/>
          <w:sz w:val="20"/>
          <w:szCs w:val="20"/>
          <w:shd w:val="clear" w:color="auto" w:fill="FFFFFF"/>
        </w:rPr>
        <w:t xml:space="preserve">egal norms are good at constraining the exercise of legal powers, but are less powerful against the exercise of operational powers- </w:t>
      </w:r>
      <w:r>
        <w:rPr>
          <w:rFonts w:ascii="Times New Roman" w:hAnsi="Times New Roman" w:cs="Times New Roman"/>
          <w:color w:val="333333"/>
          <w:sz w:val="20"/>
          <w:szCs w:val="20"/>
        </w:rPr>
        <w:t xml:space="preserve">B. </w:t>
      </w:r>
      <w:proofErr w:type="spellStart"/>
      <w:r>
        <w:rPr>
          <w:rFonts w:ascii="Times New Roman" w:hAnsi="Times New Roman" w:cs="Times New Roman"/>
          <w:color w:val="333333"/>
          <w:sz w:val="20"/>
          <w:szCs w:val="20"/>
        </w:rPr>
        <w:t>Schotel</w:t>
      </w:r>
      <w:proofErr w:type="spellEnd"/>
      <w:r>
        <w:rPr>
          <w:rFonts w:ascii="Times New Roman" w:hAnsi="Times New Roman" w:cs="Times New Roman"/>
          <w:color w:val="333333"/>
          <w:sz w:val="20"/>
          <w:szCs w:val="20"/>
        </w:rPr>
        <w:t>,</w:t>
      </w:r>
      <w:r w:rsidRPr="00853B7F">
        <w:rPr>
          <w:rFonts w:ascii="Times New Roman" w:hAnsi="Times New Roman" w:cs="Times New Roman"/>
          <w:color w:val="333333"/>
          <w:sz w:val="20"/>
          <w:szCs w:val="20"/>
        </w:rPr>
        <w:t xml:space="preserve"> ‘EU Operational Powers and Legal Protection: A Legal Theory Perspective on the Operational Powers of the Eur</w:t>
      </w:r>
      <w:r>
        <w:rPr>
          <w:rFonts w:ascii="Times New Roman" w:hAnsi="Times New Roman" w:cs="Times New Roman"/>
          <w:color w:val="333333"/>
          <w:sz w:val="20"/>
          <w:szCs w:val="20"/>
        </w:rPr>
        <w:t>opean Border and Coast Guard’ (2021) 22</w:t>
      </w:r>
      <w:r w:rsidRPr="00853B7F">
        <w:rPr>
          <w:rFonts w:ascii="Times New Roman" w:hAnsi="Times New Roman" w:cs="Times New Roman"/>
          <w:color w:val="333333"/>
          <w:sz w:val="20"/>
          <w:szCs w:val="20"/>
        </w:rPr>
        <w:t xml:space="preserve"> </w:t>
      </w:r>
      <w:r w:rsidRPr="00A56C27">
        <w:rPr>
          <w:rFonts w:ascii="Times New Roman" w:hAnsi="Times New Roman" w:cs="Times New Roman"/>
          <w:i/>
          <w:color w:val="333333"/>
          <w:sz w:val="20"/>
          <w:szCs w:val="20"/>
        </w:rPr>
        <w:t>German Law Journal</w:t>
      </w:r>
      <w:r>
        <w:rPr>
          <w:rFonts w:ascii="Times New Roman" w:hAnsi="Times New Roman" w:cs="Times New Roman"/>
          <w:color w:val="333333"/>
          <w:sz w:val="20"/>
          <w:szCs w:val="20"/>
        </w:rPr>
        <w:t xml:space="preserve"> 625.</w:t>
      </w:r>
      <w:r w:rsidRPr="00853B7F">
        <w:rPr>
          <w:rFonts w:ascii="Times New Roman" w:hAnsi="Times New Roman" w:cs="Times New Roman"/>
          <w:color w:val="333333"/>
          <w:sz w:val="20"/>
          <w:szCs w:val="20"/>
        </w:rPr>
        <w:t xml:space="preserve"> </w:t>
      </w:r>
    </w:p>
    <w:p w:rsidR="001241F6" w:rsidRPr="00853B7F" w:rsidRDefault="001241F6" w:rsidP="001956C2">
      <w:pPr>
        <w:jc w:val="both"/>
        <w:rPr>
          <w:rFonts w:ascii="Times New Roman" w:hAnsi="Times New Roman" w:cs="Times New Roman"/>
          <w:sz w:val="20"/>
          <w:szCs w:val="20"/>
        </w:rPr>
      </w:pPr>
    </w:p>
    <w:p w:rsidR="001241F6" w:rsidRPr="00853B7F" w:rsidRDefault="001241F6" w:rsidP="001956C2">
      <w:pPr>
        <w:pStyle w:val="FootnoteText"/>
        <w:rPr>
          <w:rFonts w:ascii="Times New Roman" w:hAnsi="Times New Roman" w:cs="Times New Roman"/>
          <w:lang w:val="en-GB"/>
        </w:rPr>
      </w:pPr>
    </w:p>
  </w:footnote>
  <w:footnote w:id="62">
    <w:p w:rsidR="001241F6" w:rsidRPr="00853B7F" w:rsidRDefault="001241F6" w:rsidP="001956C2">
      <w:pPr>
        <w:spacing w:line="276" w:lineRule="auto"/>
        <w:jc w:val="both"/>
        <w:rPr>
          <w:rFonts w:ascii="Times New Roman" w:hAnsi="Times New Roman" w:cs="Times New Roman"/>
          <w:sz w:val="20"/>
          <w:szCs w:val="20"/>
        </w:rPr>
      </w:pPr>
      <w:r w:rsidRPr="00853B7F">
        <w:rPr>
          <w:rStyle w:val="FootnoteReference"/>
          <w:rFonts w:ascii="Times New Roman" w:hAnsi="Times New Roman" w:cs="Times New Roman"/>
          <w:sz w:val="20"/>
          <w:szCs w:val="20"/>
        </w:rPr>
        <w:footnoteRef/>
      </w:r>
      <w:r w:rsidRPr="00853B7F">
        <w:rPr>
          <w:rFonts w:ascii="Times New Roman" w:hAnsi="Times New Roman" w:cs="Times New Roman"/>
          <w:sz w:val="20"/>
          <w:szCs w:val="20"/>
        </w:rPr>
        <w:t xml:space="preserve"> V. Mitsilegas ‘European Prosecution Between Cooperation and Integration: The European Public Prosecutor’</w:t>
      </w:r>
      <w:r>
        <w:rPr>
          <w:rFonts w:ascii="Times New Roman" w:hAnsi="Times New Roman" w:cs="Times New Roman"/>
          <w:sz w:val="20"/>
          <w:szCs w:val="20"/>
        </w:rPr>
        <w:t>s Office and the Rule of Law’ (2021) 28</w:t>
      </w:r>
      <w:r w:rsidRPr="00853B7F">
        <w:rPr>
          <w:rFonts w:ascii="Times New Roman" w:hAnsi="Times New Roman" w:cs="Times New Roman"/>
          <w:sz w:val="20"/>
          <w:szCs w:val="20"/>
        </w:rPr>
        <w:t xml:space="preserve"> </w:t>
      </w:r>
      <w:r w:rsidRPr="00853B7F">
        <w:rPr>
          <w:rFonts w:ascii="Times New Roman" w:hAnsi="Times New Roman" w:cs="Times New Roman"/>
          <w:i/>
          <w:sz w:val="20"/>
          <w:szCs w:val="20"/>
        </w:rPr>
        <w:t>Maastricht Journal of European and Comparative Law</w:t>
      </w:r>
      <w:r w:rsidRPr="00853B7F">
        <w:rPr>
          <w:rFonts w:ascii="Times New Roman" w:hAnsi="Times New Roman" w:cs="Times New Roman"/>
          <w:sz w:val="20"/>
          <w:szCs w:val="20"/>
        </w:rPr>
        <w:t xml:space="preserve">, </w:t>
      </w:r>
      <w:r>
        <w:rPr>
          <w:rFonts w:ascii="Times New Roman" w:hAnsi="Times New Roman" w:cs="Times New Roman"/>
          <w:sz w:val="20"/>
          <w:szCs w:val="20"/>
        </w:rPr>
        <w:t>245</w:t>
      </w:r>
      <w:r w:rsidRPr="00853B7F">
        <w:rPr>
          <w:rFonts w:ascii="Times New Roman" w:hAnsi="Times New Roman" w:cs="Times New Roman"/>
          <w:sz w:val="20"/>
          <w:szCs w:val="20"/>
        </w:rPr>
        <w:t>.</w:t>
      </w:r>
    </w:p>
    <w:p w:rsidR="001241F6" w:rsidRPr="008A18FB" w:rsidRDefault="001241F6" w:rsidP="001956C2">
      <w:pPr>
        <w:pStyle w:val="FootnoteText"/>
        <w:rPr>
          <w:lang w:val="en-GB"/>
        </w:rPr>
      </w:pPr>
    </w:p>
  </w:footnote>
  <w:footnote w:id="63">
    <w:p w:rsidR="001241F6" w:rsidRPr="00B763F3" w:rsidRDefault="001241F6" w:rsidP="001956C2">
      <w:pPr>
        <w:pStyle w:val="NormalWeb"/>
        <w:jc w:val="both"/>
        <w:rPr>
          <w:color w:val="000000"/>
          <w:sz w:val="20"/>
          <w:szCs w:val="20"/>
        </w:rPr>
      </w:pPr>
      <w:r w:rsidRPr="00B763F3">
        <w:rPr>
          <w:rStyle w:val="FootnoteReference"/>
          <w:sz w:val="20"/>
          <w:szCs w:val="20"/>
        </w:rPr>
        <w:footnoteRef/>
      </w:r>
      <w:r w:rsidRPr="00B763F3">
        <w:rPr>
          <w:sz w:val="20"/>
          <w:szCs w:val="20"/>
        </w:rPr>
        <w:t xml:space="preserve"> See the pending case T-282/21</w:t>
      </w:r>
      <w:r w:rsidRPr="00B763F3">
        <w:rPr>
          <w:bCs/>
          <w:color w:val="000000"/>
          <w:sz w:val="20"/>
          <w:szCs w:val="20"/>
        </w:rPr>
        <w:t xml:space="preserve">SS and ST v </w:t>
      </w:r>
      <w:proofErr w:type="spellStart"/>
      <w:r w:rsidRPr="00B763F3">
        <w:rPr>
          <w:bCs/>
          <w:color w:val="000000"/>
          <w:sz w:val="20"/>
          <w:szCs w:val="20"/>
        </w:rPr>
        <w:t>Frontex</w:t>
      </w:r>
      <w:proofErr w:type="spellEnd"/>
      <w:r w:rsidRPr="00B763F3">
        <w:rPr>
          <w:bCs/>
          <w:color w:val="000000"/>
          <w:sz w:val="20"/>
          <w:szCs w:val="20"/>
        </w:rPr>
        <w:t xml:space="preserve"> where applicants have used the failure to act avenue (Article 265 TFEU)  </w:t>
      </w:r>
      <w:r w:rsidRPr="00B763F3">
        <w:rPr>
          <w:color w:val="000000"/>
          <w:sz w:val="20"/>
          <w:szCs w:val="20"/>
        </w:rPr>
        <w:t xml:space="preserve">alleging: the existence of serious or persisting violations of fundamental rights and international protection obligations in the Aegean Sea Region, related to the activities of </w:t>
      </w:r>
      <w:proofErr w:type="spellStart"/>
      <w:r w:rsidRPr="00B763F3">
        <w:rPr>
          <w:color w:val="000000"/>
          <w:sz w:val="20"/>
          <w:szCs w:val="20"/>
        </w:rPr>
        <w:t>Frontex</w:t>
      </w:r>
      <w:proofErr w:type="spellEnd"/>
      <w:r w:rsidRPr="00B763F3">
        <w:rPr>
          <w:color w:val="000000"/>
          <w:sz w:val="20"/>
          <w:szCs w:val="20"/>
        </w:rPr>
        <w:t xml:space="preserve">, following which the Executive Director was obliged to suspend or terminate the said activities within the meaning of Article 46 of the </w:t>
      </w:r>
      <w:proofErr w:type="spellStart"/>
      <w:r w:rsidRPr="00B763F3">
        <w:rPr>
          <w:color w:val="000000"/>
          <w:sz w:val="20"/>
          <w:szCs w:val="20"/>
        </w:rPr>
        <w:t>Frontex</w:t>
      </w:r>
      <w:proofErr w:type="spellEnd"/>
      <w:r w:rsidRPr="00B763F3">
        <w:rPr>
          <w:color w:val="000000"/>
          <w:sz w:val="20"/>
          <w:szCs w:val="20"/>
        </w:rPr>
        <w:t xml:space="preserve"> Regulation; that </w:t>
      </w:r>
      <w:proofErr w:type="spellStart"/>
      <w:r w:rsidRPr="00B763F3">
        <w:rPr>
          <w:color w:val="000000"/>
          <w:sz w:val="20"/>
          <w:szCs w:val="20"/>
        </w:rPr>
        <w:t>Frontex</w:t>
      </w:r>
      <w:proofErr w:type="spellEnd"/>
      <w:r w:rsidRPr="00B763F3">
        <w:rPr>
          <w:color w:val="000000"/>
          <w:sz w:val="20"/>
          <w:szCs w:val="20"/>
        </w:rPr>
        <w:t xml:space="preserve"> has failed to fulfil its positive obligations under the Charter of Fundamental Rights with respect to preventing foreseeable violations of the above-mentioned fundamental rights; that the failure of the Agency to act concerns the applicants directly and individually; and that the continued failure of </w:t>
      </w:r>
      <w:proofErr w:type="spellStart"/>
      <w:r w:rsidRPr="00B763F3">
        <w:rPr>
          <w:color w:val="000000"/>
          <w:sz w:val="20"/>
          <w:szCs w:val="20"/>
        </w:rPr>
        <w:t>Frontex</w:t>
      </w:r>
      <w:proofErr w:type="spellEnd"/>
      <w:r w:rsidRPr="00B763F3">
        <w:rPr>
          <w:color w:val="000000"/>
          <w:sz w:val="20"/>
          <w:szCs w:val="20"/>
        </w:rPr>
        <w:t xml:space="preserve"> to take appropriate measures in order to prevent fundamental rights violations  significantly increases the risk of the applicants to be subjected again to the very same infringements of the Treaties, as well as of international and European customary and treaty law.</w:t>
      </w:r>
    </w:p>
    <w:p w:rsidR="001241F6" w:rsidRPr="00FE3A9E" w:rsidRDefault="001241F6" w:rsidP="001956C2">
      <w:pPr>
        <w:pStyle w:val="NormalWeb"/>
        <w:jc w:val="both"/>
        <w:rPr>
          <w:color w:val="000000"/>
          <w:sz w:val="20"/>
          <w:szCs w:val="20"/>
        </w:rPr>
      </w:pPr>
    </w:p>
    <w:p w:rsidR="001241F6" w:rsidRPr="00FE3A9E" w:rsidRDefault="001241F6" w:rsidP="001956C2">
      <w:pPr>
        <w:pStyle w:val="FootnoteText"/>
        <w:rPr>
          <w:rFonts w:ascii="Times New Roman" w:hAnsi="Times New Roman" w:cs="Times New Roman"/>
          <w:lang w:val="en-GB"/>
        </w:rPr>
      </w:pPr>
    </w:p>
  </w:footnote>
  <w:footnote w:id="64">
    <w:p w:rsidR="001241F6" w:rsidRPr="00FE3A9E" w:rsidRDefault="001241F6" w:rsidP="001956C2">
      <w:pPr>
        <w:jc w:val="both"/>
        <w:rPr>
          <w:rFonts w:ascii="Times New Roman" w:hAnsi="Times New Roman" w:cs="Times New Roman"/>
          <w:color w:val="333333"/>
          <w:sz w:val="20"/>
          <w:szCs w:val="20"/>
          <w:shd w:val="clear" w:color="auto" w:fill="FFFFFF"/>
        </w:rPr>
      </w:pPr>
      <w:r w:rsidRPr="00FE3A9E">
        <w:rPr>
          <w:rStyle w:val="FootnoteReference"/>
          <w:rFonts w:ascii="Times New Roman" w:hAnsi="Times New Roman" w:cs="Times New Roman"/>
          <w:sz w:val="20"/>
          <w:szCs w:val="20"/>
        </w:rPr>
        <w:footnoteRef/>
      </w:r>
      <w:r>
        <w:rPr>
          <w:rFonts w:ascii="Times New Roman" w:hAnsi="Times New Roman" w:cs="Times New Roman"/>
          <w:i/>
          <w:sz w:val="20"/>
          <w:szCs w:val="20"/>
        </w:rPr>
        <w:t xml:space="preserve"> </w:t>
      </w:r>
      <w:proofErr w:type="spellStart"/>
      <w:r>
        <w:rPr>
          <w:rFonts w:ascii="Times New Roman" w:hAnsi="Times New Roman" w:cs="Times New Roman"/>
          <w:sz w:val="20"/>
          <w:szCs w:val="20"/>
        </w:rPr>
        <w:t>E.Guild</w:t>
      </w:r>
      <w:proofErr w:type="spellEnd"/>
      <w:r>
        <w:rPr>
          <w:rFonts w:ascii="Times New Roman" w:hAnsi="Times New Roman" w:cs="Times New Roman"/>
          <w:sz w:val="20"/>
          <w:szCs w:val="20"/>
        </w:rPr>
        <w:t xml:space="preserve">, </w:t>
      </w:r>
      <w:r w:rsidRPr="00FE3A9E">
        <w:rPr>
          <w:rFonts w:ascii="Times New Roman" w:hAnsi="Times New Roman" w:cs="Times New Roman"/>
          <w:i/>
          <w:sz w:val="20"/>
          <w:szCs w:val="20"/>
        </w:rPr>
        <w:t xml:space="preserve">The </w:t>
      </w:r>
      <w:proofErr w:type="spellStart"/>
      <w:r w:rsidRPr="00FE3A9E">
        <w:rPr>
          <w:rFonts w:ascii="Times New Roman" w:hAnsi="Times New Roman" w:cs="Times New Roman"/>
          <w:i/>
          <w:sz w:val="20"/>
          <w:szCs w:val="20"/>
        </w:rPr>
        <w:t>Frontex</w:t>
      </w:r>
      <w:proofErr w:type="spellEnd"/>
      <w:r w:rsidRPr="00FE3A9E">
        <w:rPr>
          <w:rFonts w:ascii="Times New Roman" w:hAnsi="Times New Roman" w:cs="Times New Roman"/>
          <w:i/>
          <w:sz w:val="20"/>
          <w:szCs w:val="20"/>
        </w:rPr>
        <w:t xml:space="preserve"> Pushback Controversy: Lessons on Oversight (Part II), </w:t>
      </w:r>
      <w:r w:rsidRPr="00FE3A9E">
        <w:rPr>
          <w:rFonts w:ascii="Times New Roman" w:hAnsi="Times New Roman" w:cs="Times New Roman"/>
          <w:sz w:val="20"/>
          <w:szCs w:val="20"/>
        </w:rPr>
        <w:t>22.4.2021,</w:t>
      </w:r>
      <w:hyperlink r:id="rId25" w:history="1">
        <w:r w:rsidRPr="00FE3A9E">
          <w:rPr>
            <w:rStyle w:val="Hyperlink"/>
            <w:rFonts w:ascii="Times New Roman" w:hAnsi="Times New Roman" w:cs="Times New Roman"/>
            <w:b/>
            <w:sz w:val="20"/>
            <w:szCs w:val="20"/>
            <w:shd w:val="clear" w:color="auto" w:fill="FFFFFF"/>
          </w:rPr>
          <w:t>https://eumigrationlawblog.eu/the-frontex-push-back-controversy-what-oversight-for-frontex-part-ii/</w:t>
        </w:r>
      </w:hyperlink>
      <w:r w:rsidRPr="00FE3A9E">
        <w:rPr>
          <w:rStyle w:val="Hyperlink"/>
          <w:rFonts w:ascii="Times New Roman" w:hAnsi="Times New Roman" w:cs="Times New Roman"/>
          <w:b/>
          <w:sz w:val="20"/>
          <w:szCs w:val="20"/>
          <w:shd w:val="clear" w:color="auto" w:fill="FFFFFF"/>
        </w:rPr>
        <w:t xml:space="preserve">. </w:t>
      </w:r>
      <w:r w:rsidRPr="00FE3A9E">
        <w:rPr>
          <w:rFonts w:ascii="Times New Roman" w:hAnsi="Times New Roman" w:cs="Times New Roman"/>
          <w:color w:val="333333"/>
          <w:sz w:val="20"/>
          <w:szCs w:val="20"/>
          <w:shd w:val="clear" w:color="auto" w:fill="FFFFFF"/>
        </w:rPr>
        <w:t xml:space="preserve"> </w:t>
      </w:r>
      <w:r w:rsidRPr="00FE3A9E">
        <w:rPr>
          <w:rFonts w:ascii="Times New Roman" w:hAnsi="Times New Roman" w:cs="Times New Roman"/>
          <w:color w:val="333333"/>
          <w:sz w:val="19"/>
          <w:szCs w:val="19"/>
          <w:bdr w:val="none" w:sz="0" w:space="0" w:color="auto" w:frame="1"/>
          <w:shd w:val="clear" w:color="auto" w:fill="FFFFFF"/>
        </w:rPr>
        <w:t>Guild notes that between internal review mechanisms and supranational courts, there is a need for more and better independent mechanisms to determine disputed facts.</w:t>
      </w:r>
    </w:p>
    <w:p w:rsidR="001241F6" w:rsidRPr="00AD35FC" w:rsidRDefault="001241F6" w:rsidP="001956C2">
      <w:pPr>
        <w:pStyle w:val="FootnoteText"/>
        <w:rPr>
          <w:lang w:val="en-GB"/>
        </w:rPr>
      </w:pPr>
    </w:p>
  </w:footnote>
  <w:footnote w:id="65">
    <w:p w:rsidR="001241F6" w:rsidRPr="00FE3A9E" w:rsidRDefault="001241F6" w:rsidP="001956C2">
      <w:pPr>
        <w:pStyle w:val="xgmail-msonospacing"/>
        <w:shd w:val="clear" w:color="auto" w:fill="FFFFFF"/>
        <w:spacing w:before="0" w:after="0"/>
        <w:rPr>
          <w:sz w:val="20"/>
          <w:szCs w:val="20"/>
        </w:rPr>
      </w:pPr>
      <w:r w:rsidRPr="00FE3A9E">
        <w:rPr>
          <w:rStyle w:val="FootnoteReference"/>
          <w:sz w:val="20"/>
          <w:szCs w:val="20"/>
        </w:rPr>
        <w:footnoteRef/>
      </w:r>
      <w:r w:rsidRPr="00FE3A9E">
        <w:rPr>
          <w:sz w:val="20"/>
          <w:szCs w:val="20"/>
        </w:rPr>
        <w:t xml:space="preserve"> European Council meeting (21 and 22 October 2021) – Conclusions, Brussels, 22 October 2021 (OR. </w:t>
      </w:r>
      <w:proofErr w:type="spellStart"/>
      <w:r w:rsidRPr="00FE3A9E">
        <w:rPr>
          <w:sz w:val="20"/>
          <w:szCs w:val="20"/>
        </w:rPr>
        <w:t>en</w:t>
      </w:r>
      <w:proofErr w:type="spellEnd"/>
      <w:r w:rsidRPr="00FE3A9E">
        <w:rPr>
          <w:sz w:val="20"/>
          <w:szCs w:val="20"/>
        </w:rPr>
        <w:t xml:space="preserve">) EUCO 17/21, </w:t>
      </w:r>
      <w:hyperlink r:id="rId26" w:history="1">
        <w:r w:rsidRPr="00FE3A9E">
          <w:rPr>
            <w:rStyle w:val="Hyperlink"/>
            <w:sz w:val="20"/>
            <w:szCs w:val="20"/>
          </w:rPr>
          <w:t>https://www.consilium.europa.eu/media/52622/20211022-euco-conclusions-en.pdf</w:t>
        </w:r>
      </w:hyperlink>
      <w:r w:rsidRPr="00FE3A9E">
        <w:rPr>
          <w:rStyle w:val="Hyperlink"/>
          <w:sz w:val="20"/>
          <w:szCs w:val="20"/>
        </w:rPr>
        <w:t xml:space="preserve">, </w:t>
      </w:r>
      <w:r w:rsidRPr="00FE3A9E">
        <w:rPr>
          <w:rStyle w:val="Hyperlink"/>
          <w:sz w:val="20"/>
          <w:szCs w:val="20"/>
          <w:u w:val="none"/>
        </w:rPr>
        <w:t>para. 19.</w:t>
      </w:r>
    </w:p>
    <w:p w:rsidR="001241F6" w:rsidRPr="00FE3A9E" w:rsidRDefault="001241F6" w:rsidP="001956C2">
      <w:pPr>
        <w:pStyle w:val="FootnoteText"/>
        <w:rPr>
          <w:rFonts w:ascii="Times New Roman" w:hAnsi="Times New Roman" w:cs="Times New Roman"/>
          <w:lang w:val="en-GB"/>
        </w:rPr>
      </w:pPr>
    </w:p>
  </w:footnote>
  <w:footnote w:id="66">
    <w:p w:rsidR="001241F6" w:rsidRPr="00FE3A9E" w:rsidRDefault="001241F6" w:rsidP="001956C2">
      <w:pPr>
        <w:pStyle w:val="FootnoteText"/>
        <w:rPr>
          <w:rFonts w:ascii="Times New Roman" w:hAnsi="Times New Roman" w:cs="Times New Roman"/>
          <w:lang w:val="en-GB"/>
        </w:rPr>
      </w:pPr>
      <w:r w:rsidRPr="00FE3A9E">
        <w:rPr>
          <w:rStyle w:val="FootnoteReference"/>
          <w:rFonts w:ascii="Times New Roman" w:hAnsi="Times New Roman" w:cs="Times New Roman"/>
        </w:rPr>
        <w:footnoteRef/>
      </w:r>
      <w:r w:rsidRPr="00FE3A9E">
        <w:rPr>
          <w:rFonts w:ascii="Times New Roman" w:hAnsi="Times New Roman" w:cs="Times New Roman"/>
          <w:lang w:val="en-GB"/>
        </w:rPr>
        <w:t xml:space="preserve"> European Council Conclusions, op. cit., para. 20.</w:t>
      </w:r>
    </w:p>
  </w:footnote>
  <w:footnote w:id="67">
    <w:p w:rsidR="001241F6" w:rsidRPr="00FE3A9E" w:rsidRDefault="001241F6" w:rsidP="001956C2">
      <w:pPr>
        <w:pStyle w:val="xgmail-msonospacing"/>
        <w:shd w:val="clear" w:color="auto" w:fill="FFFFFF"/>
        <w:spacing w:before="0" w:after="0"/>
        <w:rPr>
          <w:sz w:val="20"/>
          <w:szCs w:val="20"/>
        </w:rPr>
      </w:pPr>
      <w:r w:rsidRPr="00FE3A9E">
        <w:rPr>
          <w:rStyle w:val="FootnoteReference"/>
          <w:sz w:val="20"/>
          <w:szCs w:val="20"/>
        </w:rPr>
        <w:footnoteRef/>
      </w:r>
      <w:r w:rsidRPr="00FE3A9E">
        <w:rPr>
          <w:sz w:val="20"/>
          <w:szCs w:val="20"/>
        </w:rPr>
        <w:t xml:space="preserve"> </w:t>
      </w:r>
      <w:r w:rsidRPr="00FE3A9E">
        <w:rPr>
          <w:bCs/>
          <w:color w:val="333333"/>
          <w:sz w:val="20"/>
          <w:szCs w:val="20"/>
        </w:rPr>
        <w:t xml:space="preserve">Proposal for a Council Decision on provisional emergency measures for the benefit of Latvia, Lithuania and Poland, </w:t>
      </w:r>
      <w:r w:rsidRPr="00FE3A9E">
        <w:rPr>
          <w:color w:val="000000"/>
          <w:sz w:val="20"/>
          <w:szCs w:val="20"/>
        </w:rPr>
        <w:t>COM (2021) 752 final, Brussels, 1.12.2021.</w:t>
      </w:r>
    </w:p>
    <w:p w:rsidR="001241F6" w:rsidRPr="00513E75" w:rsidRDefault="001241F6" w:rsidP="001956C2">
      <w:pPr>
        <w:pStyle w:val="FootnoteText"/>
        <w:rPr>
          <w:lang w:val="en-GB"/>
        </w:rPr>
      </w:pPr>
    </w:p>
  </w:footnote>
  <w:footnote w:id="68">
    <w:p w:rsidR="001241F6" w:rsidRPr="00F14574" w:rsidRDefault="001241F6" w:rsidP="001956C2">
      <w:pPr>
        <w:pStyle w:val="xgmail-msonospacing"/>
        <w:shd w:val="clear" w:color="auto" w:fill="FFFFFF"/>
        <w:spacing w:before="0" w:after="0"/>
        <w:rPr>
          <w:sz w:val="20"/>
          <w:szCs w:val="20"/>
        </w:rPr>
      </w:pPr>
      <w:r w:rsidRPr="00F14574">
        <w:rPr>
          <w:rStyle w:val="FootnoteReference"/>
          <w:sz w:val="20"/>
          <w:szCs w:val="20"/>
        </w:rPr>
        <w:footnoteRef/>
      </w:r>
      <w:r w:rsidRPr="00F14574">
        <w:rPr>
          <w:sz w:val="20"/>
          <w:szCs w:val="20"/>
        </w:rPr>
        <w:t xml:space="preserve"> Proposal for a Regulation addressing situations of </w:t>
      </w:r>
      <w:proofErr w:type="spellStart"/>
      <w:r w:rsidRPr="00F14574">
        <w:rPr>
          <w:sz w:val="20"/>
          <w:szCs w:val="20"/>
        </w:rPr>
        <w:t>instrumentalisation</w:t>
      </w:r>
      <w:proofErr w:type="spellEnd"/>
      <w:r w:rsidRPr="00F14574">
        <w:rPr>
          <w:sz w:val="20"/>
          <w:szCs w:val="20"/>
        </w:rPr>
        <w:t xml:space="preserve"> in the field of migration and asylum, COM(2021) 890 final, Strasbourg, 14.12.2021</w:t>
      </w:r>
    </w:p>
    <w:p w:rsidR="001241F6" w:rsidRPr="00F14574" w:rsidRDefault="001241F6" w:rsidP="001956C2">
      <w:pPr>
        <w:pStyle w:val="FootnoteText"/>
        <w:rPr>
          <w:rFonts w:ascii="Times New Roman" w:hAnsi="Times New Roman" w:cs="Times New Roman"/>
          <w:lang w:val="en-GB"/>
        </w:rPr>
      </w:pPr>
    </w:p>
  </w:footnote>
  <w:footnote w:id="69">
    <w:p w:rsidR="001241F6" w:rsidRPr="00F14574" w:rsidRDefault="001241F6" w:rsidP="001956C2">
      <w:pPr>
        <w:pStyle w:val="emission"/>
        <w:shd w:val="clear" w:color="auto" w:fill="FFFFFF"/>
        <w:spacing w:before="0" w:beforeAutospacing="0" w:after="0" w:afterAutospacing="0"/>
        <w:jc w:val="both"/>
        <w:textAlignment w:val="baseline"/>
        <w:rPr>
          <w:color w:val="000000"/>
          <w:sz w:val="20"/>
          <w:szCs w:val="20"/>
        </w:rPr>
      </w:pPr>
      <w:r w:rsidRPr="00F14574">
        <w:rPr>
          <w:rStyle w:val="FootnoteReference"/>
          <w:sz w:val="20"/>
          <w:szCs w:val="20"/>
        </w:rPr>
        <w:footnoteRef/>
      </w:r>
      <w:r w:rsidRPr="00F14574">
        <w:rPr>
          <w:sz w:val="20"/>
          <w:szCs w:val="20"/>
        </w:rPr>
        <w:t xml:space="preserve"> </w:t>
      </w:r>
      <w:r w:rsidRPr="00F14574">
        <w:rPr>
          <w:color w:val="000000"/>
          <w:sz w:val="20"/>
          <w:szCs w:val="20"/>
        </w:rPr>
        <w:t>COM(2021) 891 final, Strasbourg, 14.12.2021</w:t>
      </w:r>
    </w:p>
    <w:p w:rsidR="001241F6" w:rsidRPr="00F14574" w:rsidRDefault="001241F6" w:rsidP="001956C2">
      <w:pPr>
        <w:pStyle w:val="rfrenceinstitutionnelle"/>
        <w:shd w:val="clear" w:color="auto" w:fill="FFFFFF"/>
        <w:spacing w:before="0" w:beforeAutospacing="0" w:after="0" w:afterAutospacing="0"/>
        <w:jc w:val="both"/>
        <w:textAlignment w:val="baseline"/>
        <w:rPr>
          <w:color w:val="000000"/>
        </w:rPr>
      </w:pPr>
    </w:p>
    <w:p w:rsidR="001241F6" w:rsidRPr="00F14574" w:rsidRDefault="001241F6" w:rsidP="001956C2">
      <w:pPr>
        <w:pStyle w:val="FootnoteText"/>
        <w:rPr>
          <w:rFonts w:ascii="Times New Roman" w:hAnsi="Times New Roman" w:cs="Times New Roman"/>
          <w:lang w:val="en-GB"/>
        </w:rPr>
      </w:pPr>
    </w:p>
  </w:footnote>
  <w:footnote w:id="70">
    <w:p w:rsidR="001241F6" w:rsidRPr="00F14574" w:rsidRDefault="001241F6" w:rsidP="001956C2">
      <w:pPr>
        <w:pStyle w:val="FootnoteText"/>
        <w:rPr>
          <w:rFonts w:ascii="Times New Roman" w:hAnsi="Times New Roman" w:cs="Times New Roman"/>
          <w:lang w:val="en-GB"/>
        </w:rPr>
      </w:pPr>
      <w:r w:rsidRPr="00F14574">
        <w:rPr>
          <w:rStyle w:val="FootnoteReference"/>
          <w:rFonts w:ascii="Times New Roman" w:hAnsi="Times New Roman" w:cs="Times New Roman"/>
        </w:rPr>
        <w:footnoteRef/>
      </w:r>
      <w:r w:rsidRPr="00F14574">
        <w:rPr>
          <w:rFonts w:ascii="Times New Roman" w:hAnsi="Times New Roman" w:cs="Times New Roman"/>
          <w:lang w:val="en-GB"/>
        </w:rPr>
        <w:t xml:space="preserve"> New Art 2(27) to the Schengen Borders Code.</w:t>
      </w:r>
    </w:p>
  </w:footnote>
  <w:footnote w:id="71">
    <w:p w:rsidR="001241F6" w:rsidRPr="00F14574" w:rsidRDefault="001241F6" w:rsidP="001956C2">
      <w:pPr>
        <w:pStyle w:val="FootnoteText"/>
        <w:rPr>
          <w:rFonts w:ascii="Times New Roman" w:hAnsi="Times New Roman" w:cs="Times New Roman"/>
          <w:lang w:val="en-GB"/>
        </w:rPr>
      </w:pPr>
      <w:r w:rsidRPr="00F14574">
        <w:rPr>
          <w:rStyle w:val="FootnoteReference"/>
          <w:rFonts w:ascii="Times New Roman" w:hAnsi="Times New Roman" w:cs="Times New Roman"/>
        </w:rPr>
        <w:footnoteRef/>
      </w:r>
      <w:r w:rsidRPr="00F14574">
        <w:rPr>
          <w:rFonts w:ascii="Times New Roman" w:hAnsi="Times New Roman" w:cs="Times New Roman"/>
          <w:lang w:val="en-GB"/>
        </w:rPr>
        <w:t xml:space="preserve"> </w:t>
      </w:r>
      <w:proofErr w:type="spellStart"/>
      <w:r w:rsidRPr="00F14574">
        <w:rPr>
          <w:rFonts w:ascii="Times New Roman" w:hAnsi="Times New Roman" w:cs="Times New Roman"/>
          <w:lang w:val="en-GB"/>
        </w:rPr>
        <w:t>Instrumentalisation</w:t>
      </w:r>
      <w:proofErr w:type="spellEnd"/>
      <w:r w:rsidRPr="00F14574">
        <w:rPr>
          <w:rFonts w:ascii="Times New Roman" w:hAnsi="Times New Roman" w:cs="Times New Roman"/>
          <w:lang w:val="en-GB"/>
        </w:rPr>
        <w:t xml:space="preserve"> Regulation</w:t>
      </w:r>
      <w:r>
        <w:rPr>
          <w:rFonts w:ascii="Times New Roman" w:hAnsi="Times New Roman" w:cs="Times New Roman"/>
          <w:lang w:val="en-GB"/>
        </w:rPr>
        <w:t xml:space="preserve"> (COM (2021) 890)</w:t>
      </w:r>
      <w:r w:rsidRPr="00F14574">
        <w:rPr>
          <w:rFonts w:ascii="Times New Roman" w:hAnsi="Times New Roman" w:cs="Times New Roman"/>
          <w:lang w:val="en-GB"/>
        </w:rPr>
        <w:t>, Article 1 and recital 1.</w:t>
      </w:r>
    </w:p>
  </w:footnote>
  <w:footnote w:id="72">
    <w:p w:rsidR="001241F6" w:rsidRPr="00F14574" w:rsidRDefault="001241F6" w:rsidP="001956C2">
      <w:pPr>
        <w:pStyle w:val="FootnoteText"/>
        <w:rPr>
          <w:rFonts w:ascii="Times New Roman" w:hAnsi="Times New Roman" w:cs="Times New Roman"/>
          <w:lang w:val="en-GB"/>
        </w:rPr>
      </w:pPr>
      <w:r w:rsidRPr="00F14574">
        <w:rPr>
          <w:rStyle w:val="FootnoteReference"/>
          <w:rFonts w:ascii="Times New Roman" w:hAnsi="Times New Roman" w:cs="Times New Roman"/>
        </w:rPr>
        <w:footnoteRef/>
      </w:r>
      <w:r w:rsidRPr="00F14574">
        <w:rPr>
          <w:rFonts w:ascii="Times New Roman" w:hAnsi="Times New Roman" w:cs="Times New Roman"/>
          <w:lang w:val="en-GB"/>
        </w:rPr>
        <w:t xml:space="preserve"> </w:t>
      </w:r>
      <w:proofErr w:type="spellStart"/>
      <w:r>
        <w:rPr>
          <w:rFonts w:ascii="Times New Roman" w:hAnsi="Times New Roman" w:cs="Times New Roman"/>
          <w:lang w:val="en-GB"/>
        </w:rPr>
        <w:t>Instrumentalisation</w:t>
      </w:r>
      <w:proofErr w:type="spellEnd"/>
      <w:r>
        <w:rPr>
          <w:rFonts w:ascii="Times New Roman" w:hAnsi="Times New Roman" w:cs="Times New Roman"/>
          <w:lang w:val="en-GB"/>
        </w:rPr>
        <w:t xml:space="preserve"> Reg</w:t>
      </w:r>
      <w:r w:rsidRPr="00F14574">
        <w:rPr>
          <w:rFonts w:ascii="Times New Roman" w:hAnsi="Times New Roman" w:cs="Times New Roman"/>
          <w:lang w:val="en-GB"/>
        </w:rPr>
        <w:t>, 1.</w:t>
      </w:r>
    </w:p>
  </w:footnote>
  <w:footnote w:id="73">
    <w:p w:rsidR="001241F6" w:rsidRPr="00F14574" w:rsidRDefault="001241F6" w:rsidP="001956C2">
      <w:pPr>
        <w:pStyle w:val="FootnoteText"/>
        <w:rPr>
          <w:rFonts w:ascii="Times New Roman" w:hAnsi="Times New Roman" w:cs="Times New Roman"/>
          <w:lang w:val="en-GB"/>
        </w:rPr>
      </w:pPr>
      <w:r w:rsidRPr="00F14574">
        <w:rPr>
          <w:rStyle w:val="FootnoteReference"/>
          <w:rFonts w:ascii="Times New Roman" w:hAnsi="Times New Roman" w:cs="Times New Roman"/>
        </w:rPr>
        <w:footnoteRef/>
      </w:r>
      <w:r w:rsidRPr="00F14574">
        <w:rPr>
          <w:rFonts w:ascii="Times New Roman" w:hAnsi="Times New Roman" w:cs="Times New Roman"/>
          <w:lang w:val="en-GB"/>
        </w:rPr>
        <w:t xml:space="preserve"> Ibid.</w:t>
      </w:r>
    </w:p>
  </w:footnote>
  <w:footnote w:id="74">
    <w:p w:rsidR="001241F6" w:rsidRPr="00F14574" w:rsidRDefault="001241F6" w:rsidP="001956C2">
      <w:pPr>
        <w:pStyle w:val="xgmail-msonospacing"/>
        <w:shd w:val="clear" w:color="auto" w:fill="FFFFFF"/>
        <w:spacing w:before="0" w:after="0"/>
        <w:rPr>
          <w:sz w:val="20"/>
          <w:szCs w:val="20"/>
        </w:rPr>
      </w:pPr>
      <w:r w:rsidRPr="00F14574">
        <w:rPr>
          <w:rStyle w:val="FootnoteReference"/>
          <w:sz w:val="20"/>
          <w:szCs w:val="20"/>
        </w:rPr>
        <w:footnoteRef/>
      </w:r>
      <w:r w:rsidRPr="00F14574">
        <w:rPr>
          <w:sz w:val="20"/>
          <w:szCs w:val="20"/>
        </w:rPr>
        <w:t xml:space="preserve"> According to the Explanatory Memorandum to the </w:t>
      </w:r>
      <w:proofErr w:type="gramStart"/>
      <w:r w:rsidRPr="00F14574">
        <w:rPr>
          <w:sz w:val="20"/>
          <w:szCs w:val="20"/>
        </w:rPr>
        <w:t>proposal,  ‘</w:t>
      </w:r>
      <w:proofErr w:type="gramEnd"/>
      <w:r w:rsidRPr="00F14574">
        <w:rPr>
          <w:sz w:val="20"/>
          <w:szCs w:val="20"/>
        </w:rPr>
        <w:t xml:space="preserve">where the EU is under attack, it is important that the EU, at the level of the European Council acknowledges that the actions by a third country can be considered as </w:t>
      </w:r>
      <w:proofErr w:type="spellStart"/>
      <w:r w:rsidRPr="00F14574">
        <w:rPr>
          <w:sz w:val="20"/>
          <w:szCs w:val="20"/>
        </w:rPr>
        <w:t>instrumentalisation</w:t>
      </w:r>
      <w:proofErr w:type="spellEnd"/>
      <w:r w:rsidRPr="00F14574">
        <w:rPr>
          <w:sz w:val="20"/>
          <w:szCs w:val="20"/>
        </w:rPr>
        <w:t xml:space="preserve"> of migrants. Those actions are not necessarily targeting one or more Member States but the EU as a whole and therefore require collective EU support’-.3.</w:t>
      </w:r>
    </w:p>
    <w:p w:rsidR="001241F6" w:rsidRPr="00F14574" w:rsidRDefault="001241F6" w:rsidP="001956C2">
      <w:pPr>
        <w:pStyle w:val="FootnoteText"/>
        <w:rPr>
          <w:rFonts w:ascii="Times New Roman" w:hAnsi="Times New Roman" w:cs="Times New Roman"/>
          <w:lang w:val="en-GB"/>
        </w:rPr>
      </w:pPr>
    </w:p>
  </w:footnote>
  <w:footnote w:id="75">
    <w:p w:rsidR="001241F6" w:rsidRPr="00F14574" w:rsidRDefault="001241F6" w:rsidP="001956C2">
      <w:pPr>
        <w:pStyle w:val="FootnoteText"/>
        <w:rPr>
          <w:rFonts w:ascii="Times New Roman" w:hAnsi="Times New Roman" w:cs="Times New Roman"/>
          <w:lang w:val="en-GB"/>
        </w:rPr>
      </w:pPr>
      <w:r w:rsidRPr="00F14574">
        <w:rPr>
          <w:rStyle w:val="FootnoteReference"/>
          <w:rFonts w:ascii="Times New Roman" w:hAnsi="Times New Roman" w:cs="Times New Roman"/>
        </w:rPr>
        <w:footnoteRef/>
      </w:r>
      <w:r w:rsidRPr="00F14574">
        <w:rPr>
          <w:rFonts w:ascii="Times New Roman" w:hAnsi="Times New Roman" w:cs="Times New Roman"/>
          <w:lang w:val="en-GB"/>
        </w:rPr>
        <w:t xml:space="preserve"> Ibid., 2.</w:t>
      </w:r>
    </w:p>
  </w:footnote>
  <w:footnote w:id="76">
    <w:p w:rsidR="001241F6" w:rsidRPr="00ED5BD7" w:rsidRDefault="001241F6" w:rsidP="001956C2">
      <w:pPr>
        <w:pStyle w:val="FootnoteText"/>
        <w:rPr>
          <w:rFonts w:ascii="Times New Roman" w:hAnsi="Times New Roman" w:cs="Times New Roman"/>
          <w:lang w:val="en-GB"/>
        </w:rPr>
      </w:pPr>
      <w:r w:rsidRPr="00F14574">
        <w:rPr>
          <w:rStyle w:val="FootnoteReference"/>
          <w:rFonts w:ascii="Times New Roman" w:hAnsi="Times New Roman" w:cs="Times New Roman"/>
        </w:rPr>
        <w:footnoteRef/>
      </w:r>
      <w:r w:rsidRPr="00F14574">
        <w:rPr>
          <w:rFonts w:ascii="Times New Roman" w:hAnsi="Times New Roman" w:cs="Times New Roman"/>
          <w:lang w:val="en-GB"/>
        </w:rPr>
        <w:t xml:space="preserve"> According to the Explanatory </w:t>
      </w:r>
      <w:proofErr w:type="gramStart"/>
      <w:r w:rsidRPr="00F14574">
        <w:rPr>
          <w:rFonts w:ascii="Times New Roman" w:hAnsi="Times New Roman" w:cs="Times New Roman"/>
          <w:lang w:val="en-GB"/>
        </w:rPr>
        <w:t>Memorandum,.</w:t>
      </w:r>
      <w:proofErr w:type="gramEnd"/>
      <w:r w:rsidRPr="00F14574">
        <w:rPr>
          <w:rFonts w:ascii="Times New Roman" w:hAnsi="Times New Roman" w:cs="Times New Roman"/>
          <w:lang w:val="en-GB"/>
        </w:rPr>
        <w:t xml:space="preserve"> the objective of the proposal is to support the Member State facing a situation of </w:t>
      </w:r>
      <w:proofErr w:type="spellStart"/>
      <w:r w:rsidRPr="00F14574">
        <w:rPr>
          <w:rFonts w:ascii="Times New Roman" w:hAnsi="Times New Roman" w:cs="Times New Roman"/>
          <w:lang w:val="en-GB"/>
        </w:rPr>
        <w:t>instrumentalisation</w:t>
      </w:r>
      <w:proofErr w:type="spellEnd"/>
      <w:r w:rsidRPr="00F14574">
        <w:rPr>
          <w:rFonts w:ascii="Times New Roman" w:hAnsi="Times New Roman" w:cs="Times New Roman"/>
          <w:lang w:val="en-GB"/>
        </w:rPr>
        <w:t xml:space="preserve"> of migrants by setting up a specific emergency migration and asylum management procedure, and, where necessary, providing for support and solidarity measures to manage in an orderly, humane and dignified manner the arrival of persons having been instrumentalised by a third country, with full respect for fundamental rights- reproducing I to a large extent the range of possibilities made available to Latvia, Lithuania and Poland under the proposal for a Council Decision on provisional emergency measures for the benefit of those Member States- 2.</w:t>
      </w:r>
    </w:p>
  </w:footnote>
  <w:footnote w:id="77">
    <w:p w:rsidR="001241F6" w:rsidRPr="00ED5BD7" w:rsidRDefault="001241F6" w:rsidP="001956C2">
      <w:pPr>
        <w:pStyle w:val="FootnoteText"/>
        <w:rPr>
          <w:rFonts w:ascii="Times New Roman" w:hAnsi="Times New Roman" w:cs="Times New Roman"/>
          <w:lang w:val="en-GB"/>
        </w:rPr>
      </w:pPr>
      <w:r w:rsidRPr="00ED5BD7">
        <w:rPr>
          <w:rStyle w:val="FootnoteReference"/>
          <w:rFonts w:ascii="Times New Roman" w:hAnsi="Times New Roman" w:cs="Times New Roman"/>
        </w:rPr>
        <w:footnoteRef/>
      </w:r>
      <w:r w:rsidRPr="0096052E">
        <w:rPr>
          <w:rFonts w:ascii="Times New Roman" w:hAnsi="Times New Roman" w:cs="Times New Roman"/>
          <w:lang w:val="en-GB"/>
        </w:rPr>
        <w:t xml:space="preserve">, </w:t>
      </w:r>
      <w:r>
        <w:rPr>
          <w:rFonts w:ascii="Times New Roman" w:hAnsi="Times New Roman" w:cs="Times New Roman"/>
          <w:lang w:val="en-GB"/>
        </w:rPr>
        <w:t xml:space="preserve">Recital 6, </w:t>
      </w:r>
      <w:r w:rsidRPr="0096052E">
        <w:rPr>
          <w:rFonts w:ascii="Times New Roman" w:hAnsi="Times New Roman" w:cs="Times New Roman"/>
          <w:lang w:val="en-GB"/>
        </w:rPr>
        <w:t>COM(2021) 890</w:t>
      </w:r>
    </w:p>
  </w:footnote>
  <w:footnote w:id="78">
    <w:p w:rsidR="001241F6" w:rsidRPr="00ED5BD7" w:rsidRDefault="001241F6" w:rsidP="001956C2">
      <w:pPr>
        <w:pStyle w:val="FootnoteText"/>
        <w:rPr>
          <w:rFonts w:ascii="Times New Roman" w:hAnsi="Times New Roman" w:cs="Times New Roman"/>
          <w:lang w:val="en-GB"/>
        </w:rPr>
      </w:pPr>
      <w:r w:rsidRPr="00ED5BD7">
        <w:rPr>
          <w:rStyle w:val="FootnoteReference"/>
          <w:rFonts w:ascii="Times New Roman" w:hAnsi="Times New Roman" w:cs="Times New Roman"/>
        </w:rPr>
        <w:footnoteRef/>
      </w:r>
      <w:r w:rsidRPr="001956C2">
        <w:rPr>
          <w:rFonts w:ascii="Times New Roman" w:hAnsi="Times New Roman" w:cs="Times New Roman"/>
          <w:lang w:val="en-GB"/>
        </w:rPr>
        <w:t xml:space="preserve"> </w:t>
      </w:r>
      <w:r>
        <w:rPr>
          <w:rFonts w:ascii="Times New Roman" w:hAnsi="Times New Roman" w:cs="Times New Roman"/>
          <w:lang w:val="en-GB"/>
        </w:rPr>
        <w:t xml:space="preserve">Recital 10, </w:t>
      </w:r>
      <w:proofErr w:type="gramStart"/>
      <w:r w:rsidRPr="0096052E">
        <w:rPr>
          <w:rFonts w:ascii="Times New Roman" w:hAnsi="Times New Roman" w:cs="Times New Roman"/>
          <w:lang w:val="en-GB"/>
        </w:rPr>
        <w:t>COM(</w:t>
      </w:r>
      <w:proofErr w:type="gramEnd"/>
      <w:r w:rsidRPr="0096052E">
        <w:rPr>
          <w:rFonts w:ascii="Times New Roman" w:hAnsi="Times New Roman" w:cs="Times New Roman"/>
          <w:lang w:val="en-GB"/>
        </w:rPr>
        <w:t>2021) 890</w:t>
      </w:r>
      <w:r>
        <w:rPr>
          <w:rFonts w:ascii="Times New Roman" w:hAnsi="Times New Roman" w:cs="Times New Roman"/>
          <w:lang w:val="en-GB"/>
        </w:rPr>
        <w:t>.</w:t>
      </w:r>
    </w:p>
  </w:footnote>
  <w:footnote w:id="79">
    <w:p w:rsidR="001241F6" w:rsidRPr="00ED5BD7" w:rsidRDefault="001241F6" w:rsidP="001956C2">
      <w:pPr>
        <w:pStyle w:val="FootnoteText"/>
        <w:rPr>
          <w:rFonts w:ascii="Times New Roman" w:hAnsi="Times New Roman" w:cs="Times New Roman"/>
          <w:lang w:val="en-GB"/>
        </w:rPr>
      </w:pPr>
      <w:r w:rsidRPr="00ED5BD7">
        <w:rPr>
          <w:rStyle w:val="FootnoteReference"/>
          <w:rFonts w:ascii="Times New Roman" w:hAnsi="Times New Roman" w:cs="Times New Roman"/>
        </w:rPr>
        <w:footnoteRef/>
      </w:r>
      <w:r w:rsidRPr="001956C2">
        <w:rPr>
          <w:rFonts w:ascii="Times New Roman" w:hAnsi="Times New Roman" w:cs="Times New Roman"/>
          <w:lang w:val="en-GB"/>
        </w:rPr>
        <w:t xml:space="preserve"> </w:t>
      </w:r>
      <w:r>
        <w:rPr>
          <w:rFonts w:ascii="Times New Roman" w:hAnsi="Times New Roman" w:cs="Times New Roman"/>
          <w:lang w:val="en-GB"/>
        </w:rPr>
        <w:t xml:space="preserve">Art 2, </w:t>
      </w:r>
      <w:proofErr w:type="gramStart"/>
      <w:r w:rsidRPr="0096052E">
        <w:rPr>
          <w:rFonts w:ascii="Times New Roman" w:hAnsi="Times New Roman" w:cs="Times New Roman"/>
          <w:lang w:val="en-GB"/>
        </w:rPr>
        <w:t>COM(</w:t>
      </w:r>
      <w:proofErr w:type="gramEnd"/>
      <w:r w:rsidRPr="0096052E">
        <w:rPr>
          <w:rFonts w:ascii="Times New Roman" w:hAnsi="Times New Roman" w:cs="Times New Roman"/>
          <w:lang w:val="en-GB"/>
        </w:rPr>
        <w:t>2021) 890</w:t>
      </w:r>
      <w:r>
        <w:rPr>
          <w:rFonts w:ascii="Times New Roman" w:hAnsi="Times New Roman" w:cs="Times New Roman"/>
          <w:lang w:val="en-GB"/>
        </w:rPr>
        <w:t>.</w:t>
      </w:r>
    </w:p>
  </w:footnote>
  <w:footnote w:id="80">
    <w:p w:rsidR="001241F6" w:rsidRPr="00513E75" w:rsidRDefault="001241F6" w:rsidP="001956C2">
      <w:pPr>
        <w:pStyle w:val="FootnoteText"/>
        <w:rPr>
          <w:rFonts w:ascii="Times New Roman" w:hAnsi="Times New Roman" w:cs="Times New Roman"/>
          <w:lang w:val="en-GB"/>
        </w:rPr>
      </w:pPr>
      <w:r w:rsidRPr="00513E75">
        <w:rPr>
          <w:rStyle w:val="FootnoteReference"/>
          <w:rFonts w:ascii="Times New Roman" w:hAnsi="Times New Roman" w:cs="Times New Roman"/>
        </w:rPr>
        <w:footnoteRef/>
      </w:r>
      <w:r w:rsidRPr="00513E75">
        <w:rPr>
          <w:rFonts w:ascii="Times New Roman" w:hAnsi="Times New Roman" w:cs="Times New Roman"/>
          <w:lang w:val="en-GB"/>
        </w:rPr>
        <w:t xml:space="preserve"> </w:t>
      </w:r>
      <w:r>
        <w:rPr>
          <w:rFonts w:ascii="Times New Roman" w:hAnsi="Times New Roman" w:cs="Times New Roman"/>
          <w:lang w:val="en-GB"/>
        </w:rPr>
        <w:t xml:space="preserve">Art 2(1), </w:t>
      </w:r>
      <w:proofErr w:type="gramStart"/>
      <w:r w:rsidRPr="0096052E">
        <w:rPr>
          <w:rFonts w:ascii="Times New Roman" w:hAnsi="Times New Roman" w:cs="Times New Roman"/>
          <w:lang w:val="en-GB"/>
        </w:rPr>
        <w:t>COM(</w:t>
      </w:r>
      <w:proofErr w:type="gramEnd"/>
      <w:r w:rsidRPr="0096052E">
        <w:rPr>
          <w:rFonts w:ascii="Times New Roman" w:hAnsi="Times New Roman" w:cs="Times New Roman"/>
          <w:lang w:val="en-GB"/>
        </w:rPr>
        <w:t>2021) 890</w:t>
      </w:r>
      <w:r>
        <w:rPr>
          <w:rFonts w:ascii="Times New Roman" w:hAnsi="Times New Roman" w:cs="Times New Roman"/>
          <w:lang w:val="en-GB"/>
        </w:rPr>
        <w:t>.</w:t>
      </w:r>
    </w:p>
  </w:footnote>
  <w:footnote w:id="81">
    <w:p w:rsidR="001241F6" w:rsidRPr="00513E75" w:rsidRDefault="001241F6" w:rsidP="001956C2">
      <w:pPr>
        <w:pStyle w:val="FootnoteText"/>
        <w:rPr>
          <w:rFonts w:ascii="Times New Roman" w:hAnsi="Times New Roman" w:cs="Times New Roman"/>
          <w:lang w:val="en-GB"/>
        </w:rPr>
      </w:pPr>
      <w:r w:rsidRPr="00513E75">
        <w:rPr>
          <w:rStyle w:val="FootnoteReference"/>
          <w:rFonts w:ascii="Times New Roman" w:hAnsi="Times New Roman" w:cs="Times New Roman"/>
        </w:rPr>
        <w:footnoteRef/>
      </w:r>
      <w:r w:rsidRPr="00513E75">
        <w:rPr>
          <w:rFonts w:ascii="Times New Roman" w:hAnsi="Times New Roman" w:cs="Times New Roman"/>
          <w:lang w:val="en-GB"/>
        </w:rPr>
        <w:t xml:space="preserve"> </w:t>
      </w:r>
      <w:r>
        <w:rPr>
          <w:rFonts w:ascii="Times New Roman" w:hAnsi="Times New Roman" w:cs="Times New Roman"/>
          <w:lang w:val="en-GB"/>
        </w:rPr>
        <w:t>Art</w:t>
      </w:r>
      <w:r w:rsidRPr="00513E75">
        <w:rPr>
          <w:rFonts w:ascii="Times New Roman" w:hAnsi="Times New Roman" w:cs="Times New Roman"/>
          <w:lang w:val="en-GB"/>
        </w:rPr>
        <w:t xml:space="preserve"> 2(1)(a).</w:t>
      </w:r>
      <w:r>
        <w:rPr>
          <w:rFonts w:ascii="Times New Roman" w:hAnsi="Times New Roman" w:cs="Times New Roman"/>
          <w:lang w:val="en-GB"/>
        </w:rPr>
        <w:t xml:space="preserve">, </w:t>
      </w:r>
      <w:proofErr w:type="gramStart"/>
      <w:r w:rsidRPr="0096052E">
        <w:rPr>
          <w:rFonts w:ascii="Times New Roman" w:hAnsi="Times New Roman" w:cs="Times New Roman"/>
          <w:lang w:val="en-GB"/>
        </w:rPr>
        <w:t>COM(</w:t>
      </w:r>
      <w:proofErr w:type="gramEnd"/>
      <w:r w:rsidRPr="0096052E">
        <w:rPr>
          <w:rFonts w:ascii="Times New Roman" w:hAnsi="Times New Roman" w:cs="Times New Roman"/>
          <w:lang w:val="en-GB"/>
        </w:rPr>
        <w:t>2021) 890</w:t>
      </w:r>
      <w:r>
        <w:rPr>
          <w:rFonts w:ascii="Times New Roman" w:hAnsi="Times New Roman" w:cs="Times New Roman"/>
          <w:lang w:val="en-GB"/>
        </w:rPr>
        <w:t>.</w:t>
      </w:r>
    </w:p>
  </w:footnote>
  <w:footnote w:id="82">
    <w:p w:rsidR="001241F6" w:rsidRPr="00513E75" w:rsidRDefault="001241F6" w:rsidP="001956C2">
      <w:pPr>
        <w:pStyle w:val="FootnoteText"/>
        <w:rPr>
          <w:rFonts w:ascii="Times New Roman" w:hAnsi="Times New Roman" w:cs="Times New Roman"/>
          <w:lang w:val="en-GB"/>
        </w:rPr>
      </w:pPr>
      <w:r w:rsidRPr="00513E75">
        <w:rPr>
          <w:rStyle w:val="FootnoteReference"/>
          <w:rFonts w:ascii="Times New Roman" w:hAnsi="Times New Roman" w:cs="Times New Roman"/>
        </w:rPr>
        <w:footnoteRef/>
      </w:r>
      <w:r w:rsidRPr="00513E75">
        <w:rPr>
          <w:rFonts w:ascii="Times New Roman" w:hAnsi="Times New Roman" w:cs="Times New Roman"/>
          <w:lang w:val="en-GB"/>
        </w:rPr>
        <w:t xml:space="preserve"> </w:t>
      </w:r>
      <w:r>
        <w:rPr>
          <w:rFonts w:ascii="Times New Roman" w:hAnsi="Times New Roman" w:cs="Times New Roman"/>
          <w:lang w:val="en-GB"/>
        </w:rPr>
        <w:t xml:space="preserve">Art 2(1)(b), </w:t>
      </w:r>
      <w:proofErr w:type="gramStart"/>
      <w:r w:rsidRPr="0096052E">
        <w:rPr>
          <w:rFonts w:ascii="Times New Roman" w:hAnsi="Times New Roman" w:cs="Times New Roman"/>
          <w:lang w:val="en-GB"/>
        </w:rPr>
        <w:t>COM(</w:t>
      </w:r>
      <w:proofErr w:type="gramEnd"/>
      <w:r w:rsidRPr="0096052E">
        <w:rPr>
          <w:rFonts w:ascii="Times New Roman" w:hAnsi="Times New Roman" w:cs="Times New Roman"/>
          <w:lang w:val="en-GB"/>
        </w:rPr>
        <w:t>2021) 890</w:t>
      </w:r>
      <w:r>
        <w:rPr>
          <w:rFonts w:ascii="Times New Roman" w:hAnsi="Times New Roman" w:cs="Times New Roman"/>
          <w:lang w:val="en-GB"/>
        </w:rPr>
        <w:t>.</w:t>
      </w:r>
    </w:p>
  </w:footnote>
  <w:footnote w:id="83">
    <w:p w:rsidR="001241F6" w:rsidRPr="00513E75" w:rsidRDefault="001241F6" w:rsidP="001956C2">
      <w:pPr>
        <w:pStyle w:val="FootnoteText"/>
        <w:rPr>
          <w:rFonts w:ascii="Times New Roman" w:hAnsi="Times New Roman" w:cs="Times New Roman"/>
          <w:lang w:val="en-GB"/>
        </w:rPr>
      </w:pPr>
      <w:r w:rsidRPr="00513E75">
        <w:rPr>
          <w:rStyle w:val="FootnoteReference"/>
          <w:rFonts w:ascii="Times New Roman" w:hAnsi="Times New Roman" w:cs="Times New Roman"/>
        </w:rPr>
        <w:footnoteRef/>
      </w:r>
      <w:r w:rsidRPr="00513E75">
        <w:rPr>
          <w:rFonts w:ascii="Times New Roman" w:hAnsi="Times New Roman" w:cs="Times New Roman"/>
          <w:lang w:val="en-GB"/>
        </w:rPr>
        <w:t xml:space="preserve"> </w:t>
      </w:r>
      <w:r>
        <w:rPr>
          <w:rFonts w:ascii="Times New Roman" w:hAnsi="Times New Roman" w:cs="Times New Roman"/>
          <w:lang w:val="en-GB"/>
        </w:rPr>
        <w:t xml:space="preserve">Art 2(1)c), </w:t>
      </w:r>
      <w:proofErr w:type="gramStart"/>
      <w:r w:rsidRPr="0096052E">
        <w:rPr>
          <w:rFonts w:ascii="Times New Roman" w:hAnsi="Times New Roman" w:cs="Times New Roman"/>
          <w:lang w:val="en-GB"/>
        </w:rPr>
        <w:t>COM(</w:t>
      </w:r>
      <w:proofErr w:type="gramEnd"/>
      <w:r w:rsidRPr="0096052E">
        <w:rPr>
          <w:rFonts w:ascii="Times New Roman" w:hAnsi="Times New Roman" w:cs="Times New Roman"/>
          <w:lang w:val="en-GB"/>
        </w:rPr>
        <w:t>2021) 890</w:t>
      </w:r>
      <w:r>
        <w:rPr>
          <w:rFonts w:ascii="Times New Roman" w:hAnsi="Times New Roman" w:cs="Times New Roman"/>
          <w:lang w:val="en-GB"/>
        </w:rPr>
        <w:t>.</w:t>
      </w:r>
    </w:p>
  </w:footnote>
  <w:footnote w:id="84">
    <w:p w:rsidR="001241F6" w:rsidRPr="00513E75" w:rsidRDefault="001241F6" w:rsidP="001956C2">
      <w:pPr>
        <w:pStyle w:val="NormalWeb"/>
        <w:jc w:val="both"/>
        <w:rPr>
          <w:sz w:val="20"/>
          <w:szCs w:val="20"/>
        </w:rPr>
      </w:pPr>
      <w:r w:rsidRPr="00513E75">
        <w:rPr>
          <w:rStyle w:val="FootnoteReference"/>
          <w:sz w:val="20"/>
          <w:szCs w:val="20"/>
        </w:rPr>
        <w:footnoteRef/>
      </w:r>
      <w:r w:rsidRPr="00513E75">
        <w:rPr>
          <w:sz w:val="20"/>
          <w:szCs w:val="20"/>
        </w:rPr>
        <w:t xml:space="preserve"> The Commission claims that the detention of applicants should be a measure of last resort, where other sufficient or less coercive measures cannot be applie</w:t>
      </w:r>
      <w:r>
        <w:rPr>
          <w:sz w:val="20"/>
          <w:szCs w:val="20"/>
        </w:rPr>
        <w:t>d in a specific case – and that</w:t>
      </w:r>
      <w:r w:rsidRPr="00513E75">
        <w:rPr>
          <w:sz w:val="20"/>
          <w:szCs w:val="20"/>
        </w:rPr>
        <w:t xml:space="preserve"> the application of the emergency asylum management procedure will not imply a system</w:t>
      </w:r>
      <w:r>
        <w:rPr>
          <w:sz w:val="20"/>
          <w:szCs w:val="20"/>
        </w:rPr>
        <w:t xml:space="preserve">atic detention of applicants- </w:t>
      </w:r>
      <w:r w:rsidRPr="00513E75">
        <w:rPr>
          <w:sz w:val="20"/>
          <w:szCs w:val="20"/>
        </w:rPr>
        <w:t>6.</w:t>
      </w:r>
    </w:p>
    <w:p w:rsidR="001241F6" w:rsidRPr="00513E75" w:rsidRDefault="001241F6" w:rsidP="001956C2">
      <w:pPr>
        <w:pStyle w:val="FootnoteText"/>
        <w:rPr>
          <w:rFonts w:ascii="Times New Roman" w:hAnsi="Times New Roman" w:cs="Times New Roman"/>
          <w:lang w:val="en-GB"/>
        </w:rPr>
      </w:pPr>
    </w:p>
  </w:footnote>
  <w:footnote w:id="85">
    <w:p w:rsidR="001241F6" w:rsidRPr="00513E75" w:rsidRDefault="001241F6" w:rsidP="001956C2">
      <w:pPr>
        <w:pStyle w:val="li"/>
        <w:shd w:val="clear" w:color="auto" w:fill="FFFFFF"/>
        <w:spacing w:before="0" w:beforeAutospacing="0" w:after="0" w:afterAutospacing="0"/>
        <w:jc w:val="both"/>
        <w:textAlignment w:val="baseline"/>
        <w:rPr>
          <w:color w:val="000000"/>
          <w:sz w:val="20"/>
          <w:szCs w:val="20"/>
        </w:rPr>
      </w:pPr>
      <w:r w:rsidRPr="00513E75">
        <w:rPr>
          <w:rStyle w:val="FootnoteReference"/>
          <w:sz w:val="20"/>
          <w:szCs w:val="20"/>
        </w:rPr>
        <w:footnoteRef/>
      </w:r>
      <w:r w:rsidRPr="00513E75">
        <w:rPr>
          <w:sz w:val="20"/>
          <w:szCs w:val="20"/>
        </w:rPr>
        <w:t xml:space="preserve"> </w:t>
      </w:r>
      <w:r w:rsidRPr="00513E75">
        <w:rPr>
          <w:color w:val="000000"/>
          <w:sz w:val="20"/>
          <w:szCs w:val="20"/>
          <w:bdr w:val="none" w:sz="0" w:space="0" w:color="auto" w:frame="1"/>
        </w:rPr>
        <w:t>According to the Commission proposal, Article 2  point 12 of the Schengen Borders Code is modified to now include within border surveillance preventative measures to detect and prevent unauthorised border crossings’</w:t>
      </w:r>
      <w:r w:rsidRPr="00513E75">
        <w:rPr>
          <w:rStyle w:val="num"/>
          <w:color w:val="000000"/>
          <w:sz w:val="20"/>
          <w:szCs w:val="20"/>
          <w:bdr w:val="none" w:sz="0" w:space="0" w:color="auto" w:frame="1"/>
        </w:rPr>
        <w:t>’</w:t>
      </w:r>
    </w:p>
    <w:p w:rsidR="001241F6" w:rsidRPr="00513E75" w:rsidRDefault="001241F6" w:rsidP="00513E75">
      <w:pPr>
        <w:pStyle w:val="text1"/>
        <w:shd w:val="clear" w:color="auto" w:fill="FFFFFF"/>
        <w:spacing w:before="0" w:beforeAutospacing="0" w:after="0" w:afterAutospacing="0"/>
        <w:jc w:val="both"/>
        <w:textAlignment w:val="baseline"/>
        <w:rPr>
          <w:b/>
          <w:color w:val="000000"/>
          <w:bdr w:val="none" w:sz="0" w:space="0" w:color="auto" w:frame="1"/>
        </w:rPr>
      </w:pPr>
    </w:p>
    <w:p w:rsidR="001241F6" w:rsidRPr="00513E75" w:rsidRDefault="001241F6" w:rsidP="001956C2">
      <w:pPr>
        <w:pStyle w:val="FootnoteText"/>
        <w:rPr>
          <w:rFonts w:ascii="Times New Roman" w:hAnsi="Times New Roman" w:cs="Times New Roman"/>
          <w:lang w:val="en-GB"/>
        </w:rPr>
      </w:pPr>
    </w:p>
  </w:footnote>
  <w:footnote w:id="86">
    <w:p w:rsidR="001241F6" w:rsidRPr="00513E75" w:rsidRDefault="001241F6" w:rsidP="001956C2">
      <w:pPr>
        <w:pStyle w:val="FootnoteText"/>
        <w:rPr>
          <w:rFonts w:ascii="Times New Roman" w:hAnsi="Times New Roman" w:cs="Times New Roman"/>
          <w:lang w:val="en-GB"/>
        </w:rPr>
      </w:pPr>
      <w:r w:rsidRPr="00513E75">
        <w:rPr>
          <w:rStyle w:val="FootnoteReference"/>
          <w:rFonts w:ascii="Times New Roman" w:hAnsi="Times New Roman" w:cs="Times New Roman"/>
        </w:rPr>
        <w:footnoteRef/>
      </w:r>
      <w:r w:rsidRPr="00513E75">
        <w:rPr>
          <w:rFonts w:ascii="Times New Roman" w:hAnsi="Times New Roman" w:cs="Times New Roman"/>
          <w:lang w:val="en-GB"/>
        </w:rPr>
        <w:t xml:space="preserve"> </w:t>
      </w:r>
      <w:r w:rsidRPr="00513E75">
        <w:rPr>
          <w:rFonts w:ascii="Times New Roman" w:hAnsi="Times New Roman" w:cs="Times New Roman"/>
          <w:color w:val="000000"/>
          <w:bdr w:val="none" w:sz="0" w:space="0" w:color="auto" w:frame="1"/>
          <w:lang w:val="en-GB"/>
        </w:rPr>
        <w:t xml:space="preserve">Article 13 on border surveillance is amended to include a specific paragraph on </w:t>
      </w:r>
      <w:proofErr w:type="spellStart"/>
      <w:r w:rsidRPr="00513E75">
        <w:rPr>
          <w:rFonts w:ascii="Times New Roman" w:hAnsi="Times New Roman" w:cs="Times New Roman"/>
          <w:color w:val="000000"/>
          <w:bdr w:val="none" w:sz="0" w:space="0" w:color="auto" w:frame="1"/>
          <w:lang w:val="en-GB"/>
        </w:rPr>
        <w:t>instrumentalisation</w:t>
      </w:r>
      <w:proofErr w:type="spellEnd"/>
      <w:r w:rsidRPr="00513E75">
        <w:rPr>
          <w:rFonts w:ascii="Times New Roman" w:hAnsi="Times New Roman" w:cs="Times New Roman"/>
          <w:color w:val="000000"/>
          <w:bdr w:val="none" w:sz="0" w:space="0" w:color="auto" w:frame="1"/>
          <w:lang w:val="en-GB"/>
        </w:rPr>
        <w:t xml:space="preserve"> (Article 13(5) justifying the intensification of border surveillance through the enhancement of technical means of surveillance which may include ‘</w:t>
      </w:r>
      <w:r w:rsidRPr="00513E75">
        <w:rPr>
          <w:rStyle w:val="num"/>
          <w:rFonts w:ascii="Times New Roman" w:hAnsi="Times New Roman" w:cs="Times New Roman"/>
          <w:color w:val="000000"/>
          <w:bdr w:val="none" w:sz="0" w:space="0" w:color="auto" w:frame="1"/>
          <w:lang w:val="en-GB"/>
        </w:rPr>
        <w:t>modern technologies including drones and motion sensors, as well as mobile units to prevent unauthorised border crossings into the Union.</w:t>
      </w:r>
    </w:p>
  </w:footnote>
  <w:footnote w:id="87">
    <w:p w:rsidR="001241F6" w:rsidRPr="00513E75" w:rsidRDefault="001241F6" w:rsidP="001956C2">
      <w:pPr>
        <w:pStyle w:val="FootnoteText"/>
        <w:rPr>
          <w:rFonts w:ascii="Times New Roman" w:hAnsi="Times New Roman" w:cs="Times New Roman"/>
          <w:lang w:val="en-GB"/>
        </w:rPr>
      </w:pPr>
      <w:r w:rsidRPr="00513E75">
        <w:rPr>
          <w:rStyle w:val="FootnoteReference"/>
          <w:rFonts w:ascii="Times New Roman" w:hAnsi="Times New Roman" w:cs="Times New Roman"/>
        </w:rPr>
        <w:footnoteRef/>
      </w:r>
      <w:r w:rsidRPr="00513E75">
        <w:rPr>
          <w:rFonts w:ascii="Times New Roman" w:hAnsi="Times New Roman" w:cs="Times New Roman"/>
          <w:lang w:val="en-GB"/>
        </w:rPr>
        <w:t xml:space="preserve"> </w:t>
      </w:r>
      <w:r w:rsidRPr="00513E75">
        <w:rPr>
          <w:rFonts w:ascii="Times New Roman" w:hAnsi="Times New Roman" w:cs="Times New Roman"/>
          <w:color w:val="000000"/>
          <w:bdr w:val="none" w:sz="0" w:space="0" w:color="auto" w:frame="1"/>
          <w:lang w:val="en-GB"/>
        </w:rPr>
        <w:t>In Article 5, a new paragraph 4 is added in that regard.</w:t>
      </w:r>
    </w:p>
  </w:footnote>
  <w:footnote w:id="88">
    <w:p w:rsidR="001241F6" w:rsidRDefault="001241F6" w:rsidP="00415A91">
      <w:pPr>
        <w:pStyle w:val="c01pointaltn"/>
        <w:spacing w:after="240" w:afterAutospacing="0"/>
        <w:jc w:val="both"/>
        <w:rPr>
          <w:rFonts w:ascii="Open Sans" w:hAnsi="Open Sans"/>
          <w:color w:val="000000"/>
          <w:sz w:val="18"/>
          <w:szCs w:val="18"/>
        </w:rPr>
      </w:pPr>
      <w:r>
        <w:rPr>
          <w:rStyle w:val="FootnoteReference"/>
        </w:rPr>
        <w:footnoteRef/>
      </w:r>
      <w:r w:rsidRPr="00415A91">
        <w:t xml:space="preserve"> </w:t>
      </w:r>
      <w:r>
        <w:t xml:space="preserve">AG </w:t>
      </w:r>
      <w:proofErr w:type="spellStart"/>
      <w:r>
        <w:t>Emiliou</w:t>
      </w:r>
      <w:proofErr w:type="spellEnd"/>
      <w:r>
        <w:t xml:space="preserve"> has stated that the framing of the </w:t>
      </w:r>
      <w:proofErr w:type="spellStart"/>
      <w:r>
        <w:t>inttrumentalisation</w:t>
      </w:r>
      <w:proofErr w:type="spellEnd"/>
      <w:r>
        <w:t xml:space="preserve"> of migrants as a hybrid attack aiming at destabilising Member States and the Union as a whole are considerations of a political nature- Opinion, above, paras. 103-104.</w:t>
      </w:r>
    </w:p>
    <w:p w:rsidR="001241F6" w:rsidRPr="00415A91" w:rsidRDefault="001241F6">
      <w:pPr>
        <w:pStyle w:val="FootnoteText"/>
        <w:rPr>
          <w:lang w:val="en-GB"/>
        </w:rPr>
      </w:pPr>
    </w:p>
  </w:footnote>
  <w:footnote w:id="89">
    <w:p w:rsidR="001241F6" w:rsidRPr="00513E75" w:rsidRDefault="001241F6" w:rsidP="001956C2">
      <w:pPr>
        <w:pStyle w:val="FootnoteText"/>
        <w:rPr>
          <w:rFonts w:ascii="Times New Roman" w:hAnsi="Times New Roman" w:cs="Times New Roman"/>
          <w:b/>
          <w:lang w:val="en-GB"/>
        </w:rPr>
      </w:pPr>
      <w:r w:rsidRPr="00513E75">
        <w:rPr>
          <w:rStyle w:val="FootnoteReference"/>
          <w:rFonts w:ascii="Times New Roman" w:hAnsi="Times New Roman" w:cs="Times New Roman"/>
        </w:rPr>
        <w:footnoteRef/>
      </w:r>
      <w:r w:rsidRPr="00513E75">
        <w:rPr>
          <w:rFonts w:ascii="Times New Roman" w:hAnsi="Times New Roman" w:cs="Times New Roman"/>
          <w:lang w:val="en-GB"/>
        </w:rPr>
        <w:t xml:space="preserve"> Article7 of the proposal provides for an authorisation procedure by the Commission who will assess Member States’ requests for derogations on the grounds of </w:t>
      </w:r>
      <w:proofErr w:type="spellStart"/>
      <w:proofErr w:type="gramStart"/>
      <w:r w:rsidRPr="00513E75">
        <w:rPr>
          <w:rFonts w:ascii="Times New Roman" w:hAnsi="Times New Roman" w:cs="Times New Roman"/>
          <w:lang w:val="en-GB"/>
        </w:rPr>
        <w:t>instrumetnalisation</w:t>
      </w:r>
      <w:proofErr w:type="spellEnd"/>
      <w:r w:rsidRPr="00513E75">
        <w:rPr>
          <w:rFonts w:ascii="Times New Roman" w:hAnsi="Times New Roman" w:cs="Times New Roman"/>
          <w:lang w:val="en-GB"/>
        </w:rPr>
        <w:t>..</w:t>
      </w:r>
      <w:proofErr w:type="gramEnd"/>
      <w:r w:rsidRPr="00513E75">
        <w:rPr>
          <w:rFonts w:ascii="Times New Roman" w:hAnsi="Times New Roman" w:cs="Times New Roman"/>
          <w:lang w:val="en-GB"/>
        </w:rPr>
        <w:t xml:space="preserve"> As is noted by </w:t>
      </w:r>
      <w:proofErr w:type="gramStart"/>
      <w:r w:rsidRPr="00513E75">
        <w:rPr>
          <w:rFonts w:ascii="Times New Roman" w:hAnsi="Times New Roman" w:cs="Times New Roman"/>
          <w:lang w:val="en-GB"/>
        </w:rPr>
        <w:t>ECRE,  neither</w:t>
      </w:r>
      <w:proofErr w:type="gramEnd"/>
      <w:r w:rsidRPr="00513E75">
        <w:rPr>
          <w:rFonts w:ascii="Times New Roman" w:hAnsi="Times New Roman" w:cs="Times New Roman"/>
          <w:lang w:val="en-GB"/>
        </w:rPr>
        <w:t xml:space="preserve"> the criteria for making the assessment nor the information that the Member State in question is required to provide are set o</w:t>
      </w:r>
      <w:r>
        <w:rPr>
          <w:rFonts w:ascii="Times New Roman" w:hAnsi="Times New Roman" w:cs="Times New Roman"/>
          <w:lang w:val="en-GB"/>
        </w:rPr>
        <w:t xml:space="preserve">ut in this provision. ECRE, </w:t>
      </w:r>
      <w:r w:rsidRPr="0096052E">
        <w:rPr>
          <w:rFonts w:ascii="Times New Roman" w:hAnsi="Times New Roman" w:cs="Times New Roman"/>
          <w:i/>
          <w:lang w:val="en-GB"/>
        </w:rPr>
        <w:t>COMMENTS ON THE COMMISSION PROPOSAL FOR A REGULATION OF THE EUROPEAN PARLIAMENT AND OF THE COUNCIL ADDRESSING SITUATIONS OF INSTRUMENTALISATION IN THE FIELD OF MIGRATION AND ASYLUM COM(2021) 890 FINAL</w:t>
      </w:r>
      <w:r w:rsidRPr="00513E75">
        <w:rPr>
          <w:rFonts w:ascii="Times New Roman" w:hAnsi="Times New Roman" w:cs="Times New Roman"/>
          <w:lang w:val="en-GB"/>
        </w:rPr>
        <w:t>, January 2022</w:t>
      </w:r>
    </w:p>
    <w:p w:rsidR="001241F6" w:rsidRDefault="001241F6" w:rsidP="001956C2">
      <w:pPr>
        <w:pStyle w:val="FootnoteText"/>
        <w:rPr>
          <w:b/>
          <w:lang w:val="en-GB"/>
        </w:rPr>
      </w:pPr>
    </w:p>
    <w:p w:rsidR="001241F6" w:rsidRPr="002015D0" w:rsidRDefault="001241F6" w:rsidP="001956C2">
      <w:pPr>
        <w:pStyle w:val="FootnoteText"/>
        <w:rPr>
          <w:b/>
          <w:lang w:val="en-GB"/>
        </w:rPr>
      </w:pPr>
    </w:p>
  </w:footnote>
  <w:footnote w:id="90">
    <w:p w:rsidR="001241F6" w:rsidRPr="001956C2" w:rsidRDefault="001241F6" w:rsidP="001956C2">
      <w:pPr>
        <w:jc w:val="both"/>
        <w:rPr>
          <w:rFonts w:ascii="Times New Roman" w:hAnsi="Times New Roman" w:cs="Times New Roman"/>
          <w:sz w:val="20"/>
          <w:szCs w:val="20"/>
        </w:rPr>
      </w:pPr>
      <w:r w:rsidRPr="00026859">
        <w:rPr>
          <w:rStyle w:val="FootnoteReference"/>
          <w:rFonts w:ascii="Times New Roman" w:hAnsi="Times New Roman" w:cs="Times New Roman"/>
          <w:sz w:val="20"/>
          <w:szCs w:val="20"/>
        </w:rPr>
        <w:footnoteRef/>
      </w:r>
      <w:r w:rsidRPr="00026859">
        <w:rPr>
          <w:rFonts w:ascii="Times New Roman" w:hAnsi="Times New Roman" w:cs="Times New Roman"/>
          <w:sz w:val="20"/>
          <w:szCs w:val="20"/>
        </w:rPr>
        <w:t xml:space="preserve"> ECRE, op/ cit., 7. On the strengthening of existing Member State border practices see </w:t>
      </w:r>
      <w:proofErr w:type="gramStart"/>
      <w:r w:rsidRPr="00026859">
        <w:rPr>
          <w:rFonts w:ascii="Times New Roman" w:hAnsi="Times New Roman" w:cs="Times New Roman"/>
          <w:sz w:val="20"/>
          <w:szCs w:val="20"/>
        </w:rPr>
        <w:t xml:space="preserve">also </w:t>
      </w:r>
      <w:r>
        <w:rPr>
          <w:rFonts w:ascii="Times New Roman" w:hAnsi="Times New Roman" w:cs="Times New Roman"/>
          <w:sz w:val="20"/>
          <w:szCs w:val="20"/>
        </w:rPr>
        <w:t>.</w:t>
      </w:r>
      <w:proofErr w:type="gramEnd"/>
      <w:r>
        <w:rPr>
          <w:rFonts w:ascii="Times New Roman" w:hAnsi="Times New Roman" w:cs="Times New Roman"/>
          <w:sz w:val="20"/>
          <w:szCs w:val="20"/>
        </w:rPr>
        <w:t xml:space="preserve">A. </w:t>
      </w:r>
      <w:proofErr w:type="spellStart"/>
      <w:r>
        <w:rPr>
          <w:rFonts w:ascii="Times New Roman" w:hAnsi="Times New Roman" w:cs="Times New Roman"/>
          <w:sz w:val="20"/>
          <w:szCs w:val="20"/>
        </w:rPr>
        <w:t>Fallone</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Understanding the Future of European Union Counter-Smuggling Policy </w:t>
      </w:r>
      <w:r>
        <w:rPr>
          <w:rFonts w:ascii="Times New Roman" w:hAnsi="Times New Roman" w:cs="Times New Roman"/>
          <w:sz w:val="20"/>
          <w:szCs w:val="20"/>
        </w:rPr>
        <w:t xml:space="preserve">(EUI STG Policy Papers Issue 2021/19, November 2021),  </w:t>
      </w:r>
      <w:hyperlink r:id="rId27" w:history="1">
        <w:r w:rsidRPr="00026859">
          <w:rPr>
            <w:rStyle w:val="Hyperlink"/>
            <w:rFonts w:ascii="Times New Roman" w:hAnsi="Times New Roman" w:cs="Times New Roman"/>
            <w:sz w:val="20"/>
            <w:szCs w:val="20"/>
          </w:rPr>
          <w:t>https://cadmus.eui.eu/bitstream/handle/1814/73105/PA_2021_19_STG.pdf?sequence=1</w:t>
        </w:r>
      </w:hyperlink>
      <w:r w:rsidRPr="00026859">
        <w:rPr>
          <w:rStyle w:val="Hyperlink"/>
          <w:rFonts w:ascii="Times New Roman" w:hAnsi="Times New Roman" w:cs="Times New Roman"/>
          <w:sz w:val="20"/>
          <w:szCs w:val="20"/>
        </w:rPr>
        <w:t xml:space="preserve"> </w:t>
      </w:r>
    </w:p>
  </w:footnote>
  <w:footnote w:id="91">
    <w:p w:rsidR="001241F6" w:rsidRPr="0096052E" w:rsidRDefault="001241F6" w:rsidP="0096052E">
      <w:pPr>
        <w:pStyle w:val="Heading1"/>
        <w:shd w:val="clear" w:color="auto" w:fill="FFFFFF"/>
        <w:jc w:val="both"/>
        <w:rPr>
          <w:rStyle w:val="Hyperlink"/>
          <w:rFonts w:ascii="Times New Roman" w:hAnsi="Times New Roman" w:cs="Times New Roman"/>
          <w:color w:val="000000"/>
          <w:sz w:val="20"/>
          <w:szCs w:val="20"/>
          <w:u w:val="none"/>
        </w:rPr>
      </w:pPr>
      <w:r w:rsidRPr="0096052E">
        <w:rPr>
          <w:rStyle w:val="FootnoteReference"/>
          <w:rFonts w:ascii="Times New Roman" w:hAnsi="Times New Roman" w:cs="Times New Roman"/>
          <w:sz w:val="20"/>
          <w:szCs w:val="20"/>
        </w:rPr>
        <w:footnoteRef/>
      </w:r>
      <w:r w:rsidRPr="0096052E">
        <w:rPr>
          <w:rFonts w:ascii="Times New Roman" w:hAnsi="Times New Roman" w:cs="Times New Roman"/>
          <w:sz w:val="20"/>
          <w:szCs w:val="20"/>
        </w:rPr>
        <w:t xml:space="preserve"> On </w:t>
      </w:r>
      <w:proofErr w:type="spellStart"/>
      <w:r w:rsidRPr="0096052E">
        <w:rPr>
          <w:rFonts w:ascii="Times New Roman" w:hAnsi="Times New Roman" w:cs="Times New Roman"/>
          <w:sz w:val="20"/>
          <w:szCs w:val="20"/>
        </w:rPr>
        <w:t>instrumentalisation</w:t>
      </w:r>
      <w:proofErr w:type="spellEnd"/>
      <w:r w:rsidRPr="0096052E">
        <w:rPr>
          <w:rFonts w:ascii="Times New Roman" w:hAnsi="Times New Roman" w:cs="Times New Roman"/>
          <w:sz w:val="20"/>
          <w:szCs w:val="20"/>
        </w:rPr>
        <w:t xml:space="preserve"> as dehumanisation see M/ Forti,</w:t>
      </w:r>
      <w:r w:rsidRPr="0096052E">
        <w:rPr>
          <w:rFonts w:ascii="Times New Roman" w:hAnsi="Times New Roman" w:cs="Times New Roman"/>
          <w:i/>
          <w:sz w:val="20"/>
          <w:szCs w:val="20"/>
        </w:rPr>
        <w:t xml:space="preserve"> </w:t>
      </w:r>
      <w:proofErr w:type="spellStart"/>
      <w:r w:rsidRPr="0096052E">
        <w:rPr>
          <w:rFonts w:ascii="Times New Roman" w:eastAsia="Times New Roman" w:hAnsi="Times New Roman" w:cs="Times New Roman"/>
          <w:bCs/>
          <w:i/>
          <w:color w:val="000000"/>
          <w:kern w:val="36"/>
          <w:sz w:val="20"/>
          <w:szCs w:val="20"/>
          <w:lang w:eastAsia="en-GB"/>
        </w:rPr>
        <w:t>Weaponisation</w:t>
      </w:r>
      <w:proofErr w:type="spellEnd"/>
      <w:r w:rsidRPr="0096052E">
        <w:rPr>
          <w:rFonts w:ascii="Times New Roman" w:eastAsia="Times New Roman" w:hAnsi="Times New Roman" w:cs="Times New Roman"/>
          <w:bCs/>
          <w:i/>
          <w:color w:val="000000"/>
          <w:kern w:val="36"/>
          <w:sz w:val="20"/>
          <w:szCs w:val="20"/>
          <w:lang w:eastAsia="en-GB"/>
        </w:rPr>
        <w:t xml:space="preserve"> of Migrants? Migrants as a (Political) Weapon and the EU Regulatory Response: What to Expect Now</w:t>
      </w:r>
      <w:r w:rsidRPr="0096052E">
        <w:rPr>
          <w:rFonts w:ascii="Times New Roman" w:eastAsia="Times New Roman" w:hAnsi="Times New Roman" w:cs="Times New Roman"/>
          <w:bCs/>
          <w:color w:val="000000"/>
          <w:kern w:val="36"/>
          <w:sz w:val="20"/>
          <w:szCs w:val="20"/>
          <w:lang w:eastAsia="en-GB"/>
        </w:rPr>
        <w:t xml:space="preserve">, EJIL Talk, 10.3.2022,, </w:t>
      </w:r>
      <w:hyperlink r:id="rId28" w:history="1">
        <w:r w:rsidRPr="0096052E">
          <w:rPr>
            <w:rStyle w:val="Hyperlink"/>
            <w:rFonts w:ascii="Times New Roman" w:hAnsi="Times New Roman" w:cs="Times New Roman"/>
            <w:sz w:val="20"/>
            <w:szCs w:val="20"/>
            <w:bdr w:val="none" w:sz="0" w:space="0" w:color="auto" w:frame="1"/>
          </w:rPr>
          <w:t>https://www.ejiltalk.org/weaponisation-of-migrants-migrants-as-a-political-weapon-and-the-eu-regulatory-response-what-to-expect-now/?utm_source=mailpoet&amp;utm_medium=email&amp;utm_campaign=ejil-talk-newsletter-post-title_2</w:t>
        </w:r>
      </w:hyperlink>
      <w:r w:rsidRPr="0096052E">
        <w:rPr>
          <w:rFonts w:ascii="Times New Roman" w:hAnsi="Times New Roman" w:cs="Times New Roman"/>
          <w:color w:val="5B6263"/>
          <w:sz w:val="20"/>
          <w:szCs w:val="20"/>
          <w:bdr w:val="none" w:sz="0" w:space="0" w:color="auto" w:frame="1"/>
        </w:rPr>
        <w:t xml:space="preserve"> and  Statewatch, </w:t>
      </w:r>
      <w:r w:rsidRPr="0096052E">
        <w:rPr>
          <w:rFonts w:ascii="Times New Roman" w:hAnsi="Times New Roman" w:cs="Times New Roman"/>
          <w:color w:val="000000"/>
          <w:sz w:val="20"/>
          <w:szCs w:val="20"/>
        </w:rPr>
        <w:t xml:space="preserve">EU: The ‘weaponised migration’ discourse dehumanises asylum-seekers, 10.11.2021, </w:t>
      </w:r>
      <w:hyperlink r:id="rId29" w:history="1">
        <w:r w:rsidRPr="0096052E">
          <w:rPr>
            <w:rStyle w:val="Hyperlink"/>
            <w:rFonts w:ascii="Times New Roman" w:hAnsi="Times New Roman" w:cs="Times New Roman"/>
            <w:sz w:val="20"/>
            <w:szCs w:val="20"/>
            <w:bdr w:val="none" w:sz="0" w:space="0" w:color="auto" w:frame="1"/>
          </w:rPr>
          <w:t>https://www.statewatch.org/news/2021/november/eu-the-weaponised-migration-discourse-dehumanises-asylum-seekers/</w:t>
        </w:r>
      </w:hyperlink>
    </w:p>
    <w:p w:rsidR="001241F6" w:rsidRPr="00CD71C0" w:rsidRDefault="001241F6" w:rsidP="001956C2">
      <w:pPr>
        <w:shd w:val="clear" w:color="auto" w:fill="FFFFFF"/>
        <w:spacing w:after="150" w:line="240" w:lineRule="auto"/>
        <w:rPr>
          <w:rFonts w:ascii="Segoe UI" w:eastAsia="Times New Roman" w:hAnsi="Segoe UI" w:cs="Segoe UI"/>
          <w:color w:val="333333"/>
          <w:sz w:val="21"/>
          <w:szCs w:val="21"/>
          <w:lang w:eastAsia="en-GB"/>
        </w:rPr>
      </w:pPr>
    </w:p>
    <w:p w:rsidR="001241F6" w:rsidRPr="002015D0" w:rsidRDefault="001241F6" w:rsidP="001956C2">
      <w:pPr>
        <w:pStyle w:val="FootnoteText"/>
        <w:rPr>
          <w:lang w:val="en-GB"/>
        </w:rPr>
      </w:pPr>
    </w:p>
  </w:footnote>
  <w:footnote w:id="92">
    <w:p w:rsidR="001241F6" w:rsidRPr="001241F6" w:rsidRDefault="001241F6">
      <w:pPr>
        <w:pStyle w:val="FootnoteText"/>
        <w:rPr>
          <w:lang w:val="en-GB"/>
        </w:rPr>
      </w:pPr>
      <w:r>
        <w:rPr>
          <w:rStyle w:val="FootnoteReference"/>
        </w:rPr>
        <w:footnoteRef/>
      </w:r>
      <w:r w:rsidRPr="001241F6">
        <w:rPr>
          <w:lang w:val="en-GB"/>
        </w:rPr>
        <w:t xml:space="preserve"> </w:t>
      </w:r>
      <w:r>
        <w:rPr>
          <w:lang w:val="en-GB"/>
        </w:rPr>
        <w:t xml:space="preserve">Opinion of AG </w:t>
      </w:r>
      <w:proofErr w:type="spellStart"/>
      <w:r>
        <w:rPr>
          <w:lang w:val="en-GB"/>
        </w:rPr>
        <w:t>Emiliou</w:t>
      </w:r>
      <w:proofErr w:type="spellEnd"/>
      <w:r>
        <w:rPr>
          <w:lang w:val="en-GB"/>
        </w:rPr>
        <w:t>, cited above.</w:t>
      </w:r>
    </w:p>
  </w:footnote>
  <w:footnote w:id="93">
    <w:p w:rsidR="001241F6" w:rsidRPr="001241F6" w:rsidRDefault="001241F6">
      <w:pPr>
        <w:pStyle w:val="FootnoteText"/>
        <w:rPr>
          <w:lang w:val="en-GB"/>
        </w:rPr>
      </w:pPr>
      <w:r>
        <w:rPr>
          <w:rStyle w:val="FootnoteReference"/>
        </w:rPr>
        <w:footnoteRef/>
      </w:r>
      <w:r w:rsidRPr="001241F6">
        <w:rPr>
          <w:lang w:val="en-GB"/>
        </w:rPr>
        <w:t xml:space="preserve"> </w:t>
      </w:r>
      <w:r>
        <w:rPr>
          <w:lang w:val="en-GB"/>
        </w:rPr>
        <w:t xml:space="preserve">AG </w:t>
      </w:r>
      <w:proofErr w:type="spellStart"/>
      <w:r>
        <w:rPr>
          <w:lang w:val="en-GB"/>
        </w:rPr>
        <w:t>Opinjon</w:t>
      </w:r>
      <w:proofErr w:type="spellEnd"/>
      <w:r>
        <w:rPr>
          <w:lang w:val="en-GB"/>
        </w:rPr>
        <w:t>, paras 123 and in particular 124.</w:t>
      </w:r>
    </w:p>
  </w:footnote>
  <w:footnote w:id="94">
    <w:p w:rsidR="00831926" w:rsidRPr="00831926" w:rsidRDefault="00831926">
      <w:pPr>
        <w:pStyle w:val="FootnoteText"/>
        <w:rPr>
          <w:lang w:val="en-GB"/>
        </w:rPr>
      </w:pPr>
      <w:r>
        <w:rPr>
          <w:rStyle w:val="FootnoteReference"/>
        </w:rPr>
        <w:footnoteRef/>
      </w:r>
      <w:r w:rsidRPr="00831926">
        <w:rPr>
          <w:lang w:val="en-GB"/>
        </w:rPr>
        <w:t xml:space="preserve"> </w:t>
      </w:r>
      <w:r>
        <w:rPr>
          <w:lang w:val="en-GB"/>
        </w:rPr>
        <w:t>Para. 133.</w:t>
      </w:r>
    </w:p>
  </w:footnote>
  <w:footnote w:id="95">
    <w:p w:rsidR="00CB64A8" w:rsidRPr="00CB64A8" w:rsidRDefault="00CB64A8">
      <w:pPr>
        <w:pStyle w:val="FootnoteText"/>
        <w:rPr>
          <w:b/>
          <w:lang w:val="en-GB"/>
        </w:rPr>
      </w:pPr>
      <w:r>
        <w:rPr>
          <w:rStyle w:val="FootnoteReference"/>
        </w:rPr>
        <w:footnoteRef/>
      </w:r>
      <w:r>
        <w:t xml:space="preserve"> </w:t>
      </w:r>
      <w:r>
        <w:rPr>
          <w:b/>
          <w:lang w:val="en-GB"/>
        </w:rPr>
        <w:t>The Advocate General noted the particular circumstances of the facts in ND and NT, which involved collective assault on the basis of violence by the migrants- para. 143.</w:t>
      </w:r>
    </w:p>
  </w:footnote>
  <w:footnote w:id="96">
    <w:p w:rsidR="00831926" w:rsidRPr="00831926" w:rsidRDefault="00831926">
      <w:pPr>
        <w:pStyle w:val="FootnoteText"/>
        <w:rPr>
          <w:lang w:val="en-GB"/>
        </w:rPr>
      </w:pPr>
      <w:r>
        <w:rPr>
          <w:rStyle w:val="FootnoteReference"/>
        </w:rPr>
        <w:footnoteRef/>
      </w:r>
      <w:r w:rsidRPr="00831926">
        <w:rPr>
          <w:lang w:val="en-GB"/>
        </w:rPr>
        <w:t xml:space="preserve"> </w:t>
      </w:r>
      <w:r>
        <w:rPr>
          <w:lang w:val="en-GB"/>
        </w:rPr>
        <w:t>Para. 143.</w:t>
      </w:r>
    </w:p>
  </w:footnote>
  <w:footnote w:id="97">
    <w:p w:rsidR="001241F6" w:rsidRPr="009B2B41" w:rsidRDefault="001241F6" w:rsidP="001956C2">
      <w:pPr>
        <w:spacing w:before="150" w:after="150" w:line="330" w:lineRule="atLeast"/>
        <w:rPr>
          <w:rFonts w:ascii="Times New Roman" w:hAnsi="Times New Roman" w:cs="Times New Roman"/>
          <w:color w:val="0000FF"/>
          <w:sz w:val="20"/>
          <w:szCs w:val="20"/>
          <w:u w:val="single"/>
          <w:shd w:val="clear" w:color="auto" w:fill="FFFFFF"/>
        </w:rPr>
      </w:pPr>
      <w:r>
        <w:rPr>
          <w:rStyle w:val="FootnoteReference"/>
        </w:rPr>
        <w:footnoteRef/>
      </w:r>
      <w:r w:rsidRPr="00DC3283">
        <w:t xml:space="preserve"> </w:t>
      </w:r>
      <w:r w:rsidRPr="009B2B41">
        <w:rPr>
          <w:rFonts w:ascii="Times New Roman" w:hAnsi="Times New Roman" w:cs="Times New Roman"/>
          <w:sz w:val="20"/>
          <w:szCs w:val="20"/>
        </w:rPr>
        <w:t xml:space="preserve">On the fiction of ‘non-entry’ see inter alia M. </w:t>
      </w:r>
      <w:proofErr w:type="spellStart"/>
      <w:r w:rsidRPr="009B2B41">
        <w:rPr>
          <w:rFonts w:ascii="Times New Roman" w:hAnsi="Times New Roman" w:cs="Times New Roman"/>
          <w:sz w:val="20"/>
          <w:szCs w:val="20"/>
        </w:rPr>
        <w:t>Mouzourakis</w:t>
      </w:r>
      <w:proofErr w:type="spellEnd"/>
      <w:r w:rsidRPr="009B2B41">
        <w:rPr>
          <w:rFonts w:ascii="Times New Roman" w:hAnsi="Times New Roman" w:cs="Times New Roman"/>
          <w:sz w:val="20"/>
          <w:szCs w:val="20"/>
        </w:rPr>
        <w:t xml:space="preserve">, </w:t>
      </w:r>
      <w:r w:rsidRPr="009B2B41">
        <w:rPr>
          <w:rFonts w:ascii="Times New Roman" w:hAnsi="Times New Roman" w:cs="Times New Roman"/>
          <w:sz w:val="20"/>
          <w:szCs w:val="20"/>
        </w:rPr>
        <w:fldChar w:fldCharType="begin"/>
      </w:r>
      <w:r w:rsidRPr="009B2B41">
        <w:rPr>
          <w:rFonts w:ascii="Times New Roman" w:hAnsi="Times New Roman" w:cs="Times New Roman"/>
          <w:sz w:val="20"/>
          <w:szCs w:val="20"/>
        </w:rPr>
        <w:instrText xml:space="preserve"> HYPERLINK "https://onlinelibrary.wiley.com/doi/10.1111/eulj.12378" </w:instrText>
      </w:r>
      <w:r w:rsidRPr="009B2B41">
        <w:rPr>
          <w:rFonts w:ascii="Times New Roman" w:hAnsi="Times New Roman" w:cs="Times New Roman"/>
          <w:sz w:val="20"/>
          <w:szCs w:val="20"/>
        </w:rPr>
        <w:fldChar w:fldCharType="separate"/>
      </w:r>
      <w:r w:rsidRPr="009B2B41">
        <w:rPr>
          <w:rFonts w:ascii="Times New Roman" w:hAnsi="Times New Roman" w:cs="Times New Roman"/>
          <w:sz w:val="20"/>
          <w:szCs w:val="20"/>
        </w:rPr>
        <w:t xml:space="preserve"> ‘</w:t>
      </w:r>
      <w:r w:rsidRPr="009B2B41">
        <w:rPr>
          <w:rFonts w:ascii="Times New Roman" w:hAnsi="Times New Roman" w:cs="Times New Roman"/>
          <w:color w:val="0000FF"/>
          <w:sz w:val="20"/>
          <w:szCs w:val="20"/>
          <w:shd w:val="clear" w:color="auto" w:fill="FFFFFF"/>
        </w:rPr>
        <w:t>More laws, less law: The European Union's New Pact on Migration and Asylum and the fragmentati</w:t>
      </w:r>
      <w:r>
        <w:rPr>
          <w:rFonts w:ascii="Times New Roman" w:hAnsi="Times New Roman" w:cs="Times New Roman"/>
          <w:color w:val="0000FF"/>
          <w:sz w:val="20"/>
          <w:szCs w:val="20"/>
          <w:shd w:val="clear" w:color="auto" w:fill="FFFFFF"/>
        </w:rPr>
        <w:t xml:space="preserve">on of “asylum seeker” status’ (2021) 26 </w:t>
      </w:r>
      <w:r w:rsidRPr="009B2B41">
        <w:rPr>
          <w:rFonts w:ascii="Times New Roman" w:hAnsi="Times New Roman" w:cs="Times New Roman"/>
          <w:color w:val="0000FF"/>
          <w:sz w:val="20"/>
          <w:szCs w:val="20"/>
          <w:shd w:val="clear" w:color="auto" w:fill="FFFFFF"/>
        </w:rPr>
        <w:t xml:space="preserve"> </w:t>
      </w:r>
      <w:r w:rsidRPr="009B2B41">
        <w:rPr>
          <w:rFonts w:ascii="Times New Roman" w:hAnsi="Times New Roman" w:cs="Times New Roman"/>
          <w:i/>
          <w:color w:val="0000FF"/>
          <w:sz w:val="20"/>
          <w:szCs w:val="20"/>
          <w:shd w:val="clear" w:color="auto" w:fill="FFFFFF"/>
        </w:rPr>
        <w:t xml:space="preserve">ELJ </w:t>
      </w:r>
      <w:r>
        <w:rPr>
          <w:rFonts w:ascii="Times New Roman" w:hAnsi="Times New Roman" w:cs="Times New Roman"/>
          <w:color w:val="0000FF"/>
          <w:sz w:val="20"/>
          <w:szCs w:val="20"/>
          <w:shd w:val="clear" w:color="auto" w:fill="FFFFFF"/>
        </w:rPr>
        <w:t xml:space="preserve"> 171</w:t>
      </w:r>
    </w:p>
    <w:p w:rsidR="001241F6" w:rsidRPr="009B2B41" w:rsidRDefault="001241F6" w:rsidP="001956C2">
      <w:pPr>
        <w:rPr>
          <w:rFonts w:ascii="Times New Roman" w:hAnsi="Times New Roman" w:cs="Times New Roman"/>
          <w:sz w:val="20"/>
          <w:szCs w:val="20"/>
        </w:rPr>
      </w:pPr>
      <w:r w:rsidRPr="009B2B41">
        <w:rPr>
          <w:rFonts w:ascii="Times New Roman" w:hAnsi="Times New Roman" w:cs="Times New Roman"/>
          <w:sz w:val="20"/>
          <w:szCs w:val="20"/>
        </w:rPr>
        <w:fldChar w:fldCharType="end"/>
      </w:r>
    </w:p>
  </w:footnote>
  <w:footnote w:id="98">
    <w:p w:rsidR="001241F6" w:rsidRPr="000C663E" w:rsidRDefault="001241F6" w:rsidP="001956C2">
      <w:pPr>
        <w:pStyle w:val="FootnoteText"/>
        <w:rPr>
          <w:rFonts w:ascii="Times New Roman" w:hAnsi="Times New Roman" w:cs="Times New Roman"/>
          <w:lang w:val="en-GB"/>
        </w:rPr>
      </w:pPr>
      <w:r w:rsidRPr="009B2B41">
        <w:rPr>
          <w:rStyle w:val="FootnoteReference"/>
          <w:rFonts w:ascii="Times New Roman" w:hAnsi="Times New Roman" w:cs="Times New Roman"/>
        </w:rPr>
        <w:footnoteRef/>
      </w:r>
      <w:r w:rsidRPr="009B2B41">
        <w:rPr>
          <w:rFonts w:ascii="Times New Roman" w:hAnsi="Times New Roman" w:cs="Times New Roman"/>
          <w:lang w:val="en-GB"/>
        </w:rPr>
        <w:t xml:space="preserve"> </w:t>
      </w:r>
      <w:r w:rsidRPr="009B2B41">
        <w:rPr>
          <w:rFonts w:ascii="Times New Roman" w:hAnsi="Times New Roman" w:cs="Times New Roman"/>
          <w:iCs/>
          <w:lang w:val="en-GB"/>
        </w:rPr>
        <w:t>Council Directive 2005/85/EC of 1 December 2005 on Minimum Standards on Procedures in Member States for Granting and Withdrawing Refugee Status</w:t>
      </w:r>
      <w:r>
        <w:rPr>
          <w:rFonts w:ascii="Times New Roman" w:hAnsi="Times New Roman" w:cs="Times New Roman"/>
          <w:shd w:val="clear" w:color="auto" w:fill="F9F9F9"/>
          <w:lang w:val="en-GB"/>
        </w:rPr>
        <w:t>, OJ</w:t>
      </w:r>
      <w:r w:rsidRPr="000C663E">
        <w:rPr>
          <w:lang w:val="en-GB"/>
        </w:rPr>
        <w:t xml:space="preserve"> L 326/13</w:t>
      </w:r>
      <w:r>
        <w:rPr>
          <w:lang w:val="en-GB"/>
        </w:rPr>
        <w:t xml:space="preserve">, </w:t>
      </w:r>
      <w:r w:rsidRPr="000C663E">
        <w:rPr>
          <w:lang w:val="en-GB"/>
        </w:rPr>
        <w:t>13.12.2005</w:t>
      </w:r>
    </w:p>
  </w:footnote>
  <w:footnote w:id="99">
    <w:p w:rsidR="001241F6" w:rsidRPr="009B2B41" w:rsidRDefault="001241F6" w:rsidP="001956C2">
      <w:pPr>
        <w:pStyle w:val="FootnoteText"/>
        <w:rPr>
          <w:rFonts w:ascii="Times New Roman" w:hAnsi="Times New Roman" w:cs="Times New Roman"/>
          <w:lang w:val="en-GB"/>
        </w:rPr>
      </w:pPr>
      <w:r w:rsidRPr="009B2B41">
        <w:rPr>
          <w:rStyle w:val="FootnoteReference"/>
          <w:rFonts w:ascii="Times New Roman" w:hAnsi="Times New Roman" w:cs="Times New Roman"/>
        </w:rPr>
        <w:footnoteRef/>
      </w:r>
      <w:r>
        <w:rPr>
          <w:rFonts w:ascii="Times New Roman" w:hAnsi="Times New Roman" w:cs="Times New Roman"/>
          <w:lang w:val="en-GB"/>
        </w:rPr>
        <w:t xml:space="preserve"> </w:t>
      </w:r>
      <w:r>
        <w:rPr>
          <w:rFonts w:ascii="Times New Roman" w:hAnsi="Times New Roman" w:cs="Times New Roman"/>
          <w:iCs/>
          <w:lang w:val="en-GB"/>
        </w:rPr>
        <w:t>Dir</w:t>
      </w:r>
      <w:r w:rsidRPr="009B2B41">
        <w:rPr>
          <w:rFonts w:ascii="Times New Roman" w:hAnsi="Times New Roman" w:cs="Times New Roman"/>
          <w:iCs/>
          <w:lang w:val="en-GB"/>
        </w:rPr>
        <w:t xml:space="preserve"> 2005/85</w:t>
      </w:r>
      <w:r>
        <w:rPr>
          <w:rFonts w:ascii="Times New Roman" w:hAnsi="Times New Roman" w:cs="Times New Roman"/>
          <w:iCs/>
          <w:lang w:val="en-GB"/>
        </w:rPr>
        <w:t xml:space="preserve">, </w:t>
      </w:r>
      <w:r>
        <w:rPr>
          <w:rFonts w:ascii="Times New Roman" w:hAnsi="Times New Roman" w:cs="Times New Roman"/>
          <w:lang w:val="en-GB"/>
        </w:rPr>
        <w:t>Art</w:t>
      </w:r>
      <w:r w:rsidRPr="009B2B41">
        <w:rPr>
          <w:rFonts w:ascii="Times New Roman" w:hAnsi="Times New Roman" w:cs="Times New Roman"/>
          <w:lang w:val="en-GB"/>
        </w:rPr>
        <w:t xml:space="preserve"> 35.</w:t>
      </w:r>
    </w:p>
  </w:footnote>
  <w:footnote w:id="100">
    <w:p w:rsidR="001241F6" w:rsidRPr="00513E75" w:rsidRDefault="001241F6" w:rsidP="001956C2">
      <w:pPr>
        <w:pStyle w:val="NormalWeb"/>
        <w:shd w:val="clear" w:color="auto" w:fill="FFFFFF"/>
        <w:spacing w:before="0" w:beforeAutospacing="0" w:after="0" w:afterAutospacing="0" w:line="345" w:lineRule="atLeast"/>
        <w:textAlignment w:val="baseline"/>
        <w:rPr>
          <w:sz w:val="20"/>
          <w:szCs w:val="20"/>
        </w:rPr>
      </w:pPr>
      <w:r w:rsidRPr="00513E75">
        <w:rPr>
          <w:rStyle w:val="FootnoteReference"/>
          <w:sz w:val="20"/>
          <w:szCs w:val="20"/>
        </w:rPr>
        <w:footnoteRef/>
      </w:r>
      <w:r w:rsidRPr="00513E75">
        <w:rPr>
          <w:sz w:val="20"/>
          <w:szCs w:val="20"/>
        </w:rPr>
        <w:t xml:space="preserve"> See S. Craig and M. Fletcher, ‘Deflecting Refugees: A Critique of the EC Asylum Procedures Directive’ in P. Shah (ed.), </w:t>
      </w:r>
      <w:r w:rsidRPr="00513E75">
        <w:rPr>
          <w:i/>
          <w:sz w:val="20"/>
          <w:szCs w:val="20"/>
        </w:rPr>
        <w:t xml:space="preserve">The Challenge of Asylum to Legal Systems, </w:t>
      </w:r>
      <w:r>
        <w:rPr>
          <w:sz w:val="20"/>
          <w:szCs w:val="20"/>
        </w:rPr>
        <w:t>(Cavendish, 2005) 53</w:t>
      </w:r>
      <w:r w:rsidRPr="00513E75">
        <w:rPr>
          <w:sz w:val="20"/>
          <w:szCs w:val="20"/>
        </w:rPr>
        <w:t xml:space="preserve">; and V. </w:t>
      </w:r>
      <w:proofErr w:type="spellStart"/>
      <w:r w:rsidRPr="00513E75">
        <w:rPr>
          <w:sz w:val="20"/>
          <w:szCs w:val="20"/>
        </w:rPr>
        <w:t>Mitslegas</w:t>
      </w:r>
      <w:proofErr w:type="spellEnd"/>
      <w:r w:rsidRPr="00513E75">
        <w:rPr>
          <w:sz w:val="20"/>
          <w:szCs w:val="20"/>
        </w:rPr>
        <w:t>, ‘A Common EU Immigration and Asylum Policy: National and I</w:t>
      </w:r>
      <w:r>
        <w:rPr>
          <w:sz w:val="20"/>
          <w:szCs w:val="20"/>
        </w:rPr>
        <w:t xml:space="preserve">nstitutional Constraints’ </w:t>
      </w:r>
      <w:proofErr w:type="gramStart"/>
      <w:r>
        <w:rPr>
          <w:sz w:val="20"/>
          <w:szCs w:val="20"/>
        </w:rPr>
        <w:t>in  Shah</w:t>
      </w:r>
      <w:proofErr w:type="gramEnd"/>
      <w:r>
        <w:rPr>
          <w:sz w:val="20"/>
          <w:szCs w:val="20"/>
        </w:rPr>
        <w:t xml:space="preserve">, </w:t>
      </w:r>
      <w:proofErr w:type="spellStart"/>
      <w:r>
        <w:rPr>
          <w:sz w:val="20"/>
          <w:szCs w:val="20"/>
        </w:rPr>
        <w:t>op.cit</w:t>
      </w:r>
      <w:proofErr w:type="spellEnd"/>
      <w:r>
        <w:rPr>
          <w:sz w:val="20"/>
          <w:szCs w:val="20"/>
        </w:rPr>
        <w:t>. 125.</w:t>
      </w:r>
    </w:p>
    <w:p w:rsidR="001241F6" w:rsidRPr="00513E75" w:rsidRDefault="001241F6" w:rsidP="001956C2">
      <w:pPr>
        <w:pStyle w:val="FootnoteText"/>
        <w:rPr>
          <w:rFonts w:ascii="Times New Roman" w:hAnsi="Times New Roman" w:cs="Times New Roman"/>
          <w:lang w:val="en-GB"/>
        </w:rPr>
      </w:pPr>
    </w:p>
  </w:footnote>
  <w:footnote w:id="101">
    <w:p w:rsidR="001241F6" w:rsidRPr="00513E75" w:rsidRDefault="001241F6" w:rsidP="001956C2">
      <w:pPr>
        <w:pStyle w:val="NormalWeb"/>
        <w:shd w:val="clear" w:color="auto" w:fill="FFFFFF"/>
        <w:spacing w:before="0" w:beforeAutospacing="0" w:after="0" w:afterAutospacing="0" w:line="345" w:lineRule="atLeast"/>
        <w:textAlignment w:val="baseline"/>
        <w:rPr>
          <w:sz w:val="20"/>
          <w:szCs w:val="20"/>
        </w:rPr>
      </w:pPr>
      <w:r w:rsidRPr="00513E75">
        <w:rPr>
          <w:rStyle w:val="FootnoteReference"/>
          <w:sz w:val="20"/>
          <w:szCs w:val="20"/>
        </w:rPr>
        <w:footnoteRef/>
      </w:r>
      <w:r w:rsidRPr="00513E75">
        <w:rPr>
          <w:sz w:val="20"/>
          <w:szCs w:val="20"/>
        </w:rPr>
        <w:t xml:space="preserve"> Immigration Law Practitioners’ Association (ILPA) Analysis and Critique of Council Directive on minimum standards on procedures in Member States for granting and withdrawing refugee status (30 April 2004)* July 2004, p.32</w:t>
      </w:r>
    </w:p>
    <w:p w:rsidR="001241F6" w:rsidRPr="00513E75" w:rsidRDefault="00D57A30" w:rsidP="001956C2">
      <w:pPr>
        <w:spacing w:line="360" w:lineRule="auto"/>
        <w:jc w:val="both"/>
        <w:rPr>
          <w:rFonts w:ascii="Times New Roman" w:hAnsi="Times New Roman" w:cs="Times New Roman"/>
          <w:sz w:val="20"/>
          <w:szCs w:val="20"/>
        </w:rPr>
      </w:pPr>
      <w:hyperlink r:id="rId30" w:history="1">
        <w:r w:rsidR="001241F6" w:rsidRPr="00513E75">
          <w:rPr>
            <w:rStyle w:val="Hyperlink"/>
            <w:rFonts w:ascii="Times New Roman" w:hAnsi="Times New Roman" w:cs="Times New Roman"/>
            <w:sz w:val="20"/>
            <w:szCs w:val="20"/>
          </w:rPr>
          <w:t>https://ilpa.org.uk/wp-content/uploads/resources/13178/04.07.00-ILPA-Analysis-Critique-EC-directive-Granting-Withdrawing-Refugee-Status..pdf</w:t>
        </w:r>
      </w:hyperlink>
    </w:p>
    <w:p w:rsidR="001241F6" w:rsidRPr="00513E75" w:rsidRDefault="001241F6" w:rsidP="001956C2">
      <w:pPr>
        <w:pStyle w:val="FootnoteText"/>
        <w:rPr>
          <w:rFonts w:ascii="Times New Roman" w:hAnsi="Times New Roman" w:cs="Times New Roman"/>
          <w:lang w:val="en-GB"/>
        </w:rPr>
      </w:pPr>
    </w:p>
  </w:footnote>
  <w:footnote w:id="102">
    <w:p w:rsidR="001241F6" w:rsidRPr="00835414" w:rsidRDefault="001241F6" w:rsidP="001956C2">
      <w:pPr>
        <w:pStyle w:val="title-bold"/>
        <w:shd w:val="clear" w:color="auto" w:fill="FFFFFF"/>
        <w:spacing w:before="0" w:beforeAutospacing="0" w:after="75" w:afterAutospacing="0"/>
        <w:rPr>
          <w:bCs/>
          <w:color w:val="333333"/>
          <w:sz w:val="20"/>
          <w:szCs w:val="20"/>
        </w:rPr>
      </w:pPr>
      <w:r w:rsidRPr="00835414">
        <w:rPr>
          <w:rStyle w:val="FootnoteReference"/>
          <w:sz w:val="20"/>
          <w:szCs w:val="20"/>
        </w:rPr>
        <w:footnoteRef/>
      </w:r>
      <w:r w:rsidRPr="00835414">
        <w:rPr>
          <w:sz w:val="20"/>
          <w:szCs w:val="20"/>
        </w:rPr>
        <w:t xml:space="preserve"> </w:t>
      </w:r>
      <w:r w:rsidRPr="00835414">
        <w:rPr>
          <w:bCs/>
          <w:color w:val="333333"/>
          <w:sz w:val="20"/>
          <w:szCs w:val="20"/>
        </w:rPr>
        <w:t xml:space="preserve">Directive 2013/32/EU of the European Parliament and of the Council of 26 June 2013 on common procedures for granting and withdrawing international protection </w:t>
      </w:r>
      <w:r w:rsidRPr="00835414">
        <w:rPr>
          <w:i/>
          <w:iCs/>
          <w:color w:val="333333"/>
          <w:sz w:val="20"/>
          <w:szCs w:val="20"/>
        </w:rPr>
        <w:t>OJ L 180, 29.6.2013, p. 60–95</w:t>
      </w:r>
    </w:p>
    <w:p w:rsidR="001241F6" w:rsidRPr="00835414" w:rsidRDefault="001241F6" w:rsidP="001956C2">
      <w:pPr>
        <w:pStyle w:val="FootnoteText"/>
        <w:rPr>
          <w:rFonts w:ascii="Times New Roman" w:hAnsi="Times New Roman" w:cs="Times New Roman"/>
          <w:lang w:val="en-GB"/>
        </w:rPr>
      </w:pPr>
    </w:p>
  </w:footnote>
  <w:footnote w:id="103">
    <w:p w:rsidR="001241F6" w:rsidRPr="00835414" w:rsidRDefault="001241F6" w:rsidP="001956C2">
      <w:pPr>
        <w:pStyle w:val="FootnoteText"/>
        <w:rPr>
          <w:rFonts w:ascii="Times New Roman" w:hAnsi="Times New Roman" w:cs="Times New Roman"/>
          <w:lang w:val="en-GB"/>
        </w:rPr>
      </w:pPr>
      <w:r w:rsidRPr="00835414">
        <w:rPr>
          <w:rStyle w:val="FootnoteReference"/>
          <w:rFonts w:ascii="Times New Roman" w:hAnsi="Times New Roman" w:cs="Times New Roman"/>
        </w:rPr>
        <w:footnoteRef/>
      </w:r>
      <w:r w:rsidRPr="00835414">
        <w:rPr>
          <w:rFonts w:ascii="Times New Roman" w:hAnsi="Times New Roman" w:cs="Times New Roman"/>
          <w:lang w:val="en-GB"/>
        </w:rPr>
        <w:t xml:space="preserve"> Art 43(1), </w:t>
      </w:r>
      <w:r w:rsidRPr="00835414">
        <w:rPr>
          <w:rFonts w:ascii="Times New Roman" w:hAnsi="Times New Roman" w:cs="Times New Roman"/>
          <w:bCs/>
          <w:color w:val="333333"/>
          <w:lang w:val="en-GB"/>
        </w:rPr>
        <w:t>Dir 2013/32,</w:t>
      </w:r>
    </w:p>
  </w:footnote>
  <w:footnote w:id="104">
    <w:p w:rsidR="001241F6" w:rsidRPr="00835414" w:rsidRDefault="001241F6" w:rsidP="001956C2">
      <w:pPr>
        <w:pStyle w:val="FootnoteText"/>
        <w:rPr>
          <w:rFonts w:ascii="Times New Roman" w:hAnsi="Times New Roman" w:cs="Times New Roman"/>
          <w:lang w:val="en-GB"/>
        </w:rPr>
      </w:pPr>
      <w:r w:rsidRPr="00835414">
        <w:rPr>
          <w:rStyle w:val="FootnoteReference"/>
          <w:rFonts w:ascii="Times New Roman" w:hAnsi="Times New Roman" w:cs="Times New Roman"/>
        </w:rPr>
        <w:footnoteRef/>
      </w:r>
      <w:r w:rsidRPr="00835414">
        <w:rPr>
          <w:rFonts w:ascii="Times New Roman" w:hAnsi="Times New Roman" w:cs="Times New Roman"/>
          <w:lang w:val="en-GB"/>
        </w:rPr>
        <w:t xml:space="preserve"> Art 43(3), </w:t>
      </w:r>
      <w:r w:rsidRPr="00835414">
        <w:rPr>
          <w:rFonts w:ascii="Times New Roman" w:hAnsi="Times New Roman" w:cs="Times New Roman"/>
          <w:bCs/>
          <w:color w:val="333333"/>
          <w:lang w:val="en-GB"/>
        </w:rPr>
        <w:t>Dir 2013/32.</w:t>
      </w:r>
    </w:p>
  </w:footnote>
  <w:footnote w:id="105">
    <w:p w:rsidR="001241F6" w:rsidRPr="00835414" w:rsidRDefault="001241F6" w:rsidP="001956C2">
      <w:pPr>
        <w:pStyle w:val="NormalWeb"/>
        <w:shd w:val="clear" w:color="auto" w:fill="FFFFFF"/>
        <w:spacing w:before="0" w:beforeAutospacing="0" w:after="0" w:afterAutospacing="0" w:line="345" w:lineRule="atLeast"/>
        <w:textAlignment w:val="baseline"/>
        <w:rPr>
          <w:b/>
          <w:sz w:val="20"/>
          <w:szCs w:val="20"/>
        </w:rPr>
      </w:pPr>
      <w:r w:rsidRPr="00835414">
        <w:rPr>
          <w:rStyle w:val="FootnoteReference"/>
          <w:sz w:val="20"/>
          <w:szCs w:val="20"/>
        </w:rPr>
        <w:footnoteRef/>
      </w:r>
      <w:r w:rsidRPr="00835414">
        <w:rPr>
          <w:sz w:val="20"/>
          <w:szCs w:val="20"/>
        </w:rPr>
        <w:t xml:space="preserve"> See also Costello and </w:t>
      </w:r>
      <w:proofErr w:type="spellStart"/>
      <w:r w:rsidRPr="00835414">
        <w:rPr>
          <w:sz w:val="20"/>
          <w:szCs w:val="20"/>
        </w:rPr>
        <w:t>Hancox</w:t>
      </w:r>
      <w:proofErr w:type="spellEnd"/>
      <w:r w:rsidRPr="00835414">
        <w:rPr>
          <w:sz w:val="20"/>
          <w:szCs w:val="20"/>
        </w:rPr>
        <w:t xml:space="preserve">, who point out that a number of the </w:t>
      </w:r>
      <w:proofErr w:type="spellStart"/>
      <w:r w:rsidRPr="00835414">
        <w:rPr>
          <w:sz w:val="20"/>
          <w:szCs w:val="20"/>
        </w:rPr>
        <w:t>gounds</w:t>
      </w:r>
      <w:proofErr w:type="spellEnd"/>
      <w:r w:rsidRPr="00835414">
        <w:rPr>
          <w:sz w:val="20"/>
          <w:szCs w:val="20"/>
        </w:rPr>
        <w:t xml:space="preserve"> in 31(8) of the Directive reflect the stereotype of the abusive applicant- C. Costello and E. </w:t>
      </w:r>
      <w:proofErr w:type="spellStart"/>
      <w:r w:rsidRPr="00835414">
        <w:rPr>
          <w:sz w:val="20"/>
          <w:szCs w:val="20"/>
        </w:rPr>
        <w:t>Hancox</w:t>
      </w:r>
      <w:proofErr w:type="spellEnd"/>
      <w:r w:rsidRPr="00835414">
        <w:rPr>
          <w:sz w:val="20"/>
          <w:szCs w:val="20"/>
        </w:rPr>
        <w:t xml:space="preserve">, ‘The Recast Asylum Procedures Directive 2013/32/EU: Caught between the Stereotypes of the Abusive Asylum-Seeker and the Vulnerable Refugee’ in V. </w:t>
      </w:r>
      <w:proofErr w:type="spellStart"/>
      <w:r w:rsidRPr="00835414">
        <w:rPr>
          <w:sz w:val="20"/>
          <w:szCs w:val="20"/>
        </w:rPr>
        <w:t>Chetail</w:t>
      </w:r>
      <w:proofErr w:type="spellEnd"/>
      <w:r w:rsidRPr="00835414">
        <w:rPr>
          <w:sz w:val="20"/>
          <w:szCs w:val="20"/>
        </w:rPr>
        <w:t xml:space="preserve">, P. de </w:t>
      </w:r>
      <w:proofErr w:type="spellStart"/>
      <w:r w:rsidRPr="00835414">
        <w:rPr>
          <w:sz w:val="20"/>
          <w:szCs w:val="20"/>
        </w:rPr>
        <w:t>Bruycker</w:t>
      </w:r>
      <w:proofErr w:type="spellEnd"/>
      <w:r w:rsidRPr="00835414">
        <w:rPr>
          <w:sz w:val="20"/>
          <w:szCs w:val="20"/>
        </w:rPr>
        <w:t xml:space="preserve"> and F, </w:t>
      </w:r>
      <w:proofErr w:type="spellStart"/>
      <w:r w:rsidRPr="00835414">
        <w:rPr>
          <w:sz w:val="20"/>
          <w:szCs w:val="20"/>
        </w:rPr>
        <w:t>Maiani</w:t>
      </w:r>
      <w:proofErr w:type="spellEnd"/>
      <w:r w:rsidRPr="00835414">
        <w:rPr>
          <w:sz w:val="20"/>
          <w:szCs w:val="20"/>
        </w:rPr>
        <w:t xml:space="preserve"> (eds.), </w:t>
      </w:r>
      <w:r w:rsidRPr="00835414">
        <w:rPr>
          <w:i/>
          <w:sz w:val="20"/>
          <w:szCs w:val="20"/>
        </w:rPr>
        <w:t xml:space="preserve">Reforming the Common European Asylum System, The New European Refugee Law, </w:t>
      </w:r>
      <w:r w:rsidR="00654AF9">
        <w:rPr>
          <w:sz w:val="20"/>
          <w:szCs w:val="20"/>
        </w:rPr>
        <w:t>(Brill, 2016</w:t>
      </w:r>
      <w:r w:rsidRPr="00835414">
        <w:rPr>
          <w:sz w:val="20"/>
          <w:szCs w:val="20"/>
        </w:rPr>
        <w:t>) 377, 415.</w:t>
      </w:r>
    </w:p>
    <w:p w:rsidR="001241F6" w:rsidRPr="00835414" w:rsidRDefault="001241F6" w:rsidP="001956C2">
      <w:pPr>
        <w:pStyle w:val="FootnoteText"/>
        <w:rPr>
          <w:rFonts w:ascii="Times New Roman" w:hAnsi="Times New Roman" w:cs="Times New Roman"/>
          <w:lang w:val="en-GB"/>
        </w:rPr>
      </w:pPr>
    </w:p>
  </w:footnote>
  <w:footnote w:id="106">
    <w:p w:rsidR="001241F6" w:rsidRPr="00835414" w:rsidRDefault="001241F6" w:rsidP="001956C2">
      <w:pPr>
        <w:pStyle w:val="FootnoteText"/>
        <w:rPr>
          <w:rFonts w:ascii="Times New Roman" w:hAnsi="Times New Roman" w:cs="Times New Roman"/>
          <w:lang w:val="en-GB"/>
        </w:rPr>
      </w:pPr>
      <w:r w:rsidRPr="00835414">
        <w:rPr>
          <w:rStyle w:val="FootnoteReference"/>
          <w:rFonts w:ascii="Times New Roman" w:hAnsi="Times New Roman" w:cs="Times New Roman"/>
        </w:rPr>
        <w:footnoteRef/>
      </w:r>
      <w:r w:rsidRPr="00835414">
        <w:rPr>
          <w:rFonts w:ascii="Times New Roman" w:hAnsi="Times New Roman" w:cs="Times New Roman"/>
          <w:lang w:val="en-GB"/>
        </w:rPr>
        <w:t xml:space="preserve"> Art 43(1)(b) and Article 31(8)(c),</w:t>
      </w:r>
      <w:r w:rsidRPr="00835414">
        <w:rPr>
          <w:rFonts w:ascii="Times New Roman" w:hAnsi="Times New Roman" w:cs="Times New Roman"/>
          <w:bCs/>
          <w:color w:val="333333"/>
          <w:lang w:val="en-GB"/>
        </w:rPr>
        <w:t xml:space="preserve"> Dir 2013/32,</w:t>
      </w:r>
    </w:p>
  </w:footnote>
  <w:footnote w:id="107">
    <w:p w:rsidR="001241F6" w:rsidRPr="00835414" w:rsidRDefault="001241F6" w:rsidP="001956C2">
      <w:pPr>
        <w:pStyle w:val="FootnoteText"/>
        <w:rPr>
          <w:rFonts w:ascii="Times New Roman" w:hAnsi="Times New Roman" w:cs="Times New Roman"/>
          <w:lang w:val="en-GB"/>
        </w:rPr>
      </w:pPr>
      <w:r w:rsidRPr="00835414">
        <w:rPr>
          <w:rStyle w:val="FootnoteReference"/>
          <w:rFonts w:ascii="Times New Roman" w:hAnsi="Times New Roman" w:cs="Times New Roman"/>
        </w:rPr>
        <w:footnoteRef/>
      </w:r>
      <w:r w:rsidRPr="00835414">
        <w:rPr>
          <w:rFonts w:ascii="Times New Roman" w:hAnsi="Times New Roman" w:cs="Times New Roman"/>
          <w:lang w:val="en-GB"/>
        </w:rPr>
        <w:t xml:space="preserve"> Art 43(1)(b) and Article 31(8)(d),</w:t>
      </w:r>
      <w:r w:rsidRPr="00835414">
        <w:rPr>
          <w:rFonts w:ascii="Times New Roman" w:hAnsi="Times New Roman" w:cs="Times New Roman"/>
          <w:bCs/>
          <w:color w:val="333333"/>
          <w:lang w:val="en-GB"/>
        </w:rPr>
        <w:t xml:space="preserve"> Dir 2013/32,</w:t>
      </w:r>
    </w:p>
  </w:footnote>
  <w:footnote w:id="108">
    <w:p w:rsidR="001241F6" w:rsidRPr="00835414" w:rsidRDefault="001241F6" w:rsidP="001956C2">
      <w:pPr>
        <w:pStyle w:val="FootnoteText"/>
        <w:rPr>
          <w:rFonts w:ascii="Times New Roman" w:hAnsi="Times New Roman" w:cs="Times New Roman"/>
          <w:lang w:val="en-GB"/>
        </w:rPr>
      </w:pPr>
      <w:r w:rsidRPr="00835414">
        <w:rPr>
          <w:rStyle w:val="FootnoteReference"/>
          <w:rFonts w:ascii="Times New Roman" w:hAnsi="Times New Roman" w:cs="Times New Roman"/>
        </w:rPr>
        <w:footnoteRef/>
      </w:r>
      <w:r w:rsidRPr="00835414">
        <w:rPr>
          <w:rFonts w:ascii="Times New Roman" w:hAnsi="Times New Roman" w:cs="Times New Roman"/>
          <w:lang w:val="en-GB"/>
        </w:rPr>
        <w:t xml:space="preserve"> Art 43(1)(b) and Article 31(8))e),</w:t>
      </w:r>
      <w:r w:rsidRPr="00835414">
        <w:rPr>
          <w:rFonts w:ascii="Times New Roman" w:hAnsi="Times New Roman" w:cs="Times New Roman"/>
          <w:bCs/>
          <w:color w:val="333333"/>
          <w:lang w:val="en-GB"/>
        </w:rPr>
        <w:t xml:space="preserve"> Dir 2013/32,</w:t>
      </w:r>
    </w:p>
  </w:footnote>
  <w:footnote w:id="109">
    <w:p w:rsidR="001241F6" w:rsidRPr="00835414" w:rsidRDefault="001241F6" w:rsidP="001956C2">
      <w:pPr>
        <w:pStyle w:val="FootnoteText"/>
        <w:rPr>
          <w:rFonts w:ascii="Times New Roman" w:hAnsi="Times New Roman" w:cs="Times New Roman"/>
          <w:lang w:val="en-GB"/>
        </w:rPr>
      </w:pPr>
      <w:r w:rsidRPr="00835414">
        <w:rPr>
          <w:rStyle w:val="FootnoteReference"/>
          <w:rFonts w:ascii="Times New Roman" w:hAnsi="Times New Roman" w:cs="Times New Roman"/>
        </w:rPr>
        <w:footnoteRef/>
      </w:r>
      <w:r w:rsidRPr="00835414">
        <w:rPr>
          <w:rFonts w:ascii="Times New Roman" w:hAnsi="Times New Roman" w:cs="Times New Roman"/>
          <w:lang w:val="en-GB"/>
        </w:rPr>
        <w:t xml:space="preserve"> Art43(1)(b) and Article 31(8</w:t>
      </w:r>
      <w:proofErr w:type="gramStart"/>
      <w:r w:rsidRPr="00835414">
        <w:rPr>
          <w:rFonts w:ascii="Times New Roman" w:hAnsi="Times New Roman" w:cs="Times New Roman"/>
          <w:lang w:val="en-GB"/>
        </w:rPr>
        <w:t>))g</w:t>
      </w:r>
      <w:proofErr w:type="gramEnd"/>
      <w:r w:rsidRPr="00835414">
        <w:rPr>
          <w:rFonts w:ascii="Times New Roman" w:hAnsi="Times New Roman" w:cs="Times New Roman"/>
          <w:lang w:val="en-GB"/>
        </w:rPr>
        <w:t>).</w:t>
      </w:r>
      <w:r w:rsidRPr="00835414">
        <w:rPr>
          <w:rFonts w:ascii="Times New Roman" w:hAnsi="Times New Roman" w:cs="Times New Roman"/>
          <w:bCs/>
          <w:color w:val="333333"/>
          <w:lang w:val="en-GB"/>
        </w:rPr>
        <w:t xml:space="preserve"> Dir 2013/32,</w:t>
      </w:r>
    </w:p>
  </w:footnote>
  <w:footnote w:id="110">
    <w:p w:rsidR="001241F6" w:rsidRPr="00835414" w:rsidRDefault="001241F6" w:rsidP="001956C2">
      <w:pPr>
        <w:pStyle w:val="FootnoteText"/>
        <w:rPr>
          <w:rFonts w:ascii="Times New Roman" w:hAnsi="Times New Roman" w:cs="Times New Roman"/>
          <w:lang w:val="en-GB"/>
        </w:rPr>
      </w:pPr>
      <w:r w:rsidRPr="00835414">
        <w:rPr>
          <w:rStyle w:val="FootnoteReference"/>
          <w:rFonts w:ascii="Times New Roman" w:hAnsi="Times New Roman" w:cs="Times New Roman"/>
        </w:rPr>
        <w:footnoteRef/>
      </w:r>
      <w:r w:rsidRPr="00835414">
        <w:rPr>
          <w:rFonts w:ascii="Times New Roman" w:hAnsi="Times New Roman" w:cs="Times New Roman"/>
          <w:lang w:val="en-GB"/>
        </w:rPr>
        <w:t xml:space="preserve"> Art43(1)(b) and Article 31(8))h,</w:t>
      </w:r>
      <w:r w:rsidRPr="00835414">
        <w:rPr>
          <w:rFonts w:ascii="Times New Roman" w:hAnsi="Times New Roman" w:cs="Times New Roman"/>
          <w:bCs/>
          <w:color w:val="333333"/>
          <w:lang w:val="en-GB"/>
        </w:rPr>
        <w:t xml:space="preserve"> Dir 2013/32,</w:t>
      </w:r>
    </w:p>
  </w:footnote>
  <w:footnote w:id="111">
    <w:p w:rsidR="001241F6" w:rsidRPr="00835414" w:rsidRDefault="001241F6" w:rsidP="000C663E">
      <w:pPr>
        <w:pStyle w:val="FootnoteText"/>
        <w:rPr>
          <w:rFonts w:ascii="Times New Roman" w:hAnsi="Times New Roman" w:cs="Times New Roman"/>
          <w:lang w:val="en-GB"/>
        </w:rPr>
      </w:pPr>
      <w:r w:rsidRPr="00835414">
        <w:rPr>
          <w:rStyle w:val="FootnoteReference"/>
          <w:rFonts w:ascii="Times New Roman" w:hAnsi="Times New Roman" w:cs="Times New Roman"/>
        </w:rPr>
        <w:footnoteRef/>
      </w:r>
      <w:r w:rsidRPr="00835414">
        <w:rPr>
          <w:rFonts w:ascii="Times New Roman" w:hAnsi="Times New Roman" w:cs="Times New Roman"/>
          <w:lang w:val="en-GB"/>
        </w:rPr>
        <w:t xml:space="preserve"> Art 43(1)(b) and Article 31(8))I, </w:t>
      </w:r>
      <w:r w:rsidRPr="00835414">
        <w:rPr>
          <w:rFonts w:ascii="Times New Roman" w:hAnsi="Times New Roman" w:cs="Times New Roman"/>
          <w:bCs/>
          <w:color w:val="333333"/>
          <w:lang w:val="en-GB"/>
        </w:rPr>
        <w:t>Dir 2013/32,</w:t>
      </w:r>
    </w:p>
    <w:p w:rsidR="001241F6" w:rsidRPr="006B1EB3" w:rsidRDefault="001241F6" w:rsidP="000C663E">
      <w:pPr>
        <w:pStyle w:val="FootnoteText"/>
        <w:rPr>
          <w:rFonts w:ascii="Times New Roman" w:hAnsi="Times New Roman" w:cs="Times New Roman"/>
          <w:lang w:val="en-GB"/>
        </w:rPr>
      </w:pPr>
      <w:r w:rsidRPr="006B1EB3">
        <w:rPr>
          <w:rStyle w:val="FootnoteReference"/>
          <w:rFonts w:ascii="Times New Roman" w:hAnsi="Times New Roman" w:cs="Times New Roman"/>
        </w:rPr>
        <w:footnoteRef/>
      </w:r>
      <w:r w:rsidRPr="006B1EB3">
        <w:rPr>
          <w:rFonts w:ascii="Times New Roman" w:hAnsi="Times New Roman" w:cs="Times New Roman"/>
          <w:lang w:val="en-GB"/>
        </w:rPr>
        <w:t xml:space="preserve"> Article 43(1)(b) and Article 31(8))h,</w:t>
      </w:r>
      <w:r w:rsidRPr="006B1EB3">
        <w:rPr>
          <w:rFonts w:ascii="Times New Roman" w:hAnsi="Times New Roman" w:cs="Times New Roman"/>
          <w:bCs/>
          <w:color w:val="333333"/>
          <w:lang w:val="en-GB"/>
        </w:rPr>
        <w:t xml:space="preserve"> Dir 2013/32,</w:t>
      </w:r>
    </w:p>
  </w:footnote>
  <w:footnote w:id="112">
    <w:p w:rsidR="001241F6" w:rsidRPr="006B1EB3" w:rsidRDefault="001241F6" w:rsidP="001956C2">
      <w:pPr>
        <w:pStyle w:val="FootnoteText"/>
        <w:rPr>
          <w:rFonts w:ascii="Times New Roman" w:hAnsi="Times New Roman" w:cs="Times New Roman"/>
          <w:lang w:val="en-GB"/>
        </w:rPr>
      </w:pPr>
      <w:r w:rsidRPr="006B1EB3">
        <w:rPr>
          <w:rStyle w:val="FootnoteReference"/>
          <w:rFonts w:ascii="Times New Roman" w:hAnsi="Times New Roman" w:cs="Times New Roman"/>
        </w:rPr>
        <w:footnoteRef/>
      </w:r>
      <w:r w:rsidRPr="006B1EB3">
        <w:rPr>
          <w:rFonts w:ascii="Times New Roman" w:hAnsi="Times New Roman" w:cs="Times New Roman"/>
          <w:lang w:val="en-GB"/>
        </w:rPr>
        <w:t xml:space="preserve"> Article 43(1)(b) and Article 31(8))(j, </w:t>
      </w:r>
      <w:r w:rsidRPr="006B1EB3">
        <w:rPr>
          <w:rFonts w:ascii="Times New Roman" w:hAnsi="Times New Roman" w:cs="Times New Roman"/>
          <w:bCs/>
          <w:color w:val="333333"/>
          <w:lang w:val="en-GB"/>
        </w:rPr>
        <w:t>Dir 2013/32,</w:t>
      </w:r>
    </w:p>
  </w:footnote>
  <w:footnote w:id="113">
    <w:p w:rsidR="001241F6" w:rsidRPr="006B1EB3" w:rsidRDefault="006B1EB3" w:rsidP="001956C2">
      <w:pPr>
        <w:pStyle w:val="FootnoteText"/>
        <w:rPr>
          <w:rFonts w:ascii="Times New Roman" w:hAnsi="Times New Roman" w:cs="Times New Roman"/>
          <w:lang w:val="en-GB"/>
        </w:rPr>
      </w:pPr>
      <w:r w:rsidRPr="006B1EB3">
        <w:rPr>
          <w:rFonts w:ascii="Times New Roman" w:hAnsi="Times New Roman" w:cs="Times New Roman"/>
          <w:lang w:val="en-GB"/>
        </w:rPr>
        <w:t xml:space="preserve"> </w:t>
      </w:r>
      <w:r w:rsidR="001241F6" w:rsidRPr="006B1EB3">
        <w:rPr>
          <w:rStyle w:val="FootnoteReference"/>
          <w:rFonts w:ascii="Times New Roman" w:hAnsi="Times New Roman" w:cs="Times New Roman"/>
        </w:rPr>
        <w:footnoteRef/>
      </w:r>
      <w:r w:rsidRPr="006B1EB3">
        <w:rPr>
          <w:rFonts w:ascii="Times New Roman" w:hAnsi="Times New Roman" w:cs="Times New Roman"/>
          <w:lang w:val="en-GB"/>
        </w:rPr>
        <w:t xml:space="preserve"> G. </w:t>
      </w:r>
      <w:proofErr w:type="spellStart"/>
      <w:r w:rsidRPr="006B1EB3">
        <w:rPr>
          <w:rFonts w:ascii="Times New Roman" w:hAnsi="Times New Roman" w:cs="Times New Roman"/>
          <w:lang w:val="en-GB"/>
        </w:rPr>
        <w:t>Cornelisse</w:t>
      </w:r>
      <w:proofErr w:type="spellEnd"/>
      <w:r w:rsidRPr="006B1EB3">
        <w:rPr>
          <w:rFonts w:ascii="Times New Roman" w:hAnsi="Times New Roman" w:cs="Times New Roman"/>
          <w:lang w:val="en-GB"/>
        </w:rPr>
        <w:t>,</w:t>
      </w:r>
      <w:r w:rsidR="001241F6" w:rsidRPr="006B1EB3">
        <w:rPr>
          <w:rFonts w:ascii="Times New Roman" w:hAnsi="Times New Roman" w:cs="Times New Roman"/>
          <w:lang w:val="en-GB"/>
        </w:rPr>
        <w:t xml:space="preserve"> </w:t>
      </w:r>
      <w:r w:rsidRPr="006B1EB3">
        <w:rPr>
          <w:rFonts w:ascii="Times New Roman" w:hAnsi="Times New Roman" w:cs="Times New Roman"/>
          <w:lang w:val="en-GB"/>
        </w:rPr>
        <w:t>‘</w:t>
      </w:r>
      <w:r w:rsidR="001241F6" w:rsidRPr="006B1EB3">
        <w:rPr>
          <w:rFonts w:ascii="Times New Roman" w:hAnsi="Times New Roman" w:cs="Times New Roman"/>
          <w:lang w:val="en-GB"/>
        </w:rPr>
        <w:t>Territory, Procedures and Rights: Border Procedures in European Asylum Law</w:t>
      </w:r>
      <w:r w:rsidRPr="006B1EB3">
        <w:rPr>
          <w:rFonts w:ascii="Times New Roman" w:hAnsi="Times New Roman" w:cs="Times New Roman"/>
          <w:lang w:val="en-GB"/>
        </w:rPr>
        <w:t xml:space="preserve">’ (2016) 35 </w:t>
      </w:r>
      <w:r w:rsidR="001241F6" w:rsidRPr="006B1EB3">
        <w:rPr>
          <w:rFonts w:ascii="Times New Roman" w:hAnsi="Times New Roman" w:cs="Times New Roman"/>
          <w:i/>
          <w:lang w:val="en-GB"/>
        </w:rPr>
        <w:t>R</w:t>
      </w:r>
      <w:r w:rsidRPr="006B1EB3">
        <w:rPr>
          <w:rFonts w:ascii="Times New Roman" w:hAnsi="Times New Roman" w:cs="Times New Roman"/>
          <w:i/>
          <w:lang w:val="en-GB"/>
        </w:rPr>
        <w:t>efugee Survey Quarterly</w:t>
      </w:r>
      <w:r w:rsidRPr="006B1EB3">
        <w:rPr>
          <w:rFonts w:ascii="Times New Roman" w:hAnsi="Times New Roman" w:cs="Times New Roman"/>
          <w:lang w:val="en-GB"/>
        </w:rPr>
        <w:t xml:space="preserve"> 74.</w:t>
      </w:r>
    </w:p>
  </w:footnote>
  <w:footnote w:id="114">
    <w:p w:rsidR="001241F6" w:rsidRPr="006B1EB3" w:rsidRDefault="001241F6" w:rsidP="001956C2">
      <w:pPr>
        <w:pStyle w:val="NormalWeb"/>
        <w:shd w:val="clear" w:color="auto" w:fill="FFFFFF"/>
        <w:spacing w:before="0" w:beforeAutospacing="0" w:after="0" w:afterAutospacing="0" w:line="345" w:lineRule="atLeast"/>
        <w:textAlignment w:val="baseline"/>
        <w:rPr>
          <w:color w:val="333333"/>
          <w:sz w:val="20"/>
          <w:szCs w:val="20"/>
          <w:shd w:val="clear" w:color="auto" w:fill="FFFFFF"/>
        </w:rPr>
      </w:pPr>
      <w:r w:rsidRPr="006B1EB3">
        <w:rPr>
          <w:rStyle w:val="FootnoteReference"/>
          <w:sz w:val="20"/>
          <w:szCs w:val="20"/>
        </w:rPr>
        <w:footnoteRef/>
      </w:r>
      <w:r w:rsidRPr="006B1EB3">
        <w:rPr>
          <w:sz w:val="20"/>
          <w:szCs w:val="20"/>
        </w:rPr>
        <w:t xml:space="preserve"> </w:t>
      </w:r>
      <w:hyperlink r:id="rId31" w:history="1">
        <w:r w:rsidRPr="006B1EB3">
          <w:rPr>
            <w:rStyle w:val="Hyperlink"/>
            <w:rFonts w:eastAsiaTheme="majorEastAsia"/>
            <w:sz w:val="20"/>
            <w:szCs w:val="20"/>
            <w:shd w:val="clear" w:color="auto" w:fill="FFFFFF"/>
          </w:rPr>
          <w:t>https://euaa.europa.eu/sites/default/files/publications/Border-procedures-asylum-applications-2020.pdf</w:t>
        </w:r>
      </w:hyperlink>
      <w:r w:rsidRPr="006B1EB3">
        <w:rPr>
          <w:rStyle w:val="Hyperlink"/>
          <w:rFonts w:eastAsiaTheme="majorEastAsia"/>
          <w:sz w:val="20"/>
          <w:szCs w:val="20"/>
          <w:shd w:val="clear" w:color="auto" w:fill="FFFFFF"/>
        </w:rPr>
        <w:t xml:space="preserve"> p.23.</w:t>
      </w:r>
    </w:p>
    <w:p w:rsidR="001241F6" w:rsidRPr="006B1EB3" w:rsidRDefault="001241F6" w:rsidP="001956C2">
      <w:pPr>
        <w:pStyle w:val="FootnoteText"/>
        <w:rPr>
          <w:rFonts w:ascii="Times New Roman" w:hAnsi="Times New Roman" w:cs="Times New Roman"/>
          <w:lang w:val="en-GB"/>
        </w:rPr>
      </w:pPr>
    </w:p>
  </w:footnote>
  <w:footnote w:id="115">
    <w:p w:rsidR="001241F6" w:rsidRPr="006B1EB3" w:rsidRDefault="001241F6" w:rsidP="001956C2">
      <w:pPr>
        <w:pStyle w:val="NormalWeb"/>
        <w:shd w:val="clear" w:color="auto" w:fill="FFFFFF"/>
        <w:spacing w:before="0" w:beforeAutospacing="0" w:after="0" w:afterAutospacing="0" w:line="345" w:lineRule="atLeast"/>
        <w:textAlignment w:val="baseline"/>
        <w:rPr>
          <w:b/>
          <w:color w:val="333333"/>
          <w:sz w:val="20"/>
          <w:szCs w:val="20"/>
          <w:shd w:val="clear" w:color="auto" w:fill="FFFFFF"/>
        </w:rPr>
      </w:pPr>
      <w:r w:rsidRPr="006B1EB3">
        <w:rPr>
          <w:rStyle w:val="FootnoteReference"/>
          <w:sz w:val="20"/>
          <w:szCs w:val="20"/>
        </w:rPr>
        <w:footnoteRef/>
      </w:r>
      <w:r w:rsidRPr="006B1EB3">
        <w:rPr>
          <w:sz w:val="20"/>
          <w:szCs w:val="20"/>
        </w:rPr>
        <w:t xml:space="preserve"> Amended proposal for a Regulation establishing a common procedure for international protection in the Union and repealing Directive 2013/32/EU, Brussels, 23.9.2020 </w:t>
      </w:r>
      <w:proofErr w:type="gramStart"/>
      <w:r w:rsidRPr="006B1EB3">
        <w:rPr>
          <w:sz w:val="20"/>
          <w:szCs w:val="20"/>
        </w:rPr>
        <w:t>COM(</w:t>
      </w:r>
      <w:proofErr w:type="gramEnd"/>
      <w:r w:rsidRPr="006B1EB3">
        <w:rPr>
          <w:sz w:val="20"/>
          <w:szCs w:val="20"/>
        </w:rPr>
        <w:t>2020) 611 final 2016/0224 (COD).</w:t>
      </w:r>
    </w:p>
    <w:p w:rsidR="001241F6" w:rsidRPr="006B1EB3" w:rsidRDefault="001241F6" w:rsidP="001956C2">
      <w:pPr>
        <w:pStyle w:val="FootnoteText"/>
        <w:rPr>
          <w:rFonts w:ascii="Times New Roman" w:hAnsi="Times New Roman" w:cs="Times New Roman"/>
          <w:lang w:val="en-GB"/>
        </w:rPr>
      </w:pPr>
    </w:p>
  </w:footnote>
  <w:footnote w:id="116">
    <w:p w:rsidR="001241F6" w:rsidRPr="00610BC8" w:rsidRDefault="001241F6" w:rsidP="001956C2">
      <w:pPr>
        <w:pStyle w:val="FootnoteText"/>
        <w:rPr>
          <w:lang w:val="en-GB"/>
        </w:rPr>
      </w:pPr>
      <w:r w:rsidRPr="006B1EB3">
        <w:rPr>
          <w:rStyle w:val="FootnoteReference"/>
          <w:rFonts w:ascii="Times New Roman" w:hAnsi="Times New Roman" w:cs="Times New Roman"/>
        </w:rPr>
        <w:footnoteRef/>
      </w:r>
      <w:r w:rsidRPr="006B1EB3">
        <w:rPr>
          <w:rFonts w:ascii="Times New Roman" w:hAnsi="Times New Roman" w:cs="Times New Roman"/>
          <w:lang w:val="en-GB"/>
        </w:rPr>
        <w:t xml:space="preserve"> COM (2020) 611, 4.</w:t>
      </w:r>
    </w:p>
  </w:footnote>
  <w:footnote w:id="117">
    <w:p w:rsidR="001241F6" w:rsidRPr="00610BC8" w:rsidRDefault="001241F6" w:rsidP="001956C2">
      <w:pPr>
        <w:pStyle w:val="FootnoteText"/>
        <w:rPr>
          <w:lang w:val="en-GB"/>
        </w:rPr>
      </w:pPr>
      <w:r>
        <w:rPr>
          <w:rStyle w:val="FootnoteReference"/>
        </w:rPr>
        <w:footnoteRef/>
      </w:r>
      <w:r w:rsidRPr="006D30D8">
        <w:rPr>
          <w:lang w:val="en-GB"/>
        </w:rPr>
        <w:t xml:space="preserve"> </w:t>
      </w:r>
      <w:r>
        <w:rPr>
          <w:lang w:val="en-GB"/>
        </w:rPr>
        <w:t>Ibid.</w:t>
      </w:r>
    </w:p>
  </w:footnote>
  <w:footnote w:id="118">
    <w:p w:rsidR="001241F6" w:rsidRPr="005E423F" w:rsidRDefault="001241F6" w:rsidP="001956C2">
      <w:pPr>
        <w:pStyle w:val="FootnoteText"/>
        <w:rPr>
          <w:b/>
          <w:lang w:val="en-GB"/>
        </w:rPr>
      </w:pPr>
      <w:r>
        <w:rPr>
          <w:rStyle w:val="FootnoteReference"/>
        </w:rPr>
        <w:footnoteRef/>
      </w:r>
      <w:r w:rsidRPr="005E423F">
        <w:rPr>
          <w:lang w:val="en-GB"/>
        </w:rPr>
        <w:t xml:space="preserve"> </w:t>
      </w:r>
      <w:r>
        <w:rPr>
          <w:lang w:val="en-GB"/>
        </w:rPr>
        <w:t xml:space="preserve">Ibid. 12. </w:t>
      </w:r>
    </w:p>
  </w:footnote>
  <w:footnote w:id="119">
    <w:p w:rsidR="001241F6" w:rsidRPr="00610BC8" w:rsidRDefault="001241F6" w:rsidP="001956C2">
      <w:pPr>
        <w:pStyle w:val="FootnoteText"/>
        <w:rPr>
          <w:lang w:val="en-GB"/>
        </w:rPr>
      </w:pPr>
      <w:r>
        <w:rPr>
          <w:rStyle w:val="FootnoteReference"/>
        </w:rPr>
        <w:footnoteRef/>
      </w:r>
      <w:r w:rsidRPr="006D30D8">
        <w:rPr>
          <w:lang w:val="en-GB"/>
        </w:rPr>
        <w:t xml:space="preserve"> </w:t>
      </w:r>
      <w:r>
        <w:rPr>
          <w:lang w:val="en-GB"/>
        </w:rPr>
        <w:t>Ibid..17.</w:t>
      </w:r>
    </w:p>
  </w:footnote>
  <w:footnote w:id="120">
    <w:p w:rsidR="001241F6" w:rsidRPr="006D2905" w:rsidRDefault="001241F6" w:rsidP="001956C2">
      <w:pPr>
        <w:pStyle w:val="FootnoteText"/>
        <w:rPr>
          <w:lang w:val="en-GB"/>
        </w:rPr>
      </w:pPr>
      <w:r>
        <w:rPr>
          <w:rStyle w:val="FootnoteReference"/>
        </w:rPr>
        <w:footnoteRef/>
      </w:r>
      <w:r w:rsidRPr="006D30D8">
        <w:rPr>
          <w:lang w:val="en-GB"/>
        </w:rPr>
        <w:t xml:space="preserve"> </w:t>
      </w:r>
      <w:r>
        <w:rPr>
          <w:lang w:val="en-GB"/>
        </w:rPr>
        <w:t>Amended Article 41(1), COM (2020) 611.</w:t>
      </w:r>
    </w:p>
  </w:footnote>
  <w:footnote w:id="121">
    <w:p w:rsidR="001241F6" w:rsidRPr="006D2905" w:rsidRDefault="001241F6" w:rsidP="001956C2">
      <w:pPr>
        <w:pStyle w:val="FootnoteText"/>
        <w:rPr>
          <w:lang w:val="en-GB"/>
        </w:rPr>
      </w:pPr>
      <w:r>
        <w:rPr>
          <w:rStyle w:val="FootnoteReference"/>
        </w:rPr>
        <w:footnoteRef/>
      </w:r>
      <w:r w:rsidRPr="006D2905">
        <w:rPr>
          <w:lang w:val="en-GB"/>
        </w:rPr>
        <w:t xml:space="preserve"> </w:t>
      </w:r>
      <w:r>
        <w:rPr>
          <w:lang w:val="en-GB"/>
        </w:rPr>
        <w:t>According to Article 41(6), applicants will not have a right to remain after a rejection decision on a number of grounds (see Article 54(1)), COM (2020) 611</w:t>
      </w:r>
    </w:p>
  </w:footnote>
  <w:footnote w:id="122">
    <w:p w:rsidR="001241F6" w:rsidRPr="00FA3E57" w:rsidRDefault="001241F6" w:rsidP="001956C2">
      <w:pPr>
        <w:pStyle w:val="NormalWeb"/>
        <w:shd w:val="clear" w:color="auto" w:fill="FFFFFF"/>
        <w:spacing w:before="0" w:beforeAutospacing="0" w:after="0" w:afterAutospacing="0" w:line="345" w:lineRule="atLeast"/>
        <w:textAlignment w:val="baseline"/>
        <w:rPr>
          <w:sz w:val="20"/>
          <w:szCs w:val="20"/>
        </w:rPr>
      </w:pPr>
      <w:r w:rsidRPr="00FA3E57">
        <w:rPr>
          <w:rStyle w:val="FootnoteReference"/>
          <w:sz w:val="20"/>
          <w:szCs w:val="20"/>
        </w:rPr>
        <w:footnoteRef/>
      </w:r>
      <w:r w:rsidRPr="00FA3E57">
        <w:rPr>
          <w:sz w:val="20"/>
          <w:szCs w:val="20"/>
        </w:rPr>
        <w:t xml:space="preserve"> </w:t>
      </w:r>
      <w:r>
        <w:rPr>
          <w:sz w:val="20"/>
          <w:szCs w:val="20"/>
        </w:rPr>
        <w:t>Proposal for a Regulation</w:t>
      </w:r>
      <w:r w:rsidRPr="00FA3E57">
        <w:rPr>
          <w:sz w:val="20"/>
          <w:szCs w:val="20"/>
        </w:rPr>
        <w:t xml:space="preserve"> introducing a screening of third country nationals at the external borders and amending Regulations (EC) No 767/2008, (EU) 2017/2226, (EU) 2018/1240 and (EU) 2019/817</w:t>
      </w:r>
      <w:r>
        <w:rPr>
          <w:sz w:val="20"/>
          <w:szCs w:val="20"/>
        </w:rPr>
        <w:t xml:space="preserve">, </w:t>
      </w:r>
      <w:r w:rsidRPr="00FA3E57">
        <w:rPr>
          <w:sz w:val="20"/>
          <w:szCs w:val="20"/>
        </w:rPr>
        <w:t>Brussels, 23.9.2020 COM(2020) 612 final 2020/0278 (COD)</w:t>
      </w:r>
    </w:p>
    <w:p w:rsidR="001241F6" w:rsidRPr="00FA3E57" w:rsidRDefault="001241F6" w:rsidP="001956C2">
      <w:pPr>
        <w:pStyle w:val="FootnoteText"/>
        <w:rPr>
          <w:rFonts w:ascii="Times New Roman" w:hAnsi="Times New Roman" w:cs="Times New Roman"/>
          <w:lang w:val="en-GB"/>
        </w:rPr>
      </w:pPr>
    </w:p>
  </w:footnote>
  <w:footnote w:id="123">
    <w:p w:rsidR="001241F6" w:rsidRPr="00FA3E57" w:rsidRDefault="001241F6" w:rsidP="001956C2">
      <w:pPr>
        <w:pStyle w:val="FootnoteText"/>
        <w:rPr>
          <w:rFonts w:ascii="Times New Roman" w:hAnsi="Times New Roman" w:cs="Times New Roman"/>
          <w:lang w:val="en-GB"/>
        </w:rPr>
      </w:pPr>
      <w:r w:rsidRPr="00FA3E57">
        <w:rPr>
          <w:rStyle w:val="FootnoteReference"/>
          <w:rFonts w:ascii="Times New Roman" w:hAnsi="Times New Roman" w:cs="Times New Roman"/>
        </w:rPr>
        <w:footnoteRef/>
      </w:r>
      <w:r w:rsidRPr="00FA3E57">
        <w:rPr>
          <w:rFonts w:ascii="Times New Roman" w:hAnsi="Times New Roman" w:cs="Times New Roman"/>
          <w:lang w:val="en-GB"/>
        </w:rPr>
        <w:t xml:space="preserve"> </w:t>
      </w:r>
      <w:proofErr w:type="gramStart"/>
      <w:r w:rsidRPr="00887778">
        <w:rPr>
          <w:lang w:val="en-GB"/>
        </w:rPr>
        <w:t>COM(</w:t>
      </w:r>
      <w:proofErr w:type="gramEnd"/>
      <w:r w:rsidRPr="00887778">
        <w:rPr>
          <w:lang w:val="en-GB"/>
        </w:rPr>
        <w:t xml:space="preserve">2020) 612 </w:t>
      </w:r>
      <w:r>
        <w:rPr>
          <w:lang w:val="en-GB"/>
        </w:rPr>
        <w:t xml:space="preserve">, 1 and </w:t>
      </w:r>
      <w:r w:rsidRPr="00FA3E57">
        <w:rPr>
          <w:rFonts w:ascii="Times New Roman" w:hAnsi="Times New Roman" w:cs="Times New Roman"/>
          <w:lang w:val="en-GB"/>
        </w:rPr>
        <w:t xml:space="preserve">Article 3(1) of the </w:t>
      </w:r>
      <w:r>
        <w:rPr>
          <w:rFonts w:ascii="Times New Roman" w:hAnsi="Times New Roman" w:cs="Times New Roman"/>
          <w:lang w:val="en-GB"/>
        </w:rPr>
        <w:t xml:space="preserve">draft </w:t>
      </w:r>
      <w:r w:rsidRPr="00FA3E57">
        <w:rPr>
          <w:rFonts w:ascii="Times New Roman" w:hAnsi="Times New Roman" w:cs="Times New Roman"/>
          <w:lang w:val="en-GB"/>
        </w:rPr>
        <w:t>Regulation.</w:t>
      </w:r>
    </w:p>
  </w:footnote>
  <w:footnote w:id="124">
    <w:p w:rsidR="001241F6" w:rsidRPr="00FA3E57" w:rsidRDefault="001241F6" w:rsidP="001956C2">
      <w:pPr>
        <w:pStyle w:val="FootnoteText"/>
        <w:rPr>
          <w:rFonts w:ascii="Times New Roman" w:hAnsi="Times New Roman" w:cs="Times New Roman"/>
          <w:lang w:val="en-GB"/>
        </w:rPr>
      </w:pPr>
      <w:r w:rsidRPr="00FA3E57">
        <w:rPr>
          <w:rStyle w:val="FootnoteReference"/>
          <w:rFonts w:ascii="Times New Roman" w:hAnsi="Times New Roman" w:cs="Times New Roman"/>
        </w:rPr>
        <w:footnoteRef/>
      </w:r>
      <w:r w:rsidRPr="00FA3E57">
        <w:rPr>
          <w:rFonts w:ascii="Times New Roman" w:hAnsi="Times New Roman" w:cs="Times New Roman"/>
          <w:lang w:val="en-GB"/>
        </w:rPr>
        <w:t xml:space="preserve"> </w:t>
      </w:r>
      <w:proofErr w:type="gramStart"/>
      <w:r>
        <w:rPr>
          <w:lang w:val="en-GB"/>
        </w:rPr>
        <w:t>COM(</w:t>
      </w:r>
      <w:proofErr w:type="gramEnd"/>
      <w:r>
        <w:rPr>
          <w:lang w:val="en-GB"/>
        </w:rPr>
        <w:t xml:space="preserve">2020) 612, </w:t>
      </w:r>
      <w:r w:rsidRPr="00FA3E57">
        <w:rPr>
          <w:rFonts w:ascii="Times New Roman" w:hAnsi="Times New Roman" w:cs="Times New Roman"/>
          <w:lang w:val="en-GB"/>
        </w:rPr>
        <w:t>2.</w:t>
      </w:r>
    </w:p>
  </w:footnote>
  <w:footnote w:id="125">
    <w:p w:rsidR="001241F6" w:rsidRPr="00FA3E57" w:rsidRDefault="001241F6" w:rsidP="001956C2">
      <w:pPr>
        <w:pStyle w:val="FootnoteText"/>
        <w:rPr>
          <w:rFonts w:ascii="Times New Roman" w:hAnsi="Times New Roman" w:cs="Times New Roman"/>
          <w:lang w:val="en-GB"/>
        </w:rPr>
      </w:pPr>
      <w:r w:rsidRPr="00FA3E57">
        <w:rPr>
          <w:rStyle w:val="FootnoteReference"/>
          <w:rFonts w:ascii="Times New Roman" w:hAnsi="Times New Roman" w:cs="Times New Roman"/>
        </w:rPr>
        <w:footnoteRef/>
      </w:r>
      <w:r w:rsidRPr="00FA3E57">
        <w:rPr>
          <w:rFonts w:ascii="Times New Roman" w:hAnsi="Times New Roman" w:cs="Times New Roman"/>
          <w:lang w:val="en-GB"/>
        </w:rPr>
        <w:t xml:space="preserve"> </w:t>
      </w:r>
      <w:r>
        <w:rPr>
          <w:rFonts w:ascii="Times New Roman" w:hAnsi="Times New Roman" w:cs="Times New Roman"/>
          <w:lang w:val="en-GB"/>
        </w:rPr>
        <w:t xml:space="preserve">Recital 12, </w:t>
      </w:r>
      <w:r>
        <w:rPr>
          <w:lang w:val="en-GB"/>
        </w:rPr>
        <w:t>COM(2020) 612</w:t>
      </w:r>
    </w:p>
  </w:footnote>
  <w:footnote w:id="126">
    <w:p w:rsidR="001241F6" w:rsidRPr="00FA3E57" w:rsidRDefault="001241F6" w:rsidP="001956C2">
      <w:pPr>
        <w:pStyle w:val="NormalWeb"/>
        <w:shd w:val="clear" w:color="auto" w:fill="FFFFFF"/>
        <w:spacing w:before="0" w:beforeAutospacing="0" w:after="0" w:afterAutospacing="0" w:line="345" w:lineRule="atLeast"/>
        <w:textAlignment w:val="baseline"/>
        <w:rPr>
          <w:sz w:val="20"/>
          <w:szCs w:val="20"/>
        </w:rPr>
      </w:pPr>
      <w:r w:rsidRPr="00FA3E57">
        <w:rPr>
          <w:rStyle w:val="FootnoteReference"/>
          <w:sz w:val="20"/>
          <w:szCs w:val="20"/>
        </w:rPr>
        <w:footnoteRef/>
      </w:r>
      <w:r w:rsidRPr="00FA3E57">
        <w:rPr>
          <w:sz w:val="20"/>
          <w:szCs w:val="20"/>
        </w:rPr>
        <w:t xml:space="preserve"> </w:t>
      </w:r>
      <w:r>
        <w:rPr>
          <w:sz w:val="20"/>
          <w:szCs w:val="20"/>
        </w:rPr>
        <w:t xml:space="preserve">According to </w:t>
      </w:r>
      <w:r w:rsidRPr="00FA3E57">
        <w:rPr>
          <w:sz w:val="20"/>
          <w:szCs w:val="20"/>
        </w:rPr>
        <w:t>Article 6(3): the screening must be carried out without delay and shall in any case be completed within 5 days from the apprehension in the external border area, the disembarkation in the territory of the Member State concerned or the presentation at the border crossing point. In exceptional circumstances, where a disproportionate number of third-country nationals needs to be subject to the screening at the same time, making it impossible in practice to conclude the screening within that time-limit, the period of 5 days may be extended by a maximum of an additional 5 days.</w:t>
      </w:r>
    </w:p>
    <w:p w:rsidR="001241F6" w:rsidRPr="00FA3E57" w:rsidRDefault="001241F6" w:rsidP="001956C2">
      <w:pPr>
        <w:pStyle w:val="NormalWeb"/>
        <w:shd w:val="clear" w:color="auto" w:fill="FFFFFF"/>
        <w:spacing w:before="0" w:beforeAutospacing="0" w:after="0" w:afterAutospacing="0" w:line="345" w:lineRule="atLeast"/>
        <w:jc w:val="both"/>
        <w:textAlignment w:val="baseline"/>
        <w:rPr>
          <w:sz w:val="20"/>
          <w:szCs w:val="20"/>
        </w:rPr>
      </w:pPr>
    </w:p>
    <w:p w:rsidR="001241F6" w:rsidRPr="00FA3E57" w:rsidRDefault="001241F6" w:rsidP="001956C2">
      <w:pPr>
        <w:pStyle w:val="FootnoteText"/>
        <w:rPr>
          <w:rFonts w:ascii="Times New Roman" w:hAnsi="Times New Roman" w:cs="Times New Roman"/>
          <w:lang w:val="en-GB"/>
        </w:rPr>
      </w:pPr>
    </w:p>
  </w:footnote>
  <w:footnote w:id="127">
    <w:p w:rsidR="001241F6" w:rsidRPr="00985388" w:rsidRDefault="001241F6" w:rsidP="001956C2">
      <w:pPr>
        <w:pStyle w:val="FootnoteText"/>
        <w:rPr>
          <w:lang w:val="en-GB"/>
        </w:rPr>
      </w:pPr>
      <w:r w:rsidRPr="00FA3E57">
        <w:rPr>
          <w:rStyle w:val="FootnoteReference"/>
          <w:rFonts w:ascii="Times New Roman" w:hAnsi="Times New Roman" w:cs="Times New Roman"/>
        </w:rPr>
        <w:footnoteRef/>
      </w:r>
      <w:r>
        <w:rPr>
          <w:rFonts w:ascii="Times New Roman" w:hAnsi="Times New Roman" w:cs="Times New Roman"/>
          <w:lang w:val="en-GB"/>
        </w:rPr>
        <w:t xml:space="preserve"> Article 4, </w:t>
      </w:r>
      <w:proofErr w:type="gramStart"/>
      <w:r>
        <w:rPr>
          <w:lang w:val="en-GB"/>
        </w:rPr>
        <w:t>COM(</w:t>
      </w:r>
      <w:proofErr w:type="gramEnd"/>
      <w:r>
        <w:rPr>
          <w:lang w:val="en-GB"/>
        </w:rPr>
        <w:t>2020) 612.</w:t>
      </w:r>
    </w:p>
  </w:footnote>
  <w:footnote w:id="128">
    <w:p w:rsidR="001241F6" w:rsidRPr="00FA3E57" w:rsidRDefault="001241F6" w:rsidP="001956C2">
      <w:pPr>
        <w:pStyle w:val="NormalWeb"/>
        <w:shd w:val="clear" w:color="auto" w:fill="FFFFFF"/>
        <w:spacing w:before="0" w:beforeAutospacing="0" w:after="0" w:afterAutospacing="0" w:line="345" w:lineRule="atLeast"/>
        <w:textAlignment w:val="baseline"/>
        <w:rPr>
          <w:sz w:val="20"/>
          <w:szCs w:val="20"/>
        </w:rPr>
      </w:pPr>
      <w:r w:rsidRPr="00FA3E57">
        <w:rPr>
          <w:rStyle w:val="FootnoteReference"/>
          <w:sz w:val="20"/>
          <w:szCs w:val="20"/>
        </w:rPr>
        <w:footnoteRef/>
      </w:r>
      <w:r w:rsidRPr="00FA3E57">
        <w:rPr>
          <w:sz w:val="20"/>
          <w:szCs w:val="20"/>
        </w:rPr>
        <w:t xml:space="preserve"> </w:t>
      </w:r>
      <w:r>
        <w:rPr>
          <w:sz w:val="20"/>
          <w:szCs w:val="20"/>
        </w:rPr>
        <w:t xml:space="preserve">J. Vested-Hansen, </w:t>
      </w:r>
      <w:r>
        <w:rPr>
          <w:i/>
          <w:sz w:val="20"/>
          <w:szCs w:val="20"/>
        </w:rPr>
        <w:t xml:space="preserve">Border Procedure. Efficient Examination or Restricted Access to protection? , </w:t>
      </w:r>
      <w:r>
        <w:rPr>
          <w:sz w:val="20"/>
          <w:szCs w:val="20"/>
        </w:rPr>
        <w:t xml:space="preserve">18.12.2020, </w:t>
      </w:r>
      <w:hyperlink r:id="rId32" w:history="1">
        <w:r w:rsidRPr="00FA3E57">
          <w:rPr>
            <w:rStyle w:val="Hyperlink"/>
            <w:rFonts w:eastAsiaTheme="majorEastAsia"/>
            <w:sz w:val="20"/>
            <w:szCs w:val="20"/>
          </w:rPr>
          <w:t>https://eumigrationlawblog.eu/border-procedure-efficient-examination-or-restricted-access-to-protection/</w:t>
        </w:r>
      </w:hyperlink>
    </w:p>
    <w:p w:rsidR="001241F6" w:rsidRPr="00FA3E57" w:rsidRDefault="001241F6" w:rsidP="001956C2">
      <w:pPr>
        <w:pStyle w:val="FootnoteText"/>
        <w:rPr>
          <w:rFonts w:ascii="Times New Roman" w:hAnsi="Times New Roman" w:cs="Times New Roman"/>
          <w:lang w:val="en-GB"/>
        </w:rPr>
      </w:pPr>
    </w:p>
  </w:footnote>
  <w:footnote w:id="129">
    <w:p w:rsidR="001241F6" w:rsidRPr="00FA3E57" w:rsidRDefault="001241F6" w:rsidP="001956C2">
      <w:pPr>
        <w:jc w:val="both"/>
        <w:rPr>
          <w:rFonts w:ascii="Times New Roman" w:hAnsi="Times New Roman" w:cs="Times New Roman"/>
          <w:sz w:val="20"/>
          <w:szCs w:val="20"/>
        </w:rPr>
      </w:pPr>
      <w:r w:rsidRPr="00FA3E57">
        <w:rPr>
          <w:rStyle w:val="FootnoteReference"/>
          <w:rFonts w:ascii="Times New Roman" w:hAnsi="Times New Roman" w:cs="Times New Roman"/>
          <w:sz w:val="20"/>
          <w:szCs w:val="20"/>
        </w:rPr>
        <w:footnoteRef/>
      </w:r>
      <w:r w:rsidRPr="00FA3E57">
        <w:rPr>
          <w:rFonts w:ascii="Times New Roman" w:hAnsi="Times New Roman" w:cs="Times New Roman"/>
          <w:sz w:val="20"/>
          <w:szCs w:val="20"/>
        </w:rPr>
        <w:t xml:space="preserve"> J.-P. </w:t>
      </w:r>
      <w:proofErr w:type="spellStart"/>
      <w:r w:rsidRPr="00FA3E57">
        <w:rPr>
          <w:rFonts w:ascii="Times New Roman" w:hAnsi="Times New Roman" w:cs="Times New Roman"/>
          <w:sz w:val="20"/>
          <w:szCs w:val="20"/>
        </w:rPr>
        <w:t>Cassarino</w:t>
      </w:r>
      <w:proofErr w:type="spellEnd"/>
      <w:r w:rsidRPr="00FA3E57">
        <w:rPr>
          <w:rFonts w:ascii="Times New Roman" w:hAnsi="Times New Roman" w:cs="Times New Roman"/>
          <w:sz w:val="20"/>
          <w:szCs w:val="20"/>
        </w:rPr>
        <w:t xml:space="preserve"> and L. Marin, ‘The Pact on Migration and Asylum: Turning the European Ter</w:t>
      </w:r>
      <w:r>
        <w:rPr>
          <w:rFonts w:ascii="Times New Roman" w:hAnsi="Times New Roman" w:cs="Times New Roman"/>
          <w:sz w:val="20"/>
          <w:szCs w:val="20"/>
        </w:rPr>
        <w:t xml:space="preserve">ritory into a Non-territory’’ (2022) 24 </w:t>
      </w:r>
      <w:r w:rsidRPr="00FA3E57">
        <w:rPr>
          <w:rFonts w:ascii="Times New Roman" w:hAnsi="Times New Roman" w:cs="Times New Roman"/>
          <w:sz w:val="20"/>
          <w:szCs w:val="20"/>
        </w:rPr>
        <w:t xml:space="preserve"> </w:t>
      </w:r>
      <w:r w:rsidRPr="00887778">
        <w:rPr>
          <w:rFonts w:ascii="Times New Roman" w:hAnsi="Times New Roman" w:cs="Times New Roman"/>
          <w:i/>
          <w:sz w:val="20"/>
          <w:szCs w:val="20"/>
        </w:rPr>
        <w:t xml:space="preserve">EJML </w:t>
      </w:r>
      <w:r>
        <w:rPr>
          <w:rFonts w:ascii="Times New Roman" w:hAnsi="Times New Roman" w:cs="Times New Roman"/>
          <w:sz w:val="20"/>
          <w:szCs w:val="20"/>
        </w:rPr>
        <w:t xml:space="preserve"> 1, </w:t>
      </w:r>
      <w:r w:rsidRPr="00FA3E57">
        <w:rPr>
          <w:rFonts w:ascii="Times New Roman" w:hAnsi="Times New Roman" w:cs="Times New Roman"/>
          <w:sz w:val="20"/>
          <w:szCs w:val="20"/>
        </w:rPr>
        <w:t>4</w:t>
      </w:r>
    </w:p>
    <w:p w:rsidR="001241F6" w:rsidRPr="00FA3E57" w:rsidRDefault="001241F6" w:rsidP="001956C2">
      <w:pPr>
        <w:pStyle w:val="FootnoteText"/>
        <w:rPr>
          <w:rFonts w:ascii="Times New Roman" w:hAnsi="Times New Roman" w:cs="Times New Roman"/>
          <w:lang w:val="en-GB"/>
        </w:rPr>
      </w:pPr>
    </w:p>
  </w:footnote>
  <w:footnote w:id="130">
    <w:p w:rsidR="001241F6" w:rsidRPr="00FA3E57" w:rsidRDefault="001241F6" w:rsidP="001956C2">
      <w:pPr>
        <w:pStyle w:val="NormalWeb"/>
        <w:shd w:val="clear" w:color="auto" w:fill="FFFFFF"/>
        <w:spacing w:before="0" w:beforeAutospacing="0" w:after="240" w:afterAutospacing="0" w:line="360" w:lineRule="atLeast"/>
        <w:rPr>
          <w:color w:val="1C1D1E"/>
          <w:sz w:val="20"/>
          <w:szCs w:val="20"/>
        </w:rPr>
      </w:pPr>
      <w:r w:rsidRPr="00FA3E57">
        <w:rPr>
          <w:rStyle w:val="FootnoteReference"/>
          <w:sz w:val="20"/>
          <w:szCs w:val="20"/>
        </w:rPr>
        <w:footnoteRef/>
      </w:r>
      <w:r w:rsidRPr="00FA3E57">
        <w:rPr>
          <w:sz w:val="20"/>
          <w:szCs w:val="20"/>
        </w:rPr>
        <w:t xml:space="preserve"> According to </w:t>
      </w:r>
      <w:proofErr w:type="spellStart"/>
      <w:proofErr w:type="gramStart"/>
      <w:r w:rsidRPr="00FA3E57">
        <w:rPr>
          <w:sz w:val="20"/>
          <w:szCs w:val="20"/>
        </w:rPr>
        <w:t>Mouzourakis</w:t>
      </w:r>
      <w:proofErr w:type="spellEnd"/>
      <w:r w:rsidRPr="00FA3E57">
        <w:rPr>
          <w:sz w:val="20"/>
          <w:szCs w:val="20"/>
        </w:rPr>
        <w:t xml:space="preserve">  </w:t>
      </w:r>
      <w:r w:rsidRPr="00FA3E57">
        <w:rPr>
          <w:color w:val="1C1D1E"/>
          <w:sz w:val="20"/>
          <w:szCs w:val="20"/>
        </w:rPr>
        <w:t>the</w:t>
      </w:r>
      <w:proofErr w:type="gramEnd"/>
      <w:r w:rsidRPr="00FA3E57">
        <w:rPr>
          <w:color w:val="1C1D1E"/>
          <w:sz w:val="20"/>
          <w:szCs w:val="20"/>
        </w:rPr>
        <w:t xml:space="preserve"> fiction of non-entry will have a transformative effect on Greece, where the large population of asylum seekers subject to the fast-track border procedure on the islands is deemed to be present on national territory and is not indiscriminately deprived of their liberty until a decision is taken on their claim.</w:t>
      </w:r>
      <w:r w:rsidRPr="00FA3E57">
        <w:rPr>
          <w:rStyle w:val="Hyperlink"/>
          <w:rFonts w:eastAsiaTheme="majorEastAsia"/>
          <w:bCs/>
          <w:color w:val="005274"/>
          <w:sz w:val="20"/>
          <w:szCs w:val="20"/>
        </w:rPr>
        <w:t>- op. cit.</w:t>
      </w:r>
    </w:p>
    <w:p w:rsidR="001241F6" w:rsidRPr="00FA3E57" w:rsidRDefault="001241F6" w:rsidP="001956C2">
      <w:pPr>
        <w:pStyle w:val="FootnoteText"/>
        <w:rPr>
          <w:rFonts w:ascii="Times New Roman" w:hAnsi="Times New Roman" w:cs="Times New Roman"/>
          <w:lang w:val="en-GB"/>
        </w:rPr>
      </w:pPr>
    </w:p>
  </w:footnote>
  <w:footnote w:id="131">
    <w:p w:rsidR="001241F6" w:rsidRPr="00FA3E57" w:rsidRDefault="001241F6" w:rsidP="001956C2">
      <w:pPr>
        <w:pStyle w:val="FootnoteText"/>
        <w:rPr>
          <w:rFonts w:ascii="Times New Roman" w:hAnsi="Times New Roman" w:cs="Times New Roman"/>
          <w:lang w:val="en-GB"/>
        </w:rPr>
      </w:pPr>
      <w:r w:rsidRPr="00FA3E57">
        <w:rPr>
          <w:rStyle w:val="FootnoteReference"/>
          <w:rFonts w:ascii="Times New Roman" w:hAnsi="Times New Roman" w:cs="Times New Roman"/>
        </w:rPr>
        <w:footnoteRef/>
      </w:r>
      <w:r w:rsidRPr="00FA3E57">
        <w:rPr>
          <w:rFonts w:ascii="Times New Roman" w:hAnsi="Times New Roman" w:cs="Times New Roman"/>
          <w:lang w:val="en-GB"/>
        </w:rPr>
        <w:t xml:space="preserve"> According to </w:t>
      </w:r>
      <w:proofErr w:type="spellStart"/>
      <w:r w:rsidRPr="00FA3E57">
        <w:rPr>
          <w:rFonts w:ascii="Times New Roman" w:hAnsi="Times New Roman" w:cs="Times New Roman"/>
          <w:lang w:val="en-GB"/>
        </w:rPr>
        <w:t>Cassarino</w:t>
      </w:r>
      <w:proofErr w:type="spellEnd"/>
      <w:r w:rsidRPr="00FA3E57">
        <w:rPr>
          <w:rFonts w:ascii="Times New Roman" w:hAnsi="Times New Roman" w:cs="Times New Roman"/>
          <w:lang w:val="en-GB"/>
        </w:rPr>
        <w:t xml:space="preserve"> and Marin, with the new pre-entry screening and the reformed border procedures, the EU is asking the Member States most concerned by migration fluxes to consolidate the containment function of the external borders- op. cit., 158.</w:t>
      </w:r>
    </w:p>
  </w:footnote>
  <w:footnote w:id="132">
    <w:p w:rsidR="001241F6" w:rsidRPr="00FA3E57" w:rsidRDefault="001241F6" w:rsidP="001956C2">
      <w:pPr>
        <w:spacing w:before="150" w:after="150" w:line="330" w:lineRule="atLeast"/>
        <w:rPr>
          <w:rFonts w:ascii="Times New Roman" w:hAnsi="Times New Roman" w:cs="Times New Roman"/>
          <w:color w:val="005274"/>
          <w:sz w:val="20"/>
          <w:szCs w:val="20"/>
          <w:u w:val="single"/>
          <w:shd w:val="clear" w:color="auto" w:fill="FFFFFF"/>
        </w:rPr>
      </w:pPr>
      <w:r w:rsidRPr="00FA3E57">
        <w:rPr>
          <w:rStyle w:val="FootnoteReference"/>
          <w:rFonts w:ascii="Times New Roman" w:hAnsi="Times New Roman" w:cs="Times New Roman"/>
          <w:sz w:val="20"/>
          <w:szCs w:val="20"/>
        </w:rPr>
        <w:footnoteRef/>
      </w:r>
      <w:r w:rsidRPr="00FA3E57">
        <w:rPr>
          <w:rFonts w:ascii="Times New Roman" w:hAnsi="Times New Roman" w:cs="Times New Roman"/>
          <w:sz w:val="20"/>
          <w:szCs w:val="20"/>
        </w:rPr>
        <w:t xml:space="preserve"> </w:t>
      </w:r>
      <w:proofErr w:type="spellStart"/>
      <w:proofErr w:type="gramStart"/>
      <w:r w:rsidRPr="00FA3E57">
        <w:rPr>
          <w:rFonts w:ascii="Times New Roman" w:hAnsi="Times New Roman" w:cs="Times New Roman"/>
          <w:sz w:val="20"/>
          <w:szCs w:val="20"/>
        </w:rPr>
        <w:t>E.Guild</w:t>
      </w:r>
      <w:proofErr w:type="spellEnd"/>
      <w:proofErr w:type="gramEnd"/>
      <w:r w:rsidRPr="00FA3E57">
        <w:rPr>
          <w:rFonts w:ascii="Times New Roman" w:hAnsi="Times New Roman" w:cs="Times New Roman"/>
          <w:sz w:val="20"/>
          <w:szCs w:val="20"/>
        </w:rPr>
        <w:t xml:space="preserve">, </w:t>
      </w:r>
      <w:r w:rsidRPr="00FA3E57">
        <w:rPr>
          <w:rFonts w:ascii="Times New Roman" w:hAnsi="Times New Roman" w:cs="Times New Roman"/>
          <w:sz w:val="20"/>
          <w:szCs w:val="20"/>
        </w:rPr>
        <w:fldChar w:fldCharType="begin"/>
      </w:r>
      <w:r w:rsidRPr="00FA3E57">
        <w:rPr>
          <w:rFonts w:ascii="Times New Roman" w:hAnsi="Times New Roman" w:cs="Times New Roman"/>
          <w:sz w:val="20"/>
          <w:szCs w:val="20"/>
        </w:rPr>
        <w:instrText xml:space="preserve"> HYPERLINK "https://onlinelibrary.wiley.com/doi/10.1111/eulj.12410" </w:instrText>
      </w:r>
      <w:r w:rsidRPr="00FA3E57">
        <w:rPr>
          <w:rFonts w:ascii="Times New Roman" w:hAnsi="Times New Roman" w:cs="Times New Roman"/>
          <w:sz w:val="20"/>
          <w:szCs w:val="20"/>
        </w:rPr>
        <w:fldChar w:fldCharType="separate"/>
      </w:r>
      <w:r w:rsidRPr="00FA3E57">
        <w:rPr>
          <w:rFonts w:ascii="Times New Roman" w:hAnsi="Times New Roman" w:cs="Times New Roman"/>
          <w:color w:val="005274"/>
          <w:sz w:val="20"/>
          <w:szCs w:val="20"/>
          <w:shd w:val="clear" w:color="auto" w:fill="FFFFFF"/>
        </w:rPr>
        <w:t>Promoting the European way of life: Mi</w:t>
      </w:r>
      <w:r>
        <w:rPr>
          <w:rFonts w:ascii="Times New Roman" w:hAnsi="Times New Roman" w:cs="Times New Roman"/>
          <w:color w:val="005274"/>
          <w:sz w:val="20"/>
          <w:szCs w:val="20"/>
          <w:shd w:val="clear" w:color="auto" w:fill="FFFFFF"/>
        </w:rPr>
        <w:t xml:space="preserve">gration and asylum in the EU’ (2020) 26 </w:t>
      </w:r>
      <w:r w:rsidRPr="00FA3E57">
        <w:rPr>
          <w:rFonts w:ascii="Times New Roman" w:hAnsi="Times New Roman" w:cs="Times New Roman"/>
          <w:color w:val="005274"/>
          <w:sz w:val="20"/>
          <w:szCs w:val="20"/>
          <w:shd w:val="clear" w:color="auto" w:fill="FFFFFF"/>
        </w:rPr>
        <w:t xml:space="preserve"> </w:t>
      </w:r>
      <w:r w:rsidRPr="00FA3E57">
        <w:rPr>
          <w:rFonts w:ascii="Times New Roman" w:hAnsi="Times New Roman" w:cs="Times New Roman"/>
          <w:i/>
          <w:color w:val="005274"/>
          <w:sz w:val="20"/>
          <w:szCs w:val="20"/>
          <w:shd w:val="clear" w:color="auto" w:fill="FFFFFF"/>
        </w:rPr>
        <w:t xml:space="preserve">ELJ </w:t>
      </w:r>
      <w:r>
        <w:rPr>
          <w:rFonts w:ascii="Times New Roman" w:hAnsi="Times New Roman" w:cs="Times New Roman"/>
          <w:color w:val="005274"/>
          <w:sz w:val="20"/>
          <w:szCs w:val="20"/>
          <w:shd w:val="clear" w:color="auto" w:fill="FFFFFF"/>
        </w:rPr>
        <w:t>355,</w:t>
      </w:r>
      <w:r w:rsidRPr="00FA3E57">
        <w:rPr>
          <w:rFonts w:ascii="Times New Roman" w:hAnsi="Times New Roman" w:cs="Times New Roman"/>
          <w:color w:val="005274"/>
          <w:sz w:val="20"/>
          <w:szCs w:val="20"/>
          <w:shd w:val="clear" w:color="auto" w:fill="FFFFFF"/>
        </w:rPr>
        <w:t xml:space="preserve"> 367.</w:t>
      </w:r>
    </w:p>
    <w:p w:rsidR="001241F6" w:rsidRPr="00513E75" w:rsidRDefault="001241F6" w:rsidP="00513E75">
      <w:pPr>
        <w:rPr>
          <w:rFonts w:ascii="Times New Roman" w:hAnsi="Times New Roman"/>
          <w:sz w:val="24"/>
          <w:szCs w:val="24"/>
        </w:rPr>
      </w:pPr>
      <w:r w:rsidRPr="00FA3E57">
        <w:rPr>
          <w:rFonts w:ascii="Times New Roman" w:hAnsi="Times New Roman" w:cs="Times New Roman"/>
          <w:sz w:val="20"/>
          <w:szCs w:val="20"/>
        </w:rPr>
        <w:fldChar w:fldCharType="end"/>
      </w:r>
    </w:p>
  </w:footnote>
  <w:footnote w:id="133">
    <w:p w:rsidR="001241F6" w:rsidRPr="0098143F" w:rsidRDefault="001241F6" w:rsidP="001956C2">
      <w:pPr>
        <w:pStyle w:val="FootnoteText"/>
        <w:rPr>
          <w:rFonts w:ascii="Times New Roman" w:hAnsi="Times New Roman" w:cs="Times New Roman"/>
          <w:lang w:val="en-GB"/>
        </w:rPr>
      </w:pPr>
      <w:r w:rsidRPr="0098143F">
        <w:rPr>
          <w:rStyle w:val="FootnoteReference"/>
          <w:rFonts w:ascii="Times New Roman" w:hAnsi="Times New Roman" w:cs="Times New Roman"/>
        </w:rPr>
        <w:footnoteRef/>
      </w:r>
      <w:r w:rsidRPr="0098143F">
        <w:rPr>
          <w:rFonts w:ascii="Times New Roman" w:hAnsi="Times New Roman" w:cs="Times New Roman"/>
          <w:lang w:val="en-GB"/>
        </w:rPr>
        <w:t xml:space="preserve"> V. Mitsilegas, </w:t>
      </w:r>
      <w:r w:rsidRPr="0098143F">
        <w:rPr>
          <w:rFonts w:ascii="Times New Roman" w:hAnsi="Times New Roman" w:cs="Times New Roman"/>
          <w:i/>
          <w:lang w:val="en-GB"/>
        </w:rPr>
        <w:t>The Criminal</w:t>
      </w:r>
      <w:r>
        <w:rPr>
          <w:rFonts w:ascii="Times New Roman" w:hAnsi="Times New Roman" w:cs="Times New Roman"/>
          <w:i/>
          <w:lang w:val="en-GB"/>
        </w:rPr>
        <w:t xml:space="preserve">isation of Migration in Europe </w:t>
      </w:r>
      <w:r>
        <w:rPr>
          <w:rFonts w:ascii="Times New Roman" w:hAnsi="Times New Roman" w:cs="Times New Roman"/>
          <w:lang w:val="en-GB"/>
        </w:rPr>
        <w:t>(Springer, 2015).</w:t>
      </w:r>
    </w:p>
  </w:footnote>
  <w:footnote w:id="134">
    <w:p w:rsidR="001241F6" w:rsidRPr="0098143F" w:rsidRDefault="001241F6" w:rsidP="001956C2">
      <w:pPr>
        <w:shd w:val="clear" w:color="auto" w:fill="FFFFFF"/>
        <w:spacing w:after="0" w:line="360" w:lineRule="atLeast"/>
        <w:jc w:val="both"/>
        <w:outlineLvl w:val="0"/>
        <w:rPr>
          <w:rFonts w:ascii="Times New Roman" w:eastAsia="Times New Roman" w:hAnsi="Times New Roman" w:cs="Times New Roman"/>
          <w:b/>
          <w:bCs/>
          <w:color w:val="555555"/>
          <w:kern w:val="36"/>
          <w:sz w:val="20"/>
          <w:szCs w:val="20"/>
          <w:lang w:eastAsia="en-GB"/>
        </w:rPr>
      </w:pPr>
      <w:r w:rsidRPr="0098143F">
        <w:rPr>
          <w:rStyle w:val="FootnoteReference"/>
          <w:rFonts w:ascii="Times New Roman" w:hAnsi="Times New Roman" w:cs="Times New Roman"/>
          <w:sz w:val="20"/>
          <w:szCs w:val="20"/>
        </w:rPr>
        <w:footnoteRef/>
      </w:r>
      <w:r w:rsidRPr="0098143F">
        <w:rPr>
          <w:rFonts w:ascii="Times New Roman" w:hAnsi="Times New Roman" w:cs="Times New Roman"/>
          <w:sz w:val="20"/>
          <w:szCs w:val="20"/>
        </w:rPr>
        <w:t xml:space="preserve"> G. </w:t>
      </w:r>
      <w:proofErr w:type="spellStart"/>
      <w:r w:rsidRPr="0098143F">
        <w:rPr>
          <w:rFonts w:ascii="Times New Roman" w:hAnsi="Times New Roman" w:cs="Times New Roman"/>
          <w:sz w:val="20"/>
          <w:szCs w:val="20"/>
        </w:rPr>
        <w:t>Campesi</w:t>
      </w:r>
      <w:proofErr w:type="spellEnd"/>
      <w:r w:rsidRPr="0098143F">
        <w:rPr>
          <w:rFonts w:ascii="Times New Roman" w:hAnsi="Times New Roman" w:cs="Times New Roman"/>
          <w:sz w:val="20"/>
          <w:szCs w:val="20"/>
        </w:rPr>
        <w:t>, ‘</w:t>
      </w:r>
      <w:r w:rsidRPr="0098143F">
        <w:rPr>
          <w:rFonts w:ascii="Times New Roman" w:eastAsia="Times New Roman" w:hAnsi="Times New Roman" w:cs="Times New Roman"/>
          <w:bCs/>
          <w:color w:val="555555"/>
          <w:kern w:val="36"/>
          <w:sz w:val="20"/>
          <w:szCs w:val="20"/>
          <w:lang w:eastAsia="en-GB"/>
        </w:rPr>
        <w:t>Genealogies of Immigration Detention: Migration Control and the Shifting Boundaries Between the ‘Penal</w:t>
      </w:r>
      <w:r>
        <w:rPr>
          <w:rFonts w:ascii="Times New Roman" w:eastAsia="Times New Roman" w:hAnsi="Times New Roman" w:cs="Times New Roman"/>
          <w:bCs/>
          <w:color w:val="555555"/>
          <w:kern w:val="36"/>
          <w:sz w:val="20"/>
          <w:szCs w:val="20"/>
          <w:lang w:eastAsia="en-GB"/>
        </w:rPr>
        <w:t xml:space="preserve">’ and the ‘Preventive’ State’ (2020) </w:t>
      </w:r>
      <w:proofErr w:type="gramStart"/>
      <w:r>
        <w:rPr>
          <w:rFonts w:ascii="Times New Roman" w:eastAsia="Times New Roman" w:hAnsi="Times New Roman" w:cs="Times New Roman"/>
          <w:bCs/>
          <w:color w:val="555555"/>
          <w:kern w:val="36"/>
          <w:sz w:val="20"/>
          <w:szCs w:val="20"/>
          <w:lang w:eastAsia="en-GB"/>
        </w:rPr>
        <w:t xml:space="preserve">29 </w:t>
      </w:r>
      <w:r w:rsidRPr="0098143F">
        <w:rPr>
          <w:rFonts w:ascii="Times New Roman" w:eastAsia="Times New Roman" w:hAnsi="Times New Roman" w:cs="Times New Roman"/>
          <w:bCs/>
          <w:color w:val="555555"/>
          <w:kern w:val="36"/>
          <w:sz w:val="20"/>
          <w:szCs w:val="20"/>
          <w:lang w:eastAsia="en-GB"/>
        </w:rPr>
        <w:t xml:space="preserve"> </w:t>
      </w:r>
      <w:r w:rsidRPr="0098143F">
        <w:rPr>
          <w:rFonts w:ascii="Times New Roman" w:hAnsi="Times New Roman" w:cs="Times New Roman"/>
          <w:i/>
          <w:sz w:val="20"/>
          <w:szCs w:val="20"/>
        </w:rPr>
        <w:t>Social</w:t>
      </w:r>
      <w:proofErr w:type="gramEnd"/>
      <w:r w:rsidRPr="0098143F">
        <w:rPr>
          <w:rFonts w:ascii="Times New Roman" w:hAnsi="Times New Roman" w:cs="Times New Roman"/>
          <w:i/>
          <w:sz w:val="20"/>
          <w:szCs w:val="20"/>
        </w:rPr>
        <w:t xml:space="preserve"> and Legal Studies</w:t>
      </w:r>
      <w:r w:rsidRPr="0098143F">
        <w:rPr>
          <w:rFonts w:ascii="Times New Roman" w:hAnsi="Times New Roman" w:cs="Times New Roman"/>
          <w:sz w:val="20"/>
          <w:szCs w:val="20"/>
        </w:rPr>
        <w:t>, 528</w:t>
      </w:r>
      <w:r w:rsidRPr="0098143F">
        <w:rPr>
          <w:rFonts w:ascii="Times New Roman" w:hAnsi="Times New Roman" w:cs="Times New Roman"/>
          <w:color w:val="2A2A2A"/>
          <w:sz w:val="20"/>
          <w:szCs w:val="20"/>
          <w:shd w:val="clear" w:color="auto" w:fill="FFFFFF"/>
        </w:rPr>
        <w:t xml:space="preserve"> </w:t>
      </w:r>
      <w:r w:rsidRPr="0098143F">
        <w:rPr>
          <w:rFonts w:ascii="Times New Roman" w:hAnsi="Times New Roman" w:cs="Times New Roman"/>
          <w:sz w:val="20"/>
          <w:szCs w:val="20"/>
        </w:rPr>
        <w:t>-529.</w:t>
      </w:r>
    </w:p>
    <w:p w:rsidR="001241F6" w:rsidRPr="0098143F" w:rsidRDefault="001241F6" w:rsidP="001956C2">
      <w:pPr>
        <w:pStyle w:val="FootnoteText"/>
        <w:rPr>
          <w:rFonts w:ascii="Times New Roman" w:hAnsi="Times New Roman" w:cs="Times New Roman"/>
          <w:lang w:val="en-GB"/>
        </w:rPr>
      </w:pPr>
    </w:p>
  </w:footnote>
  <w:footnote w:id="135">
    <w:p w:rsidR="001241F6" w:rsidRPr="0098143F" w:rsidRDefault="001241F6" w:rsidP="001956C2">
      <w:pPr>
        <w:pStyle w:val="FootnoteText"/>
        <w:rPr>
          <w:rFonts w:ascii="Times New Roman" w:hAnsi="Times New Roman" w:cs="Times New Roman"/>
          <w:lang w:val="en-GB"/>
        </w:rPr>
      </w:pPr>
      <w:r w:rsidRPr="0098143F">
        <w:rPr>
          <w:rStyle w:val="FootnoteReference"/>
          <w:rFonts w:ascii="Times New Roman" w:hAnsi="Times New Roman" w:cs="Times New Roman"/>
        </w:rPr>
        <w:footnoteRef/>
      </w:r>
      <w:r>
        <w:rPr>
          <w:rFonts w:ascii="Times New Roman" w:hAnsi="Times New Roman" w:cs="Times New Roman"/>
          <w:lang w:val="en-GB"/>
        </w:rPr>
        <w:t xml:space="preserve"> </w:t>
      </w:r>
      <w:proofErr w:type="spellStart"/>
      <w:r>
        <w:rPr>
          <w:rFonts w:ascii="Times New Roman" w:hAnsi="Times New Roman" w:cs="Times New Roman"/>
          <w:lang w:val="en-GB"/>
        </w:rPr>
        <w:t>Campesi</w:t>
      </w:r>
      <w:proofErr w:type="spellEnd"/>
      <w:r>
        <w:rPr>
          <w:rFonts w:ascii="Times New Roman" w:hAnsi="Times New Roman" w:cs="Times New Roman"/>
          <w:lang w:val="en-GB"/>
        </w:rPr>
        <w:t xml:space="preserve">, op. cit., </w:t>
      </w:r>
      <w:r w:rsidRPr="0098143F">
        <w:rPr>
          <w:rFonts w:ascii="Times New Roman" w:hAnsi="Times New Roman" w:cs="Times New Roman"/>
          <w:lang w:val="en-GB"/>
        </w:rPr>
        <w:t>541.</w:t>
      </w:r>
    </w:p>
  </w:footnote>
  <w:footnote w:id="136">
    <w:p w:rsidR="001241F6" w:rsidRPr="00E45629" w:rsidRDefault="001241F6" w:rsidP="00E45629">
      <w:pPr>
        <w:pStyle w:val="title-bold"/>
        <w:shd w:val="clear" w:color="auto" w:fill="FFFFFF"/>
        <w:spacing w:before="0" w:beforeAutospacing="0" w:after="75" w:afterAutospacing="0"/>
        <w:jc w:val="both"/>
        <w:rPr>
          <w:bCs/>
          <w:color w:val="333333"/>
          <w:sz w:val="20"/>
          <w:szCs w:val="20"/>
        </w:rPr>
      </w:pPr>
      <w:r w:rsidRPr="00E45629">
        <w:rPr>
          <w:rStyle w:val="FootnoteReference"/>
          <w:sz w:val="20"/>
          <w:szCs w:val="20"/>
        </w:rPr>
        <w:footnoteRef/>
      </w:r>
      <w:r w:rsidRPr="00E45629">
        <w:rPr>
          <w:sz w:val="20"/>
          <w:szCs w:val="20"/>
        </w:rPr>
        <w:t xml:space="preserve"> See Article 15(1)(a) of the Return Directive (</w:t>
      </w:r>
      <w:r w:rsidRPr="00E45629">
        <w:rPr>
          <w:bCs/>
          <w:color w:val="333333"/>
          <w:sz w:val="20"/>
          <w:szCs w:val="20"/>
        </w:rPr>
        <w:t xml:space="preserve">Directive 2008/115/EC of the European Parliament and of the Council of 16 December 2008 on common standards and procedures in Member States for returning illegally staying third-country nationals </w:t>
      </w:r>
      <w:r w:rsidRPr="00E45629">
        <w:rPr>
          <w:iCs/>
          <w:color w:val="333333"/>
          <w:sz w:val="20"/>
          <w:szCs w:val="20"/>
        </w:rPr>
        <w:t>OJ L 348, 24.12.2008, p. 98–107)</w:t>
      </w:r>
      <w:r w:rsidRPr="00E45629">
        <w:rPr>
          <w:sz w:val="20"/>
          <w:szCs w:val="20"/>
        </w:rPr>
        <w:t>; Article 8(3)() of the Reception Conditions Directive (</w:t>
      </w:r>
      <w:r w:rsidRPr="00E45629">
        <w:rPr>
          <w:bCs/>
          <w:color w:val="333333"/>
          <w:sz w:val="20"/>
          <w:szCs w:val="20"/>
        </w:rPr>
        <w:t>Directive 2013/33/EU of the European Parliament and of the Council of 26 June 2013 laying down standards for the reception of applicants for international protection (recast)</w:t>
      </w:r>
      <w:r w:rsidRPr="00E45629">
        <w:rPr>
          <w:iCs/>
          <w:color w:val="333333"/>
          <w:sz w:val="20"/>
          <w:szCs w:val="20"/>
        </w:rPr>
        <w:t xml:space="preserve">OJ L 180, 29.6.2013); </w:t>
      </w:r>
      <w:r w:rsidRPr="00E45629">
        <w:rPr>
          <w:sz w:val="20"/>
          <w:szCs w:val="20"/>
        </w:rPr>
        <w:t>; and Article 28(2) of the Dublin Regulation (requiring a significant risk of absconding) (</w:t>
      </w:r>
      <w:r w:rsidRPr="00E45629">
        <w:rPr>
          <w:bCs/>
          <w:color w:val="333333"/>
          <w:sz w:val="20"/>
          <w:szCs w:val="20"/>
        </w:rPr>
        <w:t>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w:t>
      </w:r>
      <w:r>
        <w:rPr>
          <w:bCs/>
          <w:color w:val="333333"/>
          <w:sz w:val="20"/>
          <w:szCs w:val="20"/>
        </w:rPr>
        <w:t xml:space="preserve">, </w:t>
      </w:r>
      <w:r w:rsidRPr="00E45629">
        <w:rPr>
          <w:iCs/>
          <w:color w:val="333333"/>
          <w:sz w:val="20"/>
          <w:szCs w:val="20"/>
        </w:rPr>
        <w:t>OJ L 180, 29.6.2013, p. 31–59).</w:t>
      </w:r>
    </w:p>
    <w:p w:rsidR="001241F6" w:rsidRPr="0098143F" w:rsidRDefault="001241F6" w:rsidP="001956C2">
      <w:pPr>
        <w:jc w:val="both"/>
        <w:rPr>
          <w:rFonts w:ascii="Times New Roman" w:hAnsi="Times New Roman" w:cs="Times New Roman"/>
          <w:b/>
          <w:sz w:val="20"/>
          <w:szCs w:val="20"/>
        </w:rPr>
      </w:pPr>
    </w:p>
    <w:p w:rsidR="001241F6" w:rsidRPr="0098143F" w:rsidRDefault="001241F6" w:rsidP="001956C2">
      <w:pPr>
        <w:jc w:val="both"/>
        <w:rPr>
          <w:rFonts w:ascii="Times New Roman" w:hAnsi="Times New Roman" w:cs="Times New Roman"/>
          <w:b/>
          <w:sz w:val="20"/>
          <w:szCs w:val="20"/>
        </w:rPr>
      </w:pPr>
    </w:p>
    <w:p w:rsidR="001241F6" w:rsidRPr="0098143F" w:rsidRDefault="001241F6" w:rsidP="001956C2">
      <w:pPr>
        <w:pStyle w:val="FootnoteText"/>
        <w:rPr>
          <w:rFonts w:ascii="Times New Roman" w:hAnsi="Times New Roman" w:cs="Times New Roman"/>
          <w:lang w:val="en-GB"/>
        </w:rPr>
      </w:pPr>
    </w:p>
  </w:footnote>
  <w:footnote w:id="137">
    <w:p w:rsidR="001241F6" w:rsidRPr="0098143F" w:rsidRDefault="001241F6" w:rsidP="001956C2">
      <w:pPr>
        <w:pStyle w:val="FootnoteText"/>
        <w:rPr>
          <w:rFonts w:ascii="Times New Roman" w:hAnsi="Times New Roman" w:cs="Times New Roman"/>
          <w:lang w:val="en-GB"/>
        </w:rPr>
      </w:pPr>
      <w:r w:rsidRPr="0098143F">
        <w:rPr>
          <w:rStyle w:val="FootnoteReference"/>
          <w:rFonts w:ascii="Times New Roman" w:hAnsi="Times New Roman" w:cs="Times New Roman"/>
        </w:rPr>
        <w:footnoteRef/>
      </w:r>
      <w:r w:rsidRPr="0098143F">
        <w:rPr>
          <w:rFonts w:ascii="Times New Roman" w:hAnsi="Times New Roman" w:cs="Times New Roman"/>
          <w:lang w:val="en-GB"/>
        </w:rPr>
        <w:t xml:space="preserve"> </w:t>
      </w:r>
      <w:proofErr w:type="spellStart"/>
      <w:r w:rsidRPr="0098143F">
        <w:rPr>
          <w:rFonts w:ascii="Times New Roman" w:hAnsi="Times New Roman" w:cs="Times New Roman"/>
          <w:lang w:val="en-GB"/>
        </w:rPr>
        <w:t>Majcher</w:t>
      </w:r>
      <w:proofErr w:type="spellEnd"/>
      <w:r w:rsidRPr="0098143F">
        <w:rPr>
          <w:rFonts w:ascii="Times New Roman" w:hAnsi="Times New Roman" w:cs="Times New Roman"/>
          <w:lang w:val="en-GB"/>
        </w:rPr>
        <w:t xml:space="preserve"> notes that the concept of absconding embraces penal law logic- I. </w:t>
      </w:r>
      <w:proofErr w:type="spellStart"/>
      <w:r w:rsidRPr="0098143F">
        <w:rPr>
          <w:rFonts w:ascii="Times New Roman" w:hAnsi="Times New Roman" w:cs="Times New Roman"/>
          <w:lang w:val="en-GB"/>
        </w:rPr>
        <w:t>Majcher</w:t>
      </w:r>
      <w:proofErr w:type="spellEnd"/>
      <w:r w:rsidRPr="0098143F">
        <w:rPr>
          <w:rFonts w:ascii="Times New Roman" w:hAnsi="Times New Roman" w:cs="Times New Roman"/>
          <w:b/>
          <w:lang w:val="en-GB"/>
        </w:rPr>
        <w:t>, ‘</w:t>
      </w:r>
      <w:r w:rsidRPr="0098143F">
        <w:rPr>
          <w:rFonts w:ascii="Times New Roman" w:hAnsi="Times New Roman" w:cs="Times New Roman"/>
          <w:lang w:val="en-GB"/>
        </w:rPr>
        <w:t xml:space="preserve">Creeping </w:t>
      </w:r>
      <w:proofErr w:type="spellStart"/>
      <w:r w:rsidRPr="0098143F">
        <w:rPr>
          <w:rFonts w:ascii="Times New Roman" w:hAnsi="Times New Roman" w:cs="Times New Roman"/>
          <w:lang w:val="en-GB"/>
        </w:rPr>
        <w:t>Crimmigration</w:t>
      </w:r>
      <w:proofErr w:type="spellEnd"/>
      <w:r w:rsidRPr="0098143F">
        <w:rPr>
          <w:rFonts w:ascii="Times New Roman" w:hAnsi="Times New Roman" w:cs="Times New Roman"/>
          <w:lang w:val="en-GB"/>
        </w:rPr>
        <w:t xml:space="preserve"> in CEAS Reform: Detention of Asylum-Seekers and Restrictions on </w:t>
      </w:r>
      <w:r>
        <w:rPr>
          <w:rFonts w:ascii="Times New Roman" w:hAnsi="Times New Roman" w:cs="Times New Roman"/>
          <w:lang w:val="en-GB"/>
        </w:rPr>
        <w:t xml:space="preserve">Their Movement under EU Law’ (2021) 40 </w:t>
      </w:r>
      <w:r w:rsidRPr="0098143F">
        <w:rPr>
          <w:rFonts w:ascii="Times New Roman" w:hAnsi="Times New Roman" w:cs="Times New Roman"/>
          <w:i/>
          <w:lang w:val="en-GB"/>
        </w:rPr>
        <w:t>Refugee Survey Quarterly</w:t>
      </w:r>
      <w:proofErr w:type="gramStart"/>
      <w:r>
        <w:rPr>
          <w:rFonts w:ascii="Times New Roman" w:hAnsi="Times New Roman" w:cs="Times New Roman"/>
          <w:lang w:val="en-GB"/>
        </w:rPr>
        <w:t xml:space="preserve">82, </w:t>
      </w:r>
      <w:r w:rsidRPr="0098143F">
        <w:rPr>
          <w:rFonts w:ascii="Times New Roman" w:hAnsi="Times New Roman" w:cs="Times New Roman"/>
          <w:lang w:val="en-GB"/>
        </w:rPr>
        <w:t xml:space="preserve"> 97</w:t>
      </w:r>
      <w:proofErr w:type="gramEnd"/>
      <w:r w:rsidRPr="0098143F">
        <w:rPr>
          <w:rFonts w:ascii="Times New Roman" w:hAnsi="Times New Roman" w:cs="Times New Roman"/>
          <w:lang w:val="en-GB"/>
        </w:rPr>
        <w:t xml:space="preserve">. Costello and </w:t>
      </w:r>
      <w:proofErr w:type="spellStart"/>
      <w:r w:rsidRPr="0098143F">
        <w:rPr>
          <w:rFonts w:ascii="Times New Roman" w:hAnsi="Times New Roman" w:cs="Times New Roman"/>
          <w:lang w:val="en-GB"/>
        </w:rPr>
        <w:t>Mouzourakis</w:t>
      </w:r>
      <w:proofErr w:type="spellEnd"/>
      <w:r w:rsidRPr="0098143F">
        <w:rPr>
          <w:rFonts w:ascii="Times New Roman" w:hAnsi="Times New Roman" w:cs="Times New Roman"/>
          <w:lang w:val="en-GB"/>
        </w:rPr>
        <w:t xml:space="preserve"> note that the </w:t>
      </w:r>
      <w:r w:rsidRPr="0098143F">
        <w:rPr>
          <w:rFonts w:ascii="Times New Roman" w:hAnsi="Times New Roman" w:cs="Times New Roman"/>
          <w:color w:val="2A2A2A"/>
          <w:shd w:val="clear" w:color="auto" w:fill="FFFFFF"/>
          <w:lang w:val="en-GB"/>
        </w:rPr>
        <w:t>term is usually invoked in the criminal law context when individuals against whom there is a reasonable suspicion of having committed a crime flee in order to evade prosecution.</w:t>
      </w:r>
      <w:r>
        <w:rPr>
          <w:rFonts w:ascii="Times New Roman" w:hAnsi="Times New Roman" w:cs="Times New Roman"/>
          <w:color w:val="2A2A2A"/>
          <w:shd w:val="clear" w:color="auto" w:fill="FFFFFF"/>
          <w:lang w:val="en-GB"/>
        </w:rPr>
        <w:t xml:space="preserve"> </w:t>
      </w:r>
      <w:r w:rsidRPr="0098143F">
        <w:rPr>
          <w:rFonts w:ascii="Times New Roman" w:hAnsi="Times New Roman" w:cs="Times New Roman"/>
          <w:lang w:val="en-GB"/>
        </w:rPr>
        <w:t xml:space="preserve">C. Costello and M. </w:t>
      </w:r>
      <w:proofErr w:type="spellStart"/>
      <w:r w:rsidRPr="0098143F">
        <w:rPr>
          <w:rFonts w:ascii="Times New Roman" w:hAnsi="Times New Roman" w:cs="Times New Roman"/>
          <w:lang w:val="en-GB"/>
        </w:rPr>
        <w:t>Mouzourakis</w:t>
      </w:r>
      <w:proofErr w:type="spellEnd"/>
      <w:r w:rsidRPr="0098143F">
        <w:rPr>
          <w:rFonts w:ascii="Times New Roman" w:hAnsi="Times New Roman" w:cs="Times New Roman"/>
          <w:lang w:val="en-GB"/>
        </w:rPr>
        <w:t xml:space="preserve">, ‘EU Law and the </w:t>
      </w:r>
      <w:proofErr w:type="spellStart"/>
      <w:r w:rsidRPr="0098143F">
        <w:rPr>
          <w:rFonts w:ascii="Times New Roman" w:hAnsi="Times New Roman" w:cs="Times New Roman"/>
          <w:lang w:val="en-GB"/>
        </w:rPr>
        <w:t>Detainability</w:t>
      </w:r>
      <w:proofErr w:type="spellEnd"/>
      <w:r w:rsidRPr="0098143F">
        <w:rPr>
          <w:b/>
          <w:color w:val="2A2A2A"/>
          <w:shd w:val="clear" w:color="auto" w:fill="FFFFFF"/>
          <w:lang w:val="en-GB"/>
        </w:rPr>
        <w:t xml:space="preserve"> </w:t>
      </w:r>
      <w:r>
        <w:rPr>
          <w:rFonts w:ascii="Times New Roman" w:hAnsi="Times New Roman" w:cs="Times New Roman"/>
          <w:lang w:val="en-GB"/>
        </w:rPr>
        <w:t>of Asylum Seekers</w:t>
      </w:r>
      <w:proofErr w:type="gramStart"/>
      <w:r>
        <w:rPr>
          <w:rFonts w:ascii="Times New Roman" w:hAnsi="Times New Roman" w:cs="Times New Roman"/>
          <w:lang w:val="en-GB"/>
        </w:rPr>
        <w:t>’(</w:t>
      </w:r>
      <w:proofErr w:type="gramEnd"/>
      <w:r>
        <w:rPr>
          <w:rFonts w:ascii="Times New Roman" w:hAnsi="Times New Roman" w:cs="Times New Roman"/>
          <w:lang w:val="en-GB"/>
        </w:rPr>
        <w:t xml:space="preserve">2016) 35 </w:t>
      </w:r>
      <w:r w:rsidRPr="0098143F">
        <w:rPr>
          <w:rFonts w:ascii="Times New Roman" w:hAnsi="Times New Roman" w:cs="Times New Roman"/>
          <w:lang w:val="en-GB"/>
        </w:rPr>
        <w:t xml:space="preserve"> </w:t>
      </w:r>
      <w:r w:rsidRPr="0098143F">
        <w:rPr>
          <w:rFonts w:ascii="Times New Roman" w:hAnsi="Times New Roman" w:cs="Times New Roman"/>
          <w:i/>
          <w:lang w:val="en-GB"/>
        </w:rPr>
        <w:t xml:space="preserve">Refugee Studies Quarterly, </w:t>
      </w:r>
      <w:r>
        <w:rPr>
          <w:rFonts w:ascii="Times New Roman" w:hAnsi="Times New Roman" w:cs="Times New Roman"/>
          <w:lang w:val="en-GB"/>
        </w:rPr>
        <w:t>47.</w:t>
      </w:r>
    </w:p>
    <w:p w:rsidR="001241F6" w:rsidRPr="00761573" w:rsidRDefault="001241F6" w:rsidP="001956C2">
      <w:pPr>
        <w:pStyle w:val="FootnoteText"/>
        <w:rPr>
          <w:rFonts w:ascii="Times New Roman" w:hAnsi="Times New Roman" w:cs="Times New Roman"/>
          <w:lang w:val="en-GB"/>
        </w:rPr>
      </w:pPr>
    </w:p>
  </w:footnote>
  <w:footnote w:id="138">
    <w:p w:rsidR="001241F6" w:rsidRPr="00761573" w:rsidRDefault="001241F6" w:rsidP="001956C2">
      <w:pPr>
        <w:jc w:val="both"/>
        <w:rPr>
          <w:rFonts w:ascii="Times New Roman" w:hAnsi="Times New Roman" w:cs="Times New Roman"/>
          <w:sz w:val="20"/>
          <w:szCs w:val="20"/>
        </w:rPr>
      </w:pPr>
      <w:r w:rsidRPr="00761573">
        <w:rPr>
          <w:rStyle w:val="FootnoteReference"/>
          <w:rFonts w:ascii="Times New Roman" w:hAnsi="Times New Roman" w:cs="Times New Roman"/>
          <w:sz w:val="20"/>
          <w:szCs w:val="20"/>
        </w:rPr>
        <w:footnoteRef/>
      </w:r>
      <w:r w:rsidRPr="00761573">
        <w:rPr>
          <w:rFonts w:ascii="Times New Roman" w:hAnsi="Times New Roman" w:cs="Times New Roman"/>
          <w:sz w:val="20"/>
          <w:szCs w:val="20"/>
        </w:rPr>
        <w:t xml:space="preserve"> </w:t>
      </w:r>
      <w:r>
        <w:rPr>
          <w:rFonts w:ascii="Times New Roman" w:hAnsi="Times New Roman" w:cs="Times New Roman"/>
          <w:sz w:val="20"/>
          <w:szCs w:val="20"/>
        </w:rPr>
        <w:t xml:space="preserve">Case </w:t>
      </w:r>
      <w:r w:rsidRPr="00761573">
        <w:rPr>
          <w:rFonts w:ascii="Times New Roman" w:hAnsi="Times New Roman" w:cs="Times New Roman"/>
          <w:sz w:val="20"/>
          <w:szCs w:val="20"/>
        </w:rPr>
        <w:t xml:space="preserve">C-528/15 </w:t>
      </w:r>
      <w:r w:rsidRPr="00E45629">
        <w:rPr>
          <w:rFonts w:ascii="Times New Roman" w:hAnsi="Times New Roman" w:cs="Times New Roman"/>
          <w:i/>
          <w:sz w:val="20"/>
          <w:szCs w:val="20"/>
        </w:rPr>
        <w:t xml:space="preserve">Al </w:t>
      </w:r>
      <w:proofErr w:type="spellStart"/>
      <w:r w:rsidRPr="00E45629">
        <w:rPr>
          <w:rFonts w:ascii="Times New Roman" w:hAnsi="Times New Roman" w:cs="Times New Roman"/>
          <w:i/>
          <w:sz w:val="20"/>
          <w:szCs w:val="20"/>
        </w:rPr>
        <w:t>Chodor</w:t>
      </w:r>
      <w:proofErr w:type="spellEnd"/>
      <w:r w:rsidRPr="00E45629">
        <w:rPr>
          <w:rFonts w:ascii="Times New Roman" w:hAnsi="Times New Roman" w:cs="Times New Roman"/>
          <w:i/>
          <w:sz w:val="20"/>
          <w:szCs w:val="20"/>
        </w:rPr>
        <w:t>.,</w:t>
      </w:r>
      <w:r>
        <w:rPr>
          <w:rFonts w:ascii="Times New Roman" w:hAnsi="Times New Roman" w:cs="Times New Roman"/>
          <w:sz w:val="20"/>
          <w:szCs w:val="20"/>
        </w:rPr>
        <w:t xml:space="preserve"> </w:t>
      </w:r>
      <w:r w:rsidRPr="00895AC6">
        <w:rPr>
          <w:rFonts w:ascii="Open Sans" w:hAnsi="Open Sans"/>
          <w:bCs/>
          <w:color w:val="5F5F5F"/>
          <w:sz w:val="20"/>
          <w:szCs w:val="20"/>
        </w:rPr>
        <w:t>ECLI:EU:C:2017:213.</w:t>
      </w:r>
      <w:r w:rsidRPr="00761573">
        <w:rPr>
          <w:rFonts w:ascii="Times New Roman" w:hAnsi="Times New Roman" w:cs="Times New Roman"/>
          <w:sz w:val="20"/>
          <w:szCs w:val="20"/>
        </w:rPr>
        <w:t xml:space="preserve"> The CJEU held that </w:t>
      </w:r>
      <w:r w:rsidRPr="00761573">
        <w:rPr>
          <w:rFonts w:ascii="Times New Roman" w:eastAsia="Times New Roman" w:hAnsi="Times New Roman" w:cs="Times New Roman"/>
          <w:color w:val="000000"/>
          <w:sz w:val="20"/>
          <w:szCs w:val="20"/>
          <w:lang w:eastAsia="en-GB"/>
        </w:rPr>
        <w:t>the detention of applicants, constituting a serious interference with those applicants’ right to liberty, is subject to compliance with strict safeguards, namely the presence of a legal basis, clarity, predictability, accessibility and protection against arbitrariness (para. 40). It added that only a provision of general application could meet the requirements of clarity, predictability, accessibility and, in particular, protection against arbitrariness (para. 43). Member States are required to establish, in a binding provision of general application, objective criteria underlying the reasons for believing that an applicant who is subject to a transfer procedure may abscond (para. 47).</w:t>
      </w:r>
    </w:p>
    <w:p w:rsidR="001241F6" w:rsidRPr="00761573" w:rsidRDefault="001241F6" w:rsidP="001956C2">
      <w:pPr>
        <w:pStyle w:val="FootnoteText"/>
        <w:rPr>
          <w:rFonts w:ascii="Times New Roman" w:hAnsi="Times New Roman" w:cs="Times New Roman"/>
          <w:lang w:val="en-GB"/>
        </w:rPr>
      </w:pPr>
    </w:p>
  </w:footnote>
  <w:footnote w:id="139">
    <w:p w:rsidR="001241F6" w:rsidRPr="00761573" w:rsidRDefault="001241F6" w:rsidP="001956C2">
      <w:pPr>
        <w:spacing w:before="100" w:beforeAutospacing="1" w:after="100" w:afterAutospacing="1" w:line="240" w:lineRule="auto"/>
        <w:rPr>
          <w:rFonts w:ascii="Times New Roman" w:eastAsia="Times New Roman" w:hAnsi="Times New Roman" w:cs="Times New Roman"/>
          <w:color w:val="393F49"/>
          <w:sz w:val="20"/>
          <w:szCs w:val="20"/>
          <w:lang w:eastAsia="en-GB"/>
        </w:rPr>
      </w:pPr>
      <w:r w:rsidRPr="00761573">
        <w:rPr>
          <w:rStyle w:val="FootnoteReference"/>
          <w:rFonts w:ascii="Times New Roman" w:hAnsi="Times New Roman" w:cs="Times New Roman"/>
          <w:sz w:val="20"/>
          <w:szCs w:val="20"/>
        </w:rPr>
        <w:footnoteRef/>
      </w:r>
      <w:r w:rsidRPr="00761573">
        <w:rPr>
          <w:rFonts w:ascii="Times New Roman" w:hAnsi="Times New Roman" w:cs="Times New Roman"/>
          <w:sz w:val="20"/>
          <w:szCs w:val="20"/>
        </w:rPr>
        <w:t xml:space="preserve"> Para. 47. For a case </w:t>
      </w:r>
      <w:proofErr w:type="spellStart"/>
      <w:r w:rsidRPr="00761573">
        <w:rPr>
          <w:rFonts w:ascii="Times New Roman" w:hAnsi="Times New Roman" w:cs="Times New Roman"/>
          <w:sz w:val="20"/>
          <w:szCs w:val="20"/>
        </w:rPr>
        <w:t>ommentary</w:t>
      </w:r>
      <w:proofErr w:type="spellEnd"/>
      <w:r w:rsidRPr="00761573">
        <w:rPr>
          <w:rFonts w:ascii="Times New Roman" w:hAnsi="Times New Roman" w:cs="Times New Roman"/>
          <w:sz w:val="20"/>
          <w:szCs w:val="20"/>
        </w:rPr>
        <w:t xml:space="preserve"> see N. Vavoula, </w:t>
      </w:r>
      <w:r w:rsidRPr="00761573">
        <w:rPr>
          <w:rFonts w:ascii="Times New Roman" w:eastAsia="Times New Roman" w:hAnsi="Times New Roman" w:cs="Times New Roman"/>
          <w:color w:val="393F49"/>
          <w:sz w:val="20"/>
          <w:szCs w:val="20"/>
          <w:lang w:eastAsia="en-GB"/>
        </w:rPr>
        <w:t>‘The Detention of Asylum Seekers Pending Transfer under the Dublin III Regulation: </w:t>
      </w:r>
      <w:r w:rsidRPr="00761573">
        <w:rPr>
          <w:rFonts w:ascii="Times New Roman" w:eastAsia="Times New Roman" w:hAnsi="Times New Roman" w:cs="Times New Roman"/>
          <w:i/>
          <w:iCs/>
          <w:color w:val="393F49"/>
          <w:sz w:val="20"/>
          <w:szCs w:val="20"/>
          <w:lang w:eastAsia="en-GB"/>
        </w:rPr>
        <w:t xml:space="preserve">Al </w:t>
      </w:r>
      <w:proofErr w:type="spellStart"/>
      <w:r w:rsidRPr="00761573">
        <w:rPr>
          <w:rFonts w:ascii="Times New Roman" w:eastAsia="Times New Roman" w:hAnsi="Times New Roman" w:cs="Times New Roman"/>
          <w:i/>
          <w:iCs/>
          <w:color w:val="393F49"/>
          <w:sz w:val="20"/>
          <w:szCs w:val="20"/>
          <w:lang w:eastAsia="en-GB"/>
        </w:rPr>
        <w:t>Chodor</w:t>
      </w:r>
      <w:proofErr w:type="spellEnd"/>
      <w:r>
        <w:rPr>
          <w:rFonts w:ascii="Times New Roman" w:eastAsia="Times New Roman" w:hAnsi="Times New Roman" w:cs="Times New Roman"/>
          <w:color w:val="393F49"/>
          <w:sz w:val="20"/>
          <w:szCs w:val="20"/>
          <w:lang w:eastAsia="en-GB"/>
        </w:rPr>
        <w:t xml:space="preserve">’ (2019) 56 </w:t>
      </w:r>
      <w:r w:rsidRPr="00761573">
        <w:rPr>
          <w:rFonts w:ascii="Times New Roman" w:eastAsia="Times New Roman" w:hAnsi="Times New Roman" w:cs="Times New Roman"/>
          <w:i/>
          <w:iCs/>
          <w:color w:val="393F49"/>
          <w:sz w:val="20"/>
          <w:szCs w:val="20"/>
          <w:lang w:eastAsia="en-GB"/>
        </w:rPr>
        <w:t>Common Market Law Review</w:t>
      </w:r>
      <w:r>
        <w:rPr>
          <w:rFonts w:ascii="Times New Roman" w:eastAsia="Times New Roman" w:hAnsi="Times New Roman" w:cs="Times New Roman"/>
          <w:color w:val="393F49"/>
          <w:sz w:val="20"/>
          <w:szCs w:val="20"/>
          <w:lang w:eastAsia="en-GB"/>
        </w:rPr>
        <w:t> 1041.</w:t>
      </w:r>
    </w:p>
    <w:p w:rsidR="001241F6" w:rsidRPr="00761573" w:rsidRDefault="001241F6" w:rsidP="001956C2">
      <w:pPr>
        <w:pStyle w:val="FootnoteText"/>
        <w:rPr>
          <w:rFonts w:ascii="Times New Roman" w:hAnsi="Times New Roman" w:cs="Times New Roman"/>
          <w:lang w:val="en-GB"/>
        </w:rPr>
      </w:pPr>
    </w:p>
  </w:footnote>
  <w:footnote w:id="140">
    <w:p w:rsidR="001241F6" w:rsidRPr="00E45629" w:rsidRDefault="001241F6" w:rsidP="001956C2">
      <w:pPr>
        <w:pStyle w:val="FootnoteText"/>
        <w:rPr>
          <w:rFonts w:ascii="Times New Roman" w:hAnsi="Times New Roman" w:cs="Times New Roman"/>
          <w:lang w:val="en-GB"/>
        </w:rPr>
      </w:pPr>
      <w:r w:rsidRPr="00E45629">
        <w:rPr>
          <w:rStyle w:val="FootnoteReference"/>
          <w:rFonts w:ascii="Times New Roman" w:hAnsi="Times New Roman" w:cs="Times New Roman"/>
        </w:rPr>
        <w:footnoteRef/>
      </w:r>
      <w:r w:rsidRPr="00E45629">
        <w:rPr>
          <w:rFonts w:ascii="Times New Roman" w:hAnsi="Times New Roman" w:cs="Times New Roman"/>
          <w:lang w:val="en-GB"/>
        </w:rPr>
        <w:t xml:space="preserve"> Case C-18/16</w:t>
      </w:r>
      <w:r w:rsidRPr="00895AC6">
        <w:rPr>
          <w:rFonts w:ascii="Times New Roman" w:hAnsi="Times New Roman" w:cs="Times New Roman"/>
          <w:lang w:val="en-GB"/>
        </w:rPr>
        <w:t xml:space="preserve">. </w:t>
      </w:r>
      <w:r w:rsidRPr="00895AC6">
        <w:rPr>
          <w:rFonts w:ascii="Times New Roman" w:hAnsi="Times New Roman" w:cs="Times New Roman"/>
          <w:i/>
          <w:lang w:val="en-GB"/>
        </w:rPr>
        <w:t>K</w:t>
      </w:r>
      <w:r w:rsidRPr="00895AC6">
        <w:rPr>
          <w:rFonts w:ascii="Times New Roman" w:hAnsi="Times New Roman" w:cs="Times New Roman"/>
          <w:lang w:val="en-GB"/>
        </w:rPr>
        <w:t>.</w:t>
      </w:r>
      <w:r w:rsidRPr="00895AC6">
        <w:rPr>
          <w:rFonts w:ascii="Times New Roman" w:hAnsi="Times New Roman" w:cs="Times New Roman"/>
          <w:bCs/>
          <w:color w:val="5F5F5F"/>
          <w:lang w:val="en-GB"/>
        </w:rPr>
        <w:t xml:space="preserve"> ECLI:EU:</w:t>
      </w:r>
      <w:proofErr w:type="gramStart"/>
      <w:r w:rsidRPr="00895AC6">
        <w:rPr>
          <w:rFonts w:ascii="Times New Roman" w:hAnsi="Times New Roman" w:cs="Times New Roman"/>
          <w:bCs/>
          <w:color w:val="5F5F5F"/>
          <w:lang w:val="en-GB"/>
        </w:rPr>
        <w:t>C:2017:680</w:t>
      </w:r>
      <w:proofErr w:type="gramEnd"/>
      <w:r w:rsidRPr="00E45629">
        <w:rPr>
          <w:rFonts w:ascii="Times New Roman" w:hAnsi="Times New Roman" w:cs="Times New Roman"/>
          <w:lang w:val="en-GB"/>
        </w:rPr>
        <w:t xml:space="preserve"> The Court held that </w:t>
      </w:r>
      <w:r w:rsidRPr="00E45629">
        <w:rPr>
          <w:rFonts w:ascii="Times New Roman" w:hAnsi="Times New Roman" w:cs="Times New Roman"/>
          <w:color w:val="000000"/>
          <w:lang w:val="en-GB"/>
        </w:rPr>
        <w:t>a measure based on the grounds set out in the first subparagraph of Article 8(3)(a) and (b) meets the objective of ensuring the proper functioning of the Common European Asylum System- para. 36.</w:t>
      </w:r>
    </w:p>
  </w:footnote>
  <w:footnote w:id="141">
    <w:p w:rsidR="001241F6" w:rsidRPr="00E45629" w:rsidRDefault="001241F6" w:rsidP="001956C2">
      <w:pPr>
        <w:pStyle w:val="FootnoteText"/>
        <w:rPr>
          <w:rFonts w:ascii="Times New Roman" w:hAnsi="Times New Roman" w:cs="Times New Roman"/>
          <w:lang w:val="en-GB"/>
        </w:rPr>
      </w:pPr>
      <w:r w:rsidRPr="00E45629">
        <w:rPr>
          <w:rStyle w:val="FootnoteReference"/>
          <w:rFonts w:ascii="Times New Roman" w:hAnsi="Times New Roman" w:cs="Times New Roman"/>
        </w:rPr>
        <w:footnoteRef/>
      </w:r>
      <w:r w:rsidRPr="00E45629">
        <w:rPr>
          <w:rFonts w:ascii="Times New Roman" w:hAnsi="Times New Roman" w:cs="Times New Roman"/>
          <w:lang w:val="en-GB"/>
        </w:rPr>
        <w:t xml:space="preserve"> Para. 39.</w:t>
      </w:r>
    </w:p>
  </w:footnote>
  <w:footnote w:id="142">
    <w:p w:rsidR="001241F6" w:rsidRPr="00E45629" w:rsidRDefault="001241F6" w:rsidP="001956C2">
      <w:pPr>
        <w:pStyle w:val="FootnoteText"/>
        <w:rPr>
          <w:rFonts w:ascii="Times New Roman" w:hAnsi="Times New Roman" w:cs="Times New Roman"/>
          <w:lang w:val="en-GB"/>
        </w:rPr>
      </w:pPr>
      <w:r w:rsidRPr="00E45629">
        <w:rPr>
          <w:rStyle w:val="FootnoteReference"/>
          <w:rFonts w:ascii="Times New Roman" w:hAnsi="Times New Roman" w:cs="Times New Roman"/>
        </w:rPr>
        <w:footnoteRef/>
      </w:r>
      <w:r w:rsidRPr="00E45629">
        <w:rPr>
          <w:rFonts w:ascii="Times New Roman" w:hAnsi="Times New Roman" w:cs="Times New Roman"/>
          <w:lang w:val="en-GB"/>
        </w:rPr>
        <w:t xml:space="preserve"> </w:t>
      </w:r>
      <w:proofErr w:type="spellStart"/>
      <w:r w:rsidRPr="00E45629">
        <w:rPr>
          <w:rFonts w:ascii="Times New Roman" w:hAnsi="Times New Roman" w:cs="Times New Roman"/>
          <w:lang w:val="en-GB"/>
        </w:rPr>
        <w:t>Majcher</w:t>
      </w:r>
      <w:proofErr w:type="spellEnd"/>
      <w:r w:rsidRPr="00E45629">
        <w:rPr>
          <w:rFonts w:ascii="Times New Roman" w:hAnsi="Times New Roman" w:cs="Times New Roman"/>
          <w:lang w:val="en-GB"/>
        </w:rPr>
        <w:t xml:space="preserve"> op. cit.</w:t>
      </w:r>
      <w:proofErr w:type="gramStart"/>
      <w:r w:rsidRPr="00E45629">
        <w:rPr>
          <w:rFonts w:ascii="Times New Roman" w:hAnsi="Times New Roman" w:cs="Times New Roman"/>
          <w:lang w:val="en-GB"/>
        </w:rPr>
        <w:t>,  96</w:t>
      </w:r>
      <w:proofErr w:type="gramEnd"/>
      <w:r w:rsidRPr="00E45629">
        <w:rPr>
          <w:rFonts w:ascii="Times New Roman" w:hAnsi="Times New Roman" w:cs="Times New Roman"/>
          <w:lang w:val="en-GB"/>
        </w:rPr>
        <w:t>., argues that the Court’s stance disregards the exceptional nature of detention of asylum-seekers under refugee law.</w:t>
      </w:r>
    </w:p>
  </w:footnote>
  <w:footnote w:id="143">
    <w:p w:rsidR="001241F6" w:rsidRPr="00E45629" w:rsidRDefault="001241F6" w:rsidP="001956C2">
      <w:pPr>
        <w:jc w:val="both"/>
        <w:rPr>
          <w:rFonts w:ascii="Times New Roman" w:hAnsi="Times New Roman" w:cs="Times New Roman"/>
          <w:color w:val="000000"/>
          <w:sz w:val="20"/>
          <w:szCs w:val="20"/>
        </w:rPr>
      </w:pPr>
      <w:r w:rsidRPr="00E45629">
        <w:rPr>
          <w:rStyle w:val="FootnoteReference"/>
          <w:rFonts w:ascii="Times New Roman" w:hAnsi="Times New Roman" w:cs="Times New Roman"/>
          <w:sz w:val="20"/>
          <w:szCs w:val="20"/>
        </w:rPr>
        <w:footnoteRef/>
      </w:r>
      <w:r w:rsidRPr="00E45629">
        <w:rPr>
          <w:rFonts w:ascii="Times New Roman" w:hAnsi="Times New Roman" w:cs="Times New Roman"/>
          <w:sz w:val="20"/>
          <w:szCs w:val="20"/>
        </w:rPr>
        <w:t xml:space="preserve"> </w:t>
      </w:r>
      <w:r w:rsidRPr="00E45629">
        <w:rPr>
          <w:rFonts w:ascii="Times New Roman" w:hAnsi="Times New Roman" w:cs="Times New Roman"/>
          <w:i/>
          <w:sz w:val="20"/>
          <w:szCs w:val="20"/>
        </w:rPr>
        <w:t xml:space="preserve">Border procedures in the Member States Legal assessment, </w:t>
      </w:r>
      <w:proofErr w:type="gramStart"/>
      <w:r w:rsidRPr="00E45629">
        <w:rPr>
          <w:rFonts w:ascii="Times New Roman" w:hAnsi="Times New Roman" w:cs="Times New Roman"/>
          <w:sz w:val="20"/>
          <w:szCs w:val="20"/>
        </w:rPr>
        <w:t xml:space="preserve">by </w:t>
      </w:r>
      <w:r w:rsidRPr="00E45629">
        <w:rPr>
          <w:rFonts w:ascii="Times New Roman" w:hAnsi="Times New Roman" w:cs="Times New Roman"/>
          <w:color w:val="000000"/>
          <w:sz w:val="20"/>
          <w:szCs w:val="20"/>
        </w:rPr>
        <w:t xml:space="preserve"> </w:t>
      </w:r>
      <w:r w:rsidRPr="00E45629">
        <w:rPr>
          <w:rFonts w:ascii="Times New Roman" w:hAnsi="Times New Roman" w:cs="Times New Roman"/>
          <w:sz w:val="20"/>
          <w:szCs w:val="20"/>
        </w:rPr>
        <w:t>G.</w:t>
      </w:r>
      <w:proofErr w:type="gramEnd"/>
      <w:r w:rsidRPr="00E45629">
        <w:rPr>
          <w:rFonts w:ascii="Times New Roman" w:hAnsi="Times New Roman" w:cs="Times New Roman"/>
          <w:sz w:val="20"/>
          <w:szCs w:val="20"/>
        </w:rPr>
        <w:t xml:space="preserve"> </w:t>
      </w:r>
      <w:proofErr w:type="spellStart"/>
      <w:r w:rsidRPr="00E45629">
        <w:rPr>
          <w:rFonts w:ascii="Times New Roman" w:hAnsi="Times New Roman" w:cs="Times New Roman"/>
          <w:sz w:val="20"/>
          <w:szCs w:val="20"/>
        </w:rPr>
        <w:t>Cornelisse</w:t>
      </w:r>
      <w:proofErr w:type="spellEnd"/>
      <w:r w:rsidRPr="00E45629">
        <w:rPr>
          <w:rFonts w:ascii="Times New Roman" w:hAnsi="Times New Roman" w:cs="Times New Roman"/>
          <w:sz w:val="20"/>
          <w:szCs w:val="20"/>
        </w:rPr>
        <w:t xml:space="preserve"> and M. </w:t>
      </w:r>
      <w:proofErr w:type="spellStart"/>
      <w:r w:rsidRPr="00E45629">
        <w:rPr>
          <w:rFonts w:ascii="Times New Roman" w:hAnsi="Times New Roman" w:cs="Times New Roman"/>
          <w:sz w:val="20"/>
          <w:szCs w:val="20"/>
        </w:rPr>
        <w:t>Reneman</w:t>
      </w:r>
      <w:proofErr w:type="spellEnd"/>
      <w:r w:rsidRPr="00E45629">
        <w:rPr>
          <w:rFonts w:ascii="Times New Roman" w:hAnsi="Times New Roman" w:cs="Times New Roman"/>
          <w:sz w:val="20"/>
          <w:szCs w:val="20"/>
        </w:rPr>
        <w:t>, at the request of the Ex-Post Evaluation Unit of the Directorate for Impact Assessment and European Added Value, within the Directorate-General for Parliamentary Research Services (EPRS) of the Secretariat of the European Parliament.- Manuscript completed in November 2020, Key finding 11.</w:t>
      </w:r>
    </w:p>
    <w:p w:rsidR="001241F6" w:rsidRPr="00E45629" w:rsidRDefault="001241F6" w:rsidP="001956C2">
      <w:pPr>
        <w:pStyle w:val="FootnoteText"/>
        <w:rPr>
          <w:rFonts w:ascii="Times New Roman" w:hAnsi="Times New Roman" w:cs="Times New Roman"/>
          <w:lang w:val="en-GB"/>
        </w:rPr>
      </w:pPr>
    </w:p>
  </w:footnote>
  <w:footnote w:id="144">
    <w:p w:rsidR="001241F6" w:rsidRPr="00E45629" w:rsidRDefault="001241F6" w:rsidP="00E45629">
      <w:pPr>
        <w:jc w:val="both"/>
        <w:rPr>
          <w:rFonts w:ascii="Times New Roman" w:hAnsi="Times New Roman" w:cs="Times New Roman"/>
          <w:color w:val="000000"/>
          <w:sz w:val="20"/>
          <w:szCs w:val="20"/>
        </w:rPr>
      </w:pPr>
      <w:r w:rsidRPr="00E45629">
        <w:rPr>
          <w:rStyle w:val="FootnoteReference"/>
          <w:rFonts w:ascii="Times New Roman" w:hAnsi="Times New Roman" w:cs="Times New Roman"/>
          <w:sz w:val="20"/>
          <w:szCs w:val="20"/>
        </w:rPr>
        <w:footnoteRef/>
      </w:r>
      <w:r w:rsidRPr="00E45629">
        <w:rPr>
          <w:rFonts w:ascii="Times New Roman" w:hAnsi="Times New Roman" w:cs="Times New Roman"/>
          <w:sz w:val="20"/>
          <w:szCs w:val="20"/>
        </w:rPr>
        <w:t xml:space="preserve"> European Parliament Study, </w:t>
      </w:r>
      <w:r w:rsidRPr="00E45629">
        <w:rPr>
          <w:rFonts w:ascii="Times New Roman" w:hAnsi="Times New Roman" w:cs="Times New Roman"/>
          <w:i/>
          <w:sz w:val="20"/>
          <w:szCs w:val="20"/>
        </w:rPr>
        <w:t>Asylum Procedures at the Border</w:t>
      </w:r>
      <w:r w:rsidRPr="00E45629">
        <w:rPr>
          <w:rFonts w:ascii="Times New Roman" w:hAnsi="Times New Roman" w:cs="Times New Roman"/>
          <w:sz w:val="20"/>
          <w:szCs w:val="20"/>
        </w:rPr>
        <w:t>, 16-17:</w:t>
      </w:r>
      <w:hyperlink r:id="rId33" w:history="1">
        <w:r w:rsidRPr="00E45629">
          <w:rPr>
            <w:rStyle w:val="Hyperlink"/>
            <w:rFonts w:ascii="Times New Roman" w:hAnsi="Times New Roman" w:cs="Times New Roman"/>
            <w:b/>
            <w:sz w:val="20"/>
            <w:szCs w:val="20"/>
          </w:rPr>
          <w:t>file:///C:/Users/defaultuser0/Documents/Thalia%20Misc/ELJ%20EP%20study%20asylum%20procedures%20at%20the%20border.pdf</w:t>
        </w:r>
      </w:hyperlink>
      <w:r w:rsidRPr="00E45629">
        <w:rPr>
          <w:rStyle w:val="Hyperlink"/>
          <w:rFonts w:ascii="Times New Roman" w:hAnsi="Times New Roman" w:cs="Times New Roman"/>
          <w:b/>
          <w:sz w:val="20"/>
          <w:szCs w:val="20"/>
        </w:rPr>
        <w:t xml:space="preserve">  16-17.</w:t>
      </w:r>
    </w:p>
  </w:footnote>
  <w:footnote w:id="145">
    <w:p w:rsidR="001241F6" w:rsidRPr="00E45629" w:rsidRDefault="001241F6" w:rsidP="00E45629">
      <w:pPr>
        <w:pStyle w:val="Heading2"/>
        <w:spacing w:before="0" w:line="330" w:lineRule="atLeast"/>
        <w:rPr>
          <w:rFonts w:ascii="Times New Roman" w:eastAsiaTheme="minorHAnsi" w:hAnsi="Times New Roman" w:cs="Times New Roman"/>
          <w:color w:val="767676"/>
          <w:sz w:val="20"/>
          <w:szCs w:val="20"/>
        </w:rPr>
      </w:pPr>
      <w:r w:rsidRPr="00E45629">
        <w:rPr>
          <w:rStyle w:val="FootnoteReference"/>
          <w:rFonts w:ascii="Times New Roman" w:hAnsi="Times New Roman" w:cs="Times New Roman"/>
          <w:sz w:val="20"/>
          <w:szCs w:val="20"/>
        </w:rPr>
        <w:footnoteRef/>
      </w:r>
      <w:r w:rsidRPr="00E45629">
        <w:rPr>
          <w:rFonts w:ascii="Times New Roman" w:hAnsi="Times New Roman" w:cs="Times New Roman"/>
          <w:sz w:val="20"/>
          <w:szCs w:val="20"/>
        </w:rPr>
        <w:t xml:space="preserve"> </w:t>
      </w:r>
      <w:hyperlink r:id="rId34" w:tooltip="Galina Cornelisse" w:history="1">
        <w:r w:rsidRPr="00E45629">
          <w:rPr>
            <w:rStyle w:val="author-style"/>
            <w:rFonts w:ascii="Times New Roman" w:hAnsi="Times New Roman" w:cs="Times New Roman"/>
            <w:color w:val="767676"/>
            <w:sz w:val="20"/>
            <w:szCs w:val="20"/>
          </w:rPr>
          <w:t xml:space="preserve">G. </w:t>
        </w:r>
        <w:proofErr w:type="spellStart"/>
        <w:r w:rsidRPr="00E45629">
          <w:rPr>
            <w:rStyle w:val="author-style"/>
            <w:rFonts w:ascii="Times New Roman" w:hAnsi="Times New Roman" w:cs="Times New Roman"/>
            <w:color w:val="767676"/>
            <w:sz w:val="20"/>
            <w:szCs w:val="20"/>
          </w:rPr>
          <w:t>Cornelisse</w:t>
        </w:r>
        <w:proofErr w:type="spellEnd"/>
      </w:hyperlink>
      <w:r w:rsidRPr="00E45629">
        <w:rPr>
          <w:rStyle w:val="comma-separator"/>
          <w:rFonts w:ascii="Times New Roman" w:hAnsi="Times New Roman" w:cs="Times New Roman"/>
          <w:color w:val="767676"/>
          <w:sz w:val="20"/>
          <w:szCs w:val="20"/>
        </w:rPr>
        <w:t xml:space="preserve"> and </w:t>
      </w:r>
      <w:hyperlink r:id="rId35" w:tooltip="Marcelle Reneman" w:history="1">
        <w:r w:rsidRPr="00E45629">
          <w:rPr>
            <w:rStyle w:val="author-style"/>
            <w:rFonts w:ascii="Times New Roman" w:hAnsi="Times New Roman" w:cs="Times New Roman"/>
            <w:color w:val="767676"/>
            <w:sz w:val="20"/>
            <w:szCs w:val="20"/>
          </w:rPr>
          <w:t xml:space="preserve">M. </w:t>
        </w:r>
        <w:proofErr w:type="spellStart"/>
        <w:r w:rsidRPr="00E45629">
          <w:rPr>
            <w:rStyle w:val="author-style"/>
            <w:rFonts w:ascii="Times New Roman" w:hAnsi="Times New Roman" w:cs="Times New Roman"/>
            <w:color w:val="767676"/>
            <w:sz w:val="20"/>
            <w:szCs w:val="20"/>
          </w:rPr>
          <w:t>Reneman</w:t>
        </w:r>
        <w:proofErr w:type="spellEnd"/>
      </w:hyperlink>
      <w:r w:rsidRPr="00E45629">
        <w:rPr>
          <w:rStyle w:val="author-style"/>
          <w:rFonts w:ascii="Times New Roman" w:hAnsi="Times New Roman" w:cs="Times New Roman"/>
          <w:color w:val="767676"/>
          <w:sz w:val="20"/>
          <w:szCs w:val="20"/>
        </w:rPr>
        <w:t xml:space="preserve">- </w:t>
      </w:r>
      <w:r w:rsidRPr="00E45629">
        <w:rPr>
          <w:rStyle w:val="author-style"/>
          <w:rFonts w:ascii="Times New Roman" w:eastAsiaTheme="minorHAnsi" w:hAnsi="Times New Roman" w:cs="Times New Roman"/>
          <w:color w:val="767676"/>
          <w:sz w:val="20"/>
          <w:szCs w:val="20"/>
        </w:rPr>
        <w:t xml:space="preserve">Border procedures in the Commission’s New Pact on Migration and Asylum: A case of politics outplaying rationality? (2020) 26 </w:t>
      </w:r>
      <w:r w:rsidRPr="00E45629">
        <w:rPr>
          <w:rStyle w:val="author-style"/>
          <w:rFonts w:ascii="Times New Roman" w:eastAsiaTheme="minorHAnsi" w:hAnsi="Times New Roman" w:cs="Times New Roman"/>
          <w:i/>
          <w:color w:val="767676"/>
          <w:sz w:val="20"/>
          <w:szCs w:val="20"/>
        </w:rPr>
        <w:t xml:space="preserve">European Law Journal XXXX </w:t>
      </w:r>
      <w:r w:rsidRPr="00E45629">
        <w:rPr>
          <w:rStyle w:val="author-style"/>
          <w:rFonts w:ascii="Times New Roman" w:eastAsiaTheme="minorHAnsi" w:hAnsi="Times New Roman" w:cs="Times New Roman"/>
          <w:color w:val="767676"/>
          <w:sz w:val="20"/>
          <w:szCs w:val="20"/>
        </w:rPr>
        <w:t>181.</w:t>
      </w:r>
    </w:p>
    <w:p w:rsidR="001241F6" w:rsidRPr="00E45629" w:rsidRDefault="001241F6" w:rsidP="001956C2">
      <w:pPr>
        <w:pStyle w:val="FootnoteText"/>
        <w:rPr>
          <w:rFonts w:ascii="Times New Roman" w:hAnsi="Times New Roman" w:cs="Times New Roman"/>
          <w:lang w:val="en-GB"/>
        </w:rPr>
      </w:pPr>
    </w:p>
  </w:footnote>
  <w:footnote w:id="146">
    <w:p w:rsidR="001241F6" w:rsidRPr="00E45629" w:rsidRDefault="001241F6" w:rsidP="001956C2">
      <w:pPr>
        <w:jc w:val="both"/>
        <w:rPr>
          <w:rFonts w:ascii="Times New Roman" w:hAnsi="Times New Roman" w:cs="Times New Roman"/>
          <w:sz w:val="20"/>
          <w:szCs w:val="20"/>
        </w:rPr>
      </w:pPr>
      <w:r w:rsidRPr="00E45629">
        <w:rPr>
          <w:rStyle w:val="FootnoteReference"/>
          <w:rFonts w:ascii="Times New Roman" w:hAnsi="Times New Roman" w:cs="Times New Roman"/>
          <w:sz w:val="20"/>
          <w:szCs w:val="20"/>
        </w:rPr>
        <w:footnoteRef/>
      </w:r>
      <w:r w:rsidRPr="00E45629">
        <w:rPr>
          <w:rFonts w:ascii="Times New Roman" w:hAnsi="Times New Roman" w:cs="Times New Roman"/>
          <w:sz w:val="20"/>
          <w:szCs w:val="20"/>
        </w:rPr>
        <w:t xml:space="preserve"> Commission v Hungary </w:t>
      </w:r>
      <w:proofErr w:type="spellStart"/>
      <w:r w:rsidRPr="00E45629">
        <w:rPr>
          <w:rFonts w:ascii="Times New Roman" w:hAnsi="Times New Roman" w:cs="Times New Roman"/>
          <w:sz w:val="20"/>
          <w:szCs w:val="20"/>
        </w:rPr>
        <w:t>op.cit</w:t>
      </w:r>
      <w:proofErr w:type="spellEnd"/>
      <w:r w:rsidRPr="00E45629">
        <w:rPr>
          <w:rFonts w:ascii="Times New Roman" w:hAnsi="Times New Roman" w:cs="Times New Roman"/>
          <w:sz w:val="20"/>
          <w:szCs w:val="20"/>
        </w:rPr>
        <w:t>.</w:t>
      </w:r>
    </w:p>
    <w:p w:rsidR="001241F6" w:rsidRPr="00513E75" w:rsidRDefault="001241F6" w:rsidP="001956C2">
      <w:pPr>
        <w:pStyle w:val="FootnoteText"/>
        <w:rPr>
          <w:rFonts w:ascii="Times New Roman" w:hAnsi="Times New Roman" w:cs="Times New Roman"/>
          <w:lang w:val="en-GB"/>
        </w:rPr>
      </w:pPr>
    </w:p>
  </w:footnote>
  <w:footnote w:id="147">
    <w:p w:rsidR="001241F6" w:rsidRPr="00513E75" w:rsidRDefault="001241F6" w:rsidP="001956C2">
      <w:pPr>
        <w:pStyle w:val="FootnoteText"/>
        <w:rPr>
          <w:rFonts w:ascii="Times New Roman" w:hAnsi="Times New Roman" w:cs="Times New Roman"/>
          <w:lang w:val="en-GB"/>
        </w:rPr>
      </w:pPr>
      <w:r w:rsidRPr="00513E75">
        <w:rPr>
          <w:rStyle w:val="FootnoteReference"/>
          <w:rFonts w:ascii="Times New Roman" w:hAnsi="Times New Roman" w:cs="Times New Roman"/>
        </w:rPr>
        <w:footnoteRef/>
      </w:r>
      <w:r w:rsidRPr="00513E75">
        <w:rPr>
          <w:rFonts w:ascii="Times New Roman" w:hAnsi="Times New Roman" w:cs="Times New Roman"/>
          <w:lang w:val="en-GB"/>
        </w:rPr>
        <w:t xml:space="preserve"> Ibid., Para. 159- by reference to</w:t>
      </w:r>
      <w:r>
        <w:rPr>
          <w:rFonts w:ascii="Times New Roman" w:hAnsi="Times New Roman" w:cs="Times New Roman"/>
          <w:lang w:val="en-GB"/>
        </w:rPr>
        <w:t xml:space="preserve"> Joined Cases </w:t>
      </w:r>
      <w:r w:rsidRPr="00513E75">
        <w:rPr>
          <w:rFonts w:ascii="Times New Roman" w:hAnsi="Times New Roman" w:cs="Times New Roman"/>
          <w:color w:val="000000"/>
          <w:lang w:val="en-GB"/>
        </w:rPr>
        <w:t>C</w:t>
      </w:r>
      <w:r w:rsidRPr="00513E75">
        <w:rPr>
          <w:rFonts w:ascii="Times New Roman" w:hAnsi="Times New Roman" w:cs="Times New Roman"/>
          <w:color w:val="000000"/>
          <w:lang w:val="en-GB"/>
        </w:rPr>
        <w:noBreakHyphen/>
        <w:t>924/19 PPU and C</w:t>
      </w:r>
      <w:r w:rsidRPr="00513E75">
        <w:rPr>
          <w:rFonts w:ascii="Times New Roman" w:hAnsi="Times New Roman" w:cs="Times New Roman"/>
          <w:color w:val="000000"/>
          <w:lang w:val="en-GB"/>
        </w:rPr>
        <w:noBreakHyphen/>
        <w:t>925/19 PPU</w:t>
      </w:r>
      <w:r w:rsidRPr="00513E75">
        <w:rPr>
          <w:rFonts w:ascii="Times New Roman" w:hAnsi="Times New Roman" w:cs="Times New Roman"/>
          <w:lang w:val="en-GB"/>
        </w:rPr>
        <w:t xml:space="preserve"> </w:t>
      </w:r>
      <w:r w:rsidRPr="00513E75">
        <w:rPr>
          <w:rFonts w:ascii="Times New Roman" w:hAnsi="Times New Roman" w:cs="Times New Roman"/>
          <w:color w:val="000000"/>
          <w:lang w:val="en-GB"/>
        </w:rPr>
        <w:t>, </w:t>
      </w:r>
      <w:proofErr w:type="spellStart"/>
      <w:r w:rsidRPr="00513E75">
        <w:rPr>
          <w:rFonts w:ascii="Times New Roman" w:hAnsi="Times New Roman" w:cs="Times New Roman"/>
          <w:i/>
          <w:iCs/>
          <w:color w:val="000000"/>
          <w:lang w:val="en-GB"/>
        </w:rPr>
        <w:t>Országos</w:t>
      </w:r>
      <w:proofErr w:type="spellEnd"/>
      <w:r w:rsidRPr="00513E75">
        <w:rPr>
          <w:rFonts w:ascii="Times New Roman" w:hAnsi="Times New Roman" w:cs="Times New Roman"/>
          <w:i/>
          <w:iCs/>
          <w:color w:val="000000"/>
          <w:lang w:val="en-GB"/>
        </w:rPr>
        <w:t xml:space="preserve"> </w:t>
      </w:r>
      <w:proofErr w:type="spellStart"/>
      <w:r w:rsidRPr="00513E75">
        <w:rPr>
          <w:rFonts w:ascii="Times New Roman" w:hAnsi="Times New Roman" w:cs="Times New Roman"/>
          <w:i/>
          <w:iCs/>
          <w:color w:val="000000"/>
          <w:lang w:val="en-GB"/>
        </w:rPr>
        <w:t>Idegenrendézeti</w:t>
      </w:r>
      <w:proofErr w:type="spellEnd"/>
      <w:r w:rsidRPr="00513E75">
        <w:rPr>
          <w:rFonts w:ascii="Times New Roman" w:hAnsi="Times New Roman" w:cs="Times New Roman"/>
          <w:i/>
          <w:iCs/>
          <w:color w:val="000000"/>
          <w:lang w:val="en-GB"/>
        </w:rPr>
        <w:t xml:space="preserve"> </w:t>
      </w:r>
      <w:proofErr w:type="spellStart"/>
      <w:r w:rsidRPr="00513E75">
        <w:rPr>
          <w:rFonts w:ascii="Times New Roman" w:hAnsi="Times New Roman" w:cs="Times New Roman"/>
          <w:i/>
          <w:iCs/>
          <w:color w:val="000000"/>
          <w:lang w:val="en-GB"/>
        </w:rPr>
        <w:t>Főigazgatóság</w:t>
      </w:r>
      <w:proofErr w:type="spellEnd"/>
      <w:r w:rsidRPr="00513E75">
        <w:rPr>
          <w:rFonts w:ascii="Times New Roman" w:hAnsi="Times New Roman" w:cs="Times New Roman"/>
          <w:i/>
          <w:iCs/>
          <w:color w:val="000000"/>
          <w:lang w:val="en-GB"/>
        </w:rPr>
        <w:t xml:space="preserve"> </w:t>
      </w:r>
      <w:proofErr w:type="spellStart"/>
      <w:r w:rsidRPr="00513E75">
        <w:rPr>
          <w:rFonts w:ascii="Times New Roman" w:hAnsi="Times New Roman" w:cs="Times New Roman"/>
          <w:i/>
          <w:iCs/>
          <w:color w:val="000000"/>
          <w:lang w:val="en-GB"/>
        </w:rPr>
        <w:t>Dél-alföldi</w:t>
      </w:r>
      <w:proofErr w:type="spellEnd"/>
      <w:r w:rsidRPr="00513E75">
        <w:rPr>
          <w:rFonts w:ascii="Times New Roman" w:hAnsi="Times New Roman" w:cs="Times New Roman"/>
          <w:i/>
          <w:iCs/>
          <w:color w:val="000000"/>
          <w:lang w:val="en-GB"/>
        </w:rPr>
        <w:t xml:space="preserve"> </w:t>
      </w:r>
      <w:proofErr w:type="spellStart"/>
      <w:r w:rsidRPr="00513E75">
        <w:rPr>
          <w:rFonts w:ascii="Times New Roman" w:hAnsi="Times New Roman" w:cs="Times New Roman"/>
          <w:i/>
          <w:iCs/>
          <w:color w:val="000000"/>
          <w:lang w:val="en-GB"/>
        </w:rPr>
        <w:t>Regionális</w:t>
      </w:r>
      <w:proofErr w:type="spellEnd"/>
      <w:r w:rsidRPr="00513E75">
        <w:rPr>
          <w:rFonts w:ascii="Times New Roman" w:hAnsi="Times New Roman" w:cs="Times New Roman"/>
          <w:i/>
          <w:iCs/>
          <w:color w:val="000000"/>
          <w:lang w:val="en-GB"/>
        </w:rPr>
        <w:t xml:space="preserve"> </w:t>
      </w:r>
      <w:proofErr w:type="spellStart"/>
      <w:r w:rsidRPr="00513E75">
        <w:rPr>
          <w:rFonts w:ascii="Times New Roman" w:hAnsi="Times New Roman" w:cs="Times New Roman"/>
          <w:i/>
          <w:iCs/>
          <w:color w:val="000000"/>
          <w:lang w:val="en-GB"/>
        </w:rPr>
        <w:t>Igazgatóság</w:t>
      </w:r>
      <w:proofErr w:type="spellEnd"/>
      <w:r w:rsidRPr="00513E75">
        <w:rPr>
          <w:rFonts w:ascii="Times New Roman" w:hAnsi="Times New Roman" w:cs="Times New Roman"/>
          <w:color w:val="000000"/>
          <w:lang w:val="en-GB"/>
        </w:rPr>
        <w:t>, , EU:C:2020:367, paragraph 223)</w:t>
      </w:r>
    </w:p>
  </w:footnote>
  <w:footnote w:id="148">
    <w:p w:rsidR="001241F6" w:rsidRPr="009E30DB" w:rsidRDefault="001241F6" w:rsidP="001956C2">
      <w:pPr>
        <w:spacing w:line="276" w:lineRule="auto"/>
        <w:jc w:val="both"/>
        <w:rPr>
          <w:rFonts w:ascii="Times New Roman" w:hAnsi="Times New Roman" w:cs="Times New Roman"/>
          <w:sz w:val="20"/>
          <w:szCs w:val="20"/>
        </w:rPr>
      </w:pPr>
      <w:r w:rsidRPr="009E30DB">
        <w:rPr>
          <w:rStyle w:val="FootnoteReference"/>
          <w:rFonts w:ascii="Times New Roman" w:hAnsi="Times New Roman" w:cs="Times New Roman"/>
          <w:sz w:val="20"/>
          <w:szCs w:val="20"/>
        </w:rPr>
        <w:footnoteRef/>
      </w:r>
      <w:r w:rsidRPr="009E30DB">
        <w:rPr>
          <w:rFonts w:ascii="Times New Roman" w:hAnsi="Times New Roman" w:cs="Times New Roman"/>
          <w:sz w:val="20"/>
          <w:szCs w:val="20"/>
        </w:rPr>
        <w:t xml:space="preserve"> On the diversity management function of autonomous concepts in EU law, see </w:t>
      </w:r>
      <w:proofErr w:type="spellStart"/>
      <w:r w:rsidRPr="009E30DB">
        <w:rPr>
          <w:rFonts w:ascii="Times New Roman" w:hAnsi="Times New Roman" w:cs="Times New Roman"/>
          <w:sz w:val="20"/>
          <w:szCs w:val="20"/>
        </w:rPr>
        <w:t>V.Mitsilegas</w:t>
      </w:r>
      <w:proofErr w:type="spellEnd"/>
      <w:r w:rsidRPr="009E30DB">
        <w:rPr>
          <w:rFonts w:ascii="Times New Roman" w:hAnsi="Times New Roman" w:cs="Times New Roman"/>
          <w:sz w:val="20"/>
          <w:szCs w:val="20"/>
        </w:rPr>
        <w:t xml:space="preserve">, ‘Autonomous Concepts, Diversity Management and Mutual Trust in Europe’s Area of Criminal Justice’, (2020) 57 </w:t>
      </w:r>
      <w:r w:rsidRPr="009E30DB">
        <w:rPr>
          <w:rFonts w:ascii="Times New Roman" w:hAnsi="Times New Roman" w:cs="Times New Roman"/>
          <w:i/>
          <w:sz w:val="20"/>
          <w:szCs w:val="20"/>
        </w:rPr>
        <w:t>Common Market Law Review</w:t>
      </w:r>
      <w:r w:rsidRPr="009E30DB">
        <w:rPr>
          <w:rFonts w:ascii="Times New Roman" w:hAnsi="Times New Roman" w:cs="Times New Roman"/>
          <w:sz w:val="20"/>
          <w:szCs w:val="20"/>
        </w:rPr>
        <w:t>, 45.</w:t>
      </w:r>
    </w:p>
    <w:p w:rsidR="001241F6" w:rsidRPr="009E30DB" w:rsidRDefault="001241F6" w:rsidP="001956C2">
      <w:pPr>
        <w:pStyle w:val="FootnoteText"/>
        <w:rPr>
          <w:rFonts w:ascii="Times New Roman" w:hAnsi="Times New Roman" w:cs="Times New Roman"/>
          <w:lang w:val="en-GB"/>
        </w:rPr>
      </w:pPr>
    </w:p>
  </w:footnote>
  <w:footnote w:id="149">
    <w:p w:rsidR="001241F6" w:rsidRPr="00370890" w:rsidRDefault="001241F6" w:rsidP="001956C2">
      <w:pPr>
        <w:pStyle w:val="c02alineaalta"/>
        <w:spacing w:before="0" w:beforeAutospacing="0" w:after="240" w:afterAutospacing="0"/>
        <w:jc w:val="both"/>
        <w:rPr>
          <w:color w:val="000000"/>
          <w:sz w:val="20"/>
          <w:szCs w:val="20"/>
        </w:rPr>
      </w:pPr>
      <w:r w:rsidRPr="00370890">
        <w:rPr>
          <w:rStyle w:val="FootnoteReference"/>
          <w:sz w:val="20"/>
          <w:szCs w:val="20"/>
        </w:rPr>
        <w:footnoteRef/>
      </w:r>
      <w:r w:rsidRPr="00370890">
        <w:rPr>
          <w:sz w:val="20"/>
          <w:szCs w:val="20"/>
        </w:rPr>
        <w:t xml:space="preserve"> Joined Cases C-924/19 PPU and C-925/19 PPU, </w:t>
      </w:r>
      <w:r w:rsidRPr="00370890">
        <w:rPr>
          <w:bCs/>
          <w:color w:val="000000"/>
          <w:sz w:val="20"/>
          <w:szCs w:val="20"/>
        </w:rPr>
        <w:t>FMS,</w:t>
      </w:r>
      <w:r w:rsidRPr="00370890">
        <w:rPr>
          <w:color w:val="000000"/>
          <w:sz w:val="20"/>
          <w:szCs w:val="20"/>
        </w:rPr>
        <w:t xml:space="preserve"> </w:t>
      </w:r>
      <w:r w:rsidRPr="00370890">
        <w:rPr>
          <w:bCs/>
          <w:color w:val="000000"/>
          <w:sz w:val="20"/>
          <w:szCs w:val="20"/>
        </w:rPr>
        <w:t>FNZ</w:t>
      </w:r>
      <w:r w:rsidRPr="00370890">
        <w:rPr>
          <w:color w:val="000000"/>
          <w:sz w:val="20"/>
          <w:szCs w:val="20"/>
        </w:rPr>
        <w:t xml:space="preserve"> and </w:t>
      </w:r>
      <w:r w:rsidRPr="00370890">
        <w:rPr>
          <w:bCs/>
          <w:color w:val="000000"/>
          <w:sz w:val="20"/>
          <w:szCs w:val="20"/>
        </w:rPr>
        <w:t>SA,</w:t>
      </w:r>
      <w:r w:rsidRPr="00370890">
        <w:rPr>
          <w:color w:val="000000"/>
          <w:sz w:val="20"/>
          <w:szCs w:val="20"/>
        </w:rPr>
        <w:t xml:space="preserve"> </w:t>
      </w:r>
      <w:r w:rsidRPr="00370890">
        <w:rPr>
          <w:bCs/>
          <w:color w:val="000000"/>
          <w:sz w:val="20"/>
          <w:szCs w:val="20"/>
        </w:rPr>
        <w:t>SA junior</w:t>
      </w:r>
      <w:r w:rsidRPr="00370890">
        <w:rPr>
          <w:color w:val="000000"/>
          <w:sz w:val="20"/>
          <w:szCs w:val="20"/>
        </w:rPr>
        <w:t xml:space="preserve">, </w:t>
      </w:r>
      <w:r w:rsidRPr="00370890">
        <w:rPr>
          <w:rStyle w:val="outputecli"/>
          <w:color w:val="666666"/>
          <w:sz w:val="20"/>
          <w:szCs w:val="20"/>
        </w:rPr>
        <w:t>ECLI:EU:C:2020:367, para. 224.</w:t>
      </w:r>
    </w:p>
  </w:footnote>
  <w:footnote w:id="150">
    <w:p w:rsidR="001241F6" w:rsidRPr="00370890" w:rsidRDefault="001241F6" w:rsidP="001956C2">
      <w:pPr>
        <w:pStyle w:val="FootnoteText"/>
        <w:rPr>
          <w:rFonts w:ascii="Times New Roman" w:hAnsi="Times New Roman" w:cs="Times New Roman"/>
          <w:lang w:val="en-GB"/>
        </w:rPr>
      </w:pPr>
      <w:r w:rsidRPr="00370890">
        <w:rPr>
          <w:rStyle w:val="FootnoteReference"/>
          <w:rFonts w:ascii="Times New Roman" w:hAnsi="Times New Roman" w:cs="Times New Roman"/>
        </w:rPr>
        <w:footnoteRef/>
      </w:r>
      <w:r w:rsidRPr="00370890">
        <w:rPr>
          <w:rFonts w:ascii="Times New Roman" w:hAnsi="Times New Roman" w:cs="Times New Roman"/>
          <w:lang w:val="en-GB"/>
        </w:rPr>
        <w:t xml:space="preserve"> See in particular paras 256-265.</w:t>
      </w:r>
    </w:p>
  </w:footnote>
  <w:footnote w:id="151">
    <w:p w:rsidR="001241F6" w:rsidRPr="00370890" w:rsidRDefault="001241F6" w:rsidP="001956C2">
      <w:pPr>
        <w:pStyle w:val="FootnoteText"/>
        <w:rPr>
          <w:rFonts w:ascii="Times New Roman" w:hAnsi="Times New Roman" w:cs="Times New Roman"/>
          <w:lang w:val="en-GB"/>
        </w:rPr>
      </w:pPr>
      <w:r w:rsidRPr="00370890">
        <w:rPr>
          <w:rStyle w:val="FootnoteReference"/>
          <w:rFonts w:ascii="Times New Roman" w:hAnsi="Times New Roman" w:cs="Times New Roman"/>
        </w:rPr>
        <w:footnoteRef/>
      </w:r>
      <w:r w:rsidRPr="00370890">
        <w:rPr>
          <w:rFonts w:ascii="Times New Roman" w:hAnsi="Times New Roman" w:cs="Times New Roman"/>
          <w:lang w:val="en-GB"/>
        </w:rPr>
        <w:t xml:space="preserve"> See paras 258 and 264.</w:t>
      </w:r>
    </w:p>
  </w:footnote>
  <w:footnote w:id="152">
    <w:p w:rsidR="001241F6" w:rsidRPr="00370890" w:rsidRDefault="001241F6" w:rsidP="001956C2">
      <w:pPr>
        <w:pStyle w:val="FootnoteText"/>
        <w:rPr>
          <w:rFonts w:ascii="Times New Roman" w:hAnsi="Times New Roman" w:cs="Times New Roman"/>
          <w:lang w:val="en-GB"/>
        </w:rPr>
      </w:pPr>
      <w:r w:rsidRPr="00370890">
        <w:rPr>
          <w:rStyle w:val="FootnoteReference"/>
          <w:rFonts w:ascii="Times New Roman" w:hAnsi="Times New Roman" w:cs="Times New Roman"/>
        </w:rPr>
        <w:footnoteRef/>
      </w:r>
      <w:r w:rsidRPr="00370890">
        <w:rPr>
          <w:rFonts w:ascii="Times New Roman" w:hAnsi="Times New Roman" w:cs="Times New Roman"/>
          <w:lang w:val="en-GB"/>
        </w:rPr>
        <w:t xml:space="preserve"> Para. 258.</w:t>
      </w:r>
    </w:p>
  </w:footnote>
  <w:footnote w:id="153">
    <w:p w:rsidR="001241F6" w:rsidRPr="00370890" w:rsidRDefault="001241F6" w:rsidP="001956C2">
      <w:pPr>
        <w:pStyle w:val="FootnoteText"/>
        <w:rPr>
          <w:rFonts w:ascii="Times New Roman" w:hAnsi="Times New Roman" w:cs="Times New Roman"/>
          <w:lang w:val="en-GB"/>
        </w:rPr>
      </w:pPr>
      <w:r w:rsidRPr="00370890">
        <w:rPr>
          <w:rStyle w:val="FootnoteReference"/>
          <w:rFonts w:ascii="Times New Roman" w:hAnsi="Times New Roman" w:cs="Times New Roman"/>
        </w:rPr>
        <w:footnoteRef/>
      </w:r>
      <w:r w:rsidRPr="00370890">
        <w:rPr>
          <w:rFonts w:ascii="Times New Roman" w:hAnsi="Times New Roman" w:cs="Times New Roman"/>
          <w:lang w:val="en-GB"/>
        </w:rPr>
        <w:t xml:space="preserve"> Ibid.</w:t>
      </w:r>
    </w:p>
  </w:footnote>
  <w:footnote w:id="154">
    <w:p w:rsidR="001241F6" w:rsidRPr="00370890" w:rsidRDefault="001241F6">
      <w:pPr>
        <w:pStyle w:val="FootnoteText"/>
        <w:rPr>
          <w:rFonts w:ascii="Times New Roman" w:hAnsi="Times New Roman" w:cs="Times New Roman"/>
          <w:lang w:val="en-GB"/>
        </w:rPr>
      </w:pPr>
      <w:r w:rsidRPr="00370890">
        <w:rPr>
          <w:rStyle w:val="FootnoteReference"/>
          <w:rFonts w:ascii="Times New Roman" w:hAnsi="Times New Roman" w:cs="Times New Roman"/>
        </w:rPr>
        <w:footnoteRef/>
      </w:r>
      <w:r w:rsidRPr="00370890">
        <w:rPr>
          <w:rFonts w:ascii="Times New Roman" w:hAnsi="Times New Roman" w:cs="Times New Roman"/>
          <w:lang w:val="en-GB"/>
        </w:rPr>
        <w:t xml:space="preserve"> On the extension of the categories of third country nationals who will be subject to detention under the Commission Pact proposals, see also M. den </w:t>
      </w:r>
      <w:proofErr w:type="spellStart"/>
      <w:r w:rsidRPr="00370890">
        <w:rPr>
          <w:rFonts w:ascii="Times New Roman" w:hAnsi="Times New Roman" w:cs="Times New Roman"/>
          <w:lang w:val="en-GB"/>
        </w:rPr>
        <w:t>Heijer</w:t>
      </w:r>
      <w:proofErr w:type="spellEnd"/>
      <w:r w:rsidRPr="00370890">
        <w:rPr>
          <w:rFonts w:ascii="Times New Roman" w:hAnsi="Times New Roman" w:cs="Times New Roman"/>
          <w:lang w:val="en-GB"/>
        </w:rPr>
        <w:t xml:space="preserve">,  ‘The Pitfalls of Border procedures’ (2022) 59 </w:t>
      </w:r>
      <w:r w:rsidRPr="00370890">
        <w:rPr>
          <w:rFonts w:ascii="Times New Roman" w:hAnsi="Times New Roman" w:cs="Times New Roman"/>
          <w:i/>
          <w:lang w:val="en-GB"/>
        </w:rPr>
        <w:t xml:space="preserve">Common Market Law Review, </w:t>
      </w:r>
      <w:r w:rsidRPr="00370890">
        <w:rPr>
          <w:rFonts w:ascii="Times New Roman" w:hAnsi="Times New Roman" w:cs="Times New Roman"/>
          <w:lang w:val="en-GB"/>
        </w:rPr>
        <w:t>641,.663.</w:t>
      </w:r>
    </w:p>
  </w:footnote>
  <w:footnote w:id="155">
    <w:p w:rsidR="001241F6" w:rsidRPr="00370890" w:rsidRDefault="001241F6" w:rsidP="001956C2">
      <w:pPr>
        <w:pStyle w:val="FootnoteText"/>
        <w:rPr>
          <w:rFonts w:ascii="Times New Roman" w:hAnsi="Times New Roman" w:cs="Times New Roman"/>
          <w:lang w:val="en-GB"/>
        </w:rPr>
      </w:pPr>
      <w:r w:rsidRPr="00370890">
        <w:rPr>
          <w:rStyle w:val="FootnoteReference"/>
          <w:rFonts w:ascii="Times New Roman" w:hAnsi="Times New Roman" w:cs="Times New Roman"/>
        </w:rPr>
        <w:footnoteRef/>
      </w:r>
      <w:r w:rsidRPr="00370890">
        <w:rPr>
          <w:rFonts w:ascii="Times New Roman" w:hAnsi="Times New Roman" w:cs="Times New Roman"/>
          <w:lang w:val="en-GB"/>
        </w:rPr>
        <w:t xml:space="preserve"> See also Marin and </w:t>
      </w:r>
      <w:proofErr w:type="spellStart"/>
      <w:r w:rsidRPr="00370890">
        <w:rPr>
          <w:rFonts w:ascii="Times New Roman" w:hAnsi="Times New Roman" w:cs="Times New Roman"/>
          <w:lang w:val="en-GB"/>
        </w:rPr>
        <w:t>Cassarino</w:t>
      </w:r>
      <w:proofErr w:type="spellEnd"/>
      <w:r w:rsidRPr="00370890">
        <w:rPr>
          <w:rFonts w:ascii="Times New Roman" w:hAnsi="Times New Roman" w:cs="Times New Roman"/>
          <w:lang w:val="en-GB"/>
        </w:rPr>
        <w:t xml:space="preserve"> who note that following the CJEU ruling it can be argued that the parameters clarified in that decision could also be applied to the case of migrants during the screening phase- op. cit..11.</w:t>
      </w:r>
    </w:p>
    <w:p w:rsidR="00370890" w:rsidRPr="00370890" w:rsidRDefault="00370890" w:rsidP="001956C2">
      <w:pPr>
        <w:pStyle w:val="FootnoteText"/>
        <w:rPr>
          <w:rFonts w:ascii="Times New Roman" w:hAnsi="Times New Roman" w:cs="Times New Roman"/>
          <w:lang w:val="en-GB"/>
        </w:rPr>
      </w:pPr>
    </w:p>
  </w:footnote>
  <w:footnote w:id="156">
    <w:p w:rsidR="006C0765" w:rsidRPr="00370890" w:rsidRDefault="006C0765" w:rsidP="006C0765">
      <w:pPr>
        <w:pStyle w:val="c38centregrasgrandespacement"/>
        <w:spacing w:before="840" w:beforeAutospacing="0" w:after="840" w:afterAutospacing="0"/>
        <w:rPr>
          <w:rStyle w:val="FootnoteReference"/>
          <w:bCs/>
          <w:color w:val="000000"/>
          <w:sz w:val="20"/>
          <w:szCs w:val="20"/>
          <w:vertAlign w:val="baseline"/>
        </w:rPr>
      </w:pPr>
      <w:r w:rsidRPr="00370890">
        <w:rPr>
          <w:rStyle w:val="FootnoteReference"/>
          <w:sz w:val="20"/>
          <w:szCs w:val="20"/>
        </w:rPr>
        <w:footnoteRef/>
      </w:r>
      <w:r w:rsidRPr="00370890">
        <w:rPr>
          <w:sz w:val="20"/>
          <w:szCs w:val="20"/>
        </w:rPr>
        <w:t xml:space="preserve"> Opinion of AG de a Tour, Case C</w:t>
      </w:r>
      <w:r w:rsidRPr="00370890">
        <w:rPr>
          <w:bCs/>
          <w:color w:val="000000"/>
          <w:sz w:val="20"/>
          <w:szCs w:val="20"/>
        </w:rPr>
        <w:noBreakHyphen/>
        <w:t xml:space="preserve">241/21, </w:t>
      </w:r>
      <w:r w:rsidRPr="00370890">
        <w:rPr>
          <w:bCs/>
          <w:i/>
          <w:color w:val="000000"/>
          <w:sz w:val="20"/>
          <w:szCs w:val="20"/>
        </w:rPr>
        <w:t xml:space="preserve">I.L. v </w:t>
      </w:r>
      <w:proofErr w:type="spellStart"/>
      <w:r w:rsidRPr="00370890">
        <w:rPr>
          <w:bCs/>
          <w:i/>
          <w:color w:val="000000"/>
          <w:sz w:val="20"/>
          <w:szCs w:val="20"/>
        </w:rPr>
        <w:t>Politsei</w:t>
      </w:r>
      <w:proofErr w:type="spellEnd"/>
      <w:r w:rsidRPr="00370890">
        <w:rPr>
          <w:bCs/>
          <w:i/>
          <w:color w:val="000000"/>
          <w:sz w:val="20"/>
          <w:szCs w:val="20"/>
        </w:rPr>
        <w:t xml:space="preserve">- </w:t>
      </w:r>
      <w:proofErr w:type="spellStart"/>
      <w:r w:rsidRPr="00370890">
        <w:rPr>
          <w:bCs/>
          <w:i/>
          <w:color w:val="000000"/>
          <w:sz w:val="20"/>
          <w:szCs w:val="20"/>
        </w:rPr>
        <w:t>ja</w:t>
      </w:r>
      <w:proofErr w:type="spellEnd"/>
      <w:r w:rsidRPr="00370890">
        <w:rPr>
          <w:bCs/>
          <w:i/>
          <w:color w:val="000000"/>
          <w:sz w:val="20"/>
          <w:szCs w:val="20"/>
        </w:rPr>
        <w:t xml:space="preserve"> </w:t>
      </w:r>
      <w:proofErr w:type="spellStart"/>
      <w:r w:rsidRPr="00370890">
        <w:rPr>
          <w:bCs/>
          <w:i/>
          <w:color w:val="000000"/>
          <w:sz w:val="20"/>
          <w:szCs w:val="20"/>
        </w:rPr>
        <w:t>Piirivalveamet</w:t>
      </w:r>
      <w:proofErr w:type="spellEnd"/>
      <w:r w:rsidRPr="00370890">
        <w:rPr>
          <w:bCs/>
          <w:i/>
          <w:color w:val="000000"/>
          <w:sz w:val="20"/>
          <w:szCs w:val="20"/>
        </w:rPr>
        <w:t xml:space="preserve">, </w:t>
      </w:r>
      <w:r w:rsidRPr="00370890">
        <w:rPr>
          <w:color w:val="666666"/>
          <w:sz w:val="20"/>
          <w:szCs w:val="20"/>
        </w:rPr>
        <w:t>ECLI:EU:C:2022:432, para. 57.</w:t>
      </w:r>
    </w:p>
    <w:p w:rsidR="006C0765" w:rsidRPr="006C0765" w:rsidRDefault="006C0765" w:rsidP="006C0765">
      <w:pPr>
        <w:shd w:val="clear" w:color="auto" w:fill="FFFFFF"/>
        <w:spacing w:after="0" w:line="240" w:lineRule="auto"/>
        <w:textAlignment w:val="baseline"/>
        <w:rPr>
          <w:rFonts w:ascii="Times New Roman" w:eastAsia="Times New Roman" w:hAnsi="Times New Roman" w:cs="Times New Roman"/>
          <w:color w:val="201F1E"/>
          <w:sz w:val="24"/>
          <w:szCs w:val="24"/>
          <w:bdr w:val="none" w:sz="0" w:space="0" w:color="auto" w:frame="1"/>
          <w:lang w:eastAsia="en-GB"/>
        </w:rPr>
      </w:pPr>
    </w:p>
    <w:p w:rsidR="006C0765" w:rsidRPr="006C0765" w:rsidRDefault="006C0765">
      <w:pPr>
        <w:pStyle w:val="FootnoteText"/>
        <w:rPr>
          <w:lang w:val="en-GB"/>
        </w:rPr>
      </w:pPr>
    </w:p>
  </w:footnote>
  <w:footnote w:id="157">
    <w:p w:rsidR="006C0765" w:rsidRPr="00D51C4F" w:rsidRDefault="006C0765">
      <w:pPr>
        <w:pStyle w:val="FootnoteText"/>
        <w:rPr>
          <w:rFonts w:ascii="Times New Roman" w:hAnsi="Times New Roman" w:cs="Times New Roman"/>
          <w:lang w:val="en-GB"/>
        </w:rPr>
      </w:pPr>
      <w:r w:rsidRPr="00D51C4F">
        <w:rPr>
          <w:rStyle w:val="FootnoteReference"/>
          <w:rFonts w:ascii="Times New Roman" w:hAnsi="Times New Roman" w:cs="Times New Roman"/>
        </w:rPr>
        <w:footnoteRef/>
      </w:r>
      <w:r w:rsidRPr="00D51C4F">
        <w:rPr>
          <w:rFonts w:ascii="Times New Roman" w:hAnsi="Times New Roman" w:cs="Times New Roman"/>
          <w:lang w:val="en-GB"/>
        </w:rPr>
        <w:t xml:space="preserve"> Opinion of AG </w:t>
      </w:r>
      <w:proofErr w:type="spellStart"/>
      <w:r w:rsidRPr="00D51C4F">
        <w:rPr>
          <w:rFonts w:ascii="Times New Roman" w:hAnsi="Times New Roman" w:cs="Times New Roman"/>
          <w:lang w:val="en-GB"/>
        </w:rPr>
        <w:t>Emiliou</w:t>
      </w:r>
      <w:proofErr w:type="spellEnd"/>
      <w:r w:rsidRPr="00D51C4F">
        <w:rPr>
          <w:rFonts w:ascii="Times New Roman" w:hAnsi="Times New Roman" w:cs="Times New Roman"/>
          <w:lang w:val="en-GB"/>
        </w:rPr>
        <w:t>, para. 97. The AG stressed the punitive nature of detention in this context- paras. 151-152.</w:t>
      </w:r>
    </w:p>
  </w:footnote>
  <w:footnote w:id="158">
    <w:p w:rsidR="001241F6" w:rsidRPr="00D51C4F" w:rsidRDefault="001241F6" w:rsidP="000F20B8">
      <w:pPr>
        <w:jc w:val="both"/>
        <w:rPr>
          <w:rFonts w:ascii="Times New Roman" w:hAnsi="Times New Roman" w:cs="Times New Roman"/>
          <w:sz w:val="20"/>
          <w:szCs w:val="20"/>
        </w:rPr>
      </w:pPr>
      <w:r w:rsidRPr="00D51C4F">
        <w:rPr>
          <w:rStyle w:val="FootnoteReference"/>
          <w:rFonts w:ascii="Times New Roman" w:hAnsi="Times New Roman" w:cs="Times New Roman"/>
          <w:sz w:val="20"/>
          <w:szCs w:val="20"/>
        </w:rPr>
        <w:footnoteRef/>
      </w:r>
      <w:r w:rsidRPr="00D51C4F">
        <w:rPr>
          <w:rFonts w:ascii="Times New Roman" w:hAnsi="Times New Roman" w:cs="Times New Roman"/>
          <w:sz w:val="20"/>
          <w:szCs w:val="20"/>
        </w:rPr>
        <w:t xml:space="preserve"> </w:t>
      </w:r>
      <w:proofErr w:type="spellStart"/>
      <w:proofErr w:type="gramStart"/>
      <w:r w:rsidRPr="00D51C4F">
        <w:rPr>
          <w:rFonts w:ascii="Times New Roman" w:hAnsi="Times New Roman" w:cs="Times New Roman"/>
          <w:sz w:val="20"/>
          <w:szCs w:val="20"/>
        </w:rPr>
        <w:t>A.Shachar</w:t>
      </w:r>
      <w:proofErr w:type="spellEnd"/>
      <w:proofErr w:type="gramEnd"/>
      <w:r w:rsidRPr="00D51C4F">
        <w:rPr>
          <w:rFonts w:ascii="Times New Roman" w:hAnsi="Times New Roman" w:cs="Times New Roman"/>
          <w:sz w:val="20"/>
          <w:szCs w:val="20"/>
        </w:rPr>
        <w:t xml:space="preserve">, ‘The shifting border: legal cartographies of migration and mobility’ in </w:t>
      </w:r>
      <w:r w:rsidRPr="00D51C4F">
        <w:rPr>
          <w:rFonts w:ascii="Times New Roman" w:hAnsi="Times New Roman" w:cs="Times New Roman"/>
          <w:i/>
          <w:sz w:val="20"/>
          <w:szCs w:val="20"/>
        </w:rPr>
        <w:t xml:space="preserve">The shifting border. Ayelet </w:t>
      </w:r>
      <w:proofErr w:type="spellStart"/>
      <w:r w:rsidRPr="00D51C4F">
        <w:rPr>
          <w:rFonts w:ascii="Times New Roman" w:hAnsi="Times New Roman" w:cs="Times New Roman"/>
          <w:i/>
          <w:sz w:val="20"/>
          <w:szCs w:val="20"/>
        </w:rPr>
        <w:t>Shachar</w:t>
      </w:r>
      <w:proofErr w:type="spellEnd"/>
      <w:r w:rsidRPr="00D51C4F">
        <w:rPr>
          <w:rFonts w:ascii="Times New Roman" w:hAnsi="Times New Roman" w:cs="Times New Roman"/>
          <w:i/>
          <w:sz w:val="20"/>
          <w:szCs w:val="20"/>
        </w:rPr>
        <w:t xml:space="preserve"> in Dialogue </w:t>
      </w:r>
      <w:r w:rsidRPr="00D51C4F">
        <w:rPr>
          <w:rFonts w:ascii="Times New Roman" w:hAnsi="Times New Roman" w:cs="Times New Roman"/>
          <w:sz w:val="20"/>
          <w:szCs w:val="20"/>
        </w:rPr>
        <w:t>(Manchester University Press, 2020,)3, 23-24.</w:t>
      </w:r>
    </w:p>
    <w:p w:rsidR="001241F6" w:rsidRPr="00D51C4F" w:rsidRDefault="001241F6">
      <w:pPr>
        <w:pStyle w:val="FootnoteText"/>
        <w:rPr>
          <w:rFonts w:ascii="Times New Roman" w:hAnsi="Times New Roman" w:cs="Times New Roman"/>
          <w:lang w:val="en-GB"/>
        </w:rPr>
      </w:pPr>
    </w:p>
  </w:footnote>
  <w:footnote w:id="159">
    <w:p w:rsidR="001241F6" w:rsidRPr="00D51C4F" w:rsidRDefault="001241F6">
      <w:pPr>
        <w:pStyle w:val="FootnoteText"/>
        <w:rPr>
          <w:rFonts w:ascii="Times New Roman" w:hAnsi="Times New Roman" w:cs="Times New Roman"/>
          <w:lang w:val="en-GB"/>
        </w:rPr>
      </w:pPr>
      <w:r w:rsidRPr="00D51C4F">
        <w:rPr>
          <w:rStyle w:val="FootnoteReference"/>
          <w:rFonts w:ascii="Times New Roman" w:hAnsi="Times New Roman" w:cs="Times New Roman"/>
        </w:rPr>
        <w:footnoteRef/>
      </w:r>
      <w:r w:rsidRPr="00D51C4F">
        <w:rPr>
          <w:rFonts w:ascii="Times New Roman" w:hAnsi="Times New Roman" w:cs="Times New Roman"/>
          <w:lang w:val="en-GB"/>
        </w:rPr>
        <w:t xml:space="preserve"> I. Mann, ‘Maritime Legal Black Holes: Migration and Rightlessness in International Law’ (2018) </w:t>
      </w:r>
      <w:proofErr w:type="gramStart"/>
      <w:r w:rsidRPr="00D51C4F">
        <w:rPr>
          <w:rFonts w:ascii="Times New Roman" w:hAnsi="Times New Roman" w:cs="Times New Roman"/>
          <w:lang w:val="en-GB"/>
        </w:rPr>
        <w:t xml:space="preserve">29  </w:t>
      </w:r>
      <w:r w:rsidRPr="00D51C4F">
        <w:rPr>
          <w:rFonts w:ascii="Times New Roman" w:hAnsi="Times New Roman" w:cs="Times New Roman"/>
          <w:i/>
          <w:lang w:val="en-GB"/>
        </w:rPr>
        <w:t>EJIL</w:t>
      </w:r>
      <w:proofErr w:type="gramEnd"/>
      <w:r w:rsidRPr="00D51C4F">
        <w:rPr>
          <w:rFonts w:ascii="Times New Roman" w:hAnsi="Times New Roman" w:cs="Times New Roman"/>
          <w:i/>
          <w:lang w:val="en-GB"/>
        </w:rPr>
        <w:t xml:space="preserve"> </w:t>
      </w:r>
      <w:r w:rsidRPr="00D51C4F">
        <w:rPr>
          <w:rFonts w:ascii="Times New Roman" w:hAnsi="Times New Roman" w:cs="Times New Roman"/>
          <w:lang w:val="en-GB"/>
        </w:rPr>
        <w:t>, 347.</w:t>
      </w:r>
    </w:p>
  </w:footnote>
  <w:footnote w:id="160">
    <w:p w:rsidR="001241F6" w:rsidRPr="008E551E" w:rsidRDefault="001241F6" w:rsidP="008E551E">
      <w:pPr>
        <w:pStyle w:val="s6e50bd9a"/>
        <w:shd w:val="clear" w:color="auto" w:fill="FFFFFF"/>
        <w:spacing w:before="0" w:beforeAutospacing="0" w:after="0" w:afterAutospacing="0"/>
        <w:rPr>
          <w:rFonts w:ascii="Arial" w:hAnsi="Arial" w:cs="Arial"/>
          <w:color w:val="000000"/>
          <w:sz w:val="17"/>
          <w:szCs w:val="17"/>
        </w:rPr>
      </w:pPr>
      <w:r w:rsidRPr="00D51C4F">
        <w:rPr>
          <w:rStyle w:val="FootnoteReference"/>
          <w:sz w:val="20"/>
          <w:szCs w:val="20"/>
        </w:rPr>
        <w:footnoteRef/>
      </w:r>
      <w:r w:rsidRPr="00D51C4F">
        <w:rPr>
          <w:rStyle w:val="s38c10080"/>
          <w:bCs/>
          <w:i/>
          <w:iCs/>
          <w:color w:val="000000"/>
          <w:sz w:val="20"/>
          <w:szCs w:val="20"/>
        </w:rPr>
        <w:t xml:space="preserve">Hirsi </w:t>
      </w:r>
      <w:proofErr w:type="spellStart"/>
      <w:r w:rsidRPr="00D51C4F">
        <w:rPr>
          <w:rStyle w:val="s38c10080"/>
          <w:bCs/>
          <w:i/>
          <w:iCs/>
          <w:color w:val="000000"/>
          <w:sz w:val="20"/>
          <w:szCs w:val="20"/>
        </w:rPr>
        <w:t>Jamaa</w:t>
      </w:r>
      <w:proofErr w:type="spellEnd"/>
      <w:r w:rsidRPr="00D51C4F">
        <w:rPr>
          <w:rStyle w:val="s38c10080"/>
          <w:bCs/>
          <w:i/>
          <w:iCs/>
          <w:color w:val="000000"/>
          <w:sz w:val="20"/>
          <w:szCs w:val="20"/>
        </w:rPr>
        <w:t xml:space="preserve"> and Others v. Italy [GC]</w:t>
      </w:r>
      <w:r w:rsidRPr="00D51C4F">
        <w:rPr>
          <w:rStyle w:val="s7d2086b4"/>
          <w:bCs/>
          <w:color w:val="000000"/>
          <w:sz w:val="20"/>
          <w:szCs w:val="20"/>
        </w:rPr>
        <w:t> - </w:t>
      </w:r>
      <w:hyperlink r:id="rId36" w:anchor="{%22appno%22:[%2227765/09%22]}" w:tgtFrame="_blank" w:history="1">
        <w:r w:rsidRPr="00D51C4F">
          <w:rPr>
            <w:rStyle w:val="Hyperlink"/>
            <w:bCs/>
            <w:color w:val="0069D6"/>
            <w:sz w:val="20"/>
            <w:szCs w:val="20"/>
          </w:rPr>
          <w:t>27765/09</w:t>
        </w:r>
      </w:hyperlink>
      <w:r w:rsidRPr="00D51C4F">
        <w:rPr>
          <w:rStyle w:val="s7d2086b4"/>
          <w:bCs/>
          <w:color w:val="000000"/>
          <w:sz w:val="20"/>
          <w:szCs w:val="20"/>
        </w:rPr>
        <w:t xml:space="preserve">, </w:t>
      </w:r>
      <w:r w:rsidRPr="00D51C4F">
        <w:rPr>
          <w:rStyle w:val="sfbbfee58"/>
          <w:color w:val="000000"/>
          <w:sz w:val="20"/>
          <w:szCs w:val="20"/>
        </w:rPr>
        <w:t xml:space="preserve">Judgment 23.2.2012 [GC],  </w:t>
      </w:r>
      <w:r w:rsidRPr="00D51C4F">
        <w:rPr>
          <w:sz w:val="20"/>
          <w:szCs w:val="20"/>
        </w:rPr>
        <w:t xml:space="preserve">para. 178- for a rule of law evaluation of Hirsi see </w:t>
      </w:r>
      <w:proofErr w:type="spellStart"/>
      <w:proofErr w:type="gramStart"/>
      <w:r w:rsidRPr="00D51C4F">
        <w:rPr>
          <w:sz w:val="20"/>
          <w:szCs w:val="20"/>
        </w:rPr>
        <w:t>Mitsilegas,op</w:t>
      </w:r>
      <w:proofErr w:type="spellEnd"/>
      <w:r w:rsidRPr="00D51C4F">
        <w:rPr>
          <w:sz w:val="20"/>
          <w:szCs w:val="20"/>
        </w:rPr>
        <w:t>.</w:t>
      </w:r>
      <w:proofErr w:type="gramEnd"/>
      <w:r w:rsidRPr="00D51C4F">
        <w:rPr>
          <w:sz w:val="20"/>
          <w:szCs w:val="20"/>
        </w:rPr>
        <w:t xml:space="preserve"> cit. (</w:t>
      </w:r>
      <w:proofErr w:type="spellStart"/>
      <w:r w:rsidRPr="00D51C4F">
        <w:rPr>
          <w:sz w:val="20"/>
          <w:szCs w:val="20"/>
        </w:rPr>
        <w:t>TYhe</w:t>
      </w:r>
      <w:proofErr w:type="spellEnd"/>
      <w:r w:rsidRPr="00D51C4F">
        <w:rPr>
          <w:sz w:val="20"/>
          <w:szCs w:val="20"/>
        </w:rPr>
        <w:t xml:space="preserve"> Criminalisation of Migration in Europe),.7-10.</w:t>
      </w:r>
    </w:p>
  </w:footnote>
  <w:footnote w:id="161">
    <w:p w:rsidR="008372D4" w:rsidRPr="008372D4" w:rsidRDefault="001241F6" w:rsidP="008372D4">
      <w:pPr>
        <w:jc w:val="both"/>
        <w:rPr>
          <w:rFonts w:ascii="Times New Roman" w:hAnsi="Times New Roman" w:cs="Times New Roman"/>
          <w:color w:val="333333"/>
          <w:sz w:val="20"/>
          <w:szCs w:val="20"/>
        </w:rPr>
      </w:pPr>
      <w:r w:rsidRPr="008372D4">
        <w:rPr>
          <w:rStyle w:val="FootnoteReference"/>
          <w:rFonts w:ascii="Times New Roman" w:hAnsi="Times New Roman" w:cs="Times New Roman"/>
          <w:sz w:val="20"/>
          <w:szCs w:val="20"/>
        </w:rPr>
        <w:footnoteRef/>
      </w:r>
      <w:r w:rsidRPr="008372D4">
        <w:rPr>
          <w:rFonts w:ascii="Times New Roman" w:hAnsi="Times New Roman" w:cs="Times New Roman"/>
          <w:sz w:val="20"/>
          <w:szCs w:val="20"/>
        </w:rPr>
        <w:t xml:space="preserve"> </w:t>
      </w:r>
      <w:r w:rsidRPr="008372D4">
        <w:rPr>
          <w:rFonts w:ascii="Times New Roman" w:hAnsi="Times New Roman" w:cs="Times New Roman"/>
          <w:bCs/>
          <w:color w:val="333333"/>
          <w:sz w:val="20"/>
          <w:szCs w:val="20"/>
        </w:rPr>
        <w:t>Pro</w:t>
      </w:r>
      <w:r w:rsidR="008372D4" w:rsidRPr="008372D4">
        <w:rPr>
          <w:rFonts w:ascii="Times New Roman" w:hAnsi="Times New Roman" w:cs="Times New Roman"/>
          <w:bCs/>
          <w:color w:val="333333"/>
          <w:sz w:val="20"/>
          <w:szCs w:val="20"/>
        </w:rPr>
        <w:t>posal for a Council</w:t>
      </w:r>
      <w:r w:rsidRPr="008372D4">
        <w:rPr>
          <w:rFonts w:ascii="Times New Roman" w:hAnsi="Times New Roman" w:cs="Times New Roman"/>
          <w:bCs/>
          <w:color w:val="333333"/>
          <w:sz w:val="20"/>
          <w:szCs w:val="20"/>
        </w:rPr>
        <w:t xml:space="preserve"> Regulation on the establishment and operation of an evaluation and monitoring mechanism to verify the application of the Schengen acquis and repealing Regulation (EU) No 1053/2013, </w:t>
      </w:r>
      <w:r w:rsidRPr="008372D4">
        <w:rPr>
          <w:rFonts w:ascii="Times New Roman" w:hAnsi="Times New Roman" w:cs="Times New Roman"/>
          <w:color w:val="333333"/>
          <w:sz w:val="20"/>
          <w:szCs w:val="20"/>
        </w:rPr>
        <w:t>COM/2021/278 final.</w:t>
      </w:r>
      <w:r w:rsidR="008372D4" w:rsidRPr="008372D4">
        <w:rPr>
          <w:rFonts w:ascii="Times New Roman" w:hAnsi="Times New Roman" w:cs="Times New Roman"/>
          <w:color w:val="333333"/>
          <w:sz w:val="20"/>
          <w:szCs w:val="20"/>
        </w:rPr>
        <w:t xml:space="preserve">  See also the Report of </w:t>
      </w:r>
      <w:r w:rsidR="008372D4" w:rsidRPr="008372D4">
        <w:rPr>
          <w:rFonts w:ascii="Times New Roman" w:hAnsi="Times New Roman" w:cs="Times New Roman"/>
          <w:sz w:val="20"/>
          <w:szCs w:val="20"/>
        </w:rPr>
        <w:t>the Special Rapporteur on the human rights of migrants, Felipe González Morales, stressing the importance of independent border monitoring mechanisms at national level and of the key role of NGOs in this context- doc. A/HRC/50/31, 26 April 2022.</w:t>
      </w:r>
    </w:p>
    <w:p w:rsidR="008372D4" w:rsidRDefault="008372D4" w:rsidP="008372D4">
      <w:pPr>
        <w:jc w:val="both"/>
      </w:pPr>
    </w:p>
    <w:p w:rsidR="001241F6" w:rsidRPr="004C3573" w:rsidRDefault="001241F6" w:rsidP="004C3573">
      <w:pPr>
        <w:pStyle w:val="title-bold"/>
        <w:shd w:val="clear" w:color="auto" w:fill="FFFFFF"/>
        <w:spacing w:before="0" w:beforeAutospacing="0" w:after="75" w:afterAutospacing="0"/>
        <w:rPr>
          <w:bCs/>
          <w:color w:val="333333"/>
          <w:sz w:val="20"/>
          <w:szCs w:val="20"/>
        </w:rPr>
      </w:pPr>
    </w:p>
    <w:p w:rsidR="001241F6" w:rsidRPr="0060769D" w:rsidRDefault="001241F6">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4549"/>
    <w:multiLevelType w:val="hybridMultilevel"/>
    <w:tmpl w:val="C33090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E8061A"/>
    <w:multiLevelType w:val="hybridMultilevel"/>
    <w:tmpl w:val="5A0CD5EE"/>
    <w:lvl w:ilvl="0" w:tplc="EE0CDFB8">
      <w:start w:val="1"/>
      <w:numFmt w:val="decimal"/>
      <w:lvlText w:val="%1."/>
      <w:lvlJc w:val="left"/>
      <w:pPr>
        <w:ind w:left="720" w:hanging="360"/>
      </w:pPr>
      <w:rPr>
        <w:rFonts w:hint="default"/>
        <w:color w:val="FFFFF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5E41AC"/>
    <w:multiLevelType w:val="hybridMultilevel"/>
    <w:tmpl w:val="8F22B7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53E5187"/>
    <w:multiLevelType w:val="hybridMultilevel"/>
    <w:tmpl w:val="60F2C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C0"/>
    <w:rsid w:val="0000659F"/>
    <w:rsid w:val="00006A12"/>
    <w:rsid w:val="00075F2A"/>
    <w:rsid w:val="0008187F"/>
    <w:rsid w:val="00097A1B"/>
    <w:rsid w:val="000C663E"/>
    <w:rsid w:val="000C69B3"/>
    <w:rsid w:val="000F20B8"/>
    <w:rsid w:val="0010407A"/>
    <w:rsid w:val="001048F2"/>
    <w:rsid w:val="00110DB1"/>
    <w:rsid w:val="001241F6"/>
    <w:rsid w:val="00133C66"/>
    <w:rsid w:val="001740C3"/>
    <w:rsid w:val="001748BA"/>
    <w:rsid w:val="001956C2"/>
    <w:rsid w:val="001F58DD"/>
    <w:rsid w:val="00250BE4"/>
    <w:rsid w:val="00255912"/>
    <w:rsid w:val="0025593A"/>
    <w:rsid w:val="00257674"/>
    <w:rsid w:val="00267E10"/>
    <w:rsid w:val="002B5A38"/>
    <w:rsid w:val="002B6A89"/>
    <w:rsid w:val="002E6B0F"/>
    <w:rsid w:val="002F6387"/>
    <w:rsid w:val="0033709C"/>
    <w:rsid w:val="003662DC"/>
    <w:rsid w:val="00370890"/>
    <w:rsid w:val="00396F74"/>
    <w:rsid w:val="003A3351"/>
    <w:rsid w:val="003E31F4"/>
    <w:rsid w:val="003F05A2"/>
    <w:rsid w:val="00405BAC"/>
    <w:rsid w:val="00414125"/>
    <w:rsid w:val="00415A91"/>
    <w:rsid w:val="004477C3"/>
    <w:rsid w:val="0045020D"/>
    <w:rsid w:val="00452325"/>
    <w:rsid w:val="00456F84"/>
    <w:rsid w:val="00462906"/>
    <w:rsid w:val="004C3573"/>
    <w:rsid w:val="004C4D1C"/>
    <w:rsid w:val="004D646B"/>
    <w:rsid w:val="00513E75"/>
    <w:rsid w:val="00545F7A"/>
    <w:rsid w:val="00563637"/>
    <w:rsid w:val="0059656E"/>
    <w:rsid w:val="00603331"/>
    <w:rsid w:val="0060769D"/>
    <w:rsid w:val="006344C0"/>
    <w:rsid w:val="00654AF9"/>
    <w:rsid w:val="006A6CA1"/>
    <w:rsid w:val="006B1EB3"/>
    <w:rsid w:val="006B37B5"/>
    <w:rsid w:val="006C0765"/>
    <w:rsid w:val="00774FFA"/>
    <w:rsid w:val="0079668F"/>
    <w:rsid w:val="007A08CB"/>
    <w:rsid w:val="00831926"/>
    <w:rsid w:val="00835414"/>
    <w:rsid w:val="008372D4"/>
    <w:rsid w:val="00853B7F"/>
    <w:rsid w:val="00887778"/>
    <w:rsid w:val="00895AC6"/>
    <w:rsid w:val="00896C47"/>
    <w:rsid w:val="008B4C46"/>
    <w:rsid w:val="008E551E"/>
    <w:rsid w:val="00915F71"/>
    <w:rsid w:val="0092323B"/>
    <w:rsid w:val="0096052E"/>
    <w:rsid w:val="00996896"/>
    <w:rsid w:val="009E30DB"/>
    <w:rsid w:val="009F4CD6"/>
    <w:rsid w:val="00A218DA"/>
    <w:rsid w:val="00A44AEB"/>
    <w:rsid w:val="00A56C27"/>
    <w:rsid w:val="00A6178E"/>
    <w:rsid w:val="00A75440"/>
    <w:rsid w:val="00A8316C"/>
    <w:rsid w:val="00B051A3"/>
    <w:rsid w:val="00B41317"/>
    <w:rsid w:val="00B52E23"/>
    <w:rsid w:val="00B84222"/>
    <w:rsid w:val="00BC76B4"/>
    <w:rsid w:val="00C04F1D"/>
    <w:rsid w:val="00C3118D"/>
    <w:rsid w:val="00C324F3"/>
    <w:rsid w:val="00C326A7"/>
    <w:rsid w:val="00C87DBD"/>
    <w:rsid w:val="00CA09BA"/>
    <w:rsid w:val="00CB64A8"/>
    <w:rsid w:val="00D14558"/>
    <w:rsid w:val="00D41CC5"/>
    <w:rsid w:val="00D51C4F"/>
    <w:rsid w:val="00D57A30"/>
    <w:rsid w:val="00D80D22"/>
    <w:rsid w:val="00DC549A"/>
    <w:rsid w:val="00DE2D92"/>
    <w:rsid w:val="00DF69FD"/>
    <w:rsid w:val="00E10F89"/>
    <w:rsid w:val="00E14B71"/>
    <w:rsid w:val="00E17543"/>
    <w:rsid w:val="00E266A7"/>
    <w:rsid w:val="00E426CE"/>
    <w:rsid w:val="00E45629"/>
    <w:rsid w:val="00E87868"/>
    <w:rsid w:val="00E97B5D"/>
    <w:rsid w:val="00F03CF2"/>
    <w:rsid w:val="00F14574"/>
    <w:rsid w:val="00F37866"/>
    <w:rsid w:val="00F441DE"/>
    <w:rsid w:val="00F616A2"/>
    <w:rsid w:val="00F94D85"/>
    <w:rsid w:val="00FB3E48"/>
    <w:rsid w:val="00FB5B42"/>
    <w:rsid w:val="00FE3A9E"/>
    <w:rsid w:val="00FF6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D52C9-4DBA-4909-BD07-DE202CF6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387"/>
    <w:pPr>
      <w:spacing w:line="256" w:lineRule="auto"/>
    </w:pPr>
  </w:style>
  <w:style w:type="paragraph" w:styleId="Heading1">
    <w:name w:val="heading 1"/>
    <w:basedOn w:val="Normal"/>
    <w:next w:val="Normal"/>
    <w:link w:val="Heading1Char"/>
    <w:uiPriority w:val="9"/>
    <w:qFormat/>
    <w:rsid w:val="001956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56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331"/>
    <w:pPr>
      <w:ind w:left="720"/>
      <w:contextualSpacing/>
    </w:pPr>
  </w:style>
  <w:style w:type="paragraph" w:styleId="FootnoteText">
    <w:name w:val="footnote text"/>
    <w:aliases w:val="Footnote Text PhD,Magisterarbeit - Fußnotentext,ftx,Voetnoottekst Char,Footnote text,PBO-Footnote Text,Fußnotentext Char1,Fußnotentext Char Char,AF Fußnotentext Char Char,footnote text Char Char,Fußnote Char1 Char,Fußno,Ch,5_G,Footnotes"/>
    <w:basedOn w:val="Normal"/>
    <w:link w:val="FootnoteTextChar"/>
    <w:unhideWhenUsed/>
    <w:qFormat/>
    <w:rsid w:val="00603331"/>
    <w:pPr>
      <w:spacing w:after="0" w:line="240" w:lineRule="auto"/>
    </w:pPr>
    <w:rPr>
      <w:sz w:val="20"/>
      <w:szCs w:val="20"/>
      <w:lang w:val="el-GR"/>
    </w:rPr>
  </w:style>
  <w:style w:type="character" w:customStyle="1" w:styleId="FootnoteTextChar">
    <w:name w:val="Footnote Text Char"/>
    <w:aliases w:val="Footnote Text PhD Char,Magisterarbeit - Fußnotentext Char,ftx Char,Voetnoottekst Char Char,Footnote text Char,PBO-Footnote Text Char,Fußnotentext Char1 Char,Fußnotentext Char Char Char,AF Fußnotentext Char Char Char,Fußno Char,Ch Char"/>
    <w:basedOn w:val="DefaultParagraphFont"/>
    <w:link w:val="FootnoteText"/>
    <w:rsid w:val="00603331"/>
    <w:rPr>
      <w:sz w:val="20"/>
      <w:szCs w:val="20"/>
      <w:lang w:val="el-GR"/>
    </w:rPr>
  </w:style>
  <w:style w:type="character" w:styleId="FootnoteReference">
    <w:name w:val="footnote reference"/>
    <w:aliases w:val="footnote ref,FR,Fußnotenzeichen diss neu,Times 10 Point,Exposant 3 Point,Footnote symbol,Footnote Reference1,FR + (Complex) Arial,(Latin) 9 pt,(Complex) 10 pt + (Compl...,Ref,de nota al pie,Footnote,4_G,FZ, Exposant 3 Point,Footnote R"/>
    <w:basedOn w:val="DefaultParagraphFont"/>
    <w:unhideWhenUsed/>
    <w:qFormat/>
    <w:rsid w:val="00603331"/>
    <w:rPr>
      <w:vertAlign w:val="superscript"/>
    </w:rPr>
  </w:style>
  <w:style w:type="character" w:customStyle="1" w:styleId="apple-converted-space">
    <w:name w:val="apple-converted-space"/>
    <w:basedOn w:val="DefaultParagraphFont"/>
    <w:rsid w:val="00603331"/>
  </w:style>
  <w:style w:type="paragraph" w:styleId="EndnoteText">
    <w:name w:val="endnote text"/>
    <w:basedOn w:val="Normal"/>
    <w:link w:val="EndnoteTextChar"/>
    <w:uiPriority w:val="99"/>
    <w:semiHidden/>
    <w:unhideWhenUsed/>
    <w:rsid w:val="002F6387"/>
    <w:pPr>
      <w:spacing w:after="0" w:line="240" w:lineRule="auto"/>
    </w:pPr>
    <w:rPr>
      <w:sz w:val="24"/>
      <w:szCs w:val="24"/>
    </w:rPr>
  </w:style>
  <w:style w:type="character" w:customStyle="1" w:styleId="EndnoteTextChar">
    <w:name w:val="Endnote Text Char"/>
    <w:basedOn w:val="DefaultParagraphFont"/>
    <w:link w:val="EndnoteText"/>
    <w:uiPriority w:val="99"/>
    <w:semiHidden/>
    <w:rsid w:val="002F6387"/>
    <w:rPr>
      <w:sz w:val="24"/>
      <w:szCs w:val="24"/>
    </w:rPr>
  </w:style>
  <w:style w:type="character" w:styleId="EndnoteReference">
    <w:name w:val="endnote reference"/>
    <w:basedOn w:val="DefaultParagraphFont"/>
    <w:uiPriority w:val="99"/>
    <w:semiHidden/>
    <w:unhideWhenUsed/>
    <w:rsid w:val="002F6387"/>
    <w:rPr>
      <w:vertAlign w:val="superscript"/>
    </w:rPr>
  </w:style>
  <w:style w:type="paragraph" w:styleId="NormalWeb">
    <w:name w:val="Normal (Web)"/>
    <w:basedOn w:val="Normal"/>
    <w:uiPriority w:val="99"/>
    <w:unhideWhenUsed/>
    <w:rsid w:val="003662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956C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956C2"/>
    <w:rPr>
      <w:color w:val="0000FF"/>
      <w:u w:val="single"/>
    </w:rPr>
  </w:style>
  <w:style w:type="character" w:styleId="Emphasis">
    <w:name w:val="Emphasis"/>
    <w:basedOn w:val="DefaultParagraphFont"/>
    <w:uiPriority w:val="20"/>
    <w:qFormat/>
    <w:rsid w:val="001956C2"/>
    <w:rPr>
      <w:i/>
      <w:iCs/>
    </w:rPr>
  </w:style>
  <w:style w:type="paragraph" w:customStyle="1" w:styleId="c01pointnumerotealtn">
    <w:name w:val="c01pointnumerotealtn"/>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a2b98c15">
    <w:name w:val="sa2b98c15"/>
    <w:basedOn w:val="DefaultParagraphFont"/>
    <w:rsid w:val="001956C2"/>
  </w:style>
  <w:style w:type="character" w:customStyle="1" w:styleId="sbc73225d">
    <w:name w:val="sbc73225d"/>
    <w:basedOn w:val="DefaultParagraphFont"/>
    <w:rsid w:val="001956C2"/>
  </w:style>
  <w:style w:type="character" w:customStyle="1" w:styleId="s68f5eaef">
    <w:name w:val="s68f5eaef"/>
    <w:basedOn w:val="DefaultParagraphFont"/>
    <w:rsid w:val="001956C2"/>
  </w:style>
  <w:style w:type="paragraph" w:customStyle="1" w:styleId="ti-art">
    <w:name w:val="ti-art"/>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2">
    <w:name w:val="Normal2"/>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alic">
    <w:name w:val="italic"/>
    <w:basedOn w:val="DefaultParagraphFont"/>
    <w:rsid w:val="001956C2"/>
  </w:style>
  <w:style w:type="paragraph" w:customStyle="1" w:styleId="s6e50bd9a">
    <w:name w:val="s6e50bd9a"/>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38c10080">
    <w:name w:val="s38c10080"/>
    <w:basedOn w:val="DefaultParagraphFont"/>
    <w:rsid w:val="001956C2"/>
  </w:style>
  <w:style w:type="character" w:customStyle="1" w:styleId="s7d2086b4">
    <w:name w:val="s7d2086b4"/>
    <w:basedOn w:val="DefaultParagraphFont"/>
    <w:rsid w:val="001956C2"/>
  </w:style>
  <w:style w:type="character" w:customStyle="1" w:styleId="sfbbfee58">
    <w:name w:val="sfbbfee58"/>
    <w:basedOn w:val="DefaultParagraphFont"/>
    <w:rsid w:val="001956C2"/>
  </w:style>
  <w:style w:type="paragraph" w:customStyle="1" w:styleId="xgmail-msonospacing">
    <w:name w:val="x_gmail-msonospacing"/>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mission">
    <w:name w:val="emission"/>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frenceinstitutionnelle">
    <w:name w:val="rfrenceinstitutionnelle"/>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
    <w:name w:val="li"/>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
    <w:name w:val="num"/>
    <w:basedOn w:val="DefaultParagraphFont"/>
    <w:rsid w:val="001956C2"/>
  </w:style>
  <w:style w:type="paragraph" w:customStyle="1" w:styleId="text1">
    <w:name w:val="text1"/>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bold">
    <w:name w:val="title-bold"/>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1956C2"/>
    <w:rPr>
      <w:rFonts w:asciiTheme="majorHAnsi" w:eastAsiaTheme="majorEastAsia" w:hAnsiTheme="majorHAnsi" w:cstheme="majorBidi"/>
      <w:color w:val="2E74B5" w:themeColor="accent1" w:themeShade="BF"/>
      <w:sz w:val="26"/>
      <w:szCs w:val="26"/>
    </w:rPr>
  </w:style>
  <w:style w:type="paragraph" w:customStyle="1" w:styleId="c02alineaalta">
    <w:name w:val="c02alineaalta"/>
    <w:basedOn w:val="Normal"/>
    <w:rsid w:val="001956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style">
    <w:name w:val="author-style"/>
    <w:basedOn w:val="DefaultParagraphFont"/>
    <w:rsid w:val="001956C2"/>
  </w:style>
  <w:style w:type="character" w:customStyle="1" w:styleId="comma-separator">
    <w:name w:val="comma-separator"/>
    <w:basedOn w:val="DefaultParagraphFont"/>
    <w:rsid w:val="001956C2"/>
  </w:style>
  <w:style w:type="character" w:customStyle="1" w:styleId="outputecli">
    <w:name w:val="outputecli"/>
    <w:basedOn w:val="DefaultParagraphFont"/>
    <w:rsid w:val="001956C2"/>
  </w:style>
  <w:style w:type="character" w:customStyle="1" w:styleId="text">
    <w:name w:val="text"/>
    <w:basedOn w:val="DefaultParagraphFont"/>
    <w:rsid w:val="0008187F"/>
  </w:style>
  <w:style w:type="paragraph" w:customStyle="1" w:styleId="c36centre">
    <w:name w:val="c36centre"/>
    <w:basedOn w:val="Normal"/>
    <w:rsid w:val="004141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8centregrasgrandespacement">
    <w:name w:val="c38centregrasgrandespacement"/>
    <w:basedOn w:val="Normal"/>
    <w:rsid w:val="004141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7centregras">
    <w:name w:val="c37centregras"/>
    <w:basedOn w:val="Normal"/>
    <w:rsid w:val="004141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altn">
    <w:name w:val="c01pointaltn"/>
    <w:basedOn w:val="Normal"/>
    <w:rsid w:val="00A218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23titrenumerote3">
    <w:name w:val="c23titrenumerote3"/>
    <w:basedOn w:val="Normal"/>
    <w:rsid w:val="00A218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065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8864">
      <w:bodyDiv w:val="1"/>
      <w:marLeft w:val="0"/>
      <w:marRight w:val="0"/>
      <w:marTop w:val="0"/>
      <w:marBottom w:val="0"/>
      <w:divBdr>
        <w:top w:val="none" w:sz="0" w:space="0" w:color="auto"/>
        <w:left w:val="none" w:sz="0" w:space="0" w:color="auto"/>
        <w:bottom w:val="none" w:sz="0" w:space="0" w:color="auto"/>
        <w:right w:val="none" w:sz="0" w:space="0" w:color="auto"/>
      </w:divBdr>
      <w:divsChild>
        <w:div w:id="1764375358">
          <w:marLeft w:val="0"/>
          <w:marRight w:val="0"/>
          <w:marTop w:val="0"/>
          <w:marBottom w:val="0"/>
          <w:divBdr>
            <w:top w:val="none" w:sz="0" w:space="0" w:color="auto"/>
            <w:left w:val="none" w:sz="0" w:space="0" w:color="auto"/>
            <w:bottom w:val="none" w:sz="0" w:space="0" w:color="auto"/>
            <w:right w:val="none" w:sz="0" w:space="0" w:color="auto"/>
          </w:divBdr>
        </w:div>
        <w:div w:id="1290933149">
          <w:marLeft w:val="0"/>
          <w:marRight w:val="0"/>
          <w:marTop w:val="0"/>
          <w:marBottom w:val="0"/>
          <w:divBdr>
            <w:top w:val="none" w:sz="0" w:space="0" w:color="auto"/>
            <w:left w:val="none" w:sz="0" w:space="0" w:color="auto"/>
            <w:bottom w:val="none" w:sz="0" w:space="0" w:color="auto"/>
            <w:right w:val="none" w:sz="0" w:space="0" w:color="auto"/>
          </w:divBdr>
        </w:div>
      </w:divsChild>
    </w:div>
    <w:div w:id="149563553">
      <w:bodyDiv w:val="1"/>
      <w:marLeft w:val="0"/>
      <w:marRight w:val="0"/>
      <w:marTop w:val="0"/>
      <w:marBottom w:val="0"/>
      <w:divBdr>
        <w:top w:val="none" w:sz="0" w:space="0" w:color="auto"/>
        <w:left w:val="none" w:sz="0" w:space="0" w:color="auto"/>
        <w:bottom w:val="none" w:sz="0" w:space="0" w:color="auto"/>
        <w:right w:val="none" w:sz="0" w:space="0" w:color="auto"/>
      </w:divBdr>
    </w:div>
    <w:div w:id="205529089">
      <w:bodyDiv w:val="1"/>
      <w:marLeft w:val="0"/>
      <w:marRight w:val="0"/>
      <w:marTop w:val="0"/>
      <w:marBottom w:val="0"/>
      <w:divBdr>
        <w:top w:val="none" w:sz="0" w:space="0" w:color="auto"/>
        <w:left w:val="none" w:sz="0" w:space="0" w:color="auto"/>
        <w:bottom w:val="none" w:sz="0" w:space="0" w:color="auto"/>
        <w:right w:val="none" w:sz="0" w:space="0" w:color="auto"/>
      </w:divBdr>
    </w:div>
    <w:div w:id="353576015">
      <w:bodyDiv w:val="1"/>
      <w:marLeft w:val="0"/>
      <w:marRight w:val="0"/>
      <w:marTop w:val="0"/>
      <w:marBottom w:val="0"/>
      <w:divBdr>
        <w:top w:val="none" w:sz="0" w:space="0" w:color="auto"/>
        <w:left w:val="none" w:sz="0" w:space="0" w:color="auto"/>
        <w:bottom w:val="none" w:sz="0" w:space="0" w:color="auto"/>
        <w:right w:val="none" w:sz="0" w:space="0" w:color="auto"/>
      </w:divBdr>
    </w:div>
    <w:div w:id="509610830">
      <w:bodyDiv w:val="1"/>
      <w:marLeft w:val="0"/>
      <w:marRight w:val="0"/>
      <w:marTop w:val="0"/>
      <w:marBottom w:val="0"/>
      <w:divBdr>
        <w:top w:val="none" w:sz="0" w:space="0" w:color="auto"/>
        <w:left w:val="none" w:sz="0" w:space="0" w:color="auto"/>
        <w:bottom w:val="none" w:sz="0" w:space="0" w:color="auto"/>
        <w:right w:val="none" w:sz="0" w:space="0" w:color="auto"/>
      </w:divBdr>
    </w:div>
    <w:div w:id="611402111">
      <w:bodyDiv w:val="1"/>
      <w:marLeft w:val="0"/>
      <w:marRight w:val="0"/>
      <w:marTop w:val="0"/>
      <w:marBottom w:val="0"/>
      <w:divBdr>
        <w:top w:val="none" w:sz="0" w:space="0" w:color="auto"/>
        <w:left w:val="none" w:sz="0" w:space="0" w:color="auto"/>
        <w:bottom w:val="none" w:sz="0" w:space="0" w:color="auto"/>
        <w:right w:val="none" w:sz="0" w:space="0" w:color="auto"/>
      </w:divBdr>
    </w:div>
    <w:div w:id="625357404">
      <w:bodyDiv w:val="1"/>
      <w:marLeft w:val="0"/>
      <w:marRight w:val="0"/>
      <w:marTop w:val="0"/>
      <w:marBottom w:val="0"/>
      <w:divBdr>
        <w:top w:val="none" w:sz="0" w:space="0" w:color="auto"/>
        <w:left w:val="none" w:sz="0" w:space="0" w:color="auto"/>
        <w:bottom w:val="none" w:sz="0" w:space="0" w:color="auto"/>
        <w:right w:val="none" w:sz="0" w:space="0" w:color="auto"/>
      </w:divBdr>
    </w:div>
    <w:div w:id="853881450">
      <w:bodyDiv w:val="1"/>
      <w:marLeft w:val="0"/>
      <w:marRight w:val="0"/>
      <w:marTop w:val="0"/>
      <w:marBottom w:val="0"/>
      <w:divBdr>
        <w:top w:val="none" w:sz="0" w:space="0" w:color="auto"/>
        <w:left w:val="none" w:sz="0" w:space="0" w:color="auto"/>
        <w:bottom w:val="none" w:sz="0" w:space="0" w:color="auto"/>
        <w:right w:val="none" w:sz="0" w:space="0" w:color="auto"/>
      </w:divBdr>
    </w:div>
    <w:div w:id="1046444025">
      <w:bodyDiv w:val="1"/>
      <w:marLeft w:val="0"/>
      <w:marRight w:val="0"/>
      <w:marTop w:val="0"/>
      <w:marBottom w:val="0"/>
      <w:divBdr>
        <w:top w:val="none" w:sz="0" w:space="0" w:color="auto"/>
        <w:left w:val="none" w:sz="0" w:space="0" w:color="auto"/>
        <w:bottom w:val="none" w:sz="0" w:space="0" w:color="auto"/>
        <w:right w:val="none" w:sz="0" w:space="0" w:color="auto"/>
      </w:divBdr>
    </w:div>
    <w:div w:id="1054544683">
      <w:bodyDiv w:val="1"/>
      <w:marLeft w:val="0"/>
      <w:marRight w:val="0"/>
      <w:marTop w:val="0"/>
      <w:marBottom w:val="0"/>
      <w:divBdr>
        <w:top w:val="none" w:sz="0" w:space="0" w:color="auto"/>
        <w:left w:val="none" w:sz="0" w:space="0" w:color="auto"/>
        <w:bottom w:val="none" w:sz="0" w:space="0" w:color="auto"/>
        <w:right w:val="none" w:sz="0" w:space="0" w:color="auto"/>
      </w:divBdr>
    </w:div>
    <w:div w:id="1067650130">
      <w:bodyDiv w:val="1"/>
      <w:marLeft w:val="0"/>
      <w:marRight w:val="0"/>
      <w:marTop w:val="0"/>
      <w:marBottom w:val="0"/>
      <w:divBdr>
        <w:top w:val="none" w:sz="0" w:space="0" w:color="auto"/>
        <w:left w:val="none" w:sz="0" w:space="0" w:color="auto"/>
        <w:bottom w:val="none" w:sz="0" w:space="0" w:color="auto"/>
        <w:right w:val="none" w:sz="0" w:space="0" w:color="auto"/>
      </w:divBdr>
    </w:div>
    <w:div w:id="1170095199">
      <w:bodyDiv w:val="1"/>
      <w:marLeft w:val="0"/>
      <w:marRight w:val="0"/>
      <w:marTop w:val="0"/>
      <w:marBottom w:val="0"/>
      <w:divBdr>
        <w:top w:val="none" w:sz="0" w:space="0" w:color="auto"/>
        <w:left w:val="none" w:sz="0" w:space="0" w:color="auto"/>
        <w:bottom w:val="none" w:sz="0" w:space="0" w:color="auto"/>
        <w:right w:val="none" w:sz="0" w:space="0" w:color="auto"/>
      </w:divBdr>
    </w:div>
    <w:div w:id="1204900854">
      <w:bodyDiv w:val="1"/>
      <w:marLeft w:val="0"/>
      <w:marRight w:val="0"/>
      <w:marTop w:val="0"/>
      <w:marBottom w:val="0"/>
      <w:divBdr>
        <w:top w:val="none" w:sz="0" w:space="0" w:color="auto"/>
        <w:left w:val="none" w:sz="0" w:space="0" w:color="auto"/>
        <w:bottom w:val="none" w:sz="0" w:space="0" w:color="auto"/>
        <w:right w:val="none" w:sz="0" w:space="0" w:color="auto"/>
      </w:divBdr>
    </w:div>
    <w:div w:id="1265697255">
      <w:bodyDiv w:val="1"/>
      <w:marLeft w:val="0"/>
      <w:marRight w:val="0"/>
      <w:marTop w:val="0"/>
      <w:marBottom w:val="0"/>
      <w:divBdr>
        <w:top w:val="none" w:sz="0" w:space="0" w:color="auto"/>
        <w:left w:val="none" w:sz="0" w:space="0" w:color="auto"/>
        <w:bottom w:val="none" w:sz="0" w:space="0" w:color="auto"/>
        <w:right w:val="none" w:sz="0" w:space="0" w:color="auto"/>
      </w:divBdr>
    </w:div>
    <w:div w:id="1565794440">
      <w:bodyDiv w:val="1"/>
      <w:marLeft w:val="0"/>
      <w:marRight w:val="0"/>
      <w:marTop w:val="0"/>
      <w:marBottom w:val="0"/>
      <w:divBdr>
        <w:top w:val="none" w:sz="0" w:space="0" w:color="auto"/>
        <w:left w:val="none" w:sz="0" w:space="0" w:color="auto"/>
        <w:bottom w:val="none" w:sz="0" w:space="0" w:color="auto"/>
        <w:right w:val="none" w:sz="0" w:space="0" w:color="auto"/>
      </w:divBdr>
    </w:div>
    <w:div w:id="1586723680">
      <w:bodyDiv w:val="1"/>
      <w:marLeft w:val="0"/>
      <w:marRight w:val="0"/>
      <w:marTop w:val="0"/>
      <w:marBottom w:val="0"/>
      <w:divBdr>
        <w:top w:val="none" w:sz="0" w:space="0" w:color="auto"/>
        <w:left w:val="none" w:sz="0" w:space="0" w:color="auto"/>
        <w:bottom w:val="none" w:sz="0" w:space="0" w:color="auto"/>
        <w:right w:val="none" w:sz="0" w:space="0" w:color="auto"/>
      </w:divBdr>
      <w:divsChild>
        <w:div w:id="1059018698">
          <w:marLeft w:val="0"/>
          <w:marRight w:val="0"/>
          <w:marTop w:val="0"/>
          <w:marBottom w:val="0"/>
          <w:divBdr>
            <w:top w:val="none" w:sz="0" w:space="0" w:color="auto"/>
            <w:left w:val="none" w:sz="0" w:space="0" w:color="auto"/>
            <w:bottom w:val="none" w:sz="0" w:space="0" w:color="auto"/>
            <w:right w:val="none" w:sz="0" w:space="0" w:color="auto"/>
          </w:divBdr>
        </w:div>
        <w:div w:id="2059621817">
          <w:marLeft w:val="0"/>
          <w:marRight w:val="0"/>
          <w:marTop w:val="0"/>
          <w:marBottom w:val="0"/>
          <w:divBdr>
            <w:top w:val="none" w:sz="0" w:space="0" w:color="auto"/>
            <w:left w:val="none" w:sz="0" w:space="0" w:color="auto"/>
            <w:bottom w:val="none" w:sz="0" w:space="0" w:color="auto"/>
            <w:right w:val="none" w:sz="0" w:space="0" w:color="auto"/>
          </w:divBdr>
        </w:div>
        <w:div w:id="946276895">
          <w:marLeft w:val="0"/>
          <w:marRight w:val="0"/>
          <w:marTop w:val="0"/>
          <w:marBottom w:val="0"/>
          <w:divBdr>
            <w:top w:val="none" w:sz="0" w:space="0" w:color="auto"/>
            <w:left w:val="none" w:sz="0" w:space="0" w:color="auto"/>
            <w:bottom w:val="none" w:sz="0" w:space="0" w:color="auto"/>
            <w:right w:val="none" w:sz="0" w:space="0" w:color="auto"/>
          </w:divBdr>
        </w:div>
      </w:divsChild>
    </w:div>
    <w:div w:id="1738212254">
      <w:bodyDiv w:val="1"/>
      <w:marLeft w:val="0"/>
      <w:marRight w:val="0"/>
      <w:marTop w:val="0"/>
      <w:marBottom w:val="0"/>
      <w:divBdr>
        <w:top w:val="none" w:sz="0" w:space="0" w:color="auto"/>
        <w:left w:val="none" w:sz="0" w:space="0" w:color="auto"/>
        <w:bottom w:val="none" w:sz="0" w:space="0" w:color="auto"/>
        <w:right w:val="none" w:sz="0" w:space="0" w:color="auto"/>
      </w:divBdr>
    </w:div>
    <w:div w:id="1811437854">
      <w:bodyDiv w:val="1"/>
      <w:marLeft w:val="0"/>
      <w:marRight w:val="0"/>
      <w:marTop w:val="0"/>
      <w:marBottom w:val="0"/>
      <w:divBdr>
        <w:top w:val="none" w:sz="0" w:space="0" w:color="auto"/>
        <w:left w:val="none" w:sz="0" w:space="0" w:color="auto"/>
        <w:bottom w:val="none" w:sz="0" w:space="0" w:color="auto"/>
        <w:right w:val="none" w:sz="0" w:space="0" w:color="auto"/>
      </w:divBdr>
    </w:div>
    <w:div w:id="1832018393">
      <w:bodyDiv w:val="1"/>
      <w:marLeft w:val="0"/>
      <w:marRight w:val="0"/>
      <w:marTop w:val="0"/>
      <w:marBottom w:val="0"/>
      <w:divBdr>
        <w:top w:val="none" w:sz="0" w:space="0" w:color="auto"/>
        <w:left w:val="none" w:sz="0" w:space="0" w:color="auto"/>
        <w:bottom w:val="none" w:sz="0" w:space="0" w:color="auto"/>
        <w:right w:val="none" w:sz="0" w:space="0" w:color="auto"/>
      </w:divBdr>
    </w:div>
    <w:div w:id="1985769424">
      <w:bodyDiv w:val="1"/>
      <w:marLeft w:val="0"/>
      <w:marRight w:val="0"/>
      <w:marTop w:val="0"/>
      <w:marBottom w:val="0"/>
      <w:divBdr>
        <w:top w:val="none" w:sz="0" w:space="0" w:color="auto"/>
        <w:left w:val="none" w:sz="0" w:space="0" w:color="auto"/>
        <w:bottom w:val="none" w:sz="0" w:space="0" w:color="auto"/>
        <w:right w:val="none" w:sz="0" w:space="0" w:color="auto"/>
      </w:divBdr>
    </w:div>
    <w:div w:id="2043285906">
      <w:bodyDiv w:val="1"/>
      <w:marLeft w:val="0"/>
      <w:marRight w:val="0"/>
      <w:marTop w:val="0"/>
      <w:marBottom w:val="0"/>
      <w:divBdr>
        <w:top w:val="none" w:sz="0" w:space="0" w:color="auto"/>
        <w:left w:val="none" w:sz="0" w:space="0" w:color="auto"/>
        <w:bottom w:val="none" w:sz="0" w:space="0" w:color="auto"/>
        <w:right w:val="none" w:sz="0" w:space="0" w:color="auto"/>
      </w:divBdr>
    </w:div>
    <w:div w:id="20854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hudoc.echr.coe.int/eng" TargetMode="External"/><Relationship Id="rId18" Type="http://schemas.openxmlformats.org/officeDocument/2006/relationships/hyperlink" Target="https://rli.blogs.sas.ac.uk/2022/01/19/deniability-frontex-and-border-violence-in-the-eu/" TargetMode="External"/><Relationship Id="rId26" Type="http://schemas.openxmlformats.org/officeDocument/2006/relationships/hyperlink" Target="https://www.consilium.europa.eu/media/52622/20211022-euco-conclusions-en.pdf" TargetMode="External"/><Relationship Id="rId3" Type="http://schemas.openxmlformats.org/officeDocument/2006/relationships/hyperlink" Target="https://hudoc.echr.coe.int/eng" TargetMode="External"/><Relationship Id="rId21" Type="http://schemas.openxmlformats.org/officeDocument/2006/relationships/hyperlink" Target="https://www.ombudsman.europa.eu/en/news-document/en/143159?utm_source=some_EO&amp;utm_medium=tw_organic&amp;utm_campaign=Frontex_accountability_suggestion" TargetMode="External"/><Relationship Id="rId34" Type="http://schemas.openxmlformats.org/officeDocument/2006/relationships/hyperlink" Target="https://onlinelibrary.wiley.com/action/doSearch?ContribAuthorRaw=Cornelisse%2C+Galina" TargetMode="External"/><Relationship Id="rId7" Type="http://schemas.openxmlformats.org/officeDocument/2006/relationships/hyperlink" Target="https://hudoc.echr.coe.int/eng" TargetMode="External"/><Relationship Id="rId12" Type="http://schemas.openxmlformats.org/officeDocument/2006/relationships/hyperlink" Target="https://hudoc.echr.coe.int/eng" TargetMode="External"/><Relationship Id="rId17" Type="http://schemas.openxmlformats.org/officeDocument/2006/relationships/hyperlink" Target="https://www.spiegel.de/international/europe/frontex-scandal-classified-report-reveals-full-extent-of-cover-up-a-cd749d04-689d-4407-8939-9e1bf55175fd" TargetMode="External"/><Relationship Id="rId25" Type="http://schemas.openxmlformats.org/officeDocument/2006/relationships/hyperlink" Target="https://eumigrationlawblog.eu/the-frontex-push-back-controversy-what-oversight-for-frontex-part-ii/" TargetMode="External"/><Relationship Id="rId33" Type="http://schemas.openxmlformats.org/officeDocument/2006/relationships/hyperlink" Target="file:///C:/Users/defaultuser0/Documents/Thalia%20Misc/ELJ%20EP%20study%20asylum%20procedures%20at%20the%20border.pdf" TargetMode="External"/><Relationship Id="rId2" Type="http://schemas.openxmlformats.org/officeDocument/2006/relationships/hyperlink" Target="https://verfassungsblog.de/enlarging-the-hole-in-the-fence-of-migrants-rights/" TargetMode="External"/><Relationship Id="rId16" Type="http://schemas.openxmlformats.org/officeDocument/2006/relationships/hyperlink" Target="https://eumigrationlawblog.eu/the-frontex-push-back-controversy-lessons-on-oversight-part-i/" TargetMode="External"/><Relationship Id="rId20" Type="http://schemas.openxmlformats.org/officeDocument/2006/relationships/hyperlink" Target="https://www.ejiltalk.org/why-it-is-so-hard-to-hold-frontex-accountable-on-blame-shifting-and-an-outdated-remedies-system" TargetMode="External"/><Relationship Id="rId29" Type="http://schemas.openxmlformats.org/officeDocument/2006/relationships/hyperlink" Target="https://www.statewatch.org/news/2021/november/eu-the-weaponised-migration-discourse-dehumanises-asylum-seekers/" TargetMode="External"/><Relationship Id="rId1" Type="http://schemas.openxmlformats.org/officeDocument/2006/relationships/hyperlink" Target="https://assembly.coe.int/nw/xml/XRef/Xref-XML2HTML-en.asp?fileid=28074;(all" TargetMode="External"/><Relationship Id="rId6" Type="http://schemas.openxmlformats.org/officeDocument/2006/relationships/hyperlink" Target="http://eumigrationlawblog.eu/a-restrictionist-revolution-a-counter-intuitive-reading-of-the-ecthrs-n-d-n-t-judgment-on-hot-expulsions/" TargetMode="External"/><Relationship Id="rId11" Type="http://schemas.openxmlformats.org/officeDocument/2006/relationships/hyperlink" Target="https://hudoc.echr.coe.int/eng" TargetMode="External"/><Relationship Id="rId24" Type="http://schemas.openxmlformats.org/officeDocument/2006/relationships/hyperlink" Target="https://papers.ssrn.com/sol3/papers.cfm?abstract_id=3737407" TargetMode="External"/><Relationship Id="rId32" Type="http://schemas.openxmlformats.org/officeDocument/2006/relationships/hyperlink" Target="https://eumigrationlawblog.eu/border-procedure-efficient-examination-or-restricted-access-to-protection/" TargetMode="External"/><Relationship Id="rId5" Type="http://schemas.openxmlformats.org/officeDocument/2006/relationships/hyperlink" Target="https://cadmus.eui.eu/handle/1814/66629" TargetMode="External"/><Relationship Id="rId15" Type="http://schemas.openxmlformats.org/officeDocument/2006/relationships/hyperlink" Target="https://www.europarl.europa.eu/RegData/etudes/BRIE/2021/689368/EPRS_BRI(2021)689368_EN.pdf" TargetMode="External"/><Relationship Id="rId23" Type="http://schemas.openxmlformats.org/officeDocument/2006/relationships/hyperlink" Target="https://www.commissie-meijers.nl/wp-content/uploads/2021/09/cm2105_frontex_and_pushbacks.pdf" TargetMode="External"/><Relationship Id="rId28" Type="http://schemas.openxmlformats.org/officeDocument/2006/relationships/hyperlink" Target="https://www.ejiltalk.org/weaponisation-of-migrants-migrants-as-a-political-weapon-and-the-eu-regulatory-response-what-to-expect-now/?utm_source=mailpoet&amp;utm_medium=email&amp;utm_campaign=ejil-talk-newsletter-post-title_2" TargetMode="External"/><Relationship Id="rId36" Type="http://schemas.openxmlformats.org/officeDocument/2006/relationships/hyperlink" Target="https://hudoc.echr.coe.int/eng" TargetMode="External"/><Relationship Id="rId10" Type="http://schemas.openxmlformats.org/officeDocument/2006/relationships/hyperlink" Target="https://hudoc.echr.coe.int/eng" TargetMode="External"/><Relationship Id="rId19" Type="http://schemas.openxmlformats.org/officeDocument/2006/relationships/hyperlink" Target="https://www.law.ox.ac.uk/research-subject-groups/centre-criminology/centreborder-criminologies/blog/2021/01/validating-border" TargetMode="External"/><Relationship Id="rId31" Type="http://schemas.openxmlformats.org/officeDocument/2006/relationships/hyperlink" Target="https://euaa.europa.eu/sites/default/files/publications/Border-procedures-asylum-applications-2020.pdf" TargetMode="External"/><Relationship Id="rId4" Type="http://schemas.openxmlformats.org/officeDocument/2006/relationships/hyperlink" Target="https://hudoc.echr.coe.int/eng" TargetMode="External"/><Relationship Id="rId9" Type="http://schemas.openxmlformats.org/officeDocument/2006/relationships/hyperlink" Target="https://hudoc.echr.coe.int/eng" TargetMode="External"/><Relationship Id="rId14" Type="http://schemas.openxmlformats.org/officeDocument/2006/relationships/hyperlink" Target="https://eumigrationlawblog.eu/a-hole-of-unclear-dimensions-reading-nd-and-nt-v-spain/" TargetMode="External"/><Relationship Id="rId22" Type="http://schemas.openxmlformats.org/officeDocument/2006/relationships/hyperlink" Target="https://www.europarl.europa.eu/cmsdata/238156/14072021%20Final%20Report%20FSWG_en.pdf" TargetMode="External"/><Relationship Id="rId27" Type="http://schemas.openxmlformats.org/officeDocument/2006/relationships/hyperlink" Target="https://cadmus.eui.eu/bitstream/handle/1814/73105/PA_2021_19_STG.pdf?sequence=1" TargetMode="External"/><Relationship Id="rId30" Type="http://schemas.openxmlformats.org/officeDocument/2006/relationships/hyperlink" Target="https://ilpa.org.uk/wp-content/uploads/resources/13178/04.07.00-ILPA-Analysis-Critique-EC-directive-Granting-Withdrawing-Refugee-Status..pdf" TargetMode="External"/><Relationship Id="rId35" Type="http://schemas.openxmlformats.org/officeDocument/2006/relationships/hyperlink" Target="https://onlinelibrary.wiley.com/action/doSearch?ContribAuthorRaw=Reneman%2C+Marcelle" TargetMode="External"/><Relationship Id="rId8"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D95A2-C8C4-428A-80C6-302AF4DD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8767</Words>
  <Characters>49977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Taka</dc:creator>
  <cp:keywords/>
  <dc:description/>
  <cp:lastModifiedBy>Mitsilegas, Valsamis</cp:lastModifiedBy>
  <cp:revision>2</cp:revision>
  <dcterms:created xsi:type="dcterms:W3CDTF">2022-09-25T08:48:00Z</dcterms:created>
  <dcterms:modified xsi:type="dcterms:W3CDTF">2022-09-25T08:48:00Z</dcterms:modified>
</cp:coreProperties>
</file>