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A888" w14:textId="4A821EA1" w:rsidR="00FA2DAF" w:rsidRPr="00795CF4" w:rsidRDefault="004C632D" w:rsidP="00DF77D1">
      <w:pPr>
        <w:spacing w:line="480" w:lineRule="auto"/>
        <w:rPr>
          <w:b/>
        </w:rPr>
      </w:pPr>
      <w:r w:rsidRPr="00795CF4">
        <w:rPr>
          <w:b/>
        </w:rPr>
        <w:t xml:space="preserve">Title: </w:t>
      </w:r>
      <w:r w:rsidR="00824A3A" w:rsidRPr="00795CF4">
        <w:rPr>
          <w:b/>
        </w:rPr>
        <w:t>Borrowing strength from clinical trials in analysing longitudinal data from a treated cohort: Investigating the effectiveness of acetylcholinesterase inhibitors in the management of dementia</w:t>
      </w:r>
    </w:p>
    <w:p w14:paraId="403745B5" w14:textId="77777777" w:rsidR="00484E5C" w:rsidRPr="00795CF4" w:rsidRDefault="00484E5C" w:rsidP="00DF77D1">
      <w:pPr>
        <w:spacing w:line="480" w:lineRule="auto"/>
        <w:rPr>
          <w:b/>
        </w:rPr>
      </w:pPr>
      <w:r w:rsidRPr="00795CF4">
        <w:rPr>
          <w:b/>
        </w:rPr>
        <w:t xml:space="preserve">Authors: </w:t>
      </w:r>
    </w:p>
    <w:p w14:paraId="626EDFC7" w14:textId="74FAA575" w:rsidR="00484E5C" w:rsidRPr="00795CF4" w:rsidRDefault="00484E5C" w:rsidP="00DF77D1">
      <w:pPr>
        <w:spacing w:line="480" w:lineRule="auto"/>
        <w:rPr>
          <w:rFonts w:cstheme="minorHAnsi"/>
          <w:b/>
        </w:rPr>
      </w:pPr>
      <w:r w:rsidRPr="00795CF4">
        <w:rPr>
          <w:rFonts w:cstheme="minorHAnsi"/>
          <w:b/>
        </w:rPr>
        <w:t>Ruth Knight</w:t>
      </w:r>
      <w:r w:rsidR="00E921CF" w:rsidRPr="00795CF4">
        <w:rPr>
          <w:rFonts w:cstheme="minorHAnsi"/>
          <w:b/>
          <w:vertAlign w:val="superscript"/>
        </w:rPr>
        <w:t>1</w:t>
      </w:r>
      <w:r w:rsidR="00977AEF">
        <w:rPr>
          <w:rFonts w:cstheme="minorHAnsi"/>
          <w:b/>
          <w:vertAlign w:val="superscript"/>
        </w:rPr>
        <w:t>,2</w:t>
      </w:r>
      <w:r w:rsidR="00E921CF" w:rsidRPr="00795CF4">
        <w:rPr>
          <w:rFonts w:cstheme="minorHAnsi"/>
          <w:b/>
          <w:vertAlign w:val="superscript"/>
        </w:rPr>
        <w:t>*</w:t>
      </w:r>
    </w:p>
    <w:p w14:paraId="43E03CFC" w14:textId="05A3B82B" w:rsidR="002A5754" w:rsidRPr="00795CF4" w:rsidRDefault="00484E5C" w:rsidP="00DF77D1">
      <w:pPr>
        <w:spacing w:line="480" w:lineRule="auto"/>
        <w:rPr>
          <w:rFonts w:eastAsia="Times New Roman" w:cstheme="minorHAnsi"/>
          <w:lang w:eastAsia="en-GB"/>
        </w:rPr>
      </w:pPr>
      <w:r w:rsidRPr="00795CF4">
        <w:rPr>
          <w:rFonts w:cstheme="minorHAnsi"/>
          <w:b/>
        </w:rPr>
        <w:t>Robert Stewart</w:t>
      </w:r>
      <w:r w:rsidR="00E921CF" w:rsidRPr="00795CF4">
        <w:rPr>
          <w:rFonts w:cstheme="minorHAnsi"/>
          <w:b/>
          <w:vertAlign w:val="superscript"/>
        </w:rPr>
        <w:t>3</w:t>
      </w:r>
      <w:r w:rsidR="00977AEF">
        <w:rPr>
          <w:rFonts w:cstheme="minorHAnsi"/>
          <w:b/>
          <w:vertAlign w:val="superscript"/>
        </w:rPr>
        <w:t>,4</w:t>
      </w:r>
    </w:p>
    <w:p w14:paraId="6608EFF5" w14:textId="1A7160C9" w:rsidR="00484E5C" w:rsidRPr="00977AEF" w:rsidRDefault="00484E5C" w:rsidP="00DF77D1">
      <w:pPr>
        <w:spacing w:line="480" w:lineRule="auto"/>
        <w:rPr>
          <w:rFonts w:cstheme="minorHAnsi"/>
          <w:b/>
        </w:rPr>
      </w:pPr>
      <w:r w:rsidRPr="00795CF4">
        <w:rPr>
          <w:rFonts w:cstheme="minorHAnsi"/>
          <w:b/>
        </w:rPr>
        <w:t>Mizan</w:t>
      </w:r>
      <w:r w:rsidR="00785CCE" w:rsidRPr="00795CF4">
        <w:rPr>
          <w:rFonts w:cstheme="minorHAnsi"/>
          <w:b/>
        </w:rPr>
        <w:t>ur</w:t>
      </w:r>
      <w:r w:rsidRPr="00795CF4">
        <w:rPr>
          <w:rFonts w:cstheme="minorHAnsi"/>
          <w:b/>
        </w:rPr>
        <w:t xml:space="preserve"> Khondoker</w:t>
      </w:r>
      <w:r w:rsidR="00977AEF">
        <w:rPr>
          <w:rFonts w:cstheme="minorHAnsi"/>
          <w:b/>
          <w:vertAlign w:val="superscript"/>
        </w:rPr>
        <w:t>5</w:t>
      </w:r>
    </w:p>
    <w:p w14:paraId="3DEFFB06" w14:textId="7C338A66" w:rsidR="00E921CF" w:rsidRPr="00795CF4" w:rsidRDefault="00484E5C" w:rsidP="00DF77D1">
      <w:pPr>
        <w:spacing w:line="480" w:lineRule="auto"/>
        <w:rPr>
          <w:rFonts w:cstheme="minorHAnsi"/>
        </w:rPr>
      </w:pPr>
      <w:r w:rsidRPr="00795CF4">
        <w:rPr>
          <w:rFonts w:cstheme="minorHAnsi"/>
          <w:b/>
        </w:rPr>
        <w:t>Sabine Landau</w:t>
      </w:r>
      <w:r w:rsidR="00977AEF">
        <w:rPr>
          <w:rFonts w:cstheme="minorHAnsi"/>
          <w:b/>
          <w:vertAlign w:val="superscript"/>
        </w:rPr>
        <w:t>2</w:t>
      </w:r>
    </w:p>
    <w:p w14:paraId="7B90723C" w14:textId="77777777" w:rsidR="00E921CF" w:rsidRPr="00795CF4" w:rsidRDefault="00E921CF" w:rsidP="00DF77D1">
      <w:pPr>
        <w:spacing w:line="480" w:lineRule="auto"/>
        <w:rPr>
          <w:rFonts w:cstheme="minorHAnsi"/>
          <w:b/>
        </w:rPr>
      </w:pPr>
      <w:r w:rsidRPr="00795CF4">
        <w:rPr>
          <w:rFonts w:cstheme="minorHAnsi"/>
          <w:vertAlign w:val="superscript"/>
        </w:rPr>
        <w:t>1</w:t>
      </w:r>
      <w:r w:rsidRPr="00795CF4">
        <w:rPr>
          <w:rFonts w:cstheme="minorHAnsi"/>
        </w:rPr>
        <w:t xml:space="preserve"> </w:t>
      </w:r>
      <w:r w:rsidRPr="00795CF4">
        <w:rPr>
          <w:rFonts w:cstheme="minorHAnsi"/>
          <w:bCs/>
        </w:rPr>
        <w:t>Oxford Clinical Trials Research Unit, Centre for Statistics in Medicine, University of Oxford, Oxford, UK</w:t>
      </w:r>
    </w:p>
    <w:p w14:paraId="7BEB2244" w14:textId="0971BEC4" w:rsidR="00977AEF" w:rsidRPr="00795CF4" w:rsidRDefault="00977AEF" w:rsidP="00977AEF">
      <w:pPr>
        <w:spacing w:line="480" w:lineRule="auto"/>
        <w:rPr>
          <w:rFonts w:cstheme="minorHAnsi"/>
        </w:rPr>
      </w:pPr>
      <w:r>
        <w:rPr>
          <w:b/>
          <w:vertAlign w:val="superscript"/>
        </w:rPr>
        <w:t>2</w:t>
      </w:r>
      <w:r w:rsidRPr="00795CF4">
        <w:rPr>
          <w:b/>
        </w:rPr>
        <w:t xml:space="preserve"> </w:t>
      </w:r>
      <w:r w:rsidRPr="00795CF4">
        <w:rPr>
          <w:rFonts w:cstheme="minorHAnsi"/>
        </w:rPr>
        <w:t>Department of Biostatistics and Health Informatics, Institute of Psychiatr</w:t>
      </w:r>
      <w:r w:rsidR="00BF422A">
        <w:rPr>
          <w:rFonts w:cstheme="minorHAnsi"/>
        </w:rPr>
        <w:t>y, Psychology and Neuroscience,</w:t>
      </w:r>
      <w:r w:rsidRPr="00795CF4">
        <w:rPr>
          <w:rFonts w:cstheme="minorHAnsi"/>
        </w:rPr>
        <w:t xml:space="preserve"> King’s College, London, UK</w:t>
      </w:r>
    </w:p>
    <w:p w14:paraId="0800E9D4" w14:textId="02066E57" w:rsidR="00E921CF" w:rsidRPr="00795CF4" w:rsidRDefault="00977AEF" w:rsidP="00DF77D1">
      <w:pPr>
        <w:spacing w:line="480" w:lineRule="auto"/>
        <w:rPr>
          <w:rFonts w:eastAsia="Times New Roman" w:cstheme="minorHAnsi"/>
          <w:lang w:eastAsia="en-GB"/>
        </w:rPr>
      </w:pPr>
      <w:r>
        <w:rPr>
          <w:b/>
          <w:vertAlign w:val="superscript"/>
        </w:rPr>
        <w:t>3</w:t>
      </w:r>
      <w:r w:rsidR="00E921CF" w:rsidRPr="00795CF4">
        <w:rPr>
          <w:b/>
        </w:rPr>
        <w:t xml:space="preserve"> </w:t>
      </w:r>
      <w:r w:rsidR="00E921CF" w:rsidRPr="00795CF4">
        <w:rPr>
          <w:rFonts w:eastAsia="Times New Roman" w:cstheme="minorHAnsi"/>
          <w:lang w:eastAsia="en-GB"/>
        </w:rPr>
        <w:t>Department of Psychological Medicine, Institute of Psychiatry, Psychology and Neuroscience, King's College London, London, UK</w:t>
      </w:r>
    </w:p>
    <w:p w14:paraId="3C27BF7F" w14:textId="762EBA88" w:rsidR="00E921CF" w:rsidRPr="00795CF4" w:rsidRDefault="00977AEF" w:rsidP="00DF77D1">
      <w:pPr>
        <w:spacing w:after="120" w:line="480" w:lineRule="auto"/>
        <w:rPr>
          <w:rFonts w:eastAsia="Times New Roman" w:cstheme="minorHAnsi"/>
          <w:lang w:eastAsia="en-GB"/>
        </w:rPr>
      </w:pPr>
      <w:r>
        <w:rPr>
          <w:b/>
          <w:vertAlign w:val="superscript"/>
        </w:rPr>
        <w:t>4</w:t>
      </w:r>
      <w:r w:rsidR="00E921CF" w:rsidRPr="00795CF4">
        <w:rPr>
          <w:b/>
        </w:rPr>
        <w:t xml:space="preserve"> </w:t>
      </w:r>
      <w:r w:rsidR="00E921CF" w:rsidRPr="00795CF4">
        <w:rPr>
          <w:rFonts w:eastAsia="Times New Roman" w:cstheme="minorHAnsi"/>
          <w:lang w:eastAsia="en-GB"/>
        </w:rPr>
        <w:t>South London and Maudsley NHS Foundation Trust, London, UK</w:t>
      </w:r>
    </w:p>
    <w:p w14:paraId="21771DA6" w14:textId="495B4673" w:rsidR="00E921CF" w:rsidRPr="00795CF4" w:rsidRDefault="00977AEF" w:rsidP="00DF77D1">
      <w:pPr>
        <w:spacing w:line="480" w:lineRule="auto"/>
        <w:rPr>
          <w:rFonts w:cstheme="minorHAnsi"/>
          <w:b/>
        </w:rPr>
      </w:pPr>
      <w:r>
        <w:rPr>
          <w:b/>
          <w:vertAlign w:val="superscript"/>
        </w:rPr>
        <w:t>5</w:t>
      </w:r>
      <w:r w:rsidR="00E921CF" w:rsidRPr="00795CF4">
        <w:rPr>
          <w:b/>
        </w:rPr>
        <w:t xml:space="preserve"> </w:t>
      </w:r>
      <w:r w:rsidR="00E921CF" w:rsidRPr="00795CF4">
        <w:rPr>
          <w:rFonts w:cstheme="minorHAnsi"/>
          <w:shd w:val="clear" w:color="auto" w:fill="FFFFFF"/>
        </w:rPr>
        <w:t>Norwich</w:t>
      </w:r>
      <w:r w:rsidR="00E921CF" w:rsidRPr="00795CF4">
        <w:rPr>
          <w:rStyle w:val="a"/>
          <w:rFonts w:cstheme="minorHAnsi"/>
          <w:shd w:val="clear" w:color="auto" w:fill="FFFFFF"/>
        </w:rPr>
        <w:t xml:space="preserve"> </w:t>
      </w:r>
      <w:r w:rsidR="00E921CF" w:rsidRPr="00795CF4">
        <w:rPr>
          <w:rFonts w:cstheme="minorHAnsi"/>
          <w:shd w:val="clear" w:color="auto" w:fill="FFFFFF"/>
        </w:rPr>
        <w:t>Medical</w:t>
      </w:r>
      <w:r w:rsidR="00E921CF" w:rsidRPr="00795CF4">
        <w:rPr>
          <w:rStyle w:val="a"/>
          <w:rFonts w:cstheme="minorHAnsi"/>
          <w:shd w:val="clear" w:color="auto" w:fill="FFFFFF"/>
        </w:rPr>
        <w:t xml:space="preserve"> </w:t>
      </w:r>
      <w:r w:rsidR="00E921CF" w:rsidRPr="00795CF4">
        <w:rPr>
          <w:rFonts w:cstheme="minorHAnsi"/>
          <w:shd w:val="clear" w:color="auto" w:fill="FFFFFF"/>
        </w:rPr>
        <w:t>School,</w:t>
      </w:r>
      <w:r w:rsidR="00E921CF" w:rsidRPr="00795CF4">
        <w:rPr>
          <w:rStyle w:val="a"/>
          <w:rFonts w:cstheme="minorHAnsi"/>
          <w:shd w:val="clear" w:color="auto" w:fill="FFFFFF"/>
        </w:rPr>
        <w:t xml:space="preserve"> </w:t>
      </w:r>
      <w:r w:rsidR="00E921CF" w:rsidRPr="00795CF4">
        <w:rPr>
          <w:rFonts w:cstheme="minorHAnsi"/>
          <w:shd w:val="clear" w:color="auto" w:fill="FFFFFF"/>
        </w:rPr>
        <w:t>University</w:t>
      </w:r>
      <w:r w:rsidR="00E921CF" w:rsidRPr="00795CF4">
        <w:rPr>
          <w:rStyle w:val="a"/>
          <w:rFonts w:cstheme="minorHAnsi"/>
          <w:shd w:val="clear" w:color="auto" w:fill="FFFFFF"/>
        </w:rPr>
        <w:t xml:space="preserve"> </w:t>
      </w:r>
      <w:r w:rsidR="00E921CF" w:rsidRPr="00795CF4">
        <w:rPr>
          <w:rFonts w:cstheme="minorHAnsi"/>
          <w:shd w:val="clear" w:color="auto" w:fill="FFFFFF"/>
        </w:rPr>
        <w:t>of</w:t>
      </w:r>
      <w:r w:rsidR="00E921CF" w:rsidRPr="00795CF4">
        <w:rPr>
          <w:rStyle w:val="a"/>
          <w:rFonts w:cstheme="minorHAnsi"/>
          <w:shd w:val="clear" w:color="auto" w:fill="FFFFFF"/>
        </w:rPr>
        <w:t xml:space="preserve"> </w:t>
      </w:r>
      <w:r w:rsidR="00E921CF" w:rsidRPr="00795CF4">
        <w:rPr>
          <w:rFonts w:cstheme="minorHAnsi"/>
          <w:shd w:val="clear" w:color="auto" w:fill="FFFFFF"/>
        </w:rPr>
        <w:t>East</w:t>
      </w:r>
      <w:r w:rsidR="00E921CF" w:rsidRPr="00795CF4">
        <w:rPr>
          <w:rStyle w:val="a"/>
          <w:rFonts w:cstheme="minorHAnsi"/>
          <w:shd w:val="clear" w:color="auto" w:fill="FFFFFF"/>
        </w:rPr>
        <w:t xml:space="preserve"> </w:t>
      </w:r>
      <w:r w:rsidR="00E921CF" w:rsidRPr="00795CF4">
        <w:rPr>
          <w:rFonts w:cstheme="minorHAnsi"/>
          <w:shd w:val="clear" w:color="auto" w:fill="FFFFFF"/>
        </w:rPr>
        <w:t>Anglia,</w:t>
      </w:r>
      <w:r w:rsidR="00E921CF" w:rsidRPr="00795CF4">
        <w:rPr>
          <w:rStyle w:val="a"/>
          <w:rFonts w:cstheme="minorHAnsi"/>
          <w:shd w:val="clear" w:color="auto" w:fill="FFFFFF"/>
        </w:rPr>
        <w:t xml:space="preserve"> </w:t>
      </w:r>
      <w:r w:rsidR="00E921CF" w:rsidRPr="00795CF4">
        <w:rPr>
          <w:rFonts w:cstheme="minorHAnsi"/>
          <w:shd w:val="clear" w:color="auto" w:fill="FFFFFF"/>
        </w:rPr>
        <w:t>Norwich,</w:t>
      </w:r>
      <w:r w:rsidR="00E921CF" w:rsidRPr="00795CF4">
        <w:rPr>
          <w:rStyle w:val="a"/>
          <w:rFonts w:cstheme="minorHAnsi"/>
          <w:shd w:val="clear" w:color="auto" w:fill="FFFFFF"/>
        </w:rPr>
        <w:t xml:space="preserve"> </w:t>
      </w:r>
      <w:r w:rsidR="00E921CF" w:rsidRPr="00795CF4">
        <w:rPr>
          <w:rFonts w:cstheme="minorHAnsi"/>
          <w:shd w:val="clear" w:color="auto" w:fill="FFFFFF"/>
        </w:rPr>
        <w:t>UK</w:t>
      </w:r>
    </w:p>
    <w:p w14:paraId="7E7361AD" w14:textId="77777777" w:rsidR="000D7FE7" w:rsidRDefault="000D7FE7" w:rsidP="00DF77D1">
      <w:pPr>
        <w:spacing w:line="480" w:lineRule="auto"/>
        <w:rPr>
          <w:bCs/>
        </w:rPr>
      </w:pPr>
    </w:p>
    <w:p w14:paraId="3DF75D37" w14:textId="309C7CFA" w:rsidR="00977AEF" w:rsidRDefault="00E921CF" w:rsidP="00DF77D1">
      <w:pPr>
        <w:spacing w:line="480" w:lineRule="auto"/>
        <w:rPr>
          <w:bCs/>
        </w:rPr>
      </w:pPr>
      <w:r w:rsidRPr="00D709D4">
        <w:rPr>
          <w:bCs/>
        </w:rPr>
        <w:t xml:space="preserve">* </w:t>
      </w:r>
      <w:r w:rsidR="00977AEF">
        <w:rPr>
          <w:bCs/>
        </w:rPr>
        <w:t>Corresponding author</w:t>
      </w:r>
    </w:p>
    <w:p w14:paraId="4B5F64A4" w14:textId="77777777" w:rsidR="00977AEF" w:rsidRDefault="00977AEF" w:rsidP="00DF77D1">
      <w:pPr>
        <w:spacing w:line="480" w:lineRule="auto"/>
        <w:rPr>
          <w:bCs/>
        </w:rPr>
      </w:pPr>
      <w:r>
        <w:rPr>
          <w:bCs/>
        </w:rPr>
        <w:t>Address</w:t>
      </w:r>
      <w:r w:rsidR="00E921CF" w:rsidRPr="00D709D4">
        <w:rPr>
          <w:bCs/>
        </w:rPr>
        <w:t>: Botnar Research Centre, Windmill Road, Oxford, OX3 7LD</w:t>
      </w:r>
    </w:p>
    <w:p w14:paraId="237D8CEC" w14:textId="0F0E3B52" w:rsidR="00484E5C" w:rsidRDefault="00977AEF" w:rsidP="00DF77D1">
      <w:pPr>
        <w:spacing w:line="480" w:lineRule="auto"/>
        <w:rPr>
          <w:bCs/>
        </w:rPr>
      </w:pPr>
      <w:r>
        <w:rPr>
          <w:bCs/>
        </w:rPr>
        <w:t>Phone number: +441865227982</w:t>
      </w:r>
    </w:p>
    <w:p w14:paraId="51CC9369" w14:textId="4C9F844D" w:rsidR="00977AEF" w:rsidRDefault="00977AEF" w:rsidP="00DF77D1">
      <w:pPr>
        <w:spacing w:line="480" w:lineRule="auto"/>
        <w:rPr>
          <w:bCs/>
        </w:rPr>
      </w:pPr>
      <w:r>
        <w:rPr>
          <w:bCs/>
        </w:rPr>
        <w:t xml:space="preserve">Email address: </w:t>
      </w:r>
      <w:hyperlink r:id="rId8" w:history="1">
        <w:r w:rsidRPr="001337DD">
          <w:rPr>
            <w:rStyle w:val="Hyperlink"/>
            <w:bCs/>
          </w:rPr>
          <w:t>ruth.knight@csm.ox.ac.uk</w:t>
        </w:r>
      </w:hyperlink>
    </w:p>
    <w:p w14:paraId="11AA4E29" w14:textId="3712E5C9" w:rsidR="00856E59" w:rsidRDefault="000D7FE7">
      <w:pPr>
        <w:rPr>
          <w:b/>
        </w:rPr>
      </w:pPr>
      <w:r>
        <w:rPr>
          <w:b/>
        </w:rPr>
        <w:t xml:space="preserve">WORD COUNT: </w:t>
      </w:r>
      <w:r w:rsidR="0041267E">
        <w:rPr>
          <w:bCs/>
        </w:rPr>
        <w:t>3319</w:t>
      </w:r>
      <w:r w:rsidR="00856E59">
        <w:rPr>
          <w:b/>
        </w:rPr>
        <w:br w:type="page"/>
      </w:r>
    </w:p>
    <w:p w14:paraId="78F58945" w14:textId="56B32EF3" w:rsidR="000D7FE7" w:rsidRPr="00824A3A" w:rsidRDefault="000D7FE7" w:rsidP="000D7FE7">
      <w:pPr>
        <w:spacing w:line="480" w:lineRule="auto"/>
        <w:rPr>
          <w:b/>
          <w:i/>
        </w:rPr>
      </w:pPr>
      <w:r w:rsidRPr="00824A3A">
        <w:rPr>
          <w:b/>
        </w:rPr>
        <w:lastRenderedPageBreak/>
        <w:t>Abstract</w:t>
      </w:r>
      <w:r>
        <w:rPr>
          <w:b/>
        </w:rPr>
        <w:t xml:space="preserve"> (</w:t>
      </w:r>
      <w:r w:rsidR="00D02B96">
        <w:rPr>
          <w:b/>
        </w:rPr>
        <w:t xml:space="preserve">218 </w:t>
      </w:r>
      <w:r>
        <w:rPr>
          <w:b/>
        </w:rPr>
        <w:t>words)</w:t>
      </w:r>
    </w:p>
    <w:p w14:paraId="7EA00B08" w14:textId="3531A386" w:rsidR="000D7FE7" w:rsidRDefault="000D7FE7" w:rsidP="000D7FE7">
      <w:pPr>
        <w:spacing w:line="480" w:lineRule="auto"/>
        <w:jc w:val="both"/>
      </w:pPr>
      <w:r>
        <w:t xml:space="preserve">Background: Healthcare professionals seek information about effectiveness of treatments in patients who would </w:t>
      </w:r>
      <w:proofErr w:type="gramStart"/>
      <w:r>
        <w:t>be</w:t>
      </w:r>
      <w:proofErr w:type="gramEnd"/>
      <w:r>
        <w:t xml:space="preserve"> offered them in routine clinical practice. Electronic medical records (EMRs) </w:t>
      </w:r>
      <w:r w:rsidR="0014119A">
        <w:t>and</w:t>
      </w:r>
      <w:r>
        <w:t xml:space="preserve"> randomised controlled trials (RCTs) </w:t>
      </w:r>
      <w:r w:rsidR="0014119A">
        <w:t xml:space="preserve">can both </w:t>
      </w:r>
      <w:r>
        <w:t xml:space="preserve">provide </w:t>
      </w:r>
      <w:r w:rsidR="0014119A">
        <w:t>data on</w:t>
      </w:r>
      <w:r>
        <w:t xml:space="preserve"> treatment effect</w:t>
      </w:r>
      <w:r w:rsidR="0014119A">
        <w:t>s</w:t>
      </w:r>
      <w:r>
        <w:t xml:space="preserve">; however, </w:t>
      </w:r>
      <w:r w:rsidR="00CD7766">
        <w:t>each data source has limitations when considered in isolation</w:t>
      </w:r>
      <w:r>
        <w:t>.</w:t>
      </w:r>
    </w:p>
    <w:p w14:paraId="5CD4328F" w14:textId="6B0DDF7E" w:rsidR="000D7FE7" w:rsidRDefault="000D7FE7" w:rsidP="000D7FE7">
      <w:pPr>
        <w:spacing w:line="480" w:lineRule="auto"/>
        <w:jc w:val="both"/>
      </w:pPr>
      <w:r>
        <w:t xml:space="preserve">Methods: A novel modelling methodology which incorporates RCT estimates in the analysis of EMR data via informative prior distributions is proposed. </w:t>
      </w:r>
      <w:r w:rsidR="00CD7766">
        <w:t xml:space="preserve">A Bayesian mixed modelling approach is used to model outcome trajectories </w:t>
      </w:r>
      <w:r w:rsidR="0079218B">
        <w:t xml:space="preserve">amongst patients in the EMR dataset receiving the treatment of interest. This model incorporates an estimate of treatment effect based on a meta-analysis of RCT as an informative prior distribution. </w:t>
      </w:r>
      <w:r>
        <w:t>This provides a combined estimate of treatment effect based on both data sources.</w:t>
      </w:r>
    </w:p>
    <w:p w14:paraId="53A46D24" w14:textId="508BB35A" w:rsidR="000D7FE7" w:rsidRDefault="000D7FE7" w:rsidP="000D7FE7">
      <w:pPr>
        <w:spacing w:line="480" w:lineRule="auto"/>
        <w:jc w:val="both"/>
      </w:pPr>
      <w:r>
        <w:t>Results: The superior performance of the novel combined estimator is demonstrated via a simulation study. The new approach is applied to estimate the effectiveness</w:t>
      </w:r>
      <w:r w:rsidR="0079218B">
        <w:t xml:space="preserve"> at 12 months after treatment initiation</w:t>
      </w:r>
      <w:r>
        <w:t xml:space="preserve"> of </w:t>
      </w:r>
      <w:proofErr w:type="spellStart"/>
      <w:r>
        <w:t>AChEIs</w:t>
      </w:r>
      <w:proofErr w:type="spellEnd"/>
      <w:r>
        <w:t xml:space="preserve"> in the management of the cognitive symptoms of dementia</w:t>
      </w:r>
      <w:r w:rsidR="0079218B" w:rsidRPr="0079218B">
        <w:t xml:space="preserve"> </w:t>
      </w:r>
      <w:r w:rsidR="0079218B">
        <w:t>in terms of MMSE scores</w:t>
      </w:r>
      <w:r>
        <w:t xml:space="preserve"> </w:t>
      </w:r>
      <w:r w:rsidR="0079218B">
        <w:t xml:space="preserve">This </w:t>
      </w:r>
      <w:r>
        <w:t>demonstrat</w:t>
      </w:r>
      <w:r w:rsidR="0079218B">
        <w:t>ed</w:t>
      </w:r>
      <w:r>
        <w:t xml:space="preserve"> that estimates based on either </w:t>
      </w:r>
      <w:r w:rsidR="0079218B">
        <w:t>trials data only (1.10</w:t>
      </w:r>
      <w:r w:rsidR="00D02B96">
        <w:t>, SE=0.316) or cohort data only (1.56, SE=0.240)</w:t>
      </w:r>
      <w:r>
        <w:t xml:space="preserve"> over-estimate</w:t>
      </w:r>
      <w:r w:rsidR="00D02B96">
        <w:t>d</w:t>
      </w:r>
      <w:r>
        <w:t xml:space="preserve"> this</w:t>
      </w:r>
      <w:r w:rsidR="00D02B96">
        <w:t xml:space="preserve"> compared to the estimate using data from both sources (0.86, SE=0.327)</w:t>
      </w:r>
      <w:r>
        <w:t>.</w:t>
      </w:r>
    </w:p>
    <w:p w14:paraId="65FBEC12" w14:textId="77777777" w:rsidR="000D7FE7" w:rsidRDefault="000D7FE7" w:rsidP="000D7FE7">
      <w:pPr>
        <w:spacing w:line="480" w:lineRule="auto"/>
        <w:jc w:val="both"/>
      </w:pPr>
      <w:r>
        <w:t xml:space="preserve">Conclusion: It is possible to combine data from EMRs and RCTs </w:t>
      </w:r>
      <w:proofErr w:type="gramStart"/>
      <w:r>
        <w:t>in order to</w:t>
      </w:r>
      <w:proofErr w:type="gramEnd"/>
      <w:r>
        <w:t xml:space="preserve"> provide better estimates of treatment effectiveness.</w:t>
      </w:r>
    </w:p>
    <w:p w14:paraId="22100F43" w14:textId="2137A506" w:rsidR="00824A3A" w:rsidRDefault="00824A3A" w:rsidP="00DF77D1">
      <w:pPr>
        <w:spacing w:line="480" w:lineRule="auto"/>
        <w:jc w:val="both"/>
      </w:pPr>
    </w:p>
    <w:p w14:paraId="6EC2A182" w14:textId="24085693" w:rsidR="00541396" w:rsidRDefault="00541396" w:rsidP="00DF77D1">
      <w:pPr>
        <w:spacing w:line="480" w:lineRule="auto"/>
        <w:jc w:val="both"/>
      </w:pPr>
      <w:r>
        <w:t xml:space="preserve">Key words: Randomized controlled trial; </w:t>
      </w:r>
      <w:r w:rsidR="00856E59">
        <w:t>Electronic medical record; Bayesian modelling; Dementia; Cognition; Acetylcholinesterase inhibitors</w:t>
      </w:r>
    </w:p>
    <w:p w14:paraId="75682451" w14:textId="77777777" w:rsidR="00856E59" w:rsidRDefault="00856E59">
      <w:pPr>
        <w:rPr>
          <w:b/>
        </w:rPr>
      </w:pPr>
      <w:r>
        <w:rPr>
          <w:b/>
        </w:rPr>
        <w:br w:type="page"/>
      </w:r>
    </w:p>
    <w:p w14:paraId="45E9A599" w14:textId="3617EC39" w:rsidR="00E921CF" w:rsidRDefault="000D7FE7" w:rsidP="00DF77D1">
      <w:pPr>
        <w:spacing w:line="480" w:lineRule="auto"/>
        <w:jc w:val="both"/>
        <w:rPr>
          <w:b/>
        </w:rPr>
      </w:pPr>
      <w:r>
        <w:rPr>
          <w:b/>
        </w:rPr>
        <w:lastRenderedPageBreak/>
        <w:t>Key Messages</w:t>
      </w:r>
    </w:p>
    <w:p w14:paraId="739461BD" w14:textId="37234A15" w:rsidR="00856E59" w:rsidRDefault="00856E59" w:rsidP="00856E59">
      <w:pPr>
        <w:pStyle w:val="ListParagraph"/>
        <w:numPr>
          <w:ilvl w:val="0"/>
          <w:numId w:val="5"/>
        </w:numPr>
        <w:spacing w:line="480" w:lineRule="auto"/>
        <w:jc w:val="both"/>
        <w:rPr>
          <w:bCs/>
        </w:rPr>
      </w:pPr>
      <w:r>
        <w:rPr>
          <w:bCs/>
        </w:rPr>
        <w:t>Data on a treated cohort from an EMR and data from RCTs can be combined to provide estimates of treatment effects that are less biased and more generalisable than those from either data source alone</w:t>
      </w:r>
    </w:p>
    <w:p w14:paraId="5FDDD434" w14:textId="07B41E95" w:rsidR="00856E59" w:rsidRDefault="00856E59" w:rsidP="00856E59">
      <w:pPr>
        <w:pStyle w:val="ListParagraph"/>
        <w:numPr>
          <w:ilvl w:val="0"/>
          <w:numId w:val="5"/>
        </w:numPr>
        <w:spacing w:line="480" w:lineRule="auto"/>
        <w:jc w:val="both"/>
        <w:rPr>
          <w:bCs/>
        </w:rPr>
      </w:pPr>
      <w:r>
        <w:rPr>
          <w:bCs/>
        </w:rPr>
        <w:t>This holds true even if both are biased in the same direction</w:t>
      </w:r>
    </w:p>
    <w:p w14:paraId="2405F94C" w14:textId="4A19872B" w:rsidR="00856E59" w:rsidRPr="00856E59" w:rsidRDefault="00856E59" w:rsidP="00856E59">
      <w:pPr>
        <w:pStyle w:val="ListParagraph"/>
        <w:numPr>
          <w:ilvl w:val="0"/>
          <w:numId w:val="5"/>
        </w:numPr>
        <w:spacing w:line="480" w:lineRule="auto"/>
        <w:jc w:val="both"/>
        <w:rPr>
          <w:bCs/>
        </w:rPr>
      </w:pPr>
      <w:r>
        <w:rPr>
          <w:bCs/>
        </w:rPr>
        <w:t xml:space="preserve">Estimates from either EMRs or RCTs alone over-estimate the effects of acetylcholinesterase inhibitors </w:t>
      </w:r>
      <w:r w:rsidR="00CD7766">
        <w:rPr>
          <w:bCs/>
        </w:rPr>
        <w:t xml:space="preserve">in terms of MMSE scores </w:t>
      </w:r>
      <w:r>
        <w:rPr>
          <w:bCs/>
        </w:rPr>
        <w:t>at 12 months after treatment initiation</w:t>
      </w:r>
    </w:p>
    <w:p w14:paraId="577FC8ED" w14:textId="71484BA6" w:rsidR="00856E59" w:rsidRPr="00856E59" w:rsidRDefault="00856E59" w:rsidP="00856E59">
      <w:pPr>
        <w:pStyle w:val="ListParagraph"/>
        <w:numPr>
          <w:ilvl w:val="0"/>
          <w:numId w:val="6"/>
        </w:numPr>
        <w:spacing w:line="480" w:lineRule="auto"/>
        <w:jc w:val="both"/>
        <w:rPr>
          <w:bCs/>
        </w:rPr>
      </w:pPr>
      <w:r>
        <w:rPr>
          <w:bCs/>
        </w:rPr>
        <w:t>It is possible to combine data from observational and randomized data sources even when the observational data is not comparative</w:t>
      </w:r>
    </w:p>
    <w:p w14:paraId="4B7A14F8" w14:textId="07BC374A" w:rsidR="002A69A5" w:rsidRPr="002A69A5" w:rsidRDefault="002A69A5" w:rsidP="002A69A5">
      <w:pPr>
        <w:pStyle w:val="ListParagraph"/>
        <w:numPr>
          <w:ilvl w:val="0"/>
          <w:numId w:val="6"/>
        </w:numPr>
        <w:spacing w:line="480" w:lineRule="auto"/>
        <w:jc w:val="both"/>
        <w:rPr>
          <w:bCs/>
        </w:rPr>
      </w:pPr>
      <w:bookmarkStart w:id="0" w:name="_Hlk85806584"/>
      <w:r>
        <w:rPr>
          <w:bCs/>
        </w:rPr>
        <w:t xml:space="preserve">A </w:t>
      </w:r>
      <w:bookmarkStart w:id="1" w:name="_Hlk85806593"/>
      <w:r>
        <w:rPr>
          <w:bCs/>
        </w:rPr>
        <w:t>concerted effort to assemble routine EMR data in a form that can be used to improve real-world inferences from RCTs is required</w:t>
      </w:r>
      <w:bookmarkEnd w:id="1"/>
    </w:p>
    <w:bookmarkEnd w:id="0"/>
    <w:p w14:paraId="2AF124BE" w14:textId="77777777" w:rsidR="00623EF9" w:rsidRDefault="00623EF9">
      <w:pPr>
        <w:rPr>
          <w:b/>
        </w:rPr>
      </w:pPr>
      <w:r>
        <w:rPr>
          <w:b/>
        </w:rPr>
        <w:br w:type="page"/>
      </w:r>
    </w:p>
    <w:p w14:paraId="5D265322" w14:textId="3C49688D" w:rsidR="00824A3A" w:rsidRPr="00856E59" w:rsidRDefault="00824A3A" w:rsidP="00856E59">
      <w:pPr>
        <w:spacing w:line="480" w:lineRule="auto"/>
        <w:rPr>
          <w:b/>
        </w:rPr>
      </w:pPr>
      <w:r w:rsidRPr="00856E59">
        <w:rPr>
          <w:b/>
        </w:rPr>
        <w:lastRenderedPageBreak/>
        <w:t>Introduction</w:t>
      </w:r>
    </w:p>
    <w:p w14:paraId="340191DB" w14:textId="1A6C60AF" w:rsidR="00F37E15" w:rsidRDefault="00E0056C" w:rsidP="00DF77D1">
      <w:pPr>
        <w:spacing w:line="480" w:lineRule="auto"/>
        <w:jc w:val="both"/>
        <w:rPr>
          <w:i/>
          <w:iCs/>
        </w:rPr>
      </w:pPr>
      <w:r>
        <w:t xml:space="preserve">Healthcare professionals </w:t>
      </w:r>
      <w:r w:rsidR="00D02B3C">
        <w:t xml:space="preserve">seek </w:t>
      </w:r>
      <w:r>
        <w:t xml:space="preserve">knowledge of </w:t>
      </w:r>
      <w:r w:rsidR="00D02B3C">
        <w:t xml:space="preserve">the effectiveness of treatments in patients who would </w:t>
      </w:r>
      <w:proofErr w:type="gramStart"/>
      <w:r w:rsidR="00D02B3C">
        <w:t>be</w:t>
      </w:r>
      <w:proofErr w:type="gramEnd"/>
      <w:r w:rsidR="00D02B3C">
        <w:t xml:space="preserve"> offered them in routine clinical practice. </w:t>
      </w:r>
      <w:r w:rsidR="00824A3A">
        <w:t xml:space="preserve">Electronic medical records </w:t>
      </w:r>
      <w:r w:rsidR="00D02B3C">
        <w:t>(EMRs) provide</w:t>
      </w:r>
      <w:r w:rsidR="00203319">
        <w:t xml:space="preserve"> potentially valuable</w:t>
      </w:r>
      <w:r w:rsidR="00D02B3C">
        <w:t xml:space="preserve"> </w:t>
      </w:r>
      <w:r w:rsidR="000F1267">
        <w:t xml:space="preserve">representative </w:t>
      </w:r>
      <w:r w:rsidR="00D02B3C">
        <w:t>longitudinal data on</w:t>
      </w:r>
      <w:r w:rsidR="00203319">
        <w:t xml:space="preserve"> </w:t>
      </w:r>
      <w:r w:rsidR="00E778B8">
        <w:t>treatment</w:t>
      </w:r>
      <w:r w:rsidR="000F1267">
        <w:t xml:space="preserve"> outcomes</w:t>
      </w:r>
      <w:r w:rsidR="00E778B8">
        <w:t xml:space="preserve"> in routine clinical practice</w:t>
      </w:r>
      <w:r w:rsidR="00F37E15">
        <w:t xml:space="preserve"> </w:t>
      </w:r>
      <w:r w:rsidR="00C90D2E">
        <w:fldChar w:fldCharType="begin"/>
      </w:r>
      <w:r w:rsidR="000D7FE7">
        <w:instrText xml:space="preserve"> ADDIN EN.CITE &lt;EndNote&gt;&lt;Cite&gt;&lt;Author&gt;Smeets&lt;/Author&gt;&lt;Year&gt;2011&lt;/Year&gt;&lt;RecNum&gt;21&lt;/RecNum&gt;&lt;DisplayText&gt;(1, 2)&lt;/DisplayText&gt;&lt;record&gt;&lt;rec-number&gt;21&lt;/rec-number&gt;&lt;foreign-keys&gt;&lt;key app="EN" db-id="p5t2axawez5dr9efspu55tfv5tvdrewdrtxf" timestamp="1573635102"&gt;21&lt;/key&gt;&lt;/foreign-keys&gt;&lt;ref-type name="Journal Article"&gt;17&lt;/ref-type&gt;&lt;contributors&gt;&lt;authors&gt;&lt;author&gt;Smeets, Hugo M&lt;/author&gt;&lt;author&gt;Laan, Wijnand&lt;/author&gt;&lt;author&gt;Engelhard, Iris M&lt;/author&gt;&lt;author&gt;Boks, Marco PM&lt;/author&gt;&lt;author&gt;Geerlings, Mirjam I&lt;/author&gt;&lt;author&gt;de Wit, Niek J&lt;/author&gt;&lt;/authors&gt;&lt;/contributors&gt;&lt;titles&gt;&lt;title&gt;The psychiatric case register middle Netherlands&lt;/title&gt;&lt;secondary-title&gt;BMC psychiatry&lt;/secondary-title&gt;&lt;/titles&gt;&lt;periodical&gt;&lt;full-title&gt;BMC Psychiatry&lt;/full-title&gt;&lt;abbr-1&gt;BMC Psychiatry&lt;/abbr-1&gt;&lt;abbr-2&gt;BMC Psychiatry&lt;/abbr-2&gt;&lt;/periodical&gt;&lt;pages&gt;106&lt;/pages&gt;&lt;volume&gt;11&lt;/volume&gt;&lt;number&gt;1&lt;/number&gt;&lt;dates&gt;&lt;year&gt;2011&lt;/year&gt;&lt;/dates&gt;&lt;isbn&gt;1471-244X&lt;/isbn&gt;&lt;urls&gt;&lt;/urls&gt;&lt;/record&gt;&lt;/Cite&gt;&lt;Cite&gt;&lt;Author&gt;Stewart&lt;/Author&gt;&lt;Year&gt;2016&lt;/Year&gt;&lt;RecNum&gt;22&lt;/RecNum&gt;&lt;record&gt;&lt;rec-number&gt;22&lt;/rec-number&gt;&lt;foreign-keys&gt;&lt;key app="EN" db-id="p5t2axawez5dr9efspu55tfv5tvdrewdrtxf" timestamp="1573635125"&gt;22&lt;/key&gt;&lt;/foreign-keys&gt;&lt;ref-type name="Journal Article"&gt;17&lt;/ref-type&gt;&lt;contributors&gt;&lt;authors&gt;&lt;author&gt;Stewart, Robert&lt;/author&gt;&lt;author&gt;Davis, Katrina&lt;/author&gt;&lt;/authors&gt;&lt;/contributors&gt;&lt;titles&gt;&lt;title&gt;‘Big data’in mental health research: current status and emerging possibilities&lt;/title&gt;&lt;secondary-title&gt;Social psychiatry and psychiatric epidemiology&lt;/secondary-title&gt;&lt;/titles&gt;&lt;periodical&gt;&lt;full-title&gt;Social Psychiatry and Psychiatric Epidemiology&lt;/full-title&gt;&lt;abbr-1&gt;Soc. Psychiatry Psychiatr. Epidemiol.&lt;/abbr-1&gt;&lt;abbr-2&gt;Soc Psychiatry Psychiatr Epidemiol&lt;/abbr-2&gt;&lt;abbr-3&gt;Social Psychiatry &amp;amp; Psychiatric Epidemiology&lt;/abbr-3&gt;&lt;/periodical&gt;&lt;pages&gt;1055-1072&lt;/pages&gt;&lt;volume&gt;51&lt;/volume&gt;&lt;number&gt;8&lt;/number&gt;&lt;dates&gt;&lt;year&gt;2016&lt;/year&gt;&lt;/dates&gt;&lt;isbn&gt;0933-7954&lt;/isbn&gt;&lt;urls&gt;&lt;/urls&gt;&lt;/record&gt;&lt;/Cite&gt;&lt;/EndNote&gt;</w:instrText>
      </w:r>
      <w:r w:rsidR="00C90D2E">
        <w:fldChar w:fldCharType="separate"/>
      </w:r>
      <w:r w:rsidR="000D7FE7">
        <w:rPr>
          <w:noProof/>
        </w:rPr>
        <w:t>(1, 2)</w:t>
      </w:r>
      <w:r w:rsidR="00C90D2E">
        <w:fldChar w:fldCharType="end"/>
      </w:r>
      <w:r w:rsidR="00203319">
        <w:t>; however,</w:t>
      </w:r>
      <w:r w:rsidR="00E778B8">
        <w:t xml:space="preserve"> </w:t>
      </w:r>
      <w:r w:rsidR="000F1267">
        <w:t>the absence of an adequate</w:t>
      </w:r>
      <w:r w:rsidR="00F37E15">
        <w:t xml:space="preserve"> control group</w:t>
      </w:r>
      <w:r w:rsidR="00FF7207">
        <w:t xml:space="preserve"> </w:t>
      </w:r>
      <w:r w:rsidR="00820B33">
        <w:t xml:space="preserve">can often </w:t>
      </w:r>
      <w:r w:rsidR="000F1267">
        <w:t>limit</w:t>
      </w:r>
      <w:r w:rsidR="00FF7207">
        <w:t xml:space="preserve"> estimate</w:t>
      </w:r>
      <w:r w:rsidR="000F1267">
        <w:t>s of</w:t>
      </w:r>
      <w:r w:rsidR="00FF7207">
        <w:t xml:space="preserve"> treatment effects</w:t>
      </w:r>
      <w:r w:rsidR="00E778B8">
        <w:t xml:space="preserve">. </w:t>
      </w:r>
      <w:r w:rsidR="00F37E15">
        <w:t>On the other hand</w:t>
      </w:r>
      <w:r w:rsidR="00776C46">
        <w:t>,</w:t>
      </w:r>
      <w:r w:rsidR="00F37E15">
        <w:t xml:space="preserve"> randomised controlled trials (RCTs) should provide an unbiased estimate of treatment effect in the population in which they are conducted </w:t>
      </w:r>
      <w:r w:rsidR="00C90D2E">
        <w:fldChar w:fldCharType="begin"/>
      </w:r>
      <w:r w:rsidR="000D7FE7">
        <w:instrText xml:space="preserve"> ADDIN EN.CITE &lt;EndNote&gt;&lt;Cite&gt;&lt;Author&gt;Dunn&lt;/Author&gt;&lt;Year&gt;2015&lt;/Year&gt;&lt;RecNum&gt;3&lt;/RecNum&gt;&lt;DisplayText&gt;(3)&lt;/DisplayText&gt;&lt;record&gt;&lt;rec-number&gt;3&lt;/rec-number&gt;&lt;foreign-keys&gt;&lt;key app="EN" db-id="p5t2axawez5dr9efspu55tfv5tvdrewdrtxf" timestamp="1573634722"&gt;3&lt;/key&gt;&lt;/foreign-keys&gt;&lt;ref-type name="Journal Article"&gt;17&lt;/ref-type&gt;&lt;contributors&gt;&lt;authors&gt;&lt;author&gt;Dunn, Graham&lt;/author&gt;&lt;author&gt;Emsley, Richard&lt;/author&gt;&lt;author&gt;Liu, Hanhua&lt;/author&gt;&lt;author&gt;Landau, Sabine&lt;/author&gt;&lt;author&gt;Green, Jonathan&lt;/author&gt;&lt;author&gt;White, Ian&lt;/author&gt;&lt;author&gt;Pickles, Andrew&lt;/author&gt;&lt;/authors&gt;&lt;/contributors&gt;&lt;titles&gt;&lt;title&gt;Evaluation and validation of social and psychological markers in randomised trials of complex interventions in mental health: a methodological research programme&lt;/title&gt;&lt;/titles&gt;&lt;dates&gt;&lt;year&gt;2015&lt;/year&gt;&lt;/dates&gt;&lt;urls&gt;&lt;/urls&gt;&lt;/record&gt;&lt;/Cite&gt;&lt;/EndNote&gt;</w:instrText>
      </w:r>
      <w:r w:rsidR="00C90D2E">
        <w:fldChar w:fldCharType="separate"/>
      </w:r>
      <w:r w:rsidR="000D7FE7">
        <w:rPr>
          <w:noProof/>
        </w:rPr>
        <w:t>(3)</w:t>
      </w:r>
      <w:r w:rsidR="00C90D2E">
        <w:fldChar w:fldCharType="end"/>
      </w:r>
      <w:r w:rsidR="000F1267">
        <w:t>, but</w:t>
      </w:r>
      <w:r w:rsidR="00F37E15">
        <w:t xml:space="preserve"> </w:t>
      </w:r>
      <w:r w:rsidR="000F1267">
        <w:t xml:space="preserve">may </w:t>
      </w:r>
      <w:r w:rsidR="00F37E15">
        <w:t xml:space="preserve">lack generalisability </w:t>
      </w:r>
      <w:r w:rsidR="000F1267">
        <w:t>to patients who</w:t>
      </w:r>
      <w:r w:rsidR="00F37E15">
        <w:t xml:space="preserve"> will be given the treatment in routine practice </w:t>
      </w:r>
      <w:r w:rsidR="00C90D2E">
        <w:fldChar w:fldCharType="begin"/>
      </w:r>
      <w:r w:rsidR="000D7FE7">
        <w:instrText xml:space="preserve"> ADDIN EN.CITE &lt;EndNote&gt;&lt;Cite&gt;&lt;Author&gt;Licht&lt;/Author&gt;&lt;Year&gt;1997&lt;/Year&gt;&lt;RecNum&gt;9&lt;/RecNum&gt;&lt;DisplayText&gt;(4, 5)&lt;/DisplayText&gt;&lt;record&gt;&lt;rec-number&gt;9&lt;/rec-number&gt;&lt;foreign-keys&gt;&lt;key app="EN" db-id="p5t2axawez5dr9efspu55tfv5tvdrewdrtxf" timestamp="1573634846"&gt;9&lt;/key&gt;&lt;/foreign-keys&gt;&lt;ref-type name="Journal Article"&gt;17&lt;/ref-type&gt;&lt;contributors&gt;&lt;authors&gt;&lt;author&gt;Licht, Rasmus Wentzer&lt;/author&gt;&lt;author&gt;Gouliaev, Georg&lt;/author&gt;&lt;author&gt;Vestergaard, Per&lt;/author&gt;&lt;author&gt;Frydenberg, Morten&lt;/author&gt;&lt;/authors&gt;&lt;/contributors&gt;&lt;titles&gt;&lt;title&gt;Generalisability of results from randomised drug trials: a trial on antimanic treatment&lt;/title&gt;&lt;secondary-title&gt;The British Journal of Psychiatry&lt;/secondary-title&gt;&lt;/titles&gt;&lt;periodical&gt;&lt;full-title&gt;The British Journal of Psychiatry&lt;/full-title&gt;&lt;/periodical&gt;&lt;pages&gt;264-267&lt;/pages&gt;&lt;volume&gt;170&lt;/volume&gt;&lt;number&gt;3&lt;/number&gt;&lt;dates&gt;&lt;year&gt;1997&lt;/year&gt;&lt;/dates&gt;&lt;isbn&gt;0007-1250&lt;/isbn&gt;&lt;urls&gt;&lt;/urls&gt;&lt;/record&gt;&lt;/Cite&gt;&lt;Cite&gt;&lt;Author&gt;Rothwell&lt;/Author&gt;&lt;Year&gt;2005&lt;/Year&gt;&lt;RecNum&gt;19&lt;/RecNum&gt;&lt;record&gt;&lt;rec-number&gt;19&lt;/rec-number&gt;&lt;foreign-keys&gt;&lt;key app="EN" db-id="p5t2axawez5dr9efspu55tfv5tvdrewdrtxf" timestamp="1573635071"&gt;19&lt;/key&gt;&lt;/foreign-keys&gt;&lt;ref-type name="Journal Article"&gt;17&lt;/ref-type&gt;&lt;contributors&gt;&lt;authors&gt;&lt;author&gt;Rothwell, Peter M&lt;/author&gt;&lt;/authors&gt;&lt;/contributors&gt;&lt;titles&gt;&lt;title&gt;External validity of randomised controlled trials:“to whom do the results of this trial apply?”&lt;/title&gt;&lt;secondary-title&gt;The Lancet&lt;/secondary-title&gt;&lt;/titles&gt;&lt;periodical&gt;&lt;full-title&gt;The Lancet&lt;/full-title&gt;&lt;/periodical&gt;&lt;pages&gt;82-93&lt;/pages&gt;&lt;volume&gt;365&lt;/volume&gt;&lt;number&gt;9453&lt;/number&gt;&lt;dates&gt;&lt;year&gt;2005&lt;/year&gt;&lt;/dates&gt;&lt;isbn&gt;0140-6736&lt;/isbn&gt;&lt;urls&gt;&lt;/urls&gt;&lt;/record&gt;&lt;/Cite&gt;&lt;/EndNote&gt;</w:instrText>
      </w:r>
      <w:r w:rsidR="00C90D2E">
        <w:fldChar w:fldCharType="separate"/>
      </w:r>
      <w:r w:rsidR="000D7FE7">
        <w:rPr>
          <w:noProof/>
        </w:rPr>
        <w:t>(4, 5)</w:t>
      </w:r>
      <w:r w:rsidR="00C90D2E">
        <w:fldChar w:fldCharType="end"/>
      </w:r>
      <w:r w:rsidR="00F37E15">
        <w:t>. Combin</w:t>
      </w:r>
      <w:r w:rsidR="000F1267">
        <w:t>ing</w:t>
      </w:r>
      <w:r w:rsidR="00F37E15">
        <w:t xml:space="preserve"> data from both sources </w:t>
      </w:r>
      <w:r w:rsidR="00474F2B">
        <w:t xml:space="preserve">may </w:t>
      </w:r>
      <w:r w:rsidR="000F1267">
        <w:t>help provide</w:t>
      </w:r>
      <w:r w:rsidR="00474F2B">
        <w:t xml:space="preserve"> estimate</w:t>
      </w:r>
      <w:r w:rsidR="000F1267">
        <w:t>s</w:t>
      </w:r>
      <w:r w:rsidR="00474F2B">
        <w:t xml:space="preserve"> </w:t>
      </w:r>
      <w:r w:rsidR="000F1267">
        <w:t>that are</w:t>
      </w:r>
      <w:r w:rsidR="00474F2B">
        <w:t xml:space="preserve"> both </w:t>
      </w:r>
      <w:r w:rsidR="004A0870">
        <w:t>unbiased</w:t>
      </w:r>
      <w:r w:rsidR="00474F2B">
        <w:t xml:space="preserve"> and </w:t>
      </w:r>
      <w:r w:rsidR="004A0870">
        <w:t>generalisable</w:t>
      </w:r>
      <w:r w:rsidR="00474F2B">
        <w:t>.</w:t>
      </w:r>
    </w:p>
    <w:p w14:paraId="66413A0A" w14:textId="67729DE2" w:rsidR="00BF441E" w:rsidRPr="007A437C" w:rsidRDefault="00776C46" w:rsidP="00DF77D1">
      <w:pPr>
        <w:spacing w:line="480" w:lineRule="auto"/>
        <w:jc w:val="both"/>
      </w:pPr>
      <w:r>
        <w:t xml:space="preserve">Development of methods to combine data from both </w:t>
      </w:r>
      <w:r w:rsidR="007A437C">
        <w:t xml:space="preserve">randomised and observational data sources is an ongoing area of research with a variety of methods developed in recent years </w:t>
      </w:r>
      <w:r w:rsidR="00C90D2E">
        <w:fldChar w:fldCharType="begin">
          <w:fldData xml:space="preserve">PEVuZE5vdGU+PENpdGU+PEF1dGhvcj5BZGVzPC9BdXRob3I+PFllYXI+MjAwNjwvWWVhcj48UmVj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=
</w:fldData>
        </w:fldChar>
      </w:r>
      <w:r w:rsidR="000D7FE7">
        <w:instrText xml:space="preserve"> ADDIN EN.CITE </w:instrText>
      </w:r>
      <w:r w:rsidR="000D7FE7">
        <w:fldChar w:fldCharType="begin">
          <w:fldData xml:space="preserve">PEVuZE5vdGU+PENpdGU+PEF1dGhvcj5BZGVzPC9BdXRob3I+PFllYXI+MjAwNjwvWWVhcj48UmVj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=
</w:fldData>
        </w:fldChar>
      </w:r>
      <w:r w:rsidR="000D7FE7">
        <w:instrText xml:space="preserve"> ADDIN EN.CITE.DATA </w:instrText>
      </w:r>
      <w:r w:rsidR="000D7FE7">
        <w:fldChar w:fldCharType="end"/>
      </w:r>
      <w:r w:rsidR="00C90D2E">
        <w:fldChar w:fldCharType="separate"/>
      </w:r>
      <w:r w:rsidR="000D7FE7">
        <w:rPr>
          <w:noProof/>
        </w:rPr>
        <w:t>(6-8)</w:t>
      </w:r>
      <w:r w:rsidR="00C90D2E">
        <w:fldChar w:fldCharType="end"/>
      </w:r>
      <w:r w:rsidR="007A437C">
        <w:t xml:space="preserve">. </w:t>
      </w:r>
      <w:r w:rsidR="00BF441E">
        <w:t>An early</w:t>
      </w:r>
      <w:r w:rsidR="000F1267">
        <w:t>, influential</w:t>
      </w:r>
      <w:r w:rsidR="00BF441E">
        <w:t xml:space="preserve"> approach was the confidence profile method </w:t>
      </w:r>
      <w:r w:rsidR="00C90D2E">
        <w:fldChar w:fldCharType="begin"/>
      </w:r>
      <w:r w:rsidR="000D7FE7">
        <w:instrText xml:space="preserve"> ADDIN EN.CITE &lt;EndNote&gt;&lt;Cite&gt;&lt;Author&gt;Eddy&lt;/Author&gt;&lt;Year&gt;1989&lt;/Year&gt;&lt;RecNum&gt;4&lt;/RecNum&gt;&lt;DisplayText&gt;(9)&lt;/DisplayText&gt;&lt;record&gt;&lt;rec-number&gt;4&lt;/rec-number&gt;&lt;foreign-keys&gt;&lt;key app="EN" db-id="p5t2axawez5dr9efspu55tfv5tvdrewdrtxf" timestamp="1573634739"&gt;4&lt;/key&gt;&lt;/foreign-keys&gt;&lt;ref-type name="Journal Article"&gt;17&lt;/ref-type&gt;&lt;contributors&gt;&lt;authors&gt;&lt;author&gt;Eddy, David M&lt;/author&gt;&lt;/authors&gt;&lt;/contributors&gt;&lt;titles&gt;&lt;title&gt;The confidence profile method: a Bayesian method for assessing health technologies&lt;/title&gt;&lt;secondary-title&gt;Operations Research&lt;/secondary-title&gt;&lt;/titles&gt;&lt;periodical&gt;&lt;full-title&gt;Operations Research&lt;/full-title&gt;&lt;abbr-1&gt;Oper. Res.&lt;/abbr-1&gt;&lt;abbr-2&gt;Oper Res&lt;/abbr-2&gt;&lt;/periodical&gt;&lt;pages&gt;210-228&lt;/pages&gt;&lt;volume&gt;37&lt;/volume&gt;&lt;number&gt;2&lt;/number&gt;&lt;dates&gt;&lt;year&gt;1989&lt;/year&gt;&lt;/dates&gt;&lt;isbn&gt;0030-364X&lt;/isbn&gt;&lt;urls&gt;&lt;/urls&gt;&lt;/record&gt;&lt;/Cite&gt;&lt;/EndNote&gt;</w:instrText>
      </w:r>
      <w:r w:rsidR="00C90D2E">
        <w:fldChar w:fldCharType="separate"/>
      </w:r>
      <w:r w:rsidR="000D7FE7">
        <w:rPr>
          <w:noProof/>
        </w:rPr>
        <w:t>(9)</w:t>
      </w:r>
      <w:r w:rsidR="00C90D2E">
        <w:fldChar w:fldCharType="end"/>
      </w:r>
      <w:r w:rsidR="00BF441E">
        <w:t>, a direct application of Ba</w:t>
      </w:r>
      <w:r w:rsidR="007A30F8">
        <w:t>y</w:t>
      </w:r>
      <w:r w:rsidR="00BF441E">
        <w:t>esian modelling which emphasizes a case</w:t>
      </w:r>
      <w:r w:rsidR="000F1267">
        <w:t>-</w:t>
      </w:r>
      <w:r w:rsidR="00BF441E">
        <w:t xml:space="preserve">specific modelling approach. </w:t>
      </w:r>
      <w:r w:rsidR="000F1267">
        <w:t>M</w:t>
      </w:r>
      <w:r w:rsidR="00BF441E">
        <w:t>eta-analysis</w:t>
      </w:r>
      <w:r w:rsidR="000F1267">
        <w:t xml:space="preserve"> is popular </w:t>
      </w:r>
      <w:r w:rsidR="00C90D2E">
        <w:fldChar w:fldCharType="begin"/>
      </w:r>
      <w:r w:rsidR="000D7FE7">
        <w:instrText xml:space="preserve"> ADDIN EN.CITE &lt;EndNote&gt;&lt;Cite&gt;&lt;Author&gt;Prevost&lt;/Author&gt;&lt;Year&gt;2000&lt;/Year&gt;&lt;RecNum&gt;17&lt;/RecNum&gt;&lt;Prefix&gt;e.g. &lt;/Prefix&gt;&lt;DisplayText&gt;(e.g. 10, 11)&lt;/DisplayText&gt;&lt;record&gt;&lt;rec-number&gt;17&lt;/rec-number&gt;&lt;foreign-keys&gt;&lt;key app="EN" db-id="p5t2axawez5dr9efspu55tfv5tvdrewdrtxf" timestamp="1573635032"&gt;17&lt;/key&gt;&lt;/foreign-keys&gt;&lt;ref-type name="Journal Article"&gt;17&lt;/ref-type&gt;&lt;contributors&gt;&lt;authors&gt;&lt;author&gt;Prevost, Teresa C&lt;/author&gt;&lt;author&gt;Abrams, Keith R&lt;/author&gt;&lt;author&gt;Jones, David R&lt;/author&gt;&lt;/authors&gt;&lt;/contributors&gt;&lt;titles&gt;&lt;title&gt;Hierarchical models in generalized synthesis of evidence: an example based on studies of breast cancer screening&lt;/title&gt;&lt;secondary-title&gt;Statistics in medicine&lt;/secondary-title&gt;&lt;/titles&gt;&lt;periodical&gt;&lt;full-title&gt;Statistics in Medicine&lt;/full-title&gt;&lt;abbr-1&gt;Stat. Med.&lt;/abbr-1&gt;&lt;abbr-2&gt;Stat Med&lt;/abbr-2&gt;&lt;/periodical&gt;&lt;pages&gt;3359-3376&lt;/pages&gt;&lt;volume&gt;19&lt;/volume&gt;&lt;number&gt;24&lt;/number&gt;&lt;dates&gt;&lt;year&gt;2000&lt;/year&gt;&lt;/dates&gt;&lt;isbn&gt;0277-6715&lt;/isbn&gt;&lt;urls&gt;&lt;/urls&gt;&lt;/record&gt;&lt;/Cite&gt;&lt;Cite&gt;&lt;Author&gt;Larose&lt;/Author&gt;&lt;Year&gt;1997&lt;/Year&gt;&lt;RecNum&gt;8&lt;/RecNum&gt;&lt;record&gt;&lt;rec-number&gt;8&lt;/rec-number&gt;&lt;foreign-keys&gt;&lt;key app="EN" db-id="p5t2axawez5dr9efspu55tfv5tvdrewdrtxf" timestamp="1573634825"&gt;8&lt;/key&gt;&lt;/foreign-keys&gt;&lt;ref-type name="Journal Article"&gt;17&lt;/ref-type&gt;&lt;contributors&gt;&lt;authors&gt;&lt;author&gt;Larose, Daniel T&lt;/author&gt;&lt;author&gt;Dey, Dipak K&lt;/author&gt;&lt;/authors&gt;&lt;/contributors&gt;&lt;titles&gt;&lt;title&gt;Grouped random effects models for Bayesian meta‐analysis&lt;/title&gt;&lt;secondary-title&gt;Statistics in Medicine&lt;/secondary-title&gt;&lt;/titles&gt;&lt;periodical&gt;&lt;full-title&gt;Statistics in Medicine&lt;/full-title&gt;&lt;abbr-1&gt;Stat. Med.&lt;/abbr-1&gt;&lt;abbr-2&gt;Stat Med&lt;/abbr-2&gt;&lt;/periodical&gt;&lt;pages&gt;1817-1829&lt;/pages&gt;&lt;volume&gt;16&lt;/volume&gt;&lt;number&gt;16&lt;/number&gt;&lt;dates&gt;&lt;year&gt;1997&lt;/year&gt;&lt;/dates&gt;&lt;isbn&gt;0277-6715&lt;/isbn&gt;&lt;urls&gt;&lt;/urls&gt;&lt;/record&gt;&lt;/Cite&gt;&lt;/EndNote&gt;</w:instrText>
      </w:r>
      <w:r w:rsidR="00C90D2E">
        <w:fldChar w:fldCharType="separate"/>
      </w:r>
      <w:r w:rsidR="000D7FE7">
        <w:rPr>
          <w:noProof/>
        </w:rPr>
        <w:t>(e.g. 10, 11)</w:t>
      </w:r>
      <w:r w:rsidR="00C90D2E">
        <w:fldChar w:fldCharType="end"/>
      </w:r>
      <w:r w:rsidR="00BF441E">
        <w:t xml:space="preserve">; however, these methods tend to combine aggregate-level data only and require comparative data from both sources. </w:t>
      </w:r>
      <w:r w:rsidR="007A30F8">
        <w:t xml:space="preserve">Similarly using a Bayesian model to incorporate aggregate-level data from one source as an informative prior distribution when analysing the other </w:t>
      </w:r>
      <w:r w:rsidR="00C90D2E">
        <w:fldChar w:fldCharType="begin"/>
      </w:r>
      <w:r w:rsidR="000D7FE7">
        <w:instrText xml:space="preserve"> ADDIN EN.CITE &lt;EndNote&gt;&lt;Cite&gt;&lt;Author&gt;O&amp;apos;Rourke&lt;/Author&gt;&lt;Year&gt;2007&lt;/Year&gt;&lt;RecNum&gt;12&lt;/RecNum&gt;&lt;Prefix&gt;e.g. &lt;/Prefix&gt;&lt;DisplayText&gt;(e.g. 12, 13)&lt;/DisplayText&gt;&lt;record&gt;&lt;rec-number&gt;12&lt;/rec-number&gt;&lt;foreign-keys&gt;&lt;key app="EN" db-id="p5t2axawez5dr9efspu55tfv5tvdrewdrtxf" timestamp="1573634929"&gt;12&lt;/key&gt;&lt;/foreign-keys&gt;&lt;ref-type name="Journal Article"&gt;17&lt;/ref-type&gt;&lt;contributors&gt;&lt;authors&gt;&lt;author&gt;O&amp;apos;Rourke, Killian&lt;/author&gt;&lt;author&gt;Walsh, Cathal&lt;/author&gt;&lt;author&gt;Hutchinson, Michael&lt;/author&gt;&lt;/authors&gt;&lt;/contributors&gt;&lt;titles&gt;&lt;title&gt;Outcome of beta-interferon treatment in relapsing-remitting multiple sclerosis: a Bayesian analysis&lt;/title&gt;&lt;secondary-title&gt;Journal of neurology&lt;/secondary-title&gt;&lt;/titles&gt;&lt;periodical&gt;&lt;full-title&gt;Journal of Neurology&lt;/full-title&gt;&lt;abbr-1&gt;J. Neurol.&lt;/abbr-1&gt;&lt;abbr-2&gt;J Neurol&lt;/abbr-2&gt;&lt;/periodical&gt;&lt;pages&gt;1547-1554&lt;/pages&gt;&lt;volume&gt;254&lt;/volume&gt;&lt;number&gt;11&lt;/number&gt;&lt;dates&gt;&lt;year&gt;2007&lt;/year&gt;&lt;/dates&gt;&lt;isbn&gt;0340-5354&lt;/isbn&gt;&lt;urls&gt;&lt;/urls&gt;&lt;/record&gt;&lt;/Cite&gt;&lt;Cite&gt;&lt;Author&gt;Sutton&lt;/Author&gt;&lt;Year&gt;2001&lt;/Year&gt;&lt;RecNum&gt;23&lt;/RecNum&gt;&lt;record&gt;&lt;rec-number&gt;23&lt;/rec-number&gt;&lt;foreign-keys&gt;&lt;key app="EN" db-id="p5t2axawez5dr9efspu55tfv5tvdrewdrtxf" timestamp="1573635140"&gt;23&lt;/key&gt;&lt;/foreign-keys&gt;&lt;ref-type name="Journal Article"&gt;17&lt;/ref-type&gt;&lt;contributors&gt;&lt;authors&gt;&lt;author&gt;Sutton, Alex J&lt;/author&gt;&lt;author&gt;Abrams, Keith R&lt;/author&gt;&lt;/authors&gt;&lt;/contributors&gt;&lt;titles&gt;&lt;title&gt;Bayesian methods in meta-analysis and evidence synthesis&lt;/title&gt;&lt;secondary-title&gt;Statistical methods in medical research&lt;/secondary-title&gt;&lt;/titles&gt;&lt;periodical&gt;&lt;full-title&gt;Statistical Methods in Medical Research&lt;/full-title&gt;&lt;abbr-1&gt;Stat. Methods Med. Res.&lt;/abbr-1&gt;&lt;abbr-2&gt;Stat Methods Med Res&lt;/abbr-2&gt;&lt;/periodical&gt;&lt;pages&gt;277-303&lt;/pages&gt;&lt;volume&gt;10&lt;/volume&gt;&lt;number&gt;4&lt;/number&gt;&lt;dates&gt;&lt;year&gt;2001&lt;/year&gt;&lt;/dates&gt;&lt;isbn&gt;0962-2802&lt;/isbn&gt;&lt;urls&gt;&lt;/urls&gt;&lt;/record&gt;&lt;/Cite&gt;&lt;/EndNote&gt;</w:instrText>
      </w:r>
      <w:r w:rsidR="00C90D2E">
        <w:fldChar w:fldCharType="separate"/>
      </w:r>
      <w:r w:rsidR="000D7FE7">
        <w:rPr>
          <w:noProof/>
        </w:rPr>
        <w:t>(e.g. 12, 13)</w:t>
      </w:r>
      <w:r w:rsidR="00C90D2E">
        <w:fldChar w:fldCharType="end"/>
      </w:r>
      <w:r w:rsidR="007A30F8">
        <w:t xml:space="preserve"> also requires comparative data from both sources. </w:t>
      </w:r>
      <w:r w:rsidR="00BF441E">
        <w:t xml:space="preserve">Cross-design synthesis </w:t>
      </w:r>
      <w:r w:rsidR="00B964C5">
        <w:fldChar w:fldCharType="begin"/>
      </w:r>
      <w:r w:rsidR="000D7FE7">
        <w:instrText xml:space="preserve"> ADDIN EN.CITE &lt;EndNote&gt;&lt;Cite&gt;&lt;Author&gt;Droitcour&lt;/Author&gt;&lt;Year&gt;1993&lt;/Year&gt;&lt;RecNum&gt;2&lt;/RecNum&gt;&lt;DisplayText&gt;(14, 15)&lt;/DisplayText&gt;&lt;record&gt;&lt;rec-number&gt;2&lt;/rec-number&gt;&lt;foreign-keys&gt;&lt;key app="EN" db-id="p5t2axawez5dr9efspu55tfv5tvdrewdrtxf" timestamp="1573634703"&gt;2&lt;/key&gt;&lt;/foreign-keys&gt;&lt;ref-type name="Journal Article"&gt;17&lt;/ref-type&gt;&lt;contributors&gt;&lt;authors&gt;&lt;author&gt;Droitcour, Judith&lt;/author&gt;&lt;author&gt;Silberman, George&lt;/author&gt;&lt;author&gt;Chelimsky, Eleanor&lt;/author&gt;&lt;/authors&gt;&lt;/contributors&gt;&lt;titles&gt;&lt;title&gt;Cross-design synthesis: a new form of meta-analysis for combining results from randomized clinical trials and medical-practice databases&lt;/title&gt;&lt;secondary-title&gt;International Journal of Technology Assessment in Health Care&lt;/secondary-title&gt;&lt;/titles&gt;&lt;periodical&gt;&lt;full-title&gt;International Journal of Technology Assessment in Health Care&lt;/full-title&gt;&lt;abbr-1&gt;Int. J. Technol. Assess. Health Care&lt;/abbr-1&gt;&lt;abbr-2&gt;Int J Technol Assess Health Care&lt;/abbr-2&gt;&lt;/periodical&gt;&lt;pages&gt;440-449&lt;/pages&gt;&lt;volume&gt;9&lt;/volume&gt;&lt;number&gt;3&lt;/number&gt;&lt;dates&gt;&lt;year&gt;1993&lt;/year&gt;&lt;/dates&gt;&lt;isbn&gt;1471-6348&lt;/isbn&gt;&lt;urls&gt;&lt;/urls&gt;&lt;/record&gt;&lt;/Cite&gt;&lt;Cite&gt;&lt;Author&gt;Kaizar&lt;/Author&gt;&lt;Year&gt;2011&lt;/Year&gt;&lt;RecNum&gt;26&lt;/RecNum&gt;&lt;record&gt;&lt;rec-number&gt;26&lt;/rec-number&gt;&lt;foreign-keys&gt;&lt;key app="EN" db-id="p5t2axawez5dr9efspu55tfv5tvdrewdrtxf" timestamp="1573635837"&gt;26&lt;/key&gt;&lt;/foreign-keys&gt;&lt;ref-type name="Journal Article"&gt;17&lt;/ref-type&gt;&lt;contributors&gt;&lt;authors&gt;&lt;author&gt;Kaizar, Eloise E&lt;/author&gt;&lt;/authors&gt;&lt;/contributors&gt;&lt;titles&gt;&lt;title&gt;Estimating treatment effect via simple cross design synthesis&lt;/title&gt;&lt;secondary-title&gt;Statistics in Medicine&lt;/secondary-title&gt;&lt;/titles&gt;&lt;periodical&gt;&lt;full-title&gt;Statistics in Medicine&lt;/full-title&gt;&lt;abbr-1&gt;Stat. Med.&lt;/abbr-1&gt;&lt;abbr-2&gt;Stat Med&lt;/abbr-2&gt;&lt;/periodical&gt;&lt;pages&gt;2986-3009&lt;/pages&gt;&lt;volume&gt;30&lt;/volume&gt;&lt;number&gt;25&lt;/number&gt;&lt;dates&gt;&lt;year&gt;2011&lt;/year&gt;&lt;/dates&gt;&lt;isbn&gt;0277-6715&lt;/isbn&gt;&lt;urls&gt;&lt;/urls&gt;&lt;/record&gt;&lt;/Cite&gt;&lt;/EndNote&gt;</w:instrText>
      </w:r>
      <w:r w:rsidR="00B964C5">
        <w:fldChar w:fldCharType="separate"/>
      </w:r>
      <w:r w:rsidR="000D7FE7">
        <w:rPr>
          <w:noProof/>
        </w:rPr>
        <w:t>(14, 15)</w:t>
      </w:r>
      <w:r w:rsidR="00B964C5">
        <w:fldChar w:fldCharType="end"/>
      </w:r>
      <w:r w:rsidR="00BF441E">
        <w:t xml:space="preserve"> </w:t>
      </w:r>
      <w:r w:rsidR="007A30F8">
        <w:t>combines individual-level data from observational studies with aggregate-level data from RCTs</w:t>
      </w:r>
      <w:r w:rsidR="000F1267">
        <w:t xml:space="preserve">, and </w:t>
      </w:r>
      <w:r w:rsidR="007A30F8">
        <w:t xml:space="preserve">involves the adjustment of individual study results for biases, followed by the combination of results within and across designs. </w:t>
      </w:r>
      <w:r w:rsidR="007A437C">
        <w:t>The clinical applications of such methods have been limited</w:t>
      </w:r>
      <w:r w:rsidR="00E1381F">
        <w:t>, due to methodological complexity and individual</w:t>
      </w:r>
      <w:r w:rsidR="000F1267">
        <w:t>-</w:t>
      </w:r>
      <w:r w:rsidR="00E1381F">
        <w:t xml:space="preserve">level data </w:t>
      </w:r>
      <w:r w:rsidR="000F1267">
        <w:t>requirements</w:t>
      </w:r>
      <w:r w:rsidR="00795CF4">
        <w:t>.</w:t>
      </w:r>
      <w:r w:rsidR="007A437C">
        <w:t xml:space="preserve"> </w:t>
      </w:r>
      <w:r w:rsidR="00795CF4">
        <w:t>T</w:t>
      </w:r>
      <w:r w:rsidR="007A437C">
        <w:t>here is need for further research</w:t>
      </w:r>
      <w:r w:rsidR="00795CF4">
        <w:t xml:space="preserve"> in this area</w:t>
      </w:r>
      <w:r w:rsidR="007A437C">
        <w:t xml:space="preserve">, particularly </w:t>
      </w:r>
      <w:proofErr w:type="gramStart"/>
      <w:r w:rsidR="007A437C">
        <w:t>in regard to</w:t>
      </w:r>
      <w:proofErr w:type="gramEnd"/>
      <w:r w:rsidR="007A437C">
        <w:t xml:space="preserve"> methods that use EMR data </w:t>
      </w:r>
      <w:r w:rsidR="00795CF4">
        <w:t xml:space="preserve">which </w:t>
      </w:r>
      <w:r w:rsidR="00DF77D1">
        <w:t>is</w:t>
      </w:r>
      <w:r w:rsidR="00795CF4">
        <w:t xml:space="preserve"> </w:t>
      </w:r>
      <w:r w:rsidR="007A437C">
        <w:t>a growing source of</w:t>
      </w:r>
      <w:r w:rsidR="00BF441E">
        <w:t xml:space="preserve"> information. Many of the existing methods depend on having comparative data from an observational study rather than cohort data from an EMR. </w:t>
      </w:r>
    </w:p>
    <w:p w14:paraId="14CD5CB5" w14:textId="7ACCA964" w:rsidR="00474F2B" w:rsidRPr="00474F2B" w:rsidRDefault="00474F2B" w:rsidP="00DF77D1">
      <w:pPr>
        <w:spacing w:line="480" w:lineRule="auto"/>
        <w:jc w:val="both"/>
      </w:pPr>
      <w:r>
        <w:t xml:space="preserve">In this paper, we propose a novel </w:t>
      </w:r>
      <w:r w:rsidR="00405485">
        <w:t xml:space="preserve">methodology </w:t>
      </w:r>
      <w:r w:rsidR="00DC1D9A">
        <w:t xml:space="preserve">for </w:t>
      </w:r>
      <w:r>
        <w:t xml:space="preserve">combined modelling that provides an estimator of treatment effectiveness which overcomes both the lack of </w:t>
      </w:r>
      <w:r w:rsidR="00FF7207">
        <w:t>an adequate control</w:t>
      </w:r>
      <w:r w:rsidR="004A0870">
        <w:t xml:space="preserve"> group</w:t>
      </w:r>
      <w:r>
        <w:t xml:space="preserve"> </w:t>
      </w:r>
      <w:r w:rsidR="000F1267">
        <w:t>in</w:t>
      </w:r>
      <w:r>
        <w:t xml:space="preserve"> </w:t>
      </w:r>
      <w:r w:rsidR="00C5457A">
        <w:t>EMR</w:t>
      </w:r>
      <w:r>
        <w:t xml:space="preserve"> data and </w:t>
      </w:r>
      <w:r>
        <w:lastRenderedPageBreak/>
        <w:t xml:space="preserve">the lack of </w:t>
      </w:r>
      <w:r w:rsidR="004A0870">
        <w:t>generalisability</w:t>
      </w:r>
      <w:r>
        <w:t xml:space="preserve"> </w:t>
      </w:r>
      <w:r w:rsidR="000F1267">
        <w:t>in</w:t>
      </w:r>
      <w:r>
        <w:t xml:space="preserve"> </w:t>
      </w:r>
      <w:r w:rsidR="00C5457A">
        <w:t>RCT</w:t>
      </w:r>
      <w:r>
        <w:t xml:space="preserve"> data. </w:t>
      </w:r>
      <w:r w:rsidR="00776C46">
        <w:t>A Bayesian approach combine</w:t>
      </w:r>
      <w:r w:rsidR="000F1267">
        <w:t>s</w:t>
      </w:r>
      <w:r w:rsidR="00776C46">
        <w:t xml:space="preserve"> these data sources incorporating RCT estimates as part of an informative prior distribution.</w:t>
      </w:r>
      <w:r w:rsidR="00081CF4">
        <w:t xml:space="preserve"> </w:t>
      </w:r>
    </w:p>
    <w:p w14:paraId="138A1949" w14:textId="63FD5AF5" w:rsidR="00DE05F3" w:rsidRPr="00DF77D1" w:rsidRDefault="00474F2B" w:rsidP="00DF77D1">
      <w:pPr>
        <w:spacing w:line="480" w:lineRule="auto"/>
        <w:jc w:val="both"/>
        <w:rPr>
          <w:rFonts w:cstheme="minorHAnsi"/>
        </w:rPr>
      </w:pPr>
      <w:r>
        <w:t>The motivating clinical question for this work is the estimation of the effectiveness of acetylcholinesterase inhibitors (</w:t>
      </w:r>
      <w:proofErr w:type="spellStart"/>
      <w:r>
        <w:t>AChEIs</w:t>
      </w:r>
      <w:proofErr w:type="spellEnd"/>
      <w:r>
        <w:t>) in managing the cognitive symptoms of dementia. Dementia is a major health concern</w:t>
      </w:r>
      <w:r w:rsidR="00DE05F3">
        <w:t>, affecting</w:t>
      </w:r>
      <w:r>
        <w:t xml:space="preserve"> 47 million sufferers in 2016</w:t>
      </w:r>
      <w:r w:rsidR="00DE05F3">
        <w:t>,</w:t>
      </w:r>
      <w:r>
        <w:t xml:space="preserve"> predicted to rise to 131 million by 2050 </w:t>
      </w:r>
      <w:r w:rsidR="00B964C5">
        <w:fldChar w:fldCharType="begin"/>
      </w:r>
      <w:r w:rsidR="000D7FE7">
        <w:instrText xml:space="preserve"> ADDIN EN.CITE &lt;EndNote&gt;&lt;Cite&gt;&lt;Author&gt;Prince&lt;/Author&gt;&lt;Year&gt;2016&lt;/Year&gt;&lt;RecNum&gt;18&lt;/RecNum&gt;&lt;DisplayText&gt;(16)&lt;/DisplayText&gt;&lt;record&gt;&lt;rec-number&gt;18&lt;/rec-number&gt;&lt;foreign-keys&gt;&lt;key app="EN" db-id="p5t2axawez5dr9efspu55tfv5tvdrewdrtxf" timestamp="1573635045"&gt;18&lt;/key&gt;&lt;/foreign-keys&gt;&lt;ref-type name="Journal Article"&gt;17&lt;/ref-type&gt;&lt;contributors&gt;&lt;authors&gt;&lt;author&gt;Prince, Martin&lt;/author&gt;&lt;author&gt;Comas-Herrera, Adelina&lt;/author&gt;&lt;author&gt;Knapp, Martin&lt;/author&gt;&lt;author&gt;Guerchet, Maëlenn&lt;/author&gt;&lt;author&gt;Karagiannidou, Maria&lt;/author&gt;&lt;/authors&gt;&lt;/contributors&gt;&lt;titles&gt;&lt;title&gt;World Alzheimer report 2016: improving healthcare for people living with dementia: coverage, quality and costs now and in the future&lt;/title&gt;&lt;/titles&gt;&lt;dates&gt;&lt;year&gt;2016&lt;/year&gt;&lt;/dates&gt;&lt;urls&gt;&lt;/urls&gt;&lt;/record&gt;&lt;/Cite&gt;&lt;/EndNote&gt;</w:instrText>
      </w:r>
      <w:r w:rsidR="00B964C5">
        <w:fldChar w:fldCharType="separate"/>
      </w:r>
      <w:r w:rsidR="000D7FE7">
        <w:rPr>
          <w:noProof/>
        </w:rPr>
        <w:t>(16)</w:t>
      </w:r>
      <w:r w:rsidR="00B964C5">
        <w:fldChar w:fldCharType="end"/>
      </w:r>
      <w:r>
        <w:t xml:space="preserve">. </w:t>
      </w:r>
      <w:r w:rsidR="008E6B34">
        <w:t xml:space="preserve">There is currently no cure for most forms of dementia; however, </w:t>
      </w:r>
      <w:proofErr w:type="spellStart"/>
      <w:r w:rsidR="008E6B34">
        <w:t>AChEIs</w:t>
      </w:r>
      <w:proofErr w:type="spellEnd"/>
      <w:r w:rsidR="008E6B34">
        <w:t xml:space="preserve"> are often prescribed to manage cognitive symptoms </w:t>
      </w:r>
      <w:r w:rsidR="00B964C5">
        <w:fldChar w:fldCharType="begin"/>
      </w:r>
      <w:r w:rsidR="000D7FE7">
        <w:instrText xml:space="preserve"> ADDIN EN.CITE &lt;EndNote&gt;&lt;Cite&gt;&lt;Author&gt;Terry&lt;/Author&gt;&lt;Year&gt;2003&lt;/Year&gt;&lt;RecNum&gt;24&lt;/RecNum&gt;&lt;DisplayText&gt;(17)&lt;/DisplayText&gt;&lt;record&gt;&lt;rec-number&gt;24&lt;/rec-number&gt;&lt;foreign-keys&gt;&lt;key app="EN" db-id="p5t2axawez5dr9efspu55tfv5tvdrewdrtxf" timestamp="1573635154"&gt;24&lt;/key&gt;&lt;/foreign-keys&gt;&lt;ref-type name="Journal Article"&gt;17&lt;/ref-type&gt;&lt;contributors&gt;&lt;authors&gt;&lt;author&gt;Terry, Alvin V&lt;/author&gt;&lt;author&gt;Buccafusco, Jerry J&lt;/author&gt;&lt;/authors&gt;&lt;/contributors&gt;&lt;titles&gt;&lt;title&gt;The cholinergic hypothesis of age and Alzheimer&amp;apos;s disease-related cognitive deficits: recent challenges and their implications for novel drug development&lt;/title&gt;&lt;secondary-title&gt;Journal of Pharmacology and Experimental Therapeutics&lt;/secondary-title&gt;&lt;/titles&gt;&lt;periodical&gt;&lt;full-title&gt;Journal of Pharmacology and Experimental Therapeutics&lt;/full-title&gt;&lt;abbr-1&gt;J. Pharmacol. Exp. Ther.&lt;/abbr-1&gt;&lt;abbr-2&gt;J Pharmacol Exp Ther&lt;/abbr-2&gt;&lt;/periodical&gt;&lt;pages&gt;821-827&lt;/pages&gt;&lt;volume&gt;306&lt;/volume&gt;&lt;number&gt;3&lt;/number&gt;&lt;dates&gt;&lt;year&gt;2003&lt;/year&gt;&lt;/dates&gt;&lt;isbn&gt;0022-3565&lt;/isbn&gt;&lt;urls&gt;&lt;/urls&gt;&lt;/record&gt;&lt;/Cite&gt;&lt;/EndNote&gt;</w:instrText>
      </w:r>
      <w:r w:rsidR="00B964C5">
        <w:fldChar w:fldCharType="separate"/>
      </w:r>
      <w:r w:rsidR="000D7FE7">
        <w:rPr>
          <w:noProof/>
        </w:rPr>
        <w:t>(17)</w:t>
      </w:r>
      <w:r w:rsidR="00B964C5">
        <w:fldChar w:fldCharType="end"/>
      </w:r>
      <w:r w:rsidR="008E6B34">
        <w:t xml:space="preserve">. These drugs have been prescribed in routine clinical practice for several years, and one source of </w:t>
      </w:r>
      <w:r w:rsidR="00DE05F3">
        <w:t xml:space="preserve">pseudonymised </w:t>
      </w:r>
      <w:r w:rsidR="008E6B34">
        <w:t>data on their use is the South London and Maudsley (</w:t>
      </w:r>
      <w:proofErr w:type="spellStart"/>
      <w:r w:rsidR="008E6B34">
        <w:t>SLaM</w:t>
      </w:r>
      <w:proofErr w:type="spellEnd"/>
      <w:r w:rsidR="008E6B34">
        <w:t xml:space="preserve">) Biomedical Research Centre (BRC) case register </w:t>
      </w:r>
      <w:r w:rsidR="00B964C5">
        <w:fldChar w:fldCharType="begin"/>
      </w:r>
      <w:r w:rsidR="000D7FE7">
        <w:instrText xml:space="preserve"> ADDIN EN.CITE &lt;EndNote&gt;&lt;Cite&gt;&lt;Author&gt;Perera&lt;/Author&gt;&lt;Year&gt;2016&lt;/Year&gt;&lt;RecNum&gt;15&lt;/RecNum&gt;&lt;DisplayText&gt;(18)&lt;/DisplayText&gt;&lt;record&gt;&lt;rec-number&gt;15&lt;/rec-number&gt;&lt;foreign-keys&gt;&lt;key app="EN" db-id="p5t2axawez5dr9efspu55tfv5tvdrewdrtxf" timestamp="1573634997"&gt;15&lt;/key&gt;&lt;/foreign-keys&gt;&lt;ref-type name="Journal Article"&gt;17&lt;/ref-type&gt;&lt;contributors&gt;&lt;authors&gt;&lt;author&gt;Perera, Gayan&lt;/author&gt;&lt;author&gt;Broadbent, Matthew&lt;/author&gt;&lt;author&gt;Callard, Felicity&lt;/author&gt;&lt;author&gt;Chang, Chin-Kuo&lt;/author&gt;&lt;author&gt;Downs, Johnny&lt;/author&gt;&lt;author&gt;Dutta, Rina&lt;/author&gt;&lt;author&gt;Fernandes, Andrea&lt;/author&gt;&lt;author&gt;Hayes, Richard D&lt;/author&gt;&lt;author&gt;Henderson, Max&lt;/author&gt;&lt;author&gt;Jackson, Richard&lt;/author&gt;&lt;/authors&gt;&lt;/contributors&gt;&lt;titles&gt;&lt;title&gt;Cohort profile of the South London and Maudsley NHS Foundation Trust Biomedical Research Centre (SLaM BRC) case register: current status and recent enhancement of an electronic mental health record-derived data resource&lt;/title&gt;&lt;secondary-title&gt;BMJ open&lt;/secondary-title&gt;&lt;/titles&gt;&lt;periodical&gt;&lt;full-title&gt;BMJ open&lt;/full-title&gt;&lt;/periodical&gt;&lt;pages&gt;e008721&lt;/pages&gt;&lt;volume&gt;6&lt;/volume&gt;&lt;number&gt;3&lt;/number&gt;&lt;dates&gt;&lt;year&gt;2016&lt;/year&gt;&lt;/dates&gt;&lt;isbn&gt;2044-6055&lt;/isbn&gt;&lt;urls&gt;&lt;/urls&gt;&lt;/record&gt;&lt;/Cite&gt;&lt;/EndNote&gt;</w:instrText>
      </w:r>
      <w:r w:rsidR="00B964C5">
        <w:fldChar w:fldCharType="separate"/>
      </w:r>
      <w:r w:rsidR="000D7FE7">
        <w:rPr>
          <w:noProof/>
        </w:rPr>
        <w:t>(18)</w:t>
      </w:r>
      <w:r w:rsidR="00B964C5">
        <w:fldChar w:fldCharType="end"/>
      </w:r>
      <w:r w:rsidR="008E6B34">
        <w:t>. This EMR</w:t>
      </w:r>
      <w:r w:rsidR="00DE05F3">
        <w:t xml:space="preserve"> has been used to</w:t>
      </w:r>
      <w:r w:rsidR="008E6B34">
        <w:t xml:space="preserve"> provide follow-up on a treated cohort of patients with a wide variety of comorbidities who receive a range of concurrent medications </w:t>
      </w:r>
      <w:r w:rsidR="00B964C5">
        <w:fldChar w:fldCharType="begin"/>
      </w:r>
      <w:r w:rsidR="000D7FE7">
        <w:instrText xml:space="preserve"> ADDIN EN.CITE &lt;EndNote&gt;&lt;Cite&gt;&lt;Author&gt;Perera&lt;/Author&gt;&lt;Year&gt;2013&lt;/Year&gt;&lt;RecNum&gt;14&lt;/RecNum&gt;&lt;DisplayText&gt;(19)&lt;/DisplayText&gt;&lt;record&gt;&lt;rec-number&gt;14&lt;/rec-number&gt;&lt;foreign-keys&gt;&lt;key app="EN" db-id="p5t2axawez5dr9efspu55tfv5tvdrewdrtxf" timestamp="1573634973"&gt;14&lt;/key&gt;&lt;/foreign-keys&gt;&lt;ref-type name="Thesis"&gt;32&lt;/ref-type&gt;&lt;contributors&gt;&lt;authors&gt;&lt;author&gt;Perera, Gayan&lt;/author&gt;&lt;/authors&gt;&lt;/contributors&gt;&lt;titles&gt;&lt;title&gt;Predictors of response to acetylcholinesterase inhibitors: an observational case register-based cohort study&lt;/title&gt;&lt;/titles&gt;&lt;dates&gt;&lt;year&gt;2013&lt;/year&gt;&lt;/dates&gt;&lt;publisher&gt;King&amp;apos;s College London (University of London)&lt;/publisher&gt;&lt;urls&gt;&lt;/urls&gt;&lt;/record&gt;&lt;/Cite&gt;&lt;/EndNote&gt;</w:instrText>
      </w:r>
      <w:r w:rsidR="00B964C5">
        <w:fldChar w:fldCharType="separate"/>
      </w:r>
      <w:r w:rsidR="000D7FE7">
        <w:rPr>
          <w:noProof/>
        </w:rPr>
        <w:t>(19)</w:t>
      </w:r>
      <w:r w:rsidR="00B964C5">
        <w:fldChar w:fldCharType="end"/>
      </w:r>
      <w:r w:rsidR="008E6B34">
        <w:t xml:space="preserve">. </w:t>
      </w:r>
      <w:r w:rsidR="00776C46">
        <w:t xml:space="preserve">The </w:t>
      </w:r>
      <w:r w:rsidR="00DE05F3">
        <w:t xml:space="preserve">most commonly applied </w:t>
      </w:r>
      <w:r w:rsidR="00776C46">
        <w:t xml:space="preserve">measure of cognition used in </w:t>
      </w:r>
      <w:r w:rsidR="00DE05F3">
        <w:t>routine dementia assessment and care</w:t>
      </w:r>
      <w:r w:rsidR="00776C46">
        <w:t xml:space="preserve"> is the </w:t>
      </w:r>
      <w:r w:rsidR="00DE05F3">
        <w:t>M</w:t>
      </w:r>
      <w:r w:rsidR="00776C46">
        <w:t>ini</w:t>
      </w:r>
      <w:r w:rsidR="00B964C5">
        <w:t>-</w:t>
      </w:r>
      <w:r w:rsidR="00DE05F3">
        <w:t>M</w:t>
      </w:r>
      <w:r w:rsidR="00B964C5">
        <w:t xml:space="preserve">ental </w:t>
      </w:r>
      <w:r w:rsidR="00DE05F3">
        <w:t>S</w:t>
      </w:r>
      <w:r w:rsidR="00B964C5">
        <w:t xml:space="preserve">tate </w:t>
      </w:r>
      <w:r w:rsidR="00DE05F3">
        <w:t>E</w:t>
      </w:r>
      <w:r w:rsidR="00B964C5">
        <w:t xml:space="preserve">xamination (MMSE </w:t>
      </w:r>
      <w:r w:rsidR="00B964C5">
        <w:fldChar w:fldCharType="begin"/>
      </w:r>
      <w:r w:rsidR="000D7FE7">
        <w:instrText xml:space="preserve"> ADDIN EN.CITE &lt;EndNote&gt;&lt;Cite&gt;&lt;Author&gt;Folstein&lt;/Author&gt;&lt;Year&gt;1975&lt;/Year&gt;&lt;RecNum&gt;11&lt;/RecNum&gt;&lt;DisplayText&gt;(20)&lt;/DisplayText&gt;&lt;record&gt;&lt;rec-number&gt;11&lt;/rec-number&gt;&lt;foreign-keys&gt;&lt;key app="EN" db-id="p5t2axawez5dr9efspu55tfv5tvdrewdrtxf" timestamp="1573634927"&gt;11&lt;/key&gt;&lt;/foreign-keys&gt;&lt;ref-type name="Journal Article"&gt;17&lt;/ref-type&gt;&lt;contributors&gt;&lt;authors&gt;&lt;author&gt;Folstein, Marshal F&lt;/author&gt;&lt;author&gt;Folstein, Susan E&lt;/author&gt;&lt;author&gt;McHugh, Paul R&lt;/author&gt;&lt;/authors&gt;&lt;/contributors&gt;&lt;titles&gt;&lt;title&gt;“Mini-mental state”: a practical method for grading the cognitive state of patients for the clinician&lt;/title&gt;&lt;secondary-title&gt;Journal of psychiatric research&lt;/secondary-title&gt;&lt;/titles&gt;&lt;periodical&gt;&lt;full-title&gt;Journal of Psychiatric Research&lt;/full-title&gt;&lt;abbr-1&gt;J. Psychiatr. Res.&lt;/abbr-1&gt;&lt;abbr-2&gt;J Psychiatr Res&lt;/abbr-2&gt;&lt;/periodical&gt;&lt;pages&gt;189-198&lt;/pages&gt;&lt;volume&gt;12&lt;/volume&gt;&lt;number&gt;3&lt;/number&gt;&lt;dates&gt;&lt;year&gt;1975&lt;/year&gt;&lt;/dates&gt;&lt;isbn&gt;0022-3956&lt;/isbn&gt;&lt;urls&gt;&lt;/urls&gt;&lt;/record&gt;&lt;/Cite&gt;&lt;/EndNote&gt;</w:instrText>
      </w:r>
      <w:r w:rsidR="00B964C5">
        <w:fldChar w:fldCharType="separate"/>
      </w:r>
      <w:r w:rsidR="000D7FE7">
        <w:rPr>
          <w:noProof/>
        </w:rPr>
        <w:t>(20)</w:t>
      </w:r>
      <w:r w:rsidR="00B964C5">
        <w:fldChar w:fldCharType="end"/>
      </w:r>
      <w:r w:rsidR="00776C46">
        <w:t xml:space="preserve">) </w:t>
      </w:r>
      <w:r w:rsidR="00DE05F3">
        <w:t>generating</w:t>
      </w:r>
      <w:r w:rsidR="00386847">
        <w:t xml:space="preserve"> scores rang</w:t>
      </w:r>
      <w:r w:rsidR="00DE05F3">
        <w:t>ing</w:t>
      </w:r>
      <w:r w:rsidR="00386847">
        <w:t xml:space="preserve"> from 0 to 30 with higher scores indicating better cognition. </w:t>
      </w:r>
      <w:bookmarkStart w:id="2" w:name="_Hlk106371329"/>
      <w:r w:rsidR="009C7F2B">
        <w:t>There can be situations where a patient is not able to complete all items of the MMSE for reasons unrelated to their cognition (e.g., vision impairment, mobility restrictions etc.</w:t>
      </w:r>
      <w:r w:rsidR="00AD0D8E">
        <w:t xml:space="preserve">). In this case the score may be expressed as being out of a different total (e.g., 24/29). In the remainder of </w:t>
      </w:r>
      <w:r w:rsidR="00340EA3">
        <w:t xml:space="preserve">this </w:t>
      </w:r>
      <w:proofErr w:type="gramStart"/>
      <w:r w:rsidR="00AD0D8E">
        <w:t>paper</w:t>
      </w:r>
      <w:proofErr w:type="gramEnd"/>
      <w:r w:rsidR="00AD0D8E">
        <w:t xml:space="preserve"> we will refer to the number of questions asked of a patient as the denominator and the number answered correctly as the numerator.</w:t>
      </w:r>
      <w:r w:rsidR="009C7F2B">
        <w:t xml:space="preserve"> </w:t>
      </w:r>
      <w:bookmarkEnd w:id="2"/>
      <w:r w:rsidR="00776C46">
        <w:t>T</w:t>
      </w:r>
      <w:r w:rsidR="008E6B34">
        <w:t xml:space="preserve">he effects of </w:t>
      </w:r>
      <w:proofErr w:type="spellStart"/>
      <w:r w:rsidR="008E6B34">
        <w:t>AChEIs</w:t>
      </w:r>
      <w:proofErr w:type="spellEnd"/>
      <w:r w:rsidR="008E6B34">
        <w:t xml:space="preserve"> have </w:t>
      </w:r>
      <w:r w:rsidR="00776C46">
        <w:t xml:space="preserve">also </w:t>
      </w:r>
      <w:r w:rsidR="008E6B34">
        <w:t xml:space="preserve">been investigated in a large number of RCTs and we recently conducted a systematic review and meta-analysis of this data </w:t>
      </w:r>
      <w:r w:rsidR="00B964C5">
        <w:fldChar w:fldCharType="begin"/>
      </w:r>
      <w:r w:rsidR="000D7FE7">
        <w:instrText xml:space="preserve"> ADDIN EN.CITE &lt;EndNote&gt;&lt;Cite&gt;&lt;Author&gt;Knight&lt;/Author&gt;&lt;Year&gt;2018&lt;/Year&gt;&lt;RecNum&gt;7&lt;/RecNum&gt;&lt;DisplayText&gt;(21)&lt;/DisplayText&gt;&lt;record&gt;&lt;rec-number&gt;7&lt;/rec-number&gt;&lt;foreign-keys&gt;&lt;key app="EN" db-id="p5t2axawez5dr9efspu55tfv5tvdrewdrtxf" timestamp="1573634802"&gt;7&lt;/key&gt;&lt;/foreign-keys&gt;&lt;ref-type name="Journal Article"&gt;17&lt;/ref-type&gt;&lt;contributors&gt;&lt;authors&gt;&lt;author&gt;Knight, Ruth&lt;/author&gt;&lt;author&gt;Khondoker, Mizanur&lt;/author&gt;&lt;author&gt;Magill, Nicholas&lt;/author&gt;&lt;author&gt;Stewart, Robert&lt;/author&gt;&lt;author&gt;Landau, Sabine&lt;/author&gt;&lt;/authors&gt;&lt;/contributors&gt;&lt;titles&gt;&lt;title&gt;A systematic review and meta-analysis of the effectiveness of acetylcholinesterase inhibitors and memantine in treating the cognitive symptoms of dementia&lt;/title&gt;&lt;secondary-title&gt;Dementia and geriatric cognitive disorders&lt;/secondary-title&gt;&lt;/titles&gt;&lt;periodical&gt;&lt;full-title&gt;Dementia and Geriatric Cognitive Disorders&lt;/full-title&gt;&lt;abbr-1&gt;Dement. Geriatr. Cogn. Disord.&lt;/abbr-1&gt;&lt;abbr-2&gt;Dement Geriatr Cogn Disord&lt;/abbr-2&gt;&lt;abbr-3&gt;Dementia &amp;amp; Geriatric Cognitive Disorders&lt;/abbr-3&gt;&lt;/periodical&gt;&lt;pages&gt;131-151&lt;/pages&gt;&lt;volume&gt;45&lt;/volume&gt;&lt;number&gt;3-4&lt;/number&gt;&lt;dates&gt;&lt;year&gt;2018&lt;/year&gt;&lt;/dates&gt;&lt;isbn&gt;1420-8008&lt;/isbn&gt;&lt;urls&gt;&lt;/urls&gt;&lt;/record&gt;&lt;/Cite&gt;&lt;/EndNote&gt;</w:instrText>
      </w:r>
      <w:r w:rsidR="00B964C5">
        <w:fldChar w:fldCharType="separate"/>
      </w:r>
      <w:r w:rsidR="000D7FE7">
        <w:rPr>
          <w:noProof/>
        </w:rPr>
        <w:t>(21)</w:t>
      </w:r>
      <w:r w:rsidR="00B964C5">
        <w:fldChar w:fldCharType="end"/>
      </w:r>
      <w:r w:rsidR="008E6B34">
        <w:t xml:space="preserve">. Synthesis of both sources of </w:t>
      </w:r>
      <w:r w:rsidR="008E6B34" w:rsidRPr="00B52585">
        <w:rPr>
          <w:rFonts w:cstheme="minorHAnsi"/>
        </w:rPr>
        <w:t>evidence offers the promise of a better estimate of the effectiveness of these treatments in routine clinical practice.</w:t>
      </w:r>
      <w:r w:rsidR="00776C46" w:rsidRPr="00B52585">
        <w:rPr>
          <w:rFonts w:cstheme="minorHAnsi"/>
        </w:rPr>
        <w:t xml:space="preserve"> </w:t>
      </w:r>
    </w:p>
    <w:p w14:paraId="2569AF82" w14:textId="063B4ECC" w:rsidR="00B52585" w:rsidRPr="00B52585" w:rsidRDefault="00824A3A" w:rsidP="00DF77D1">
      <w:pPr>
        <w:spacing w:line="480" w:lineRule="auto"/>
        <w:rPr>
          <w:rFonts w:cstheme="minorHAnsi"/>
          <w:b/>
        </w:rPr>
      </w:pPr>
      <w:r w:rsidRPr="00B52585">
        <w:rPr>
          <w:rFonts w:cstheme="minorHAnsi"/>
          <w:b/>
        </w:rPr>
        <w:t>Methods</w:t>
      </w:r>
    </w:p>
    <w:p w14:paraId="42902A77" w14:textId="7A21FB7A" w:rsidR="00B52585" w:rsidRPr="00B52585" w:rsidRDefault="00B52585" w:rsidP="00DF77D1">
      <w:pPr>
        <w:spacing w:line="480" w:lineRule="auto"/>
        <w:rPr>
          <w:rFonts w:cstheme="minorHAnsi"/>
          <w:b/>
          <w:i/>
          <w:iCs/>
        </w:rPr>
      </w:pPr>
      <w:r w:rsidRPr="00B52585">
        <w:rPr>
          <w:rFonts w:cstheme="minorHAnsi"/>
          <w:b/>
          <w:i/>
          <w:iCs/>
        </w:rPr>
        <w:t>Description of data</w:t>
      </w:r>
    </w:p>
    <w:p w14:paraId="09B8A45B" w14:textId="25C6F235" w:rsidR="00B52585" w:rsidRPr="00B52585" w:rsidRDefault="00B52585" w:rsidP="00DF77D1">
      <w:pPr>
        <w:pStyle w:val="NormalWeb"/>
        <w:spacing w:after="160" w:afterAutospacing="0" w:line="480" w:lineRule="auto"/>
        <w:jc w:val="both"/>
        <w:rPr>
          <w:rFonts w:asciiTheme="minorHAnsi" w:hAnsiTheme="minorHAnsi" w:cstheme="minorHAnsi"/>
          <w:sz w:val="22"/>
          <w:szCs w:val="22"/>
        </w:rPr>
      </w:pPr>
      <w:r w:rsidRPr="00B52585">
        <w:rPr>
          <w:rFonts w:asciiTheme="minorHAnsi" w:hAnsiTheme="minorHAnsi" w:cstheme="minorHAnsi"/>
          <w:bCs/>
          <w:sz w:val="22"/>
          <w:szCs w:val="22"/>
        </w:rPr>
        <w:t xml:space="preserve">The treated cohort used in this study was extracted from the </w:t>
      </w:r>
      <w:proofErr w:type="spellStart"/>
      <w:r w:rsidRPr="00B52585">
        <w:rPr>
          <w:rFonts w:asciiTheme="minorHAnsi" w:hAnsiTheme="minorHAnsi" w:cstheme="minorHAnsi"/>
          <w:bCs/>
          <w:sz w:val="22"/>
          <w:szCs w:val="22"/>
        </w:rPr>
        <w:t>SLaM</w:t>
      </w:r>
      <w:proofErr w:type="spellEnd"/>
      <w:r w:rsidRPr="00B52585">
        <w:rPr>
          <w:rFonts w:asciiTheme="minorHAnsi" w:hAnsiTheme="minorHAnsi" w:cstheme="minorHAnsi"/>
          <w:bCs/>
          <w:sz w:val="22"/>
          <w:szCs w:val="22"/>
        </w:rPr>
        <w:t xml:space="preserve"> BRC case register. </w:t>
      </w:r>
      <w:r w:rsidR="00386847">
        <w:rPr>
          <w:rFonts w:asciiTheme="minorHAnsi" w:hAnsiTheme="minorHAnsi" w:cstheme="minorHAnsi"/>
          <w:bCs/>
          <w:sz w:val="22"/>
          <w:szCs w:val="22"/>
        </w:rPr>
        <w:t>P</w:t>
      </w:r>
      <w:r w:rsidR="00C5457A">
        <w:rPr>
          <w:rFonts w:asciiTheme="minorHAnsi" w:hAnsiTheme="minorHAnsi" w:cstheme="minorHAnsi"/>
          <w:bCs/>
          <w:sz w:val="22"/>
          <w:szCs w:val="22"/>
        </w:rPr>
        <w:t>a</w:t>
      </w:r>
      <w:r w:rsidR="00386847">
        <w:rPr>
          <w:rFonts w:asciiTheme="minorHAnsi" w:hAnsiTheme="minorHAnsi" w:cstheme="minorHAnsi"/>
          <w:bCs/>
          <w:sz w:val="22"/>
          <w:szCs w:val="22"/>
        </w:rPr>
        <w:t>tients</w:t>
      </w:r>
      <w:r w:rsidRPr="00B52585">
        <w:rPr>
          <w:rFonts w:asciiTheme="minorHAnsi" w:hAnsiTheme="minorHAnsi" w:cstheme="minorHAnsi"/>
          <w:bCs/>
          <w:sz w:val="22"/>
          <w:szCs w:val="22"/>
        </w:rPr>
        <w:t xml:space="preserve"> were included in the cohort if: (</w:t>
      </w:r>
      <w:proofErr w:type="spellStart"/>
      <w:r w:rsidRPr="00B52585">
        <w:rPr>
          <w:rFonts w:asciiTheme="minorHAnsi" w:hAnsiTheme="minorHAnsi" w:cstheme="minorHAnsi"/>
          <w:bCs/>
          <w:sz w:val="22"/>
          <w:szCs w:val="22"/>
        </w:rPr>
        <w:t>i</w:t>
      </w:r>
      <w:proofErr w:type="spellEnd"/>
      <w:r w:rsidRPr="00B52585">
        <w:rPr>
          <w:rFonts w:asciiTheme="minorHAnsi" w:hAnsiTheme="minorHAnsi" w:cstheme="minorHAnsi"/>
          <w:bCs/>
          <w:sz w:val="22"/>
          <w:szCs w:val="22"/>
        </w:rPr>
        <w:t xml:space="preserve">) they had at least one </w:t>
      </w:r>
      <w:r w:rsidR="0040649A">
        <w:rPr>
          <w:rFonts w:asciiTheme="minorHAnsi" w:hAnsiTheme="minorHAnsi" w:cstheme="minorHAnsi"/>
          <w:bCs/>
          <w:sz w:val="22"/>
          <w:szCs w:val="22"/>
        </w:rPr>
        <w:t>mention</w:t>
      </w:r>
      <w:r w:rsidR="0040649A" w:rsidRPr="00B52585">
        <w:rPr>
          <w:rFonts w:asciiTheme="minorHAnsi" w:hAnsiTheme="minorHAnsi" w:cstheme="minorHAnsi"/>
          <w:bCs/>
          <w:sz w:val="22"/>
          <w:szCs w:val="22"/>
        </w:rPr>
        <w:t xml:space="preserve"> </w:t>
      </w:r>
      <w:r w:rsidRPr="00B52585">
        <w:rPr>
          <w:rFonts w:asciiTheme="minorHAnsi" w:hAnsiTheme="minorHAnsi" w:cstheme="minorHAnsi"/>
          <w:bCs/>
          <w:sz w:val="22"/>
          <w:szCs w:val="22"/>
        </w:rPr>
        <w:t xml:space="preserve">of an </w:t>
      </w:r>
      <w:proofErr w:type="spellStart"/>
      <w:r w:rsidRPr="00B52585">
        <w:rPr>
          <w:rFonts w:asciiTheme="minorHAnsi" w:hAnsiTheme="minorHAnsi" w:cstheme="minorHAnsi"/>
          <w:bCs/>
          <w:sz w:val="22"/>
          <w:szCs w:val="22"/>
        </w:rPr>
        <w:t>AChEI</w:t>
      </w:r>
      <w:proofErr w:type="spellEnd"/>
      <w:r w:rsidRPr="00B52585">
        <w:rPr>
          <w:rFonts w:asciiTheme="minorHAnsi" w:hAnsiTheme="minorHAnsi" w:cstheme="minorHAnsi"/>
          <w:bCs/>
          <w:sz w:val="22"/>
          <w:szCs w:val="22"/>
        </w:rPr>
        <w:t xml:space="preserve"> (donepezil, galantamine, </w:t>
      </w:r>
      <w:r w:rsidRPr="00B52585">
        <w:rPr>
          <w:rFonts w:asciiTheme="minorHAnsi" w:hAnsiTheme="minorHAnsi" w:cstheme="minorHAnsi"/>
          <w:bCs/>
          <w:sz w:val="22"/>
          <w:szCs w:val="22"/>
        </w:rPr>
        <w:lastRenderedPageBreak/>
        <w:t xml:space="preserve">rivastigmine) for which the date of </w:t>
      </w:r>
      <w:bookmarkStart w:id="3" w:name="_Hlk106699866"/>
      <w:r w:rsidRPr="00B52585">
        <w:rPr>
          <w:rFonts w:asciiTheme="minorHAnsi" w:hAnsiTheme="minorHAnsi" w:cstheme="minorHAnsi"/>
          <w:bCs/>
          <w:sz w:val="22"/>
          <w:szCs w:val="22"/>
        </w:rPr>
        <w:t xml:space="preserve">treatment offer </w:t>
      </w:r>
      <w:r w:rsidR="00CA5BC6">
        <w:rPr>
          <w:rFonts w:asciiTheme="minorHAnsi" w:hAnsiTheme="minorHAnsi" w:cstheme="minorHAnsi"/>
          <w:bCs/>
          <w:sz w:val="22"/>
          <w:szCs w:val="22"/>
        </w:rPr>
        <w:t xml:space="preserve">(approximated by treatment start date which is coded as the earliest date on any </w:t>
      </w:r>
      <w:proofErr w:type="spellStart"/>
      <w:r w:rsidR="00CA5BC6">
        <w:rPr>
          <w:rFonts w:asciiTheme="minorHAnsi" w:hAnsiTheme="minorHAnsi" w:cstheme="minorHAnsi"/>
          <w:bCs/>
          <w:sz w:val="22"/>
          <w:szCs w:val="22"/>
        </w:rPr>
        <w:t>AChEI</w:t>
      </w:r>
      <w:proofErr w:type="spellEnd"/>
      <w:r w:rsidR="00CA5BC6">
        <w:rPr>
          <w:rFonts w:asciiTheme="minorHAnsi" w:hAnsiTheme="minorHAnsi" w:cstheme="minorHAnsi"/>
          <w:bCs/>
          <w:sz w:val="22"/>
          <w:szCs w:val="22"/>
        </w:rPr>
        <w:t xml:space="preserve"> prescription) </w:t>
      </w:r>
      <w:bookmarkEnd w:id="3"/>
      <w:r w:rsidRPr="00B52585">
        <w:rPr>
          <w:rFonts w:asciiTheme="minorHAnsi" w:hAnsiTheme="minorHAnsi" w:cstheme="minorHAnsi"/>
          <w:bCs/>
          <w:sz w:val="22"/>
          <w:szCs w:val="22"/>
        </w:rPr>
        <w:t xml:space="preserve">could be identified; (ii) they had at least one MMSE score with a denominator </w:t>
      </w:r>
      <w:bookmarkStart w:id="4" w:name="_Hlk61530769"/>
      <w:r w:rsidRPr="00B52585">
        <w:rPr>
          <w:rFonts w:asciiTheme="minorHAnsi" w:hAnsiTheme="minorHAnsi" w:cstheme="minorHAnsi"/>
          <w:sz w:val="22"/>
          <w:szCs w:val="22"/>
        </w:rPr>
        <w:t>≥</w:t>
      </w:r>
      <w:bookmarkEnd w:id="4"/>
      <w:r>
        <w:rPr>
          <w:rFonts w:asciiTheme="minorHAnsi" w:hAnsiTheme="minorHAnsi" w:cstheme="minorHAnsi"/>
          <w:sz w:val="22"/>
          <w:szCs w:val="22"/>
        </w:rPr>
        <w:t>24 recorded between 1 year before and 3 years after treatment offer</w:t>
      </w:r>
      <w:r w:rsidR="008973FD">
        <w:rPr>
          <w:rFonts w:asciiTheme="minorHAnsi" w:hAnsiTheme="minorHAnsi" w:cstheme="minorHAnsi"/>
          <w:sz w:val="22"/>
          <w:szCs w:val="22"/>
        </w:rPr>
        <w:t xml:space="preserve"> </w:t>
      </w:r>
      <w:bookmarkStart w:id="5" w:name="_Hlk106367759"/>
      <w:r w:rsidR="008973FD">
        <w:rPr>
          <w:rFonts w:asciiTheme="minorHAnsi" w:hAnsiTheme="minorHAnsi" w:cstheme="minorHAnsi"/>
          <w:sz w:val="22"/>
          <w:szCs w:val="22"/>
        </w:rPr>
        <w:t>(only a single MMSE score was required for inclusion and this could be before or after treatment initiation)</w:t>
      </w:r>
      <w:bookmarkEnd w:id="5"/>
      <w:r>
        <w:rPr>
          <w:rFonts w:asciiTheme="minorHAnsi" w:hAnsiTheme="minorHAnsi" w:cstheme="minorHAnsi"/>
          <w:sz w:val="22"/>
          <w:szCs w:val="22"/>
        </w:rPr>
        <w:t>; and, (iii)</w:t>
      </w:r>
      <w:r w:rsidR="00386847">
        <w:rPr>
          <w:rFonts w:asciiTheme="minorHAnsi" w:hAnsiTheme="minorHAnsi" w:cstheme="minorHAnsi"/>
          <w:sz w:val="22"/>
          <w:szCs w:val="22"/>
        </w:rPr>
        <w:t xml:space="preserve"> they had received a primary or secondary diagnosis of dementia excluding diagnoses of Parkinson’s Disease Dementia and Dementia with Lewy Bodies. For each eligible patient, all MMSE scores recorded between 1 year before and 3 years after treatment were extracted. MMSE scores with a denominator less than 30 were standardised by calculating an adjusted score as numerator divided by denominator multiplied by 30. The treated cohort contained 3134 patients with a total of 13577 scores between </w:t>
      </w:r>
      <w:proofErr w:type="gramStart"/>
      <w:r w:rsidR="00386847">
        <w:rPr>
          <w:rFonts w:asciiTheme="minorHAnsi" w:hAnsiTheme="minorHAnsi" w:cstheme="minorHAnsi"/>
          <w:sz w:val="22"/>
          <w:szCs w:val="22"/>
        </w:rPr>
        <w:t>them</w:t>
      </w:r>
      <w:r w:rsidR="0036093C">
        <w:rPr>
          <w:rFonts w:asciiTheme="minorHAnsi" w:hAnsiTheme="minorHAnsi" w:cstheme="minorHAnsi"/>
          <w:sz w:val="22"/>
          <w:szCs w:val="22"/>
        </w:rPr>
        <w:t>, and</w:t>
      </w:r>
      <w:proofErr w:type="gramEnd"/>
      <w:r w:rsidR="0036093C">
        <w:rPr>
          <w:rFonts w:asciiTheme="minorHAnsi" w:hAnsiTheme="minorHAnsi" w:cstheme="minorHAnsi"/>
          <w:sz w:val="22"/>
          <w:szCs w:val="22"/>
        </w:rPr>
        <w:t xml:space="preserve"> covered the period 1</w:t>
      </w:r>
      <w:r w:rsidR="0036093C" w:rsidRPr="00D10B2A">
        <w:rPr>
          <w:rFonts w:asciiTheme="minorHAnsi" w:hAnsiTheme="minorHAnsi" w:cstheme="minorHAnsi"/>
          <w:sz w:val="22"/>
          <w:szCs w:val="22"/>
          <w:vertAlign w:val="superscript"/>
        </w:rPr>
        <w:t>st</w:t>
      </w:r>
      <w:r w:rsidR="0036093C">
        <w:rPr>
          <w:rFonts w:asciiTheme="minorHAnsi" w:hAnsiTheme="minorHAnsi" w:cstheme="minorHAnsi"/>
          <w:sz w:val="22"/>
          <w:szCs w:val="22"/>
        </w:rPr>
        <w:t xml:space="preserve"> January 2005 to 8</w:t>
      </w:r>
      <w:r w:rsidR="0036093C" w:rsidRPr="00D10B2A">
        <w:rPr>
          <w:rFonts w:asciiTheme="minorHAnsi" w:hAnsiTheme="minorHAnsi" w:cstheme="minorHAnsi"/>
          <w:sz w:val="22"/>
          <w:szCs w:val="22"/>
          <w:vertAlign w:val="superscript"/>
        </w:rPr>
        <w:t>th</w:t>
      </w:r>
      <w:r w:rsidR="0036093C">
        <w:rPr>
          <w:rFonts w:asciiTheme="minorHAnsi" w:hAnsiTheme="minorHAnsi" w:cstheme="minorHAnsi"/>
          <w:sz w:val="22"/>
          <w:szCs w:val="22"/>
        </w:rPr>
        <w:t xml:space="preserve"> February 2015</w:t>
      </w:r>
      <w:r w:rsidR="00386847">
        <w:rPr>
          <w:rFonts w:asciiTheme="minorHAnsi" w:hAnsiTheme="minorHAnsi" w:cstheme="minorHAnsi"/>
          <w:sz w:val="22"/>
          <w:szCs w:val="22"/>
        </w:rPr>
        <w:t xml:space="preserve">. </w:t>
      </w:r>
      <w:r w:rsidR="00B964C5">
        <w:rPr>
          <w:rFonts w:asciiTheme="minorHAnsi" w:hAnsiTheme="minorHAnsi" w:cstheme="minorHAnsi"/>
          <w:sz w:val="22"/>
          <w:szCs w:val="22"/>
        </w:rPr>
        <w:t xml:space="preserve">A previous systematic review and meta-analysis of trials of </w:t>
      </w:r>
      <w:proofErr w:type="spellStart"/>
      <w:r w:rsidR="00B964C5">
        <w:rPr>
          <w:rFonts w:asciiTheme="minorHAnsi" w:hAnsiTheme="minorHAnsi" w:cstheme="minorHAnsi"/>
          <w:sz w:val="22"/>
          <w:szCs w:val="22"/>
        </w:rPr>
        <w:t>AChEIs</w:t>
      </w:r>
      <w:proofErr w:type="spellEnd"/>
      <w:r w:rsidR="00B964C5">
        <w:rPr>
          <w:rFonts w:asciiTheme="minorHAnsi" w:hAnsiTheme="minorHAnsi" w:cstheme="minorHAnsi"/>
          <w:sz w:val="22"/>
          <w:szCs w:val="22"/>
        </w:rPr>
        <w:t xml:space="preserve"> in managing the cognitive symptoms of dementia forms the RCT dataset </w:t>
      </w:r>
      <w:r w:rsidR="00B964C5">
        <w:rPr>
          <w:rFonts w:asciiTheme="minorHAnsi" w:hAnsiTheme="minorHAnsi" w:cstheme="minorHAnsi"/>
          <w:sz w:val="22"/>
          <w:szCs w:val="22"/>
        </w:rPr>
        <w:fldChar w:fldCharType="begin"/>
      </w:r>
      <w:r w:rsidR="000D7FE7">
        <w:rPr>
          <w:rFonts w:asciiTheme="minorHAnsi" w:hAnsiTheme="minorHAnsi" w:cstheme="minorHAnsi"/>
          <w:sz w:val="22"/>
          <w:szCs w:val="22"/>
        </w:rPr>
        <w:instrText xml:space="preserve"> ADDIN EN.CITE &lt;EndNote&gt;&lt;Cite&gt;&lt;Author&gt;Knight&lt;/Author&gt;&lt;Year&gt;2018&lt;/Year&gt;&lt;RecNum&gt;7&lt;/RecNum&gt;&lt;DisplayText&gt;(21)&lt;/DisplayText&gt;&lt;record&gt;&lt;rec-number&gt;7&lt;/rec-number&gt;&lt;foreign-keys&gt;&lt;key app="EN" db-id="p5t2axawez5dr9efspu55tfv5tvdrewdrtxf" timestamp="1573634802"&gt;7&lt;/key&gt;&lt;/foreign-keys&gt;&lt;ref-type name="Journal Article"&gt;17&lt;/ref-type&gt;&lt;contributors&gt;&lt;authors&gt;&lt;author&gt;Knight, Ruth&lt;/author&gt;&lt;author&gt;Khondoker, Mizanur&lt;/author&gt;&lt;author&gt;Magill, Nicholas&lt;/author&gt;&lt;author&gt;Stewart, Robert&lt;/author&gt;&lt;author&gt;Landau, Sabine&lt;/author&gt;&lt;/authors&gt;&lt;/contributors&gt;&lt;titles&gt;&lt;title&gt;A systematic review and meta-analysis of the effectiveness of acetylcholinesterase inhibitors and memantine in treating the cognitive symptoms of dementia&lt;/title&gt;&lt;secondary-title&gt;Dementia and geriatric cognitive disorders&lt;/secondary-title&gt;&lt;/titles&gt;&lt;periodical&gt;&lt;full-title&gt;Dementia and Geriatric Cognitive Disorders&lt;/full-title&gt;&lt;abbr-1&gt;Dement. Geriatr. Cogn. Disord.&lt;/abbr-1&gt;&lt;abbr-2&gt;Dement Geriatr Cogn Disord&lt;/abbr-2&gt;&lt;abbr-3&gt;Dementia &amp;amp; Geriatric Cognitive Disorders&lt;/abbr-3&gt;&lt;/periodical&gt;&lt;pages&gt;131-151&lt;/pages&gt;&lt;volume&gt;45&lt;/volume&gt;&lt;number&gt;3-4&lt;/number&gt;&lt;dates&gt;&lt;year&gt;2018&lt;/year&gt;&lt;/dates&gt;&lt;isbn&gt;1420-8008&lt;/isbn&gt;&lt;urls&gt;&lt;/urls&gt;&lt;/record&gt;&lt;/Cite&gt;&lt;/EndNote&gt;</w:instrText>
      </w:r>
      <w:r w:rsidR="00B964C5">
        <w:rPr>
          <w:rFonts w:asciiTheme="minorHAnsi" w:hAnsiTheme="minorHAnsi" w:cstheme="minorHAnsi"/>
          <w:sz w:val="22"/>
          <w:szCs w:val="22"/>
        </w:rPr>
        <w:fldChar w:fldCharType="separate"/>
      </w:r>
      <w:r w:rsidR="000D7FE7">
        <w:rPr>
          <w:rFonts w:asciiTheme="minorHAnsi" w:hAnsiTheme="minorHAnsi" w:cstheme="minorHAnsi"/>
          <w:noProof/>
          <w:sz w:val="22"/>
          <w:szCs w:val="22"/>
        </w:rPr>
        <w:t>(21)</w:t>
      </w:r>
      <w:r w:rsidR="00B964C5">
        <w:rPr>
          <w:rFonts w:asciiTheme="minorHAnsi" w:hAnsiTheme="minorHAnsi" w:cstheme="minorHAnsi"/>
          <w:sz w:val="22"/>
          <w:szCs w:val="22"/>
        </w:rPr>
        <w:fldChar w:fldCharType="end"/>
      </w:r>
      <w:r w:rsidR="00B964C5">
        <w:rPr>
          <w:rFonts w:asciiTheme="minorHAnsi" w:hAnsiTheme="minorHAnsi" w:cstheme="minorHAnsi"/>
          <w:sz w:val="22"/>
          <w:szCs w:val="22"/>
        </w:rPr>
        <w:t>.</w:t>
      </w:r>
    </w:p>
    <w:p w14:paraId="205F2D6C" w14:textId="6091B2E8" w:rsidR="007A30F8" w:rsidRPr="005359D5" w:rsidRDefault="007A30F8" w:rsidP="00DF77D1">
      <w:pPr>
        <w:spacing w:line="480" w:lineRule="auto"/>
        <w:rPr>
          <w:rFonts w:cstheme="minorHAnsi"/>
          <w:b/>
          <w:i/>
          <w:iCs/>
        </w:rPr>
      </w:pPr>
      <w:r w:rsidRPr="005359D5">
        <w:rPr>
          <w:rFonts w:cstheme="minorHAnsi"/>
          <w:b/>
          <w:i/>
          <w:iCs/>
        </w:rPr>
        <w:t xml:space="preserve">Estimator of treatment effect based on </w:t>
      </w:r>
      <w:r w:rsidR="00B52585" w:rsidRPr="005359D5">
        <w:rPr>
          <w:rFonts w:cstheme="minorHAnsi"/>
          <w:b/>
          <w:i/>
          <w:iCs/>
        </w:rPr>
        <w:t>treated cohort alone</w:t>
      </w:r>
    </w:p>
    <w:p w14:paraId="3BCAC128" w14:textId="62F01268" w:rsidR="00CC78F7" w:rsidRPr="005359D5" w:rsidRDefault="00CC78F7" w:rsidP="00DF77D1">
      <w:pPr>
        <w:spacing w:line="480" w:lineRule="auto"/>
        <w:jc w:val="both"/>
        <w:rPr>
          <w:rFonts w:cstheme="minorHAnsi"/>
          <w:iCs/>
        </w:rPr>
      </w:pPr>
      <w:r w:rsidRPr="005359D5">
        <w:rPr>
          <w:rFonts w:cstheme="minorHAnsi"/>
          <w:iCs/>
        </w:rPr>
        <w:t xml:space="preserve">Each member of the target population, that is patients who receive this treatment in routine clinical practice, </w:t>
      </w:r>
      <w:r w:rsidR="004A0870">
        <w:rPr>
          <w:rFonts w:cstheme="minorHAnsi"/>
          <w:iCs/>
        </w:rPr>
        <w:t xml:space="preserve">can be thought of as </w:t>
      </w:r>
      <w:r w:rsidRPr="005359D5">
        <w:rPr>
          <w:rFonts w:cstheme="minorHAnsi"/>
          <w:iCs/>
        </w:rPr>
        <w:t>ha</w:t>
      </w:r>
      <w:r w:rsidR="004A0870">
        <w:rPr>
          <w:rFonts w:cstheme="minorHAnsi"/>
          <w:iCs/>
        </w:rPr>
        <w:t>ving</w:t>
      </w:r>
      <w:r w:rsidRPr="005359D5">
        <w:rPr>
          <w:rFonts w:cstheme="minorHAnsi"/>
          <w:iCs/>
        </w:rPr>
        <w:t xml:space="preserve"> two potential outcome</w:t>
      </w:r>
      <w:r w:rsidR="004A0870">
        <w:rPr>
          <w:rFonts w:cstheme="minorHAnsi"/>
          <w:iCs/>
        </w:rPr>
        <w:t xml:space="preserve"> trajectorie</w:t>
      </w:r>
      <w:r w:rsidRPr="005359D5">
        <w:rPr>
          <w:rFonts w:cstheme="minorHAnsi"/>
          <w:iCs/>
        </w:rPr>
        <w:t>s</w:t>
      </w:r>
      <w:r w:rsidR="004A0870">
        <w:rPr>
          <w:rFonts w:cstheme="minorHAnsi"/>
          <w:iCs/>
        </w:rPr>
        <w:t xml:space="preserve">. The </w:t>
      </w:r>
      <w:r w:rsidRPr="005359D5">
        <w:rPr>
          <w:rFonts w:cstheme="minorHAnsi"/>
          <w:iCs/>
        </w:rPr>
        <w:t xml:space="preserve">one </w:t>
      </w:r>
      <w:r w:rsidR="004A0870">
        <w:rPr>
          <w:rFonts w:cstheme="minorHAnsi"/>
          <w:iCs/>
        </w:rPr>
        <w:t xml:space="preserve">they would have followed </w:t>
      </w:r>
      <w:r w:rsidRPr="005359D5">
        <w:rPr>
          <w:rFonts w:cstheme="minorHAnsi"/>
          <w:iCs/>
        </w:rPr>
        <w:t xml:space="preserve">if they were offered treatment and </w:t>
      </w:r>
      <w:r w:rsidR="004A0870">
        <w:rPr>
          <w:rFonts w:cstheme="minorHAnsi"/>
          <w:iCs/>
        </w:rPr>
        <w:t xml:space="preserve">the </w:t>
      </w:r>
      <w:proofErr w:type="gramStart"/>
      <w:r w:rsidR="004A0870">
        <w:rPr>
          <w:rFonts w:cstheme="minorHAnsi"/>
          <w:iCs/>
        </w:rPr>
        <w:t>one</w:t>
      </w:r>
      <w:proofErr w:type="gramEnd"/>
      <w:r w:rsidR="004A0870">
        <w:rPr>
          <w:rFonts w:cstheme="minorHAnsi"/>
          <w:iCs/>
        </w:rPr>
        <w:t xml:space="preserve"> they would have followed </w:t>
      </w:r>
      <w:r w:rsidRPr="005359D5">
        <w:rPr>
          <w:rFonts w:cstheme="minorHAnsi"/>
          <w:iCs/>
        </w:rPr>
        <w:t>if they were not.</w:t>
      </w:r>
      <w:r w:rsidR="004A0870">
        <w:rPr>
          <w:rFonts w:cstheme="minorHAnsi"/>
          <w:iCs/>
        </w:rPr>
        <w:t xml:space="preserve"> In practice, only the first of these is observed</w:t>
      </w:r>
      <w:r w:rsidR="00DF7A0E">
        <w:rPr>
          <w:rFonts w:cstheme="minorHAnsi"/>
          <w:iCs/>
        </w:rPr>
        <w:t>.</w:t>
      </w:r>
      <w:r w:rsidRPr="005359D5">
        <w:rPr>
          <w:rFonts w:cstheme="minorHAnsi"/>
          <w:iCs/>
        </w:rPr>
        <w:t xml:space="preserve"> </w:t>
      </w:r>
      <w:r w:rsidR="00EE00BE" w:rsidRPr="005359D5">
        <w:rPr>
          <w:rFonts w:cstheme="minorHAnsi"/>
          <w:iCs/>
        </w:rPr>
        <w:t>Using t to denote time, with time 0 bein</w:t>
      </w:r>
      <w:r w:rsidR="00FC48A6" w:rsidRPr="005359D5">
        <w:rPr>
          <w:rFonts w:cstheme="minorHAnsi"/>
          <w:iCs/>
        </w:rPr>
        <w:t xml:space="preserve">g the point of treatment offer, </w:t>
      </w:r>
      <w:r w:rsidR="00EE00BE" w:rsidRPr="005359D5">
        <w:rPr>
          <w:rFonts w:cstheme="minorHAnsi"/>
          <w:iCs/>
        </w:rPr>
        <w:t>t</w:t>
      </w:r>
      <w:r w:rsidRPr="005359D5">
        <w:rPr>
          <w:rFonts w:cstheme="minorHAnsi"/>
          <w:iCs/>
        </w:rPr>
        <w:t>hese two outcomes can be summarised as:</w:t>
      </w:r>
    </w:p>
    <w:p w14:paraId="6F6CD734" w14:textId="4117A65E" w:rsidR="00CC78F7" w:rsidRPr="005359D5" w:rsidRDefault="00CC78F7" w:rsidP="00DF77D1">
      <w:pPr>
        <w:spacing w:line="480" w:lineRule="auto"/>
        <w:rPr>
          <w:rFonts w:cstheme="minorHAnsi"/>
        </w:rPr>
      </w:pPr>
      <w:proofErr w:type="spellStart"/>
      <w:r w:rsidRPr="005359D5">
        <w:rPr>
          <w:rFonts w:cstheme="minorHAnsi"/>
          <w:iCs/>
        </w:rPr>
        <w:t>y</w:t>
      </w:r>
      <w:r w:rsidRPr="005359D5">
        <w:rPr>
          <w:rFonts w:cstheme="minorHAnsi"/>
          <w:iCs/>
          <w:vertAlign w:val="subscript"/>
        </w:rPr>
        <w:t>ij</w:t>
      </w:r>
      <w:proofErr w:type="spellEnd"/>
      <w:r w:rsidRPr="005359D5">
        <w:rPr>
          <w:rFonts w:cstheme="minorHAnsi"/>
          <w:iCs/>
          <w:vertAlign w:val="subscript"/>
        </w:rPr>
        <w:t xml:space="preserve">, R=1 </w:t>
      </w:r>
      <w:r w:rsidRPr="005359D5">
        <w:rPr>
          <w:rFonts w:cstheme="minorHAnsi"/>
          <w:iCs/>
        </w:rPr>
        <w:t xml:space="preserve">| </w:t>
      </w:r>
      <w:proofErr w:type="spellStart"/>
      <w:r w:rsidRPr="005359D5">
        <w:rPr>
          <w:rFonts w:cstheme="minorHAnsi"/>
          <w:iCs/>
        </w:rPr>
        <w:t>t</w:t>
      </w:r>
      <w:r w:rsidRPr="005359D5">
        <w:rPr>
          <w:rFonts w:cstheme="minorHAnsi"/>
          <w:iCs/>
          <w:vertAlign w:val="subscript"/>
        </w:rPr>
        <w:t>ij</w:t>
      </w:r>
      <w:proofErr w:type="spellEnd"/>
      <w:r w:rsidRPr="005359D5">
        <w:rPr>
          <w:rFonts w:cstheme="minorHAnsi"/>
        </w:rPr>
        <w:t xml:space="preserve"> ~ N(μ</w:t>
      </w:r>
      <w:r w:rsidRPr="005359D5">
        <w:rPr>
          <w:rFonts w:cstheme="minorHAnsi"/>
          <w:vertAlign w:val="subscript"/>
        </w:rPr>
        <w:t>1</w:t>
      </w:r>
      <w:r w:rsidRPr="005359D5">
        <w:rPr>
          <w:rFonts w:cstheme="minorHAnsi"/>
        </w:rPr>
        <w:t>(</w:t>
      </w:r>
      <w:proofErr w:type="spellStart"/>
      <w:r w:rsidRPr="005359D5">
        <w:rPr>
          <w:rFonts w:cstheme="minorHAnsi"/>
        </w:rPr>
        <w:t>t</w:t>
      </w:r>
      <w:r w:rsidR="004A0870">
        <w:rPr>
          <w:rFonts w:cstheme="minorHAnsi"/>
          <w:vertAlign w:val="subscript"/>
        </w:rPr>
        <w:t>ij</w:t>
      </w:r>
      <w:proofErr w:type="spellEnd"/>
      <w:r w:rsidRPr="005359D5">
        <w:rPr>
          <w:rFonts w:cstheme="minorHAnsi"/>
        </w:rPr>
        <w:t>), σ</w:t>
      </w:r>
      <w:r w:rsidRPr="005359D5">
        <w:rPr>
          <w:rFonts w:cstheme="minorHAnsi"/>
          <w:vertAlign w:val="superscript"/>
        </w:rPr>
        <w:t>2</w:t>
      </w:r>
      <w:r w:rsidRPr="005359D5">
        <w:rPr>
          <w:rFonts w:cstheme="minorHAnsi"/>
        </w:rPr>
        <w:t xml:space="preserve">) </w:t>
      </w:r>
      <w:r w:rsidRPr="005359D5">
        <w:rPr>
          <w:rFonts w:cstheme="minorHAnsi"/>
        </w:rPr>
        <w:tab/>
        <w:t>if the participant was offered treatment</w:t>
      </w:r>
    </w:p>
    <w:p w14:paraId="3D88E1BF" w14:textId="19D4F647" w:rsidR="00CC78F7" w:rsidRPr="005359D5" w:rsidRDefault="00CC78F7" w:rsidP="00DF77D1">
      <w:pPr>
        <w:spacing w:line="480" w:lineRule="auto"/>
        <w:rPr>
          <w:rFonts w:cstheme="minorHAnsi"/>
        </w:rPr>
      </w:pPr>
      <w:proofErr w:type="spellStart"/>
      <w:r w:rsidRPr="005359D5">
        <w:rPr>
          <w:rFonts w:cstheme="minorHAnsi"/>
          <w:iCs/>
        </w:rPr>
        <w:t>y</w:t>
      </w:r>
      <w:r w:rsidRPr="005359D5">
        <w:rPr>
          <w:rFonts w:cstheme="minorHAnsi"/>
          <w:iCs/>
          <w:vertAlign w:val="subscript"/>
        </w:rPr>
        <w:t>ij</w:t>
      </w:r>
      <w:proofErr w:type="spellEnd"/>
      <w:r w:rsidRPr="005359D5">
        <w:rPr>
          <w:rFonts w:cstheme="minorHAnsi"/>
          <w:iCs/>
          <w:vertAlign w:val="subscript"/>
        </w:rPr>
        <w:t xml:space="preserve">, R=0 </w:t>
      </w:r>
      <w:r w:rsidRPr="005359D5">
        <w:rPr>
          <w:rFonts w:cstheme="minorHAnsi"/>
          <w:iCs/>
        </w:rPr>
        <w:t xml:space="preserve">| </w:t>
      </w:r>
      <w:proofErr w:type="spellStart"/>
      <w:r w:rsidRPr="005359D5">
        <w:rPr>
          <w:rFonts w:cstheme="minorHAnsi"/>
          <w:iCs/>
        </w:rPr>
        <w:t>t</w:t>
      </w:r>
      <w:r w:rsidRPr="005359D5">
        <w:rPr>
          <w:rFonts w:cstheme="minorHAnsi"/>
          <w:iCs/>
          <w:vertAlign w:val="subscript"/>
        </w:rPr>
        <w:t>ij</w:t>
      </w:r>
      <w:proofErr w:type="spellEnd"/>
      <w:r w:rsidRPr="005359D5">
        <w:rPr>
          <w:rFonts w:cstheme="minorHAnsi"/>
        </w:rPr>
        <w:t xml:space="preserve"> ~ N(μ</w:t>
      </w:r>
      <w:r w:rsidRPr="005359D5">
        <w:rPr>
          <w:rFonts w:cstheme="minorHAnsi"/>
          <w:vertAlign w:val="subscript"/>
        </w:rPr>
        <w:t>0</w:t>
      </w:r>
      <w:r w:rsidRPr="005359D5">
        <w:rPr>
          <w:rFonts w:cstheme="minorHAnsi"/>
        </w:rPr>
        <w:t>(</w:t>
      </w:r>
      <w:proofErr w:type="spellStart"/>
      <w:r w:rsidRPr="005359D5">
        <w:rPr>
          <w:rFonts w:cstheme="minorHAnsi"/>
        </w:rPr>
        <w:t>t</w:t>
      </w:r>
      <w:r w:rsidRPr="005359D5">
        <w:rPr>
          <w:rFonts w:cstheme="minorHAnsi"/>
          <w:vertAlign w:val="subscript"/>
        </w:rPr>
        <w:t>ij</w:t>
      </w:r>
      <w:proofErr w:type="spellEnd"/>
      <w:r w:rsidRPr="005359D5">
        <w:rPr>
          <w:rFonts w:cstheme="minorHAnsi"/>
        </w:rPr>
        <w:t>), σ</w:t>
      </w:r>
      <w:r w:rsidRPr="005359D5">
        <w:rPr>
          <w:rFonts w:cstheme="minorHAnsi"/>
          <w:vertAlign w:val="superscript"/>
        </w:rPr>
        <w:t>2</w:t>
      </w:r>
      <w:r w:rsidRPr="005359D5">
        <w:rPr>
          <w:rFonts w:cstheme="minorHAnsi"/>
        </w:rPr>
        <w:t>)</w:t>
      </w:r>
      <w:r w:rsidRPr="005359D5">
        <w:rPr>
          <w:rFonts w:cstheme="minorHAnsi"/>
        </w:rPr>
        <w:tab/>
        <w:t>if the participant was not offered treatment</w:t>
      </w:r>
      <w:r w:rsidRPr="005359D5">
        <w:rPr>
          <w:rFonts w:cstheme="minorHAnsi"/>
        </w:rPr>
        <w:tab/>
      </w:r>
      <w:r w:rsidRPr="005359D5">
        <w:rPr>
          <w:rFonts w:cstheme="minorHAnsi"/>
        </w:rPr>
        <w:tab/>
      </w:r>
      <w:r w:rsidRPr="005359D5">
        <w:rPr>
          <w:rFonts w:cstheme="minorHAnsi"/>
        </w:rPr>
        <w:tab/>
        <w:t>(1)</w:t>
      </w:r>
    </w:p>
    <w:p w14:paraId="1459FA18" w14:textId="48846BFD" w:rsidR="00CC78F7" w:rsidRPr="005359D5" w:rsidRDefault="00CC78F7" w:rsidP="00DF77D1">
      <w:pPr>
        <w:spacing w:line="480" w:lineRule="auto"/>
        <w:jc w:val="both"/>
        <w:rPr>
          <w:rFonts w:cstheme="minorHAnsi"/>
          <w:iCs/>
        </w:rPr>
      </w:pPr>
      <w:r w:rsidRPr="005359D5">
        <w:rPr>
          <w:rFonts w:cstheme="minorHAnsi"/>
          <w:iCs/>
        </w:rPr>
        <w:t xml:space="preserve">where </w:t>
      </w:r>
      <w:proofErr w:type="spellStart"/>
      <w:r w:rsidRPr="005359D5">
        <w:rPr>
          <w:rFonts w:cstheme="minorHAnsi"/>
          <w:iCs/>
        </w:rPr>
        <w:t>y</w:t>
      </w:r>
      <w:r w:rsidRPr="005359D5">
        <w:rPr>
          <w:rFonts w:cstheme="minorHAnsi"/>
          <w:iCs/>
          <w:vertAlign w:val="subscript"/>
        </w:rPr>
        <w:t>ij</w:t>
      </w:r>
      <w:proofErr w:type="spellEnd"/>
      <w:r w:rsidRPr="005359D5">
        <w:rPr>
          <w:rFonts w:cstheme="minorHAnsi"/>
          <w:iCs/>
          <w:vertAlign w:val="subscript"/>
        </w:rPr>
        <w:t xml:space="preserve">, R=1 </w:t>
      </w:r>
      <w:r w:rsidR="00EE00BE" w:rsidRPr="005359D5">
        <w:rPr>
          <w:rFonts w:cstheme="minorHAnsi"/>
          <w:iCs/>
        </w:rPr>
        <w:t xml:space="preserve">is the outcome for individual </w:t>
      </w:r>
      <w:proofErr w:type="spellStart"/>
      <w:r w:rsidR="00EE00BE" w:rsidRPr="005359D5">
        <w:rPr>
          <w:rFonts w:cstheme="minorHAnsi"/>
          <w:iCs/>
        </w:rPr>
        <w:t>i</w:t>
      </w:r>
      <w:proofErr w:type="spellEnd"/>
      <w:r w:rsidR="00EE00BE" w:rsidRPr="005359D5">
        <w:rPr>
          <w:rFonts w:cstheme="minorHAnsi"/>
          <w:iCs/>
        </w:rPr>
        <w:t xml:space="preserve"> at time </w:t>
      </w:r>
      <w:proofErr w:type="spellStart"/>
      <w:r w:rsidR="00EE00BE" w:rsidRPr="005359D5">
        <w:rPr>
          <w:rFonts w:cstheme="minorHAnsi"/>
          <w:iCs/>
        </w:rPr>
        <w:t>t</w:t>
      </w:r>
      <w:r w:rsidR="00EE00BE" w:rsidRPr="005359D5">
        <w:rPr>
          <w:rFonts w:cstheme="minorHAnsi"/>
          <w:iCs/>
          <w:vertAlign w:val="subscript"/>
        </w:rPr>
        <w:t>ij</w:t>
      </w:r>
      <w:proofErr w:type="spellEnd"/>
      <w:r w:rsidR="00EE00BE" w:rsidRPr="005359D5">
        <w:rPr>
          <w:rFonts w:cstheme="minorHAnsi"/>
          <w:iCs/>
          <w:vertAlign w:val="subscript"/>
        </w:rPr>
        <w:t xml:space="preserve"> </w:t>
      </w:r>
      <w:r w:rsidR="00EE00BE" w:rsidRPr="005359D5">
        <w:rPr>
          <w:rFonts w:cstheme="minorHAnsi"/>
          <w:iCs/>
        </w:rPr>
        <w:t xml:space="preserve">if they are offered treatment and </w:t>
      </w:r>
      <w:proofErr w:type="spellStart"/>
      <w:r w:rsidR="00EE00BE" w:rsidRPr="005359D5">
        <w:rPr>
          <w:rFonts w:cstheme="minorHAnsi"/>
          <w:iCs/>
        </w:rPr>
        <w:t>y</w:t>
      </w:r>
      <w:r w:rsidR="00EE00BE" w:rsidRPr="005359D5">
        <w:rPr>
          <w:rFonts w:cstheme="minorHAnsi"/>
          <w:iCs/>
          <w:vertAlign w:val="subscript"/>
        </w:rPr>
        <w:t>ij</w:t>
      </w:r>
      <w:proofErr w:type="spellEnd"/>
      <w:r w:rsidR="00EE00BE" w:rsidRPr="005359D5">
        <w:rPr>
          <w:rFonts w:cstheme="minorHAnsi"/>
          <w:iCs/>
          <w:vertAlign w:val="subscript"/>
        </w:rPr>
        <w:t xml:space="preserve">, R=0 </w:t>
      </w:r>
      <w:r w:rsidR="00EE00BE" w:rsidRPr="005359D5">
        <w:rPr>
          <w:rFonts w:cstheme="minorHAnsi"/>
          <w:iCs/>
        </w:rPr>
        <w:t xml:space="preserve">is the outcome for individual </w:t>
      </w:r>
      <w:proofErr w:type="spellStart"/>
      <w:r w:rsidR="00EE00BE" w:rsidRPr="005359D5">
        <w:rPr>
          <w:rFonts w:cstheme="minorHAnsi"/>
          <w:iCs/>
        </w:rPr>
        <w:t>i</w:t>
      </w:r>
      <w:proofErr w:type="spellEnd"/>
      <w:r w:rsidR="00EE00BE" w:rsidRPr="005359D5">
        <w:rPr>
          <w:rFonts w:cstheme="minorHAnsi"/>
          <w:iCs/>
        </w:rPr>
        <w:t xml:space="preserve"> at time </w:t>
      </w:r>
      <w:proofErr w:type="spellStart"/>
      <w:r w:rsidR="00EE00BE" w:rsidRPr="005359D5">
        <w:rPr>
          <w:rFonts w:cstheme="minorHAnsi"/>
          <w:iCs/>
        </w:rPr>
        <w:t>t</w:t>
      </w:r>
      <w:r w:rsidR="00EE00BE" w:rsidRPr="005359D5">
        <w:rPr>
          <w:rFonts w:cstheme="minorHAnsi"/>
          <w:iCs/>
          <w:vertAlign w:val="subscript"/>
        </w:rPr>
        <w:t>ij</w:t>
      </w:r>
      <w:proofErr w:type="spellEnd"/>
      <w:r w:rsidR="00EE00BE" w:rsidRPr="005359D5">
        <w:rPr>
          <w:rFonts w:cstheme="minorHAnsi"/>
          <w:iCs/>
          <w:vertAlign w:val="subscript"/>
        </w:rPr>
        <w:t xml:space="preserve"> </w:t>
      </w:r>
      <w:r w:rsidR="00EE00BE" w:rsidRPr="005359D5">
        <w:rPr>
          <w:rFonts w:cstheme="minorHAnsi"/>
          <w:iCs/>
        </w:rPr>
        <w:t>if they are not offered treatment. For an individual, the effect of treatment offer (</w:t>
      </w:r>
      <w:proofErr w:type="spellStart"/>
      <w:r w:rsidR="00EE00BE" w:rsidRPr="005359D5">
        <w:rPr>
          <w:rFonts w:cstheme="minorHAnsi"/>
          <w:iCs/>
        </w:rPr>
        <w:t>Δ</w:t>
      </w:r>
      <w:r w:rsidR="00EE00BE" w:rsidRPr="005359D5">
        <w:rPr>
          <w:rFonts w:cstheme="minorHAnsi"/>
          <w:iCs/>
          <w:vertAlign w:val="subscript"/>
        </w:rPr>
        <w:t>i</w:t>
      </w:r>
      <w:proofErr w:type="spellEnd"/>
      <w:r w:rsidR="00EE00BE" w:rsidRPr="005359D5">
        <w:rPr>
          <w:rFonts w:cstheme="minorHAnsi"/>
          <w:iCs/>
        </w:rPr>
        <w:t>) at a fixed time, t=α&gt;0, is the difference between their outcome at α if they were and were not offered treatment:</w:t>
      </w:r>
    </w:p>
    <w:p w14:paraId="61B7F4C8" w14:textId="22140E9E" w:rsidR="00EE00BE" w:rsidRPr="005359D5" w:rsidRDefault="00EE00BE" w:rsidP="00DF77D1">
      <w:pPr>
        <w:spacing w:line="480" w:lineRule="auto"/>
        <w:jc w:val="both"/>
        <w:rPr>
          <w:rFonts w:cstheme="minorHAnsi"/>
          <w:iCs/>
        </w:rPr>
      </w:pPr>
      <w:proofErr w:type="spellStart"/>
      <w:r w:rsidRPr="005359D5">
        <w:rPr>
          <w:rFonts w:cstheme="minorHAnsi"/>
          <w:iCs/>
        </w:rPr>
        <w:lastRenderedPageBreak/>
        <w:t>Δ</w:t>
      </w:r>
      <w:r w:rsidRPr="005359D5">
        <w:rPr>
          <w:rFonts w:cstheme="minorHAnsi"/>
          <w:iCs/>
          <w:vertAlign w:val="subscript"/>
        </w:rPr>
        <w:t>i</w:t>
      </w:r>
      <w:proofErr w:type="spellEnd"/>
      <w:r w:rsidRPr="005359D5">
        <w:rPr>
          <w:rFonts w:cstheme="minorHAnsi"/>
          <w:iCs/>
        </w:rPr>
        <w:t xml:space="preserve"> (α) = </w:t>
      </w:r>
      <w:proofErr w:type="spellStart"/>
      <w:r w:rsidRPr="005359D5">
        <w:rPr>
          <w:rFonts w:cstheme="minorHAnsi"/>
          <w:iCs/>
        </w:rPr>
        <w:t>y</w:t>
      </w:r>
      <w:r w:rsidRPr="005359D5">
        <w:rPr>
          <w:rFonts w:cstheme="minorHAnsi"/>
          <w:iCs/>
          <w:vertAlign w:val="subscript"/>
        </w:rPr>
        <w:t>ij</w:t>
      </w:r>
      <w:proofErr w:type="spellEnd"/>
      <w:r w:rsidRPr="005359D5">
        <w:rPr>
          <w:rFonts w:cstheme="minorHAnsi"/>
          <w:iCs/>
          <w:vertAlign w:val="subscript"/>
        </w:rPr>
        <w:t xml:space="preserve">, R=1 </w:t>
      </w:r>
      <w:r w:rsidRPr="005359D5">
        <w:rPr>
          <w:rFonts w:cstheme="minorHAnsi"/>
          <w:iCs/>
        </w:rPr>
        <w:t xml:space="preserve">|α – </w:t>
      </w:r>
      <w:proofErr w:type="spellStart"/>
      <w:r w:rsidRPr="005359D5">
        <w:rPr>
          <w:rFonts w:cstheme="minorHAnsi"/>
          <w:iCs/>
        </w:rPr>
        <w:t>y</w:t>
      </w:r>
      <w:r w:rsidRPr="005359D5">
        <w:rPr>
          <w:rFonts w:cstheme="minorHAnsi"/>
          <w:iCs/>
          <w:vertAlign w:val="subscript"/>
        </w:rPr>
        <w:t>ij</w:t>
      </w:r>
      <w:proofErr w:type="spellEnd"/>
      <w:r w:rsidRPr="005359D5">
        <w:rPr>
          <w:rFonts w:cstheme="minorHAnsi"/>
          <w:iCs/>
          <w:vertAlign w:val="subscript"/>
        </w:rPr>
        <w:t>, R=0</w:t>
      </w:r>
      <w:r w:rsidRPr="005359D5">
        <w:rPr>
          <w:rFonts w:cstheme="minorHAnsi"/>
          <w:iCs/>
        </w:rPr>
        <w:t xml:space="preserve"> |α</w:t>
      </w:r>
      <w:r w:rsidRPr="005359D5">
        <w:rPr>
          <w:rFonts w:cstheme="minorHAnsi"/>
          <w:iCs/>
        </w:rPr>
        <w:tab/>
      </w:r>
      <w:r w:rsidRPr="005359D5">
        <w:rPr>
          <w:rFonts w:cstheme="minorHAnsi"/>
          <w:iCs/>
        </w:rPr>
        <w:tab/>
      </w:r>
      <w:r w:rsidRPr="005359D5">
        <w:rPr>
          <w:rFonts w:cstheme="minorHAnsi"/>
          <w:iCs/>
        </w:rPr>
        <w:tab/>
      </w:r>
      <w:r w:rsidRPr="005359D5">
        <w:rPr>
          <w:rFonts w:cstheme="minorHAnsi"/>
          <w:iCs/>
        </w:rPr>
        <w:tab/>
      </w:r>
      <w:r w:rsidRPr="005359D5">
        <w:rPr>
          <w:rFonts w:cstheme="minorHAnsi"/>
          <w:iCs/>
        </w:rPr>
        <w:tab/>
      </w:r>
      <w:r w:rsidRPr="005359D5">
        <w:rPr>
          <w:rFonts w:cstheme="minorHAnsi"/>
          <w:iCs/>
        </w:rPr>
        <w:tab/>
      </w:r>
      <w:r w:rsidRPr="005359D5">
        <w:rPr>
          <w:rFonts w:cstheme="minorHAnsi"/>
          <w:iCs/>
        </w:rPr>
        <w:tab/>
      </w:r>
      <w:r w:rsidRPr="005359D5">
        <w:rPr>
          <w:rFonts w:cstheme="minorHAnsi"/>
          <w:iCs/>
        </w:rPr>
        <w:tab/>
        <w:t>(2)</w:t>
      </w:r>
    </w:p>
    <w:p w14:paraId="76818CFA" w14:textId="35E3E658" w:rsidR="00EE00BE" w:rsidRPr="005359D5" w:rsidRDefault="00EE00BE" w:rsidP="00DF77D1">
      <w:pPr>
        <w:spacing w:line="480" w:lineRule="auto"/>
        <w:jc w:val="both"/>
        <w:rPr>
          <w:rFonts w:cstheme="minorHAnsi"/>
          <w:iCs/>
        </w:rPr>
      </w:pPr>
      <w:r w:rsidRPr="005359D5">
        <w:rPr>
          <w:rFonts w:cstheme="minorHAnsi"/>
          <w:iCs/>
        </w:rPr>
        <w:t>For an individual it is possible to observe only one of the two potential outcomes; therefore, the parameter we are interested in estimating is the average effect of treatment offer at t=α which we call the ARE:</w:t>
      </w:r>
    </w:p>
    <w:p w14:paraId="030897F6" w14:textId="1A455DF8" w:rsidR="00EE00BE" w:rsidRPr="005359D5" w:rsidRDefault="00EE00BE" w:rsidP="00DF77D1">
      <w:pPr>
        <w:spacing w:line="480" w:lineRule="auto"/>
        <w:jc w:val="both"/>
        <w:rPr>
          <w:rFonts w:cstheme="minorHAnsi"/>
          <w:iCs/>
        </w:rPr>
      </w:pPr>
      <w:r w:rsidRPr="005359D5">
        <w:rPr>
          <w:rFonts w:cstheme="minorHAnsi"/>
          <w:iCs/>
        </w:rPr>
        <w:t xml:space="preserve">ARE(α) = </w:t>
      </w:r>
      <w:proofErr w:type="spellStart"/>
      <w:r w:rsidRPr="005359D5">
        <w:rPr>
          <w:rFonts w:cstheme="minorHAnsi"/>
          <w:iCs/>
        </w:rPr>
        <w:t>E</w:t>
      </w:r>
      <w:r w:rsidRPr="005359D5">
        <w:rPr>
          <w:rFonts w:cstheme="minorHAnsi"/>
          <w:iCs/>
          <w:vertAlign w:val="subscript"/>
        </w:rPr>
        <w:t>i</w:t>
      </w:r>
      <w:proofErr w:type="spellEnd"/>
      <w:r w:rsidRPr="005359D5">
        <w:rPr>
          <w:rFonts w:cstheme="minorHAnsi"/>
          <w:iCs/>
        </w:rPr>
        <w:t>(</w:t>
      </w:r>
      <w:proofErr w:type="spellStart"/>
      <w:r w:rsidRPr="005359D5">
        <w:rPr>
          <w:rFonts w:cstheme="minorHAnsi"/>
          <w:iCs/>
        </w:rPr>
        <w:t>Δ</w:t>
      </w:r>
      <w:r w:rsidRPr="005359D5">
        <w:rPr>
          <w:rFonts w:cstheme="minorHAnsi"/>
          <w:iCs/>
          <w:vertAlign w:val="subscript"/>
        </w:rPr>
        <w:t>i</w:t>
      </w:r>
      <w:proofErr w:type="spellEnd"/>
      <w:r w:rsidRPr="005359D5">
        <w:rPr>
          <w:rFonts w:cstheme="minorHAnsi"/>
          <w:iCs/>
        </w:rPr>
        <w:t xml:space="preserve">(α)) = </w:t>
      </w:r>
      <w:proofErr w:type="spellStart"/>
      <w:r w:rsidRPr="005359D5">
        <w:rPr>
          <w:rFonts w:cstheme="minorHAnsi"/>
          <w:iCs/>
        </w:rPr>
        <w:t>E</w:t>
      </w:r>
      <w:r w:rsidRPr="005359D5">
        <w:rPr>
          <w:rFonts w:cstheme="minorHAnsi"/>
          <w:iCs/>
          <w:vertAlign w:val="subscript"/>
        </w:rPr>
        <w:t>i</w:t>
      </w:r>
      <w:proofErr w:type="spellEnd"/>
      <w:r w:rsidRPr="005359D5">
        <w:rPr>
          <w:rFonts w:cstheme="minorHAnsi"/>
          <w:iCs/>
        </w:rPr>
        <w:t>(</w:t>
      </w:r>
      <w:proofErr w:type="spellStart"/>
      <w:r w:rsidRPr="005359D5">
        <w:rPr>
          <w:rFonts w:cstheme="minorHAnsi"/>
          <w:iCs/>
        </w:rPr>
        <w:t>y</w:t>
      </w:r>
      <w:r w:rsidRPr="005359D5">
        <w:rPr>
          <w:rFonts w:cstheme="minorHAnsi"/>
          <w:iCs/>
          <w:vertAlign w:val="subscript"/>
        </w:rPr>
        <w:t>ij</w:t>
      </w:r>
      <w:proofErr w:type="spellEnd"/>
      <w:r w:rsidRPr="005359D5">
        <w:rPr>
          <w:rFonts w:cstheme="minorHAnsi"/>
          <w:iCs/>
        </w:rPr>
        <w:t xml:space="preserve">, </w:t>
      </w:r>
      <w:r w:rsidRPr="005359D5">
        <w:rPr>
          <w:rFonts w:cstheme="minorHAnsi"/>
          <w:iCs/>
          <w:vertAlign w:val="subscript"/>
        </w:rPr>
        <w:t>R=1</w:t>
      </w:r>
      <w:r w:rsidRPr="005359D5">
        <w:rPr>
          <w:rFonts w:cstheme="minorHAnsi"/>
          <w:iCs/>
        </w:rPr>
        <w:t xml:space="preserve"> |α – </w:t>
      </w:r>
      <w:proofErr w:type="spellStart"/>
      <w:r w:rsidRPr="005359D5">
        <w:rPr>
          <w:rFonts w:cstheme="minorHAnsi"/>
          <w:iCs/>
        </w:rPr>
        <w:t>y</w:t>
      </w:r>
      <w:r w:rsidRPr="005359D5">
        <w:rPr>
          <w:rFonts w:cstheme="minorHAnsi"/>
          <w:iCs/>
          <w:vertAlign w:val="subscript"/>
        </w:rPr>
        <w:t>ij</w:t>
      </w:r>
      <w:proofErr w:type="spellEnd"/>
      <w:r w:rsidRPr="005359D5">
        <w:rPr>
          <w:rFonts w:cstheme="minorHAnsi"/>
          <w:iCs/>
          <w:vertAlign w:val="subscript"/>
        </w:rPr>
        <w:t>, R=0</w:t>
      </w:r>
      <w:r w:rsidRPr="005359D5">
        <w:rPr>
          <w:rFonts w:cstheme="minorHAnsi"/>
          <w:iCs/>
        </w:rPr>
        <w:t xml:space="preserve"> |α) = </w:t>
      </w:r>
      <w:proofErr w:type="spellStart"/>
      <w:r w:rsidRPr="005359D5">
        <w:rPr>
          <w:rFonts w:cstheme="minorHAnsi"/>
          <w:iCs/>
        </w:rPr>
        <w:t>E</w:t>
      </w:r>
      <w:r w:rsidRPr="005359D5">
        <w:rPr>
          <w:rFonts w:cstheme="minorHAnsi"/>
          <w:iCs/>
          <w:vertAlign w:val="subscript"/>
        </w:rPr>
        <w:t>i</w:t>
      </w:r>
      <w:proofErr w:type="spellEnd"/>
      <w:r w:rsidRPr="005359D5">
        <w:rPr>
          <w:rFonts w:cstheme="minorHAnsi"/>
          <w:iCs/>
        </w:rPr>
        <w:t>(</w:t>
      </w:r>
      <w:proofErr w:type="spellStart"/>
      <w:r w:rsidRPr="005359D5">
        <w:rPr>
          <w:rFonts w:cstheme="minorHAnsi"/>
          <w:iCs/>
        </w:rPr>
        <w:t>y</w:t>
      </w:r>
      <w:r w:rsidRPr="005359D5">
        <w:rPr>
          <w:rFonts w:cstheme="minorHAnsi"/>
          <w:iCs/>
          <w:vertAlign w:val="subscript"/>
        </w:rPr>
        <w:t>ij</w:t>
      </w:r>
      <w:proofErr w:type="spellEnd"/>
      <w:r w:rsidRPr="005359D5">
        <w:rPr>
          <w:rFonts w:cstheme="minorHAnsi"/>
          <w:iCs/>
        </w:rPr>
        <w:t xml:space="preserve">, </w:t>
      </w:r>
      <w:r w:rsidRPr="005359D5">
        <w:rPr>
          <w:rFonts w:cstheme="minorHAnsi"/>
          <w:iCs/>
          <w:vertAlign w:val="subscript"/>
        </w:rPr>
        <w:t>R=1</w:t>
      </w:r>
      <w:r w:rsidRPr="005359D5">
        <w:rPr>
          <w:rFonts w:cstheme="minorHAnsi"/>
          <w:iCs/>
        </w:rPr>
        <w:t xml:space="preserve"> |α) – </w:t>
      </w:r>
      <w:proofErr w:type="spellStart"/>
      <w:r w:rsidRPr="005359D5">
        <w:rPr>
          <w:rFonts w:cstheme="minorHAnsi"/>
          <w:iCs/>
        </w:rPr>
        <w:t>E</w:t>
      </w:r>
      <w:r w:rsidRPr="005359D5">
        <w:rPr>
          <w:rFonts w:cstheme="minorHAnsi"/>
          <w:iCs/>
          <w:vertAlign w:val="subscript"/>
        </w:rPr>
        <w:t>i</w:t>
      </w:r>
      <w:proofErr w:type="spellEnd"/>
      <w:r w:rsidRPr="005359D5">
        <w:rPr>
          <w:rFonts w:cstheme="minorHAnsi"/>
          <w:iCs/>
        </w:rPr>
        <w:t>(</w:t>
      </w:r>
      <w:proofErr w:type="spellStart"/>
      <w:r w:rsidRPr="005359D5">
        <w:rPr>
          <w:rFonts w:cstheme="minorHAnsi"/>
          <w:iCs/>
        </w:rPr>
        <w:t>y</w:t>
      </w:r>
      <w:r w:rsidRPr="005359D5">
        <w:rPr>
          <w:rFonts w:cstheme="minorHAnsi"/>
          <w:iCs/>
          <w:vertAlign w:val="subscript"/>
        </w:rPr>
        <w:t>ij</w:t>
      </w:r>
      <w:proofErr w:type="spellEnd"/>
      <w:r w:rsidRPr="005359D5">
        <w:rPr>
          <w:rFonts w:cstheme="minorHAnsi"/>
          <w:iCs/>
          <w:vertAlign w:val="subscript"/>
        </w:rPr>
        <w:t>, R=0</w:t>
      </w:r>
      <w:r w:rsidRPr="005359D5">
        <w:rPr>
          <w:rFonts w:cstheme="minorHAnsi"/>
          <w:iCs/>
        </w:rPr>
        <w:t xml:space="preserve"> |α)</w:t>
      </w:r>
      <w:r w:rsidR="00FC48A6" w:rsidRPr="005359D5">
        <w:rPr>
          <w:rFonts w:cstheme="minorHAnsi"/>
          <w:iCs/>
        </w:rPr>
        <w:t xml:space="preserve"> =</w:t>
      </w:r>
      <w:r w:rsidRPr="005359D5">
        <w:rPr>
          <w:rFonts w:cstheme="minorHAnsi"/>
          <w:iCs/>
        </w:rPr>
        <w:t xml:space="preserve"> μ</w:t>
      </w:r>
      <w:r w:rsidR="00FC48A6" w:rsidRPr="005359D5">
        <w:rPr>
          <w:rFonts w:cstheme="minorHAnsi"/>
          <w:iCs/>
          <w:vertAlign w:val="subscript"/>
        </w:rPr>
        <w:t>1</w:t>
      </w:r>
      <w:r w:rsidR="00FC48A6" w:rsidRPr="005359D5">
        <w:rPr>
          <w:rFonts w:cstheme="minorHAnsi"/>
          <w:iCs/>
        </w:rPr>
        <w:t>(</w:t>
      </w:r>
      <w:r w:rsidRPr="005359D5">
        <w:rPr>
          <w:rFonts w:cstheme="minorHAnsi"/>
          <w:iCs/>
        </w:rPr>
        <w:t>α</w:t>
      </w:r>
      <w:r w:rsidR="00FC48A6" w:rsidRPr="005359D5">
        <w:rPr>
          <w:rFonts w:cstheme="minorHAnsi"/>
          <w:iCs/>
        </w:rPr>
        <w:t xml:space="preserve">) – </w:t>
      </w:r>
      <w:r w:rsidRPr="005359D5">
        <w:rPr>
          <w:rFonts w:cstheme="minorHAnsi"/>
          <w:iCs/>
        </w:rPr>
        <w:t>μ</w:t>
      </w:r>
      <w:r w:rsidR="00FC48A6" w:rsidRPr="005359D5">
        <w:rPr>
          <w:rFonts w:cstheme="minorHAnsi"/>
          <w:iCs/>
          <w:vertAlign w:val="subscript"/>
        </w:rPr>
        <w:t>0</w:t>
      </w:r>
      <w:r w:rsidR="00FC48A6" w:rsidRPr="005359D5">
        <w:rPr>
          <w:rFonts w:cstheme="minorHAnsi"/>
          <w:iCs/>
        </w:rPr>
        <w:t>(</w:t>
      </w:r>
      <w:r w:rsidRPr="005359D5">
        <w:rPr>
          <w:rFonts w:cstheme="minorHAnsi"/>
          <w:iCs/>
        </w:rPr>
        <w:t>α</w:t>
      </w:r>
      <w:r w:rsidR="00FC48A6" w:rsidRPr="005359D5">
        <w:rPr>
          <w:rFonts w:cstheme="minorHAnsi"/>
          <w:iCs/>
        </w:rPr>
        <w:t>)</w:t>
      </w:r>
      <w:r w:rsidR="00FC48A6" w:rsidRPr="005359D5">
        <w:rPr>
          <w:rFonts w:cstheme="minorHAnsi"/>
          <w:iCs/>
        </w:rPr>
        <w:tab/>
        <w:t>(3)</w:t>
      </w:r>
    </w:p>
    <w:p w14:paraId="7232B6AD" w14:textId="2CDB5C75" w:rsidR="00FC48A6" w:rsidRPr="005359D5" w:rsidRDefault="00FC48A6" w:rsidP="00DF77D1">
      <w:pPr>
        <w:spacing w:line="480" w:lineRule="auto"/>
        <w:jc w:val="both"/>
        <w:rPr>
          <w:rFonts w:cstheme="minorHAnsi"/>
          <w:iCs/>
        </w:rPr>
      </w:pPr>
      <w:proofErr w:type="gramStart"/>
      <w:r w:rsidRPr="005359D5">
        <w:rPr>
          <w:rFonts w:cstheme="minorHAnsi"/>
          <w:iCs/>
        </w:rPr>
        <w:t>In order to</w:t>
      </w:r>
      <w:proofErr w:type="gramEnd"/>
      <w:r w:rsidR="0027451B">
        <w:rPr>
          <w:rFonts w:cstheme="minorHAnsi"/>
          <w:iCs/>
        </w:rPr>
        <w:t xml:space="preserve"> be</w:t>
      </w:r>
      <w:r w:rsidRPr="005359D5">
        <w:rPr>
          <w:rFonts w:cstheme="minorHAnsi"/>
          <w:iCs/>
        </w:rPr>
        <w:t xml:space="preserve"> able to estimate this parameter, appropriate expressions for the average trajectory in the population who are offered treatment and the population who are not</w:t>
      </w:r>
      <w:r w:rsidR="0027451B">
        <w:rPr>
          <w:rFonts w:cstheme="minorHAnsi"/>
          <w:iCs/>
        </w:rPr>
        <w:t xml:space="preserve"> are needed</w:t>
      </w:r>
      <w:r w:rsidRPr="005359D5">
        <w:rPr>
          <w:rFonts w:cstheme="minorHAnsi"/>
          <w:iCs/>
        </w:rPr>
        <w:t xml:space="preserve">. Previous work </w:t>
      </w:r>
      <w:r w:rsidR="00F209E7">
        <w:rPr>
          <w:rFonts w:cstheme="minorHAnsi"/>
          <w:iCs/>
        </w:rPr>
        <w:fldChar w:fldCharType="begin"/>
      </w:r>
      <w:r w:rsidR="00F209E7">
        <w:rPr>
          <w:rFonts w:cstheme="minorHAnsi"/>
          <w:iCs/>
        </w:rPr>
        <w:instrText xml:space="preserve"> ADDIN EN.CITE &lt;EndNote&gt;&lt;Cite&gt;&lt;Author&gt;Perera&lt;/Author&gt;&lt;Year&gt;2014&lt;/Year&gt;&lt;RecNum&gt;76&lt;/RecNum&gt;&lt;DisplayText&gt;(22)&lt;/DisplayText&gt;&lt;record&gt;&lt;rec-number&gt;76&lt;/rec-number&gt;&lt;foreign-keys&gt;&lt;key app="EN" db-id="xfrxfxvtcevea8evfd1v0fam9z25p0apdt00" timestamp="1655474099"&gt;76&lt;/key&gt;&lt;/foreign-keys&gt;&lt;ref-type name="Journal Article"&gt;17&lt;/ref-type&gt;&lt;contributors&gt;&lt;authors&gt;&lt;author&gt;Perera, Gayan&lt;/author&gt;&lt;author&gt;Khondoker, Mizanur&lt;/author&gt;&lt;author&gt;Broadbent, Matthew&lt;/author&gt;&lt;author&gt;Breen, Gerome&lt;/author&gt;&lt;author&gt;Stewart, Robert&lt;/author&gt;&lt;/authors&gt;&lt;/contributors&gt;&lt;titles&gt;&lt;title&gt;Factors associated with response to acetylcholinesterase inhibition in dementia: a cohort study from a secondary mental health care case register in London&lt;/title&gt;&lt;secondary-title&gt;PloS one&lt;/secondary-title&gt;&lt;/titles&gt;&lt;periodical&gt;&lt;full-title&gt;PLoS One&lt;/full-title&gt;&lt;/periodical&gt;&lt;pages&gt;e109484&lt;/pages&gt;&lt;volume&gt;9&lt;/volume&gt;&lt;number&gt;11&lt;/number&gt;&lt;dates&gt;&lt;year&gt;2014&lt;/year&gt;&lt;/dates&gt;&lt;isbn&gt;1932-6203&lt;/isbn&gt;&lt;urls&gt;&lt;/urls&gt;&lt;/record&gt;&lt;/Cite&gt;&lt;/EndNote&gt;</w:instrText>
      </w:r>
      <w:r w:rsidR="00F209E7">
        <w:rPr>
          <w:rFonts w:cstheme="minorHAnsi"/>
          <w:iCs/>
        </w:rPr>
        <w:fldChar w:fldCharType="separate"/>
      </w:r>
      <w:r w:rsidR="00F209E7">
        <w:rPr>
          <w:rFonts w:cstheme="minorHAnsi"/>
          <w:iCs/>
          <w:noProof/>
        </w:rPr>
        <w:t>(22)</w:t>
      </w:r>
      <w:r w:rsidR="00F209E7">
        <w:rPr>
          <w:rFonts w:cstheme="minorHAnsi"/>
          <w:iCs/>
        </w:rPr>
        <w:fldChar w:fldCharType="end"/>
      </w:r>
      <w:r w:rsidRPr="005359D5">
        <w:rPr>
          <w:rFonts w:cstheme="minorHAnsi"/>
          <w:iCs/>
        </w:rPr>
        <w:t xml:space="preserve"> and non-parametric modelling of the current treated cohort have indicated that </w:t>
      </w:r>
      <w:bookmarkStart w:id="6" w:name="_Hlk106373432"/>
      <w:r w:rsidRPr="005359D5">
        <w:rPr>
          <w:rFonts w:cstheme="minorHAnsi"/>
          <w:iCs/>
        </w:rPr>
        <w:t xml:space="preserve">a piecewise linear mixed effects model </w:t>
      </w:r>
      <w:r w:rsidR="00255E2C">
        <w:rPr>
          <w:rFonts w:cstheme="minorHAnsi"/>
          <w:iCs/>
        </w:rPr>
        <w:t xml:space="preserve">(or alternatively linear spline) </w:t>
      </w:r>
      <w:r w:rsidRPr="005359D5">
        <w:rPr>
          <w:rFonts w:cstheme="minorHAnsi"/>
          <w:iCs/>
        </w:rPr>
        <w:t>with two change points</w:t>
      </w:r>
      <w:r w:rsidR="00255E2C">
        <w:rPr>
          <w:rFonts w:cstheme="minorHAnsi"/>
          <w:iCs/>
        </w:rPr>
        <w:t xml:space="preserve"> (or knot points)</w:t>
      </w:r>
      <w:r w:rsidRPr="005359D5">
        <w:rPr>
          <w:rFonts w:cstheme="minorHAnsi"/>
          <w:iCs/>
        </w:rPr>
        <w:t xml:space="preserve">, at treatment offer (t=0) and at some </w:t>
      </w:r>
      <w:r w:rsidR="00255E2C">
        <w:rPr>
          <w:rFonts w:cstheme="minorHAnsi"/>
          <w:iCs/>
        </w:rPr>
        <w:t xml:space="preserve">unspecified </w:t>
      </w:r>
      <w:r w:rsidRPr="005359D5">
        <w:rPr>
          <w:rFonts w:cstheme="minorHAnsi"/>
          <w:iCs/>
        </w:rPr>
        <w:t xml:space="preserve">time subsequent (t=δ&gt;0), </w:t>
      </w:r>
      <w:bookmarkEnd w:id="6"/>
      <w:r w:rsidRPr="005359D5">
        <w:rPr>
          <w:rFonts w:cstheme="minorHAnsi"/>
          <w:iCs/>
        </w:rPr>
        <w:t>is appropriate to model the trajectory in those who are offered treatment</w:t>
      </w:r>
      <w:r w:rsidR="009F52FD">
        <w:rPr>
          <w:rFonts w:cstheme="minorHAnsi"/>
          <w:iCs/>
        </w:rPr>
        <w:t xml:space="preserve"> (see Figure 1)</w:t>
      </w:r>
      <w:r w:rsidRPr="005359D5">
        <w:rPr>
          <w:rFonts w:cstheme="minorHAnsi"/>
          <w:iCs/>
        </w:rPr>
        <w:t>:</w:t>
      </w:r>
    </w:p>
    <w:p w14:paraId="6F311593" w14:textId="77777777" w:rsidR="009D48B6" w:rsidRDefault="00FC48A6" w:rsidP="00DF77D1">
      <w:pPr>
        <w:spacing w:line="480" w:lineRule="auto"/>
        <w:rPr>
          <w:rFonts w:cstheme="minorHAnsi"/>
          <w:vertAlign w:val="subscript"/>
        </w:rPr>
      </w:pPr>
      <w:r w:rsidRPr="005359D5">
        <w:rPr>
          <w:rFonts w:cstheme="minorHAnsi"/>
        </w:rPr>
        <w:t>μ</w:t>
      </w:r>
      <w:r w:rsidRPr="005359D5">
        <w:rPr>
          <w:rFonts w:cstheme="minorHAnsi"/>
          <w:vertAlign w:val="subscript"/>
        </w:rPr>
        <w:t>1</w:t>
      </w:r>
      <w:r w:rsidRPr="005359D5">
        <w:rPr>
          <w:rFonts w:cstheme="minorHAnsi"/>
        </w:rPr>
        <w:t xml:space="preserve">(t) = </w:t>
      </w:r>
      <w:r w:rsidR="005359D5" w:rsidRPr="005359D5">
        <w:rPr>
          <w:rFonts w:cstheme="minorHAnsi"/>
        </w:rPr>
        <w:tab/>
      </w:r>
      <w:r w:rsidRPr="005359D5">
        <w:rPr>
          <w:rFonts w:cstheme="minorHAnsi"/>
        </w:rPr>
        <w:t>β</w:t>
      </w:r>
      <w:r w:rsidRPr="005359D5">
        <w:rPr>
          <w:rFonts w:cstheme="minorHAnsi"/>
          <w:vertAlign w:val="subscript"/>
        </w:rPr>
        <w:t>0</w:t>
      </w:r>
      <w:r w:rsidRPr="005359D5">
        <w:rPr>
          <w:rFonts w:cstheme="minorHAnsi"/>
        </w:rPr>
        <w:t xml:space="preserve"> + β</w:t>
      </w:r>
      <w:r w:rsidRPr="005359D5">
        <w:rPr>
          <w:rFonts w:cstheme="minorHAnsi"/>
          <w:vertAlign w:val="subscript"/>
        </w:rPr>
        <w:t xml:space="preserve">1 </w:t>
      </w:r>
      <w:r w:rsidRPr="005359D5">
        <w:rPr>
          <w:rFonts w:cstheme="minorHAnsi"/>
        </w:rPr>
        <w:t xml:space="preserve">t </w:t>
      </w:r>
      <w:r w:rsidR="005359D5" w:rsidRPr="005359D5">
        <w:rPr>
          <w:rFonts w:cstheme="minorHAnsi"/>
        </w:rPr>
        <w:t>,</w:t>
      </w:r>
      <w:r w:rsidR="005359D5" w:rsidRPr="005359D5">
        <w:rPr>
          <w:rFonts w:cstheme="minorHAnsi"/>
        </w:rPr>
        <w:tab/>
      </w:r>
      <w:r w:rsidR="005359D5" w:rsidRPr="005359D5">
        <w:rPr>
          <w:rFonts w:cstheme="minorHAnsi"/>
        </w:rPr>
        <w:tab/>
        <w:t>t&lt;0</w:t>
      </w:r>
      <w:r w:rsidR="005359D5" w:rsidRPr="005359D5">
        <w:rPr>
          <w:rFonts w:cstheme="minorHAnsi"/>
          <w:vertAlign w:val="subscript"/>
        </w:rPr>
        <w:br/>
      </w:r>
      <w:r w:rsidR="005359D5" w:rsidRPr="005359D5">
        <w:rPr>
          <w:rFonts w:cstheme="minorHAnsi"/>
        </w:rPr>
        <w:tab/>
        <w:t>β</w:t>
      </w:r>
      <w:r w:rsidR="005359D5" w:rsidRPr="005359D5">
        <w:rPr>
          <w:rFonts w:cstheme="minorHAnsi"/>
          <w:vertAlign w:val="subscript"/>
        </w:rPr>
        <w:t>0</w:t>
      </w:r>
      <w:r w:rsidR="005359D5" w:rsidRPr="005359D5">
        <w:rPr>
          <w:rFonts w:cstheme="minorHAnsi"/>
        </w:rPr>
        <w:t xml:space="preserve"> + β</w:t>
      </w:r>
      <w:r w:rsidR="005359D5" w:rsidRPr="005359D5">
        <w:rPr>
          <w:rFonts w:cstheme="minorHAnsi"/>
          <w:vertAlign w:val="subscript"/>
        </w:rPr>
        <w:t>2</w:t>
      </w:r>
      <w:r w:rsidR="005359D5" w:rsidRPr="005359D5">
        <w:rPr>
          <w:rFonts w:cstheme="minorHAnsi"/>
        </w:rPr>
        <w:t xml:space="preserve"> t,</w:t>
      </w:r>
      <w:r w:rsidR="005359D5" w:rsidRPr="005359D5">
        <w:rPr>
          <w:rFonts w:cstheme="minorHAnsi"/>
        </w:rPr>
        <w:tab/>
      </w:r>
      <w:r w:rsidR="005359D5" w:rsidRPr="005359D5">
        <w:rPr>
          <w:rFonts w:cstheme="minorHAnsi"/>
        </w:rPr>
        <w:tab/>
        <w:t>0≤t&lt;δ</w:t>
      </w:r>
      <w:r w:rsidR="005359D5" w:rsidRPr="005359D5">
        <w:rPr>
          <w:rFonts w:cstheme="minorHAnsi"/>
          <w:vertAlign w:val="subscript"/>
        </w:rPr>
        <w:br/>
      </w:r>
      <w:r w:rsidR="005359D5" w:rsidRPr="005359D5">
        <w:rPr>
          <w:rFonts w:cstheme="minorHAnsi"/>
        </w:rPr>
        <w:tab/>
        <w:t>β</w:t>
      </w:r>
      <w:r w:rsidR="005359D5" w:rsidRPr="005359D5">
        <w:rPr>
          <w:rFonts w:cstheme="minorHAnsi"/>
          <w:vertAlign w:val="subscript"/>
        </w:rPr>
        <w:t>0</w:t>
      </w:r>
      <w:r w:rsidR="005359D5" w:rsidRPr="005359D5">
        <w:rPr>
          <w:rFonts w:cstheme="minorHAnsi"/>
        </w:rPr>
        <w:t xml:space="preserve"> + (β</w:t>
      </w:r>
      <w:r w:rsidR="005359D5" w:rsidRPr="005359D5">
        <w:rPr>
          <w:rFonts w:cstheme="minorHAnsi"/>
          <w:vertAlign w:val="subscript"/>
        </w:rPr>
        <w:t>2</w:t>
      </w:r>
      <w:r w:rsidR="005359D5" w:rsidRPr="005359D5">
        <w:rPr>
          <w:rFonts w:cstheme="minorHAnsi"/>
        </w:rPr>
        <w:t xml:space="preserve"> - β</w:t>
      </w:r>
      <w:r w:rsidR="005359D5" w:rsidRPr="005359D5">
        <w:rPr>
          <w:rFonts w:cstheme="minorHAnsi"/>
          <w:vertAlign w:val="subscript"/>
        </w:rPr>
        <w:t>3</w:t>
      </w:r>
      <w:r w:rsidR="005359D5" w:rsidRPr="005359D5">
        <w:rPr>
          <w:rFonts w:cstheme="minorHAnsi"/>
        </w:rPr>
        <w:t>)δ + β</w:t>
      </w:r>
      <w:r w:rsidR="005359D5" w:rsidRPr="005359D5">
        <w:rPr>
          <w:rFonts w:cstheme="minorHAnsi"/>
          <w:vertAlign w:val="subscript"/>
        </w:rPr>
        <w:t>3</w:t>
      </w:r>
      <w:r w:rsidR="005359D5" w:rsidRPr="005359D5">
        <w:rPr>
          <w:rFonts w:cstheme="minorHAnsi"/>
        </w:rPr>
        <w:t>t,</w:t>
      </w:r>
      <w:r w:rsidR="005359D5" w:rsidRPr="005359D5">
        <w:rPr>
          <w:rFonts w:cstheme="minorHAnsi"/>
        </w:rPr>
        <w:tab/>
      </w:r>
      <w:proofErr w:type="spellStart"/>
      <w:r w:rsidR="005359D5" w:rsidRPr="005359D5">
        <w:rPr>
          <w:rFonts w:cstheme="minorHAnsi"/>
        </w:rPr>
        <w:t>t≥δ</w:t>
      </w:r>
      <w:proofErr w:type="spellEnd"/>
      <w:r w:rsidR="005359D5" w:rsidRPr="005359D5">
        <w:rPr>
          <w:rFonts w:cstheme="minorHAnsi"/>
        </w:rPr>
        <w:tab/>
      </w:r>
      <w:r w:rsidR="005359D5" w:rsidRPr="005359D5">
        <w:rPr>
          <w:rFonts w:cstheme="minorHAnsi"/>
        </w:rPr>
        <w:tab/>
      </w:r>
      <w:r w:rsidRPr="005359D5">
        <w:rPr>
          <w:rFonts w:cstheme="minorHAnsi"/>
          <w:vertAlign w:val="subscript"/>
        </w:rPr>
        <w:tab/>
      </w:r>
      <w:r w:rsidRPr="005359D5">
        <w:rPr>
          <w:rFonts w:cstheme="minorHAnsi"/>
          <w:vertAlign w:val="subscript"/>
        </w:rPr>
        <w:tab/>
      </w:r>
      <w:r w:rsidRPr="005359D5">
        <w:rPr>
          <w:rFonts w:cstheme="minorHAnsi"/>
          <w:vertAlign w:val="subscript"/>
        </w:rPr>
        <w:tab/>
      </w:r>
      <w:r w:rsidRPr="005359D5">
        <w:rPr>
          <w:rFonts w:cstheme="minorHAnsi"/>
          <w:vertAlign w:val="subscript"/>
        </w:rPr>
        <w:tab/>
      </w:r>
      <w:r w:rsidRPr="005359D5">
        <w:rPr>
          <w:rFonts w:cstheme="minorHAnsi"/>
          <w:vertAlign w:val="subscript"/>
        </w:rPr>
        <w:tab/>
      </w:r>
    </w:p>
    <w:p w14:paraId="746D6954" w14:textId="7313879B" w:rsidR="00FC48A6" w:rsidRPr="005359D5" w:rsidRDefault="009D48B6" w:rsidP="00DF77D1">
      <w:pPr>
        <w:spacing w:line="480" w:lineRule="auto"/>
        <w:rPr>
          <w:rFonts w:cstheme="minorHAnsi"/>
        </w:rPr>
      </w:pPr>
      <w:r w:rsidRPr="005359D5">
        <w:rPr>
          <w:rFonts w:cstheme="minorHAnsi"/>
        </w:rPr>
        <w:t>μ</w:t>
      </w:r>
      <w:r w:rsidRPr="005359D5">
        <w:rPr>
          <w:rFonts w:cstheme="minorHAnsi"/>
          <w:vertAlign w:val="subscript"/>
        </w:rPr>
        <w:t>1</w:t>
      </w:r>
      <w:r w:rsidRPr="005359D5">
        <w:rPr>
          <w:rFonts w:cstheme="minorHAnsi"/>
        </w:rPr>
        <w:t xml:space="preserve">(t) = </w:t>
      </w:r>
      <w:r w:rsidRPr="005359D5">
        <w:rPr>
          <w:rFonts w:cstheme="minorHAnsi"/>
        </w:rPr>
        <w:tab/>
        <w:t>β</w:t>
      </w:r>
      <w:r w:rsidRPr="005359D5">
        <w:rPr>
          <w:rFonts w:cstheme="minorHAnsi"/>
          <w:vertAlign w:val="subscript"/>
        </w:rPr>
        <w:t>0</w:t>
      </w:r>
      <w:r w:rsidRPr="005359D5">
        <w:rPr>
          <w:rFonts w:cstheme="minorHAnsi"/>
        </w:rPr>
        <w:t xml:space="preserve"> + β</w:t>
      </w:r>
      <w:r w:rsidRPr="005359D5">
        <w:rPr>
          <w:rFonts w:cstheme="minorHAnsi"/>
          <w:vertAlign w:val="subscript"/>
        </w:rPr>
        <w:t xml:space="preserve">1 </w:t>
      </w:r>
      <w:r w:rsidRPr="005359D5">
        <w:rPr>
          <w:rFonts w:cstheme="minorHAnsi"/>
        </w:rPr>
        <w:t xml:space="preserve">t </w:t>
      </w:r>
      <w:r w:rsidRPr="00E13E52">
        <w:rPr>
          <w:rFonts w:cstheme="minorHAnsi"/>
        </w:rPr>
        <w:t>1</w:t>
      </w:r>
      <w:r w:rsidRPr="00E13E52">
        <w:rPr>
          <w:rFonts w:cstheme="minorHAnsi"/>
          <w:vertAlign w:val="subscript"/>
        </w:rPr>
        <w:t>t&lt;0</w:t>
      </w:r>
      <w:r w:rsidRPr="00E13E52">
        <w:rPr>
          <w:rFonts w:cstheme="minorHAnsi"/>
        </w:rPr>
        <w:t xml:space="preserve"> + </w:t>
      </w:r>
      <w:r w:rsidRPr="005359D5">
        <w:rPr>
          <w:rFonts w:cstheme="minorHAnsi"/>
        </w:rPr>
        <w:t>β</w:t>
      </w:r>
      <w:r w:rsidRPr="005359D5">
        <w:rPr>
          <w:rFonts w:cstheme="minorHAnsi"/>
          <w:vertAlign w:val="subscript"/>
        </w:rPr>
        <w:t>2</w:t>
      </w:r>
      <w:r w:rsidRPr="005359D5">
        <w:rPr>
          <w:rFonts w:cstheme="minorHAnsi"/>
        </w:rPr>
        <w:t xml:space="preserve"> </w:t>
      </w:r>
      <w:r>
        <w:rPr>
          <w:rFonts w:cstheme="minorHAnsi"/>
        </w:rPr>
        <w:t>min(t,</w:t>
      </w:r>
      <w:r w:rsidRPr="009D48B6">
        <w:rPr>
          <w:rFonts w:cstheme="minorHAnsi"/>
        </w:rPr>
        <w:t xml:space="preserve"> </w:t>
      </w:r>
      <w:r w:rsidRPr="005359D5">
        <w:rPr>
          <w:rFonts w:cstheme="minorHAnsi"/>
        </w:rPr>
        <w:t>δ</w:t>
      </w:r>
      <w:r>
        <w:rPr>
          <w:rFonts w:cstheme="minorHAnsi"/>
        </w:rPr>
        <w:t>)</w:t>
      </w:r>
      <w:r w:rsidRPr="009D48B6">
        <w:rPr>
          <w:rFonts w:cstheme="minorHAnsi"/>
        </w:rPr>
        <w:t xml:space="preserve"> </w:t>
      </w:r>
      <w:r w:rsidRPr="00E13E52">
        <w:rPr>
          <w:rFonts w:cstheme="minorHAnsi"/>
        </w:rPr>
        <w:t>1</w:t>
      </w:r>
      <w:r w:rsidRPr="00E13E52">
        <w:rPr>
          <w:rFonts w:cstheme="minorHAnsi"/>
          <w:vertAlign w:val="subscript"/>
        </w:rPr>
        <w:t>t</w:t>
      </w:r>
      <w:r>
        <w:rPr>
          <w:rFonts w:cstheme="minorHAnsi"/>
          <w:vertAlign w:val="subscript"/>
        </w:rPr>
        <w:t>≥</w:t>
      </w:r>
      <w:r w:rsidRPr="00E13E52">
        <w:rPr>
          <w:rFonts w:cstheme="minorHAnsi"/>
          <w:vertAlign w:val="subscript"/>
        </w:rPr>
        <w:t>0</w:t>
      </w:r>
      <w:r>
        <w:rPr>
          <w:rFonts w:cstheme="minorHAnsi"/>
          <w:vertAlign w:val="subscript"/>
        </w:rPr>
        <w:t xml:space="preserve">  </w:t>
      </w:r>
      <w:r>
        <w:rPr>
          <w:rFonts w:cstheme="minorHAnsi"/>
        </w:rPr>
        <w:t xml:space="preserve">+ </w:t>
      </w:r>
      <w:r w:rsidRPr="005359D5">
        <w:rPr>
          <w:rFonts w:cstheme="minorHAnsi"/>
        </w:rPr>
        <w:t>β</w:t>
      </w:r>
      <w:r w:rsidRPr="005359D5">
        <w:rPr>
          <w:rFonts w:cstheme="minorHAnsi"/>
          <w:vertAlign w:val="subscript"/>
        </w:rPr>
        <w:t>3</w:t>
      </w:r>
      <w:r>
        <w:rPr>
          <w:rFonts w:cstheme="minorHAnsi"/>
        </w:rPr>
        <w:t xml:space="preserve"> (t-</w:t>
      </w:r>
      <w:r w:rsidRPr="009D48B6">
        <w:rPr>
          <w:rFonts w:cstheme="minorHAnsi"/>
        </w:rPr>
        <w:t xml:space="preserve"> </w:t>
      </w:r>
      <w:r w:rsidRPr="005359D5">
        <w:rPr>
          <w:rFonts w:cstheme="minorHAnsi"/>
        </w:rPr>
        <w:t>δ</w:t>
      </w:r>
      <w:r>
        <w:rPr>
          <w:rFonts w:cstheme="minorHAnsi"/>
        </w:rPr>
        <w:t>)</w:t>
      </w:r>
      <w:r w:rsidRPr="009D48B6">
        <w:rPr>
          <w:rFonts w:cstheme="minorHAnsi"/>
        </w:rPr>
        <w:t xml:space="preserve"> </w:t>
      </w:r>
      <w:r w:rsidRPr="00E13E52">
        <w:rPr>
          <w:rFonts w:cstheme="minorHAnsi"/>
        </w:rPr>
        <w:t>1</w:t>
      </w:r>
      <w:r w:rsidRPr="00E13E52">
        <w:rPr>
          <w:rFonts w:cstheme="minorHAnsi"/>
          <w:vertAlign w:val="subscript"/>
        </w:rPr>
        <w:t>t</w:t>
      </w:r>
      <w:r>
        <w:rPr>
          <w:rFonts w:cstheme="minorHAnsi"/>
          <w:vertAlign w:val="subscript"/>
        </w:rPr>
        <w:t>≥</w:t>
      </w:r>
      <w:r w:rsidRPr="00D10B2A">
        <w:rPr>
          <w:rFonts w:cstheme="minorHAnsi"/>
          <w:vertAlign w:val="subscript"/>
        </w:rPr>
        <w:t>δ</w:t>
      </w:r>
      <w:r>
        <w:rPr>
          <w:rFonts w:cstheme="minorHAnsi"/>
          <w:vertAlign w:val="subscript"/>
        </w:rPr>
        <w:t xml:space="preserve">  </w:t>
      </w:r>
      <w:r w:rsidRPr="00E13E52">
        <w:rPr>
          <w:rFonts w:cstheme="minorHAnsi"/>
        </w:rPr>
        <w:t xml:space="preserve"> </w:t>
      </w:r>
      <w:r w:rsidR="00255E2C">
        <w:rPr>
          <w:rFonts w:cstheme="minorHAnsi"/>
        </w:rPr>
        <w:tab/>
      </w:r>
      <w:r w:rsidR="00255E2C">
        <w:rPr>
          <w:rFonts w:cstheme="minorHAnsi"/>
        </w:rPr>
        <w:tab/>
      </w:r>
      <w:r w:rsidR="00255E2C">
        <w:rPr>
          <w:rFonts w:cstheme="minorHAnsi"/>
        </w:rPr>
        <w:tab/>
      </w:r>
      <w:r w:rsidR="00255E2C">
        <w:rPr>
          <w:rFonts w:cstheme="minorHAnsi"/>
        </w:rPr>
        <w:tab/>
      </w:r>
      <w:r w:rsidR="00255E2C">
        <w:rPr>
          <w:rFonts w:cstheme="minorHAnsi"/>
        </w:rPr>
        <w:tab/>
      </w:r>
      <w:r w:rsidR="00255E2C">
        <w:rPr>
          <w:rFonts w:cstheme="minorHAnsi"/>
        </w:rPr>
        <w:tab/>
      </w:r>
      <w:r w:rsidR="00FC48A6" w:rsidRPr="005359D5">
        <w:rPr>
          <w:rFonts w:cstheme="minorHAnsi"/>
        </w:rPr>
        <w:t>(4)</w:t>
      </w:r>
    </w:p>
    <w:p w14:paraId="23442F79" w14:textId="4CDF2882" w:rsidR="009F52FD" w:rsidRDefault="00D6425F" w:rsidP="00DF77D1">
      <w:pPr>
        <w:spacing w:line="480" w:lineRule="auto"/>
        <w:jc w:val="both"/>
        <w:rPr>
          <w:rFonts w:cstheme="minorHAnsi"/>
        </w:rPr>
      </w:pPr>
      <w:r>
        <w:rPr>
          <w:rFonts w:cstheme="minorHAnsi"/>
          <w:noProof/>
          <w:lang w:eastAsia="en-GB"/>
        </w:rPr>
        <w:lastRenderedPageBreak/>
        <w:drawing>
          <wp:inline distT="0" distB="0" distL="0" distR="0" wp14:anchorId="2821E649" wp14:editId="3CC2B4EF">
            <wp:extent cx="5731510" cy="4161155"/>
            <wp:effectExtent l="0" t="0" r="2540" b="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731510" cy="4161155"/>
                    </a:xfrm>
                    <a:prstGeom prst="rect">
                      <a:avLst/>
                    </a:prstGeom>
                  </pic:spPr>
                </pic:pic>
              </a:graphicData>
            </a:graphic>
          </wp:inline>
        </w:drawing>
      </w:r>
    </w:p>
    <w:p w14:paraId="0A0E7A92" w14:textId="0249BEEE" w:rsidR="009F52FD" w:rsidRPr="009F52FD" w:rsidRDefault="009F52FD" w:rsidP="00DF77D1">
      <w:pPr>
        <w:spacing w:line="480" w:lineRule="auto"/>
        <w:jc w:val="both"/>
        <w:rPr>
          <w:rFonts w:cstheme="minorHAnsi"/>
        </w:rPr>
      </w:pPr>
      <w:r>
        <w:rPr>
          <w:rFonts w:cstheme="minorHAnsi"/>
          <w:b/>
        </w:rPr>
        <w:t xml:space="preserve">Figure 1: </w:t>
      </w:r>
      <w:r>
        <w:rPr>
          <w:rFonts w:cstheme="minorHAnsi"/>
        </w:rPr>
        <w:t>Piecewise linear model for MMSE trajectories</w:t>
      </w:r>
    </w:p>
    <w:p w14:paraId="328E4B77" w14:textId="09DDF267" w:rsidR="00FC48A6" w:rsidRPr="005359D5" w:rsidRDefault="00FC48A6" w:rsidP="00DF77D1">
      <w:pPr>
        <w:spacing w:line="480" w:lineRule="auto"/>
        <w:jc w:val="both"/>
        <w:rPr>
          <w:rFonts w:cstheme="minorHAnsi"/>
        </w:rPr>
      </w:pPr>
      <w:r w:rsidRPr="005359D5">
        <w:rPr>
          <w:rFonts w:cstheme="minorHAnsi"/>
        </w:rPr>
        <w:t xml:space="preserve">All participants in the cohort were offered treatment, and so an assumption must be made about what would have happened had they not been offered treatment. The assumption made is that they would have </w:t>
      </w:r>
      <w:proofErr w:type="gramStart"/>
      <w:r w:rsidRPr="005359D5">
        <w:rPr>
          <w:rFonts w:cstheme="minorHAnsi"/>
        </w:rPr>
        <w:t>continued on</w:t>
      </w:r>
      <w:proofErr w:type="gramEnd"/>
      <w:r w:rsidRPr="005359D5">
        <w:rPr>
          <w:rFonts w:cstheme="minorHAnsi"/>
        </w:rPr>
        <w:t xml:space="preserve"> their pre-treatment trajectory (A1):</w:t>
      </w:r>
    </w:p>
    <w:p w14:paraId="401D7119" w14:textId="05205039" w:rsidR="00FC48A6" w:rsidRPr="005359D5" w:rsidRDefault="00FC48A6" w:rsidP="00DF77D1">
      <w:pPr>
        <w:spacing w:line="480" w:lineRule="auto"/>
        <w:jc w:val="both"/>
        <w:rPr>
          <w:rFonts w:cstheme="minorHAnsi"/>
        </w:rPr>
      </w:pPr>
      <w:r w:rsidRPr="005359D5">
        <w:rPr>
          <w:rFonts w:cstheme="minorHAnsi"/>
        </w:rPr>
        <w:t>μ</w:t>
      </w:r>
      <w:r w:rsidRPr="005359D5">
        <w:rPr>
          <w:rFonts w:cstheme="minorHAnsi"/>
          <w:vertAlign w:val="subscript"/>
        </w:rPr>
        <w:t>0</w:t>
      </w:r>
      <w:r w:rsidRPr="005359D5">
        <w:rPr>
          <w:rFonts w:cstheme="minorHAnsi"/>
        </w:rPr>
        <w:t>(t) = β</w:t>
      </w:r>
      <w:r w:rsidRPr="005359D5">
        <w:rPr>
          <w:rFonts w:cstheme="minorHAnsi"/>
          <w:vertAlign w:val="subscript"/>
        </w:rPr>
        <w:t>0</w:t>
      </w:r>
      <w:r w:rsidRPr="005359D5">
        <w:rPr>
          <w:rFonts w:cstheme="minorHAnsi"/>
        </w:rPr>
        <w:t xml:space="preserve"> + β</w:t>
      </w:r>
      <w:r w:rsidRPr="005359D5">
        <w:rPr>
          <w:rFonts w:cstheme="minorHAnsi"/>
          <w:vertAlign w:val="subscript"/>
        </w:rPr>
        <w:t>1</w:t>
      </w:r>
      <w:r w:rsidRPr="005359D5">
        <w:rPr>
          <w:rFonts w:cstheme="minorHAnsi"/>
        </w:rPr>
        <w:t xml:space="preserve"> t</w:t>
      </w:r>
      <w:r w:rsidRPr="005359D5">
        <w:rPr>
          <w:rFonts w:cstheme="minorHAnsi"/>
        </w:rPr>
        <w:tab/>
      </w:r>
      <w:r w:rsidRPr="005359D5">
        <w:rPr>
          <w:rFonts w:cstheme="minorHAnsi"/>
        </w:rPr>
        <w:tab/>
      </w:r>
      <w:r w:rsidRPr="005359D5">
        <w:rPr>
          <w:rFonts w:cstheme="minorHAnsi"/>
        </w:rPr>
        <w:tab/>
      </w:r>
      <w:r w:rsidRPr="005359D5">
        <w:rPr>
          <w:rFonts w:cstheme="minorHAnsi"/>
        </w:rPr>
        <w:tab/>
      </w:r>
      <w:r w:rsidRPr="005359D5">
        <w:rPr>
          <w:rFonts w:cstheme="minorHAnsi"/>
        </w:rPr>
        <w:tab/>
      </w:r>
      <w:r w:rsidRPr="005359D5">
        <w:rPr>
          <w:rFonts w:cstheme="minorHAnsi"/>
        </w:rPr>
        <w:tab/>
      </w:r>
      <w:r w:rsidRPr="005359D5">
        <w:rPr>
          <w:rFonts w:cstheme="minorHAnsi"/>
        </w:rPr>
        <w:tab/>
      </w:r>
      <w:r w:rsidRPr="005359D5">
        <w:rPr>
          <w:rFonts w:cstheme="minorHAnsi"/>
        </w:rPr>
        <w:tab/>
      </w:r>
      <w:r w:rsidRPr="005359D5">
        <w:rPr>
          <w:rFonts w:cstheme="minorHAnsi"/>
        </w:rPr>
        <w:tab/>
      </w:r>
      <w:r w:rsidRPr="005359D5">
        <w:rPr>
          <w:rFonts w:cstheme="minorHAnsi"/>
        </w:rPr>
        <w:tab/>
        <w:t>(5)</w:t>
      </w:r>
    </w:p>
    <w:p w14:paraId="43B247E4" w14:textId="094D2C6E" w:rsidR="00FC48A6" w:rsidRPr="005359D5" w:rsidRDefault="00FC48A6" w:rsidP="00DF77D1">
      <w:pPr>
        <w:spacing w:line="480" w:lineRule="auto"/>
        <w:jc w:val="both"/>
        <w:rPr>
          <w:rFonts w:cstheme="minorHAnsi"/>
        </w:rPr>
      </w:pPr>
      <w:r w:rsidRPr="005359D5">
        <w:rPr>
          <w:rFonts w:cstheme="minorHAnsi"/>
        </w:rPr>
        <w:t xml:space="preserve">Having made this </w:t>
      </w:r>
      <w:proofErr w:type="gramStart"/>
      <w:r w:rsidRPr="005359D5">
        <w:rPr>
          <w:rFonts w:cstheme="minorHAnsi"/>
        </w:rPr>
        <w:t>assumption</w:t>
      </w:r>
      <w:proofErr w:type="gramEnd"/>
      <w:r w:rsidRPr="005359D5">
        <w:rPr>
          <w:rFonts w:cstheme="minorHAnsi"/>
        </w:rPr>
        <w:t xml:space="preserve"> it is possible to derive an expression for a</w:t>
      </w:r>
      <w:r w:rsidR="000F6911">
        <w:rPr>
          <w:rFonts w:cstheme="minorHAnsi"/>
        </w:rPr>
        <w:t>n estimator of</w:t>
      </w:r>
      <w:r w:rsidRPr="005359D5">
        <w:rPr>
          <w:rFonts w:cstheme="minorHAnsi"/>
        </w:rPr>
        <w:t xml:space="preserve"> treatment effect parameter (ARE). </w:t>
      </w:r>
      <w:r w:rsidR="004A0870">
        <w:rPr>
          <w:rFonts w:cstheme="minorHAnsi"/>
        </w:rPr>
        <w:t>This estimator of treatment effect is denoted</w:t>
      </w:r>
      <w:r w:rsidRPr="005359D5">
        <w:rPr>
          <w:rFonts w:cstheme="minorHAnsi"/>
        </w:rPr>
        <w:t xml:space="preserve"> θ</w:t>
      </w:r>
      <w:r w:rsidRPr="005359D5">
        <w:rPr>
          <w:rFonts w:cstheme="minorHAnsi"/>
          <w:vertAlign w:val="subscript"/>
        </w:rPr>
        <w:t>α</w:t>
      </w:r>
      <w:r w:rsidR="004A0870">
        <w:rPr>
          <w:rFonts w:cstheme="minorHAnsi"/>
        </w:rPr>
        <w:t>, and may suffer from bias since it relies on assumption A1</w:t>
      </w:r>
      <w:r w:rsidRPr="005359D5">
        <w:rPr>
          <w:rFonts w:cstheme="minorHAnsi"/>
        </w:rPr>
        <w:t>:</w:t>
      </w:r>
    </w:p>
    <w:p w14:paraId="6CB516CC" w14:textId="5F73CC94" w:rsidR="005359D5" w:rsidRPr="00E54A6E" w:rsidRDefault="00FC48A6" w:rsidP="00DF77D1">
      <w:pPr>
        <w:spacing w:line="480" w:lineRule="auto"/>
        <w:rPr>
          <w:rFonts w:cstheme="minorHAnsi"/>
          <w:iCs/>
        </w:rPr>
      </w:pPr>
      <w:r w:rsidRPr="005359D5">
        <w:rPr>
          <w:rFonts w:cstheme="minorHAnsi"/>
        </w:rPr>
        <w:t>θ</w:t>
      </w:r>
      <w:r w:rsidRPr="005359D5">
        <w:rPr>
          <w:rFonts w:cstheme="minorHAnsi"/>
          <w:vertAlign w:val="subscript"/>
        </w:rPr>
        <w:t>α</w:t>
      </w:r>
      <w:r w:rsidRPr="005359D5">
        <w:rPr>
          <w:rFonts w:cstheme="minorHAnsi"/>
        </w:rPr>
        <w:t xml:space="preserve"> = </w:t>
      </w:r>
      <w:r w:rsidRPr="005359D5">
        <w:rPr>
          <w:rFonts w:cstheme="minorHAnsi"/>
          <w:iCs/>
        </w:rPr>
        <w:t>μ</w:t>
      </w:r>
      <w:r w:rsidRPr="005359D5">
        <w:rPr>
          <w:rFonts w:cstheme="minorHAnsi"/>
          <w:iCs/>
          <w:vertAlign w:val="subscript"/>
        </w:rPr>
        <w:t>1</w:t>
      </w:r>
      <w:r w:rsidRPr="005359D5">
        <w:rPr>
          <w:rFonts w:cstheme="minorHAnsi"/>
          <w:iCs/>
        </w:rPr>
        <w:t>(α) – μ</w:t>
      </w:r>
      <w:r w:rsidRPr="005359D5">
        <w:rPr>
          <w:rFonts w:cstheme="minorHAnsi"/>
          <w:iCs/>
          <w:vertAlign w:val="subscript"/>
        </w:rPr>
        <w:t>0</w:t>
      </w:r>
      <w:r w:rsidRPr="005359D5">
        <w:rPr>
          <w:rFonts w:cstheme="minorHAnsi"/>
          <w:iCs/>
        </w:rPr>
        <w:t>(α)</w:t>
      </w:r>
      <w:r w:rsidR="005359D5" w:rsidRPr="005359D5">
        <w:rPr>
          <w:rFonts w:cstheme="minorHAnsi"/>
          <w:iCs/>
        </w:rPr>
        <w:t xml:space="preserve"> = (β</w:t>
      </w:r>
      <w:r w:rsidR="005359D5" w:rsidRPr="005359D5">
        <w:rPr>
          <w:rFonts w:cstheme="minorHAnsi"/>
          <w:iCs/>
          <w:vertAlign w:val="subscript"/>
        </w:rPr>
        <w:t>2</w:t>
      </w:r>
      <w:r w:rsidR="005359D5" w:rsidRPr="005359D5">
        <w:rPr>
          <w:rFonts w:cstheme="minorHAnsi"/>
          <w:iCs/>
        </w:rPr>
        <w:t xml:space="preserve"> – β</w:t>
      </w:r>
      <w:r w:rsidR="005359D5" w:rsidRPr="005359D5">
        <w:rPr>
          <w:rFonts w:cstheme="minorHAnsi"/>
          <w:iCs/>
          <w:vertAlign w:val="subscript"/>
        </w:rPr>
        <w:t>1</w:t>
      </w:r>
      <w:r w:rsidR="005359D5" w:rsidRPr="005359D5">
        <w:rPr>
          <w:rFonts w:cstheme="minorHAnsi"/>
          <w:iCs/>
        </w:rPr>
        <w:t>) α,</w:t>
      </w:r>
      <w:r w:rsidR="005359D5" w:rsidRPr="005359D5">
        <w:rPr>
          <w:rFonts w:cstheme="minorHAnsi"/>
          <w:iCs/>
        </w:rPr>
        <w:tab/>
      </w:r>
      <w:r w:rsidR="005359D5" w:rsidRPr="005359D5">
        <w:rPr>
          <w:rFonts w:cstheme="minorHAnsi"/>
          <w:iCs/>
        </w:rPr>
        <w:tab/>
      </w:r>
      <w:r w:rsidR="005359D5" w:rsidRPr="005359D5">
        <w:rPr>
          <w:rFonts w:cstheme="minorHAnsi"/>
          <w:iCs/>
        </w:rPr>
        <w:tab/>
        <w:t>α&lt;δ</w:t>
      </w:r>
      <w:r w:rsidR="005359D5" w:rsidRPr="005359D5">
        <w:rPr>
          <w:rFonts w:cstheme="minorHAnsi"/>
          <w:iCs/>
        </w:rPr>
        <w:br/>
      </w:r>
      <w:r w:rsidR="005359D5" w:rsidRPr="00E54A6E">
        <w:rPr>
          <w:rFonts w:cstheme="minorHAnsi"/>
          <w:iCs/>
        </w:rPr>
        <w:tab/>
      </w:r>
      <w:r w:rsidR="005359D5" w:rsidRPr="00E54A6E">
        <w:rPr>
          <w:rFonts w:cstheme="minorHAnsi"/>
          <w:iCs/>
        </w:rPr>
        <w:tab/>
        <w:t xml:space="preserve">      (β</w:t>
      </w:r>
      <w:r w:rsidR="005359D5" w:rsidRPr="00E54A6E">
        <w:rPr>
          <w:rFonts w:cstheme="minorHAnsi"/>
          <w:iCs/>
          <w:vertAlign w:val="subscript"/>
        </w:rPr>
        <w:t>2</w:t>
      </w:r>
      <w:r w:rsidR="005359D5" w:rsidRPr="00E54A6E">
        <w:rPr>
          <w:rFonts w:cstheme="minorHAnsi"/>
          <w:iCs/>
        </w:rPr>
        <w:t xml:space="preserve"> – β</w:t>
      </w:r>
      <w:r w:rsidR="005359D5" w:rsidRPr="00E54A6E">
        <w:rPr>
          <w:rFonts w:cstheme="minorHAnsi"/>
          <w:iCs/>
          <w:vertAlign w:val="subscript"/>
        </w:rPr>
        <w:t>3</w:t>
      </w:r>
      <w:r w:rsidR="005359D5" w:rsidRPr="00E54A6E">
        <w:rPr>
          <w:rFonts w:cstheme="minorHAnsi"/>
          <w:iCs/>
        </w:rPr>
        <w:t>)δ + (β</w:t>
      </w:r>
      <w:r w:rsidR="005359D5" w:rsidRPr="00E54A6E">
        <w:rPr>
          <w:rFonts w:cstheme="minorHAnsi"/>
          <w:iCs/>
          <w:vertAlign w:val="subscript"/>
        </w:rPr>
        <w:t>3</w:t>
      </w:r>
      <w:r w:rsidR="005359D5" w:rsidRPr="00E54A6E">
        <w:rPr>
          <w:rFonts w:cstheme="minorHAnsi"/>
          <w:iCs/>
        </w:rPr>
        <w:t xml:space="preserve"> – β</w:t>
      </w:r>
      <w:r w:rsidR="005359D5" w:rsidRPr="00E54A6E">
        <w:rPr>
          <w:rFonts w:cstheme="minorHAnsi"/>
          <w:iCs/>
          <w:vertAlign w:val="subscript"/>
        </w:rPr>
        <w:t>1</w:t>
      </w:r>
      <w:r w:rsidR="005359D5" w:rsidRPr="00E54A6E">
        <w:rPr>
          <w:rFonts w:cstheme="minorHAnsi"/>
          <w:iCs/>
        </w:rPr>
        <w:t>)α,</w:t>
      </w:r>
      <w:r w:rsidR="005359D5" w:rsidRPr="00E54A6E">
        <w:rPr>
          <w:rFonts w:cstheme="minorHAnsi"/>
          <w:iCs/>
        </w:rPr>
        <w:tab/>
        <w:t>α≥δ</w:t>
      </w:r>
      <w:r w:rsidR="005359D5" w:rsidRPr="00E54A6E">
        <w:rPr>
          <w:rFonts w:cstheme="minorHAnsi"/>
          <w:iCs/>
        </w:rPr>
        <w:tab/>
      </w:r>
      <w:r w:rsidR="005359D5" w:rsidRPr="00E54A6E">
        <w:rPr>
          <w:rFonts w:cstheme="minorHAnsi"/>
          <w:iCs/>
        </w:rPr>
        <w:tab/>
      </w:r>
      <w:r w:rsidR="005359D5" w:rsidRPr="00E54A6E">
        <w:rPr>
          <w:rFonts w:cstheme="minorHAnsi"/>
          <w:iCs/>
        </w:rPr>
        <w:tab/>
      </w:r>
      <w:r w:rsidR="005359D5" w:rsidRPr="00E54A6E">
        <w:rPr>
          <w:rFonts w:cstheme="minorHAnsi"/>
          <w:iCs/>
        </w:rPr>
        <w:tab/>
      </w:r>
      <w:r w:rsidR="005359D5" w:rsidRPr="00E54A6E">
        <w:rPr>
          <w:rFonts w:cstheme="minorHAnsi"/>
          <w:iCs/>
        </w:rPr>
        <w:tab/>
        <w:t>(6)</w:t>
      </w:r>
    </w:p>
    <w:p w14:paraId="787C3B47" w14:textId="76AC0806" w:rsidR="005359D5" w:rsidRPr="00E54A6E" w:rsidRDefault="005359D5" w:rsidP="00DF77D1">
      <w:pPr>
        <w:spacing w:line="480" w:lineRule="auto"/>
        <w:rPr>
          <w:rFonts w:cstheme="minorHAnsi"/>
          <w:iCs/>
        </w:rPr>
      </w:pPr>
      <w:r w:rsidRPr="00E54A6E">
        <w:rPr>
          <w:rFonts w:cstheme="minorHAnsi"/>
          <w:iCs/>
        </w:rPr>
        <w:t>Equation (6) can be rearrange</w:t>
      </w:r>
      <w:r w:rsidR="00795CF4">
        <w:rPr>
          <w:rFonts w:cstheme="minorHAnsi"/>
          <w:iCs/>
        </w:rPr>
        <w:t>d</w:t>
      </w:r>
      <w:r w:rsidRPr="00E54A6E">
        <w:rPr>
          <w:rFonts w:cstheme="minorHAnsi"/>
          <w:iCs/>
        </w:rPr>
        <w:t xml:space="preserve"> to express β</w:t>
      </w:r>
      <w:r w:rsidRPr="00E54A6E">
        <w:rPr>
          <w:rFonts w:cstheme="minorHAnsi"/>
          <w:iCs/>
          <w:vertAlign w:val="subscript"/>
        </w:rPr>
        <w:t>2</w:t>
      </w:r>
      <w:r w:rsidRPr="00E54A6E">
        <w:rPr>
          <w:rFonts w:cstheme="minorHAnsi"/>
          <w:iCs/>
        </w:rPr>
        <w:t xml:space="preserve"> in terms of the other parameters:</w:t>
      </w:r>
    </w:p>
    <w:p w14:paraId="41B3FB5A" w14:textId="5AEBC1B1" w:rsidR="005359D5" w:rsidRPr="00E54A6E" w:rsidRDefault="005359D5" w:rsidP="00DF77D1">
      <w:pPr>
        <w:spacing w:line="480" w:lineRule="auto"/>
        <w:rPr>
          <w:rFonts w:eastAsiaTheme="minorEastAsia" w:cstheme="minorHAnsi"/>
          <w:iCs/>
        </w:rPr>
      </w:pPr>
      <w:r w:rsidRPr="00E54A6E">
        <w:rPr>
          <w:rFonts w:cstheme="minorHAnsi"/>
          <w:iCs/>
        </w:rPr>
        <w:lastRenderedPageBreak/>
        <w:t>β</w:t>
      </w:r>
      <w:r w:rsidRPr="00E54A6E">
        <w:rPr>
          <w:rFonts w:cstheme="minorHAnsi"/>
          <w:iCs/>
          <w:vertAlign w:val="subscript"/>
        </w:rPr>
        <w:t xml:space="preserve">2 </w:t>
      </w:r>
      <w:r w:rsidRPr="00E54A6E">
        <w:rPr>
          <w:rFonts w:cstheme="minorHAnsi"/>
          <w:iCs/>
        </w:rPr>
        <w:t xml:space="preserve">= </w:t>
      </w:r>
      <m:oMath>
        <m:f>
          <m:fPr>
            <m:ctrlPr>
              <w:rPr>
                <w:rFonts w:ascii="Cambria Math" w:hAnsi="Cambria Math" w:cstheme="minorHAnsi"/>
                <w:i/>
                <w:iCs/>
              </w:rPr>
            </m:ctrlPr>
          </m:fPr>
          <m:num>
            <m:r>
              <w:rPr>
                <w:rFonts w:ascii="Cambria Math" w:hAnsi="Cambria Math" w:cstheme="minorHAnsi"/>
              </w:rPr>
              <m:t>1</m:t>
            </m:r>
          </m:num>
          <m:den>
            <m:r>
              <w:rPr>
                <w:rFonts w:ascii="Cambria Math" w:hAnsi="Cambria Math" w:cstheme="minorHAnsi"/>
              </w:rPr>
              <m:t>α</m:t>
            </m:r>
          </m:den>
        </m:f>
      </m:oMath>
      <w:r w:rsidRPr="00E54A6E">
        <w:rPr>
          <w:rFonts w:eastAsiaTheme="minorEastAsia" w:cstheme="minorHAnsi"/>
          <w:iCs/>
        </w:rPr>
        <w:t>θ</w:t>
      </w:r>
      <w:r w:rsidRPr="00E54A6E">
        <w:rPr>
          <w:rFonts w:eastAsiaTheme="minorEastAsia" w:cstheme="minorHAnsi"/>
          <w:iCs/>
          <w:vertAlign w:val="subscript"/>
        </w:rPr>
        <w:t>α</w:t>
      </w:r>
      <w:r w:rsidRPr="00E54A6E">
        <w:rPr>
          <w:rFonts w:eastAsiaTheme="minorEastAsia" w:cstheme="minorHAnsi"/>
          <w:iCs/>
        </w:rPr>
        <w:t xml:space="preserve"> + β</w:t>
      </w:r>
      <w:r w:rsidRPr="00E54A6E">
        <w:rPr>
          <w:rFonts w:eastAsiaTheme="minorEastAsia" w:cstheme="minorHAnsi"/>
          <w:iCs/>
          <w:vertAlign w:val="subscript"/>
        </w:rPr>
        <w:t>1</w:t>
      </w:r>
      <w:r w:rsidR="00E54A6E" w:rsidRPr="00E54A6E">
        <w:rPr>
          <w:rFonts w:eastAsiaTheme="minorEastAsia" w:cstheme="minorHAnsi"/>
          <w:iCs/>
          <w:vertAlign w:val="subscript"/>
        </w:rPr>
        <w:t>,</w:t>
      </w:r>
      <w:r w:rsidR="00E54A6E" w:rsidRPr="00E54A6E">
        <w:rPr>
          <w:rFonts w:eastAsiaTheme="minorEastAsia" w:cstheme="minorHAnsi"/>
          <w:iCs/>
          <w:vertAlign w:val="subscript"/>
        </w:rPr>
        <w:tab/>
      </w:r>
      <w:r w:rsidR="00E54A6E" w:rsidRPr="00E54A6E">
        <w:rPr>
          <w:rFonts w:eastAsiaTheme="minorEastAsia" w:cstheme="minorHAnsi"/>
          <w:iCs/>
          <w:vertAlign w:val="subscript"/>
        </w:rPr>
        <w:tab/>
      </w:r>
      <w:r w:rsidR="00E54A6E" w:rsidRPr="00E54A6E">
        <w:rPr>
          <w:rFonts w:eastAsiaTheme="minorEastAsia" w:cstheme="minorHAnsi"/>
          <w:iCs/>
          <w:vertAlign w:val="subscript"/>
        </w:rPr>
        <w:tab/>
      </w:r>
      <w:r w:rsidR="00E54A6E" w:rsidRPr="00E54A6E">
        <w:rPr>
          <w:rFonts w:eastAsiaTheme="minorEastAsia" w:cstheme="minorHAnsi"/>
          <w:iCs/>
        </w:rPr>
        <w:t>α&lt;δ</w:t>
      </w:r>
      <w:r w:rsidRPr="00E54A6E">
        <w:rPr>
          <w:rFonts w:eastAsiaTheme="minorEastAsia" w:cstheme="minorHAnsi"/>
          <w:iCs/>
        </w:rPr>
        <w:br/>
        <w:t xml:space="preserve">       </w:t>
      </w:r>
      <m:oMath>
        <m:f>
          <m:fPr>
            <m:ctrlPr>
              <w:rPr>
                <w:rFonts w:ascii="Cambria Math" w:eastAsiaTheme="minorEastAsia" w:hAnsi="Cambria Math" w:cstheme="minorHAnsi"/>
                <w:i/>
                <w:iCs/>
              </w:rPr>
            </m:ctrlPr>
          </m:fPr>
          <m:num>
            <m:r>
              <w:rPr>
                <w:rFonts w:ascii="Cambria Math" w:eastAsiaTheme="minorEastAsia" w:hAnsi="Cambria Math" w:cstheme="minorHAnsi"/>
              </w:rPr>
              <m:t>1</m:t>
            </m:r>
          </m:num>
          <m:den>
            <m:r>
              <w:rPr>
                <w:rFonts w:ascii="Cambria Math" w:eastAsiaTheme="minorEastAsia" w:hAnsi="Cambria Math" w:cstheme="minorHAnsi"/>
              </w:rPr>
              <m:t>δ</m:t>
            </m:r>
          </m:den>
        </m:f>
      </m:oMath>
      <w:r w:rsidRPr="00E54A6E">
        <w:rPr>
          <w:rFonts w:eastAsiaTheme="minorEastAsia" w:cstheme="minorHAnsi"/>
          <w:iCs/>
        </w:rPr>
        <w:t>[</w:t>
      </w:r>
      <w:r w:rsidR="00E54A6E" w:rsidRPr="00E54A6E">
        <w:rPr>
          <w:rFonts w:eastAsiaTheme="minorEastAsia" w:cstheme="minorHAnsi"/>
          <w:iCs/>
        </w:rPr>
        <w:t>θ</w:t>
      </w:r>
      <w:r w:rsidR="00E54A6E" w:rsidRPr="00E54A6E">
        <w:rPr>
          <w:rFonts w:eastAsiaTheme="minorEastAsia" w:cstheme="minorHAnsi"/>
          <w:iCs/>
          <w:vertAlign w:val="subscript"/>
        </w:rPr>
        <w:t>α</w:t>
      </w:r>
      <w:r w:rsidR="00E54A6E" w:rsidRPr="00E54A6E">
        <w:rPr>
          <w:rFonts w:eastAsiaTheme="minorEastAsia" w:cstheme="minorHAnsi"/>
          <w:iCs/>
        </w:rPr>
        <w:t xml:space="preserve"> – (β</w:t>
      </w:r>
      <w:r w:rsidR="00E54A6E" w:rsidRPr="00E54A6E">
        <w:rPr>
          <w:rFonts w:eastAsiaTheme="minorEastAsia" w:cstheme="minorHAnsi"/>
          <w:iCs/>
          <w:vertAlign w:val="subscript"/>
        </w:rPr>
        <w:t>3</w:t>
      </w:r>
      <w:r w:rsidR="00E54A6E" w:rsidRPr="00E54A6E">
        <w:rPr>
          <w:rFonts w:eastAsiaTheme="minorEastAsia" w:cstheme="minorHAnsi"/>
          <w:iCs/>
        </w:rPr>
        <w:t xml:space="preserve"> - β</w:t>
      </w:r>
      <w:r w:rsidR="00E54A6E" w:rsidRPr="00E54A6E">
        <w:rPr>
          <w:rFonts w:eastAsiaTheme="minorEastAsia" w:cstheme="minorHAnsi"/>
          <w:iCs/>
          <w:vertAlign w:val="subscript"/>
        </w:rPr>
        <w:t>1</w:t>
      </w:r>
      <w:r w:rsidR="00E54A6E" w:rsidRPr="00E54A6E">
        <w:rPr>
          <w:rFonts w:eastAsiaTheme="minorEastAsia" w:cstheme="minorHAnsi"/>
          <w:iCs/>
        </w:rPr>
        <w:t>)α] + β,</w:t>
      </w:r>
      <w:r w:rsidR="00E54A6E" w:rsidRPr="00E54A6E">
        <w:rPr>
          <w:rFonts w:eastAsiaTheme="minorEastAsia" w:cstheme="minorHAnsi"/>
          <w:iCs/>
        </w:rPr>
        <w:tab/>
        <w:t>α≥δ</w:t>
      </w:r>
    </w:p>
    <w:p w14:paraId="66C5BE79" w14:textId="79E6BDAC" w:rsidR="00E54A6E" w:rsidRPr="00E54A6E" w:rsidRDefault="00E54A6E" w:rsidP="00DF77D1">
      <w:pPr>
        <w:spacing w:line="480" w:lineRule="auto"/>
        <w:rPr>
          <w:rFonts w:eastAsiaTheme="minorEastAsia" w:cstheme="minorHAnsi"/>
          <w:iCs/>
        </w:rPr>
      </w:pPr>
      <w:r w:rsidRPr="00E54A6E">
        <w:rPr>
          <w:rFonts w:cstheme="minorHAnsi"/>
          <w:iCs/>
        </w:rPr>
        <w:t>β</w:t>
      </w:r>
      <w:r w:rsidRPr="00E54A6E">
        <w:rPr>
          <w:rFonts w:cstheme="minorHAnsi"/>
          <w:iCs/>
          <w:vertAlign w:val="subscript"/>
        </w:rPr>
        <w:t>2</w:t>
      </w:r>
      <w:r w:rsidRPr="00E54A6E">
        <w:rPr>
          <w:rFonts w:cstheme="minorHAnsi"/>
          <w:iCs/>
        </w:rPr>
        <w:t xml:space="preserve"> = β</w:t>
      </w:r>
      <w:r w:rsidRPr="00E54A6E">
        <w:rPr>
          <w:rFonts w:cstheme="minorHAnsi"/>
          <w:iCs/>
          <w:vertAlign w:val="subscript"/>
        </w:rPr>
        <w:t xml:space="preserve">1 </w:t>
      </w:r>
      <w:r w:rsidRPr="00E54A6E">
        <w:rPr>
          <w:rFonts w:cstheme="minorHAnsi"/>
          <w:iCs/>
        </w:rPr>
        <w:t>(1</w:t>
      </w:r>
      <w:r w:rsidRPr="00E54A6E">
        <w:rPr>
          <w:rFonts w:cstheme="minorHAnsi"/>
          <w:iCs/>
          <w:vertAlign w:val="subscript"/>
        </w:rPr>
        <w:t>α&lt;δ</w:t>
      </w:r>
      <w:r w:rsidRPr="00E54A6E">
        <w:rPr>
          <w:rFonts w:cstheme="minorHAnsi"/>
          <w:iCs/>
        </w:rPr>
        <w:t xml:space="preserve"> + </w:t>
      </w:r>
      <m:oMath>
        <m:f>
          <m:fPr>
            <m:ctrlPr>
              <w:rPr>
                <w:rFonts w:ascii="Cambria Math" w:hAnsi="Cambria Math" w:cstheme="minorHAnsi"/>
                <w:i/>
                <w:iCs/>
              </w:rPr>
            </m:ctrlPr>
          </m:fPr>
          <m:num>
            <m:r>
              <w:rPr>
                <w:rFonts w:ascii="Cambria Math" w:hAnsi="Cambria Math" w:cstheme="minorHAnsi"/>
              </w:rPr>
              <m:t>α</m:t>
            </m:r>
          </m:num>
          <m:den>
            <m:r>
              <w:rPr>
                <w:rFonts w:ascii="Cambria Math" w:hAnsi="Cambria Math" w:cstheme="minorHAnsi"/>
              </w:rPr>
              <m:t>δ</m:t>
            </m:r>
          </m:den>
        </m:f>
      </m:oMath>
      <w:r w:rsidRPr="00E54A6E">
        <w:rPr>
          <w:rFonts w:eastAsiaTheme="minorEastAsia" w:cstheme="minorHAnsi"/>
          <w:iCs/>
        </w:rPr>
        <w:t xml:space="preserve"> 1</w:t>
      </w:r>
      <w:r w:rsidRPr="00E54A6E">
        <w:rPr>
          <w:rFonts w:eastAsiaTheme="minorEastAsia" w:cstheme="minorHAnsi"/>
          <w:iCs/>
          <w:vertAlign w:val="subscript"/>
        </w:rPr>
        <w:t>α≥δ</w:t>
      </w:r>
      <w:r w:rsidRPr="00E54A6E">
        <w:rPr>
          <w:rFonts w:eastAsiaTheme="minorEastAsia" w:cstheme="minorHAnsi"/>
          <w:iCs/>
        </w:rPr>
        <w:t>) + θ</w:t>
      </w:r>
      <w:r w:rsidRPr="00E54A6E">
        <w:rPr>
          <w:rFonts w:eastAsiaTheme="minorEastAsia" w:cstheme="minorHAnsi"/>
          <w:iCs/>
          <w:vertAlign w:val="subscript"/>
        </w:rPr>
        <w:t>α</w:t>
      </w:r>
      <w:r w:rsidRPr="00E54A6E">
        <w:rPr>
          <w:rFonts w:eastAsiaTheme="minorEastAsia" w:cstheme="minorHAnsi"/>
          <w:iCs/>
        </w:rPr>
        <w:t xml:space="preserve"> (</w:t>
      </w:r>
      <m:oMath>
        <m:f>
          <m:fPr>
            <m:ctrlPr>
              <w:rPr>
                <w:rFonts w:ascii="Cambria Math" w:eastAsiaTheme="minorEastAsia" w:hAnsi="Cambria Math" w:cstheme="minorHAnsi"/>
                <w:i/>
                <w:iCs/>
              </w:rPr>
            </m:ctrlPr>
          </m:fPr>
          <m:num>
            <m:r>
              <w:rPr>
                <w:rFonts w:ascii="Cambria Math" w:eastAsiaTheme="minorEastAsia" w:hAnsi="Cambria Math" w:cstheme="minorHAnsi"/>
              </w:rPr>
              <m:t>1</m:t>
            </m:r>
          </m:num>
          <m:den>
            <m:r>
              <w:rPr>
                <w:rFonts w:ascii="Cambria Math" w:eastAsiaTheme="minorEastAsia" w:hAnsi="Cambria Math" w:cstheme="minorHAnsi"/>
              </w:rPr>
              <m:t>α</m:t>
            </m:r>
          </m:den>
        </m:f>
      </m:oMath>
      <w:r w:rsidRPr="00E54A6E">
        <w:rPr>
          <w:rFonts w:eastAsiaTheme="minorEastAsia" w:cstheme="minorHAnsi"/>
          <w:iCs/>
        </w:rPr>
        <w:t xml:space="preserve"> 1</w:t>
      </w:r>
      <w:r w:rsidRPr="00E54A6E">
        <w:rPr>
          <w:rFonts w:eastAsiaTheme="minorEastAsia" w:cstheme="minorHAnsi"/>
          <w:iCs/>
          <w:vertAlign w:val="subscript"/>
        </w:rPr>
        <w:t>α&lt;δ</w:t>
      </w:r>
      <w:r w:rsidRPr="00E54A6E">
        <w:rPr>
          <w:rFonts w:eastAsiaTheme="minorEastAsia" w:cstheme="minorHAnsi"/>
          <w:iCs/>
        </w:rPr>
        <w:t xml:space="preserve"> + </w:t>
      </w:r>
      <m:oMath>
        <m:f>
          <m:fPr>
            <m:ctrlPr>
              <w:rPr>
                <w:rFonts w:ascii="Cambria Math" w:eastAsiaTheme="minorEastAsia" w:hAnsi="Cambria Math" w:cstheme="minorHAnsi"/>
                <w:i/>
                <w:iCs/>
              </w:rPr>
            </m:ctrlPr>
          </m:fPr>
          <m:num>
            <m:r>
              <w:rPr>
                <w:rFonts w:ascii="Cambria Math" w:eastAsiaTheme="minorEastAsia" w:hAnsi="Cambria Math" w:cstheme="minorHAnsi"/>
              </w:rPr>
              <m:t>1</m:t>
            </m:r>
          </m:num>
          <m:den>
            <m:r>
              <w:rPr>
                <w:rFonts w:ascii="Cambria Math" w:eastAsiaTheme="minorEastAsia" w:hAnsi="Cambria Math" w:cstheme="minorHAnsi"/>
              </w:rPr>
              <m:t>δ</m:t>
            </m:r>
          </m:den>
        </m:f>
      </m:oMath>
      <w:r w:rsidRPr="00E54A6E">
        <w:rPr>
          <w:rFonts w:eastAsiaTheme="minorEastAsia" w:cstheme="minorHAnsi"/>
          <w:iCs/>
        </w:rPr>
        <w:t xml:space="preserve"> 1</w:t>
      </w:r>
      <w:r w:rsidRPr="00E54A6E">
        <w:rPr>
          <w:rFonts w:eastAsiaTheme="minorEastAsia" w:cstheme="minorHAnsi"/>
          <w:iCs/>
          <w:vertAlign w:val="subscript"/>
        </w:rPr>
        <w:t>α≥δ</w:t>
      </w:r>
      <w:r w:rsidRPr="00E54A6E">
        <w:rPr>
          <w:rFonts w:eastAsiaTheme="minorEastAsia" w:cstheme="minorHAnsi"/>
          <w:iCs/>
        </w:rPr>
        <w:t>) + β</w:t>
      </w:r>
      <w:r w:rsidRPr="00E54A6E">
        <w:rPr>
          <w:rFonts w:eastAsiaTheme="minorEastAsia" w:cstheme="minorHAnsi"/>
          <w:iCs/>
          <w:vertAlign w:val="subscript"/>
        </w:rPr>
        <w:t>3</w:t>
      </w:r>
      <w:r w:rsidRPr="00E54A6E">
        <w:rPr>
          <w:rFonts w:eastAsiaTheme="minorEastAsia" w:cstheme="minorHAnsi"/>
          <w:iCs/>
        </w:rPr>
        <w:t xml:space="preserve"> (1 - </w:t>
      </w:r>
      <m:oMath>
        <m:f>
          <m:fPr>
            <m:ctrlPr>
              <w:rPr>
                <w:rFonts w:ascii="Cambria Math" w:eastAsiaTheme="minorEastAsia" w:hAnsi="Cambria Math" w:cstheme="minorHAnsi"/>
                <w:i/>
                <w:iCs/>
              </w:rPr>
            </m:ctrlPr>
          </m:fPr>
          <m:num>
            <m:r>
              <w:rPr>
                <w:rFonts w:ascii="Cambria Math" w:eastAsiaTheme="minorEastAsia" w:hAnsi="Cambria Math" w:cstheme="minorHAnsi"/>
              </w:rPr>
              <m:t>α</m:t>
            </m:r>
          </m:num>
          <m:den>
            <m:r>
              <w:rPr>
                <w:rFonts w:ascii="Cambria Math" w:eastAsiaTheme="minorEastAsia" w:hAnsi="Cambria Math" w:cstheme="minorHAnsi"/>
              </w:rPr>
              <m:t>δ</m:t>
            </m:r>
          </m:den>
        </m:f>
      </m:oMath>
      <w:r w:rsidRPr="00E54A6E">
        <w:rPr>
          <w:rFonts w:eastAsiaTheme="minorEastAsia" w:cstheme="minorHAnsi"/>
          <w:iCs/>
        </w:rPr>
        <w:t>) 1</w:t>
      </w:r>
      <w:r w:rsidRPr="00E54A6E">
        <w:rPr>
          <w:rFonts w:eastAsiaTheme="minorEastAsia" w:cstheme="minorHAnsi"/>
          <w:iCs/>
          <w:vertAlign w:val="subscript"/>
        </w:rPr>
        <w:t>α≥δ</w:t>
      </w:r>
      <w:r w:rsidRPr="00E54A6E">
        <w:rPr>
          <w:rFonts w:eastAsiaTheme="minorEastAsia" w:cstheme="minorHAnsi"/>
          <w:iCs/>
        </w:rPr>
        <w:tab/>
      </w:r>
      <w:r w:rsidRPr="00E54A6E">
        <w:rPr>
          <w:rFonts w:eastAsiaTheme="minorEastAsia" w:cstheme="minorHAnsi"/>
          <w:iCs/>
        </w:rPr>
        <w:tab/>
      </w:r>
      <w:r w:rsidRPr="00E54A6E">
        <w:rPr>
          <w:rFonts w:eastAsiaTheme="minorEastAsia" w:cstheme="minorHAnsi"/>
          <w:iCs/>
        </w:rPr>
        <w:tab/>
      </w:r>
      <w:r w:rsidRPr="00E54A6E">
        <w:rPr>
          <w:rFonts w:eastAsiaTheme="minorEastAsia" w:cstheme="minorHAnsi"/>
          <w:iCs/>
        </w:rPr>
        <w:tab/>
      </w:r>
      <w:r w:rsidRPr="00E54A6E">
        <w:rPr>
          <w:rFonts w:eastAsiaTheme="minorEastAsia" w:cstheme="minorHAnsi"/>
          <w:iCs/>
        </w:rPr>
        <w:tab/>
        <w:t>(7)</w:t>
      </w:r>
    </w:p>
    <w:p w14:paraId="5FC04306" w14:textId="612CC08C" w:rsidR="00CC78F7" w:rsidRDefault="00E54A6E" w:rsidP="00DF77D1">
      <w:pPr>
        <w:spacing w:line="480" w:lineRule="auto"/>
        <w:rPr>
          <w:iCs/>
        </w:rPr>
      </w:pPr>
      <w:r>
        <w:rPr>
          <w:iCs/>
        </w:rPr>
        <w:t xml:space="preserve">This expression for </w:t>
      </w:r>
      <w:r>
        <w:rPr>
          <w:rFonts w:cstheme="minorHAnsi"/>
          <w:iCs/>
        </w:rPr>
        <w:t>β</w:t>
      </w:r>
      <w:r>
        <w:rPr>
          <w:iCs/>
          <w:vertAlign w:val="subscript"/>
        </w:rPr>
        <w:t>2</w:t>
      </w:r>
      <w:r>
        <w:rPr>
          <w:iCs/>
        </w:rPr>
        <w:t xml:space="preserve"> can be substituted into the expected treated trajectory for those who are offered treatment (</w:t>
      </w:r>
      <w:proofErr w:type="spellStart"/>
      <w:r>
        <w:rPr>
          <w:iCs/>
        </w:rPr>
        <w:t>eqn</w:t>
      </w:r>
      <w:proofErr w:type="spellEnd"/>
      <w:r>
        <w:rPr>
          <w:iCs/>
        </w:rPr>
        <w:t xml:space="preserve"> (4)):</w:t>
      </w:r>
    </w:p>
    <w:p w14:paraId="0CE399F2" w14:textId="5C01301E" w:rsidR="00E54A6E" w:rsidRDefault="00E54A6E" w:rsidP="00DF77D1">
      <w:pPr>
        <w:spacing w:line="480" w:lineRule="auto"/>
        <w:rPr>
          <w:rFonts w:cstheme="minorHAnsi"/>
        </w:rPr>
      </w:pPr>
      <w:r w:rsidRPr="00E13E52">
        <w:rPr>
          <w:rFonts w:cstheme="minorHAnsi"/>
          <w:iCs/>
        </w:rPr>
        <w:t>μ</w:t>
      </w:r>
      <w:r w:rsidRPr="00E13E52">
        <w:rPr>
          <w:rFonts w:cstheme="minorHAnsi"/>
          <w:iCs/>
          <w:vertAlign w:val="subscript"/>
        </w:rPr>
        <w:t>1</w:t>
      </w:r>
      <w:r w:rsidRPr="00E13E52">
        <w:rPr>
          <w:rFonts w:cstheme="minorHAnsi"/>
          <w:iCs/>
        </w:rPr>
        <w:t>(t) = β</w:t>
      </w:r>
      <w:r w:rsidRPr="00E13E52">
        <w:rPr>
          <w:rFonts w:cstheme="minorHAnsi"/>
          <w:iCs/>
          <w:vertAlign w:val="subscript"/>
        </w:rPr>
        <w:t>0</w:t>
      </w:r>
      <w:r w:rsidR="00E13E52">
        <w:rPr>
          <w:rFonts w:cstheme="minorHAnsi"/>
          <w:iCs/>
          <w:vertAlign w:val="subscript"/>
        </w:rPr>
        <w:t xml:space="preserve"> </w:t>
      </w:r>
      <w:r w:rsidRPr="00E13E52">
        <w:rPr>
          <w:rFonts w:cstheme="minorHAnsi"/>
        </w:rPr>
        <w:t>+ β</w:t>
      </w:r>
      <w:r w:rsidRPr="00E13E52">
        <w:rPr>
          <w:rFonts w:cstheme="minorHAnsi"/>
          <w:vertAlign w:val="subscript"/>
        </w:rPr>
        <w:t>1</w:t>
      </w:r>
      <w:r w:rsidRPr="00E13E52">
        <w:rPr>
          <w:rFonts w:cstheme="minorHAnsi"/>
        </w:rPr>
        <w:t xml:space="preserve"> (t 1</w:t>
      </w:r>
      <w:r w:rsidRPr="00E13E52">
        <w:rPr>
          <w:rFonts w:cstheme="minorHAnsi"/>
          <w:vertAlign w:val="subscript"/>
        </w:rPr>
        <w:t>t&lt;0</w:t>
      </w:r>
      <w:r w:rsidRPr="00E13E52">
        <w:rPr>
          <w:rFonts w:cstheme="minorHAnsi"/>
        </w:rPr>
        <w:t xml:space="preserve"> + (1</w:t>
      </w:r>
      <w:r w:rsidRPr="00E13E52">
        <w:rPr>
          <w:rFonts w:cstheme="minorHAnsi"/>
          <w:vertAlign w:val="subscript"/>
        </w:rPr>
        <w:t>α&lt;δ</w:t>
      </w:r>
      <w:r w:rsidRPr="00E13E52">
        <w:rPr>
          <w:rFonts w:cstheme="minorHAnsi"/>
        </w:rPr>
        <w:t xml:space="preserve"> + </w:t>
      </w:r>
      <m:oMath>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δ</m:t>
            </m:r>
          </m:den>
        </m:f>
      </m:oMath>
      <w:r w:rsidRPr="00E13E52">
        <w:rPr>
          <w:rFonts w:eastAsiaTheme="minorEastAsia" w:cstheme="minorHAnsi"/>
        </w:rPr>
        <w:t xml:space="preserve"> 1</w:t>
      </w:r>
      <w:r w:rsidRPr="00E13E52">
        <w:rPr>
          <w:rFonts w:eastAsiaTheme="minorEastAsia" w:cstheme="minorHAnsi"/>
          <w:vertAlign w:val="subscript"/>
        </w:rPr>
        <w:t>α≥δ</w:t>
      </w:r>
      <w:r w:rsidRPr="00E13E52">
        <w:rPr>
          <w:rFonts w:eastAsiaTheme="minorEastAsia" w:cstheme="minorHAnsi"/>
        </w:rPr>
        <w:t>) min(</w:t>
      </w:r>
      <w:proofErr w:type="spellStart"/>
      <w:r w:rsidRPr="00E13E52">
        <w:rPr>
          <w:rFonts w:eastAsiaTheme="minorEastAsia" w:cstheme="minorHAnsi"/>
        </w:rPr>
        <w:t>t,δ</w:t>
      </w:r>
      <w:proofErr w:type="spellEnd"/>
      <w:r w:rsidRPr="00E13E52">
        <w:rPr>
          <w:rFonts w:eastAsiaTheme="minorEastAsia" w:cstheme="minorHAnsi"/>
        </w:rPr>
        <w:t>) 1</w:t>
      </w:r>
      <w:r w:rsidRPr="00E13E52">
        <w:rPr>
          <w:rFonts w:eastAsiaTheme="minorEastAsia" w:cstheme="minorHAnsi"/>
          <w:vertAlign w:val="subscript"/>
        </w:rPr>
        <w:t>t&gt;0</w:t>
      </w:r>
      <w:r w:rsidRPr="00E13E52">
        <w:rPr>
          <w:rFonts w:eastAsiaTheme="minorEastAsia" w:cstheme="minorHAnsi"/>
        </w:rPr>
        <w:t>) + θ</w:t>
      </w:r>
      <w:r w:rsidRPr="00E13E52">
        <w:rPr>
          <w:rFonts w:eastAsiaTheme="minorEastAsia" w:cstheme="minorHAnsi"/>
          <w:vertAlign w:val="subscript"/>
        </w:rPr>
        <w:t>α</w:t>
      </w:r>
      <w:r w:rsidRPr="00E13E52">
        <w:rPr>
          <w:rFonts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α</m:t>
            </m:r>
          </m:den>
        </m:f>
      </m:oMath>
      <w:r w:rsidRPr="00E13E52">
        <w:rPr>
          <w:rFonts w:eastAsiaTheme="minorEastAsia" w:cstheme="minorHAnsi"/>
        </w:rPr>
        <w:t xml:space="preserve"> 1</w:t>
      </w:r>
      <w:r w:rsidRPr="00E13E52">
        <w:rPr>
          <w:rFonts w:eastAsiaTheme="minorEastAsia" w:cstheme="minorHAnsi"/>
          <w:vertAlign w:val="subscript"/>
        </w:rPr>
        <w:t>α&lt;δ</w:t>
      </w:r>
      <w:r w:rsidRPr="00E13E52">
        <w:rPr>
          <w:rFonts w:eastAsiaTheme="minorEastAsia" w:cstheme="minorHAnsi"/>
        </w:rPr>
        <w:t xml:space="preserve"> +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δ</m:t>
            </m:r>
          </m:den>
        </m:f>
      </m:oMath>
      <w:r w:rsidRPr="00E13E52">
        <w:rPr>
          <w:rFonts w:eastAsiaTheme="minorEastAsia" w:cstheme="minorHAnsi"/>
        </w:rPr>
        <w:t xml:space="preserve"> 1</w:t>
      </w:r>
      <w:r w:rsidRPr="00E13E52">
        <w:rPr>
          <w:rFonts w:eastAsiaTheme="minorEastAsia" w:cstheme="minorHAnsi"/>
          <w:vertAlign w:val="subscript"/>
        </w:rPr>
        <w:t>α≥δ</w:t>
      </w:r>
      <w:r w:rsidRPr="00E13E52">
        <w:rPr>
          <w:rFonts w:eastAsiaTheme="minorEastAsia" w:cstheme="minorHAnsi"/>
        </w:rPr>
        <w:t>) min(t, δ) 1</w:t>
      </w:r>
      <w:r w:rsidRPr="00E13E52">
        <w:rPr>
          <w:rFonts w:eastAsiaTheme="minorEastAsia" w:cstheme="minorHAnsi"/>
          <w:vertAlign w:val="subscript"/>
        </w:rPr>
        <w:t>t&gt;0</w:t>
      </w:r>
      <w:r w:rsidRPr="00E13E52">
        <w:rPr>
          <w:rFonts w:eastAsiaTheme="minorEastAsia" w:cstheme="minorHAnsi"/>
        </w:rPr>
        <w:t xml:space="preserve"> +</w:t>
      </w:r>
      <w:r w:rsidR="00E13E52">
        <w:rPr>
          <w:rFonts w:eastAsiaTheme="minorEastAsia" w:cstheme="minorHAnsi"/>
        </w:rPr>
        <w:br/>
      </w:r>
      <w:r w:rsidRPr="00E13E52">
        <w:rPr>
          <w:rFonts w:eastAsiaTheme="minorEastAsia" w:cstheme="minorHAnsi"/>
        </w:rPr>
        <w:t xml:space="preserve"> </w:t>
      </w:r>
      <w:r w:rsidR="00E13E52">
        <w:rPr>
          <w:rFonts w:eastAsiaTheme="minorEastAsia" w:cstheme="minorHAnsi"/>
        </w:rPr>
        <w:tab/>
      </w:r>
      <w:r w:rsidR="00E13E52">
        <w:rPr>
          <w:rFonts w:eastAsiaTheme="minorEastAsia" w:cstheme="minorHAnsi"/>
        </w:rPr>
        <w:tab/>
      </w:r>
      <w:r w:rsidRPr="00E13E52">
        <w:rPr>
          <w:rFonts w:eastAsiaTheme="minorEastAsia" w:cstheme="minorHAnsi"/>
        </w:rPr>
        <w:t>β</w:t>
      </w:r>
      <w:r w:rsidRPr="00E13E52">
        <w:rPr>
          <w:rFonts w:eastAsiaTheme="minorEastAsia" w:cstheme="minorHAnsi"/>
          <w:vertAlign w:val="subscript"/>
        </w:rPr>
        <w:t>3</w:t>
      </w:r>
      <w:r w:rsidRPr="00E13E52">
        <w:rPr>
          <w:rFonts w:eastAsiaTheme="minorEastAsia" w:cstheme="minorHAnsi"/>
        </w:rPr>
        <w:t xml:space="preserve"> [(1 - </w:t>
      </w:r>
      <m:oMath>
        <m:f>
          <m:fPr>
            <m:ctrlPr>
              <w:rPr>
                <w:rFonts w:ascii="Cambria Math" w:eastAsiaTheme="minorEastAsia" w:hAnsi="Cambria Math" w:cstheme="minorHAnsi"/>
                <w:i/>
              </w:rPr>
            </m:ctrlPr>
          </m:fPr>
          <m:num>
            <m:r>
              <w:rPr>
                <w:rFonts w:ascii="Cambria Math" w:eastAsiaTheme="minorEastAsia" w:hAnsi="Cambria Math" w:cstheme="minorHAnsi"/>
              </w:rPr>
              <m:t>α</m:t>
            </m:r>
          </m:num>
          <m:den>
            <m:r>
              <w:rPr>
                <w:rFonts w:ascii="Cambria Math" w:eastAsiaTheme="minorEastAsia" w:hAnsi="Cambria Math" w:cstheme="minorHAnsi"/>
              </w:rPr>
              <m:t>δ</m:t>
            </m:r>
          </m:den>
        </m:f>
      </m:oMath>
      <w:r w:rsidRPr="00E13E52">
        <w:rPr>
          <w:rFonts w:eastAsiaTheme="minorEastAsia" w:cstheme="minorHAnsi"/>
        </w:rPr>
        <w:t>)1</w:t>
      </w:r>
      <w:r w:rsidRPr="00E13E52">
        <w:rPr>
          <w:rFonts w:eastAsiaTheme="minorEastAsia" w:cstheme="minorHAnsi"/>
          <w:vertAlign w:val="subscript"/>
        </w:rPr>
        <w:t>α≥δ</w:t>
      </w:r>
      <w:r w:rsidRPr="00E13E52">
        <w:rPr>
          <w:rFonts w:cstheme="minorHAnsi"/>
        </w:rPr>
        <w:t xml:space="preserve"> min(</w:t>
      </w:r>
      <w:proofErr w:type="spellStart"/>
      <w:r w:rsidRPr="00E13E52">
        <w:rPr>
          <w:rFonts w:cstheme="minorHAnsi"/>
        </w:rPr>
        <w:t>t,δ</w:t>
      </w:r>
      <w:proofErr w:type="spellEnd"/>
      <w:r w:rsidRPr="00E13E52">
        <w:rPr>
          <w:rFonts w:cstheme="minorHAnsi"/>
        </w:rPr>
        <w:t>) 1</w:t>
      </w:r>
      <w:r w:rsidRPr="00E13E52">
        <w:rPr>
          <w:rFonts w:cstheme="minorHAnsi"/>
          <w:vertAlign w:val="subscript"/>
        </w:rPr>
        <w:t xml:space="preserve">t&gt;0 </w:t>
      </w:r>
      <w:r w:rsidRPr="00E13E52">
        <w:rPr>
          <w:rFonts w:cstheme="minorHAnsi"/>
        </w:rPr>
        <w:t>+ (t- δ)1</w:t>
      </w:r>
      <w:r w:rsidRPr="00E13E52">
        <w:rPr>
          <w:rFonts w:cstheme="minorHAnsi"/>
          <w:vertAlign w:val="subscript"/>
        </w:rPr>
        <w:t>t≥δ</w:t>
      </w:r>
      <w:r w:rsidR="00E13E52">
        <w:rPr>
          <w:rFonts w:cstheme="minorHAnsi"/>
          <w:vertAlign w:val="subscript"/>
        </w:rPr>
        <w:tab/>
      </w:r>
      <w:r w:rsidR="00E13E52">
        <w:rPr>
          <w:rFonts w:cstheme="minorHAnsi"/>
          <w:vertAlign w:val="subscript"/>
        </w:rPr>
        <w:tab/>
      </w:r>
      <w:r w:rsidR="00E13E52">
        <w:rPr>
          <w:rFonts w:cstheme="minorHAnsi"/>
          <w:vertAlign w:val="subscript"/>
        </w:rPr>
        <w:tab/>
      </w:r>
      <w:r w:rsidR="00E13E52">
        <w:rPr>
          <w:rFonts w:cstheme="minorHAnsi"/>
          <w:vertAlign w:val="subscript"/>
        </w:rPr>
        <w:tab/>
      </w:r>
      <w:r w:rsidR="00E13E52">
        <w:rPr>
          <w:rFonts w:cstheme="minorHAnsi"/>
          <w:vertAlign w:val="subscript"/>
        </w:rPr>
        <w:tab/>
      </w:r>
      <w:r w:rsidR="00E13E52">
        <w:rPr>
          <w:rFonts w:cstheme="minorHAnsi"/>
        </w:rPr>
        <w:t>(8)</w:t>
      </w:r>
    </w:p>
    <w:p w14:paraId="0799FE02" w14:textId="40BCD679" w:rsidR="00E13E52" w:rsidRDefault="00E13E52" w:rsidP="00DF77D1">
      <w:pPr>
        <w:spacing w:line="480" w:lineRule="auto"/>
        <w:rPr>
          <w:rFonts w:cstheme="minorHAnsi"/>
        </w:rPr>
      </w:pPr>
      <w:r>
        <w:rPr>
          <w:rFonts w:cstheme="minorHAnsi"/>
        </w:rPr>
        <w:t>This model can be used to estimate the effect of treatment at time t=α (</w:t>
      </w:r>
      <w:r>
        <w:rPr>
          <w:rFonts w:ascii="Trebuchet MS" w:hAnsi="Trebuchet MS" w:cstheme="minorHAnsi"/>
        </w:rPr>
        <w:t>θ</w:t>
      </w:r>
      <w:r>
        <w:rPr>
          <w:rFonts w:cstheme="minorHAnsi"/>
          <w:vertAlign w:val="subscript"/>
        </w:rPr>
        <w:t>α</w:t>
      </w:r>
      <w:r>
        <w:rPr>
          <w:rFonts w:cstheme="minorHAnsi"/>
        </w:rPr>
        <w:t xml:space="preserve">) based on data from a cohort who were all offered treatment. </w:t>
      </w:r>
      <w:r w:rsidR="00A86197">
        <w:rPr>
          <w:rFonts w:cstheme="minorHAnsi"/>
        </w:rPr>
        <w:t xml:space="preserve">Random effects on the coefficients can be incorporated to allow variation between patients. </w:t>
      </w:r>
    </w:p>
    <w:p w14:paraId="0FDA7B3C" w14:textId="76895FB2" w:rsidR="00E13E52" w:rsidRDefault="00E13E52" w:rsidP="00DF77D1">
      <w:pPr>
        <w:spacing w:line="480" w:lineRule="auto"/>
        <w:rPr>
          <w:rFonts w:cstheme="minorHAnsi"/>
        </w:rPr>
      </w:pPr>
      <w:r w:rsidRPr="00E13E52">
        <w:rPr>
          <w:rFonts w:cstheme="minorHAnsi"/>
          <w:iCs/>
        </w:rPr>
        <w:t>μ</w:t>
      </w:r>
      <w:r w:rsidRPr="00E13E52">
        <w:rPr>
          <w:rFonts w:cstheme="minorHAnsi"/>
          <w:iCs/>
          <w:vertAlign w:val="subscript"/>
        </w:rPr>
        <w:t>1</w:t>
      </w:r>
      <w:r w:rsidRPr="00E13E52">
        <w:rPr>
          <w:rFonts w:cstheme="minorHAnsi"/>
          <w:iCs/>
        </w:rPr>
        <w:t xml:space="preserve">(t) = </w:t>
      </w:r>
      <w:r>
        <w:rPr>
          <w:rFonts w:cstheme="minorHAnsi"/>
          <w:iCs/>
        </w:rPr>
        <w:t>(</w:t>
      </w:r>
      <w:r w:rsidRPr="00E13E52">
        <w:rPr>
          <w:rFonts w:cstheme="minorHAnsi"/>
          <w:iCs/>
        </w:rPr>
        <w:t>β</w:t>
      </w:r>
      <w:r w:rsidRPr="00E13E52">
        <w:rPr>
          <w:rFonts w:cstheme="minorHAnsi"/>
          <w:iCs/>
          <w:vertAlign w:val="subscript"/>
        </w:rPr>
        <w:t>0</w:t>
      </w:r>
      <w:r>
        <w:rPr>
          <w:rFonts w:cstheme="minorHAnsi"/>
          <w:iCs/>
          <w:vertAlign w:val="subscript"/>
        </w:rPr>
        <w:t xml:space="preserve"> </w:t>
      </w:r>
      <w:r w:rsidRPr="00E13E52">
        <w:rPr>
          <w:rFonts w:cstheme="minorHAnsi"/>
        </w:rPr>
        <w:t>+</w:t>
      </w:r>
      <w:r>
        <w:rPr>
          <w:rFonts w:cstheme="minorHAnsi"/>
        </w:rPr>
        <w:t xml:space="preserve"> b</w:t>
      </w:r>
      <w:r>
        <w:rPr>
          <w:rFonts w:cstheme="minorHAnsi"/>
          <w:vertAlign w:val="subscript"/>
        </w:rPr>
        <w:t>0i</w:t>
      </w:r>
      <w:r>
        <w:rPr>
          <w:rFonts w:cstheme="minorHAnsi"/>
        </w:rPr>
        <w:t>) +</w:t>
      </w:r>
      <w:r w:rsidRPr="00E13E52">
        <w:rPr>
          <w:rFonts w:cstheme="minorHAnsi"/>
        </w:rPr>
        <w:t xml:space="preserve"> </w:t>
      </w:r>
      <w:r>
        <w:rPr>
          <w:rFonts w:cstheme="minorHAnsi"/>
        </w:rPr>
        <w:t>(</w:t>
      </w:r>
      <w:r w:rsidRPr="00E13E52">
        <w:rPr>
          <w:rFonts w:cstheme="minorHAnsi"/>
        </w:rPr>
        <w:t>β</w:t>
      </w:r>
      <w:r w:rsidRPr="00E13E52">
        <w:rPr>
          <w:rFonts w:cstheme="minorHAnsi"/>
          <w:vertAlign w:val="subscript"/>
        </w:rPr>
        <w:t>1</w:t>
      </w:r>
      <w:r>
        <w:rPr>
          <w:rFonts w:cstheme="minorHAnsi"/>
        </w:rPr>
        <w:t xml:space="preserve"> + b</w:t>
      </w:r>
      <w:r>
        <w:rPr>
          <w:rFonts w:cstheme="minorHAnsi"/>
          <w:vertAlign w:val="subscript"/>
        </w:rPr>
        <w:t>1i</w:t>
      </w:r>
      <w:r>
        <w:rPr>
          <w:rFonts w:cstheme="minorHAnsi"/>
        </w:rPr>
        <w:t>)</w:t>
      </w:r>
      <w:r w:rsidRPr="00E13E52">
        <w:rPr>
          <w:rFonts w:cstheme="minorHAnsi"/>
        </w:rPr>
        <w:t>(t 1</w:t>
      </w:r>
      <w:r w:rsidRPr="00E13E52">
        <w:rPr>
          <w:rFonts w:cstheme="minorHAnsi"/>
          <w:vertAlign w:val="subscript"/>
        </w:rPr>
        <w:t>t&lt;0</w:t>
      </w:r>
      <w:r w:rsidRPr="00E13E52">
        <w:rPr>
          <w:rFonts w:cstheme="minorHAnsi"/>
        </w:rPr>
        <w:t xml:space="preserve"> + (1</w:t>
      </w:r>
      <w:r w:rsidRPr="00E13E52">
        <w:rPr>
          <w:rFonts w:cstheme="minorHAnsi"/>
          <w:vertAlign w:val="subscript"/>
        </w:rPr>
        <w:t>α&lt;δ</w:t>
      </w:r>
      <w:r w:rsidRPr="00E13E52">
        <w:rPr>
          <w:rFonts w:cstheme="minorHAnsi"/>
        </w:rPr>
        <w:t xml:space="preserve"> + </w:t>
      </w:r>
      <m:oMath>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δ</m:t>
            </m:r>
          </m:den>
        </m:f>
      </m:oMath>
      <w:r w:rsidRPr="00E13E52">
        <w:rPr>
          <w:rFonts w:eastAsiaTheme="minorEastAsia" w:cstheme="minorHAnsi"/>
        </w:rPr>
        <w:t xml:space="preserve"> 1</w:t>
      </w:r>
      <w:r w:rsidRPr="00E13E52">
        <w:rPr>
          <w:rFonts w:eastAsiaTheme="minorEastAsia" w:cstheme="minorHAnsi"/>
          <w:vertAlign w:val="subscript"/>
        </w:rPr>
        <w:t>α≥δ</w:t>
      </w:r>
      <w:r w:rsidRPr="00E13E52">
        <w:rPr>
          <w:rFonts w:eastAsiaTheme="minorEastAsia" w:cstheme="minorHAnsi"/>
        </w:rPr>
        <w:t>) min(</w:t>
      </w:r>
      <w:proofErr w:type="spellStart"/>
      <w:r w:rsidRPr="00E13E52">
        <w:rPr>
          <w:rFonts w:eastAsiaTheme="minorEastAsia" w:cstheme="minorHAnsi"/>
        </w:rPr>
        <w:t>t,δ</w:t>
      </w:r>
      <w:proofErr w:type="spellEnd"/>
      <w:r w:rsidRPr="00E13E52">
        <w:rPr>
          <w:rFonts w:eastAsiaTheme="minorEastAsia" w:cstheme="minorHAnsi"/>
        </w:rPr>
        <w:t>) 1</w:t>
      </w:r>
      <w:r w:rsidRPr="00E13E52">
        <w:rPr>
          <w:rFonts w:eastAsiaTheme="minorEastAsia" w:cstheme="minorHAnsi"/>
          <w:vertAlign w:val="subscript"/>
        </w:rPr>
        <w:t>t&gt;0</w:t>
      </w:r>
      <w:r w:rsidRPr="00E13E52">
        <w:rPr>
          <w:rFonts w:eastAsiaTheme="minorEastAsia" w:cstheme="minorHAnsi"/>
        </w:rPr>
        <w:t xml:space="preserve">) + </w:t>
      </w:r>
      <w:r>
        <w:rPr>
          <w:rFonts w:eastAsiaTheme="minorEastAsia" w:cstheme="minorHAnsi"/>
        </w:rPr>
        <w:t>(</w:t>
      </w:r>
      <w:r w:rsidRPr="00E13E52">
        <w:rPr>
          <w:rFonts w:eastAsiaTheme="minorEastAsia" w:cstheme="minorHAnsi"/>
        </w:rPr>
        <w:t>θ</w:t>
      </w:r>
      <w:r w:rsidRPr="00E13E52">
        <w:rPr>
          <w:rFonts w:eastAsiaTheme="minorEastAsia" w:cstheme="minorHAnsi"/>
          <w:vertAlign w:val="subscript"/>
        </w:rPr>
        <w:t>α</w:t>
      </w:r>
      <w:r>
        <w:rPr>
          <w:rFonts w:eastAsiaTheme="minorEastAsia" w:cstheme="minorHAnsi"/>
        </w:rPr>
        <w:t xml:space="preserve"> + b</w:t>
      </w:r>
      <w:r>
        <w:rPr>
          <w:rFonts w:eastAsiaTheme="minorEastAsia" w:cstheme="minorHAnsi"/>
          <w:vertAlign w:val="subscript"/>
        </w:rPr>
        <w:t>2i</w:t>
      </w:r>
      <w:r>
        <w:rPr>
          <w:rFonts w:eastAsiaTheme="minorEastAsia" w:cstheme="minorHAnsi"/>
        </w:rPr>
        <w:t>)</w:t>
      </w:r>
      <w:r w:rsidRPr="00E13E52">
        <w:rPr>
          <w:rFonts w:cstheme="minorHAnsi"/>
        </w:rPr>
        <w:t>(</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α</m:t>
            </m:r>
          </m:den>
        </m:f>
      </m:oMath>
      <w:r w:rsidRPr="00E13E52">
        <w:rPr>
          <w:rFonts w:eastAsiaTheme="minorEastAsia" w:cstheme="minorHAnsi"/>
        </w:rPr>
        <w:t xml:space="preserve"> 1</w:t>
      </w:r>
      <w:r w:rsidRPr="00E13E52">
        <w:rPr>
          <w:rFonts w:eastAsiaTheme="minorEastAsia" w:cstheme="minorHAnsi"/>
          <w:vertAlign w:val="subscript"/>
        </w:rPr>
        <w:t>α&lt;δ</w:t>
      </w:r>
      <w:r w:rsidRPr="00E13E52">
        <w:rPr>
          <w:rFonts w:eastAsiaTheme="minorEastAsia" w:cstheme="minorHAnsi"/>
        </w:rPr>
        <w:t xml:space="preserve"> +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δ</m:t>
            </m:r>
          </m:den>
        </m:f>
      </m:oMath>
      <w:r w:rsidRPr="00E13E52">
        <w:rPr>
          <w:rFonts w:eastAsiaTheme="minorEastAsia" w:cstheme="minorHAnsi"/>
        </w:rPr>
        <w:t xml:space="preserve"> 1</w:t>
      </w:r>
      <w:r w:rsidRPr="00E13E52">
        <w:rPr>
          <w:rFonts w:eastAsiaTheme="minorEastAsia" w:cstheme="minorHAnsi"/>
          <w:vertAlign w:val="subscript"/>
        </w:rPr>
        <w:t>α≥δ</w:t>
      </w:r>
      <w:r w:rsidRPr="00E13E52">
        <w:rPr>
          <w:rFonts w:eastAsiaTheme="minorEastAsia" w:cstheme="minorHAnsi"/>
        </w:rPr>
        <w:t>) min(t, δ) 1</w:t>
      </w:r>
      <w:r w:rsidRPr="00E13E52">
        <w:rPr>
          <w:rFonts w:eastAsiaTheme="minorEastAsia" w:cstheme="minorHAnsi"/>
          <w:vertAlign w:val="subscript"/>
        </w:rPr>
        <w:t>t&gt;0</w:t>
      </w:r>
      <w:r w:rsidRPr="00E13E52">
        <w:rPr>
          <w:rFonts w:eastAsiaTheme="minorEastAsia" w:cstheme="minorHAnsi"/>
        </w:rPr>
        <w:t xml:space="preserve"> +</w:t>
      </w:r>
      <w:r>
        <w:rPr>
          <w:rFonts w:eastAsiaTheme="minorEastAsia" w:cstheme="minorHAnsi"/>
        </w:rPr>
        <w:br/>
      </w:r>
      <w:r w:rsidRPr="00E13E52">
        <w:rPr>
          <w:rFonts w:eastAsiaTheme="minorEastAsia" w:cstheme="minorHAnsi"/>
        </w:rPr>
        <w:t xml:space="preserve"> </w:t>
      </w:r>
      <w:r>
        <w:rPr>
          <w:rFonts w:eastAsiaTheme="minorEastAsia" w:cstheme="minorHAnsi"/>
        </w:rPr>
        <w:tab/>
      </w:r>
      <w:r>
        <w:rPr>
          <w:rFonts w:eastAsiaTheme="minorEastAsia" w:cstheme="minorHAnsi"/>
        </w:rPr>
        <w:tab/>
        <w:t>(</w:t>
      </w:r>
      <w:r w:rsidRPr="00E13E52">
        <w:rPr>
          <w:rFonts w:eastAsiaTheme="minorEastAsia" w:cstheme="minorHAnsi"/>
        </w:rPr>
        <w:t>β</w:t>
      </w:r>
      <w:r w:rsidRPr="00E13E52">
        <w:rPr>
          <w:rFonts w:eastAsiaTheme="minorEastAsia" w:cstheme="minorHAnsi"/>
          <w:vertAlign w:val="subscript"/>
        </w:rPr>
        <w:t>3</w:t>
      </w:r>
      <w:r>
        <w:rPr>
          <w:rFonts w:eastAsiaTheme="minorEastAsia" w:cstheme="minorHAnsi"/>
        </w:rPr>
        <w:t xml:space="preserve"> + b</w:t>
      </w:r>
      <w:r>
        <w:rPr>
          <w:rFonts w:eastAsiaTheme="minorEastAsia" w:cstheme="minorHAnsi"/>
          <w:vertAlign w:val="subscript"/>
        </w:rPr>
        <w:t>3i</w:t>
      </w:r>
      <w:r>
        <w:rPr>
          <w:rFonts w:eastAsiaTheme="minorEastAsia" w:cstheme="minorHAnsi"/>
        </w:rPr>
        <w:t>)</w:t>
      </w:r>
      <w:r w:rsidRPr="00E13E52">
        <w:rPr>
          <w:rFonts w:eastAsiaTheme="minorEastAsia" w:cstheme="minorHAnsi"/>
        </w:rPr>
        <w:t xml:space="preserve">[(1 - </w:t>
      </w:r>
      <m:oMath>
        <m:f>
          <m:fPr>
            <m:ctrlPr>
              <w:rPr>
                <w:rFonts w:ascii="Cambria Math" w:eastAsiaTheme="minorEastAsia" w:hAnsi="Cambria Math" w:cstheme="minorHAnsi"/>
                <w:i/>
              </w:rPr>
            </m:ctrlPr>
          </m:fPr>
          <m:num>
            <m:r>
              <w:rPr>
                <w:rFonts w:ascii="Cambria Math" w:eastAsiaTheme="minorEastAsia" w:hAnsi="Cambria Math" w:cstheme="minorHAnsi"/>
              </w:rPr>
              <m:t>α</m:t>
            </m:r>
          </m:num>
          <m:den>
            <m:r>
              <w:rPr>
                <w:rFonts w:ascii="Cambria Math" w:eastAsiaTheme="minorEastAsia" w:hAnsi="Cambria Math" w:cstheme="minorHAnsi"/>
              </w:rPr>
              <m:t>δ</m:t>
            </m:r>
          </m:den>
        </m:f>
      </m:oMath>
      <w:r w:rsidRPr="00E13E52">
        <w:rPr>
          <w:rFonts w:eastAsiaTheme="minorEastAsia" w:cstheme="minorHAnsi"/>
        </w:rPr>
        <w:t>)1</w:t>
      </w:r>
      <w:r w:rsidRPr="00E13E52">
        <w:rPr>
          <w:rFonts w:eastAsiaTheme="minorEastAsia" w:cstheme="minorHAnsi"/>
          <w:vertAlign w:val="subscript"/>
        </w:rPr>
        <w:t>α≥δ</w:t>
      </w:r>
      <w:r w:rsidRPr="00E13E52">
        <w:rPr>
          <w:rFonts w:cstheme="minorHAnsi"/>
        </w:rPr>
        <w:t xml:space="preserve"> min(</w:t>
      </w:r>
      <w:proofErr w:type="spellStart"/>
      <w:r w:rsidRPr="00E13E52">
        <w:rPr>
          <w:rFonts w:cstheme="minorHAnsi"/>
        </w:rPr>
        <w:t>t,δ</w:t>
      </w:r>
      <w:proofErr w:type="spellEnd"/>
      <w:r w:rsidRPr="00E13E52">
        <w:rPr>
          <w:rFonts w:cstheme="minorHAnsi"/>
        </w:rPr>
        <w:t>) 1</w:t>
      </w:r>
      <w:r w:rsidRPr="00E13E52">
        <w:rPr>
          <w:rFonts w:cstheme="minorHAnsi"/>
          <w:vertAlign w:val="subscript"/>
        </w:rPr>
        <w:t xml:space="preserve">t&gt;0 </w:t>
      </w:r>
      <w:r w:rsidRPr="00E13E52">
        <w:rPr>
          <w:rFonts w:cstheme="minorHAnsi"/>
        </w:rPr>
        <w:t>+ (t- δ)1</w:t>
      </w:r>
      <w:r w:rsidRPr="00E13E52">
        <w:rPr>
          <w:rFonts w:cstheme="minorHAnsi"/>
          <w:vertAlign w:val="subscript"/>
        </w:rPr>
        <w:t>t≥δ</w:t>
      </w:r>
      <w:r w:rsidR="00103FEE">
        <w:rPr>
          <w:rFonts w:cstheme="minorHAnsi"/>
          <w:vertAlign w:val="subscript"/>
        </w:rPr>
        <w:tab/>
      </w:r>
      <w:r w:rsidR="00103FEE">
        <w:rPr>
          <w:rFonts w:cstheme="minorHAnsi"/>
          <w:vertAlign w:val="subscript"/>
        </w:rPr>
        <w:tab/>
      </w:r>
      <w:r w:rsidR="00103FEE">
        <w:rPr>
          <w:rFonts w:cstheme="minorHAnsi"/>
          <w:vertAlign w:val="subscript"/>
        </w:rPr>
        <w:tab/>
      </w:r>
      <w:r w:rsidR="00103FEE">
        <w:rPr>
          <w:rFonts w:cstheme="minorHAnsi"/>
          <w:vertAlign w:val="subscript"/>
        </w:rPr>
        <w:tab/>
      </w:r>
      <w:r w:rsidR="00A86197">
        <w:rPr>
          <w:rFonts w:cstheme="minorHAnsi"/>
        </w:rPr>
        <w:t>(9</w:t>
      </w:r>
      <w:r>
        <w:rPr>
          <w:rFonts w:cstheme="minorHAnsi"/>
        </w:rPr>
        <w:t>)</w:t>
      </w:r>
    </w:p>
    <w:p w14:paraId="4F7E513A" w14:textId="3C048518" w:rsidR="00E13E52" w:rsidRPr="00E13E52" w:rsidRDefault="00E13E52" w:rsidP="00DF77D1">
      <w:pPr>
        <w:spacing w:line="480" w:lineRule="auto"/>
        <w:jc w:val="both"/>
        <w:rPr>
          <w:rFonts w:cstheme="minorHAnsi"/>
        </w:rPr>
      </w:pPr>
      <w:r>
        <w:rPr>
          <w:rFonts w:cstheme="minorHAnsi"/>
        </w:rPr>
        <w:t xml:space="preserve">To fit this model under a Bayesian framework, prior distributions for each of the parameters were determined. In the absence of additional information, non-informative priors should be used </w:t>
      </w:r>
      <w:r w:rsidR="00B964C5">
        <w:rPr>
          <w:rFonts w:cstheme="minorHAnsi"/>
        </w:rPr>
        <w:fldChar w:fldCharType="begin"/>
      </w:r>
      <w:r w:rsidR="00F209E7">
        <w:rPr>
          <w:rFonts w:cstheme="minorHAnsi"/>
        </w:rPr>
        <w:instrText xml:space="preserve"> ADDIN EN.CITE &lt;EndNote&gt;&lt;Cite&gt;&lt;Author&gt;Gelman&lt;/Author&gt;&lt;Year&gt;2006&lt;/Year&gt;&lt;RecNum&gt;5&lt;/RecNum&gt;&lt;DisplayText&gt;(23)&lt;/DisplayText&gt;&lt;record&gt;&lt;rec-number&gt;5&lt;/rec-number&gt;&lt;foreign-keys&gt;&lt;key app="EN" db-id="p5t2axawez5dr9efspu55tfv5tvdrewdrtxf" timestamp="1573634762"&gt;5&lt;/key&gt;&lt;/foreign-keys&gt;&lt;ref-type name="Book"&gt;6&lt;/ref-type&gt;&lt;contributors&gt;&lt;authors&gt;&lt;author&gt;Gelman, Andrew&lt;/author&gt;&lt;author&gt;Hill, Jennifer&lt;/author&gt;&lt;/authors&gt;&lt;/contributors&gt;&lt;titles&gt;&lt;title&gt;Data analysis using regression and multilevel/hierarchical models&lt;/title&gt;&lt;/titles&gt;&lt;dates&gt;&lt;year&gt;2006&lt;/year&gt;&lt;/dates&gt;&lt;publisher&gt;Cambridge university press&lt;/publisher&gt;&lt;isbn&gt;1139460935&lt;/isbn&gt;&lt;urls&gt;&lt;/urls&gt;&lt;/record&gt;&lt;/Cite&gt;&lt;/EndNote&gt;</w:instrText>
      </w:r>
      <w:r w:rsidR="00B964C5">
        <w:rPr>
          <w:rFonts w:cstheme="minorHAnsi"/>
        </w:rPr>
        <w:fldChar w:fldCharType="separate"/>
      </w:r>
      <w:r w:rsidR="00F209E7">
        <w:rPr>
          <w:rFonts w:cstheme="minorHAnsi"/>
          <w:noProof/>
        </w:rPr>
        <w:t>(23)</w:t>
      </w:r>
      <w:r w:rsidR="00B964C5">
        <w:rPr>
          <w:rFonts w:cstheme="minorHAnsi"/>
        </w:rPr>
        <w:fldChar w:fldCharType="end"/>
      </w:r>
      <w:r>
        <w:rPr>
          <w:rFonts w:cstheme="minorHAnsi"/>
        </w:rPr>
        <w:t xml:space="preserve">. </w:t>
      </w:r>
      <w:r w:rsidR="00A86197">
        <w:rPr>
          <w:rFonts w:cstheme="minorHAnsi"/>
        </w:rPr>
        <w:t xml:space="preserve">For the coefficients, a suitable choice is a normal distribution with zero mean and large deviation. For the residual standard deviation, a suitable choice is uniform on the range zero to one hundred. A suitable prior distribution for a change point parameter, such as </w:t>
      </w:r>
      <w:r w:rsidR="00A86197">
        <w:rPr>
          <w:rFonts w:ascii="Trebuchet MS" w:hAnsi="Trebuchet MS" w:cstheme="minorHAnsi"/>
        </w:rPr>
        <w:t>δ</w:t>
      </w:r>
      <w:r w:rsidR="00A86197">
        <w:rPr>
          <w:rFonts w:cstheme="minorHAnsi"/>
        </w:rPr>
        <w:t xml:space="preserve">, is a uniform prior on the range of possible values </w:t>
      </w:r>
      <w:r w:rsidR="00B964C5">
        <w:rPr>
          <w:rFonts w:cstheme="minorHAnsi"/>
        </w:rPr>
        <w:fldChar w:fldCharType="begin"/>
      </w:r>
      <w:r w:rsidR="00F209E7">
        <w:rPr>
          <w:rFonts w:cstheme="minorHAnsi"/>
        </w:rPr>
        <w:instrText xml:space="preserve"> ADDIN EN.CITE &lt;EndNote&gt;&lt;Cite&gt;&lt;Author&gt;Pauler&lt;/Author&gt;&lt;Year&gt;2002&lt;/Year&gt;&lt;RecNum&gt;13&lt;/RecNum&gt;&lt;DisplayText&gt;(24)&lt;/DisplayText&gt;&lt;record&gt;&lt;rec-number&gt;13&lt;/rec-number&gt;&lt;foreign-keys&gt;&lt;key app="EN" db-id="p5t2axawez5dr9efspu55tfv5tvdrewdrtxf" timestamp="1573634953"&gt;13&lt;/key&gt;&lt;/foreign-keys&gt;&lt;ref-type name="Journal Article"&gt;17&lt;/ref-type&gt;&lt;contributors&gt;&lt;authors&gt;&lt;author&gt;Pauler, Donna K&lt;/author&gt;&lt;author&gt;Finkelstein, Dianne M&lt;/author&gt;&lt;/authors&gt;&lt;/contributors&gt;&lt;titles&gt;&lt;title&gt;Predicting time to prostate cancer recurrence based on joint models for non‐linear longitudinal biomarkers and event time outcomes&lt;/title&gt;&lt;secondary-title&gt;Statistics in medicine&lt;/secondary-title&gt;&lt;/titles&gt;&lt;periodical&gt;&lt;full-title&gt;Statistics in Medicine&lt;/full-title&gt;&lt;abbr-1&gt;Stat. Med.&lt;/abbr-1&gt;&lt;abbr-2&gt;Stat Med&lt;/abbr-2&gt;&lt;/periodical&gt;&lt;pages&gt;3897-3911&lt;/pages&gt;&lt;volume&gt;21&lt;/volume&gt;&lt;number&gt;24&lt;/number&gt;&lt;dates&gt;&lt;year&gt;2002&lt;/year&gt;&lt;/dates&gt;&lt;isbn&gt;0277-6715&lt;/isbn&gt;&lt;urls&gt;&lt;/urls&gt;&lt;/record&gt;&lt;/Cite&gt;&lt;/EndNote&gt;</w:instrText>
      </w:r>
      <w:r w:rsidR="00B964C5">
        <w:rPr>
          <w:rFonts w:cstheme="minorHAnsi"/>
        </w:rPr>
        <w:fldChar w:fldCharType="separate"/>
      </w:r>
      <w:r w:rsidR="00F209E7">
        <w:rPr>
          <w:rFonts w:cstheme="minorHAnsi"/>
          <w:noProof/>
        </w:rPr>
        <w:t>(24)</w:t>
      </w:r>
      <w:r w:rsidR="00B964C5">
        <w:rPr>
          <w:rFonts w:cstheme="minorHAnsi"/>
        </w:rPr>
        <w:fldChar w:fldCharType="end"/>
      </w:r>
      <w:r w:rsidR="00A86197">
        <w:rPr>
          <w:rFonts w:cstheme="minorHAnsi"/>
        </w:rPr>
        <w:t xml:space="preserve">. In this instance, a plausible range is from 0 to 3 since the second change point must come after the first at t=0 and the cohort consists of scores from 0 to 3 years after treatment offer. Suitable vague hierarchical priors are also placed on the random effects. For a single random effect, this is a normal distribution with mean 0 and variance </w:t>
      </w:r>
      <w:r w:rsidR="00A86197">
        <w:rPr>
          <w:rFonts w:ascii="Trebuchet MS" w:hAnsi="Trebuchet MS" w:cstheme="minorHAnsi"/>
        </w:rPr>
        <w:t>σ</w:t>
      </w:r>
      <w:r w:rsidR="00A86197">
        <w:rPr>
          <w:rFonts w:cstheme="minorHAnsi"/>
          <w:vertAlign w:val="subscript"/>
        </w:rPr>
        <w:t>0</w:t>
      </w:r>
      <w:r w:rsidR="00A86197">
        <w:rPr>
          <w:rFonts w:cstheme="minorHAnsi"/>
          <w:vertAlign w:val="superscript"/>
        </w:rPr>
        <w:t>2</w:t>
      </w:r>
      <w:r w:rsidR="00A86197">
        <w:rPr>
          <w:rFonts w:cstheme="minorHAnsi"/>
        </w:rPr>
        <w:t xml:space="preserve"> which is given a vague prior (U(0,100)). In the presence of two or more random effects, these </w:t>
      </w:r>
      <w:r w:rsidR="00B15288">
        <w:rPr>
          <w:rFonts w:cstheme="minorHAnsi"/>
        </w:rPr>
        <w:t xml:space="preserve">can be modelled </w:t>
      </w:r>
      <w:r w:rsidR="00A86197">
        <w:rPr>
          <w:rFonts w:cstheme="minorHAnsi"/>
        </w:rPr>
        <w:t>using a multi-variate normal distribution</w:t>
      </w:r>
      <w:r w:rsidR="00B15288">
        <w:rPr>
          <w:rFonts w:cstheme="minorHAnsi"/>
        </w:rPr>
        <w:t xml:space="preserve"> with mean zero. Vague priors are used for the covariance matrix. In the case of two </w:t>
      </w:r>
      <w:r w:rsidR="00B15288">
        <w:rPr>
          <w:rFonts w:cstheme="minorHAnsi"/>
        </w:rPr>
        <w:lastRenderedPageBreak/>
        <w:t xml:space="preserve">random effects the constituent parts of the covariance matrix can be given vague priors (U(0,100) for standard deviations and U(-1,1) for the correlation). In the presence of 3 or more random effects an inverse Wishart prior distribution is used for the re-scaled covariance matrix with U(0,100) priors used for the scaling parameters </w:t>
      </w:r>
      <w:r w:rsidR="00B964C5">
        <w:rPr>
          <w:rFonts w:cstheme="minorHAnsi"/>
        </w:rPr>
        <w:fldChar w:fldCharType="begin"/>
      </w:r>
      <w:r w:rsidR="00F209E7">
        <w:rPr>
          <w:rFonts w:cstheme="minorHAnsi"/>
        </w:rPr>
        <w:instrText xml:space="preserve"> ADDIN EN.CITE &lt;EndNote&gt;&lt;Cite&gt;&lt;Author&gt;Gelman&lt;/Author&gt;&lt;Year&gt;2006&lt;/Year&gt;&lt;RecNum&gt;5&lt;/RecNum&gt;&lt;DisplayText&gt;(23)&lt;/DisplayText&gt;&lt;record&gt;&lt;rec-number&gt;5&lt;/rec-number&gt;&lt;foreign-keys&gt;&lt;key app="EN" db-id="p5t2axawez5dr9efspu55tfv5tvdrewdrtxf" timestamp="1573634762"&gt;5&lt;/key&gt;&lt;/foreign-keys&gt;&lt;ref-type name="Book"&gt;6&lt;/ref-type&gt;&lt;contributors&gt;&lt;authors&gt;&lt;author&gt;Gelman, Andrew&lt;/author&gt;&lt;author&gt;Hill, Jennifer&lt;/author&gt;&lt;/authors&gt;&lt;/contributors&gt;&lt;titles&gt;&lt;title&gt;Data analysis using regression and multilevel/hierarchical models&lt;/title&gt;&lt;/titles&gt;&lt;dates&gt;&lt;year&gt;2006&lt;/year&gt;&lt;/dates&gt;&lt;publisher&gt;Cambridge university press&lt;/publisher&gt;&lt;isbn&gt;1139460935&lt;/isbn&gt;&lt;urls&gt;&lt;/urls&gt;&lt;/record&gt;&lt;/Cite&gt;&lt;/EndNote&gt;</w:instrText>
      </w:r>
      <w:r w:rsidR="00B964C5">
        <w:rPr>
          <w:rFonts w:cstheme="minorHAnsi"/>
        </w:rPr>
        <w:fldChar w:fldCharType="separate"/>
      </w:r>
      <w:r w:rsidR="00F209E7">
        <w:rPr>
          <w:rFonts w:cstheme="minorHAnsi"/>
          <w:noProof/>
        </w:rPr>
        <w:t>(23)</w:t>
      </w:r>
      <w:r w:rsidR="00B964C5">
        <w:rPr>
          <w:rFonts w:cstheme="minorHAnsi"/>
        </w:rPr>
        <w:fldChar w:fldCharType="end"/>
      </w:r>
      <w:r w:rsidR="00B15288">
        <w:rPr>
          <w:rFonts w:cstheme="minorHAnsi"/>
        </w:rPr>
        <w:t>.</w:t>
      </w:r>
    </w:p>
    <w:p w14:paraId="5107FAF3" w14:textId="4D5BE1AE" w:rsidR="00B52585" w:rsidRDefault="00856E59" w:rsidP="00DF77D1">
      <w:pPr>
        <w:spacing w:line="480" w:lineRule="auto"/>
        <w:rPr>
          <w:b/>
          <w:i/>
          <w:iCs/>
        </w:rPr>
      </w:pPr>
      <w:r>
        <w:rPr>
          <w:b/>
          <w:i/>
          <w:iCs/>
        </w:rPr>
        <w:t xml:space="preserve">2.3 </w:t>
      </w:r>
      <w:r w:rsidR="00B52585">
        <w:rPr>
          <w:b/>
          <w:i/>
          <w:iCs/>
        </w:rPr>
        <w:t>Incorporating RCT data via informative prior distributions</w:t>
      </w:r>
    </w:p>
    <w:p w14:paraId="4C4E463D" w14:textId="3317380C" w:rsidR="000F6911" w:rsidRDefault="000F6911" w:rsidP="00DF77D1">
      <w:pPr>
        <w:spacing w:line="480" w:lineRule="auto"/>
        <w:jc w:val="both"/>
        <w:rPr>
          <w:rFonts w:eastAsiaTheme="minorEastAsia" w:cstheme="minorHAnsi"/>
        </w:rPr>
      </w:pPr>
      <w:r>
        <w:rPr>
          <w:iCs/>
        </w:rPr>
        <w:t xml:space="preserve">The assumption on which the estimator </w:t>
      </w:r>
      <w:r w:rsidRPr="00E13E52">
        <w:rPr>
          <w:rFonts w:eastAsiaTheme="minorEastAsia" w:cstheme="minorHAnsi"/>
        </w:rPr>
        <w:t>θ</w:t>
      </w:r>
      <w:r w:rsidRPr="00E13E52">
        <w:rPr>
          <w:rFonts w:eastAsiaTheme="minorEastAsia" w:cstheme="minorHAnsi"/>
          <w:vertAlign w:val="subscript"/>
        </w:rPr>
        <w:t>α</w:t>
      </w:r>
      <w:r>
        <w:rPr>
          <w:rFonts w:eastAsiaTheme="minorEastAsia" w:cstheme="minorHAnsi"/>
          <w:vertAlign w:val="subscript"/>
        </w:rPr>
        <w:t xml:space="preserve"> </w:t>
      </w:r>
      <w:r>
        <w:rPr>
          <w:rFonts w:eastAsiaTheme="minorEastAsia" w:cstheme="minorHAnsi"/>
        </w:rPr>
        <w:t xml:space="preserve">is based may be biased, patients may not have </w:t>
      </w:r>
      <w:proofErr w:type="gramStart"/>
      <w:r>
        <w:rPr>
          <w:rFonts w:eastAsiaTheme="minorEastAsia" w:cstheme="minorHAnsi"/>
        </w:rPr>
        <w:t>continued on</w:t>
      </w:r>
      <w:proofErr w:type="gramEnd"/>
      <w:r>
        <w:rPr>
          <w:rFonts w:eastAsiaTheme="minorEastAsia" w:cstheme="minorHAnsi"/>
        </w:rPr>
        <w:t xml:space="preserve"> their pre-treatment trajectory. This is called projection bias</w:t>
      </w:r>
      <w:r w:rsidR="00356C2A">
        <w:rPr>
          <w:rFonts w:eastAsiaTheme="minorEastAsia" w:cstheme="minorHAnsi"/>
        </w:rPr>
        <w:t>, with the projection bias at time = α</w:t>
      </w:r>
      <w:r>
        <w:rPr>
          <w:rFonts w:eastAsiaTheme="minorEastAsia" w:cstheme="minorHAnsi"/>
        </w:rPr>
        <w:t xml:space="preserve"> denoted </w:t>
      </w:r>
      <w:r>
        <w:rPr>
          <w:rFonts w:ascii="Trebuchet MS" w:eastAsiaTheme="minorEastAsia" w:hAnsi="Trebuchet MS" w:cstheme="minorHAnsi"/>
        </w:rPr>
        <w:t>φ</w:t>
      </w:r>
      <w:r>
        <w:rPr>
          <w:rFonts w:eastAsiaTheme="minorEastAsia" w:cstheme="minorHAnsi"/>
          <w:vertAlign w:val="subscript"/>
        </w:rPr>
        <w:t>α</w:t>
      </w:r>
      <w:r>
        <w:rPr>
          <w:rFonts w:eastAsiaTheme="minorEastAsia" w:cstheme="minorHAnsi"/>
        </w:rPr>
        <w:t>. The true treatment effect, ARE(α) can be calculated as:</w:t>
      </w:r>
    </w:p>
    <w:p w14:paraId="65BE6C86" w14:textId="77777777" w:rsidR="000F6911" w:rsidRDefault="000F6911" w:rsidP="00DF77D1">
      <w:pPr>
        <w:spacing w:line="480" w:lineRule="auto"/>
        <w:jc w:val="both"/>
        <w:rPr>
          <w:rFonts w:eastAsiaTheme="minorEastAsia" w:cstheme="minorHAnsi"/>
          <w:vertAlign w:val="subscript"/>
        </w:rPr>
      </w:pPr>
      <w:r>
        <w:rPr>
          <w:rFonts w:eastAsiaTheme="minorEastAsia" w:cstheme="minorHAnsi"/>
        </w:rPr>
        <w:t xml:space="preserve">ARE(α) = </w:t>
      </w:r>
      <w:r w:rsidRPr="00E13E52">
        <w:rPr>
          <w:rFonts w:eastAsiaTheme="minorEastAsia" w:cstheme="minorHAnsi"/>
        </w:rPr>
        <w:t>θ</w:t>
      </w:r>
      <w:r w:rsidRPr="00E13E52">
        <w:rPr>
          <w:rFonts w:eastAsiaTheme="minorEastAsia" w:cstheme="minorHAnsi"/>
          <w:vertAlign w:val="subscript"/>
        </w:rPr>
        <w:t>α</w:t>
      </w:r>
      <w:r>
        <w:rPr>
          <w:rFonts w:eastAsiaTheme="minorEastAsia" w:cstheme="minorHAnsi"/>
        </w:rPr>
        <w:t xml:space="preserve"> –  </w:t>
      </w:r>
      <w:r>
        <w:rPr>
          <w:rFonts w:ascii="Trebuchet MS" w:eastAsiaTheme="minorEastAsia" w:hAnsi="Trebuchet MS" w:cstheme="minorHAnsi"/>
        </w:rPr>
        <w:t>φ</w:t>
      </w:r>
      <w:r>
        <w:rPr>
          <w:rFonts w:eastAsiaTheme="minorEastAsia" w:cstheme="minorHAnsi"/>
          <w:vertAlign w:val="subscript"/>
        </w:rPr>
        <w:t xml:space="preserve">α </w:t>
      </w:r>
    </w:p>
    <w:p w14:paraId="4C0342FF" w14:textId="368C1286" w:rsidR="000F6911" w:rsidRDefault="000F6911" w:rsidP="00DF77D1">
      <w:pPr>
        <w:spacing w:line="480" w:lineRule="auto"/>
        <w:jc w:val="both"/>
        <w:rPr>
          <w:rFonts w:eastAsiaTheme="minorEastAsia" w:cstheme="minorHAnsi"/>
        </w:rPr>
      </w:pPr>
      <w:r>
        <w:rPr>
          <w:rFonts w:eastAsiaTheme="minorEastAsia" w:cstheme="minorHAnsi"/>
        </w:rPr>
        <w:t xml:space="preserve"> </w:t>
      </w:r>
      <w:r>
        <w:rPr>
          <w:rFonts w:ascii="Trebuchet MS" w:eastAsiaTheme="minorEastAsia" w:hAnsi="Trebuchet MS" w:cstheme="minorHAnsi"/>
        </w:rPr>
        <w:t>θ</w:t>
      </w:r>
      <w:r>
        <w:rPr>
          <w:rFonts w:eastAsiaTheme="minorEastAsia" w:cstheme="minorHAnsi"/>
          <w:vertAlign w:val="subscript"/>
        </w:rPr>
        <w:t>α</w:t>
      </w:r>
      <w:r>
        <w:rPr>
          <w:rFonts w:eastAsiaTheme="minorEastAsia" w:cstheme="minorHAnsi"/>
        </w:rPr>
        <w:t xml:space="preserve"> = ARE(α) + </w:t>
      </w:r>
      <w:r>
        <w:rPr>
          <w:rFonts w:ascii="Trebuchet MS" w:eastAsiaTheme="minorEastAsia" w:hAnsi="Trebuchet MS" w:cstheme="minorHAnsi"/>
        </w:rPr>
        <w:t>φ</w:t>
      </w:r>
      <w:r>
        <w:rPr>
          <w:rFonts w:eastAsiaTheme="minorEastAsia" w:cstheme="minorHAnsi"/>
          <w:vertAlign w:val="subscript"/>
        </w:rPr>
        <w:t>α</w:t>
      </w:r>
      <w:r>
        <w:rPr>
          <w:rFonts w:eastAsiaTheme="minorEastAsia" w:cstheme="minorHAnsi"/>
          <w:vertAlign w:val="subscript"/>
        </w:rPr>
        <w:softHyphen/>
      </w:r>
      <w:r w:rsidR="00103FEE">
        <w:rPr>
          <w:rFonts w:eastAsiaTheme="minorEastAsia" w:cstheme="minorHAnsi"/>
        </w:rPr>
        <w:tab/>
      </w:r>
      <w:r w:rsidR="00103FEE">
        <w:rPr>
          <w:rFonts w:eastAsiaTheme="minorEastAsia" w:cstheme="minorHAnsi"/>
        </w:rPr>
        <w:tab/>
      </w:r>
      <w:r w:rsidR="00103FEE">
        <w:rPr>
          <w:rFonts w:eastAsiaTheme="minorEastAsia" w:cstheme="minorHAnsi"/>
        </w:rPr>
        <w:tab/>
      </w:r>
      <w:r w:rsidR="00103FEE">
        <w:rPr>
          <w:rFonts w:eastAsiaTheme="minorEastAsia" w:cstheme="minorHAnsi"/>
        </w:rPr>
        <w:tab/>
      </w:r>
      <w:r w:rsidR="00103FEE">
        <w:rPr>
          <w:rFonts w:eastAsiaTheme="minorEastAsia" w:cstheme="minorHAnsi"/>
        </w:rPr>
        <w:tab/>
      </w:r>
      <w:r w:rsidR="00103FEE">
        <w:rPr>
          <w:rFonts w:eastAsiaTheme="minorEastAsia" w:cstheme="minorHAnsi"/>
        </w:rPr>
        <w:tab/>
      </w:r>
      <w:r w:rsidR="00103FEE">
        <w:rPr>
          <w:rFonts w:eastAsiaTheme="minorEastAsia" w:cstheme="minorHAnsi"/>
        </w:rPr>
        <w:tab/>
      </w:r>
      <w:r w:rsidR="00103FEE">
        <w:rPr>
          <w:rFonts w:eastAsiaTheme="minorEastAsia" w:cstheme="minorHAnsi"/>
        </w:rPr>
        <w:tab/>
      </w:r>
      <w:r w:rsidR="00103FEE">
        <w:rPr>
          <w:rFonts w:eastAsiaTheme="minorEastAsia" w:cstheme="minorHAnsi"/>
        </w:rPr>
        <w:tab/>
      </w:r>
      <w:r>
        <w:rPr>
          <w:rFonts w:eastAsiaTheme="minorEastAsia" w:cstheme="minorHAnsi"/>
        </w:rPr>
        <w:t>(10)</w:t>
      </w:r>
    </w:p>
    <w:p w14:paraId="0E20E195" w14:textId="154580DE" w:rsidR="000F6911" w:rsidRDefault="000F6911" w:rsidP="00DF77D1">
      <w:pPr>
        <w:spacing w:line="480" w:lineRule="auto"/>
        <w:jc w:val="both"/>
        <w:rPr>
          <w:rFonts w:eastAsiaTheme="minorEastAsia" w:cstheme="minorHAnsi"/>
        </w:rPr>
      </w:pPr>
      <w:r>
        <w:rPr>
          <w:rFonts w:eastAsiaTheme="minorEastAsia" w:cstheme="minorHAnsi"/>
        </w:rPr>
        <w:t>This can be substituted into equation (9) to give an expression for the MMSE trajectory in the treated cohort based on the true treatment effect and the projection bias</w:t>
      </w:r>
      <w:r w:rsidR="00356C2A">
        <w:rPr>
          <w:rFonts w:eastAsiaTheme="minorEastAsia" w:cstheme="minorHAnsi"/>
        </w:rPr>
        <w:t>, both at time = α</w:t>
      </w:r>
      <w:r>
        <w:rPr>
          <w:rFonts w:eastAsiaTheme="minorEastAsia" w:cstheme="minorHAnsi"/>
        </w:rPr>
        <w:t>:</w:t>
      </w:r>
    </w:p>
    <w:p w14:paraId="1BF3F753" w14:textId="77777777" w:rsidR="000F6911" w:rsidRPr="000F6911" w:rsidRDefault="000F6911" w:rsidP="00DF77D1">
      <w:pPr>
        <w:spacing w:line="480" w:lineRule="auto"/>
        <w:rPr>
          <w:rFonts w:eastAsiaTheme="minorEastAsia" w:cstheme="minorHAnsi"/>
        </w:rPr>
      </w:pPr>
      <w:r w:rsidRPr="00E13E52">
        <w:rPr>
          <w:rFonts w:cstheme="minorHAnsi"/>
          <w:iCs/>
        </w:rPr>
        <w:t>μ</w:t>
      </w:r>
      <w:r w:rsidRPr="00E13E52">
        <w:rPr>
          <w:rFonts w:cstheme="minorHAnsi"/>
          <w:iCs/>
          <w:vertAlign w:val="subscript"/>
        </w:rPr>
        <w:t>1</w:t>
      </w:r>
      <w:r w:rsidRPr="00E13E52">
        <w:rPr>
          <w:rFonts w:cstheme="minorHAnsi"/>
          <w:iCs/>
        </w:rPr>
        <w:t xml:space="preserve">(t) = </w:t>
      </w:r>
      <w:r>
        <w:rPr>
          <w:rFonts w:cstheme="minorHAnsi"/>
          <w:iCs/>
        </w:rPr>
        <w:t>(</w:t>
      </w:r>
      <w:r w:rsidRPr="00E13E52">
        <w:rPr>
          <w:rFonts w:cstheme="minorHAnsi"/>
          <w:iCs/>
        </w:rPr>
        <w:t>β</w:t>
      </w:r>
      <w:r w:rsidRPr="00E13E52">
        <w:rPr>
          <w:rFonts w:cstheme="minorHAnsi"/>
          <w:iCs/>
          <w:vertAlign w:val="subscript"/>
        </w:rPr>
        <w:t>0</w:t>
      </w:r>
      <w:r>
        <w:rPr>
          <w:rFonts w:cstheme="minorHAnsi"/>
          <w:iCs/>
          <w:vertAlign w:val="subscript"/>
        </w:rPr>
        <w:t xml:space="preserve"> </w:t>
      </w:r>
      <w:r w:rsidRPr="00E13E52">
        <w:rPr>
          <w:rFonts w:cstheme="minorHAnsi"/>
        </w:rPr>
        <w:t>+</w:t>
      </w:r>
      <w:r>
        <w:rPr>
          <w:rFonts w:cstheme="minorHAnsi"/>
        </w:rPr>
        <w:t xml:space="preserve"> b</w:t>
      </w:r>
      <w:r>
        <w:rPr>
          <w:rFonts w:cstheme="minorHAnsi"/>
          <w:vertAlign w:val="subscript"/>
        </w:rPr>
        <w:t>0i</w:t>
      </w:r>
      <w:r>
        <w:rPr>
          <w:rFonts w:cstheme="minorHAnsi"/>
        </w:rPr>
        <w:t>) +</w:t>
      </w:r>
      <w:r w:rsidRPr="00E13E52">
        <w:rPr>
          <w:rFonts w:cstheme="minorHAnsi"/>
        </w:rPr>
        <w:t xml:space="preserve"> </w:t>
      </w:r>
      <w:r>
        <w:rPr>
          <w:rFonts w:cstheme="minorHAnsi"/>
        </w:rPr>
        <w:t>(</w:t>
      </w:r>
      <w:r w:rsidRPr="00E13E52">
        <w:rPr>
          <w:rFonts w:cstheme="minorHAnsi"/>
        </w:rPr>
        <w:t>β</w:t>
      </w:r>
      <w:r w:rsidRPr="00E13E52">
        <w:rPr>
          <w:rFonts w:cstheme="minorHAnsi"/>
          <w:vertAlign w:val="subscript"/>
        </w:rPr>
        <w:t>1</w:t>
      </w:r>
      <w:r>
        <w:rPr>
          <w:rFonts w:cstheme="minorHAnsi"/>
        </w:rPr>
        <w:t xml:space="preserve"> + b</w:t>
      </w:r>
      <w:r>
        <w:rPr>
          <w:rFonts w:cstheme="minorHAnsi"/>
          <w:vertAlign w:val="subscript"/>
        </w:rPr>
        <w:t>1i</w:t>
      </w:r>
      <w:r>
        <w:rPr>
          <w:rFonts w:cstheme="minorHAnsi"/>
        </w:rPr>
        <w:t>)</w:t>
      </w:r>
      <w:r w:rsidRPr="00E13E52">
        <w:rPr>
          <w:rFonts w:cstheme="minorHAnsi"/>
        </w:rPr>
        <w:t>(t 1</w:t>
      </w:r>
      <w:r w:rsidRPr="00E13E52">
        <w:rPr>
          <w:rFonts w:cstheme="minorHAnsi"/>
          <w:vertAlign w:val="subscript"/>
        </w:rPr>
        <w:t>t&lt;0</w:t>
      </w:r>
      <w:r w:rsidRPr="00E13E52">
        <w:rPr>
          <w:rFonts w:cstheme="minorHAnsi"/>
        </w:rPr>
        <w:t xml:space="preserve"> + (1</w:t>
      </w:r>
      <w:r w:rsidRPr="00E13E52">
        <w:rPr>
          <w:rFonts w:cstheme="minorHAnsi"/>
          <w:vertAlign w:val="subscript"/>
        </w:rPr>
        <w:t>α&lt;δ</w:t>
      </w:r>
      <w:r w:rsidRPr="00E13E52">
        <w:rPr>
          <w:rFonts w:cstheme="minorHAnsi"/>
        </w:rPr>
        <w:t xml:space="preserve"> + </w:t>
      </w:r>
      <m:oMath>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δ</m:t>
            </m:r>
          </m:den>
        </m:f>
      </m:oMath>
      <w:r w:rsidRPr="00E13E52">
        <w:rPr>
          <w:rFonts w:eastAsiaTheme="minorEastAsia" w:cstheme="minorHAnsi"/>
        </w:rPr>
        <w:t xml:space="preserve"> 1</w:t>
      </w:r>
      <w:r w:rsidRPr="00E13E52">
        <w:rPr>
          <w:rFonts w:eastAsiaTheme="minorEastAsia" w:cstheme="minorHAnsi"/>
          <w:vertAlign w:val="subscript"/>
        </w:rPr>
        <w:t>α≥δ</w:t>
      </w:r>
      <w:r w:rsidRPr="00E13E52">
        <w:rPr>
          <w:rFonts w:eastAsiaTheme="minorEastAsia" w:cstheme="minorHAnsi"/>
        </w:rPr>
        <w:t>) min(</w:t>
      </w:r>
      <w:proofErr w:type="spellStart"/>
      <w:r w:rsidRPr="00E13E52">
        <w:rPr>
          <w:rFonts w:eastAsiaTheme="minorEastAsia" w:cstheme="minorHAnsi"/>
        </w:rPr>
        <w:t>t,δ</w:t>
      </w:r>
      <w:proofErr w:type="spellEnd"/>
      <w:r w:rsidRPr="00E13E52">
        <w:rPr>
          <w:rFonts w:eastAsiaTheme="minorEastAsia" w:cstheme="minorHAnsi"/>
        </w:rPr>
        <w:t>) 1</w:t>
      </w:r>
      <w:r w:rsidRPr="00E13E52">
        <w:rPr>
          <w:rFonts w:eastAsiaTheme="minorEastAsia" w:cstheme="minorHAnsi"/>
          <w:vertAlign w:val="subscript"/>
        </w:rPr>
        <w:t>t&gt;0</w:t>
      </w:r>
      <w:r w:rsidRPr="00E13E52">
        <w:rPr>
          <w:rFonts w:eastAsiaTheme="minorEastAsia" w:cstheme="minorHAnsi"/>
        </w:rPr>
        <w:t xml:space="preserve">) + </w:t>
      </w:r>
      <w:r>
        <w:rPr>
          <w:rFonts w:eastAsiaTheme="minorEastAsia" w:cstheme="minorHAnsi"/>
        </w:rPr>
        <w:br/>
        <w:t xml:space="preserve">                  (ARE(α) + </w:t>
      </w:r>
      <w:r>
        <w:rPr>
          <w:rFonts w:ascii="Trebuchet MS" w:eastAsiaTheme="minorEastAsia" w:hAnsi="Trebuchet MS" w:cstheme="minorHAnsi"/>
        </w:rPr>
        <w:t>φ</w:t>
      </w:r>
      <w:r>
        <w:rPr>
          <w:rFonts w:eastAsiaTheme="minorEastAsia" w:cstheme="minorHAnsi"/>
          <w:vertAlign w:val="subscript"/>
        </w:rPr>
        <w:t>α</w:t>
      </w:r>
      <w:r>
        <w:rPr>
          <w:rFonts w:eastAsiaTheme="minorEastAsia" w:cstheme="minorHAnsi"/>
        </w:rPr>
        <w:t xml:space="preserve"> + b</w:t>
      </w:r>
      <w:r>
        <w:rPr>
          <w:rFonts w:eastAsiaTheme="minorEastAsia" w:cstheme="minorHAnsi"/>
          <w:vertAlign w:val="subscript"/>
        </w:rPr>
        <w:t>2i</w:t>
      </w:r>
      <w:r>
        <w:rPr>
          <w:rFonts w:eastAsiaTheme="minorEastAsia" w:cstheme="minorHAnsi"/>
        </w:rPr>
        <w:t>)</w:t>
      </w:r>
      <w:r w:rsidRPr="00E13E52">
        <w:rPr>
          <w:rFonts w:cstheme="minorHAnsi"/>
        </w:rPr>
        <w:t>(</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α</m:t>
            </m:r>
          </m:den>
        </m:f>
      </m:oMath>
      <w:r w:rsidRPr="00E13E52">
        <w:rPr>
          <w:rFonts w:eastAsiaTheme="minorEastAsia" w:cstheme="minorHAnsi"/>
        </w:rPr>
        <w:t xml:space="preserve"> 1</w:t>
      </w:r>
      <w:r w:rsidRPr="00E13E52">
        <w:rPr>
          <w:rFonts w:eastAsiaTheme="minorEastAsia" w:cstheme="minorHAnsi"/>
          <w:vertAlign w:val="subscript"/>
        </w:rPr>
        <w:t>α&lt;δ</w:t>
      </w:r>
      <w:r w:rsidRPr="00E13E52">
        <w:rPr>
          <w:rFonts w:eastAsiaTheme="minorEastAsia" w:cstheme="minorHAnsi"/>
        </w:rPr>
        <w:t xml:space="preserve"> +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δ</m:t>
            </m:r>
          </m:den>
        </m:f>
      </m:oMath>
      <w:r w:rsidRPr="00E13E52">
        <w:rPr>
          <w:rFonts w:eastAsiaTheme="minorEastAsia" w:cstheme="minorHAnsi"/>
        </w:rPr>
        <w:t xml:space="preserve"> 1</w:t>
      </w:r>
      <w:r w:rsidRPr="00E13E52">
        <w:rPr>
          <w:rFonts w:eastAsiaTheme="minorEastAsia" w:cstheme="minorHAnsi"/>
          <w:vertAlign w:val="subscript"/>
        </w:rPr>
        <w:t>α≥δ</w:t>
      </w:r>
      <w:r w:rsidRPr="00E13E52">
        <w:rPr>
          <w:rFonts w:eastAsiaTheme="minorEastAsia" w:cstheme="minorHAnsi"/>
        </w:rPr>
        <w:t>) min(t, δ) 1</w:t>
      </w:r>
      <w:r w:rsidRPr="00E13E52">
        <w:rPr>
          <w:rFonts w:eastAsiaTheme="minorEastAsia" w:cstheme="minorHAnsi"/>
          <w:vertAlign w:val="subscript"/>
        </w:rPr>
        <w:t>t&gt;0</w:t>
      </w:r>
      <w:r w:rsidRPr="00E13E52">
        <w:rPr>
          <w:rFonts w:eastAsiaTheme="minorEastAsia" w:cstheme="minorHAnsi"/>
        </w:rPr>
        <w:t xml:space="preserve"> +</w:t>
      </w:r>
      <w:r>
        <w:rPr>
          <w:rFonts w:eastAsiaTheme="minorEastAsia" w:cstheme="minorHAnsi"/>
        </w:rPr>
        <w:br/>
      </w:r>
      <w:r w:rsidRPr="00E13E52">
        <w:rPr>
          <w:rFonts w:eastAsiaTheme="minorEastAsia" w:cstheme="minorHAnsi"/>
        </w:rPr>
        <w:t xml:space="preserve"> </w:t>
      </w:r>
      <w:r>
        <w:rPr>
          <w:rFonts w:eastAsiaTheme="minorEastAsia" w:cstheme="minorHAnsi"/>
        </w:rPr>
        <w:tab/>
      </w:r>
      <w:r>
        <w:rPr>
          <w:rFonts w:eastAsiaTheme="minorEastAsia" w:cstheme="minorHAnsi"/>
        </w:rPr>
        <w:tab/>
        <w:t>(</w:t>
      </w:r>
      <w:r w:rsidRPr="00E13E52">
        <w:rPr>
          <w:rFonts w:eastAsiaTheme="minorEastAsia" w:cstheme="minorHAnsi"/>
        </w:rPr>
        <w:t>β</w:t>
      </w:r>
      <w:r w:rsidRPr="00E13E52">
        <w:rPr>
          <w:rFonts w:eastAsiaTheme="minorEastAsia" w:cstheme="minorHAnsi"/>
          <w:vertAlign w:val="subscript"/>
        </w:rPr>
        <w:t>3</w:t>
      </w:r>
      <w:r>
        <w:rPr>
          <w:rFonts w:eastAsiaTheme="minorEastAsia" w:cstheme="minorHAnsi"/>
        </w:rPr>
        <w:t xml:space="preserve"> + b</w:t>
      </w:r>
      <w:r>
        <w:rPr>
          <w:rFonts w:eastAsiaTheme="minorEastAsia" w:cstheme="minorHAnsi"/>
          <w:vertAlign w:val="subscript"/>
        </w:rPr>
        <w:t>3i</w:t>
      </w:r>
      <w:r>
        <w:rPr>
          <w:rFonts w:eastAsiaTheme="minorEastAsia" w:cstheme="minorHAnsi"/>
        </w:rPr>
        <w:t>)</w:t>
      </w:r>
      <w:r w:rsidRPr="00E13E52">
        <w:rPr>
          <w:rFonts w:eastAsiaTheme="minorEastAsia" w:cstheme="minorHAnsi"/>
        </w:rPr>
        <w:t xml:space="preserve">[(1 - </w:t>
      </w:r>
      <m:oMath>
        <m:f>
          <m:fPr>
            <m:ctrlPr>
              <w:rPr>
                <w:rFonts w:ascii="Cambria Math" w:eastAsiaTheme="minorEastAsia" w:hAnsi="Cambria Math" w:cstheme="minorHAnsi"/>
                <w:i/>
              </w:rPr>
            </m:ctrlPr>
          </m:fPr>
          <m:num>
            <m:r>
              <w:rPr>
                <w:rFonts w:ascii="Cambria Math" w:eastAsiaTheme="minorEastAsia" w:hAnsi="Cambria Math" w:cstheme="minorHAnsi"/>
              </w:rPr>
              <m:t>α</m:t>
            </m:r>
          </m:num>
          <m:den>
            <m:r>
              <w:rPr>
                <w:rFonts w:ascii="Cambria Math" w:eastAsiaTheme="minorEastAsia" w:hAnsi="Cambria Math" w:cstheme="minorHAnsi"/>
              </w:rPr>
              <m:t>δ</m:t>
            </m:r>
          </m:den>
        </m:f>
      </m:oMath>
      <w:r w:rsidRPr="00E13E52">
        <w:rPr>
          <w:rFonts w:eastAsiaTheme="minorEastAsia" w:cstheme="minorHAnsi"/>
        </w:rPr>
        <w:t>)1</w:t>
      </w:r>
      <w:r w:rsidRPr="00E13E52">
        <w:rPr>
          <w:rFonts w:eastAsiaTheme="minorEastAsia" w:cstheme="minorHAnsi"/>
          <w:vertAlign w:val="subscript"/>
        </w:rPr>
        <w:t>α≥δ</w:t>
      </w:r>
      <w:r w:rsidRPr="00E13E52">
        <w:rPr>
          <w:rFonts w:cstheme="minorHAnsi"/>
        </w:rPr>
        <w:t xml:space="preserve"> min(</w:t>
      </w:r>
      <w:proofErr w:type="spellStart"/>
      <w:r w:rsidRPr="00E13E52">
        <w:rPr>
          <w:rFonts w:cstheme="minorHAnsi"/>
        </w:rPr>
        <w:t>t,δ</w:t>
      </w:r>
      <w:proofErr w:type="spellEnd"/>
      <w:r w:rsidRPr="00E13E52">
        <w:rPr>
          <w:rFonts w:cstheme="minorHAnsi"/>
        </w:rPr>
        <w:t>) 1</w:t>
      </w:r>
      <w:r w:rsidRPr="00E13E52">
        <w:rPr>
          <w:rFonts w:cstheme="minorHAnsi"/>
          <w:vertAlign w:val="subscript"/>
        </w:rPr>
        <w:t xml:space="preserve">t&gt;0 </w:t>
      </w:r>
      <w:r w:rsidRPr="00E13E52">
        <w:rPr>
          <w:rFonts w:cstheme="minorHAnsi"/>
        </w:rPr>
        <w:t>+ (t- δ)1</w:t>
      </w:r>
      <w:r w:rsidRPr="00E13E52">
        <w:rPr>
          <w:rFonts w:cstheme="minorHAnsi"/>
          <w:vertAlign w:val="subscript"/>
        </w:rPr>
        <w:t>t≥δ</w:t>
      </w:r>
      <w:r w:rsidR="00103FEE">
        <w:rPr>
          <w:rFonts w:cstheme="minorHAnsi"/>
          <w:vertAlign w:val="subscript"/>
        </w:rPr>
        <w:tab/>
      </w:r>
      <w:r w:rsidR="00103FEE">
        <w:rPr>
          <w:rFonts w:cstheme="minorHAnsi"/>
          <w:vertAlign w:val="subscript"/>
        </w:rPr>
        <w:tab/>
      </w:r>
      <w:r w:rsidR="00103FEE">
        <w:rPr>
          <w:rFonts w:cstheme="minorHAnsi"/>
          <w:vertAlign w:val="subscript"/>
        </w:rPr>
        <w:tab/>
      </w:r>
      <w:r w:rsidR="00103FEE">
        <w:rPr>
          <w:rFonts w:cstheme="minorHAnsi"/>
          <w:vertAlign w:val="subscript"/>
        </w:rPr>
        <w:tab/>
      </w:r>
      <w:r>
        <w:rPr>
          <w:rFonts w:cstheme="minorHAnsi"/>
        </w:rPr>
        <w:t>(11)</w:t>
      </w:r>
    </w:p>
    <w:p w14:paraId="4E3C5E2F" w14:textId="6631F7E5" w:rsidR="002073EF" w:rsidRDefault="002073EF" w:rsidP="00DF77D1">
      <w:pPr>
        <w:spacing w:line="480" w:lineRule="auto"/>
        <w:jc w:val="both"/>
        <w:rPr>
          <w:iCs/>
        </w:rPr>
      </w:pPr>
      <w:r>
        <w:rPr>
          <w:iCs/>
        </w:rPr>
        <w:t xml:space="preserve">Data from RCTs </w:t>
      </w:r>
      <w:r w:rsidR="000F6911">
        <w:rPr>
          <w:iCs/>
        </w:rPr>
        <w:t>can form the basis of an informative prior distribution for ARE(</w:t>
      </w:r>
      <w:r w:rsidR="000F6911">
        <w:rPr>
          <w:rFonts w:cstheme="minorHAnsi"/>
          <w:iCs/>
        </w:rPr>
        <w:t>α</w:t>
      </w:r>
      <w:r w:rsidR="000F6911">
        <w:rPr>
          <w:iCs/>
        </w:rPr>
        <w:t>); however, this is only true for the proportion of the target population who are trial eligible</w:t>
      </w:r>
      <w:r>
        <w:rPr>
          <w:iCs/>
        </w:rPr>
        <w:t xml:space="preserve">. The model in equation (11) can be expanded to incorporate not only the possibility of different treatment effects in the trial eligible and trial not eligible populations, but also different trajectories within these two populations through </w:t>
      </w:r>
      <w:bookmarkStart w:id="7" w:name="_Hlk106693451"/>
      <w:r>
        <w:rPr>
          <w:iCs/>
        </w:rPr>
        <w:t xml:space="preserve">the use of </w:t>
      </w:r>
      <w:r>
        <w:rPr>
          <w:i/>
          <w:iCs/>
        </w:rPr>
        <w:t>S</w:t>
      </w:r>
      <w:r>
        <w:rPr>
          <w:i/>
          <w:iCs/>
          <w:vertAlign w:val="subscript"/>
        </w:rPr>
        <w:t>i</w:t>
      </w:r>
      <w:r w:rsidR="00687A6B">
        <w:rPr>
          <w:i/>
          <w:iCs/>
        </w:rPr>
        <w:t>,</w:t>
      </w:r>
      <w:r>
        <w:rPr>
          <w:iCs/>
        </w:rPr>
        <w:t xml:space="preserve"> which takes value 1 if individual </w:t>
      </w:r>
      <w:proofErr w:type="spellStart"/>
      <w:r>
        <w:rPr>
          <w:iCs/>
        </w:rPr>
        <w:t>i</w:t>
      </w:r>
      <w:proofErr w:type="spellEnd"/>
      <w:r>
        <w:rPr>
          <w:iCs/>
        </w:rPr>
        <w:t xml:space="preserve"> is trial eligible and 0 otherwise</w:t>
      </w:r>
      <w:r w:rsidR="00687A6B">
        <w:rPr>
          <w:iCs/>
        </w:rPr>
        <w:t>, to denote whether or not the individual is part of the trial eligible population</w:t>
      </w:r>
      <w:bookmarkEnd w:id="7"/>
      <w:r>
        <w:rPr>
          <w:iCs/>
        </w:rPr>
        <w:t>:</w:t>
      </w:r>
    </w:p>
    <w:p w14:paraId="067ABFC5" w14:textId="2788B4E7" w:rsidR="002073EF" w:rsidRDefault="002073EF" w:rsidP="00DF77D1">
      <w:pPr>
        <w:spacing w:line="480" w:lineRule="auto"/>
        <w:rPr>
          <w:rFonts w:cstheme="minorHAnsi"/>
        </w:rPr>
      </w:pPr>
      <w:r>
        <w:rPr>
          <w:iCs/>
        </w:rPr>
        <w:lastRenderedPageBreak/>
        <w:t xml:space="preserve"> </w:t>
      </w:r>
      <w:r w:rsidRPr="00E13E52">
        <w:rPr>
          <w:rFonts w:cstheme="minorHAnsi"/>
          <w:iCs/>
        </w:rPr>
        <w:t>μ</w:t>
      </w:r>
      <w:r w:rsidRPr="00E13E52">
        <w:rPr>
          <w:rFonts w:cstheme="minorHAnsi"/>
          <w:iCs/>
          <w:vertAlign w:val="subscript"/>
        </w:rPr>
        <w:t>1</w:t>
      </w:r>
      <w:r w:rsidRPr="00E13E52">
        <w:rPr>
          <w:rFonts w:cstheme="minorHAnsi"/>
          <w:iCs/>
        </w:rPr>
        <w:t xml:space="preserve">(t) = </w:t>
      </w:r>
      <w:r>
        <w:rPr>
          <w:rFonts w:cstheme="minorHAnsi"/>
          <w:iCs/>
        </w:rPr>
        <w:t>(</w:t>
      </w:r>
      <w:r w:rsidRPr="00E13E52">
        <w:rPr>
          <w:rFonts w:cstheme="minorHAnsi"/>
          <w:iCs/>
        </w:rPr>
        <w:t>β</w:t>
      </w:r>
      <w:r w:rsidRPr="00E13E52">
        <w:rPr>
          <w:rFonts w:cstheme="minorHAnsi"/>
          <w:iCs/>
          <w:vertAlign w:val="subscript"/>
        </w:rPr>
        <w:t>0</w:t>
      </w:r>
      <w:r>
        <w:rPr>
          <w:rFonts w:cstheme="minorHAnsi"/>
          <w:iCs/>
          <w:vertAlign w:val="subscript"/>
        </w:rPr>
        <w:t xml:space="preserve">1 </w:t>
      </w:r>
      <w:r>
        <w:rPr>
          <w:rFonts w:cstheme="minorHAnsi"/>
          <w:iCs/>
        </w:rPr>
        <w:t>1</w:t>
      </w:r>
      <w:r>
        <w:rPr>
          <w:rFonts w:cstheme="minorHAnsi"/>
          <w:i/>
          <w:iCs/>
          <w:vertAlign w:val="subscript"/>
        </w:rPr>
        <w:t>Si</w:t>
      </w:r>
      <w:r w:rsidRPr="002073EF">
        <w:rPr>
          <w:rFonts w:cstheme="minorHAnsi"/>
          <w:iCs/>
          <w:vertAlign w:val="subscript"/>
        </w:rPr>
        <w:t>=1</w:t>
      </w:r>
      <w:r>
        <w:rPr>
          <w:rFonts w:cstheme="minorHAnsi"/>
          <w:i/>
          <w:iCs/>
        </w:rPr>
        <w:t xml:space="preserve"> </w:t>
      </w:r>
      <w:r>
        <w:rPr>
          <w:rFonts w:cstheme="minorHAnsi"/>
          <w:iCs/>
        </w:rPr>
        <w:t xml:space="preserve">+ </w:t>
      </w:r>
      <w:r w:rsidRPr="00E13E52">
        <w:rPr>
          <w:rFonts w:cstheme="minorHAnsi"/>
          <w:iCs/>
        </w:rPr>
        <w:t>β</w:t>
      </w:r>
      <w:r w:rsidRPr="00E13E52">
        <w:rPr>
          <w:rFonts w:cstheme="minorHAnsi"/>
          <w:iCs/>
          <w:vertAlign w:val="subscript"/>
        </w:rPr>
        <w:t>0</w:t>
      </w:r>
      <w:r>
        <w:rPr>
          <w:rFonts w:cstheme="minorHAnsi"/>
          <w:iCs/>
          <w:vertAlign w:val="subscript"/>
        </w:rPr>
        <w:t xml:space="preserve">2 </w:t>
      </w:r>
      <w:r>
        <w:rPr>
          <w:rFonts w:cstheme="minorHAnsi"/>
          <w:iCs/>
        </w:rPr>
        <w:t>1</w:t>
      </w:r>
      <w:r>
        <w:rPr>
          <w:rFonts w:cstheme="minorHAnsi"/>
          <w:i/>
          <w:iCs/>
          <w:vertAlign w:val="subscript"/>
        </w:rPr>
        <w:t>Si</w:t>
      </w:r>
      <w:r w:rsidRPr="002073EF">
        <w:rPr>
          <w:rFonts w:cstheme="minorHAnsi"/>
          <w:iCs/>
          <w:vertAlign w:val="subscript"/>
        </w:rPr>
        <w:t>=0</w:t>
      </w:r>
      <w:r>
        <w:rPr>
          <w:rFonts w:cstheme="minorHAnsi"/>
          <w:i/>
          <w:iCs/>
        </w:rPr>
        <w:t xml:space="preserve"> </w:t>
      </w:r>
      <w:r>
        <w:rPr>
          <w:rFonts w:cstheme="minorHAnsi"/>
          <w:iCs/>
          <w:vertAlign w:val="subscript"/>
        </w:rPr>
        <w:t xml:space="preserve"> </w:t>
      </w:r>
      <w:r w:rsidRPr="00E13E52">
        <w:rPr>
          <w:rFonts w:cstheme="minorHAnsi"/>
        </w:rPr>
        <w:t>+</w:t>
      </w:r>
      <w:r>
        <w:rPr>
          <w:rFonts w:cstheme="minorHAnsi"/>
        </w:rPr>
        <w:t xml:space="preserve"> b</w:t>
      </w:r>
      <w:r>
        <w:rPr>
          <w:rFonts w:cstheme="minorHAnsi"/>
          <w:vertAlign w:val="subscript"/>
        </w:rPr>
        <w:t>0i</w:t>
      </w:r>
      <w:r>
        <w:rPr>
          <w:rFonts w:cstheme="minorHAnsi"/>
        </w:rPr>
        <w:t>) +</w:t>
      </w:r>
      <w:r w:rsidRPr="00E13E52">
        <w:rPr>
          <w:rFonts w:cstheme="minorHAnsi"/>
        </w:rPr>
        <w:t xml:space="preserve"> </w:t>
      </w:r>
      <w:r>
        <w:rPr>
          <w:rFonts w:cstheme="minorHAnsi"/>
        </w:rPr>
        <w:t>(</w:t>
      </w:r>
      <w:r w:rsidRPr="00E13E52">
        <w:rPr>
          <w:rFonts w:cstheme="minorHAnsi"/>
        </w:rPr>
        <w:t>β</w:t>
      </w:r>
      <w:r w:rsidRPr="00E13E52">
        <w:rPr>
          <w:rFonts w:cstheme="minorHAnsi"/>
          <w:vertAlign w:val="subscript"/>
        </w:rPr>
        <w:t>1</w:t>
      </w:r>
      <w:r>
        <w:rPr>
          <w:rFonts w:cstheme="minorHAnsi"/>
          <w:vertAlign w:val="subscript"/>
        </w:rPr>
        <w:t>1</w:t>
      </w:r>
      <w:r>
        <w:rPr>
          <w:rFonts w:cstheme="minorHAnsi"/>
        </w:rPr>
        <w:t xml:space="preserve"> 1</w:t>
      </w:r>
      <w:r>
        <w:rPr>
          <w:rFonts w:cstheme="minorHAnsi"/>
          <w:i/>
          <w:vertAlign w:val="subscript"/>
        </w:rPr>
        <w:t>Si</w:t>
      </w:r>
      <w:r>
        <w:rPr>
          <w:rFonts w:cstheme="minorHAnsi"/>
          <w:vertAlign w:val="subscript"/>
        </w:rPr>
        <w:t>=1</w:t>
      </w:r>
      <w:r>
        <w:rPr>
          <w:rFonts w:cstheme="minorHAnsi"/>
        </w:rPr>
        <w:t xml:space="preserve"> + </w:t>
      </w:r>
      <w:r w:rsidRPr="00E13E52">
        <w:rPr>
          <w:rFonts w:cstheme="minorHAnsi"/>
        </w:rPr>
        <w:t>β</w:t>
      </w:r>
      <w:r w:rsidRPr="00E13E52">
        <w:rPr>
          <w:rFonts w:cstheme="minorHAnsi"/>
          <w:vertAlign w:val="subscript"/>
        </w:rPr>
        <w:t>1</w:t>
      </w:r>
      <w:r>
        <w:rPr>
          <w:rFonts w:cstheme="minorHAnsi"/>
          <w:vertAlign w:val="subscript"/>
        </w:rPr>
        <w:t>2</w:t>
      </w:r>
      <w:r>
        <w:rPr>
          <w:rFonts w:cstheme="minorHAnsi"/>
        </w:rPr>
        <w:t xml:space="preserve"> 1</w:t>
      </w:r>
      <w:r>
        <w:rPr>
          <w:rFonts w:cstheme="minorHAnsi"/>
          <w:i/>
          <w:vertAlign w:val="subscript"/>
        </w:rPr>
        <w:t>Si</w:t>
      </w:r>
      <w:r>
        <w:rPr>
          <w:rFonts w:cstheme="minorHAnsi"/>
          <w:vertAlign w:val="subscript"/>
        </w:rPr>
        <w:t>=0</w:t>
      </w:r>
      <w:r>
        <w:rPr>
          <w:rFonts w:cstheme="minorHAnsi"/>
        </w:rPr>
        <w:t xml:space="preserve"> + b</w:t>
      </w:r>
      <w:r>
        <w:rPr>
          <w:rFonts w:cstheme="minorHAnsi"/>
          <w:vertAlign w:val="subscript"/>
        </w:rPr>
        <w:t>1i</w:t>
      </w:r>
      <w:r>
        <w:rPr>
          <w:rFonts w:cstheme="minorHAnsi"/>
        </w:rPr>
        <w:t>)</w:t>
      </w:r>
      <w:r w:rsidRPr="00E13E52">
        <w:rPr>
          <w:rFonts w:cstheme="minorHAnsi"/>
        </w:rPr>
        <w:t>(t 1</w:t>
      </w:r>
      <w:r w:rsidRPr="00E13E52">
        <w:rPr>
          <w:rFonts w:cstheme="minorHAnsi"/>
          <w:vertAlign w:val="subscript"/>
        </w:rPr>
        <w:t>t&lt;0</w:t>
      </w:r>
      <w:r w:rsidRPr="00E13E52">
        <w:rPr>
          <w:rFonts w:cstheme="minorHAnsi"/>
        </w:rPr>
        <w:t xml:space="preserve"> + (1</w:t>
      </w:r>
      <w:r w:rsidRPr="00E13E52">
        <w:rPr>
          <w:rFonts w:cstheme="minorHAnsi"/>
          <w:vertAlign w:val="subscript"/>
        </w:rPr>
        <w:t>α&lt;δ</w:t>
      </w:r>
      <w:r w:rsidRPr="00E13E52">
        <w:rPr>
          <w:rFonts w:cstheme="minorHAnsi"/>
        </w:rPr>
        <w:t xml:space="preserve"> + </w:t>
      </w:r>
      <m:oMath>
        <m:f>
          <m:fPr>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δ</m:t>
            </m:r>
          </m:den>
        </m:f>
      </m:oMath>
      <w:r w:rsidRPr="00E13E52">
        <w:rPr>
          <w:rFonts w:eastAsiaTheme="minorEastAsia" w:cstheme="minorHAnsi"/>
        </w:rPr>
        <w:t xml:space="preserve"> 1</w:t>
      </w:r>
      <w:r w:rsidRPr="00E13E52">
        <w:rPr>
          <w:rFonts w:eastAsiaTheme="minorEastAsia" w:cstheme="minorHAnsi"/>
          <w:vertAlign w:val="subscript"/>
        </w:rPr>
        <w:t>α≥δ</w:t>
      </w:r>
      <w:r w:rsidRPr="00E13E52">
        <w:rPr>
          <w:rFonts w:eastAsiaTheme="minorEastAsia" w:cstheme="minorHAnsi"/>
        </w:rPr>
        <w:t>) min(</w:t>
      </w:r>
      <w:proofErr w:type="spellStart"/>
      <w:r w:rsidRPr="00E13E52">
        <w:rPr>
          <w:rFonts w:eastAsiaTheme="minorEastAsia" w:cstheme="minorHAnsi"/>
        </w:rPr>
        <w:t>t,δ</w:t>
      </w:r>
      <w:proofErr w:type="spellEnd"/>
      <w:r w:rsidRPr="00E13E52">
        <w:rPr>
          <w:rFonts w:eastAsiaTheme="minorEastAsia" w:cstheme="minorHAnsi"/>
        </w:rPr>
        <w:t>) 1</w:t>
      </w:r>
      <w:r w:rsidRPr="00E13E52">
        <w:rPr>
          <w:rFonts w:eastAsiaTheme="minorEastAsia" w:cstheme="minorHAnsi"/>
          <w:vertAlign w:val="subscript"/>
        </w:rPr>
        <w:t>t&gt;0</w:t>
      </w:r>
      <w:r w:rsidRPr="00E13E52">
        <w:rPr>
          <w:rFonts w:eastAsiaTheme="minorEastAsia" w:cstheme="minorHAnsi"/>
        </w:rPr>
        <w:t xml:space="preserve">) + </w:t>
      </w:r>
      <w:r>
        <w:rPr>
          <w:rFonts w:eastAsiaTheme="minorEastAsia" w:cstheme="minorHAnsi"/>
        </w:rPr>
        <w:br/>
        <w:t xml:space="preserve">                  (ARE</w:t>
      </w:r>
      <w:r>
        <w:rPr>
          <w:rFonts w:eastAsiaTheme="minorEastAsia" w:cstheme="minorHAnsi"/>
          <w:vertAlign w:val="subscript"/>
        </w:rPr>
        <w:t>1</w:t>
      </w:r>
      <w:r>
        <w:rPr>
          <w:rFonts w:eastAsiaTheme="minorEastAsia" w:cstheme="minorHAnsi"/>
        </w:rPr>
        <w:t>(α) 1</w:t>
      </w:r>
      <w:r>
        <w:rPr>
          <w:rFonts w:eastAsiaTheme="minorEastAsia" w:cstheme="minorHAnsi"/>
          <w:i/>
          <w:vertAlign w:val="subscript"/>
        </w:rPr>
        <w:t>Si</w:t>
      </w:r>
      <w:r>
        <w:rPr>
          <w:rFonts w:eastAsiaTheme="minorEastAsia" w:cstheme="minorHAnsi"/>
          <w:vertAlign w:val="subscript"/>
        </w:rPr>
        <w:t xml:space="preserve">=1 </w:t>
      </w:r>
      <w:r>
        <w:t xml:space="preserve">+ </w:t>
      </w:r>
      <w:r>
        <w:rPr>
          <w:rFonts w:eastAsiaTheme="minorEastAsia" w:cstheme="minorHAnsi"/>
        </w:rPr>
        <w:t>ARE</w:t>
      </w:r>
      <w:r>
        <w:rPr>
          <w:rFonts w:eastAsiaTheme="minorEastAsia" w:cstheme="minorHAnsi"/>
          <w:vertAlign w:val="subscript"/>
        </w:rPr>
        <w:t>2</w:t>
      </w:r>
      <w:r>
        <w:rPr>
          <w:rFonts w:eastAsiaTheme="minorEastAsia" w:cstheme="minorHAnsi"/>
        </w:rPr>
        <w:t>(α) 1</w:t>
      </w:r>
      <w:r>
        <w:rPr>
          <w:rFonts w:eastAsiaTheme="minorEastAsia" w:cstheme="minorHAnsi"/>
          <w:i/>
          <w:vertAlign w:val="subscript"/>
        </w:rPr>
        <w:t>Si</w:t>
      </w:r>
      <w:r>
        <w:rPr>
          <w:rFonts w:eastAsiaTheme="minorEastAsia" w:cstheme="minorHAnsi"/>
          <w:vertAlign w:val="subscript"/>
        </w:rPr>
        <w:t xml:space="preserve">=0 </w:t>
      </w:r>
      <w:r>
        <w:rPr>
          <w:rFonts w:eastAsiaTheme="minorEastAsia" w:cstheme="minorHAnsi"/>
        </w:rPr>
        <w:t xml:space="preserve"> + </w:t>
      </w:r>
      <w:r>
        <w:rPr>
          <w:rFonts w:ascii="Trebuchet MS" w:eastAsiaTheme="minorEastAsia" w:hAnsi="Trebuchet MS" w:cstheme="minorHAnsi"/>
        </w:rPr>
        <w:t>φ</w:t>
      </w:r>
      <w:r>
        <w:rPr>
          <w:rFonts w:eastAsiaTheme="minorEastAsia" w:cstheme="minorHAnsi"/>
          <w:vertAlign w:val="subscript"/>
        </w:rPr>
        <w:t>α</w:t>
      </w:r>
      <w:r>
        <w:rPr>
          <w:rFonts w:eastAsiaTheme="minorEastAsia" w:cstheme="minorHAnsi"/>
        </w:rPr>
        <w:t xml:space="preserve"> + b</w:t>
      </w:r>
      <w:r>
        <w:rPr>
          <w:rFonts w:eastAsiaTheme="minorEastAsia" w:cstheme="minorHAnsi"/>
          <w:vertAlign w:val="subscript"/>
        </w:rPr>
        <w:t>2i</w:t>
      </w:r>
      <w:r>
        <w:rPr>
          <w:rFonts w:eastAsiaTheme="minorEastAsia" w:cstheme="minorHAnsi"/>
        </w:rPr>
        <w:t>)</w:t>
      </w:r>
      <w:r w:rsidRPr="00E13E52">
        <w:rPr>
          <w:rFonts w:cstheme="minorHAnsi"/>
        </w:rPr>
        <w:t>(</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α</m:t>
            </m:r>
          </m:den>
        </m:f>
      </m:oMath>
      <w:r w:rsidRPr="00E13E52">
        <w:rPr>
          <w:rFonts w:eastAsiaTheme="minorEastAsia" w:cstheme="minorHAnsi"/>
        </w:rPr>
        <w:t xml:space="preserve"> 1</w:t>
      </w:r>
      <w:r w:rsidRPr="00E13E52">
        <w:rPr>
          <w:rFonts w:eastAsiaTheme="minorEastAsia" w:cstheme="minorHAnsi"/>
          <w:vertAlign w:val="subscript"/>
        </w:rPr>
        <w:t>α&lt;δ</w:t>
      </w:r>
      <w:r w:rsidRPr="00E13E52">
        <w:rPr>
          <w:rFonts w:eastAsiaTheme="minorEastAsia" w:cstheme="minorHAnsi"/>
        </w:rPr>
        <w:t xml:space="preserve"> +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δ</m:t>
            </m:r>
          </m:den>
        </m:f>
      </m:oMath>
      <w:r w:rsidRPr="00E13E52">
        <w:rPr>
          <w:rFonts w:eastAsiaTheme="minorEastAsia" w:cstheme="minorHAnsi"/>
        </w:rPr>
        <w:t xml:space="preserve"> 1</w:t>
      </w:r>
      <w:r w:rsidRPr="00E13E52">
        <w:rPr>
          <w:rFonts w:eastAsiaTheme="minorEastAsia" w:cstheme="minorHAnsi"/>
          <w:vertAlign w:val="subscript"/>
        </w:rPr>
        <w:t>α≥δ</w:t>
      </w:r>
      <w:r w:rsidRPr="00E13E52">
        <w:rPr>
          <w:rFonts w:eastAsiaTheme="minorEastAsia" w:cstheme="minorHAnsi"/>
        </w:rPr>
        <w:t>) min(t, δ) 1</w:t>
      </w:r>
      <w:r w:rsidRPr="00E13E52">
        <w:rPr>
          <w:rFonts w:eastAsiaTheme="minorEastAsia" w:cstheme="minorHAnsi"/>
          <w:vertAlign w:val="subscript"/>
        </w:rPr>
        <w:t>t&gt;0</w:t>
      </w:r>
      <w:r w:rsidRPr="00E13E52">
        <w:rPr>
          <w:rFonts w:eastAsiaTheme="minorEastAsia" w:cstheme="minorHAnsi"/>
        </w:rPr>
        <w:t xml:space="preserve"> +</w:t>
      </w:r>
      <w:r>
        <w:rPr>
          <w:rFonts w:eastAsiaTheme="minorEastAsia" w:cstheme="minorHAnsi"/>
        </w:rPr>
        <w:br/>
      </w:r>
      <w:r w:rsidRPr="00E13E52">
        <w:rPr>
          <w:rFonts w:eastAsiaTheme="minorEastAsia" w:cstheme="minorHAnsi"/>
        </w:rPr>
        <w:t xml:space="preserve"> </w:t>
      </w:r>
      <w:r>
        <w:rPr>
          <w:rFonts w:eastAsiaTheme="minorEastAsia" w:cstheme="minorHAnsi"/>
        </w:rPr>
        <w:tab/>
      </w:r>
      <w:r>
        <w:rPr>
          <w:rFonts w:eastAsiaTheme="minorEastAsia" w:cstheme="minorHAnsi"/>
        </w:rPr>
        <w:tab/>
        <w:t>(</w:t>
      </w:r>
      <w:r w:rsidRPr="00E13E52">
        <w:rPr>
          <w:rFonts w:eastAsiaTheme="minorEastAsia" w:cstheme="minorHAnsi"/>
        </w:rPr>
        <w:t>β</w:t>
      </w:r>
      <w:r w:rsidRPr="00E13E52">
        <w:rPr>
          <w:rFonts w:eastAsiaTheme="minorEastAsia" w:cstheme="minorHAnsi"/>
          <w:vertAlign w:val="subscript"/>
        </w:rPr>
        <w:t>3</w:t>
      </w:r>
      <w:r>
        <w:rPr>
          <w:rFonts w:eastAsiaTheme="minorEastAsia" w:cstheme="minorHAnsi"/>
          <w:vertAlign w:val="subscript"/>
        </w:rPr>
        <w:t>1</w:t>
      </w:r>
      <w:r>
        <w:rPr>
          <w:rFonts w:eastAsiaTheme="minorEastAsia" w:cstheme="minorHAnsi"/>
        </w:rPr>
        <w:t xml:space="preserve"> 1</w:t>
      </w:r>
      <w:r>
        <w:rPr>
          <w:rFonts w:eastAsiaTheme="minorEastAsia" w:cstheme="minorHAnsi"/>
          <w:i/>
          <w:vertAlign w:val="subscript"/>
        </w:rPr>
        <w:t>Si</w:t>
      </w:r>
      <w:r>
        <w:rPr>
          <w:rFonts w:eastAsiaTheme="minorEastAsia" w:cstheme="minorHAnsi"/>
          <w:vertAlign w:val="subscript"/>
        </w:rPr>
        <w:t>=1</w:t>
      </w:r>
      <w:r>
        <w:rPr>
          <w:rFonts w:eastAsiaTheme="minorEastAsia" w:cstheme="minorHAnsi"/>
        </w:rPr>
        <w:t xml:space="preserve"> + </w:t>
      </w:r>
      <w:r w:rsidRPr="00E13E52">
        <w:rPr>
          <w:rFonts w:eastAsiaTheme="minorEastAsia" w:cstheme="minorHAnsi"/>
        </w:rPr>
        <w:t>β</w:t>
      </w:r>
      <w:r w:rsidRPr="00E13E52">
        <w:rPr>
          <w:rFonts w:eastAsiaTheme="minorEastAsia" w:cstheme="minorHAnsi"/>
          <w:vertAlign w:val="subscript"/>
        </w:rPr>
        <w:t>3</w:t>
      </w:r>
      <w:r>
        <w:rPr>
          <w:rFonts w:eastAsiaTheme="minorEastAsia" w:cstheme="minorHAnsi"/>
          <w:vertAlign w:val="subscript"/>
        </w:rPr>
        <w:t>2</w:t>
      </w:r>
      <w:r>
        <w:rPr>
          <w:rFonts w:eastAsiaTheme="minorEastAsia" w:cstheme="minorHAnsi"/>
        </w:rPr>
        <w:t xml:space="preserve"> 1</w:t>
      </w:r>
      <w:r>
        <w:rPr>
          <w:rFonts w:eastAsiaTheme="minorEastAsia" w:cstheme="minorHAnsi"/>
          <w:i/>
          <w:vertAlign w:val="subscript"/>
        </w:rPr>
        <w:t>Si</w:t>
      </w:r>
      <w:r>
        <w:rPr>
          <w:rFonts w:eastAsiaTheme="minorEastAsia" w:cstheme="minorHAnsi"/>
          <w:vertAlign w:val="subscript"/>
        </w:rPr>
        <w:t>=1</w:t>
      </w:r>
      <w:r>
        <w:rPr>
          <w:rFonts w:eastAsiaTheme="minorEastAsia" w:cstheme="minorHAnsi"/>
        </w:rPr>
        <w:t xml:space="preserve"> + b</w:t>
      </w:r>
      <w:r>
        <w:rPr>
          <w:rFonts w:eastAsiaTheme="minorEastAsia" w:cstheme="minorHAnsi"/>
          <w:vertAlign w:val="subscript"/>
        </w:rPr>
        <w:t>3i</w:t>
      </w:r>
      <w:r>
        <w:rPr>
          <w:rFonts w:eastAsiaTheme="minorEastAsia" w:cstheme="minorHAnsi"/>
        </w:rPr>
        <w:t>)</w:t>
      </w:r>
      <w:r w:rsidRPr="00E13E52">
        <w:rPr>
          <w:rFonts w:eastAsiaTheme="minorEastAsia" w:cstheme="minorHAnsi"/>
        </w:rPr>
        <w:t xml:space="preserve">[(1 - </w:t>
      </w:r>
      <m:oMath>
        <m:f>
          <m:fPr>
            <m:ctrlPr>
              <w:rPr>
                <w:rFonts w:ascii="Cambria Math" w:eastAsiaTheme="minorEastAsia" w:hAnsi="Cambria Math" w:cstheme="minorHAnsi"/>
                <w:i/>
              </w:rPr>
            </m:ctrlPr>
          </m:fPr>
          <m:num>
            <m:r>
              <w:rPr>
                <w:rFonts w:ascii="Cambria Math" w:eastAsiaTheme="minorEastAsia" w:hAnsi="Cambria Math" w:cstheme="minorHAnsi"/>
              </w:rPr>
              <m:t>α</m:t>
            </m:r>
          </m:num>
          <m:den>
            <m:r>
              <w:rPr>
                <w:rFonts w:ascii="Cambria Math" w:eastAsiaTheme="minorEastAsia" w:hAnsi="Cambria Math" w:cstheme="minorHAnsi"/>
              </w:rPr>
              <m:t>δ</m:t>
            </m:r>
          </m:den>
        </m:f>
      </m:oMath>
      <w:r w:rsidRPr="00E13E52">
        <w:rPr>
          <w:rFonts w:eastAsiaTheme="minorEastAsia" w:cstheme="minorHAnsi"/>
        </w:rPr>
        <w:t>)1</w:t>
      </w:r>
      <w:r w:rsidRPr="00E13E52">
        <w:rPr>
          <w:rFonts w:eastAsiaTheme="minorEastAsia" w:cstheme="minorHAnsi"/>
          <w:vertAlign w:val="subscript"/>
        </w:rPr>
        <w:t>α≥δ</w:t>
      </w:r>
      <w:r w:rsidRPr="00E13E52">
        <w:rPr>
          <w:rFonts w:cstheme="minorHAnsi"/>
        </w:rPr>
        <w:t xml:space="preserve"> min(</w:t>
      </w:r>
      <w:proofErr w:type="spellStart"/>
      <w:r w:rsidRPr="00E13E52">
        <w:rPr>
          <w:rFonts w:cstheme="minorHAnsi"/>
        </w:rPr>
        <w:t>t,δ</w:t>
      </w:r>
      <w:proofErr w:type="spellEnd"/>
      <w:r w:rsidRPr="00E13E52">
        <w:rPr>
          <w:rFonts w:cstheme="minorHAnsi"/>
        </w:rPr>
        <w:t>) 1</w:t>
      </w:r>
      <w:r w:rsidRPr="00E13E52">
        <w:rPr>
          <w:rFonts w:cstheme="minorHAnsi"/>
          <w:vertAlign w:val="subscript"/>
        </w:rPr>
        <w:t xml:space="preserve">t&gt;0 </w:t>
      </w:r>
      <w:r w:rsidRPr="00E13E52">
        <w:rPr>
          <w:rFonts w:cstheme="minorHAnsi"/>
        </w:rPr>
        <w:t>+ (t- δ)1</w:t>
      </w:r>
      <w:r w:rsidRPr="00E13E52">
        <w:rPr>
          <w:rFonts w:cstheme="minorHAnsi"/>
          <w:vertAlign w:val="subscript"/>
        </w:rPr>
        <w:t>t≥δ</w:t>
      </w:r>
      <w:r>
        <w:rPr>
          <w:rFonts w:cstheme="minorHAnsi"/>
          <w:vertAlign w:val="subscript"/>
        </w:rPr>
        <w:tab/>
      </w:r>
      <w:r w:rsidR="00103FEE">
        <w:rPr>
          <w:rFonts w:cstheme="minorHAnsi"/>
          <w:vertAlign w:val="subscript"/>
        </w:rPr>
        <w:tab/>
      </w:r>
      <w:r>
        <w:rPr>
          <w:rFonts w:cstheme="minorHAnsi"/>
        </w:rPr>
        <w:t>(12)</w:t>
      </w:r>
    </w:p>
    <w:p w14:paraId="524017F6" w14:textId="3778150D" w:rsidR="00103FEE" w:rsidRDefault="002073EF" w:rsidP="00DF77D1">
      <w:pPr>
        <w:spacing w:line="480" w:lineRule="auto"/>
        <w:rPr>
          <w:rFonts w:cstheme="minorHAnsi"/>
        </w:rPr>
      </w:pPr>
      <w:r>
        <w:rPr>
          <w:rFonts w:cstheme="minorHAnsi"/>
        </w:rPr>
        <w:t xml:space="preserve">where subscript 1 denotes parameters referring to the trial eligible portion of the target population and subscript 2 denotes those for the trial not eligible portion. </w:t>
      </w:r>
      <w:r w:rsidR="00103FEE">
        <w:rPr>
          <w:rFonts w:cstheme="minorHAnsi"/>
        </w:rPr>
        <w:t>The trial eligibility parameter is given a Bernoulli distribution:</w:t>
      </w:r>
    </w:p>
    <w:p w14:paraId="14CC52BE" w14:textId="2F560BA7" w:rsidR="00103FEE" w:rsidRDefault="00103FEE" w:rsidP="00DF77D1">
      <w:pPr>
        <w:spacing w:line="480" w:lineRule="auto"/>
        <w:rPr>
          <w:rFonts w:cstheme="minorHAnsi"/>
        </w:rPr>
      </w:pPr>
      <w:r>
        <w:rPr>
          <w:rFonts w:cstheme="minorHAnsi"/>
          <w:i/>
        </w:rPr>
        <w:t>S</w:t>
      </w:r>
      <w:r>
        <w:rPr>
          <w:rFonts w:cstheme="minorHAnsi"/>
          <w:i/>
          <w:vertAlign w:val="subscript"/>
        </w:rPr>
        <w:t>i</w:t>
      </w:r>
      <w:r>
        <w:rPr>
          <w:rFonts w:cstheme="minorHAnsi"/>
        </w:rPr>
        <w:t xml:space="preserve"> ~ Bin(1,</w:t>
      </w:r>
      <w:r w:rsidRPr="00103FEE">
        <w:rPr>
          <w:rFonts w:cstheme="minorHAnsi"/>
        </w:rPr>
        <w:t xml:space="preserve"> π</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(13)</w:t>
      </w:r>
    </w:p>
    <w:p w14:paraId="3D46F78A" w14:textId="082032DB" w:rsidR="002073EF" w:rsidRDefault="00103FEE" w:rsidP="00DF77D1">
      <w:pPr>
        <w:spacing w:line="480" w:lineRule="auto"/>
        <w:rPr>
          <w:rFonts w:cstheme="minorHAnsi"/>
        </w:rPr>
      </w:pPr>
      <w:r>
        <w:rPr>
          <w:rFonts w:cstheme="minorHAnsi"/>
        </w:rPr>
        <w:t xml:space="preserve">where </w:t>
      </w:r>
      <w:r w:rsidRPr="00103FEE">
        <w:rPr>
          <w:rFonts w:cstheme="minorHAnsi"/>
        </w:rPr>
        <w:t>0 &lt; π &lt; 1 is the proportion of the target population that are trial eligible.</w:t>
      </w:r>
      <w:r>
        <w:rPr>
          <w:rFonts w:cstheme="minorHAnsi"/>
        </w:rPr>
        <w:t xml:space="preserve"> The overall treatment effect can be calculated as:</w:t>
      </w:r>
    </w:p>
    <w:p w14:paraId="2D1C7F8B" w14:textId="0691A6F0" w:rsidR="00103FEE" w:rsidRDefault="00103FEE" w:rsidP="00DF77D1">
      <w:pPr>
        <w:spacing w:line="480" w:lineRule="auto"/>
        <w:rPr>
          <w:rFonts w:cstheme="minorHAnsi"/>
        </w:rPr>
      </w:pPr>
      <w:r>
        <w:rPr>
          <w:rFonts w:cstheme="minorHAnsi"/>
        </w:rPr>
        <w:t xml:space="preserve">ARE(α) = </w:t>
      </w:r>
      <w:r>
        <w:rPr>
          <w:rFonts w:ascii="Trebuchet MS" w:hAnsi="Trebuchet MS" w:cstheme="minorHAnsi"/>
        </w:rPr>
        <w:t>π</w:t>
      </w:r>
      <w:r>
        <w:rPr>
          <w:rFonts w:cstheme="minorHAnsi"/>
        </w:rPr>
        <w:t xml:space="preserve"> ARE</w:t>
      </w:r>
      <w:r>
        <w:rPr>
          <w:rFonts w:cstheme="minorHAnsi"/>
          <w:vertAlign w:val="subscript"/>
        </w:rPr>
        <w:t>1</w:t>
      </w:r>
      <w:r>
        <w:rPr>
          <w:rFonts w:cstheme="minorHAnsi"/>
        </w:rPr>
        <w:t>(α) + (1-</w:t>
      </w:r>
      <w:r>
        <w:rPr>
          <w:rFonts w:ascii="Trebuchet MS" w:hAnsi="Trebuchet MS" w:cstheme="minorHAnsi"/>
        </w:rPr>
        <w:t>π</w:t>
      </w:r>
      <w:r>
        <w:rPr>
          <w:rFonts w:cstheme="minorHAnsi"/>
        </w:rPr>
        <w:t>) ARE</w:t>
      </w:r>
      <w:r>
        <w:rPr>
          <w:rFonts w:cstheme="minorHAnsi"/>
          <w:vertAlign w:val="subscript"/>
        </w:rPr>
        <w:t>2</w:t>
      </w:r>
      <w:r>
        <w:rPr>
          <w:rFonts w:cstheme="minorHAnsi"/>
        </w:rPr>
        <w:t>(α)</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(14)</w:t>
      </w:r>
    </w:p>
    <w:p w14:paraId="3448F1C1" w14:textId="435BC582" w:rsidR="00103FEE" w:rsidRDefault="00103FEE" w:rsidP="00DF77D1">
      <w:pPr>
        <w:spacing w:line="480" w:lineRule="auto"/>
        <w:jc w:val="both"/>
        <w:rPr>
          <w:rFonts w:cstheme="minorHAnsi"/>
        </w:rPr>
      </w:pPr>
      <w:r>
        <w:rPr>
          <w:rFonts w:cstheme="minorHAnsi"/>
        </w:rPr>
        <w:t>As before</w:t>
      </w:r>
      <w:r w:rsidR="0040649A">
        <w:rPr>
          <w:rFonts w:cstheme="minorHAnsi"/>
        </w:rPr>
        <w:t>,</w:t>
      </w:r>
      <w:r>
        <w:rPr>
          <w:rFonts w:cstheme="minorHAnsi"/>
        </w:rPr>
        <w:t xml:space="preserve"> each of the parameters in the model are given a prior distribution. An informative prior </w:t>
      </w:r>
      <w:r w:rsidR="00B964C5">
        <w:rPr>
          <w:rFonts w:cstheme="minorHAnsi"/>
        </w:rPr>
        <w:t xml:space="preserve">distribution </w:t>
      </w:r>
      <w:r w:rsidR="00B964C5">
        <w:rPr>
          <w:rFonts w:cstheme="minorHAnsi"/>
        </w:rPr>
        <w:fldChar w:fldCharType="begin"/>
      </w:r>
      <w:r w:rsidR="00F209E7">
        <w:rPr>
          <w:rFonts w:cstheme="minorHAnsi"/>
        </w:rPr>
        <w:instrText xml:space="preserve"> ADDIN EN.CITE &lt;EndNote&gt;&lt;Cite&gt;&lt;Author&gt;Lunn&lt;/Author&gt;&lt;Year&gt;2012&lt;/Year&gt;&lt;RecNum&gt;10&lt;/RecNum&gt;&lt;DisplayText&gt;(25)&lt;/DisplayText&gt;&lt;record&gt;&lt;rec-number&gt;10&lt;/rec-number&gt;&lt;foreign-keys&gt;&lt;key app="EN" db-id="p5t2axawez5dr9efspu55tfv5tvdrewdrtxf" timestamp="1573634859"&gt;10&lt;/key&gt;&lt;/foreign-keys&gt;&lt;ref-type name="Book"&gt;6&lt;/ref-type&gt;&lt;contributors&gt;&lt;authors&gt;&lt;author&gt;Lunn, David&lt;/author&gt;&lt;author&gt;Jackson, Chris&lt;/author&gt;&lt;author&gt;Best, Nicky&lt;/author&gt;&lt;author&gt;Spiegelhalter, David&lt;/author&gt;&lt;author&gt;Thomas, Andrew&lt;/author&gt;&lt;/authors&gt;&lt;/contributors&gt;&lt;titles&gt;&lt;title&gt;The BUGS book: A practical introduction to Bayesian analysis&lt;/title&gt;&lt;/titles&gt;&lt;dates&gt;&lt;year&gt;2012&lt;/year&gt;&lt;/dates&gt;&lt;publisher&gt;Chapman and Hall/CRC&lt;/publisher&gt;&lt;isbn&gt;1466586664&lt;/isbn&gt;&lt;urls&gt;&lt;/urls&gt;&lt;/record&gt;&lt;/Cite&gt;&lt;/EndNote&gt;</w:instrText>
      </w:r>
      <w:r w:rsidR="00B964C5">
        <w:rPr>
          <w:rFonts w:cstheme="minorHAnsi"/>
        </w:rPr>
        <w:fldChar w:fldCharType="separate"/>
      </w:r>
      <w:r w:rsidR="00F209E7">
        <w:rPr>
          <w:rFonts w:cstheme="minorHAnsi"/>
          <w:noProof/>
        </w:rPr>
        <w:t>(25)</w:t>
      </w:r>
      <w:r w:rsidR="00B964C5">
        <w:rPr>
          <w:rFonts w:cstheme="minorHAnsi"/>
        </w:rPr>
        <w:fldChar w:fldCharType="end"/>
      </w:r>
      <w:r>
        <w:rPr>
          <w:rFonts w:cstheme="minorHAnsi"/>
        </w:rPr>
        <w:t xml:space="preserve"> based on meta-analysis of RCTs is used for ARE</w:t>
      </w:r>
      <w:r>
        <w:rPr>
          <w:rFonts w:cstheme="minorHAnsi"/>
          <w:vertAlign w:val="subscript"/>
        </w:rPr>
        <w:t>1</w:t>
      </w:r>
      <w:r>
        <w:rPr>
          <w:rFonts w:cstheme="minorHAnsi"/>
        </w:rPr>
        <w:t xml:space="preserve">(α). </w:t>
      </w:r>
      <w:r w:rsidR="00FF4918">
        <w:rPr>
          <w:rFonts w:cstheme="minorHAnsi"/>
        </w:rPr>
        <w:t>This</w:t>
      </w:r>
      <w:r w:rsidR="0031739C">
        <w:rPr>
          <w:rFonts w:cstheme="minorHAnsi"/>
        </w:rPr>
        <w:t xml:space="preserve"> meta-analysis was performed based on trials identified during a systematic review of the use of </w:t>
      </w:r>
      <w:proofErr w:type="spellStart"/>
      <w:r w:rsidR="0031739C">
        <w:rPr>
          <w:rFonts w:cstheme="minorHAnsi"/>
        </w:rPr>
        <w:t>AChEIs</w:t>
      </w:r>
      <w:proofErr w:type="spellEnd"/>
      <w:r w:rsidR="0031739C">
        <w:rPr>
          <w:rFonts w:cstheme="minorHAnsi"/>
        </w:rPr>
        <w:t xml:space="preserve"> in the management of dementia [21]. </w:t>
      </w:r>
      <w:r>
        <w:rPr>
          <w:rFonts w:cstheme="minorHAnsi"/>
        </w:rPr>
        <w:t xml:space="preserve">Two steps </w:t>
      </w:r>
      <w:r w:rsidR="0031739C">
        <w:rPr>
          <w:rFonts w:cstheme="minorHAnsi"/>
        </w:rPr>
        <w:t>were followed to convert the meta-analysis results to a suitable informative prior distribution</w:t>
      </w:r>
      <w:r>
        <w:rPr>
          <w:rFonts w:cstheme="minorHAnsi"/>
        </w:rPr>
        <w:t xml:space="preserve"> </w:t>
      </w:r>
      <w:r w:rsidR="00B964C5">
        <w:rPr>
          <w:rFonts w:cstheme="minorHAnsi"/>
        </w:rPr>
        <w:fldChar w:fldCharType="begin"/>
      </w:r>
      <w:r w:rsidR="00F209E7">
        <w:rPr>
          <w:rFonts w:cstheme="minorHAnsi"/>
        </w:rPr>
        <w:instrText xml:space="preserve"> ADDIN EN.CITE &lt;EndNote&gt;&lt;Cite&gt;&lt;Author&gt;Schlüter&lt;/Author&gt;&lt;Year&gt;1997&lt;/Year&gt;&lt;RecNum&gt;20&lt;/RecNum&gt;&lt;DisplayText&gt;(26)&lt;/DisplayText&gt;&lt;record&gt;&lt;rec-number&gt;20&lt;/rec-number&gt;&lt;foreign-keys&gt;&lt;key app="EN" db-id="p5t2axawez5dr9efspu55tfv5tvdrewdrtxf" timestamp="1573635088"&gt;20&lt;/key&gt;&lt;/foreign-keys&gt;&lt;ref-type name="Journal Article"&gt;17&lt;/ref-type&gt;&lt;contributors&gt;&lt;authors&gt;&lt;author&gt;Schlüter, PJ&lt;/author&gt;&lt;author&gt;Deely, JJ&lt;/author&gt;&lt;author&gt;Nicholson, AJ&lt;/author&gt;&lt;/authors&gt;&lt;/contributors&gt;&lt;titles&gt;&lt;title&gt;Ranking and selecting motor vehicle accident sites by using a hierarchical Bayesian model&lt;/title&gt;&lt;secondary-title&gt;Journal of the Royal Statistical Society: Series D (The Statistician)&lt;/secondary-title&gt;&lt;/titles&gt;&lt;periodical&gt;&lt;full-title&gt;Journal of the Royal Statistical Society: Series D (The Statistician)&lt;/full-title&gt;&lt;/periodical&gt;&lt;pages&gt;293-316&lt;/pages&gt;&lt;volume&gt;46&lt;/volume&gt;&lt;number&gt;3&lt;/number&gt;&lt;dates&gt;&lt;year&gt;1997&lt;/year&gt;&lt;/dates&gt;&lt;isbn&gt;0039-0526&lt;/isbn&gt;&lt;urls&gt;&lt;/urls&gt;&lt;/record&gt;&lt;/Cite&gt;&lt;/EndNote&gt;</w:instrText>
      </w:r>
      <w:r w:rsidR="00B964C5">
        <w:rPr>
          <w:rFonts w:cstheme="minorHAnsi"/>
        </w:rPr>
        <w:fldChar w:fldCharType="separate"/>
      </w:r>
      <w:r w:rsidR="00F209E7">
        <w:rPr>
          <w:rFonts w:cstheme="minorHAnsi"/>
          <w:noProof/>
        </w:rPr>
        <w:t>(26)</w:t>
      </w:r>
      <w:r w:rsidR="00B964C5">
        <w:rPr>
          <w:rFonts w:cstheme="minorHAnsi"/>
        </w:rPr>
        <w:fldChar w:fldCharType="end"/>
      </w:r>
      <w:r>
        <w:rPr>
          <w:rFonts w:cstheme="minorHAnsi"/>
        </w:rPr>
        <w:t xml:space="preserve">; </w:t>
      </w:r>
      <w:r w:rsidR="0031739C">
        <w:rPr>
          <w:rFonts w:cstheme="minorHAnsi"/>
        </w:rPr>
        <w:t>(1)</w:t>
      </w:r>
      <w:r>
        <w:rPr>
          <w:rFonts w:cstheme="minorHAnsi"/>
        </w:rPr>
        <w:t xml:space="preserve"> choosing </w:t>
      </w:r>
      <w:r w:rsidR="0031739C">
        <w:rPr>
          <w:rFonts w:cstheme="minorHAnsi"/>
        </w:rPr>
        <w:t xml:space="preserve">an appropriate </w:t>
      </w:r>
      <w:r>
        <w:rPr>
          <w:rFonts w:cstheme="minorHAnsi"/>
        </w:rPr>
        <w:t xml:space="preserve"> distribution</w:t>
      </w:r>
      <w:r w:rsidR="0031739C">
        <w:rPr>
          <w:rFonts w:cstheme="minorHAnsi"/>
        </w:rPr>
        <w:t>;</w:t>
      </w:r>
      <w:r>
        <w:rPr>
          <w:rFonts w:cstheme="minorHAnsi"/>
        </w:rPr>
        <w:t xml:space="preserve"> and</w:t>
      </w:r>
      <w:r w:rsidR="0031739C">
        <w:rPr>
          <w:rFonts w:cstheme="minorHAnsi"/>
        </w:rPr>
        <w:t>, (2)</w:t>
      </w:r>
      <w:r>
        <w:rPr>
          <w:rFonts w:cstheme="minorHAnsi"/>
        </w:rPr>
        <w:t xml:space="preserve"> using available information </w:t>
      </w:r>
      <w:r w:rsidR="00B60C02">
        <w:rPr>
          <w:rFonts w:cstheme="minorHAnsi"/>
        </w:rPr>
        <w:t xml:space="preserve">from the meta-analysis to provide estimates </w:t>
      </w:r>
      <w:r>
        <w:rPr>
          <w:rFonts w:cstheme="minorHAnsi"/>
        </w:rPr>
        <w:t xml:space="preserve">for the mean and variance. </w:t>
      </w:r>
      <w:r w:rsidR="00B60C02">
        <w:rPr>
          <w:rFonts w:cstheme="minorHAnsi"/>
        </w:rPr>
        <w:t>A</w:t>
      </w:r>
      <w:r>
        <w:rPr>
          <w:rFonts w:cstheme="minorHAnsi"/>
        </w:rPr>
        <w:t xml:space="preserve"> normal distribution</w:t>
      </w:r>
      <w:r w:rsidR="00B60C02">
        <w:rPr>
          <w:rFonts w:cstheme="minorHAnsi"/>
        </w:rPr>
        <w:t xml:space="preserve"> was selected</w:t>
      </w:r>
      <w:r>
        <w:rPr>
          <w:rFonts w:cstheme="minorHAnsi"/>
        </w:rPr>
        <w:t xml:space="preserve"> </w:t>
      </w:r>
      <w:r w:rsidR="00B60C02">
        <w:rPr>
          <w:rFonts w:cstheme="minorHAnsi"/>
        </w:rPr>
        <w:t>with mean set as</w:t>
      </w:r>
      <w:r>
        <w:rPr>
          <w:rFonts w:cstheme="minorHAnsi"/>
        </w:rPr>
        <w:t xml:space="preserve"> the pooled effect estimate </w:t>
      </w:r>
      <w:r w:rsidR="00B60C02">
        <w:rPr>
          <w:rFonts w:cstheme="minorHAnsi"/>
        </w:rPr>
        <w:t xml:space="preserve">from the meta-analysis </w:t>
      </w:r>
      <w:r>
        <w:rPr>
          <w:rFonts w:cstheme="minorHAnsi"/>
        </w:rPr>
        <w:t xml:space="preserve">and </w:t>
      </w:r>
      <w:r w:rsidR="00B60C02">
        <w:rPr>
          <w:rFonts w:cstheme="minorHAnsi"/>
        </w:rPr>
        <w:t xml:space="preserve">standard deviation set as </w:t>
      </w:r>
      <w:r>
        <w:rPr>
          <w:rFonts w:cstheme="minorHAnsi"/>
        </w:rPr>
        <w:t xml:space="preserve">the associated standard error. For other parameters, vague priors as described previously were used. Projection bias, </w:t>
      </w:r>
      <w:r>
        <w:rPr>
          <w:rFonts w:ascii="Trebuchet MS" w:hAnsi="Trebuchet MS" w:cstheme="minorHAnsi"/>
        </w:rPr>
        <w:t>φ</w:t>
      </w:r>
      <w:r>
        <w:rPr>
          <w:rFonts w:cstheme="minorHAnsi"/>
          <w:vertAlign w:val="subscript"/>
        </w:rPr>
        <w:t>α</w:t>
      </w:r>
      <w:r>
        <w:rPr>
          <w:rFonts w:cstheme="minorHAnsi"/>
        </w:rPr>
        <w:t xml:space="preserve">, can be both positive and negative and so was given a normal prior distribution with mean 0 and large variance. The trial eligible proportion, </w:t>
      </w:r>
      <w:r>
        <w:rPr>
          <w:rFonts w:ascii="Trebuchet MS" w:hAnsi="Trebuchet MS" w:cstheme="minorHAnsi"/>
        </w:rPr>
        <w:t>π</w:t>
      </w:r>
      <w:r>
        <w:rPr>
          <w:rFonts w:cstheme="minorHAnsi"/>
        </w:rPr>
        <w:t>, is a probability and was thus given a</w:t>
      </w:r>
      <w:r w:rsidR="00A549C9">
        <w:rPr>
          <w:rFonts w:cstheme="minorHAnsi"/>
        </w:rPr>
        <w:t xml:space="preserve"> uniform prior on the range 0 to 1. </w:t>
      </w:r>
      <w:r>
        <w:rPr>
          <w:rFonts w:cstheme="minorHAnsi"/>
        </w:rPr>
        <w:t xml:space="preserve"> </w:t>
      </w:r>
    </w:p>
    <w:p w14:paraId="707BDBD5" w14:textId="715B1274" w:rsidR="00A549C9" w:rsidRPr="00293620" w:rsidRDefault="00A549C9" w:rsidP="00DF77D1">
      <w:pPr>
        <w:spacing w:line="480" w:lineRule="auto"/>
        <w:jc w:val="both"/>
        <w:rPr>
          <w:rFonts w:eastAsiaTheme="minorEastAsia" w:cstheme="minorHAnsi"/>
        </w:rPr>
      </w:pPr>
      <w:r>
        <w:rPr>
          <w:rFonts w:cstheme="minorHAnsi"/>
        </w:rPr>
        <w:t xml:space="preserve">This proposed combined model relies on two assumptions; first, that there are no treatment effect moderators whose distribution differs between the trial eligible portion of the target population and the trial samples (A3); and second that the projection bias, </w:t>
      </w:r>
      <w:r>
        <w:rPr>
          <w:rFonts w:ascii="Trebuchet MS" w:hAnsi="Trebuchet MS" w:cstheme="minorHAnsi"/>
        </w:rPr>
        <w:t>φ</w:t>
      </w:r>
      <w:r>
        <w:rPr>
          <w:rFonts w:cstheme="minorHAnsi"/>
          <w:vertAlign w:val="subscript"/>
        </w:rPr>
        <w:t>α</w:t>
      </w:r>
      <w:r>
        <w:rPr>
          <w:rFonts w:cstheme="minorHAnsi"/>
        </w:rPr>
        <w:t xml:space="preserve">, is the same in the trial eligible and trial </w:t>
      </w:r>
      <w:r>
        <w:rPr>
          <w:rFonts w:cstheme="minorHAnsi"/>
        </w:rPr>
        <w:lastRenderedPageBreak/>
        <w:t>not eligible portions of the target populatio</w:t>
      </w:r>
      <w:r w:rsidR="006C2040">
        <w:rPr>
          <w:rFonts w:cstheme="minorHAnsi"/>
        </w:rPr>
        <w:t>n (A4). These assumptions are weaker than those required when estimating treatment effects based on the treated cohort alone (</w:t>
      </w:r>
      <w:r w:rsidR="00365C02">
        <w:rPr>
          <w:rFonts w:cstheme="minorHAnsi"/>
        </w:rPr>
        <w:t xml:space="preserve">where </w:t>
      </w:r>
      <w:r w:rsidR="006C2040">
        <w:rPr>
          <w:rFonts w:cstheme="minorHAnsi"/>
        </w:rPr>
        <w:t>A1</w:t>
      </w:r>
      <w:r w:rsidR="00365C02">
        <w:rPr>
          <w:rFonts w:cstheme="minorHAnsi"/>
        </w:rPr>
        <w:t xml:space="preserve"> is made instead of A3</w:t>
      </w:r>
      <w:r w:rsidR="006C2040">
        <w:rPr>
          <w:rFonts w:cstheme="minorHAnsi"/>
        </w:rPr>
        <w:t>) or trial data alone, where we must assume that the trial and trial eligible portions of the target population do not differ on any characteristics which predict treatment effect (A2)</w:t>
      </w:r>
      <w:r w:rsidR="00365C02">
        <w:rPr>
          <w:rFonts w:cstheme="minorHAnsi"/>
        </w:rPr>
        <w:t xml:space="preserve"> rather than A4</w:t>
      </w:r>
      <w:r w:rsidR="006C2040">
        <w:rPr>
          <w:rFonts w:cstheme="minorHAnsi"/>
        </w:rPr>
        <w:t>.</w:t>
      </w:r>
    </w:p>
    <w:p w14:paraId="15307D97" w14:textId="2321369F" w:rsidR="00B52585" w:rsidRPr="007A30F8" w:rsidRDefault="00856E59" w:rsidP="00DF77D1">
      <w:pPr>
        <w:spacing w:line="480" w:lineRule="auto"/>
        <w:rPr>
          <w:b/>
          <w:i/>
          <w:iCs/>
        </w:rPr>
      </w:pPr>
      <w:r>
        <w:rPr>
          <w:b/>
          <w:i/>
          <w:iCs/>
        </w:rPr>
        <w:t xml:space="preserve">2.4 </w:t>
      </w:r>
      <w:r w:rsidR="00B52585">
        <w:rPr>
          <w:b/>
          <w:i/>
          <w:iCs/>
        </w:rPr>
        <w:t>Simulation study</w:t>
      </w:r>
    </w:p>
    <w:p w14:paraId="7E6AE1A3" w14:textId="7AE4719A" w:rsidR="007A30F8" w:rsidRDefault="00FA27F8" w:rsidP="00DF77D1">
      <w:pPr>
        <w:spacing w:line="480" w:lineRule="auto"/>
        <w:jc w:val="both"/>
        <w:rPr>
          <w:bCs/>
        </w:rPr>
      </w:pPr>
      <w:r>
        <w:rPr>
          <w:bCs/>
        </w:rPr>
        <w:t>To investigate the properties of the proposed new estimator, a simulation study was conducted. The target population, P, can be split into the trial eligible portion, P</w:t>
      </w:r>
      <w:r>
        <w:rPr>
          <w:bCs/>
          <w:vertAlign w:val="subscript"/>
        </w:rPr>
        <w:t>1</w:t>
      </w:r>
      <w:r>
        <w:rPr>
          <w:bCs/>
        </w:rPr>
        <w:t>, and the trial not eligible portion, P</w:t>
      </w:r>
      <w:r>
        <w:rPr>
          <w:bCs/>
          <w:vertAlign w:val="subscript"/>
        </w:rPr>
        <w:t>2</w:t>
      </w:r>
      <w:r>
        <w:rPr>
          <w:bCs/>
        </w:rPr>
        <w:t>. We assumed that P</w:t>
      </w:r>
      <w:r>
        <w:rPr>
          <w:bCs/>
          <w:vertAlign w:val="subscript"/>
        </w:rPr>
        <w:t>1</w:t>
      </w:r>
      <w:r>
        <w:rPr>
          <w:bCs/>
        </w:rPr>
        <w:t xml:space="preserve"> could be further split into k mutually exclusive and exhaustive subsets, P</w:t>
      </w:r>
      <w:r>
        <w:rPr>
          <w:bCs/>
          <w:vertAlign w:val="subscript"/>
        </w:rPr>
        <w:t>1j</w:t>
      </w:r>
      <w:r>
        <w:rPr>
          <w:bCs/>
        </w:rPr>
        <w:t xml:space="preserve">, representing those eligible for each </w:t>
      </w:r>
      <w:r w:rsidR="00EA4C95">
        <w:rPr>
          <w:bCs/>
        </w:rPr>
        <w:t>of k trials. Using Z</w:t>
      </w:r>
      <w:r w:rsidR="00EA4C95">
        <w:rPr>
          <w:bCs/>
          <w:vertAlign w:val="subscript"/>
        </w:rPr>
        <w:t>i</w:t>
      </w:r>
      <w:r w:rsidR="00EA4C95">
        <w:rPr>
          <w:bCs/>
        </w:rPr>
        <w:t xml:space="preserve"> as an indicator for trial eligibility, Z</w:t>
      </w:r>
      <w:r w:rsidR="00EA4C95">
        <w:rPr>
          <w:bCs/>
          <w:vertAlign w:val="subscript"/>
        </w:rPr>
        <w:t>i</w:t>
      </w:r>
      <w:r w:rsidR="00EA4C95">
        <w:rPr>
          <w:bCs/>
        </w:rPr>
        <w:t xml:space="preserve">=1 if individual </w:t>
      </w:r>
      <w:proofErr w:type="spellStart"/>
      <w:r w:rsidR="00EA4C95">
        <w:rPr>
          <w:bCs/>
        </w:rPr>
        <w:t>i</w:t>
      </w:r>
      <w:proofErr w:type="spellEnd"/>
      <w:r w:rsidR="00EA4C95">
        <w:rPr>
          <w:bCs/>
        </w:rPr>
        <w:t xml:space="preserve"> is trial eligible and 0 otherwise, and setting P(Z</w:t>
      </w:r>
      <w:r w:rsidR="00EA4C95">
        <w:rPr>
          <w:bCs/>
          <w:vertAlign w:val="subscript"/>
        </w:rPr>
        <w:t>i</w:t>
      </w:r>
      <w:r w:rsidR="00EA4C95">
        <w:rPr>
          <w:bCs/>
        </w:rPr>
        <w:t xml:space="preserve"> = 1) = </w:t>
      </w:r>
      <w:r w:rsidR="00EA4C95">
        <w:rPr>
          <w:rFonts w:ascii="Trebuchet MS" w:hAnsi="Trebuchet MS"/>
          <w:bCs/>
        </w:rPr>
        <w:t>π</w:t>
      </w:r>
      <w:r w:rsidR="00EA4C95">
        <w:rPr>
          <w:bCs/>
        </w:rPr>
        <w:t xml:space="preserve">, then the treatment effect for </w:t>
      </w:r>
      <w:proofErr w:type="gramStart"/>
      <w:r w:rsidR="00EA4C95">
        <w:rPr>
          <w:bCs/>
        </w:rPr>
        <w:t>each individual</w:t>
      </w:r>
      <w:proofErr w:type="gramEnd"/>
      <w:r w:rsidR="00EA4C95">
        <w:rPr>
          <w:bCs/>
        </w:rPr>
        <w:t xml:space="preserve"> (</w:t>
      </w:r>
      <w:proofErr w:type="spellStart"/>
      <w:r w:rsidR="00EA4C95">
        <w:rPr>
          <w:rFonts w:cstheme="minorHAnsi"/>
          <w:bCs/>
        </w:rPr>
        <w:t>Δ</w:t>
      </w:r>
      <w:r w:rsidR="00EA4C95">
        <w:rPr>
          <w:bCs/>
          <w:vertAlign w:val="subscript"/>
        </w:rPr>
        <w:t>i</w:t>
      </w:r>
      <w:proofErr w:type="spellEnd"/>
      <w:r w:rsidR="00EA4C95">
        <w:rPr>
          <w:bCs/>
          <w:vertAlign w:val="subscript"/>
        </w:rPr>
        <w:t xml:space="preserve">, </w:t>
      </w:r>
      <w:proofErr w:type="spellStart"/>
      <w:r w:rsidR="00EA4C95">
        <w:rPr>
          <w:bCs/>
        </w:rPr>
        <w:t>eqn</w:t>
      </w:r>
      <w:proofErr w:type="spellEnd"/>
      <w:r w:rsidR="00EA4C95">
        <w:rPr>
          <w:bCs/>
        </w:rPr>
        <w:t xml:space="preserve"> (2)) can be generated using:</w:t>
      </w:r>
    </w:p>
    <w:p w14:paraId="6354B595" w14:textId="0BAA0E2C" w:rsidR="00EA4C95" w:rsidRDefault="00EA4C95" w:rsidP="00DF77D1">
      <w:pPr>
        <w:spacing w:line="480" w:lineRule="auto"/>
        <w:rPr>
          <w:rFonts w:eastAsia="CMSY10" w:cstheme="minorHAnsi"/>
        </w:rPr>
      </w:pPr>
      <w:proofErr w:type="spellStart"/>
      <w:r>
        <w:rPr>
          <w:rFonts w:cstheme="minorHAnsi"/>
          <w:bCs/>
        </w:rPr>
        <w:t>Δ</w:t>
      </w:r>
      <w:r>
        <w:rPr>
          <w:rFonts w:cstheme="minorHAnsi"/>
          <w:bCs/>
          <w:vertAlign w:val="subscript"/>
        </w:rPr>
        <w:t>i</w:t>
      </w:r>
      <w:proofErr w:type="spellEnd"/>
      <w:r>
        <w:rPr>
          <w:rFonts w:cstheme="minorHAnsi"/>
          <w:bCs/>
        </w:rPr>
        <w:t xml:space="preserve"> | (</w:t>
      </w:r>
      <w:r w:rsidRPr="00EA4C95">
        <w:rPr>
          <w:rFonts w:cstheme="minorHAnsi"/>
          <w:bCs/>
        </w:rPr>
        <w:t>Z</w:t>
      </w:r>
      <w:r w:rsidRPr="00EA4C95">
        <w:rPr>
          <w:rFonts w:cstheme="minorHAnsi"/>
          <w:bCs/>
          <w:vertAlign w:val="subscript"/>
        </w:rPr>
        <w:t>i</w:t>
      </w:r>
      <w:r w:rsidRPr="00EA4C95">
        <w:rPr>
          <w:rFonts w:cstheme="minorHAnsi"/>
          <w:bCs/>
        </w:rPr>
        <w:t xml:space="preserve"> = 1 </w:t>
      </w:r>
      <w:r w:rsidRPr="00EA4C95">
        <w:rPr>
          <w:rFonts w:cstheme="minorHAnsi"/>
        </w:rPr>
        <w:t xml:space="preserve">∩ </w:t>
      </w:r>
      <w:proofErr w:type="spellStart"/>
      <w:r>
        <w:rPr>
          <w:rFonts w:cstheme="minorHAnsi"/>
        </w:rPr>
        <w:t>i</w:t>
      </w:r>
      <w:proofErr w:type="spellEnd"/>
      <w:r>
        <w:rPr>
          <w:rFonts w:cstheme="minorHAnsi"/>
        </w:rPr>
        <w:t xml:space="preserve"> </w:t>
      </w:r>
      <w:r w:rsidRPr="00EA4C95">
        <w:rPr>
          <w:rFonts w:ascii="Cambria Math" w:eastAsia="CMSY10" w:hAnsi="Cambria Math" w:cs="Cambria Math"/>
        </w:rPr>
        <w:t>∈</w:t>
      </w:r>
      <w:r>
        <w:rPr>
          <w:rFonts w:ascii="Cambria Math" w:eastAsia="CMSY10" w:hAnsi="Cambria Math" w:cs="Cambria Math"/>
        </w:rPr>
        <w:t xml:space="preserve"> </w:t>
      </w:r>
      <w:r w:rsidRPr="00EA4C95">
        <w:rPr>
          <w:rFonts w:eastAsia="CMSY10" w:cstheme="minorHAnsi"/>
        </w:rPr>
        <w:t>P</w:t>
      </w:r>
      <w:r>
        <w:rPr>
          <w:rFonts w:eastAsia="CMSY10" w:cstheme="minorHAnsi"/>
          <w:vertAlign w:val="subscript"/>
        </w:rPr>
        <w:t>1j</w:t>
      </w:r>
      <w:r>
        <w:rPr>
          <w:rFonts w:eastAsia="CMSY10" w:cstheme="minorHAnsi"/>
        </w:rPr>
        <w:t>) ~ N(ARE</w:t>
      </w:r>
      <w:r>
        <w:rPr>
          <w:rFonts w:eastAsia="CMSY10" w:cstheme="minorHAnsi"/>
          <w:vertAlign w:val="subscript"/>
        </w:rPr>
        <w:t>1j</w:t>
      </w:r>
      <w:r>
        <w:rPr>
          <w:rFonts w:eastAsia="CMSY10" w:cstheme="minorHAnsi"/>
        </w:rPr>
        <w:t>, ω</w:t>
      </w:r>
      <w:r>
        <w:rPr>
          <w:rFonts w:eastAsia="CMSY10" w:cstheme="minorHAnsi"/>
          <w:vertAlign w:val="superscript"/>
        </w:rPr>
        <w:t>2</w:t>
      </w:r>
      <w:r>
        <w:rPr>
          <w:rFonts w:eastAsia="CMSY10" w:cstheme="minorHAnsi"/>
        </w:rPr>
        <w:t>)</w:t>
      </w:r>
    </w:p>
    <w:p w14:paraId="15EE6788" w14:textId="49CDF2C1" w:rsidR="00EA4C95" w:rsidRDefault="00EA4C95" w:rsidP="00DF77D1">
      <w:pPr>
        <w:spacing w:line="480" w:lineRule="auto"/>
        <w:rPr>
          <w:rFonts w:eastAsia="CMSY10" w:cstheme="minorHAnsi"/>
        </w:rPr>
      </w:pPr>
      <w:proofErr w:type="spellStart"/>
      <w:r>
        <w:rPr>
          <w:rFonts w:eastAsia="CMSY10" w:cstheme="minorHAnsi"/>
        </w:rPr>
        <w:t>Δ</w:t>
      </w:r>
      <w:r>
        <w:rPr>
          <w:rFonts w:eastAsia="CMSY10" w:cstheme="minorHAnsi"/>
          <w:vertAlign w:val="subscript"/>
        </w:rPr>
        <w:t>i</w:t>
      </w:r>
      <w:proofErr w:type="spellEnd"/>
      <w:r>
        <w:rPr>
          <w:rFonts w:eastAsia="CMSY10" w:cstheme="minorHAnsi"/>
        </w:rPr>
        <w:t xml:space="preserve"> | Z</w:t>
      </w:r>
      <w:r>
        <w:rPr>
          <w:rFonts w:eastAsia="CMSY10" w:cstheme="minorHAnsi"/>
          <w:vertAlign w:val="subscript"/>
        </w:rPr>
        <w:t>i</w:t>
      </w:r>
      <w:r>
        <w:rPr>
          <w:rFonts w:eastAsia="CMSY10" w:cstheme="minorHAnsi"/>
        </w:rPr>
        <w:t xml:space="preserve"> = 0 ~ N(ARE</w:t>
      </w:r>
      <w:r>
        <w:rPr>
          <w:rFonts w:eastAsia="CMSY10" w:cstheme="minorHAnsi"/>
          <w:vertAlign w:val="subscript"/>
        </w:rPr>
        <w:t>2</w:t>
      </w:r>
      <w:r>
        <w:rPr>
          <w:rFonts w:eastAsia="CMSY10" w:cstheme="minorHAnsi"/>
        </w:rPr>
        <w:t xml:space="preserve">, </w:t>
      </w:r>
      <w:r>
        <w:rPr>
          <w:rFonts w:ascii="Trebuchet MS" w:eastAsia="CMSY10" w:hAnsi="Trebuchet MS" w:cstheme="minorHAnsi"/>
        </w:rPr>
        <w:t>ν</w:t>
      </w:r>
      <w:r>
        <w:rPr>
          <w:rFonts w:eastAsia="CMSY10" w:cstheme="minorHAnsi"/>
          <w:vertAlign w:val="superscript"/>
        </w:rPr>
        <w:t>2</w:t>
      </w:r>
      <w:r>
        <w:rPr>
          <w:rFonts w:eastAsia="CMSY10" w:cstheme="minorHAnsi"/>
        </w:rPr>
        <w:t>)</w:t>
      </w:r>
    </w:p>
    <w:p w14:paraId="7CE6BC03" w14:textId="39474D58" w:rsidR="00EA4C95" w:rsidRDefault="00EA4C95" w:rsidP="00DF77D1">
      <w:pPr>
        <w:spacing w:line="480" w:lineRule="auto"/>
        <w:rPr>
          <w:rFonts w:eastAsia="CMSY10" w:cstheme="minorHAnsi"/>
        </w:rPr>
      </w:pPr>
      <w:r>
        <w:rPr>
          <w:rFonts w:eastAsia="CMSY10" w:cstheme="minorHAnsi"/>
        </w:rPr>
        <w:t>ARE</w:t>
      </w:r>
      <w:r>
        <w:rPr>
          <w:rFonts w:eastAsia="CMSY10" w:cstheme="minorHAnsi"/>
          <w:vertAlign w:val="subscript"/>
        </w:rPr>
        <w:t>1j</w:t>
      </w:r>
      <w:r>
        <w:rPr>
          <w:rFonts w:eastAsia="CMSY10" w:cstheme="minorHAnsi"/>
        </w:rPr>
        <w:t xml:space="preserve"> ~ N(ARE</w:t>
      </w:r>
      <w:r>
        <w:rPr>
          <w:rFonts w:eastAsia="CMSY10" w:cstheme="minorHAnsi"/>
          <w:vertAlign w:val="subscript"/>
        </w:rPr>
        <w:t>1</w:t>
      </w:r>
      <w:r>
        <w:rPr>
          <w:rFonts w:eastAsia="CMSY10" w:cstheme="minorHAnsi"/>
        </w:rPr>
        <w:t xml:space="preserve">, </w:t>
      </w:r>
      <w:r>
        <w:rPr>
          <w:rFonts w:ascii="Trebuchet MS" w:eastAsia="CMSY10" w:hAnsi="Trebuchet MS" w:cstheme="minorHAnsi"/>
        </w:rPr>
        <w:t>τ</w:t>
      </w:r>
      <w:r>
        <w:rPr>
          <w:rFonts w:eastAsia="CMSY10" w:cstheme="minorHAnsi"/>
          <w:vertAlign w:val="superscript"/>
        </w:rPr>
        <w:t>2</w:t>
      </w:r>
      <w:r>
        <w:rPr>
          <w:rFonts w:eastAsia="CMSY10" w:cstheme="minorHAnsi"/>
        </w:rPr>
        <w:t>)</w:t>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t>(15)</w:t>
      </w:r>
    </w:p>
    <w:p w14:paraId="7F6F043A" w14:textId="53189261" w:rsidR="00EA4C95" w:rsidRPr="00EA4C95" w:rsidRDefault="00EA4C95" w:rsidP="00DF77D1">
      <w:pPr>
        <w:spacing w:line="480" w:lineRule="auto"/>
        <w:rPr>
          <w:rFonts w:eastAsia="CMSY10" w:cstheme="minorHAnsi"/>
        </w:rPr>
      </w:pPr>
      <w:r w:rsidRPr="00EA4C95">
        <w:rPr>
          <w:rFonts w:eastAsia="CMSY10" w:cstheme="minorHAnsi"/>
        </w:rPr>
        <w:t>The outcomes for individuals at treatment offer, γ</w:t>
      </w:r>
      <w:r w:rsidRPr="00EA4C95">
        <w:rPr>
          <w:rFonts w:eastAsia="CMSY10" w:cstheme="minorHAnsi"/>
          <w:vertAlign w:val="subscript"/>
        </w:rPr>
        <w:t>0,i</w:t>
      </w:r>
      <w:r w:rsidRPr="00EA4C95">
        <w:rPr>
          <w:rFonts w:eastAsia="CMSY10" w:cstheme="minorHAnsi"/>
        </w:rPr>
        <w:t>, can similarly be defined as follows:</w:t>
      </w:r>
    </w:p>
    <w:p w14:paraId="70B46309" w14:textId="7A09A6EE" w:rsidR="00EA4C95" w:rsidRDefault="00EA4C95" w:rsidP="00DF77D1">
      <w:pPr>
        <w:spacing w:line="480" w:lineRule="auto"/>
        <w:rPr>
          <w:rFonts w:cstheme="minorHAnsi"/>
          <w:bCs/>
          <w:vertAlign w:val="subscript"/>
        </w:rPr>
      </w:pPr>
      <w:r w:rsidRPr="00EA4C95">
        <w:rPr>
          <w:rFonts w:eastAsia="CMSY10" w:cstheme="minorHAnsi"/>
        </w:rPr>
        <w:t>γ</w:t>
      </w:r>
      <w:r w:rsidRPr="00EA4C95">
        <w:rPr>
          <w:rFonts w:eastAsia="CMSY10" w:cstheme="minorHAnsi"/>
          <w:vertAlign w:val="subscript"/>
        </w:rPr>
        <w:t xml:space="preserve">0,i </w:t>
      </w:r>
      <w:r w:rsidRPr="00EA4C95">
        <w:rPr>
          <w:rFonts w:eastAsia="CMSY10" w:cstheme="minorHAnsi"/>
        </w:rPr>
        <w:t>= y</w:t>
      </w:r>
      <w:r w:rsidRPr="00EA4C95">
        <w:rPr>
          <w:rFonts w:eastAsia="CMSY10" w:cstheme="minorHAnsi"/>
          <w:vertAlign w:val="subscript"/>
        </w:rPr>
        <w:t xml:space="preserve">i0, </w:t>
      </w:r>
      <w:r w:rsidRPr="00EA4C95">
        <w:rPr>
          <w:rFonts w:cstheme="minorHAnsi"/>
          <w:bCs/>
          <w:vertAlign w:val="subscript"/>
        </w:rPr>
        <w:t>R=1</w:t>
      </w:r>
      <w:r w:rsidRPr="00EA4C95">
        <w:rPr>
          <w:rFonts w:cstheme="minorHAnsi"/>
          <w:bCs/>
        </w:rPr>
        <w:t xml:space="preserve"> = y</w:t>
      </w:r>
      <w:r w:rsidRPr="00EA4C95">
        <w:rPr>
          <w:rFonts w:cstheme="minorHAnsi"/>
          <w:bCs/>
          <w:vertAlign w:val="subscript"/>
        </w:rPr>
        <w:t>i0, R=0</w:t>
      </w:r>
    </w:p>
    <w:p w14:paraId="5F55EAF3" w14:textId="01A187F7" w:rsidR="00EA4C95" w:rsidRDefault="00EA4C95" w:rsidP="00DF77D1">
      <w:pPr>
        <w:spacing w:line="480" w:lineRule="auto"/>
        <w:rPr>
          <w:rFonts w:eastAsia="CMSY10" w:cstheme="minorHAnsi"/>
        </w:rPr>
      </w:pPr>
      <w:r w:rsidRPr="00EA4C95">
        <w:rPr>
          <w:rFonts w:eastAsia="CMSY10" w:cstheme="minorHAnsi"/>
        </w:rPr>
        <w:t>γ</w:t>
      </w:r>
      <w:r w:rsidRPr="00EA4C95">
        <w:rPr>
          <w:rFonts w:eastAsia="CMSY10" w:cstheme="minorHAnsi"/>
          <w:vertAlign w:val="subscript"/>
        </w:rPr>
        <w:t>0,</w:t>
      </w:r>
      <w:r w:rsidR="00293620">
        <w:rPr>
          <w:rFonts w:eastAsia="CMSY10" w:cstheme="minorHAnsi"/>
          <w:vertAlign w:val="subscript"/>
        </w:rPr>
        <w:t>i</w:t>
      </w:r>
      <w:r>
        <w:rPr>
          <w:rFonts w:eastAsia="CMSY10" w:cstheme="minorHAnsi"/>
          <w:vertAlign w:val="subscript"/>
        </w:rPr>
        <w:t xml:space="preserve"> </w:t>
      </w:r>
      <w:r>
        <w:rPr>
          <w:rFonts w:eastAsia="CMSY10" w:cstheme="minorHAnsi"/>
        </w:rPr>
        <w:t xml:space="preserve">| </w:t>
      </w:r>
      <w:r>
        <w:rPr>
          <w:rFonts w:cstheme="minorHAnsi"/>
          <w:bCs/>
        </w:rPr>
        <w:t>(</w:t>
      </w:r>
      <w:r w:rsidRPr="00EA4C95">
        <w:rPr>
          <w:rFonts w:cstheme="minorHAnsi"/>
          <w:bCs/>
        </w:rPr>
        <w:t>Z</w:t>
      </w:r>
      <w:r w:rsidRPr="00EA4C95">
        <w:rPr>
          <w:rFonts w:cstheme="minorHAnsi"/>
          <w:bCs/>
          <w:vertAlign w:val="subscript"/>
        </w:rPr>
        <w:t>i</w:t>
      </w:r>
      <w:r w:rsidRPr="00EA4C95">
        <w:rPr>
          <w:rFonts w:cstheme="minorHAnsi"/>
          <w:bCs/>
        </w:rPr>
        <w:t xml:space="preserve"> = 1 </w:t>
      </w:r>
      <w:r w:rsidRPr="00EA4C95">
        <w:rPr>
          <w:rFonts w:cstheme="minorHAnsi"/>
        </w:rPr>
        <w:t xml:space="preserve">∩ </w:t>
      </w:r>
      <w:proofErr w:type="spellStart"/>
      <w:r>
        <w:rPr>
          <w:rFonts w:cstheme="minorHAnsi"/>
        </w:rPr>
        <w:t>i</w:t>
      </w:r>
      <w:proofErr w:type="spellEnd"/>
      <w:r>
        <w:rPr>
          <w:rFonts w:cstheme="minorHAnsi"/>
        </w:rPr>
        <w:t xml:space="preserve"> </w:t>
      </w:r>
      <w:r w:rsidRPr="00EA4C95">
        <w:rPr>
          <w:rFonts w:ascii="Cambria Math" w:eastAsia="CMSY10" w:hAnsi="Cambria Math" w:cs="Cambria Math"/>
        </w:rPr>
        <w:t>∈</w:t>
      </w:r>
      <w:r>
        <w:rPr>
          <w:rFonts w:ascii="Cambria Math" w:eastAsia="CMSY10" w:hAnsi="Cambria Math" w:cs="Cambria Math"/>
        </w:rPr>
        <w:t xml:space="preserve"> </w:t>
      </w:r>
      <w:r w:rsidRPr="00EA4C95">
        <w:rPr>
          <w:rFonts w:eastAsia="CMSY10" w:cstheme="minorHAnsi"/>
        </w:rPr>
        <w:t>P</w:t>
      </w:r>
      <w:r>
        <w:rPr>
          <w:rFonts w:eastAsia="CMSY10" w:cstheme="minorHAnsi"/>
          <w:vertAlign w:val="subscript"/>
        </w:rPr>
        <w:t>1j</w:t>
      </w:r>
      <w:r>
        <w:rPr>
          <w:rFonts w:eastAsia="CMSY10" w:cstheme="minorHAnsi"/>
        </w:rPr>
        <w:t>) ~ N</w:t>
      </w:r>
      <w:r w:rsidR="00293620">
        <w:rPr>
          <w:rFonts w:eastAsia="CMSY10" w:cstheme="minorHAnsi"/>
        </w:rPr>
        <w:t>(Γ</w:t>
      </w:r>
      <w:r w:rsidR="00293620">
        <w:rPr>
          <w:rFonts w:eastAsia="CMSY10" w:cstheme="minorHAnsi"/>
          <w:vertAlign w:val="subscript"/>
        </w:rPr>
        <w:t>01,j</w:t>
      </w:r>
      <w:r w:rsidR="00293620">
        <w:rPr>
          <w:rFonts w:eastAsia="CMSY10" w:cstheme="minorHAnsi"/>
        </w:rPr>
        <w:t>, ω</w:t>
      </w:r>
      <w:r w:rsidR="00293620">
        <w:rPr>
          <w:rFonts w:eastAsia="CMSY10" w:cstheme="minorHAnsi"/>
          <w:vertAlign w:val="subscript"/>
        </w:rPr>
        <w:t>0</w:t>
      </w:r>
      <w:r w:rsidR="00293620">
        <w:rPr>
          <w:rFonts w:eastAsia="CMSY10" w:cstheme="minorHAnsi"/>
          <w:vertAlign w:val="superscript"/>
        </w:rPr>
        <w:t>2</w:t>
      </w:r>
      <w:r w:rsidR="00293620">
        <w:rPr>
          <w:rFonts w:eastAsia="CMSY10" w:cstheme="minorHAnsi"/>
        </w:rPr>
        <w:t>)</w:t>
      </w:r>
    </w:p>
    <w:p w14:paraId="485B4C29" w14:textId="31712974" w:rsidR="00293620" w:rsidRDefault="00293620" w:rsidP="00DF77D1">
      <w:pPr>
        <w:spacing w:line="480" w:lineRule="auto"/>
        <w:rPr>
          <w:rFonts w:cstheme="minorHAnsi"/>
          <w:bCs/>
        </w:rPr>
      </w:pPr>
      <w:r w:rsidRPr="00EA4C95">
        <w:rPr>
          <w:rFonts w:eastAsia="CMSY10" w:cstheme="minorHAnsi"/>
        </w:rPr>
        <w:t>γ</w:t>
      </w:r>
      <w:r w:rsidRPr="00EA4C95">
        <w:rPr>
          <w:rFonts w:eastAsia="CMSY10" w:cstheme="minorHAnsi"/>
          <w:vertAlign w:val="subscript"/>
        </w:rPr>
        <w:t>0,</w:t>
      </w:r>
      <w:r>
        <w:rPr>
          <w:rFonts w:eastAsia="CMSY10" w:cstheme="minorHAnsi"/>
          <w:vertAlign w:val="subscript"/>
        </w:rPr>
        <w:t xml:space="preserve">i </w:t>
      </w:r>
      <w:r>
        <w:rPr>
          <w:rFonts w:eastAsia="CMSY10" w:cstheme="minorHAnsi"/>
        </w:rPr>
        <w:t xml:space="preserve">| </w:t>
      </w:r>
      <w:r w:rsidRPr="00EA4C95">
        <w:rPr>
          <w:rFonts w:cstheme="minorHAnsi"/>
          <w:bCs/>
        </w:rPr>
        <w:t>Z</w:t>
      </w:r>
      <w:r w:rsidRPr="00EA4C95">
        <w:rPr>
          <w:rFonts w:cstheme="minorHAnsi"/>
          <w:bCs/>
          <w:vertAlign w:val="subscript"/>
        </w:rPr>
        <w:t>i</w:t>
      </w:r>
      <w:r w:rsidRPr="00EA4C95">
        <w:rPr>
          <w:rFonts w:cstheme="minorHAnsi"/>
          <w:bCs/>
        </w:rPr>
        <w:t xml:space="preserve"> =</w:t>
      </w:r>
      <w:r>
        <w:rPr>
          <w:rFonts w:cstheme="minorHAnsi"/>
          <w:bCs/>
        </w:rPr>
        <w:t xml:space="preserve"> 0 ~ N(Γ</w:t>
      </w:r>
      <w:r>
        <w:rPr>
          <w:rFonts w:cstheme="minorHAnsi"/>
          <w:bCs/>
          <w:vertAlign w:val="subscript"/>
        </w:rPr>
        <w:t>02</w:t>
      </w:r>
      <w:r>
        <w:rPr>
          <w:rFonts w:cstheme="minorHAnsi"/>
          <w:bCs/>
        </w:rPr>
        <w:t xml:space="preserve">, </w:t>
      </w:r>
      <w:r>
        <w:rPr>
          <w:rFonts w:ascii="Trebuchet MS" w:hAnsi="Trebuchet MS" w:cstheme="minorHAnsi"/>
          <w:bCs/>
        </w:rPr>
        <w:t>σ</w:t>
      </w:r>
      <w:r>
        <w:rPr>
          <w:rFonts w:cstheme="minorHAnsi"/>
          <w:bCs/>
          <w:vertAlign w:val="subscript"/>
        </w:rPr>
        <w:t>0</w:t>
      </w:r>
      <w:r>
        <w:rPr>
          <w:rFonts w:cstheme="minorHAnsi"/>
          <w:bCs/>
          <w:vertAlign w:val="superscript"/>
        </w:rPr>
        <w:t>2</w:t>
      </w:r>
      <w:r>
        <w:rPr>
          <w:rFonts w:cstheme="minorHAnsi"/>
          <w:bCs/>
        </w:rPr>
        <w:t>)</w:t>
      </w:r>
    </w:p>
    <w:p w14:paraId="5D501810" w14:textId="2D3A26A0" w:rsidR="00293620" w:rsidRDefault="00293620" w:rsidP="00DF77D1">
      <w:pPr>
        <w:spacing w:line="480" w:lineRule="auto"/>
        <w:rPr>
          <w:rFonts w:eastAsia="CMSY10" w:cstheme="minorHAnsi"/>
        </w:rPr>
      </w:pPr>
      <w:r>
        <w:rPr>
          <w:rFonts w:eastAsia="CMSY10" w:cstheme="minorHAnsi"/>
        </w:rPr>
        <w:t>Γ</w:t>
      </w:r>
      <w:r>
        <w:rPr>
          <w:rFonts w:eastAsia="CMSY10" w:cstheme="minorHAnsi"/>
          <w:vertAlign w:val="subscript"/>
        </w:rPr>
        <w:t>01,j</w:t>
      </w:r>
      <w:r>
        <w:rPr>
          <w:rFonts w:eastAsia="CMSY10" w:cstheme="minorHAnsi"/>
        </w:rPr>
        <w:t xml:space="preserve"> ~ N(Γ</w:t>
      </w:r>
      <w:r>
        <w:rPr>
          <w:rFonts w:eastAsia="CMSY10" w:cstheme="minorHAnsi"/>
          <w:vertAlign w:val="subscript"/>
        </w:rPr>
        <w:t>01</w:t>
      </w:r>
      <w:r>
        <w:rPr>
          <w:rFonts w:eastAsia="CMSY10" w:cstheme="minorHAnsi"/>
        </w:rPr>
        <w:t xml:space="preserve">, </w:t>
      </w:r>
      <w:r>
        <w:rPr>
          <w:rFonts w:ascii="Trebuchet MS" w:eastAsia="CMSY10" w:hAnsi="Trebuchet MS" w:cstheme="minorHAnsi"/>
        </w:rPr>
        <w:t>τ</w:t>
      </w:r>
      <w:r>
        <w:rPr>
          <w:rFonts w:eastAsia="CMSY10" w:cstheme="minorHAnsi"/>
          <w:vertAlign w:val="subscript"/>
        </w:rPr>
        <w:t>0</w:t>
      </w:r>
      <w:r>
        <w:rPr>
          <w:rFonts w:eastAsia="CMSY10" w:cstheme="minorHAnsi"/>
          <w:vertAlign w:val="superscript"/>
        </w:rPr>
        <w:t>2</w:t>
      </w:r>
      <w:r>
        <w:rPr>
          <w:rFonts w:eastAsia="CMSY10" w:cstheme="minorHAnsi"/>
        </w:rPr>
        <w:t>)</w:t>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t>(16)</w:t>
      </w:r>
    </w:p>
    <w:p w14:paraId="23CC0002" w14:textId="5A6E23BE" w:rsidR="00293620" w:rsidRDefault="00293620" w:rsidP="00DF77D1">
      <w:pPr>
        <w:spacing w:line="480" w:lineRule="auto"/>
        <w:rPr>
          <w:rFonts w:eastAsia="CMSY10" w:cstheme="minorHAnsi"/>
        </w:rPr>
      </w:pPr>
      <w:r>
        <w:rPr>
          <w:rFonts w:eastAsia="CMSY10" w:cstheme="minorHAnsi"/>
        </w:rPr>
        <w:t xml:space="preserve">For </w:t>
      </w:r>
      <w:proofErr w:type="gramStart"/>
      <w:r>
        <w:rPr>
          <w:rFonts w:eastAsia="CMSY10" w:cstheme="minorHAnsi"/>
        </w:rPr>
        <w:t>each individual</w:t>
      </w:r>
      <w:proofErr w:type="gramEnd"/>
      <w:r>
        <w:rPr>
          <w:rFonts w:eastAsia="CMSY10" w:cstheme="minorHAnsi"/>
        </w:rPr>
        <w:t>, these values are first generated and the trajectories under treatment offer are derived. The trajectory under no treatment offer is assumed to be:</w:t>
      </w:r>
    </w:p>
    <w:p w14:paraId="4E5E1A1F" w14:textId="23081C66" w:rsidR="00293620" w:rsidRDefault="00293620" w:rsidP="00DF77D1">
      <w:pPr>
        <w:spacing w:line="480" w:lineRule="auto"/>
        <w:rPr>
          <w:rFonts w:eastAsia="CMSY10" w:cstheme="minorHAnsi"/>
        </w:rPr>
      </w:pPr>
      <w:proofErr w:type="spellStart"/>
      <w:r>
        <w:rPr>
          <w:rFonts w:eastAsia="CMSY10" w:cstheme="minorHAnsi"/>
        </w:rPr>
        <w:t>y</w:t>
      </w:r>
      <w:r>
        <w:rPr>
          <w:rFonts w:eastAsia="CMSY10" w:cstheme="minorHAnsi"/>
          <w:vertAlign w:val="subscript"/>
        </w:rPr>
        <w:t>it</w:t>
      </w:r>
      <w:proofErr w:type="spellEnd"/>
      <w:r>
        <w:rPr>
          <w:rFonts w:eastAsia="CMSY10" w:cstheme="minorHAnsi"/>
          <w:vertAlign w:val="subscript"/>
        </w:rPr>
        <w:t>, R=0</w:t>
      </w:r>
      <w:r>
        <w:rPr>
          <w:rFonts w:eastAsia="CMSY10" w:cstheme="minorHAnsi"/>
        </w:rPr>
        <w:t xml:space="preserve"> = </w:t>
      </w:r>
      <w:r>
        <w:rPr>
          <w:rFonts w:ascii="Trebuchet MS" w:eastAsia="CMSY10" w:hAnsi="Trebuchet MS" w:cstheme="minorHAnsi"/>
        </w:rPr>
        <w:t>γ</w:t>
      </w:r>
      <w:r>
        <w:rPr>
          <w:rFonts w:eastAsia="CMSY10" w:cstheme="minorHAnsi"/>
          <w:vertAlign w:val="subscript"/>
        </w:rPr>
        <w:t>0,i</w:t>
      </w:r>
      <w:r>
        <w:rPr>
          <w:rFonts w:eastAsia="CMSY10" w:cstheme="minorHAnsi"/>
        </w:rPr>
        <w:t xml:space="preserve"> + </w:t>
      </w:r>
      <w:r>
        <w:rPr>
          <w:rFonts w:ascii="Trebuchet MS" w:eastAsia="CMSY10" w:hAnsi="Trebuchet MS" w:cstheme="minorHAnsi"/>
        </w:rPr>
        <w:t>γ</w:t>
      </w:r>
      <w:r>
        <w:rPr>
          <w:rFonts w:eastAsia="CMSY10" w:cstheme="minorHAnsi"/>
          <w:vertAlign w:val="subscript"/>
        </w:rPr>
        <w:t>1</w:t>
      </w:r>
      <w:r>
        <w:rPr>
          <w:rFonts w:eastAsia="CMSY10" w:cstheme="minorHAnsi"/>
        </w:rPr>
        <w:t xml:space="preserve">t + </w:t>
      </w:r>
      <w:r>
        <w:rPr>
          <w:rFonts w:ascii="Trebuchet MS" w:eastAsia="CMSY10" w:hAnsi="Trebuchet MS" w:cstheme="minorHAnsi"/>
        </w:rPr>
        <w:t>ε</w:t>
      </w:r>
      <w:r>
        <w:rPr>
          <w:rFonts w:eastAsia="CMSY10" w:cstheme="minorHAnsi"/>
        </w:rPr>
        <w:t>,</w:t>
      </w:r>
      <w:r>
        <w:rPr>
          <w:rFonts w:eastAsia="CMSY10" w:cstheme="minorHAnsi"/>
        </w:rPr>
        <w:tab/>
        <w:t>t&lt;0</w:t>
      </w:r>
    </w:p>
    <w:p w14:paraId="01263299" w14:textId="24AE80A3" w:rsidR="00293620" w:rsidRDefault="00293620" w:rsidP="00DF77D1">
      <w:pPr>
        <w:spacing w:line="480" w:lineRule="auto"/>
        <w:ind w:firstLine="720"/>
        <w:rPr>
          <w:rFonts w:eastAsia="CMSY10" w:cstheme="minorHAnsi"/>
        </w:rPr>
      </w:pPr>
      <w:r>
        <w:rPr>
          <w:rFonts w:ascii="Trebuchet MS" w:eastAsia="CMSY10" w:hAnsi="Trebuchet MS" w:cstheme="minorHAnsi"/>
        </w:rPr>
        <w:lastRenderedPageBreak/>
        <w:t>γ</w:t>
      </w:r>
      <w:r>
        <w:rPr>
          <w:rFonts w:eastAsia="CMSY10" w:cstheme="minorHAnsi"/>
          <w:vertAlign w:val="subscript"/>
        </w:rPr>
        <w:t>0,i</w:t>
      </w:r>
      <w:r>
        <w:rPr>
          <w:rFonts w:eastAsia="CMSY10" w:cstheme="minorHAnsi"/>
        </w:rPr>
        <w:t xml:space="preserve"> + </w:t>
      </w:r>
      <w:r>
        <w:rPr>
          <w:rFonts w:ascii="Trebuchet MS" w:eastAsia="CMSY10" w:hAnsi="Trebuchet MS" w:cstheme="minorHAnsi"/>
        </w:rPr>
        <w:t>γ</w:t>
      </w:r>
      <w:r>
        <w:rPr>
          <w:rFonts w:eastAsia="CMSY10" w:cstheme="minorHAnsi"/>
          <w:vertAlign w:val="subscript"/>
        </w:rPr>
        <w:t>2</w:t>
      </w:r>
      <w:r>
        <w:rPr>
          <w:rFonts w:eastAsia="CMSY10" w:cstheme="minorHAnsi"/>
        </w:rPr>
        <w:t xml:space="preserve">t + </w:t>
      </w:r>
      <w:r>
        <w:rPr>
          <w:rFonts w:ascii="Trebuchet MS" w:eastAsia="CMSY10" w:hAnsi="Trebuchet MS" w:cstheme="minorHAnsi"/>
        </w:rPr>
        <w:t>ε</w:t>
      </w:r>
      <w:r>
        <w:rPr>
          <w:rFonts w:eastAsia="CMSY10" w:cstheme="minorHAnsi"/>
        </w:rPr>
        <w:t>,</w:t>
      </w:r>
      <w:r>
        <w:rPr>
          <w:rFonts w:eastAsia="CMSY10" w:cstheme="minorHAnsi"/>
        </w:rPr>
        <w:tab/>
        <w:t>t≥0</w:t>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t>(17)</w:t>
      </w:r>
    </w:p>
    <w:p w14:paraId="5589C302" w14:textId="6E77122B" w:rsidR="00293620" w:rsidRDefault="00293620" w:rsidP="00DF77D1">
      <w:pPr>
        <w:spacing w:line="480" w:lineRule="auto"/>
        <w:rPr>
          <w:rFonts w:eastAsia="CMSY10" w:cstheme="minorHAnsi"/>
        </w:rPr>
      </w:pPr>
      <w:r>
        <w:rPr>
          <w:rFonts w:eastAsia="CMSY10" w:cstheme="minorHAnsi"/>
        </w:rPr>
        <w:t>where t=0 is the point where treatment would have been offered and the trajectory has two slopes. Equation (2) can be rearranged to show:</w:t>
      </w:r>
    </w:p>
    <w:p w14:paraId="7F295A27" w14:textId="56EFA262" w:rsidR="00293620" w:rsidRDefault="00293620" w:rsidP="00DF77D1">
      <w:pPr>
        <w:spacing w:line="480" w:lineRule="auto"/>
        <w:rPr>
          <w:rFonts w:eastAsia="CMSY10" w:cstheme="minorHAnsi"/>
        </w:rPr>
      </w:pPr>
      <w:proofErr w:type="spellStart"/>
      <w:r>
        <w:rPr>
          <w:rFonts w:eastAsia="CMSY10" w:cstheme="minorHAnsi"/>
        </w:rPr>
        <w:t>y</w:t>
      </w:r>
      <w:r>
        <w:rPr>
          <w:rFonts w:eastAsia="CMSY10" w:cstheme="minorHAnsi"/>
          <w:vertAlign w:val="subscript"/>
        </w:rPr>
        <w:t>i</w:t>
      </w:r>
      <w:proofErr w:type="spellEnd"/>
      <w:r>
        <w:rPr>
          <w:rFonts w:eastAsia="CMSY10" w:cstheme="minorHAnsi"/>
          <w:vertAlign w:val="subscript"/>
        </w:rPr>
        <w:t>α</w:t>
      </w:r>
      <w:r>
        <w:rPr>
          <w:rFonts w:eastAsia="CMSY10" w:cstheme="minorHAnsi"/>
        </w:rPr>
        <w:t>,</w:t>
      </w:r>
      <w:r>
        <w:rPr>
          <w:rFonts w:eastAsia="CMSY10" w:cstheme="minorHAnsi"/>
          <w:vertAlign w:val="subscript"/>
        </w:rPr>
        <w:t xml:space="preserve"> R=1 </w:t>
      </w:r>
      <w:r>
        <w:rPr>
          <w:rFonts w:eastAsia="CMSY10" w:cstheme="minorHAnsi"/>
        </w:rPr>
        <w:t xml:space="preserve">= </w:t>
      </w:r>
      <w:proofErr w:type="spellStart"/>
      <w:r>
        <w:rPr>
          <w:rFonts w:eastAsia="CMSY10" w:cstheme="minorHAnsi"/>
        </w:rPr>
        <w:t>Δ</w:t>
      </w:r>
      <w:r>
        <w:rPr>
          <w:rFonts w:eastAsia="CMSY10" w:cstheme="minorHAnsi"/>
          <w:vertAlign w:val="subscript"/>
        </w:rPr>
        <w:t>i</w:t>
      </w:r>
      <w:proofErr w:type="spellEnd"/>
      <w:r>
        <w:rPr>
          <w:rFonts w:eastAsia="CMSY10" w:cstheme="minorHAnsi"/>
        </w:rPr>
        <w:t xml:space="preserve"> + </w:t>
      </w:r>
      <w:proofErr w:type="spellStart"/>
      <w:r>
        <w:rPr>
          <w:rFonts w:eastAsia="CMSY10" w:cstheme="minorHAnsi"/>
        </w:rPr>
        <w:t>y</w:t>
      </w:r>
      <w:r>
        <w:rPr>
          <w:rFonts w:eastAsia="CMSY10" w:cstheme="minorHAnsi"/>
          <w:vertAlign w:val="subscript"/>
        </w:rPr>
        <w:t>i</w:t>
      </w:r>
      <w:proofErr w:type="spellEnd"/>
      <w:r>
        <w:rPr>
          <w:rFonts w:eastAsia="CMSY10" w:cstheme="minorHAnsi"/>
          <w:vertAlign w:val="subscript"/>
        </w:rPr>
        <w:t>α, R=0</w:t>
      </w:r>
      <w:r>
        <w:rPr>
          <w:rFonts w:eastAsia="CMSY10" w:cstheme="minorHAnsi"/>
          <w:vertAlign w:val="subscript"/>
        </w:rPr>
        <w:tab/>
      </w:r>
      <w:r>
        <w:rPr>
          <w:rFonts w:eastAsia="CMSY10" w:cstheme="minorHAnsi"/>
          <w:vertAlign w:val="subscript"/>
        </w:rPr>
        <w:tab/>
      </w:r>
      <w:r>
        <w:rPr>
          <w:rFonts w:eastAsia="CMSY10" w:cstheme="minorHAnsi"/>
          <w:vertAlign w:val="subscript"/>
        </w:rPr>
        <w:tab/>
      </w:r>
      <w:r>
        <w:rPr>
          <w:rFonts w:eastAsia="CMSY10" w:cstheme="minorHAnsi"/>
          <w:vertAlign w:val="subscript"/>
        </w:rPr>
        <w:tab/>
      </w:r>
      <w:r>
        <w:rPr>
          <w:rFonts w:eastAsia="CMSY10" w:cstheme="minorHAnsi"/>
          <w:vertAlign w:val="subscript"/>
        </w:rPr>
        <w:tab/>
      </w:r>
      <w:r>
        <w:rPr>
          <w:rFonts w:eastAsia="CMSY10" w:cstheme="minorHAnsi"/>
          <w:vertAlign w:val="subscript"/>
        </w:rPr>
        <w:tab/>
      </w:r>
      <w:r>
        <w:rPr>
          <w:rFonts w:eastAsia="CMSY10" w:cstheme="minorHAnsi"/>
        </w:rPr>
        <w:tab/>
      </w:r>
      <w:r>
        <w:rPr>
          <w:rFonts w:eastAsia="CMSY10" w:cstheme="minorHAnsi"/>
        </w:rPr>
        <w:tab/>
      </w:r>
      <w:r>
        <w:rPr>
          <w:rFonts w:eastAsia="CMSY10" w:cstheme="minorHAnsi"/>
        </w:rPr>
        <w:tab/>
        <w:t>(18)</w:t>
      </w:r>
    </w:p>
    <w:p w14:paraId="42357F17" w14:textId="502F9488" w:rsidR="00293620" w:rsidRDefault="00293620" w:rsidP="00DF77D1">
      <w:pPr>
        <w:spacing w:line="480" w:lineRule="auto"/>
        <w:rPr>
          <w:rFonts w:eastAsia="CMSY10" w:cstheme="minorHAnsi"/>
        </w:rPr>
      </w:pPr>
      <w:proofErr w:type="gramStart"/>
      <w:r>
        <w:rPr>
          <w:rFonts w:eastAsia="CMSY10" w:cstheme="minorHAnsi"/>
        </w:rPr>
        <w:t>Assuming that</w:t>
      </w:r>
      <w:proofErr w:type="gramEnd"/>
      <w:r>
        <w:rPr>
          <w:rFonts w:eastAsia="CMSY10" w:cstheme="minorHAnsi"/>
        </w:rPr>
        <w:t xml:space="preserve"> the trajectory under treatment offer has a second change point at t=</w:t>
      </w:r>
      <w:r>
        <w:rPr>
          <w:rFonts w:ascii="Trebuchet MS" w:eastAsia="CMSY10" w:hAnsi="Trebuchet MS" w:cstheme="minorHAnsi"/>
        </w:rPr>
        <w:t>δ</w:t>
      </w:r>
      <w:r>
        <w:rPr>
          <w:rFonts w:eastAsia="CMSY10" w:cstheme="minorHAnsi"/>
        </w:rPr>
        <w:t xml:space="preserve"> and slope </w:t>
      </w:r>
      <w:r>
        <w:rPr>
          <w:rFonts w:ascii="Trebuchet MS" w:eastAsia="CMSY10" w:hAnsi="Trebuchet MS" w:cstheme="minorHAnsi"/>
        </w:rPr>
        <w:t>γ</w:t>
      </w:r>
      <w:r>
        <w:rPr>
          <w:rFonts w:eastAsia="CMSY10" w:cstheme="minorHAnsi"/>
          <w:vertAlign w:val="subscript"/>
        </w:rPr>
        <w:t>3</w:t>
      </w:r>
      <w:r>
        <w:rPr>
          <w:rFonts w:eastAsia="CMSY10" w:cstheme="minorHAnsi"/>
        </w:rPr>
        <w:t xml:space="preserve"> thereafter the following expressions for the trajectory under treatment offer can be derived:</w:t>
      </w:r>
    </w:p>
    <w:p w14:paraId="4C620C5B" w14:textId="51E00C0F" w:rsidR="00293620" w:rsidRPr="00DB18EE" w:rsidRDefault="00293620" w:rsidP="00DF77D1">
      <w:pPr>
        <w:spacing w:line="480" w:lineRule="auto"/>
        <w:rPr>
          <w:rFonts w:eastAsia="CMSY10" w:cstheme="minorHAnsi"/>
        </w:rPr>
      </w:pPr>
      <w:r w:rsidRPr="00DB18EE">
        <w:rPr>
          <w:rFonts w:eastAsia="CMSY10" w:cstheme="minorHAnsi"/>
        </w:rPr>
        <w:t>If α&lt;δ:</w:t>
      </w:r>
      <w:r w:rsidRPr="00DB18EE">
        <w:rPr>
          <w:rFonts w:eastAsia="CMSY10" w:cstheme="minorHAnsi"/>
        </w:rPr>
        <w:tab/>
      </w:r>
      <w:proofErr w:type="spellStart"/>
      <w:r w:rsidRPr="00DB18EE">
        <w:rPr>
          <w:rFonts w:eastAsia="CMSY10" w:cstheme="minorHAnsi"/>
        </w:rPr>
        <w:t>y</w:t>
      </w:r>
      <w:r w:rsidRPr="00DB18EE">
        <w:rPr>
          <w:rFonts w:eastAsia="CMSY10" w:cstheme="minorHAnsi"/>
          <w:vertAlign w:val="subscript"/>
        </w:rPr>
        <w:t>it</w:t>
      </w:r>
      <w:proofErr w:type="spellEnd"/>
      <w:r w:rsidRPr="00DB18EE">
        <w:rPr>
          <w:rFonts w:eastAsia="CMSY10" w:cstheme="minorHAnsi"/>
          <w:vertAlign w:val="subscript"/>
        </w:rPr>
        <w:t>, R=1</w:t>
      </w:r>
      <w:r w:rsidR="00DB18EE" w:rsidRPr="00DB18EE">
        <w:rPr>
          <w:rFonts w:eastAsia="CMSY10" w:cstheme="minorHAnsi"/>
        </w:rPr>
        <w:t xml:space="preserve"> = </w:t>
      </w:r>
      <w:proofErr w:type="spellStart"/>
      <w:r w:rsidRPr="00DB18EE">
        <w:rPr>
          <w:rFonts w:eastAsia="CMSY10" w:cstheme="minorHAnsi"/>
        </w:rPr>
        <w:t>y</w:t>
      </w:r>
      <w:r w:rsidRPr="00DB18EE">
        <w:rPr>
          <w:rFonts w:eastAsia="CMSY10" w:cstheme="minorHAnsi"/>
          <w:vertAlign w:val="subscript"/>
        </w:rPr>
        <w:t>it</w:t>
      </w:r>
      <w:proofErr w:type="spellEnd"/>
      <w:r w:rsidRPr="00DB18EE">
        <w:rPr>
          <w:rFonts w:eastAsia="CMSY10" w:cstheme="minorHAnsi"/>
          <w:vertAlign w:val="subscript"/>
        </w:rPr>
        <w:t>, R=0</w:t>
      </w:r>
      <w:r w:rsidRPr="00DB18EE">
        <w:rPr>
          <w:rFonts w:eastAsia="CMSY10" w:cstheme="minorHAnsi"/>
        </w:rPr>
        <w:t xml:space="preserve"> +</w:t>
      </w:r>
      <w:r w:rsidR="00DB18EE" w:rsidRPr="00DB18EE">
        <w:rPr>
          <w:rFonts w:eastAsia="CMSY10" w:cstheme="minorHAnsi"/>
        </w:rPr>
        <w:tab/>
      </w:r>
      <m:oMath>
        <m:f>
          <m:fPr>
            <m:ctrlPr>
              <w:rPr>
                <w:rFonts w:ascii="Cambria Math" w:eastAsia="CMSY10" w:hAnsi="Cambria Math" w:cstheme="minorHAnsi"/>
                <w:i/>
              </w:rPr>
            </m:ctrlPr>
          </m:fPr>
          <m:num>
            <m:r>
              <w:rPr>
                <w:rFonts w:ascii="Cambria Math" w:eastAsia="CMSY10" w:hAnsi="Cambria Math" w:cstheme="minorHAnsi"/>
              </w:rPr>
              <m:t>1</m:t>
            </m:r>
          </m:num>
          <m:den>
            <m:r>
              <w:rPr>
                <w:rFonts w:ascii="Cambria Math" w:eastAsia="CMSY10" w:hAnsi="Cambria Math" w:cstheme="minorHAnsi"/>
              </w:rPr>
              <m:t>α</m:t>
            </m:r>
          </m:den>
        </m:f>
      </m:oMath>
      <w:proofErr w:type="spellStart"/>
      <w:r w:rsidRPr="00DB18EE">
        <w:rPr>
          <w:rFonts w:eastAsia="CMSY10" w:cstheme="minorHAnsi"/>
        </w:rPr>
        <w:t>Δ</w:t>
      </w:r>
      <w:r w:rsidRPr="00DB18EE">
        <w:rPr>
          <w:rFonts w:eastAsia="CMSY10" w:cstheme="minorHAnsi"/>
          <w:vertAlign w:val="subscript"/>
        </w:rPr>
        <w:t>i</w:t>
      </w:r>
      <w:proofErr w:type="spellEnd"/>
      <w:r w:rsidRPr="00DB18EE">
        <w:rPr>
          <w:rFonts w:eastAsia="CMSY10" w:cstheme="minorHAnsi"/>
        </w:rPr>
        <w:t xml:space="preserve"> </w:t>
      </w:r>
      <w:r w:rsidR="00DB18EE" w:rsidRPr="00DB18EE">
        <w:rPr>
          <w:rFonts w:eastAsia="CMSY10" w:cstheme="minorHAnsi"/>
        </w:rPr>
        <w:t>t,</w:t>
      </w:r>
      <w:r w:rsidR="00DB18EE" w:rsidRPr="00DB18EE">
        <w:rPr>
          <w:rFonts w:eastAsia="CMSY10" w:cstheme="minorHAnsi"/>
        </w:rPr>
        <w:tab/>
      </w:r>
      <w:r w:rsidR="00DB18EE" w:rsidRPr="00DB18EE">
        <w:rPr>
          <w:rFonts w:eastAsia="CMSY10" w:cstheme="minorHAnsi"/>
        </w:rPr>
        <w:tab/>
      </w:r>
      <w:r w:rsidR="00DB18EE" w:rsidRPr="00DB18EE">
        <w:rPr>
          <w:rFonts w:eastAsia="CMSY10" w:cstheme="minorHAnsi"/>
        </w:rPr>
        <w:tab/>
        <w:t>t&lt;δ</w:t>
      </w:r>
      <w:r w:rsidRPr="00DB18EE">
        <w:rPr>
          <w:rFonts w:eastAsia="CMSY10" w:cstheme="minorHAnsi"/>
          <w:vertAlign w:val="subscript"/>
        </w:rPr>
        <w:t xml:space="preserve"> </w:t>
      </w:r>
      <w:r w:rsidR="00DB18EE" w:rsidRPr="00DB18EE">
        <w:rPr>
          <w:rFonts w:eastAsia="CMSY10" w:cstheme="minorHAnsi"/>
        </w:rPr>
        <w:br/>
      </w:r>
      <w:r w:rsidR="00DB18EE" w:rsidRPr="00DB18EE">
        <w:rPr>
          <w:rFonts w:eastAsia="CMSY10" w:cstheme="minorHAnsi"/>
        </w:rPr>
        <w:tab/>
      </w:r>
      <w:r w:rsidR="00DB18EE" w:rsidRPr="00DB18EE">
        <w:rPr>
          <w:rFonts w:eastAsia="CMSY10" w:cstheme="minorHAnsi"/>
        </w:rPr>
        <w:tab/>
      </w:r>
      <w:r w:rsidR="00DB18EE" w:rsidRPr="00DB18EE">
        <w:rPr>
          <w:rFonts w:eastAsia="CMSY10" w:cstheme="minorHAnsi"/>
        </w:rPr>
        <w:tab/>
      </w:r>
      <m:oMath>
        <m:f>
          <m:fPr>
            <m:ctrlPr>
              <w:rPr>
                <w:rFonts w:ascii="Cambria Math" w:eastAsia="CMSY10" w:hAnsi="Cambria Math" w:cstheme="minorHAnsi"/>
                <w:i/>
              </w:rPr>
            </m:ctrlPr>
          </m:fPr>
          <m:num>
            <m:r>
              <w:rPr>
                <w:rFonts w:ascii="Cambria Math" w:eastAsia="CMSY10" w:hAnsi="Cambria Math" w:cstheme="minorHAnsi"/>
              </w:rPr>
              <m:t>1</m:t>
            </m:r>
          </m:num>
          <m:den>
            <m:r>
              <w:rPr>
                <w:rFonts w:ascii="Cambria Math" w:eastAsia="CMSY10" w:hAnsi="Cambria Math" w:cstheme="minorHAnsi"/>
              </w:rPr>
              <m:t>α</m:t>
            </m:r>
          </m:den>
        </m:f>
      </m:oMath>
      <w:r w:rsidR="00DB18EE" w:rsidRPr="00DB18EE">
        <w:rPr>
          <w:rFonts w:eastAsia="CMSY10" w:cstheme="minorHAnsi"/>
        </w:rPr>
        <w:t>Δ</w:t>
      </w:r>
      <w:proofErr w:type="spellStart"/>
      <w:r w:rsidR="00DB18EE" w:rsidRPr="00DB18EE">
        <w:rPr>
          <w:rFonts w:eastAsia="CMSY10" w:cstheme="minorHAnsi"/>
          <w:vertAlign w:val="subscript"/>
        </w:rPr>
        <w:t>i</w:t>
      </w:r>
      <w:proofErr w:type="spellEnd"/>
      <w:r w:rsidR="00DB18EE" w:rsidRPr="00DB18EE">
        <w:rPr>
          <w:rFonts w:eastAsia="CMSY10" w:cstheme="minorHAnsi"/>
        </w:rPr>
        <w:t xml:space="preserve"> δ + (γ</w:t>
      </w:r>
      <w:r w:rsidR="00DB18EE" w:rsidRPr="00DB18EE">
        <w:rPr>
          <w:rFonts w:eastAsia="CMSY10" w:cstheme="minorHAnsi"/>
          <w:vertAlign w:val="subscript"/>
        </w:rPr>
        <w:t>3</w:t>
      </w:r>
      <w:r w:rsidR="00DB18EE" w:rsidRPr="00DB18EE">
        <w:rPr>
          <w:rFonts w:eastAsia="CMSY10" w:cstheme="minorHAnsi"/>
        </w:rPr>
        <w:t xml:space="preserve"> – γ</w:t>
      </w:r>
      <w:r w:rsidR="00DB18EE" w:rsidRPr="00DB18EE">
        <w:rPr>
          <w:rFonts w:eastAsia="CMSY10" w:cstheme="minorHAnsi"/>
          <w:vertAlign w:val="subscript"/>
        </w:rPr>
        <w:t>2</w:t>
      </w:r>
      <w:r w:rsidR="00DB18EE" w:rsidRPr="00DB18EE">
        <w:rPr>
          <w:rFonts w:eastAsia="CMSY10" w:cstheme="minorHAnsi"/>
        </w:rPr>
        <w:t xml:space="preserve">)(t – δ), </w:t>
      </w:r>
      <w:r w:rsidR="00DB18EE" w:rsidRPr="00DB18EE">
        <w:rPr>
          <w:rFonts w:eastAsia="CMSY10" w:cstheme="minorHAnsi"/>
        </w:rPr>
        <w:tab/>
      </w:r>
      <w:proofErr w:type="spellStart"/>
      <w:r w:rsidR="00DB18EE" w:rsidRPr="00DB18EE">
        <w:rPr>
          <w:rFonts w:eastAsia="CMSY10" w:cstheme="minorHAnsi"/>
        </w:rPr>
        <w:t>t≥δ</w:t>
      </w:r>
      <w:proofErr w:type="spellEnd"/>
    </w:p>
    <w:p w14:paraId="6DC5BA18" w14:textId="5799B379" w:rsidR="00DB18EE" w:rsidRPr="00DB18EE" w:rsidRDefault="00DB18EE" w:rsidP="00DF77D1">
      <w:pPr>
        <w:spacing w:line="480" w:lineRule="auto"/>
        <w:rPr>
          <w:rFonts w:eastAsia="CMSY10" w:cstheme="minorHAnsi"/>
        </w:rPr>
      </w:pPr>
      <w:r w:rsidRPr="00DB18EE">
        <w:rPr>
          <w:rFonts w:eastAsia="CMSY10" w:cstheme="minorHAnsi"/>
        </w:rPr>
        <w:t>If α≥δ:</w:t>
      </w:r>
      <w:r w:rsidRPr="00DB18EE">
        <w:rPr>
          <w:rFonts w:eastAsia="CMSY10" w:cstheme="minorHAnsi"/>
        </w:rPr>
        <w:tab/>
      </w:r>
      <w:proofErr w:type="spellStart"/>
      <w:r w:rsidRPr="00DB18EE">
        <w:rPr>
          <w:rFonts w:eastAsia="CMSY10" w:cstheme="minorHAnsi"/>
        </w:rPr>
        <w:t>y</w:t>
      </w:r>
      <w:r w:rsidRPr="00DB18EE">
        <w:rPr>
          <w:rFonts w:eastAsia="CMSY10" w:cstheme="minorHAnsi"/>
          <w:vertAlign w:val="subscript"/>
        </w:rPr>
        <w:t>it</w:t>
      </w:r>
      <w:proofErr w:type="spellEnd"/>
      <w:r w:rsidRPr="00DB18EE">
        <w:rPr>
          <w:rFonts w:eastAsia="CMSY10" w:cstheme="minorHAnsi"/>
          <w:vertAlign w:val="subscript"/>
        </w:rPr>
        <w:t>, R=1</w:t>
      </w:r>
      <w:r w:rsidRPr="00DB18EE">
        <w:rPr>
          <w:rFonts w:eastAsia="CMSY10" w:cstheme="minorHAnsi"/>
        </w:rPr>
        <w:t xml:space="preserve"> = </w:t>
      </w:r>
      <w:proofErr w:type="spellStart"/>
      <w:r w:rsidRPr="00DB18EE">
        <w:rPr>
          <w:rFonts w:eastAsia="CMSY10" w:cstheme="minorHAnsi"/>
        </w:rPr>
        <w:t>y</w:t>
      </w:r>
      <w:r w:rsidRPr="00DB18EE">
        <w:rPr>
          <w:rFonts w:eastAsia="CMSY10" w:cstheme="minorHAnsi"/>
          <w:vertAlign w:val="subscript"/>
        </w:rPr>
        <w:t>it</w:t>
      </w:r>
      <w:proofErr w:type="spellEnd"/>
      <w:r w:rsidRPr="00DB18EE">
        <w:rPr>
          <w:rFonts w:eastAsia="CMSY10" w:cstheme="minorHAnsi"/>
          <w:vertAlign w:val="subscript"/>
        </w:rPr>
        <w:t>, R=0</w:t>
      </w:r>
      <w:r w:rsidRPr="00DB18EE">
        <w:rPr>
          <w:rFonts w:eastAsia="CMSY10" w:cstheme="minorHAnsi"/>
        </w:rPr>
        <w:t xml:space="preserve"> +</w:t>
      </w:r>
      <w:r w:rsidRPr="00DB18EE">
        <w:rPr>
          <w:rFonts w:eastAsia="CMSY10" w:cstheme="minorHAnsi"/>
        </w:rPr>
        <w:tab/>
      </w:r>
      <m:oMath>
        <m:f>
          <m:fPr>
            <m:ctrlPr>
              <w:rPr>
                <w:rFonts w:ascii="Cambria Math" w:eastAsia="CMSY10" w:hAnsi="Cambria Math" w:cstheme="minorHAnsi"/>
                <w:i/>
              </w:rPr>
            </m:ctrlPr>
          </m:fPr>
          <m:num>
            <m:r>
              <w:rPr>
                <w:rFonts w:ascii="Cambria Math" w:eastAsia="CMSY10" w:hAnsi="Cambria Math" w:cstheme="minorHAnsi"/>
              </w:rPr>
              <m:t>1</m:t>
            </m:r>
          </m:num>
          <m:den>
            <m:r>
              <w:rPr>
                <w:rFonts w:ascii="Cambria Math" w:eastAsia="CMSY10" w:hAnsi="Cambria Math" w:cstheme="minorHAnsi"/>
              </w:rPr>
              <m:t>δ</m:t>
            </m:r>
          </m:den>
        </m:f>
      </m:oMath>
      <w:proofErr w:type="spellStart"/>
      <w:r w:rsidRPr="00DB18EE">
        <w:rPr>
          <w:rFonts w:eastAsia="CMSY10" w:cstheme="minorHAnsi"/>
        </w:rPr>
        <w:t>Δ</w:t>
      </w:r>
      <w:r w:rsidRPr="00DB18EE">
        <w:rPr>
          <w:rFonts w:eastAsia="CMSY10" w:cstheme="minorHAnsi"/>
          <w:vertAlign w:val="subscript"/>
        </w:rPr>
        <w:t>i</w:t>
      </w:r>
      <w:proofErr w:type="spellEnd"/>
      <w:r w:rsidRPr="00DB18EE">
        <w:rPr>
          <w:rFonts w:eastAsia="CMSY10" w:cstheme="minorHAnsi"/>
        </w:rPr>
        <w:t xml:space="preserve"> t + (γ</w:t>
      </w:r>
      <w:r w:rsidRPr="00DB18EE">
        <w:rPr>
          <w:rFonts w:eastAsia="CMSY10" w:cstheme="minorHAnsi"/>
          <w:vertAlign w:val="subscript"/>
        </w:rPr>
        <w:t>3</w:t>
      </w:r>
      <w:r w:rsidRPr="00DB18EE">
        <w:rPr>
          <w:rFonts w:eastAsia="CMSY10" w:cstheme="minorHAnsi"/>
        </w:rPr>
        <w:t xml:space="preserve"> – γ</w:t>
      </w:r>
      <w:r w:rsidRPr="00DB18EE">
        <w:rPr>
          <w:rFonts w:eastAsia="CMSY10" w:cstheme="minorHAnsi"/>
          <w:vertAlign w:val="subscript"/>
        </w:rPr>
        <w:t>2</w:t>
      </w:r>
      <w:r w:rsidRPr="00DB18EE">
        <w:rPr>
          <w:rFonts w:eastAsia="CMSY10" w:cstheme="minorHAnsi"/>
        </w:rPr>
        <w:t xml:space="preserve">)(1 - </w:t>
      </w:r>
      <m:oMath>
        <m:f>
          <m:fPr>
            <m:ctrlPr>
              <w:rPr>
                <w:rFonts w:ascii="Cambria Math" w:eastAsia="CMSY10" w:hAnsi="Cambria Math" w:cstheme="minorHAnsi"/>
                <w:i/>
              </w:rPr>
            </m:ctrlPr>
          </m:fPr>
          <m:num>
            <m:r>
              <w:rPr>
                <w:rFonts w:ascii="Cambria Math" w:eastAsia="CMSY10" w:hAnsi="Cambria Math" w:cstheme="minorHAnsi"/>
              </w:rPr>
              <m:t>α</m:t>
            </m:r>
          </m:num>
          <m:den>
            <m:r>
              <w:rPr>
                <w:rFonts w:ascii="Cambria Math" w:eastAsia="CMSY10" w:hAnsi="Cambria Math" w:cstheme="minorHAnsi"/>
              </w:rPr>
              <m:t>δ</m:t>
            </m:r>
          </m:den>
        </m:f>
      </m:oMath>
      <w:r w:rsidRPr="00DB18EE">
        <w:rPr>
          <w:rFonts w:eastAsia="CMSY10" w:cstheme="minorHAnsi"/>
        </w:rPr>
        <w:t>),</w:t>
      </w:r>
      <w:r w:rsidRPr="00DB18EE">
        <w:rPr>
          <w:rFonts w:eastAsia="CMSY10" w:cstheme="minorHAnsi"/>
        </w:rPr>
        <w:tab/>
        <w:t>t&lt;δ</w:t>
      </w:r>
      <w:r w:rsidRPr="00DB18EE">
        <w:rPr>
          <w:rFonts w:eastAsia="CMSY10" w:cstheme="minorHAnsi"/>
          <w:vertAlign w:val="subscript"/>
        </w:rPr>
        <w:t xml:space="preserve"> </w:t>
      </w:r>
      <w:r w:rsidRPr="00DB18EE">
        <w:rPr>
          <w:rFonts w:eastAsia="CMSY10" w:cstheme="minorHAnsi"/>
        </w:rPr>
        <w:br/>
      </w:r>
      <w:r w:rsidRPr="00DB18EE">
        <w:rPr>
          <w:rFonts w:eastAsia="CMSY10" w:cstheme="minorHAnsi"/>
        </w:rPr>
        <w:tab/>
      </w:r>
      <w:r w:rsidRPr="00DB18EE">
        <w:rPr>
          <w:rFonts w:eastAsia="CMSY10" w:cstheme="minorHAnsi"/>
        </w:rPr>
        <w:tab/>
      </w:r>
      <w:r w:rsidRPr="00DB18EE">
        <w:rPr>
          <w:rFonts w:eastAsia="CMSY10" w:cstheme="minorHAnsi"/>
        </w:rPr>
        <w:tab/>
      </w:r>
      <w:proofErr w:type="spellStart"/>
      <w:r w:rsidRPr="00DB18EE">
        <w:rPr>
          <w:rFonts w:eastAsia="CMSY10" w:cstheme="minorHAnsi"/>
        </w:rPr>
        <w:t>Δ</w:t>
      </w:r>
      <w:r w:rsidRPr="00DB18EE">
        <w:rPr>
          <w:rFonts w:eastAsia="CMSY10" w:cstheme="minorHAnsi"/>
          <w:vertAlign w:val="subscript"/>
        </w:rPr>
        <w:t>i</w:t>
      </w:r>
      <w:proofErr w:type="spellEnd"/>
      <w:r w:rsidRPr="00DB18EE">
        <w:rPr>
          <w:rFonts w:eastAsia="CMSY10" w:cstheme="minorHAnsi"/>
        </w:rPr>
        <w:t xml:space="preserve">  + (γ</w:t>
      </w:r>
      <w:r w:rsidRPr="00DB18EE">
        <w:rPr>
          <w:rFonts w:eastAsia="CMSY10" w:cstheme="minorHAnsi"/>
          <w:vertAlign w:val="subscript"/>
        </w:rPr>
        <w:t>3</w:t>
      </w:r>
      <w:r w:rsidRPr="00DB18EE">
        <w:rPr>
          <w:rFonts w:eastAsia="CMSY10" w:cstheme="minorHAnsi"/>
        </w:rPr>
        <w:t xml:space="preserve"> – γ</w:t>
      </w:r>
      <w:r w:rsidRPr="00DB18EE">
        <w:rPr>
          <w:rFonts w:eastAsia="CMSY10" w:cstheme="minorHAnsi"/>
          <w:vertAlign w:val="subscript"/>
        </w:rPr>
        <w:t>2</w:t>
      </w:r>
      <w:r w:rsidRPr="00DB18EE">
        <w:rPr>
          <w:rFonts w:eastAsia="CMSY10" w:cstheme="minorHAnsi"/>
        </w:rPr>
        <w:t xml:space="preserve">)(t – α), </w:t>
      </w:r>
      <w:r w:rsidRPr="00DB18EE">
        <w:rPr>
          <w:rFonts w:eastAsia="CMSY10" w:cstheme="minorHAnsi"/>
        </w:rPr>
        <w:tab/>
      </w:r>
      <w:proofErr w:type="spellStart"/>
      <w:r w:rsidRPr="00DB18EE">
        <w:rPr>
          <w:rFonts w:eastAsia="CMSY10" w:cstheme="minorHAnsi"/>
        </w:rPr>
        <w:t>t≥δ</w:t>
      </w:r>
      <w:proofErr w:type="spellEnd"/>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t>(19)</w:t>
      </w:r>
    </w:p>
    <w:p w14:paraId="701F795A" w14:textId="476E0160" w:rsidR="000E453E" w:rsidRDefault="000E453E" w:rsidP="00DF77D1">
      <w:pPr>
        <w:spacing w:line="480" w:lineRule="auto"/>
        <w:jc w:val="both"/>
        <w:rPr>
          <w:rFonts w:eastAsia="CMSY10" w:cstheme="minorHAnsi"/>
        </w:rPr>
      </w:pPr>
      <w:r>
        <w:rPr>
          <w:rFonts w:eastAsia="CMSY10" w:cstheme="minorHAnsi"/>
        </w:rPr>
        <w:t xml:space="preserve">Expressions for the projection bias, </w:t>
      </w:r>
      <w:r>
        <w:rPr>
          <w:rFonts w:ascii="Trebuchet MS" w:eastAsia="CMSY10" w:hAnsi="Trebuchet MS" w:cstheme="minorHAnsi"/>
        </w:rPr>
        <w:t>φ</w:t>
      </w:r>
      <w:r>
        <w:rPr>
          <w:rFonts w:eastAsia="CMSY10" w:cstheme="minorHAnsi"/>
          <w:vertAlign w:val="subscript"/>
        </w:rPr>
        <w:t>α</w:t>
      </w:r>
      <w:r>
        <w:rPr>
          <w:rFonts w:eastAsia="CMSY10" w:cstheme="minorHAnsi"/>
        </w:rPr>
        <w:t>, and generalisability bias, ζ, are as follows:</w:t>
      </w:r>
    </w:p>
    <w:p w14:paraId="6237AC72" w14:textId="2E1AD61A" w:rsidR="000E453E" w:rsidRDefault="000E453E" w:rsidP="00DF77D1">
      <w:pPr>
        <w:spacing w:line="480" w:lineRule="auto"/>
        <w:jc w:val="both"/>
        <w:rPr>
          <w:rFonts w:eastAsia="CMSY10" w:cstheme="minorHAnsi"/>
        </w:rPr>
      </w:pPr>
      <w:r>
        <w:rPr>
          <w:rFonts w:ascii="Trebuchet MS" w:eastAsia="CMSY10" w:hAnsi="Trebuchet MS" w:cstheme="minorHAnsi"/>
        </w:rPr>
        <w:t>φ</w:t>
      </w:r>
      <w:r>
        <w:rPr>
          <w:rFonts w:eastAsia="CMSY10" w:cstheme="minorHAnsi"/>
          <w:vertAlign w:val="subscript"/>
        </w:rPr>
        <w:t>α</w:t>
      </w:r>
      <w:r>
        <w:rPr>
          <w:rFonts w:eastAsia="CMSY10" w:cstheme="minorHAnsi"/>
        </w:rPr>
        <w:t xml:space="preserve"> = (</w:t>
      </w:r>
      <w:r>
        <w:rPr>
          <w:rFonts w:ascii="Trebuchet MS" w:eastAsia="CMSY10" w:hAnsi="Trebuchet MS" w:cstheme="minorHAnsi"/>
        </w:rPr>
        <w:t>γ</w:t>
      </w:r>
      <w:r>
        <w:rPr>
          <w:rFonts w:ascii="Trebuchet MS" w:eastAsia="CMSY10" w:hAnsi="Trebuchet MS" w:cstheme="minorHAnsi"/>
          <w:vertAlign w:val="subscript"/>
        </w:rPr>
        <w:t>2</w:t>
      </w:r>
      <w:r>
        <w:rPr>
          <w:rFonts w:ascii="Trebuchet MS" w:eastAsia="CMSY10" w:hAnsi="Trebuchet MS" w:cstheme="minorHAnsi"/>
        </w:rPr>
        <w:t xml:space="preserve"> – γ</w:t>
      </w:r>
      <w:r>
        <w:rPr>
          <w:rFonts w:ascii="Trebuchet MS" w:eastAsia="CMSY10" w:hAnsi="Trebuchet MS" w:cstheme="minorHAnsi"/>
          <w:vertAlign w:val="subscript"/>
        </w:rPr>
        <w:t>1</w:t>
      </w:r>
      <w:r>
        <w:rPr>
          <w:rFonts w:ascii="Trebuchet MS" w:eastAsia="CMSY10" w:hAnsi="Trebuchet MS" w:cstheme="minorHAnsi"/>
        </w:rPr>
        <w:t>)</w:t>
      </w:r>
      <w:r>
        <w:rPr>
          <w:rFonts w:eastAsia="CMSY10" w:cstheme="minorHAnsi"/>
        </w:rPr>
        <w:t>α</w:t>
      </w:r>
    </w:p>
    <w:p w14:paraId="56946E99" w14:textId="25520377" w:rsidR="000E453E" w:rsidRPr="000E453E" w:rsidRDefault="000E453E" w:rsidP="00DF77D1">
      <w:pPr>
        <w:spacing w:line="480" w:lineRule="auto"/>
        <w:jc w:val="both"/>
        <w:rPr>
          <w:rFonts w:eastAsia="CMSY10" w:cstheme="minorHAnsi"/>
        </w:rPr>
      </w:pPr>
      <w:r>
        <w:rPr>
          <w:rFonts w:eastAsia="CMSY10" w:cstheme="minorHAnsi"/>
        </w:rPr>
        <w:t>ζ = ARE</w:t>
      </w:r>
      <w:r>
        <w:rPr>
          <w:rFonts w:eastAsia="CMSY10" w:cstheme="minorHAnsi"/>
          <w:vertAlign w:val="subscript"/>
        </w:rPr>
        <w:t xml:space="preserve">1 </w:t>
      </w:r>
      <w:r>
        <w:rPr>
          <w:rFonts w:eastAsia="CMSY10" w:cstheme="minorHAnsi"/>
        </w:rPr>
        <w:t xml:space="preserve">– ARE </w:t>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r>
      <w:r>
        <w:rPr>
          <w:rFonts w:eastAsia="CMSY10" w:cstheme="minorHAnsi"/>
        </w:rPr>
        <w:tab/>
        <w:t>(20)</w:t>
      </w:r>
    </w:p>
    <w:p w14:paraId="20B472A7" w14:textId="0D181663" w:rsidR="00DB18EE" w:rsidRPr="00346F40" w:rsidRDefault="00DB18EE" w:rsidP="00DF77D1">
      <w:pPr>
        <w:spacing w:line="480" w:lineRule="auto"/>
        <w:jc w:val="both"/>
        <w:rPr>
          <w:rFonts w:eastAsia="CMSY10" w:cstheme="minorHAnsi"/>
        </w:rPr>
      </w:pPr>
      <w:r>
        <w:rPr>
          <w:rFonts w:eastAsia="CMSY10" w:cstheme="minorHAnsi"/>
        </w:rPr>
        <w:t>Trial samples for each of the k trials were generated  by first assuming that the whole trial sample size, n</w:t>
      </w:r>
      <w:r>
        <w:rPr>
          <w:rFonts w:eastAsia="CMSY10" w:cstheme="minorHAnsi"/>
          <w:vertAlign w:val="subscript"/>
        </w:rPr>
        <w:t>1</w:t>
      </w:r>
      <w:r>
        <w:rPr>
          <w:rFonts w:eastAsia="CMSY10" w:cstheme="minorHAnsi"/>
        </w:rPr>
        <w:t xml:space="preserve">, was split evenly amongst the k trials so that </w:t>
      </w:r>
      <m:oMath>
        <m:f>
          <m:fPr>
            <m:ctrlPr>
              <w:rPr>
                <w:rFonts w:ascii="Cambria Math" w:eastAsia="CMSY10" w:hAnsi="Cambria Math" w:cstheme="minorHAnsi"/>
                <w:i/>
              </w:rPr>
            </m:ctrlPr>
          </m:fPr>
          <m:num>
            <m:r>
              <m:rPr>
                <m:sty m:val="p"/>
              </m:rPr>
              <w:rPr>
                <w:rFonts w:ascii="Cambria Math" w:eastAsia="CMSY10" w:hAnsi="Cambria Math" w:cstheme="minorHAnsi"/>
              </w:rPr>
              <m:t>n</m:t>
            </m:r>
            <m:r>
              <m:rPr>
                <m:sty m:val="p"/>
              </m:rPr>
              <w:rPr>
                <w:rFonts w:ascii="Cambria Math" w:eastAsia="CMSY10" w:hAnsi="Cambria Math" w:cstheme="minorHAnsi"/>
                <w:vertAlign w:val="subscript"/>
              </w:rPr>
              <m:t>1</m:t>
            </m:r>
          </m:num>
          <m:den>
            <m:r>
              <w:rPr>
                <w:rFonts w:ascii="Cambria Math" w:eastAsia="CMSY10" w:hAnsi="Cambria Math" w:cstheme="minorHAnsi"/>
              </w:rPr>
              <m:t>k</m:t>
            </m:r>
          </m:den>
        </m:f>
      </m:oMath>
      <w:r>
        <w:rPr>
          <w:rFonts w:eastAsia="CMSY10" w:cstheme="minorHAnsi"/>
        </w:rPr>
        <w:t xml:space="preserve"> participants from P</w:t>
      </w:r>
      <w:r>
        <w:rPr>
          <w:rFonts w:eastAsia="CMSY10" w:cstheme="minorHAnsi"/>
          <w:vertAlign w:val="subscript"/>
        </w:rPr>
        <w:t>1j</w:t>
      </w:r>
      <w:r>
        <w:rPr>
          <w:rFonts w:eastAsia="CMSY10" w:cstheme="minorHAnsi"/>
        </w:rPr>
        <w:t xml:space="preserve"> were selected for each trial. For each their outcome at treatment offer was obtained from equation (17). Randomisation, </w:t>
      </w:r>
      <w:proofErr w:type="spellStart"/>
      <w:r>
        <w:rPr>
          <w:rFonts w:eastAsia="CMSY10" w:cstheme="minorHAnsi"/>
        </w:rPr>
        <w:t>R~Bin</w:t>
      </w:r>
      <w:proofErr w:type="spellEnd"/>
      <w:r>
        <w:rPr>
          <w:rFonts w:eastAsia="CMSY10" w:cstheme="minorHAnsi"/>
        </w:rPr>
        <w:t>(1, 1/2 ), was generated to ensure 50:50 allocation, and their outcome at t=α was obtained using equation (19) if R=1 and equation (17) if R=0. For each participant their change score from time 0 to α was calculated, and these were aggregated to provide an estimate of effectiveness and associated standard error from each trial. A cohort sample was generated</w:t>
      </w:r>
      <w:r w:rsidR="00346F40">
        <w:rPr>
          <w:rFonts w:eastAsia="CMSY10" w:cstheme="minorHAnsi"/>
        </w:rPr>
        <w:t xml:space="preserve"> by selecting n</w:t>
      </w:r>
      <w:r w:rsidR="00346F40">
        <w:rPr>
          <w:rFonts w:eastAsia="CMSY10" w:cstheme="minorHAnsi"/>
          <w:vertAlign w:val="subscript"/>
        </w:rPr>
        <w:t>2</w:t>
      </w:r>
      <w:r w:rsidR="00346F40">
        <w:rPr>
          <w:rFonts w:eastAsia="CMSY10" w:cstheme="minorHAnsi"/>
        </w:rPr>
        <w:t xml:space="preserve"> participants from the target population, P; choosing the time points at which observations are recorded for individual </w:t>
      </w:r>
      <w:proofErr w:type="spellStart"/>
      <w:r w:rsidR="00346F40">
        <w:rPr>
          <w:rFonts w:eastAsia="CMSY10" w:cstheme="minorHAnsi"/>
        </w:rPr>
        <w:t>i</w:t>
      </w:r>
      <w:proofErr w:type="spellEnd"/>
      <w:r w:rsidR="00346F40">
        <w:rPr>
          <w:rFonts w:eastAsia="CMSY10" w:cstheme="minorHAnsi"/>
        </w:rPr>
        <w:t xml:space="preserve">, </w:t>
      </w:r>
      <w:proofErr w:type="spellStart"/>
      <w:r w:rsidR="00346F40">
        <w:rPr>
          <w:rFonts w:eastAsia="CMSY10" w:cstheme="minorHAnsi"/>
        </w:rPr>
        <w:t>t</w:t>
      </w:r>
      <w:r w:rsidR="00346F40">
        <w:rPr>
          <w:rFonts w:eastAsia="CMSY10" w:cstheme="minorHAnsi"/>
          <w:vertAlign w:val="subscript"/>
        </w:rPr>
        <w:t>sel,i</w:t>
      </w:r>
      <w:proofErr w:type="spellEnd"/>
      <w:r w:rsidR="00346F40">
        <w:rPr>
          <w:rFonts w:eastAsia="CMSY10" w:cstheme="minorHAnsi"/>
          <w:vertAlign w:val="subscript"/>
        </w:rPr>
        <w:t>,</w:t>
      </w:r>
      <w:r w:rsidR="00346F40">
        <w:rPr>
          <w:rFonts w:eastAsia="CMSY10" w:cstheme="minorHAnsi"/>
        </w:rPr>
        <w:t xml:space="preserve"> to ensure variation in location and number of measurements; generate potential outcomes at selected time points using equation (19). </w:t>
      </w:r>
    </w:p>
    <w:p w14:paraId="39D205E2" w14:textId="65BA811D" w:rsidR="00FA27F8" w:rsidRDefault="00346F40" w:rsidP="00DF77D1">
      <w:pPr>
        <w:spacing w:line="480" w:lineRule="auto"/>
        <w:jc w:val="both"/>
        <w:rPr>
          <w:bCs/>
        </w:rPr>
      </w:pPr>
      <w:r>
        <w:rPr>
          <w:bCs/>
        </w:rPr>
        <w:lastRenderedPageBreak/>
        <w:t>Input values investigated for each of the parameters are summarised in Table 1. Parameters of interest (size of datasets, projection and generalisability biases, and proportion trial eligible</w:t>
      </w:r>
      <w:r w:rsidR="002053B5">
        <w:rPr>
          <w:bCs/>
        </w:rPr>
        <w:t xml:space="preserve"> </w:t>
      </w:r>
      <w:r w:rsidR="002053B5">
        <w:rPr>
          <w:bCs/>
        </w:rPr>
        <w:fldChar w:fldCharType="begin"/>
      </w:r>
      <w:r w:rsidR="00F209E7">
        <w:rPr>
          <w:bCs/>
        </w:rPr>
        <w:instrText xml:space="preserve"> ADDIN EN.CITE &lt;EndNote&gt;&lt;Cite&gt;&lt;Author&gt;Kennedy-Martin&lt;/Author&gt;&lt;Year&gt;2015&lt;/Year&gt;&lt;RecNum&gt;31&lt;/RecNum&gt;&lt;DisplayText&gt;(27, 28)&lt;/DisplayText&gt;&lt;record&gt;&lt;rec-number&gt;31&lt;/rec-number&gt;&lt;foreign-keys&gt;&lt;key app="EN" db-id="p5t2axawez5dr9efspu55tfv5tvdrewdrtxf" timestamp="1573810661"&gt;31&lt;/key&gt;&lt;/foreign-keys&gt;&lt;ref-type name="Journal Article"&gt;17&lt;/ref-type&gt;&lt;contributors&gt;&lt;authors&gt;&lt;author&gt;Kennedy-Martin, Tessa&lt;/author&gt;&lt;author&gt;Curtis, Sarah&lt;/author&gt;&lt;author&gt;Faries, Douglas&lt;/author&gt;&lt;author&gt;Robinson, Susan&lt;/author&gt;&lt;author&gt;Johnston, Joseph&lt;/author&gt;&lt;/authors&gt;&lt;/contributors&gt;&lt;titles&gt;&lt;title&gt;A literature review on the representativeness of randomized controlled trial samples and implications for the external validity of trial results&lt;/title&gt;&lt;secondary-title&gt;Trials&lt;/secondary-title&gt;&lt;/titles&gt;&lt;periodical&gt;&lt;full-title&gt;Trials&lt;/full-title&gt;&lt;/periodical&gt;&lt;pages&gt;495&lt;/pages&gt;&lt;volume&gt;16&lt;/volume&gt;&lt;number&gt;1&lt;/number&gt;&lt;dates&gt;&lt;year&gt;2015&lt;/year&gt;&lt;/dates&gt;&lt;isbn&gt;1745-6215&lt;/isbn&gt;&lt;urls&gt;&lt;/urls&gt;&lt;/record&gt;&lt;/Cite&gt;&lt;Cite&gt;&lt;Author&gt;Zimmerman&lt;/Author&gt;&lt;Year&gt;2004&lt;/Year&gt;&lt;RecNum&gt;39&lt;/RecNum&gt;&lt;record&gt;&lt;rec-number&gt;39&lt;/rec-number&gt;&lt;foreign-keys&gt;&lt;key app="EN" db-id="p5t2axawez5dr9efspu55tfv5tvdrewdrtxf" timestamp="1573810846"&gt;39&lt;/key&gt;&lt;/foreign-keys&gt;&lt;ref-type name="Journal Article"&gt;17&lt;/ref-type&gt;&lt;contributors&gt;&lt;authors&gt;&lt;author&gt;Zimmerman, Mark&lt;/author&gt;&lt;author&gt;Chelminski, Iwona&lt;/author&gt;&lt;author&gt;Posternak, Michael A&lt;/author&gt;&lt;/authors&gt;&lt;/contributors&gt;&lt;titles&gt;&lt;title&gt;Exclusion criteria used in antidepressant efficacy trials: consistency across studies and representativeness of samples included&lt;/title&gt;&lt;secondary-title&gt;The Journal of nervous and mental disease&lt;/secondary-title&gt;&lt;/titles&gt;&lt;periodical&gt;&lt;full-title&gt;The Journal of nervous and mental disease&lt;/full-title&gt;&lt;/periodical&gt;&lt;pages&gt;87-94&lt;/pages&gt;&lt;volume&gt;192&lt;/volume&gt;&lt;number&gt;2&lt;/number&gt;&lt;dates&gt;&lt;year&gt;2004&lt;/year&gt;&lt;/dates&gt;&lt;isbn&gt;0022-3018&lt;/isbn&gt;&lt;urls&gt;&lt;/urls&gt;&lt;/record&gt;&lt;/Cite&gt;&lt;/EndNote&gt;</w:instrText>
      </w:r>
      <w:r w:rsidR="002053B5">
        <w:rPr>
          <w:bCs/>
        </w:rPr>
        <w:fldChar w:fldCharType="separate"/>
      </w:r>
      <w:r w:rsidR="00F209E7">
        <w:rPr>
          <w:bCs/>
          <w:noProof/>
        </w:rPr>
        <w:t>(27, 28)</w:t>
      </w:r>
      <w:r w:rsidR="002053B5">
        <w:rPr>
          <w:bCs/>
        </w:rPr>
        <w:fldChar w:fldCharType="end"/>
      </w:r>
      <w:r>
        <w:rPr>
          <w:bCs/>
        </w:rPr>
        <w:t xml:space="preserve">) were investigated with the combinations considered determined using a Latin Squares Design </w:t>
      </w:r>
      <w:r w:rsidR="002053B5">
        <w:rPr>
          <w:bCs/>
        </w:rPr>
        <w:fldChar w:fldCharType="begin"/>
      </w:r>
      <w:r w:rsidR="00F209E7">
        <w:rPr>
          <w:bCs/>
        </w:rPr>
        <w:instrText xml:space="preserve"> ADDIN EN.CITE &lt;EndNote&gt;&lt;Cite&gt;&lt;Author&gt;Wallis&lt;/Author&gt;&lt;Year&gt;2016&lt;/Year&gt;&lt;RecNum&gt;37&lt;/RecNum&gt;&lt;DisplayText&gt;(29)&lt;/DisplayText&gt;&lt;record&gt;&lt;rec-number&gt;37&lt;/rec-number&gt;&lt;foreign-keys&gt;&lt;key app="EN" db-id="p5t2axawez5dr9efspu55tfv5tvdrewdrtxf" timestamp="1573810795"&gt;37&lt;/key&gt;&lt;/foreign-keys&gt;&lt;ref-type name="Book"&gt;6&lt;/ref-type&gt;&lt;contributors&gt;&lt;authors&gt;&lt;author&gt;Wallis, Walter D&lt;/author&gt;&lt;author&gt;George, John C&lt;/author&gt;&lt;/authors&gt;&lt;/contributors&gt;&lt;titles&gt;&lt;title&gt;Introduction to combinatorics&lt;/title&gt;&lt;/titles&gt;&lt;dates&gt;&lt;year&gt;2016&lt;/year&gt;&lt;/dates&gt;&lt;publisher&gt;Chapman and Hall/CRC&lt;/publisher&gt;&lt;isbn&gt;1315366894&lt;/isbn&gt;&lt;urls&gt;&lt;/urls&gt;&lt;/record&gt;&lt;/Cite&gt;&lt;/EndNote&gt;</w:instrText>
      </w:r>
      <w:r w:rsidR="002053B5">
        <w:rPr>
          <w:bCs/>
        </w:rPr>
        <w:fldChar w:fldCharType="separate"/>
      </w:r>
      <w:r w:rsidR="00F209E7">
        <w:rPr>
          <w:bCs/>
          <w:noProof/>
        </w:rPr>
        <w:t>(29)</w:t>
      </w:r>
      <w:r w:rsidR="002053B5">
        <w:rPr>
          <w:bCs/>
        </w:rPr>
        <w:fldChar w:fldCharType="end"/>
      </w:r>
      <w:r w:rsidR="004A0870">
        <w:rPr>
          <w:bCs/>
        </w:rPr>
        <w:t xml:space="preserve"> in order to reduce the number of parameter combinations considered</w:t>
      </w:r>
      <w:r>
        <w:rPr>
          <w:bCs/>
        </w:rPr>
        <w:t xml:space="preserve">. </w:t>
      </w:r>
      <w:bookmarkStart w:id="8" w:name="_Hlk106635232"/>
      <w:r w:rsidR="008E4FA6">
        <w:rPr>
          <w:bCs/>
        </w:rPr>
        <w:t xml:space="preserve">Situations where generalisability bias, projection bias, and both generalisability and projection bias simultaneously were present in the data were considered. </w:t>
      </w:r>
      <w:bookmarkEnd w:id="8"/>
      <w:r>
        <w:rPr>
          <w:bCs/>
        </w:rPr>
        <w:t>Other parameters were set to reasonable values</w:t>
      </w:r>
      <w:r w:rsidR="004A0870">
        <w:rPr>
          <w:bCs/>
        </w:rPr>
        <w:t>, based on example datasets</w:t>
      </w:r>
      <w:r>
        <w:rPr>
          <w:bCs/>
        </w:rPr>
        <w:t>.</w:t>
      </w:r>
    </w:p>
    <w:p w14:paraId="5383C77A" w14:textId="28830379" w:rsidR="00346F40" w:rsidRDefault="00346F40" w:rsidP="00DF77D1">
      <w:pPr>
        <w:spacing w:line="480" w:lineRule="auto"/>
        <w:jc w:val="both"/>
        <w:rPr>
          <w:bCs/>
        </w:rPr>
      </w:pPr>
      <w:r>
        <w:rPr>
          <w:bCs/>
        </w:rPr>
        <w:t>Three competing estimators were calculated for each simulated dataset: (</w:t>
      </w:r>
      <w:proofErr w:type="spellStart"/>
      <w:r>
        <w:rPr>
          <w:bCs/>
        </w:rPr>
        <w:t>i</w:t>
      </w:r>
      <w:proofErr w:type="spellEnd"/>
      <w:r>
        <w:rPr>
          <w:bCs/>
        </w:rPr>
        <w:t xml:space="preserve">) trials only estimator; (ii) cohort only estimator; </w:t>
      </w:r>
      <w:proofErr w:type="gramStart"/>
      <w:r>
        <w:rPr>
          <w:bCs/>
        </w:rPr>
        <w:t>and,</w:t>
      </w:r>
      <w:proofErr w:type="gramEnd"/>
      <w:r>
        <w:rPr>
          <w:bCs/>
        </w:rPr>
        <w:t xml:space="preserve"> (iii) combined estimator. Estimators were compared in terms of absolute bias, standard error </w:t>
      </w:r>
      <w:r w:rsidR="000E453E">
        <w:rPr>
          <w:bCs/>
        </w:rPr>
        <w:t xml:space="preserve">(SE) </w:t>
      </w:r>
      <w:r>
        <w:rPr>
          <w:bCs/>
        </w:rPr>
        <w:t>and mean squared error</w:t>
      </w:r>
      <w:r w:rsidR="000E453E">
        <w:rPr>
          <w:bCs/>
        </w:rPr>
        <w:t xml:space="preserve"> (MSE)</w:t>
      </w:r>
      <w:r>
        <w:rPr>
          <w:bCs/>
        </w:rPr>
        <w:t>.</w:t>
      </w:r>
      <w:r w:rsidR="00B628E9">
        <w:rPr>
          <w:bCs/>
        </w:rPr>
        <w:t xml:space="preserve"> 500 sets of data were generated for each </w:t>
      </w:r>
      <w:r w:rsidR="005E71E3">
        <w:rPr>
          <w:bCs/>
        </w:rPr>
        <w:t xml:space="preserve">combination </w:t>
      </w:r>
      <w:r w:rsidR="00B628E9">
        <w:rPr>
          <w:bCs/>
        </w:rPr>
        <w:t>of input values.</w:t>
      </w:r>
    </w:p>
    <w:p w14:paraId="1B82F7AF" w14:textId="3E5A9F0E" w:rsidR="00346F40" w:rsidRDefault="00346F40" w:rsidP="00DF77D1">
      <w:pPr>
        <w:spacing w:line="480" w:lineRule="auto"/>
        <w:rPr>
          <w:bCs/>
        </w:rPr>
      </w:pPr>
      <w:r w:rsidRPr="00B628E9">
        <w:rPr>
          <w:b/>
          <w:bCs/>
        </w:rPr>
        <w:t>Table 1</w:t>
      </w:r>
      <w:r>
        <w:rPr>
          <w:bCs/>
        </w:rPr>
        <w:t>: Input parameters used for simulation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245"/>
        <w:gridCol w:w="2500"/>
      </w:tblGrid>
      <w:tr w:rsidR="00FA27F8" w14:paraId="30111761" w14:textId="77777777" w:rsidTr="00E914F7">
        <w:tc>
          <w:tcPr>
            <w:tcW w:w="1271" w:type="dxa"/>
            <w:tcBorders>
              <w:bottom w:val="single" w:sz="4" w:space="0" w:color="auto"/>
            </w:tcBorders>
            <w:shd w:val="clear" w:color="auto" w:fill="BFBFBF" w:themeFill="background1" w:themeFillShade="BF"/>
          </w:tcPr>
          <w:p w14:paraId="7E4A9C3E" w14:textId="3FBBFD2F" w:rsidR="00FA27F8" w:rsidRPr="00B628E9" w:rsidRDefault="00FA27F8" w:rsidP="00DF77D1">
            <w:pPr>
              <w:spacing w:line="480" w:lineRule="auto"/>
              <w:rPr>
                <w:b/>
                <w:bCs/>
              </w:rPr>
            </w:pPr>
            <w:r w:rsidRPr="00B628E9">
              <w:rPr>
                <w:b/>
                <w:bCs/>
              </w:rPr>
              <w:t>Parameter</w:t>
            </w:r>
          </w:p>
        </w:tc>
        <w:tc>
          <w:tcPr>
            <w:tcW w:w="5245" w:type="dxa"/>
            <w:tcBorders>
              <w:bottom w:val="single" w:sz="4" w:space="0" w:color="auto"/>
            </w:tcBorders>
            <w:shd w:val="clear" w:color="auto" w:fill="BFBFBF" w:themeFill="background1" w:themeFillShade="BF"/>
          </w:tcPr>
          <w:p w14:paraId="0F58F395" w14:textId="48BCFA53" w:rsidR="00FA27F8" w:rsidRPr="00B628E9" w:rsidRDefault="00FA27F8" w:rsidP="00DF77D1">
            <w:pPr>
              <w:spacing w:line="480" w:lineRule="auto"/>
              <w:rPr>
                <w:b/>
                <w:bCs/>
              </w:rPr>
            </w:pPr>
            <w:r w:rsidRPr="00B628E9">
              <w:rPr>
                <w:b/>
                <w:bCs/>
              </w:rPr>
              <w:t>Description</w:t>
            </w:r>
          </w:p>
        </w:tc>
        <w:tc>
          <w:tcPr>
            <w:tcW w:w="2500" w:type="dxa"/>
            <w:tcBorders>
              <w:bottom w:val="single" w:sz="4" w:space="0" w:color="auto"/>
            </w:tcBorders>
            <w:shd w:val="clear" w:color="auto" w:fill="BFBFBF" w:themeFill="background1" w:themeFillShade="BF"/>
          </w:tcPr>
          <w:p w14:paraId="628554BF" w14:textId="71894446" w:rsidR="00FA27F8" w:rsidRPr="00B628E9" w:rsidRDefault="00FA27F8" w:rsidP="00DF77D1">
            <w:pPr>
              <w:spacing w:line="480" w:lineRule="auto"/>
              <w:rPr>
                <w:b/>
                <w:bCs/>
              </w:rPr>
            </w:pPr>
            <w:r w:rsidRPr="00B628E9">
              <w:rPr>
                <w:b/>
                <w:bCs/>
              </w:rPr>
              <w:t>Values</w:t>
            </w:r>
          </w:p>
        </w:tc>
      </w:tr>
      <w:tr w:rsidR="00FA27F8" w14:paraId="719AFCD3" w14:textId="77777777" w:rsidTr="00E914F7">
        <w:tc>
          <w:tcPr>
            <w:tcW w:w="1271" w:type="dxa"/>
            <w:tcBorders>
              <w:top w:val="single" w:sz="4" w:space="0" w:color="auto"/>
              <w:bottom w:val="nil"/>
            </w:tcBorders>
          </w:tcPr>
          <w:p w14:paraId="1ABA9E9C" w14:textId="24E5C03E" w:rsidR="00FA27F8" w:rsidRPr="00FA27F8" w:rsidRDefault="00FA27F8" w:rsidP="00DF77D1">
            <w:pPr>
              <w:spacing w:line="480" w:lineRule="auto"/>
              <w:rPr>
                <w:bCs/>
              </w:rPr>
            </w:pPr>
            <w:r>
              <w:rPr>
                <w:bCs/>
              </w:rPr>
              <w:t>n</w:t>
            </w:r>
            <w:r>
              <w:rPr>
                <w:bCs/>
                <w:vertAlign w:val="subscript"/>
              </w:rPr>
              <w:t>1</w:t>
            </w:r>
          </w:p>
        </w:tc>
        <w:tc>
          <w:tcPr>
            <w:tcW w:w="5245" w:type="dxa"/>
            <w:tcBorders>
              <w:top w:val="single" w:sz="4" w:space="0" w:color="auto"/>
              <w:bottom w:val="nil"/>
            </w:tcBorders>
          </w:tcPr>
          <w:p w14:paraId="04638D42" w14:textId="3FE8A1AA" w:rsidR="00FA27F8" w:rsidRDefault="00FA27F8" w:rsidP="00DF77D1">
            <w:pPr>
              <w:spacing w:line="480" w:lineRule="auto"/>
              <w:rPr>
                <w:bCs/>
              </w:rPr>
            </w:pPr>
            <w:r>
              <w:rPr>
                <w:bCs/>
              </w:rPr>
              <w:t>Combined size of all trials</w:t>
            </w:r>
          </w:p>
        </w:tc>
        <w:tc>
          <w:tcPr>
            <w:tcW w:w="2500" w:type="dxa"/>
            <w:tcBorders>
              <w:top w:val="single" w:sz="4" w:space="0" w:color="auto"/>
              <w:bottom w:val="nil"/>
            </w:tcBorders>
          </w:tcPr>
          <w:p w14:paraId="7A2ED47F" w14:textId="425B44DB" w:rsidR="00FA27F8" w:rsidRDefault="00FA27F8" w:rsidP="00DF77D1">
            <w:pPr>
              <w:spacing w:line="480" w:lineRule="auto"/>
              <w:rPr>
                <w:bCs/>
              </w:rPr>
            </w:pPr>
            <w:r>
              <w:rPr>
                <w:bCs/>
              </w:rPr>
              <w:t>1000, 3000, 10000</w:t>
            </w:r>
          </w:p>
        </w:tc>
      </w:tr>
      <w:tr w:rsidR="00FA27F8" w14:paraId="3278A73C" w14:textId="77777777" w:rsidTr="00E914F7">
        <w:tc>
          <w:tcPr>
            <w:tcW w:w="1271" w:type="dxa"/>
            <w:tcBorders>
              <w:top w:val="nil"/>
              <w:bottom w:val="nil"/>
            </w:tcBorders>
          </w:tcPr>
          <w:p w14:paraId="61E2320C" w14:textId="426D4C97" w:rsidR="00FA27F8" w:rsidRDefault="00FA27F8" w:rsidP="00DF77D1">
            <w:pPr>
              <w:spacing w:line="480" w:lineRule="auto"/>
              <w:rPr>
                <w:bCs/>
              </w:rPr>
            </w:pPr>
            <w:r>
              <w:rPr>
                <w:bCs/>
              </w:rPr>
              <w:t>k</w:t>
            </w:r>
          </w:p>
        </w:tc>
        <w:tc>
          <w:tcPr>
            <w:tcW w:w="5245" w:type="dxa"/>
            <w:tcBorders>
              <w:top w:val="nil"/>
              <w:bottom w:val="nil"/>
            </w:tcBorders>
          </w:tcPr>
          <w:p w14:paraId="3DA6D8E4" w14:textId="051B6A88" w:rsidR="00FA27F8" w:rsidRDefault="00346F40" w:rsidP="00DF77D1">
            <w:pPr>
              <w:spacing w:line="480" w:lineRule="auto"/>
              <w:rPr>
                <w:bCs/>
              </w:rPr>
            </w:pPr>
            <w:r>
              <w:rPr>
                <w:bCs/>
              </w:rPr>
              <w:t>N</w:t>
            </w:r>
            <w:r w:rsidR="00FA27F8">
              <w:rPr>
                <w:bCs/>
              </w:rPr>
              <w:t>umber of trial</w:t>
            </w:r>
            <w:r>
              <w:rPr>
                <w:bCs/>
              </w:rPr>
              <w:t>s</w:t>
            </w:r>
          </w:p>
        </w:tc>
        <w:tc>
          <w:tcPr>
            <w:tcW w:w="2500" w:type="dxa"/>
            <w:tcBorders>
              <w:top w:val="nil"/>
              <w:bottom w:val="nil"/>
            </w:tcBorders>
          </w:tcPr>
          <w:p w14:paraId="44DB7733" w14:textId="0B24947E" w:rsidR="00FA27F8" w:rsidRDefault="00FA27F8" w:rsidP="00DF77D1">
            <w:pPr>
              <w:spacing w:line="480" w:lineRule="auto"/>
              <w:rPr>
                <w:bCs/>
              </w:rPr>
            </w:pPr>
            <w:r>
              <w:rPr>
                <w:bCs/>
              </w:rPr>
              <w:t>4, 12, 40</w:t>
            </w:r>
          </w:p>
        </w:tc>
      </w:tr>
      <w:tr w:rsidR="00FA27F8" w14:paraId="4E2CDF4B" w14:textId="77777777" w:rsidTr="00E914F7">
        <w:tc>
          <w:tcPr>
            <w:tcW w:w="1271" w:type="dxa"/>
            <w:tcBorders>
              <w:top w:val="nil"/>
            </w:tcBorders>
          </w:tcPr>
          <w:p w14:paraId="59B47C1E" w14:textId="53649584" w:rsidR="00FA27F8" w:rsidRPr="00FA27F8" w:rsidRDefault="00FA27F8" w:rsidP="00DF77D1">
            <w:pPr>
              <w:spacing w:line="480" w:lineRule="auto"/>
              <w:rPr>
                <w:bCs/>
              </w:rPr>
            </w:pPr>
            <w:r>
              <w:rPr>
                <w:bCs/>
              </w:rPr>
              <w:t>n</w:t>
            </w:r>
            <w:r>
              <w:rPr>
                <w:bCs/>
                <w:vertAlign w:val="subscript"/>
              </w:rPr>
              <w:t>2</w:t>
            </w:r>
          </w:p>
        </w:tc>
        <w:tc>
          <w:tcPr>
            <w:tcW w:w="5245" w:type="dxa"/>
            <w:tcBorders>
              <w:top w:val="nil"/>
            </w:tcBorders>
          </w:tcPr>
          <w:p w14:paraId="7C0A6422" w14:textId="61732052" w:rsidR="00FA27F8" w:rsidRDefault="00FA27F8" w:rsidP="00DF77D1">
            <w:pPr>
              <w:spacing w:line="480" w:lineRule="auto"/>
              <w:rPr>
                <w:bCs/>
              </w:rPr>
            </w:pPr>
            <w:r>
              <w:rPr>
                <w:bCs/>
              </w:rPr>
              <w:t>Size of cohort dataset</w:t>
            </w:r>
          </w:p>
        </w:tc>
        <w:tc>
          <w:tcPr>
            <w:tcW w:w="2500" w:type="dxa"/>
            <w:tcBorders>
              <w:top w:val="nil"/>
            </w:tcBorders>
          </w:tcPr>
          <w:p w14:paraId="35B0795E" w14:textId="72DC9BF5" w:rsidR="00FA27F8" w:rsidRDefault="00FA27F8" w:rsidP="00DF77D1">
            <w:pPr>
              <w:spacing w:line="480" w:lineRule="auto"/>
              <w:rPr>
                <w:bCs/>
              </w:rPr>
            </w:pPr>
            <w:r>
              <w:rPr>
                <w:bCs/>
              </w:rPr>
              <w:t>1500, 3000, 6000</w:t>
            </w:r>
          </w:p>
        </w:tc>
      </w:tr>
      <w:tr w:rsidR="00FA27F8" w14:paraId="617D1C34" w14:textId="77777777" w:rsidTr="00E914F7">
        <w:tc>
          <w:tcPr>
            <w:tcW w:w="1271" w:type="dxa"/>
          </w:tcPr>
          <w:p w14:paraId="2A7F196A" w14:textId="5065580B" w:rsidR="00FA27F8" w:rsidRPr="00FA27F8" w:rsidRDefault="00FA27F8" w:rsidP="00DF77D1">
            <w:pPr>
              <w:spacing w:line="480" w:lineRule="auto"/>
              <w:rPr>
                <w:bCs/>
              </w:rPr>
            </w:pPr>
            <w:r>
              <w:rPr>
                <w:bCs/>
              </w:rPr>
              <w:t>ARE</w:t>
            </w:r>
          </w:p>
        </w:tc>
        <w:tc>
          <w:tcPr>
            <w:tcW w:w="5245" w:type="dxa"/>
          </w:tcPr>
          <w:p w14:paraId="68FEB0D3" w14:textId="47BF87E6" w:rsidR="00FA27F8" w:rsidRDefault="00FA27F8" w:rsidP="00DF77D1">
            <w:pPr>
              <w:spacing w:line="480" w:lineRule="auto"/>
              <w:rPr>
                <w:bCs/>
              </w:rPr>
            </w:pPr>
            <w:r>
              <w:rPr>
                <w:bCs/>
              </w:rPr>
              <w:t xml:space="preserve">Average effect of treatment </w:t>
            </w:r>
            <w:proofErr w:type="gramStart"/>
            <w:r>
              <w:rPr>
                <w:bCs/>
              </w:rPr>
              <w:t>offer</w:t>
            </w:r>
            <w:proofErr w:type="gramEnd"/>
            <w:r>
              <w:rPr>
                <w:bCs/>
              </w:rPr>
              <w:t xml:space="preserve"> in P</w:t>
            </w:r>
          </w:p>
        </w:tc>
        <w:tc>
          <w:tcPr>
            <w:tcW w:w="2500" w:type="dxa"/>
          </w:tcPr>
          <w:p w14:paraId="0DD28D22" w14:textId="19CD5EDE" w:rsidR="00FA27F8" w:rsidRDefault="00FA27F8" w:rsidP="00DF77D1">
            <w:pPr>
              <w:spacing w:line="480" w:lineRule="auto"/>
              <w:rPr>
                <w:bCs/>
              </w:rPr>
            </w:pPr>
            <w:r>
              <w:rPr>
                <w:bCs/>
              </w:rPr>
              <w:t>1</w:t>
            </w:r>
          </w:p>
        </w:tc>
      </w:tr>
      <w:tr w:rsidR="00FA27F8" w14:paraId="7CDD06E6" w14:textId="77777777" w:rsidTr="00E914F7">
        <w:tc>
          <w:tcPr>
            <w:tcW w:w="1271" w:type="dxa"/>
          </w:tcPr>
          <w:p w14:paraId="17AFE257" w14:textId="630AE312" w:rsidR="00FA27F8" w:rsidRPr="00FA27F8" w:rsidRDefault="00FA27F8" w:rsidP="00DF77D1">
            <w:pPr>
              <w:spacing w:line="480" w:lineRule="auto"/>
              <w:rPr>
                <w:bCs/>
              </w:rPr>
            </w:pPr>
            <w:r>
              <w:rPr>
                <w:bCs/>
              </w:rPr>
              <w:t>ARE</w:t>
            </w:r>
            <w:r>
              <w:rPr>
                <w:bCs/>
                <w:vertAlign w:val="subscript"/>
              </w:rPr>
              <w:t>1</w:t>
            </w:r>
          </w:p>
        </w:tc>
        <w:tc>
          <w:tcPr>
            <w:tcW w:w="5245" w:type="dxa"/>
          </w:tcPr>
          <w:p w14:paraId="46BD3ADB" w14:textId="77777777" w:rsidR="00FA27F8" w:rsidRDefault="00FA27F8" w:rsidP="00DF77D1">
            <w:pPr>
              <w:spacing w:line="480" w:lineRule="auto"/>
              <w:rPr>
                <w:bCs/>
                <w:vertAlign w:val="subscript"/>
              </w:rPr>
            </w:pPr>
            <w:r>
              <w:rPr>
                <w:bCs/>
              </w:rPr>
              <w:t xml:space="preserve">Average effect of treatment </w:t>
            </w:r>
            <w:proofErr w:type="gramStart"/>
            <w:r>
              <w:rPr>
                <w:bCs/>
              </w:rPr>
              <w:t>offer</w:t>
            </w:r>
            <w:proofErr w:type="gramEnd"/>
            <w:r>
              <w:rPr>
                <w:bCs/>
              </w:rPr>
              <w:t xml:space="preserve"> in P</w:t>
            </w:r>
            <w:r>
              <w:rPr>
                <w:bCs/>
                <w:vertAlign w:val="subscript"/>
              </w:rPr>
              <w:t>1</w:t>
            </w:r>
          </w:p>
          <w:p w14:paraId="518AE937" w14:textId="1C5104FB" w:rsidR="000E453E" w:rsidRPr="000E453E" w:rsidRDefault="000E453E" w:rsidP="00DF77D1">
            <w:pPr>
              <w:spacing w:line="480" w:lineRule="auto"/>
              <w:rPr>
                <w:bCs/>
                <w:i/>
              </w:rPr>
            </w:pPr>
            <w:r>
              <w:rPr>
                <w:bCs/>
                <w:i/>
              </w:rPr>
              <w:t xml:space="preserve">Note: values chosen to investigate </w:t>
            </w:r>
            <w:r>
              <w:rPr>
                <w:rFonts w:cstheme="minorHAnsi"/>
                <w:bCs/>
                <w:i/>
              </w:rPr>
              <w:t>ζ</w:t>
            </w:r>
            <w:r>
              <w:rPr>
                <w:bCs/>
                <w:i/>
              </w:rPr>
              <w:t xml:space="preserve"> = -0.5, 0, 0.5</w:t>
            </w:r>
          </w:p>
        </w:tc>
        <w:tc>
          <w:tcPr>
            <w:tcW w:w="2500" w:type="dxa"/>
          </w:tcPr>
          <w:p w14:paraId="14864EDE" w14:textId="77777777" w:rsidR="00FA27F8" w:rsidRDefault="00FA27F8" w:rsidP="00DF77D1">
            <w:pPr>
              <w:spacing w:line="480" w:lineRule="auto"/>
              <w:rPr>
                <w:bCs/>
              </w:rPr>
            </w:pPr>
            <w:r>
              <w:rPr>
                <w:bCs/>
              </w:rPr>
              <w:t>0.5, 1, 1.5</w:t>
            </w:r>
          </w:p>
          <w:p w14:paraId="5921B301" w14:textId="565BA2ED" w:rsidR="000E453E" w:rsidRDefault="000E453E" w:rsidP="00DF77D1">
            <w:pPr>
              <w:spacing w:line="480" w:lineRule="auto"/>
              <w:rPr>
                <w:bCs/>
              </w:rPr>
            </w:pPr>
          </w:p>
        </w:tc>
      </w:tr>
      <w:tr w:rsidR="00FA27F8" w14:paraId="21369275" w14:textId="77777777" w:rsidTr="00E914F7">
        <w:tc>
          <w:tcPr>
            <w:tcW w:w="1271" w:type="dxa"/>
          </w:tcPr>
          <w:p w14:paraId="465EA814" w14:textId="11FB932F" w:rsidR="00FA27F8" w:rsidRDefault="00FA27F8" w:rsidP="00DF77D1">
            <w:pPr>
              <w:spacing w:line="480" w:lineRule="auto"/>
              <w:rPr>
                <w:bCs/>
              </w:rPr>
            </w:pPr>
            <w:r>
              <w:rPr>
                <w:rFonts w:cstheme="minorHAnsi"/>
                <w:bCs/>
              </w:rPr>
              <w:t>α</w:t>
            </w:r>
          </w:p>
        </w:tc>
        <w:tc>
          <w:tcPr>
            <w:tcW w:w="5245" w:type="dxa"/>
          </w:tcPr>
          <w:p w14:paraId="3862F14A" w14:textId="48287A13" w:rsidR="00FA27F8" w:rsidRDefault="00FA27F8" w:rsidP="00DF77D1">
            <w:pPr>
              <w:spacing w:line="480" w:lineRule="auto"/>
              <w:rPr>
                <w:bCs/>
              </w:rPr>
            </w:pPr>
            <w:r>
              <w:rPr>
                <w:bCs/>
              </w:rPr>
              <w:t>Time treatment effect measured at (years)</w:t>
            </w:r>
          </w:p>
        </w:tc>
        <w:tc>
          <w:tcPr>
            <w:tcW w:w="2500" w:type="dxa"/>
          </w:tcPr>
          <w:p w14:paraId="46CF7E8C" w14:textId="1C52AA91" w:rsidR="00FA27F8" w:rsidRDefault="00FA27F8" w:rsidP="00DF77D1">
            <w:pPr>
              <w:spacing w:line="480" w:lineRule="auto"/>
              <w:rPr>
                <w:bCs/>
              </w:rPr>
            </w:pPr>
            <w:r>
              <w:rPr>
                <w:bCs/>
              </w:rPr>
              <w:t>0.25, 0.5, 1</w:t>
            </w:r>
          </w:p>
        </w:tc>
      </w:tr>
      <w:tr w:rsidR="00FA27F8" w14:paraId="54EA153E" w14:textId="77777777" w:rsidTr="00E914F7">
        <w:tc>
          <w:tcPr>
            <w:tcW w:w="1271" w:type="dxa"/>
          </w:tcPr>
          <w:p w14:paraId="459D64ED" w14:textId="2A663C38" w:rsidR="00FA27F8" w:rsidRDefault="00FA27F8" w:rsidP="00DF77D1">
            <w:pPr>
              <w:spacing w:line="480" w:lineRule="auto"/>
              <w:rPr>
                <w:bCs/>
              </w:rPr>
            </w:pPr>
            <w:r>
              <w:rPr>
                <w:rFonts w:ascii="Trebuchet MS" w:hAnsi="Trebuchet MS"/>
                <w:bCs/>
              </w:rPr>
              <w:t>π</w:t>
            </w:r>
          </w:p>
        </w:tc>
        <w:tc>
          <w:tcPr>
            <w:tcW w:w="5245" w:type="dxa"/>
          </w:tcPr>
          <w:p w14:paraId="4235AA72" w14:textId="16ABE0D9" w:rsidR="00FA27F8" w:rsidRDefault="00EA4C95" w:rsidP="00DF77D1">
            <w:pPr>
              <w:spacing w:line="480" w:lineRule="auto"/>
              <w:rPr>
                <w:bCs/>
              </w:rPr>
            </w:pPr>
            <w:r>
              <w:rPr>
                <w:bCs/>
              </w:rPr>
              <w:t>Proportion of target population trial eligible</w:t>
            </w:r>
          </w:p>
        </w:tc>
        <w:tc>
          <w:tcPr>
            <w:tcW w:w="2500" w:type="dxa"/>
          </w:tcPr>
          <w:p w14:paraId="1FD8A2CB" w14:textId="53DB0AB7" w:rsidR="00FA27F8" w:rsidRDefault="00EA4C95" w:rsidP="00DF77D1">
            <w:pPr>
              <w:spacing w:line="480" w:lineRule="auto"/>
              <w:rPr>
                <w:bCs/>
              </w:rPr>
            </w:pPr>
            <w:r>
              <w:rPr>
                <w:bCs/>
              </w:rPr>
              <w:t>0.5, 0.7, 0.9</w:t>
            </w:r>
          </w:p>
        </w:tc>
      </w:tr>
      <w:tr w:rsidR="00EA4C95" w14:paraId="7B841171" w14:textId="77777777" w:rsidTr="00E914F7">
        <w:tc>
          <w:tcPr>
            <w:tcW w:w="1271" w:type="dxa"/>
          </w:tcPr>
          <w:p w14:paraId="3FFB715D" w14:textId="458C8D0C" w:rsidR="00EA4C95" w:rsidRPr="00346F40" w:rsidRDefault="00346F40" w:rsidP="00DF77D1">
            <w:pPr>
              <w:spacing w:line="480" w:lineRule="auto"/>
              <w:rPr>
                <w:rFonts w:ascii="Trebuchet MS" w:hAnsi="Trebuchet MS"/>
                <w:bCs/>
              </w:rPr>
            </w:pPr>
            <w:r>
              <w:rPr>
                <w:rFonts w:ascii="Trebuchet MS" w:hAnsi="Trebuchet MS"/>
                <w:bCs/>
              </w:rPr>
              <w:t>Γ</w:t>
            </w:r>
            <w:r>
              <w:rPr>
                <w:rFonts w:ascii="Trebuchet MS" w:hAnsi="Trebuchet MS"/>
                <w:bCs/>
                <w:vertAlign w:val="subscript"/>
              </w:rPr>
              <w:t>0</w:t>
            </w:r>
          </w:p>
        </w:tc>
        <w:tc>
          <w:tcPr>
            <w:tcW w:w="5245" w:type="dxa"/>
          </w:tcPr>
          <w:p w14:paraId="2C38D3F7" w14:textId="35168525" w:rsidR="00EA4C95" w:rsidRDefault="00346F40" w:rsidP="00DF77D1">
            <w:pPr>
              <w:spacing w:line="480" w:lineRule="auto"/>
              <w:rPr>
                <w:bCs/>
              </w:rPr>
            </w:pPr>
            <w:r>
              <w:rPr>
                <w:bCs/>
              </w:rPr>
              <w:t>Mean intercept in P</w:t>
            </w:r>
          </w:p>
        </w:tc>
        <w:tc>
          <w:tcPr>
            <w:tcW w:w="2500" w:type="dxa"/>
          </w:tcPr>
          <w:p w14:paraId="1B287E5A" w14:textId="01A85AD4" w:rsidR="00EA4C95" w:rsidRDefault="00346F40" w:rsidP="00DF77D1">
            <w:pPr>
              <w:spacing w:line="480" w:lineRule="auto"/>
              <w:rPr>
                <w:bCs/>
              </w:rPr>
            </w:pPr>
            <w:r>
              <w:rPr>
                <w:bCs/>
              </w:rPr>
              <w:t>20</w:t>
            </w:r>
          </w:p>
        </w:tc>
      </w:tr>
      <w:tr w:rsidR="00346F40" w14:paraId="6B81291B" w14:textId="77777777" w:rsidTr="00E914F7">
        <w:tc>
          <w:tcPr>
            <w:tcW w:w="1271" w:type="dxa"/>
          </w:tcPr>
          <w:p w14:paraId="30EB74D8" w14:textId="472C9007" w:rsidR="00346F40" w:rsidRPr="00346F40" w:rsidRDefault="00346F40" w:rsidP="00DF77D1">
            <w:pPr>
              <w:spacing w:line="480" w:lineRule="auto"/>
              <w:rPr>
                <w:rFonts w:ascii="Trebuchet MS" w:hAnsi="Trebuchet MS"/>
                <w:bCs/>
              </w:rPr>
            </w:pPr>
            <w:r>
              <w:rPr>
                <w:rFonts w:ascii="Trebuchet MS" w:hAnsi="Trebuchet MS"/>
                <w:bCs/>
              </w:rPr>
              <w:t>Γ</w:t>
            </w:r>
            <w:r>
              <w:rPr>
                <w:rFonts w:ascii="Trebuchet MS" w:hAnsi="Trebuchet MS"/>
                <w:bCs/>
                <w:vertAlign w:val="subscript"/>
              </w:rPr>
              <w:t>02</w:t>
            </w:r>
          </w:p>
        </w:tc>
        <w:tc>
          <w:tcPr>
            <w:tcW w:w="5245" w:type="dxa"/>
          </w:tcPr>
          <w:p w14:paraId="53EE442E" w14:textId="1938E6D0" w:rsidR="00346F40" w:rsidRPr="00346F40" w:rsidRDefault="00346F40" w:rsidP="00DF77D1">
            <w:pPr>
              <w:spacing w:line="480" w:lineRule="auto"/>
              <w:rPr>
                <w:bCs/>
              </w:rPr>
            </w:pPr>
            <w:r>
              <w:rPr>
                <w:bCs/>
              </w:rPr>
              <w:t>Mean intercept in P</w:t>
            </w:r>
            <w:r>
              <w:rPr>
                <w:bCs/>
                <w:vertAlign w:val="subscript"/>
              </w:rPr>
              <w:t>2</w:t>
            </w:r>
          </w:p>
        </w:tc>
        <w:tc>
          <w:tcPr>
            <w:tcW w:w="2500" w:type="dxa"/>
          </w:tcPr>
          <w:p w14:paraId="76BA7E03" w14:textId="67E61B0B" w:rsidR="00346F40" w:rsidRDefault="00346F40" w:rsidP="00DF77D1">
            <w:pPr>
              <w:spacing w:line="480" w:lineRule="auto"/>
              <w:rPr>
                <w:bCs/>
              </w:rPr>
            </w:pPr>
            <w:r>
              <w:rPr>
                <w:bCs/>
              </w:rPr>
              <w:t>20</w:t>
            </w:r>
          </w:p>
        </w:tc>
      </w:tr>
      <w:tr w:rsidR="00346F40" w14:paraId="1C36917B" w14:textId="77777777" w:rsidTr="00E914F7">
        <w:tc>
          <w:tcPr>
            <w:tcW w:w="1271" w:type="dxa"/>
          </w:tcPr>
          <w:p w14:paraId="2E749C8F" w14:textId="352D8B3B" w:rsidR="00346F40" w:rsidRPr="00346F40" w:rsidRDefault="00346F40" w:rsidP="00DF77D1">
            <w:pPr>
              <w:spacing w:line="480" w:lineRule="auto"/>
              <w:rPr>
                <w:rFonts w:ascii="Trebuchet MS" w:hAnsi="Trebuchet MS"/>
                <w:bCs/>
              </w:rPr>
            </w:pPr>
            <w:r>
              <w:rPr>
                <w:rFonts w:ascii="Trebuchet MS" w:hAnsi="Trebuchet MS"/>
                <w:bCs/>
              </w:rPr>
              <w:t>γ</w:t>
            </w:r>
            <w:r>
              <w:rPr>
                <w:rFonts w:ascii="Trebuchet MS" w:hAnsi="Trebuchet MS"/>
                <w:bCs/>
                <w:vertAlign w:val="subscript"/>
              </w:rPr>
              <w:t>1</w:t>
            </w:r>
          </w:p>
        </w:tc>
        <w:tc>
          <w:tcPr>
            <w:tcW w:w="5245" w:type="dxa"/>
          </w:tcPr>
          <w:p w14:paraId="4AA6F895" w14:textId="481B23EC" w:rsidR="00346F40" w:rsidRDefault="00346F40" w:rsidP="00DF77D1">
            <w:pPr>
              <w:spacing w:line="480" w:lineRule="auto"/>
              <w:rPr>
                <w:bCs/>
              </w:rPr>
            </w:pPr>
            <w:r>
              <w:rPr>
                <w:bCs/>
              </w:rPr>
              <w:t xml:space="preserve">Rate of decline </w:t>
            </w:r>
            <w:proofErr w:type="spellStart"/>
            <w:r>
              <w:rPr>
                <w:bCs/>
              </w:rPr>
              <w:t>t</w:t>
            </w:r>
            <w:proofErr w:type="spellEnd"/>
            <w:r>
              <w:rPr>
                <w:bCs/>
              </w:rPr>
              <w:t>&lt;0</w:t>
            </w:r>
          </w:p>
        </w:tc>
        <w:tc>
          <w:tcPr>
            <w:tcW w:w="2500" w:type="dxa"/>
          </w:tcPr>
          <w:p w14:paraId="029B55C8" w14:textId="67BCA626" w:rsidR="00346F40" w:rsidRDefault="00346F40" w:rsidP="00DF77D1">
            <w:pPr>
              <w:spacing w:line="480" w:lineRule="auto"/>
              <w:rPr>
                <w:bCs/>
              </w:rPr>
            </w:pPr>
            <w:r>
              <w:rPr>
                <w:bCs/>
              </w:rPr>
              <w:t>-2</w:t>
            </w:r>
          </w:p>
        </w:tc>
      </w:tr>
      <w:tr w:rsidR="00346F40" w14:paraId="67B530F6" w14:textId="77777777" w:rsidTr="00E914F7">
        <w:tc>
          <w:tcPr>
            <w:tcW w:w="1271" w:type="dxa"/>
          </w:tcPr>
          <w:p w14:paraId="545FCFA3" w14:textId="63CF3693" w:rsidR="00346F40" w:rsidRPr="00346F40" w:rsidRDefault="00346F40" w:rsidP="00DF77D1">
            <w:pPr>
              <w:spacing w:line="480" w:lineRule="auto"/>
              <w:rPr>
                <w:rFonts w:ascii="Trebuchet MS" w:hAnsi="Trebuchet MS"/>
                <w:bCs/>
              </w:rPr>
            </w:pPr>
            <w:r>
              <w:rPr>
                <w:rFonts w:ascii="Trebuchet MS" w:hAnsi="Trebuchet MS"/>
                <w:bCs/>
              </w:rPr>
              <w:t>γ</w:t>
            </w:r>
            <w:r>
              <w:rPr>
                <w:rFonts w:ascii="Trebuchet MS" w:hAnsi="Trebuchet MS"/>
                <w:bCs/>
                <w:vertAlign w:val="subscript"/>
              </w:rPr>
              <w:t>2</w:t>
            </w:r>
          </w:p>
        </w:tc>
        <w:tc>
          <w:tcPr>
            <w:tcW w:w="5245" w:type="dxa"/>
          </w:tcPr>
          <w:p w14:paraId="7D1C6AB5" w14:textId="77777777" w:rsidR="00346F40" w:rsidRDefault="00346F40" w:rsidP="00DF77D1">
            <w:pPr>
              <w:spacing w:line="480" w:lineRule="auto"/>
              <w:rPr>
                <w:bCs/>
              </w:rPr>
            </w:pPr>
            <w:r>
              <w:rPr>
                <w:bCs/>
              </w:rPr>
              <w:t>Rate of decline amongst patients not offered treatment</w:t>
            </w:r>
          </w:p>
          <w:p w14:paraId="7AAD8F55" w14:textId="6A2244B5" w:rsidR="000E453E" w:rsidRPr="000E453E" w:rsidRDefault="000E453E" w:rsidP="00DF77D1">
            <w:pPr>
              <w:spacing w:line="480" w:lineRule="auto"/>
              <w:rPr>
                <w:bCs/>
                <w:i/>
              </w:rPr>
            </w:pPr>
            <w:r>
              <w:rPr>
                <w:bCs/>
                <w:i/>
              </w:rPr>
              <w:t xml:space="preserve">Note: values chosen to investigate </w:t>
            </w:r>
            <w:r>
              <w:rPr>
                <w:rFonts w:ascii="Trebuchet MS" w:hAnsi="Trebuchet MS"/>
                <w:bCs/>
                <w:i/>
              </w:rPr>
              <w:t>φ</w:t>
            </w:r>
            <w:r>
              <w:rPr>
                <w:rFonts w:cstheme="minorHAnsi"/>
                <w:bCs/>
                <w:i/>
                <w:vertAlign w:val="subscript"/>
              </w:rPr>
              <w:t>α</w:t>
            </w:r>
            <w:r>
              <w:rPr>
                <w:bCs/>
                <w:i/>
              </w:rPr>
              <w:t xml:space="preserve"> = -0.5, 0, 0.5</w:t>
            </w:r>
          </w:p>
        </w:tc>
        <w:tc>
          <w:tcPr>
            <w:tcW w:w="2500" w:type="dxa"/>
          </w:tcPr>
          <w:p w14:paraId="38DB48A7" w14:textId="77777777" w:rsidR="00346F40" w:rsidRDefault="00346F40" w:rsidP="00DF77D1">
            <w:pPr>
              <w:spacing w:line="480" w:lineRule="auto"/>
              <w:rPr>
                <w:bCs/>
              </w:rPr>
            </w:pPr>
            <w:r>
              <w:rPr>
                <w:bCs/>
              </w:rPr>
              <w:t xml:space="preserve">if </w:t>
            </w:r>
            <w:r w:rsidR="00B628E9">
              <w:rPr>
                <w:rFonts w:cstheme="minorHAnsi"/>
                <w:bCs/>
              </w:rPr>
              <w:t>α</w:t>
            </w:r>
            <w:r w:rsidR="00B628E9">
              <w:rPr>
                <w:bCs/>
              </w:rPr>
              <w:t>=0.25: -4, -2, 0</w:t>
            </w:r>
          </w:p>
          <w:p w14:paraId="62896F13" w14:textId="77777777" w:rsidR="00B628E9" w:rsidRDefault="00B628E9" w:rsidP="00DF77D1">
            <w:pPr>
              <w:spacing w:line="480" w:lineRule="auto"/>
              <w:rPr>
                <w:bCs/>
              </w:rPr>
            </w:pPr>
            <w:r>
              <w:rPr>
                <w:bCs/>
              </w:rPr>
              <w:t xml:space="preserve">if </w:t>
            </w:r>
            <w:r>
              <w:rPr>
                <w:rFonts w:cstheme="minorHAnsi"/>
                <w:bCs/>
              </w:rPr>
              <w:t>α</w:t>
            </w:r>
            <w:r>
              <w:rPr>
                <w:bCs/>
              </w:rPr>
              <w:t>=0.5: -3, -2, -1</w:t>
            </w:r>
          </w:p>
          <w:p w14:paraId="6F609807" w14:textId="54AF89E4" w:rsidR="00B628E9" w:rsidRDefault="00B628E9" w:rsidP="00DF77D1">
            <w:pPr>
              <w:spacing w:line="480" w:lineRule="auto"/>
              <w:rPr>
                <w:bCs/>
              </w:rPr>
            </w:pPr>
            <w:r>
              <w:rPr>
                <w:bCs/>
              </w:rPr>
              <w:lastRenderedPageBreak/>
              <w:t xml:space="preserve">if </w:t>
            </w:r>
            <w:r>
              <w:rPr>
                <w:rFonts w:cstheme="minorHAnsi"/>
                <w:bCs/>
              </w:rPr>
              <w:t>α</w:t>
            </w:r>
            <w:r>
              <w:rPr>
                <w:bCs/>
              </w:rPr>
              <w:t>=1: -2.5, -2, -1.5</w:t>
            </w:r>
          </w:p>
        </w:tc>
      </w:tr>
      <w:tr w:rsidR="00B628E9" w14:paraId="11B84C3D" w14:textId="77777777" w:rsidTr="00E914F7">
        <w:tc>
          <w:tcPr>
            <w:tcW w:w="1271" w:type="dxa"/>
          </w:tcPr>
          <w:p w14:paraId="364A50F4" w14:textId="5D9D3396" w:rsidR="00B628E9" w:rsidRPr="00B628E9" w:rsidRDefault="00B628E9" w:rsidP="00DF77D1">
            <w:pPr>
              <w:spacing w:line="480" w:lineRule="auto"/>
              <w:rPr>
                <w:rFonts w:ascii="Trebuchet MS" w:hAnsi="Trebuchet MS"/>
                <w:bCs/>
              </w:rPr>
            </w:pPr>
            <w:r>
              <w:rPr>
                <w:rFonts w:ascii="Trebuchet MS" w:hAnsi="Trebuchet MS"/>
                <w:bCs/>
              </w:rPr>
              <w:lastRenderedPageBreak/>
              <w:t>γ</w:t>
            </w:r>
            <w:r>
              <w:rPr>
                <w:rFonts w:ascii="Trebuchet MS" w:hAnsi="Trebuchet MS"/>
                <w:bCs/>
                <w:vertAlign w:val="subscript"/>
              </w:rPr>
              <w:t>3</w:t>
            </w:r>
          </w:p>
        </w:tc>
        <w:tc>
          <w:tcPr>
            <w:tcW w:w="5245" w:type="dxa"/>
          </w:tcPr>
          <w:p w14:paraId="5C108438" w14:textId="40EBD033" w:rsidR="00B628E9" w:rsidRDefault="00B628E9" w:rsidP="00DF77D1">
            <w:pPr>
              <w:spacing w:line="480" w:lineRule="auto"/>
              <w:rPr>
                <w:bCs/>
              </w:rPr>
            </w:pPr>
            <w:r>
              <w:rPr>
                <w:bCs/>
              </w:rPr>
              <w:t xml:space="preserve">Rate of decline when </w:t>
            </w:r>
            <w:proofErr w:type="spellStart"/>
            <w:r>
              <w:rPr>
                <w:bCs/>
              </w:rPr>
              <w:t>t</w:t>
            </w:r>
            <w:r>
              <w:rPr>
                <w:rFonts w:cstheme="minorHAnsi"/>
                <w:bCs/>
              </w:rPr>
              <w:t>≥</w:t>
            </w:r>
            <w:r>
              <w:rPr>
                <w:rFonts w:ascii="Trebuchet MS" w:hAnsi="Trebuchet MS"/>
                <w:bCs/>
              </w:rPr>
              <w:t>δ</w:t>
            </w:r>
            <w:proofErr w:type="spellEnd"/>
            <w:r>
              <w:rPr>
                <w:bCs/>
              </w:rPr>
              <w:t xml:space="preserve"> in patients offered treatment</w:t>
            </w:r>
          </w:p>
        </w:tc>
        <w:tc>
          <w:tcPr>
            <w:tcW w:w="2500" w:type="dxa"/>
          </w:tcPr>
          <w:p w14:paraId="00AD418C" w14:textId="544843A3" w:rsidR="00B628E9" w:rsidRDefault="00B628E9" w:rsidP="00DF77D1">
            <w:pPr>
              <w:spacing w:line="480" w:lineRule="auto"/>
              <w:rPr>
                <w:bCs/>
              </w:rPr>
            </w:pPr>
            <w:r>
              <w:rPr>
                <w:bCs/>
              </w:rPr>
              <w:t>-1.9</w:t>
            </w:r>
          </w:p>
        </w:tc>
      </w:tr>
      <w:tr w:rsidR="00B628E9" w14:paraId="192799C5" w14:textId="77777777" w:rsidTr="00E914F7">
        <w:tc>
          <w:tcPr>
            <w:tcW w:w="1271" w:type="dxa"/>
          </w:tcPr>
          <w:p w14:paraId="097DE9EA" w14:textId="1F42D52A" w:rsidR="00B628E9" w:rsidRDefault="00B628E9" w:rsidP="00DF77D1">
            <w:pPr>
              <w:spacing w:line="480" w:lineRule="auto"/>
              <w:rPr>
                <w:rFonts w:ascii="Trebuchet MS" w:hAnsi="Trebuchet MS"/>
                <w:bCs/>
              </w:rPr>
            </w:pPr>
            <w:r>
              <w:rPr>
                <w:rFonts w:ascii="Trebuchet MS" w:hAnsi="Trebuchet MS"/>
                <w:bCs/>
              </w:rPr>
              <w:t>δ</w:t>
            </w:r>
          </w:p>
        </w:tc>
        <w:tc>
          <w:tcPr>
            <w:tcW w:w="5245" w:type="dxa"/>
          </w:tcPr>
          <w:p w14:paraId="3E836D3B" w14:textId="28C86C32" w:rsidR="00B628E9" w:rsidRDefault="00B628E9" w:rsidP="00DF77D1">
            <w:pPr>
              <w:spacing w:line="480" w:lineRule="auto"/>
              <w:rPr>
                <w:bCs/>
              </w:rPr>
            </w:pPr>
            <w:r>
              <w:rPr>
                <w:bCs/>
              </w:rPr>
              <w:t>Second change point (time in years)</w:t>
            </w:r>
          </w:p>
        </w:tc>
        <w:tc>
          <w:tcPr>
            <w:tcW w:w="2500" w:type="dxa"/>
          </w:tcPr>
          <w:p w14:paraId="53024540" w14:textId="74C8ED8A" w:rsidR="00B628E9" w:rsidRDefault="00B628E9" w:rsidP="00DF77D1">
            <w:pPr>
              <w:spacing w:line="480" w:lineRule="auto"/>
              <w:rPr>
                <w:bCs/>
              </w:rPr>
            </w:pPr>
            <w:r>
              <w:rPr>
                <w:bCs/>
              </w:rPr>
              <w:t>0.3</w:t>
            </w:r>
          </w:p>
        </w:tc>
      </w:tr>
      <w:tr w:rsidR="00B628E9" w14:paraId="30D2033B" w14:textId="77777777" w:rsidTr="00E914F7">
        <w:tc>
          <w:tcPr>
            <w:tcW w:w="1271" w:type="dxa"/>
          </w:tcPr>
          <w:p w14:paraId="03A46BA9" w14:textId="03D2C607" w:rsidR="00B628E9" w:rsidRDefault="00B628E9" w:rsidP="00DF77D1">
            <w:pPr>
              <w:spacing w:line="480" w:lineRule="auto"/>
              <w:rPr>
                <w:rFonts w:ascii="Trebuchet MS" w:hAnsi="Trebuchet MS"/>
                <w:bCs/>
              </w:rPr>
            </w:pPr>
            <w:r>
              <w:rPr>
                <w:rFonts w:ascii="Trebuchet MS" w:hAnsi="Trebuchet MS"/>
                <w:bCs/>
              </w:rPr>
              <w:t>σ</w:t>
            </w:r>
          </w:p>
        </w:tc>
        <w:tc>
          <w:tcPr>
            <w:tcW w:w="5245" w:type="dxa"/>
          </w:tcPr>
          <w:p w14:paraId="55C2E7BE" w14:textId="3E4FACD4" w:rsidR="00B628E9" w:rsidRDefault="00B628E9" w:rsidP="00DF77D1">
            <w:pPr>
              <w:spacing w:line="480" w:lineRule="auto"/>
              <w:rPr>
                <w:bCs/>
              </w:rPr>
            </w:pPr>
            <w:r>
              <w:rPr>
                <w:bCs/>
              </w:rPr>
              <w:t>Residual standard deviation</w:t>
            </w:r>
          </w:p>
        </w:tc>
        <w:tc>
          <w:tcPr>
            <w:tcW w:w="2500" w:type="dxa"/>
          </w:tcPr>
          <w:p w14:paraId="31414A74" w14:textId="11A60641" w:rsidR="00B628E9" w:rsidRDefault="00B628E9" w:rsidP="00DF77D1">
            <w:pPr>
              <w:spacing w:line="480" w:lineRule="auto"/>
              <w:rPr>
                <w:bCs/>
              </w:rPr>
            </w:pPr>
            <w:r>
              <w:rPr>
                <w:bCs/>
              </w:rPr>
              <w:t>2</w:t>
            </w:r>
          </w:p>
        </w:tc>
      </w:tr>
      <w:tr w:rsidR="00B628E9" w14:paraId="6D833484" w14:textId="77777777" w:rsidTr="00E914F7">
        <w:tc>
          <w:tcPr>
            <w:tcW w:w="1271" w:type="dxa"/>
          </w:tcPr>
          <w:p w14:paraId="0FD6FE05" w14:textId="75B7D2DE" w:rsidR="00B628E9" w:rsidRPr="00B628E9" w:rsidRDefault="00B628E9" w:rsidP="00DF77D1">
            <w:pPr>
              <w:spacing w:line="480" w:lineRule="auto"/>
              <w:rPr>
                <w:rFonts w:ascii="Trebuchet MS" w:hAnsi="Trebuchet MS"/>
                <w:bCs/>
                <w:vertAlign w:val="subscript"/>
              </w:rPr>
            </w:pPr>
            <w:r>
              <w:rPr>
                <w:rFonts w:ascii="Trebuchet MS" w:hAnsi="Trebuchet MS"/>
                <w:bCs/>
              </w:rPr>
              <w:t>σ</w:t>
            </w:r>
            <w:r>
              <w:rPr>
                <w:rFonts w:ascii="Trebuchet MS" w:hAnsi="Trebuchet MS"/>
                <w:bCs/>
                <w:vertAlign w:val="subscript"/>
              </w:rPr>
              <w:t>0</w:t>
            </w:r>
          </w:p>
        </w:tc>
        <w:tc>
          <w:tcPr>
            <w:tcW w:w="5245" w:type="dxa"/>
          </w:tcPr>
          <w:p w14:paraId="45DBC67B" w14:textId="1FBE8711" w:rsidR="00B628E9" w:rsidRDefault="00B628E9" w:rsidP="00DF77D1">
            <w:pPr>
              <w:spacing w:line="480" w:lineRule="auto"/>
              <w:rPr>
                <w:bCs/>
              </w:rPr>
            </w:pPr>
            <w:r>
              <w:rPr>
                <w:bCs/>
              </w:rPr>
              <w:t>Intercept standard deviation</w:t>
            </w:r>
          </w:p>
        </w:tc>
        <w:tc>
          <w:tcPr>
            <w:tcW w:w="2500" w:type="dxa"/>
          </w:tcPr>
          <w:p w14:paraId="1B5A2D29" w14:textId="4EC1ABC5" w:rsidR="00B628E9" w:rsidRDefault="00B628E9" w:rsidP="00DF77D1">
            <w:pPr>
              <w:spacing w:line="480" w:lineRule="auto"/>
              <w:rPr>
                <w:bCs/>
              </w:rPr>
            </w:pPr>
            <w:r>
              <w:rPr>
                <w:bCs/>
              </w:rPr>
              <w:t>4</w:t>
            </w:r>
          </w:p>
        </w:tc>
      </w:tr>
      <w:tr w:rsidR="00B628E9" w14:paraId="39D980FA" w14:textId="77777777" w:rsidTr="00E914F7">
        <w:tc>
          <w:tcPr>
            <w:tcW w:w="1271" w:type="dxa"/>
          </w:tcPr>
          <w:p w14:paraId="58AA8FB7" w14:textId="738455B6" w:rsidR="00B628E9" w:rsidRPr="00B628E9" w:rsidRDefault="00B628E9" w:rsidP="00DF77D1">
            <w:pPr>
              <w:spacing w:line="480" w:lineRule="auto"/>
              <w:rPr>
                <w:rFonts w:ascii="Trebuchet MS" w:hAnsi="Trebuchet MS"/>
                <w:bCs/>
              </w:rPr>
            </w:pPr>
            <w:r>
              <w:rPr>
                <w:rFonts w:ascii="Trebuchet MS" w:hAnsi="Trebuchet MS"/>
                <w:bCs/>
              </w:rPr>
              <w:t>ν</w:t>
            </w:r>
            <w:r>
              <w:rPr>
                <w:rFonts w:ascii="Trebuchet MS" w:hAnsi="Trebuchet MS"/>
                <w:bCs/>
                <w:vertAlign w:val="superscript"/>
              </w:rPr>
              <w:t>2</w:t>
            </w:r>
          </w:p>
        </w:tc>
        <w:tc>
          <w:tcPr>
            <w:tcW w:w="5245" w:type="dxa"/>
          </w:tcPr>
          <w:p w14:paraId="22583B92" w14:textId="242521F8" w:rsidR="00B628E9" w:rsidRPr="00B628E9" w:rsidRDefault="00B628E9" w:rsidP="00DF77D1">
            <w:pPr>
              <w:spacing w:line="480" w:lineRule="auto"/>
              <w:rPr>
                <w:bCs/>
              </w:rPr>
            </w:pPr>
            <w:r>
              <w:rPr>
                <w:bCs/>
              </w:rPr>
              <w:t xml:space="preserve">Total variation in </w:t>
            </w:r>
            <w:proofErr w:type="spellStart"/>
            <w:r>
              <w:rPr>
                <w:rFonts w:cstheme="minorHAnsi"/>
                <w:bCs/>
              </w:rPr>
              <w:t>Δ</w:t>
            </w:r>
            <w:r>
              <w:rPr>
                <w:bCs/>
                <w:vertAlign w:val="subscript"/>
              </w:rPr>
              <w:t>i</w:t>
            </w:r>
            <w:proofErr w:type="spellEnd"/>
            <w:r>
              <w:rPr>
                <w:bCs/>
                <w:vertAlign w:val="subscript"/>
              </w:rPr>
              <w:t xml:space="preserve"> </w:t>
            </w:r>
            <w:r>
              <w:rPr>
                <w:bCs/>
              </w:rPr>
              <w:t>in P</w:t>
            </w:r>
            <w:r>
              <w:rPr>
                <w:bCs/>
                <w:vertAlign w:val="subscript"/>
              </w:rPr>
              <w:t>1</w:t>
            </w:r>
            <w:r>
              <w:rPr>
                <w:bCs/>
              </w:rPr>
              <w:t xml:space="preserve"> and in P</w:t>
            </w:r>
            <w:r>
              <w:rPr>
                <w:bCs/>
                <w:vertAlign w:val="subscript"/>
              </w:rPr>
              <w:t>2</w:t>
            </w:r>
          </w:p>
        </w:tc>
        <w:tc>
          <w:tcPr>
            <w:tcW w:w="2500" w:type="dxa"/>
          </w:tcPr>
          <w:p w14:paraId="2DF20C95" w14:textId="3F94FEAF" w:rsidR="00B628E9" w:rsidRDefault="00B628E9" w:rsidP="00DF77D1">
            <w:pPr>
              <w:spacing w:line="480" w:lineRule="auto"/>
              <w:rPr>
                <w:bCs/>
              </w:rPr>
            </w:pPr>
            <w:r>
              <w:rPr>
                <w:bCs/>
              </w:rPr>
              <w:t>1</w:t>
            </w:r>
          </w:p>
        </w:tc>
      </w:tr>
      <w:tr w:rsidR="00B628E9" w14:paraId="7F1CBE64" w14:textId="77777777" w:rsidTr="00E914F7">
        <w:tc>
          <w:tcPr>
            <w:tcW w:w="1271" w:type="dxa"/>
          </w:tcPr>
          <w:p w14:paraId="32E0FDC0" w14:textId="469D9C09" w:rsidR="00B628E9" w:rsidRPr="00B628E9" w:rsidRDefault="00B628E9" w:rsidP="00DF77D1">
            <w:pPr>
              <w:spacing w:line="480" w:lineRule="auto"/>
              <w:rPr>
                <w:rFonts w:ascii="Trebuchet MS" w:hAnsi="Trebuchet MS"/>
                <w:bCs/>
              </w:rPr>
            </w:pPr>
            <w:r>
              <w:rPr>
                <w:rFonts w:ascii="Trebuchet MS" w:hAnsi="Trebuchet MS"/>
                <w:bCs/>
              </w:rPr>
              <w:t>τ</w:t>
            </w:r>
            <w:r>
              <w:rPr>
                <w:rFonts w:ascii="Trebuchet MS" w:hAnsi="Trebuchet MS"/>
                <w:bCs/>
                <w:vertAlign w:val="subscript"/>
              </w:rPr>
              <w:t>1</w:t>
            </w:r>
            <w:r>
              <w:rPr>
                <w:rFonts w:ascii="Trebuchet MS" w:hAnsi="Trebuchet MS"/>
                <w:bCs/>
                <w:vertAlign w:val="superscript"/>
              </w:rPr>
              <w:t>2</w:t>
            </w:r>
          </w:p>
        </w:tc>
        <w:tc>
          <w:tcPr>
            <w:tcW w:w="5245" w:type="dxa"/>
          </w:tcPr>
          <w:p w14:paraId="7C737F12" w14:textId="098B1BB3" w:rsidR="00B628E9" w:rsidRPr="00B628E9" w:rsidRDefault="00B628E9" w:rsidP="00DF77D1">
            <w:pPr>
              <w:spacing w:line="480" w:lineRule="auto"/>
              <w:rPr>
                <w:bCs/>
                <w:vertAlign w:val="subscript"/>
              </w:rPr>
            </w:pPr>
            <w:r>
              <w:rPr>
                <w:bCs/>
              </w:rPr>
              <w:t>Between trial variation in P</w:t>
            </w:r>
            <w:r>
              <w:rPr>
                <w:bCs/>
                <w:vertAlign w:val="subscript"/>
              </w:rPr>
              <w:t>1</w:t>
            </w:r>
          </w:p>
        </w:tc>
        <w:tc>
          <w:tcPr>
            <w:tcW w:w="2500" w:type="dxa"/>
          </w:tcPr>
          <w:p w14:paraId="75DECAF3" w14:textId="715C718D" w:rsidR="00B628E9" w:rsidRDefault="00B628E9" w:rsidP="00DF77D1">
            <w:pPr>
              <w:spacing w:line="480" w:lineRule="auto"/>
              <w:rPr>
                <w:bCs/>
              </w:rPr>
            </w:pPr>
            <w:r>
              <w:rPr>
                <w:bCs/>
              </w:rPr>
              <w:t>0.25</w:t>
            </w:r>
          </w:p>
        </w:tc>
      </w:tr>
    </w:tbl>
    <w:p w14:paraId="16359665" w14:textId="77777777" w:rsidR="00FA27F8" w:rsidRPr="00FA27F8" w:rsidRDefault="00FA27F8" w:rsidP="00DF77D1">
      <w:pPr>
        <w:spacing w:line="480" w:lineRule="auto"/>
        <w:rPr>
          <w:bCs/>
        </w:rPr>
      </w:pPr>
    </w:p>
    <w:p w14:paraId="3EB5F4FF" w14:textId="51CB883A" w:rsidR="00824A3A" w:rsidRDefault="00856E59" w:rsidP="00DF77D1">
      <w:pPr>
        <w:spacing w:line="480" w:lineRule="auto"/>
        <w:rPr>
          <w:b/>
          <w:i/>
        </w:rPr>
      </w:pPr>
      <w:r>
        <w:rPr>
          <w:b/>
        </w:rPr>
        <w:t xml:space="preserve">3. </w:t>
      </w:r>
      <w:r w:rsidR="00824A3A">
        <w:rPr>
          <w:b/>
        </w:rPr>
        <w:t xml:space="preserve">Results </w:t>
      </w:r>
    </w:p>
    <w:p w14:paraId="57CA80E6" w14:textId="319F5673" w:rsidR="00B628E9" w:rsidRDefault="00856E59" w:rsidP="00DF77D1">
      <w:pPr>
        <w:spacing w:line="480" w:lineRule="auto"/>
        <w:rPr>
          <w:b/>
          <w:i/>
        </w:rPr>
      </w:pPr>
      <w:r>
        <w:rPr>
          <w:b/>
          <w:i/>
        </w:rPr>
        <w:t xml:space="preserve">3.1 </w:t>
      </w:r>
      <w:r w:rsidR="00B628E9">
        <w:rPr>
          <w:b/>
          <w:i/>
        </w:rPr>
        <w:t>Simulation study</w:t>
      </w:r>
    </w:p>
    <w:p w14:paraId="6E1756E0" w14:textId="675BA18C" w:rsidR="00C1632F" w:rsidRDefault="000E453E" w:rsidP="00DF77D1">
      <w:pPr>
        <w:spacing w:line="480" w:lineRule="auto"/>
        <w:jc w:val="both"/>
      </w:pPr>
      <w:r>
        <w:t>The impact of varying the generalisability bias parameter (</w:t>
      </w:r>
      <w:r>
        <w:rPr>
          <w:rFonts w:cstheme="minorHAnsi"/>
        </w:rPr>
        <w:t>ζ</w:t>
      </w:r>
      <w:r>
        <w:t xml:space="preserve">) at </w:t>
      </w:r>
      <w:r>
        <w:rPr>
          <w:rFonts w:cstheme="minorHAnsi"/>
        </w:rPr>
        <w:t>α</w:t>
      </w:r>
      <w:r>
        <w:t xml:space="preserve">=0.25 and averaged across all other parameters is summarised in </w:t>
      </w:r>
      <w:r w:rsidR="005E71E3">
        <w:t>F</w:t>
      </w:r>
      <w:r>
        <w:t xml:space="preserve">igure </w:t>
      </w:r>
      <w:r w:rsidR="009F52FD">
        <w:t>2</w:t>
      </w:r>
      <w:r>
        <w:t xml:space="preserve">a. In the presence of generalisability </w:t>
      </w:r>
      <w:r w:rsidR="00F74180">
        <w:t>bias</w:t>
      </w:r>
      <w:r w:rsidR="009A22B1">
        <w:t xml:space="preserve"> (non-zero </w:t>
      </w:r>
      <w:r w:rsidR="009A22B1">
        <w:rPr>
          <w:rFonts w:cstheme="minorHAnsi"/>
        </w:rPr>
        <w:t>ζ</w:t>
      </w:r>
      <w:r w:rsidR="009A22B1">
        <w:t>)</w:t>
      </w:r>
      <w:r w:rsidR="00F74180">
        <w:t xml:space="preserve"> </w:t>
      </w:r>
      <w:r>
        <w:t>the combined estimator is less biased and has a smaller MSE than the trials only estimator. When there is no generalisability bias</w:t>
      </w:r>
      <w:r w:rsidR="009A22B1">
        <w:t xml:space="preserve"> (</w:t>
      </w:r>
      <w:r w:rsidR="009A22B1">
        <w:rPr>
          <w:rFonts w:cstheme="minorHAnsi"/>
        </w:rPr>
        <w:t>ζ=0</w:t>
      </w:r>
      <w:r w:rsidR="009A22B1">
        <w:t>)</w:t>
      </w:r>
      <w:r w:rsidR="00E1381F">
        <w:t>, that is when the RCT estimate is representative of the whole population,</w:t>
      </w:r>
      <w:r>
        <w:t xml:space="preserve"> the combined estimator remains </w:t>
      </w:r>
      <w:proofErr w:type="gramStart"/>
      <w:r>
        <w:t>unbiased</w:t>
      </w:r>
      <w:proofErr w:type="gramEnd"/>
      <w:r>
        <w:t xml:space="preserve"> but the MSE is slightly larger than the trials only estimator. </w:t>
      </w:r>
      <w:proofErr w:type="gramStart"/>
      <w:r>
        <w:t>Similarly</w:t>
      </w:r>
      <w:proofErr w:type="gramEnd"/>
      <w:r>
        <w:t xml:space="preserve"> when varying the projection bias, the combined model has lower bias and MSE</w:t>
      </w:r>
      <w:r w:rsidR="005854C6">
        <w:t xml:space="preserve"> than the cohort only estimator</w:t>
      </w:r>
      <w:r>
        <w:t xml:space="preserve"> in the presence of projection bias and remains unbiased, but with slightly larger MSE when there was no projection bias (see </w:t>
      </w:r>
      <w:r w:rsidR="009F52FD">
        <w:t>F</w:t>
      </w:r>
      <w:r>
        <w:t xml:space="preserve">igure </w:t>
      </w:r>
      <w:r w:rsidR="009F52FD">
        <w:t>2</w:t>
      </w:r>
      <w:r>
        <w:t xml:space="preserve">b). </w:t>
      </w:r>
      <w:r w:rsidR="00C1632F">
        <w:t>Variation in the sizes of the two datasets and the trial eligible proportion did not impact on bias estimates, however, increasing the proportion trial eligible or either of the sample sizes led to a reduction in the MSE of the combined estimator.</w:t>
      </w:r>
      <w:r w:rsidR="008E4FA6">
        <w:t xml:space="preserve"> </w:t>
      </w:r>
      <w:bookmarkStart w:id="9" w:name="_Hlk106635303"/>
      <w:r w:rsidR="008E4FA6">
        <w:t xml:space="preserve">Tables summarising outputs from all combinations of inputs considered in the simulation study are provided in the supplementary material. </w:t>
      </w:r>
    </w:p>
    <w:bookmarkEnd w:id="9"/>
    <w:p w14:paraId="5ADCB4D2" w14:textId="56D952B8" w:rsidR="00D6425F" w:rsidRDefault="00826058" w:rsidP="00DF77D1">
      <w:pPr>
        <w:spacing w:line="480" w:lineRule="auto"/>
        <w:rPr>
          <w:b/>
        </w:rPr>
      </w:pPr>
      <w:r>
        <w:rPr>
          <w:b/>
          <w:noProof/>
          <w:lang w:eastAsia="en-GB"/>
        </w:rPr>
        <w:lastRenderedPageBreak/>
        <w:drawing>
          <wp:inline distT="0" distB="0" distL="0" distR="0" wp14:anchorId="57E2D17E" wp14:editId="74609B24">
            <wp:extent cx="5731510" cy="2160905"/>
            <wp:effectExtent l="0" t="0" r="254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2160905"/>
                    </a:xfrm>
                    <a:prstGeom prst="rect">
                      <a:avLst/>
                    </a:prstGeom>
                  </pic:spPr>
                </pic:pic>
              </a:graphicData>
            </a:graphic>
          </wp:inline>
        </w:drawing>
      </w:r>
    </w:p>
    <w:p w14:paraId="63F5E0CB" w14:textId="1138DAD9" w:rsidR="00C1632F" w:rsidRPr="00BD156E" w:rsidRDefault="00E1381F" w:rsidP="00DF77D1">
      <w:pPr>
        <w:spacing w:line="480" w:lineRule="auto"/>
      </w:pPr>
      <w:r>
        <w:rPr>
          <w:b/>
        </w:rPr>
        <w:t xml:space="preserve">Figure </w:t>
      </w:r>
      <w:r w:rsidR="009F52FD">
        <w:rPr>
          <w:b/>
        </w:rPr>
        <w:t>2</w:t>
      </w:r>
      <w:r>
        <w:rPr>
          <w:b/>
        </w:rPr>
        <w:t xml:space="preserve">a: </w:t>
      </w:r>
      <w:r>
        <w:t xml:space="preserve">Impact of generalisability bias on performance estimators at </w:t>
      </w:r>
      <w:r>
        <w:rPr>
          <w:rFonts w:cstheme="minorHAnsi"/>
        </w:rPr>
        <w:t>α</w:t>
      </w:r>
      <w:r>
        <w:t>=0.25</w:t>
      </w:r>
    </w:p>
    <w:p w14:paraId="7EEAC24F" w14:textId="078D6A74" w:rsidR="00B847E6" w:rsidRDefault="00826058" w:rsidP="00DF77D1">
      <w:pPr>
        <w:spacing w:line="480" w:lineRule="auto"/>
        <w:rPr>
          <w:b/>
        </w:rPr>
      </w:pPr>
      <w:r>
        <w:rPr>
          <w:b/>
          <w:noProof/>
        </w:rPr>
        <w:drawing>
          <wp:inline distT="0" distB="0" distL="0" distR="0" wp14:anchorId="57399837" wp14:editId="1DCFF6D5">
            <wp:extent cx="5723809" cy="2066667"/>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3809" cy="2066667"/>
                    </a:xfrm>
                    <a:prstGeom prst="rect">
                      <a:avLst/>
                    </a:prstGeom>
                  </pic:spPr>
                </pic:pic>
              </a:graphicData>
            </a:graphic>
          </wp:inline>
        </w:drawing>
      </w:r>
    </w:p>
    <w:p w14:paraId="7C025EC5" w14:textId="14D9B468" w:rsidR="00C1632F" w:rsidRPr="00C1632F" w:rsidRDefault="00C1632F" w:rsidP="00DF77D1">
      <w:pPr>
        <w:spacing w:line="480" w:lineRule="auto"/>
      </w:pPr>
      <w:r>
        <w:rPr>
          <w:b/>
        </w:rPr>
        <w:t xml:space="preserve">Figure </w:t>
      </w:r>
      <w:r w:rsidR="009F52FD">
        <w:rPr>
          <w:b/>
        </w:rPr>
        <w:t>2</w:t>
      </w:r>
      <w:r w:rsidR="00E1381F">
        <w:rPr>
          <w:b/>
        </w:rPr>
        <w:t>b</w:t>
      </w:r>
      <w:r>
        <w:rPr>
          <w:b/>
        </w:rPr>
        <w:t xml:space="preserve">: </w:t>
      </w:r>
      <w:r>
        <w:t xml:space="preserve">Impact of projection bias on performance of estimators at </w:t>
      </w:r>
      <w:r>
        <w:rPr>
          <w:rFonts w:cstheme="minorHAnsi"/>
        </w:rPr>
        <w:t>α</w:t>
      </w:r>
      <w:r>
        <w:t>=0.25</w:t>
      </w:r>
    </w:p>
    <w:p w14:paraId="3DC975A3" w14:textId="28B46C19" w:rsidR="00B628E9" w:rsidRDefault="00856E59" w:rsidP="00DF77D1">
      <w:pPr>
        <w:spacing w:line="480" w:lineRule="auto"/>
        <w:rPr>
          <w:b/>
          <w:i/>
        </w:rPr>
      </w:pPr>
      <w:r>
        <w:rPr>
          <w:b/>
          <w:i/>
        </w:rPr>
        <w:t xml:space="preserve">3.2 </w:t>
      </w:r>
      <w:r w:rsidR="00E1381F">
        <w:rPr>
          <w:b/>
          <w:i/>
        </w:rPr>
        <w:t>Illustration using real data</w:t>
      </w:r>
    </w:p>
    <w:p w14:paraId="1C48A5F9" w14:textId="4C636FFC" w:rsidR="006218DE" w:rsidRPr="006218DE" w:rsidRDefault="00C1632F" w:rsidP="00DF77D1">
      <w:pPr>
        <w:spacing w:line="480" w:lineRule="auto"/>
        <w:jc w:val="both"/>
      </w:pPr>
      <w:r>
        <w:t xml:space="preserve">Having demonstrated the favourable performance of the combined model in the simulation study, it was applied to the motivating clinical question. The recent systematic review of </w:t>
      </w:r>
      <w:proofErr w:type="spellStart"/>
      <w:r>
        <w:t>AChEIs</w:t>
      </w:r>
      <w:proofErr w:type="spellEnd"/>
      <w:r>
        <w:t xml:space="preserve"> in the management of dementia identified </w:t>
      </w:r>
      <w:r w:rsidR="0040649A">
        <w:t>four</w:t>
      </w:r>
      <w:r>
        <w:t xml:space="preserve"> trials estimating their effects at 12 months after treatment offer </w:t>
      </w:r>
      <w:r w:rsidR="002053B5">
        <w:fldChar w:fldCharType="begin">
          <w:fldData xml:space="preserve">PEVuZE5vdGU+PENpdGU+PEF1dGhvcj5IYWdlcjwvQXV0aG9yPjxZZWFyPjIwMTQ8L1llYXI+PFJl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</w:fldData>
        </w:fldChar>
      </w:r>
      <w:r w:rsidR="00F209E7">
        <w:instrText xml:space="preserve"> ADDIN EN.CITE </w:instrText>
      </w:r>
      <w:r w:rsidR="00F209E7">
        <w:fldChar w:fldCharType="begin">
          <w:fldData xml:space="preserve">PEVuZE5vdGU+PENpdGU+PEF1dGhvcj5IYWdlcjwvQXV0aG9yPjxZZWFyPjIwMTQ8L1llYXI+PFJl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</w:fldData>
        </w:fldChar>
      </w:r>
      <w:r w:rsidR="00F209E7">
        <w:instrText xml:space="preserve"> ADDIN EN.CITE.DATA </w:instrText>
      </w:r>
      <w:r w:rsidR="00F209E7">
        <w:fldChar w:fldCharType="end"/>
      </w:r>
      <w:r w:rsidR="002053B5">
        <w:fldChar w:fldCharType="separate"/>
      </w:r>
      <w:r w:rsidR="00F209E7">
        <w:rPr>
          <w:noProof/>
        </w:rPr>
        <w:t>(30-33)</w:t>
      </w:r>
      <w:r w:rsidR="002053B5">
        <w:fldChar w:fldCharType="end"/>
      </w:r>
      <w:r>
        <w:t>. Five overall eligibility criteria for these trials were established: (</w:t>
      </w:r>
      <w:proofErr w:type="spellStart"/>
      <w:r>
        <w:t>i</w:t>
      </w:r>
      <w:proofErr w:type="spellEnd"/>
      <w:r>
        <w:t>) baseline age between 40 and 94 years; (ii) baseline MM</w:t>
      </w:r>
      <w:r w:rsidR="00795CF4">
        <w:t>S</w:t>
      </w:r>
      <w:r>
        <w:t xml:space="preserve">E between 10 and 26; (iii) diagnosed with Alzheimer’s or Alzheimer’s and cerebrovascular disease; (iv) participant has a reliable/responsible caregiver; </w:t>
      </w:r>
      <w:proofErr w:type="gramStart"/>
      <w:r w:rsidR="006218DE">
        <w:t>and,</w:t>
      </w:r>
      <w:proofErr w:type="gramEnd"/>
      <w:r w:rsidR="006218DE">
        <w:t xml:space="preserve"> </w:t>
      </w:r>
      <w:r>
        <w:t>(v) participant does not have another major psychiatric disorder</w:t>
      </w:r>
      <w:r w:rsidR="006218DE">
        <w:t>. Participants in the treated cohort meeting these criteria were identified. Estimates of treatment effect based on the trials only</w:t>
      </w:r>
      <w:r w:rsidR="00E1381F">
        <w:t xml:space="preserve"> were calculated as part </w:t>
      </w:r>
      <w:r w:rsidR="00E1381F">
        <w:lastRenderedPageBreak/>
        <w:t>of the systematic review. Estimates</w:t>
      </w:r>
      <w:r w:rsidR="006218DE">
        <w:t xml:space="preserve"> based on the treated cohort only and using the new combined model were calculated. All three estimators suggested a modest but significant effect in favour of treatment (see Table 2). The estimate based on the combined model was lower than those based on either of the two data sources alone, demonstrating that the combined model can quantify both generalisability and projection bias even when they are both in the same direction.</w:t>
      </w:r>
    </w:p>
    <w:p w14:paraId="39738EB4" w14:textId="63BB6F8F" w:rsidR="00824A3A" w:rsidRDefault="00C1632F" w:rsidP="00DF77D1">
      <w:pPr>
        <w:spacing w:line="480" w:lineRule="auto"/>
      </w:pPr>
      <w:r>
        <w:rPr>
          <w:b/>
        </w:rPr>
        <w:t>Table 2:</w:t>
      </w:r>
      <w:r>
        <w:t xml:space="preserve"> Comparing estimates of </w:t>
      </w:r>
      <w:r w:rsidR="00635D4D">
        <w:t xml:space="preserve">the average effect of the offer </w:t>
      </w:r>
      <w:r>
        <w:t xml:space="preserve">of </w:t>
      </w:r>
      <w:proofErr w:type="spellStart"/>
      <w:r>
        <w:t>AChEI</w:t>
      </w:r>
      <w:proofErr w:type="spellEnd"/>
      <w:r w:rsidR="00635D4D">
        <w:t xml:space="preserve"> treatment</w:t>
      </w:r>
      <w:r>
        <w:t xml:space="preserve"> at 12 months after treatment offer</w:t>
      </w:r>
      <w:r w:rsidR="00635D4D">
        <w:t xml:space="preserve"> in terms of the MMSE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C1632F" w14:paraId="6C4ACA03" w14:textId="77777777" w:rsidTr="00E914F7">
        <w:tc>
          <w:tcPr>
            <w:tcW w:w="2254" w:type="dxa"/>
            <w:tcBorders>
              <w:top w:val="single" w:sz="4" w:space="0" w:color="auto"/>
              <w:bottom w:val="single" w:sz="4" w:space="0" w:color="auto"/>
            </w:tcBorders>
            <w:shd w:val="clear" w:color="auto" w:fill="BFBFBF" w:themeFill="background1" w:themeFillShade="BF"/>
          </w:tcPr>
          <w:p w14:paraId="0EBE0CC7" w14:textId="0674D031" w:rsidR="00C1632F" w:rsidRDefault="00C1632F" w:rsidP="00DF77D1">
            <w:pPr>
              <w:spacing w:line="480" w:lineRule="auto"/>
            </w:pPr>
          </w:p>
        </w:tc>
        <w:tc>
          <w:tcPr>
            <w:tcW w:w="2254" w:type="dxa"/>
            <w:tcBorders>
              <w:top w:val="single" w:sz="4" w:space="0" w:color="auto"/>
              <w:bottom w:val="single" w:sz="4" w:space="0" w:color="auto"/>
            </w:tcBorders>
            <w:shd w:val="clear" w:color="auto" w:fill="BFBFBF" w:themeFill="background1" w:themeFillShade="BF"/>
          </w:tcPr>
          <w:p w14:paraId="2BFCE0DF" w14:textId="28DE84FD" w:rsidR="00C1632F" w:rsidRPr="00E914F7" w:rsidRDefault="00C1632F" w:rsidP="00DF77D1">
            <w:pPr>
              <w:spacing w:line="480" w:lineRule="auto"/>
              <w:jc w:val="center"/>
              <w:rPr>
                <w:b/>
              </w:rPr>
            </w:pPr>
            <w:r w:rsidRPr="00E914F7">
              <w:rPr>
                <w:b/>
              </w:rPr>
              <w:t>Trials only</w:t>
            </w:r>
          </w:p>
        </w:tc>
        <w:tc>
          <w:tcPr>
            <w:tcW w:w="2254" w:type="dxa"/>
            <w:tcBorders>
              <w:top w:val="single" w:sz="4" w:space="0" w:color="auto"/>
              <w:bottom w:val="single" w:sz="4" w:space="0" w:color="auto"/>
            </w:tcBorders>
            <w:shd w:val="clear" w:color="auto" w:fill="BFBFBF" w:themeFill="background1" w:themeFillShade="BF"/>
          </w:tcPr>
          <w:p w14:paraId="1F4B95CB" w14:textId="72DE0C7D" w:rsidR="00C1632F" w:rsidRPr="00E914F7" w:rsidRDefault="00C1632F" w:rsidP="00DF77D1">
            <w:pPr>
              <w:spacing w:line="480" w:lineRule="auto"/>
              <w:jc w:val="center"/>
              <w:rPr>
                <w:b/>
              </w:rPr>
            </w:pPr>
            <w:r w:rsidRPr="00E914F7">
              <w:rPr>
                <w:b/>
              </w:rPr>
              <w:t>Cohort only</w:t>
            </w:r>
          </w:p>
        </w:tc>
        <w:tc>
          <w:tcPr>
            <w:tcW w:w="2254" w:type="dxa"/>
            <w:tcBorders>
              <w:top w:val="single" w:sz="4" w:space="0" w:color="auto"/>
              <w:bottom w:val="single" w:sz="4" w:space="0" w:color="auto"/>
            </w:tcBorders>
            <w:shd w:val="clear" w:color="auto" w:fill="BFBFBF" w:themeFill="background1" w:themeFillShade="BF"/>
          </w:tcPr>
          <w:p w14:paraId="31BE4ADD" w14:textId="7071B318" w:rsidR="00C1632F" w:rsidRPr="00E914F7" w:rsidRDefault="00C1632F" w:rsidP="00DF77D1">
            <w:pPr>
              <w:spacing w:line="480" w:lineRule="auto"/>
              <w:jc w:val="center"/>
              <w:rPr>
                <w:b/>
              </w:rPr>
            </w:pPr>
            <w:r w:rsidRPr="00E914F7">
              <w:rPr>
                <w:b/>
              </w:rPr>
              <w:t>Trials and cohort</w:t>
            </w:r>
          </w:p>
        </w:tc>
      </w:tr>
      <w:tr w:rsidR="00C1632F" w14:paraId="2E018406" w14:textId="77777777" w:rsidTr="00E914F7">
        <w:tc>
          <w:tcPr>
            <w:tcW w:w="2254" w:type="dxa"/>
            <w:tcBorders>
              <w:top w:val="single" w:sz="4" w:space="0" w:color="auto"/>
            </w:tcBorders>
          </w:tcPr>
          <w:p w14:paraId="0C34CB1B" w14:textId="72EC4C82" w:rsidR="00C1632F" w:rsidRPr="00E914F7" w:rsidRDefault="00C1632F" w:rsidP="00DF77D1">
            <w:pPr>
              <w:spacing w:line="480" w:lineRule="auto"/>
              <w:rPr>
                <w:b/>
              </w:rPr>
            </w:pPr>
            <w:r w:rsidRPr="00E914F7">
              <w:rPr>
                <w:b/>
              </w:rPr>
              <w:t>ARE</w:t>
            </w:r>
          </w:p>
        </w:tc>
        <w:tc>
          <w:tcPr>
            <w:tcW w:w="2254" w:type="dxa"/>
            <w:tcBorders>
              <w:top w:val="single" w:sz="4" w:space="0" w:color="auto"/>
            </w:tcBorders>
          </w:tcPr>
          <w:p w14:paraId="60608194" w14:textId="57202A78" w:rsidR="00C1632F" w:rsidRDefault="00E914F7" w:rsidP="00DF77D1">
            <w:pPr>
              <w:spacing w:line="480" w:lineRule="auto"/>
              <w:jc w:val="center"/>
            </w:pPr>
            <w:r>
              <w:t>1.10</w:t>
            </w:r>
          </w:p>
        </w:tc>
        <w:tc>
          <w:tcPr>
            <w:tcW w:w="2254" w:type="dxa"/>
            <w:tcBorders>
              <w:top w:val="single" w:sz="4" w:space="0" w:color="auto"/>
            </w:tcBorders>
          </w:tcPr>
          <w:p w14:paraId="71580280" w14:textId="775E68D7" w:rsidR="00C1632F" w:rsidRDefault="00E914F7" w:rsidP="00DF77D1">
            <w:pPr>
              <w:spacing w:line="480" w:lineRule="auto"/>
              <w:jc w:val="center"/>
            </w:pPr>
            <w:r>
              <w:t>1.56</w:t>
            </w:r>
          </w:p>
        </w:tc>
        <w:tc>
          <w:tcPr>
            <w:tcW w:w="2254" w:type="dxa"/>
            <w:tcBorders>
              <w:top w:val="single" w:sz="4" w:space="0" w:color="auto"/>
            </w:tcBorders>
          </w:tcPr>
          <w:p w14:paraId="5864CC61" w14:textId="342217F9" w:rsidR="00C1632F" w:rsidRDefault="00E914F7" w:rsidP="00DF77D1">
            <w:pPr>
              <w:spacing w:line="480" w:lineRule="auto"/>
              <w:jc w:val="center"/>
            </w:pPr>
            <w:r>
              <w:t>0.86</w:t>
            </w:r>
          </w:p>
        </w:tc>
      </w:tr>
      <w:tr w:rsidR="00C1632F" w14:paraId="2C068A6C" w14:textId="77777777" w:rsidTr="00E914F7">
        <w:tc>
          <w:tcPr>
            <w:tcW w:w="2254" w:type="dxa"/>
            <w:tcBorders>
              <w:bottom w:val="single" w:sz="4" w:space="0" w:color="auto"/>
            </w:tcBorders>
          </w:tcPr>
          <w:p w14:paraId="0B32AB68" w14:textId="2BA1CBA9" w:rsidR="00C1632F" w:rsidRPr="00E914F7" w:rsidRDefault="00C1632F" w:rsidP="00DF77D1">
            <w:pPr>
              <w:spacing w:line="480" w:lineRule="auto"/>
              <w:rPr>
                <w:b/>
              </w:rPr>
            </w:pPr>
            <w:r w:rsidRPr="00E914F7">
              <w:rPr>
                <w:b/>
              </w:rPr>
              <w:t>SE(ARE)</w:t>
            </w:r>
          </w:p>
        </w:tc>
        <w:tc>
          <w:tcPr>
            <w:tcW w:w="2254" w:type="dxa"/>
            <w:tcBorders>
              <w:bottom w:val="single" w:sz="4" w:space="0" w:color="auto"/>
            </w:tcBorders>
          </w:tcPr>
          <w:p w14:paraId="31E6645D" w14:textId="20C5B201" w:rsidR="00C1632F" w:rsidRDefault="00E914F7" w:rsidP="00DF77D1">
            <w:pPr>
              <w:spacing w:line="480" w:lineRule="auto"/>
              <w:jc w:val="center"/>
            </w:pPr>
            <w:r>
              <w:t>0.316</w:t>
            </w:r>
          </w:p>
        </w:tc>
        <w:tc>
          <w:tcPr>
            <w:tcW w:w="2254" w:type="dxa"/>
            <w:tcBorders>
              <w:bottom w:val="single" w:sz="4" w:space="0" w:color="auto"/>
            </w:tcBorders>
          </w:tcPr>
          <w:p w14:paraId="6EA5045F" w14:textId="173609D9" w:rsidR="00C1632F" w:rsidRDefault="00E914F7" w:rsidP="00DF77D1">
            <w:pPr>
              <w:spacing w:line="480" w:lineRule="auto"/>
              <w:jc w:val="center"/>
            </w:pPr>
            <w:r>
              <w:t>0.240</w:t>
            </w:r>
          </w:p>
        </w:tc>
        <w:tc>
          <w:tcPr>
            <w:tcW w:w="2254" w:type="dxa"/>
            <w:tcBorders>
              <w:bottom w:val="single" w:sz="4" w:space="0" w:color="auto"/>
            </w:tcBorders>
          </w:tcPr>
          <w:p w14:paraId="4BA5A061" w14:textId="600E6AD0" w:rsidR="00C1632F" w:rsidRDefault="00E914F7" w:rsidP="00DF77D1">
            <w:pPr>
              <w:spacing w:line="480" w:lineRule="auto"/>
              <w:jc w:val="center"/>
            </w:pPr>
            <w:r>
              <w:t>0.327</w:t>
            </w:r>
          </w:p>
        </w:tc>
      </w:tr>
    </w:tbl>
    <w:p w14:paraId="0DA3CD46" w14:textId="77777777" w:rsidR="00C1632F" w:rsidRPr="00C1632F" w:rsidRDefault="00C1632F" w:rsidP="00DF77D1">
      <w:pPr>
        <w:spacing w:line="480" w:lineRule="auto"/>
      </w:pPr>
    </w:p>
    <w:p w14:paraId="21365A19" w14:textId="1E97F9DE" w:rsidR="00824A3A" w:rsidRDefault="00856E59" w:rsidP="00DF77D1">
      <w:pPr>
        <w:spacing w:line="480" w:lineRule="auto"/>
        <w:rPr>
          <w:b/>
        </w:rPr>
      </w:pPr>
      <w:r>
        <w:rPr>
          <w:b/>
        </w:rPr>
        <w:t xml:space="preserve">4. </w:t>
      </w:r>
      <w:r w:rsidR="00824A3A">
        <w:rPr>
          <w:b/>
        </w:rPr>
        <w:t>Discussion</w:t>
      </w:r>
    </w:p>
    <w:p w14:paraId="68C8B69F" w14:textId="0EE6D64E" w:rsidR="009F52FD" w:rsidRDefault="00E914F7" w:rsidP="00DF77D1">
      <w:pPr>
        <w:spacing w:line="480" w:lineRule="auto"/>
        <w:jc w:val="both"/>
      </w:pPr>
      <w:bookmarkStart w:id="10" w:name="_Hlk106701583"/>
      <w:r>
        <w:t xml:space="preserve">In this paper we have proposed </w:t>
      </w:r>
      <w:r w:rsidR="0040649A">
        <w:t xml:space="preserve">and evaluated </w:t>
      </w:r>
      <w:r>
        <w:t>a novel estimator of treatment effectiveness which incorporates data from RCTs to improve the estimates of treatment effect available from analysis of data on a treated cohort. The performance of the novel estimator was compared with that of those based on either data source alone via a simulation study</w:t>
      </w:r>
      <w:r w:rsidR="00E53E0D">
        <w:t>,</w:t>
      </w:r>
      <w:r>
        <w:t xml:space="preserve"> demonstrat</w:t>
      </w:r>
      <w:r w:rsidR="00E53E0D">
        <w:t>ing</w:t>
      </w:r>
      <w:r>
        <w:t xml:space="preserve"> the model to be superior for estimating effectiveness in the presence of bias in one </w:t>
      </w:r>
      <w:r w:rsidR="009F0DC8">
        <w:t xml:space="preserve">or both </w:t>
      </w:r>
      <w:r>
        <w:t xml:space="preserve">of the data sources. The model was applied to estimate the effectiveness of </w:t>
      </w:r>
      <w:proofErr w:type="spellStart"/>
      <w:r>
        <w:t>AChEIs</w:t>
      </w:r>
      <w:proofErr w:type="spellEnd"/>
      <w:r>
        <w:t xml:space="preserve"> 12 months after treatment offer</w:t>
      </w:r>
      <w:r w:rsidR="00D02B96">
        <w:t xml:space="preserve"> in terms of MMSE scores</w:t>
      </w:r>
      <w:r>
        <w:t>, and this highlighted an important str</w:t>
      </w:r>
      <w:r w:rsidR="004C632D">
        <w:t>ength of the new combined model;</w:t>
      </w:r>
      <w:r>
        <w:t xml:space="preserve"> namely that even </w:t>
      </w:r>
      <w:r w:rsidR="009F0DC8">
        <w:t>when</w:t>
      </w:r>
      <w:r>
        <w:t xml:space="preserve"> </w:t>
      </w:r>
      <w:proofErr w:type="gramStart"/>
      <w:r>
        <w:t>both of the estimates</w:t>
      </w:r>
      <w:proofErr w:type="gramEnd"/>
      <w:r>
        <w:t xml:space="preserve"> based on a single data source are biased in the same direction the model can identify and account for these biases.</w:t>
      </w:r>
      <w:r w:rsidR="004C632D">
        <w:t xml:space="preserve"> </w:t>
      </w:r>
    </w:p>
    <w:p w14:paraId="5F700AFA" w14:textId="5D547EF2" w:rsidR="00C90D2E" w:rsidRDefault="009F52FD" w:rsidP="00DF77D1">
      <w:pPr>
        <w:spacing w:line="480" w:lineRule="auto"/>
        <w:jc w:val="both"/>
      </w:pPr>
      <w:r>
        <w:t>The combined model used a Bayesian framework, allowing the incorporation of data external to the current dataset in the form of informative prior distributions.</w:t>
      </w:r>
      <w:r w:rsidR="00BA24EA">
        <w:t xml:space="preserve"> </w:t>
      </w:r>
      <w:bookmarkStart w:id="11" w:name="_Hlk106982275"/>
      <w:r w:rsidR="003D623D">
        <w:t xml:space="preserve">This model can be considered an example of the type of bias analysis proposed by Greenland </w:t>
      </w:r>
      <w:r w:rsidR="003D623D">
        <w:fldChar w:fldCharType="begin"/>
      </w:r>
      <w:r w:rsidR="003D623D">
        <w:instrText xml:space="preserve"> ADDIN EN.CITE &lt;EndNote&gt;&lt;Cite&gt;&lt;Author&gt;Greenland&lt;/Author&gt;&lt;Year&gt;2009&lt;/Year&gt;&lt;RecNum&gt;89&lt;/RecNum&gt;&lt;DisplayText&gt;(34)&lt;/DisplayText&gt;&lt;record&gt;&lt;rec-number&gt;89&lt;/rec-number&gt;&lt;foreign-keys&gt;&lt;key app="EN" db-id="xfrxfxvtcevea8evfd1v0fam9z25p0apdt00" timestamp="1656086240"&gt;89&lt;/key&gt;&lt;/foreign-keys&gt;&lt;ref-type name="Journal Article"&gt;17&lt;/ref-type&gt;&lt;contributors&gt;&lt;authors&gt;&lt;author&gt;Greenland, Sander&lt;/author&gt;&lt;/authors&gt;&lt;/contributors&gt;&lt;titles&gt;&lt;title&gt;Bayesian perspectives for epidemiologic research: III. Bias analysis via missing-data methods&lt;/title&gt;&lt;secondary-title&gt;International journal of epidemiology&lt;/secondary-title&gt;&lt;/titles&gt;&lt;periodical&gt;&lt;full-title&gt;International journal of epidemiology&lt;/full-title&gt;&lt;/periodical&gt;&lt;pages&gt;1662-1673&lt;/pages&gt;&lt;volume&gt;38&lt;/volume&gt;&lt;number&gt;6&lt;/number&gt;&lt;dates&gt;&lt;year&gt;2009&lt;/year&gt;&lt;/dates&gt;&lt;isbn&gt;1464-3685&lt;/isbn&gt;&lt;urls&gt;&lt;/urls&gt;&lt;/record&gt;&lt;/Cite&gt;&lt;/EndNote&gt;</w:instrText>
      </w:r>
      <w:r w:rsidR="003D623D">
        <w:fldChar w:fldCharType="separate"/>
      </w:r>
      <w:r w:rsidR="003D623D">
        <w:rPr>
          <w:noProof/>
        </w:rPr>
        <w:t>(34)</w:t>
      </w:r>
      <w:r w:rsidR="003D623D">
        <w:fldChar w:fldCharType="end"/>
      </w:r>
      <w:r w:rsidR="003D623D">
        <w:t xml:space="preserve">. </w:t>
      </w:r>
      <w:r w:rsidR="00E53E0D">
        <w:t>I</w:t>
      </w:r>
      <w:bookmarkEnd w:id="11"/>
      <w:r w:rsidR="00E53E0D">
        <w:t>n</w:t>
      </w:r>
      <w:r w:rsidR="00BA24EA">
        <w:t xml:space="preserve"> this combination of data sources, </w:t>
      </w:r>
      <w:r w:rsidR="00BA24EA">
        <w:lastRenderedPageBreak/>
        <w:t>it is important to account for potential differences in study design and data collection features between the sources. T</w:t>
      </w:r>
      <w:r w:rsidR="004C632D">
        <w:t xml:space="preserve">he lack of such a mechanism is one criticism of many of the existing techniques </w:t>
      </w:r>
      <w:r w:rsidR="002053B5">
        <w:fldChar w:fldCharType="begin"/>
      </w:r>
      <w:r w:rsidR="003D623D">
        <w:instrText xml:space="preserve"> ADDIN EN.CITE &lt;EndNote&gt;&lt;Cite&gt;&lt;Author&gt;Verde&lt;/Author&gt;&lt;Year&gt;2016&lt;/Year&gt;&lt;RecNum&gt;36&lt;/RecNum&gt;&lt;DisplayText&gt;(35)&lt;/DisplayText&gt;&lt;record&gt;&lt;rec-number&gt;36&lt;/rec-number&gt;&lt;foreign-keys&gt;&lt;key app="EN" db-id="p5t2axawez5dr9efspu55tfv5tvdrewdrtxf" timestamp="1573810778"&gt;36&lt;/key&gt;&lt;/foreign-keys&gt;&lt;ref-type name="Journal Article"&gt;17&lt;/ref-type&gt;&lt;contributors&gt;&lt;authors&gt;&lt;author&gt;Verde, Pablo E&lt;/author&gt;&lt;author&gt;Ohmann, Christian&lt;/author&gt;&lt;author&gt;Morbach, Stephan&lt;/author&gt;&lt;author&gt;Icks, Andrea&lt;/author&gt;&lt;/authors&gt;&lt;/contributors&gt;&lt;titles&gt;&lt;title&gt;Bayesian evidence synthesis for exploring generalizability of treatment effects: a case study of combining randomized and non‐randomized results in diabetes&lt;/title&gt;&lt;secondary-title&gt;Statistics in medicine&lt;/secondary-title&gt;&lt;/titles&gt;&lt;periodical&gt;&lt;full-title&gt;Statistics in Medicine&lt;/full-title&gt;&lt;abbr-1&gt;Stat. Med.&lt;/abbr-1&gt;&lt;abbr-2&gt;Stat Med&lt;/abbr-2&gt;&lt;/periodical&gt;&lt;pages&gt;1654-1675&lt;/pages&gt;&lt;volume&gt;35&lt;/volume&gt;&lt;number&gt;10&lt;/number&gt;&lt;dates&gt;&lt;year&gt;2016&lt;/year&gt;&lt;/dates&gt;&lt;isbn&gt;0277-6715&lt;/isbn&gt;&lt;urls&gt;&lt;/urls&gt;&lt;/record&gt;&lt;/Cite&gt;&lt;/EndNote&gt;</w:instrText>
      </w:r>
      <w:r w:rsidR="002053B5">
        <w:fldChar w:fldCharType="separate"/>
      </w:r>
      <w:r w:rsidR="003D623D">
        <w:rPr>
          <w:noProof/>
        </w:rPr>
        <w:t>(35)</w:t>
      </w:r>
      <w:r w:rsidR="002053B5">
        <w:fldChar w:fldCharType="end"/>
      </w:r>
      <w:r w:rsidR="004C632D">
        <w:t xml:space="preserve">. </w:t>
      </w:r>
      <w:bookmarkStart w:id="12" w:name="_Hlk106981009"/>
      <w:r w:rsidR="00BA24EA">
        <w:t xml:space="preserve">Others have suggested that results could be weighted to account for </w:t>
      </w:r>
      <w:r w:rsidR="003D623D">
        <w:t xml:space="preserve">perceived </w:t>
      </w:r>
      <w:r w:rsidR="00BA24EA">
        <w:t xml:space="preserve">differences </w:t>
      </w:r>
      <w:r w:rsidR="00B10F1D">
        <w:t xml:space="preserve">in </w:t>
      </w:r>
      <w:r w:rsidR="003D623D">
        <w:t>reliability of data sources</w:t>
      </w:r>
      <w:r w:rsidR="00B10F1D">
        <w:t xml:space="preserve"> </w:t>
      </w:r>
      <w:r w:rsidR="00BA5239">
        <w:fldChar w:fldCharType="begin"/>
      </w:r>
      <w:r w:rsidR="003D623D">
        <w:instrText xml:space="preserve"> ADDIN EN.CITE &lt;EndNote&gt;&lt;Cite&gt;&lt;Author&gt;Sutton&lt;/Author&gt;&lt;Year&gt;2001&lt;/Year&gt;&lt;RecNum&gt;23&lt;/RecNum&gt;&lt;DisplayText&gt;(12, 13)&lt;/DisplayText&gt;&lt;record&gt;&lt;rec-number&gt;23&lt;/rec-number&gt;&lt;foreign-keys&gt;&lt;key app="EN" db-id="p5t2axawez5dr9efspu55tfv5tvdrewdrtxf" timestamp="1573635140"&gt;23&lt;/key&gt;&lt;/foreign-keys&gt;&lt;ref-type name="Journal Article"&gt;17&lt;/ref-type&gt;&lt;contributors&gt;&lt;authors&gt;&lt;author&gt;Sutton, Alex J&lt;/author&gt;&lt;author&gt;Abrams, Keith R&lt;/author&gt;&lt;/authors&gt;&lt;/contributors&gt;&lt;titles&gt;&lt;title&gt;Bayesian methods in meta-analysis and evidence synthesis&lt;/title&gt;&lt;secondary-title&gt;Statistical methods in medical research&lt;/secondary-title&gt;&lt;/titles&gt;&lt;periodical&gt;&lt;full-title&gt;Statistical Methods in Medical Research&lt;/full-title&gt;&lt;abbr-1&gt;Stat. Methods Med. Res.&lt;/abbr-1&gt;&lt;abbr-2&gt;Stat Methods Med Res&lt;/abbr-2&gt;&lt;/periodical&gt;&lt;pages&gt;277-303&lt;/pages&gt;&lt;volume&gt;10&lt;/volume&gt;&lt;number&gt;4&lt;/number&gt;&lt;dates&gt;&lt;year&gt;2001&lt;/year&gt;&lt;/dates&gt;&lt;isbn&gt;0962-2802&lt;/isbn&gt;&lt;urls&gt;&lt;/urls&gt;&lt;/record&gt;&lt;/Cite&gt;&lt;Cite&gt;&lt;Author&gt;O&amp;apos;Rourke&lt;/Author&gt;&lt;Year&gt;2007&lt;/Year&gt;&lt;RecNum&gt;12&lt;/RecNum&gt;&lt;record&gt;&lt;rec-number&gt;12&lt;/rec-number&gt;&lt;foreign-keys&gt;&lt;key app="EN" db-id="p5t2axawez5dr9efspu55tfv5tvdrewdrtxf" timestamp="1573634929"&gt;12&lt;/key&gt;&lt;/foreign-keys&gt;&lt;ref-type name="Journal Article"&gt;17&lt;/ref-type&gt;&lt;contributors&gt;&lt;authors&gt;&lt;author&gt;O&amp;apos;Rourke, Killian&lt;/author&gt;&lt;author&gt;Walsh, Cathal&lt;/author&gt;&lt;author&gt;Hutchinson, Michael&lt;/author&gt;&lt;/authors&gt;&lt;/contributors&gt;&lt;titles&gt;&lt;title&gt;Outcome of beta-interferon treatment in relapsing-remitting multiple sclerosis: a Bayesian analysis&lt;/title&gt;&lt;secondary-title&gt;Journal of neurology&lt;/secondary-title&gt;&lt;/titles&gt;&lt;periodical&gt;&lt;full-title&gt;Journal of Neurology&lt;/full-title&gt;&lt;abbr-1&gt;J. Neurol.&lt;/abbr-1&gt;&lt;abbr-2&gt;J Neurol&lt;/abbr-2&gt;&lt;/periodical&gt;&lt;pages&gt;1547-1554&lt;/pages&gt;&lt;volume&gt;254&lt;/volume&gt;&lt;number&gt;11&lt;/number&gt;&lt;dates&gt;&lt;year&gt;2007&lt;/year&gt;&lt;/dates&gt;&lt;isbn&gt;0340-5354&lt;/isbn&gt;&lt;urls&gt;&lt;/urls&gt;&lt;/record&gt;&lt;/Cite&gt;&lt;/EndNote&gt;</w:instrText>
      </w:r>
      <w:r w:rsidR="00BA5239">
        <w:fldChar w:fldCharType="separate"/>
      </w:r>
      <w:r w:rsidR="003D623D">
        <w:rPr>
          <w:noProof/>
        </w:rPr>
        <w:t>(12, 13)</w:t>
      </w:r>
      <w:r w:rsidR="00BA5239">
        <w:fldChar w:fldCharType="end"/>
      </w:r>
      <w:r w:rsidR="003D623D">
        <w:t xml:space="preserve">, adjusting point estimates given anticipated bias </w:t>
      </w:r>
      <w:r w:rsidR="003D623D">
        <w:fldChar w:fldCharType="begin"/>
      </w:r>
      <w:r w:rsidR="003D623D">
        <w:instrText xml:space="preserve"> ADDIN EN.CITE &lt;EndNote&gt;&lt;Cite&gt;&lt;Author&gt;O’rourke&lt;/Author&gt;&lt;Year&gt;2010&lt;/Year&gt;&lt;RecNum&gt;34&lt;/RecNum&gt;&lt;DisplayText&gt;(36)&lt;/DisplayText&gt;&lt;record&gt;&lt;rec-number&gt;34&lt;/rec-number&gt;&lt;foreign-keys&gt;&lt;key app="EN" db-id="rtasfdd04tpv5aeatssxvrzwt22es9a9apfe" timestamp="1656084087"&gt;34&lt;/key&gt;&lt;/foreign-keys&gt;&lt;ref-type name="Journal Article"&gt;17&lt;/ref-type&gt;&lt;contributors&gt;&lt;authors&gt;&lt;author&gt;O’rourke, K&lt;/author&gt;&lt;author&gt;Walsh, C&lt;/author&gt;&lt;/authors&gt;&lt;/contributors&gt;&lt;titles&gt;&lt;title&gt;Impact of stroke units on mortality: a Bayesian analysis&lt;/title&gt;&lt;secondary-title&gt;European journal of neurology&lt;/secondary-title&gt;&lt;/titles&gt;&lt;pages&gt;247-251&lt;/pages&gt;&lt;volume&gt;17&lt;/volume&gt;&lt;number&gt;2&lt;/number&gt;&lt;dates&gt;&lt;year&gt;2010&lt;/year&gt;&lt;/dates&gt;&lt;isbn&gt;1351-5101&lt;/isbn&gt;&lt;urls&gt;&lt;/urls&gt;&lt;/record&gt;&lt;/Cite&gt;&lt;/EndNote&gt;</w:instrText>
      </w:r>
      <w:r w:rsidR="003D623D">
        <w:fldChar w:fldCharType="separate"/>
      </w:r>
      <w:r w:rsidR="003D623D">
        <w:rPr>
          <w:noProof/>
        </w:rPr>
        <w:t>(36)</w:t>
      </w:r>
      <w:r w:rsidR="003D623D">
        <w:fldChar w:fldCharType="end"/>
      </w:r>
      <w:r w:rsidR="003D623D">
        <w:t xml:space="preserve"> or discounting the weight of prior information using power priors </w:t>
      </w:r>
      <w:r w:rsidR="003D623D">
        <w:fldChar w:fldCharType="begin"/>
      </w:r>
      <w:r w:rsidR="003D623D">
        <w:instrText xml:space="preserve"> ADDIN EN.CITE &lt;EndNote&gt;&lt;Cite&gt;&lt;Author&gt;Ibrahim&lt;/Author&gt;&lt;Year&gt;2000&lt;/Year&gt;&lt;RecNum&gt;35&lt;/RecNum&gt;&lt;DisplayText&gt;(37)&lt;/DisplayText&gt;&lt;record&gt;&lt;rec-number&gt;35&lt;/rec-number&gt;&lt;foreign-keys&gt;&lt;key app="EN" db-id="rtasfdd04tpv5aeatssxvrzwt22es9a9apfe" timestamp="1656084087"&gt;35&lt;/key&gt;&lt;/foreign-keys&gt;&lt;ref-type name="Journal Article"&gt;17&lt;/ref-type&gt;&lt;contributors&gt;&lt;authors&gt;&lt;author&gt;Ibrahim, Joseph G&lt;/author&gt;&lt;author&gt;Chen, Ming-Hui&lt;/author&gt;&lt;/authors&gt;&lt;/contributors&gt;&lt;titles&gt;&lt;title&gt;Power prior distributions for regression models&lt;/title&gt;&lt;secondary-title&gt;Statistical Science&lt;/secondary-title&gt;&lt;/titles&gt;&lt;pages&gt;46-60&lt;/pages&gt;&lt;volume&gt;15&lt;/volume&gt;&lt;number&gt;1&lt;/number&gt;&lt;dates&gt;&lt;year&gt;2000&lt;/year&gt;&lt;/dates&gt;&lt;isbn&gt;0883-4237&lt;/isbn&gt;&lt;urls&gt;&lt;/urls&gt;&lt;/record&gt;&lt;/Cite&gt;&lt;/EndNote&gt;</w:instrText>
      </w:r>
      <w:r w:rsidR="003D623D">
        <w:fldChar w:fldCharType="separate"/>
      </w:r>
      <w:r w:rsidR="003D623D">
        <w:rPr>
          <w:noProof/>
        </w:rPr>
        <w:t>(37)</w:t>
      </w:r>
      <w:r w:rsidR="003D623D">
        <w:fldChar w:fldCharType="end"/>
      </w:r>
      <w:r w:rsidR="00BA5239">
        <w:t xml:space="preserve">; however, </w:t>
      </w:r>
      <w:r w:rsidR="003D623D">
        <w:t>each of these</w:t>
      </w:r>
      <w:r w:rsidR="00BA5239">
        <w:t xml:space="preserve"> approach</w:t>
      </w:r>
      <w:r w:rsidR="003D623D">
        <w:t>es</w:t>
      </w:r>
      <w:r w:rsidR="00BA5239">
        <w:t xml:space="preserve"> requires substantial subjective judgement</w:t>
      </w:r>
      <w:r w:rsidR="003D623D">
        <w:t xml:space="preserve"> about how to make these adjustments which can present challenges</w:t>
      </w:r>
      <w:r w:rsidR="00BA5239">
        <w:t xml:space="preserve">. </w:t>
      </w:r>
      <w:bookmarkEnd w:id="12"/>
      <w:r w:rsidR="00BA5239">
        <w:t>On the other hand, the approach proposed here provides a method by which informative priors can be applied only to the proportion of the population to which they apply.</w:t>
      </w:r>
    </w:p>
    <w:p w14:paraId="0059E779" w14:textId="082F6ECB" w:rsidR="003D623D" w:rsidRDefault="003D623D" w:rsidP="00DF77D1">
      <w:pPr>
        <w:spacing w:line="480" w:lineRule="auto"/>
        <w:jc w:val="both"/>
      </w:pPr>
      <w:bookmarkStart w:id="13" w:name="_Hlk106981034"/>
      <w:r>
        <w:t xml:space="preserve">One limitation of this method is that it does not address potential differences in distribution between the trial eligible portion of the treated cohort and the trial sample (the requirement for assumption A3 to hold). Approaches to account for these differences (e.g., </w:t>
      </w:r>
      <w:r>
        <w:fldChar w:fldCharType="begin"/>
      </w:r>
      <w:r>
        <w:instrText xml:space="preserve"> ADDIN EN.CITE &lt;EndNote&gt;&lt;Cite&gt;&lt;Author&gt;Cole&lt;/Author&gt;&lt;Year&gt;2010&lt;/Year&gt;&lt;RecNum&gt;40&lt;/RecNum&gt;&lt;DisplayText&gt;(38)&lt;/DisplayText&gt;&lt;record&gt;&lt;rec-number&gt;40&lt;/rec-number&gt;&lt;foreign-keys&gt;&lt;key app="EN" db-id="rtasfdd04tpv5aeatssxvrzwt22es9a9apfe" timestamp="1656084087"&gt;40&lt;/key&gt;&lt;/foreign-keys&gt;&lt;ref-type name="Journal Article"&gt;17&lt;/ref-type&gt;&lt;contributors&gt;&lt;authors&gt;&lt;author&gt;Cole, Stephen R&lt;/author&gt;&lt;author&gt;Stuart, Elizabeth A&lt;/author&gt;&lt;/authors&gt;&lt;/contributors&gt;&lt;titles&gt;&lt;title&gt;Generalizing evidence from randomized clinical trials to target populations: The ACTG 320 trial&lt;/title&gt;&lt;secondary-title&gt;American journal of epidemiology&lt;/secondary-title&gt;&lt;/titles&gt;&lt;pages&gt;107-115&lt;/pages&gt;&lt;volume&gt;172&lt;/volume&gt;&lt;number&gt;1&lt;/number&gt;&lt;dates&gt;&lt;year&gt;2010&lt;/year&gt;&lt;/dates&gt;&lt;isbn&gt;1476-6256&lt;/isbn&gt;&lt;urls&gt;&lt;/urls&gt;&lt;/record&gt;&lt;/Cite&gt;&lt;/EndNote&gt;</w:instrText>
      </w:r>
      <w:r>
        <w:fldChar w:fldCharType="separate"/>
      </w:r>
      <w:r>
        <w:rPr>
          <w:noProof/>
        </w:rPr>
        <w:t>(38)</w:t>
      </w:r>
      <w:r>
        <w:fldChar w:fldCharType="end"/>
      </w:r>
      <w:r>
        <w:t xml:space="preserve">) could be investigated in future as a possible expansion to the model proposed here which would allow assumption A3 to be relaxed and increase the possible applications for the model. </w:t>
      </w:r>
      <w:bookmarkEnd w:id="13"/>
      <w:r>
        <w:t xml:space="preserve">In addition, the model </w:t>
      </w:r>
      <w:r>
        <w:t xml:space="preserve">does not </w:t>
      </w:r>
      <w:r>
        <w:t xml:space="preserve">currently </w:t>
      </w:r>
      <w:r>
        <w:t>address the possibility that adherence rates may differ between the trial and cohort populations, instead relying on the fact that these are likely to be similar when the trials in question are pragmatic phase III trials. Future work could address this by incorporating adherence in the model; however, this would require careful definition of adherence in both data sources.</w:t>
      </w:r>
    </w:p>
    <w:p w14:paraId="0B75D7FE" w14:textId="12D98FFD" w:rsidR="00E914F7" w:rsidRDefault="003D623D" w:rsidP="00DF77D1">
      <w:pPr>
        <w:spacing w:line="480" w:lineRule="auto"/>
        <w:jc w:val="both"/>
      </w:pPr>
      <w:r>
        <w:t>A further</w:t>
      </w:r>
      <w:r>
        <w:t xml:space="preserve"> </w:t>
      </w:r>
      <w:r w:rsidR="00E914F7">
        <w:t>limitation which may be encountered in applying such a model is the need to be able to identify patient eligibility in an EMR; however, the availability of such data is increasing</w:t>
      </w:r>
      <w:r w:rsidR="004C632D">
        <w:t xml:space="preserve"> </w:t>
      </w:r>
      <w:r w:rsidR="002053B5">
        <w:fldChar w:fldCharType="begin"/>
      </w:r>
      <w:r>
        <w:instrText xml:space="preserve"> ADDIN EN.CITE &lt;EndNote&gt;&lt;Cite&gt;&lt;Author&gt;Morgan&lt;/Author&gt;&lt;Year&gt;2010&lt;/Year&gt;&lt;RecNum&gt;33&lt;/RecNum&gt;&lt;DisplayText&gt;(39)&lt;/DisplayText&gt;&lt;record&gt;&lt;rec-number&gt;33&lt;/rec-number&gt;&lt;foreign-keys&gt;&lt;key app="EN" db-id="p5t2axawez5dr9efspu55tfv5tvdrewdrtxf" timestamp="1573810733"&gt;33&lt;/key&gt;&lt;/foreign-keys&gt;&lt;ref-type name="Journal Article"&gt;17&lt;/ref-type&gt;&lt;contributors&gt;&lt;authors&gt;&lt;author&gt;Morgan, Vera A&lt;/author&gt;&lt;author&gt;Jablensky, Assen V&lt;/author&gt;&lt;/authors&gt;&lt;/contributors&gt;&lt;titles&gt;&lt;title&gt;From inventory to benchmark: quality of psychiatric case registers in research&lt;/title&gt;&lt;secondary-title&gt;The British Journal of Psychiatry&lt;/secondary-title&gt;&lt;/titles&gt;&lt;periodical&gt;&lt;full-title&gt;The British Journal of Psychiatry&lt;/full-title&gt;&lt;/periodical&gt;&lt;pages&gt;8-10&lt;/pages&gt;&lt;volume&gt;197&lt;/volume&gt;&lt;number&gt;1&lt;/number&gt;&lt;dates&gt;&lt;year&gt;2010&lt;/year&gt;&lt;/dates&gt;&lt;isbn&gt;0007-1250&lt;/isbn&gt;&lt;urls&gt;&lt;/urls&gt;&lt;/record&gt;&lt;/Cite&gt;&lt;/EndNote&gt;</w:instrText>
      </w:r>
      <w:r w:rsidR="002053B5">
        <w:fldChar w:fldCharType="separate"/>
      </w:r>
      <w:r>
        <w:rPr>
          <w:noProof/>
        </w:rPr>
        <w:t>(39)</w:t>
      </w:r>
      <w:r w:rsidR="002053B5">
        <w:fldChar w:fldCharType="end"/>
      </w:r>
      <w:r w:rsidR="00E914F7">
        <w:t xml:space="preserve">. </w:t>
      </w:r>
      <w:r w:rsidR="00BA5239">
        <w:t xml:space="preserve">Techniques such as natural language processing, constructing variables from constituent parts or the use of proxies may be required; these can increase the time and complexity of fitting this type of model. </w:t>
      </w:r>
      <w:r w:rsidR="00E914F7">
        <w:t xml:space="preserve">Similarly whilst all trial reports should include details of eligibility criteria as per the CONSORT </w:t>
      </w:r>
      <w:r w:rsidR="004C632D">
        <w:t>S</w:t>
      </w:r>
      <w:r w:rsidR="00E914F7">
        <w:t xml:space="preserve">tatement </w:t>
      </w:r>
      <w:r w:rsidR="002053B5">
        <w:fldChar w:fldCharType="begin"/>
      </w:r>
      <w:r>
        <w:instrText xml:space="preserve"> ADDIN EN.CITE &lt;EndNote&gt;&lt;Cite&gt;&lt;Author&gt;Schulz&lt;/Author&gt;&lt;Year&gt;2011&lt;/Year&gt;&lt;RecNum&gt;34&lt;/RecNum&gt;&lt;DisplayText&gt;(40)&lt;/DisplayText&gt;&lt;record&gt;&lt;rec-number&gt;34&lt;/rec-number&gt;&lt;foreign-keys&gt;&lt;key app="EN" db-id="p5t2axawez5dr9efspu55tfv5tvdrewdrtxf" timestamp="1573810735"&gt;34&lt;/key&gt;&lt;/foreign-keys&gt;&lt;ref-type name="Journal Article"&gt;17&lt;/ref-type&gt;&lt;contributors&gt;&lt;authors&gt;&lt;author&gt;Schulz, Kenneth F&lt;/author&gt;&lt;author&gt;Altman, Douglas G&lt;/author&gt;&lt;author&gt;Moher, David&lt;/author&gt;&lt;/authors&gt;&lt;/contributors&gt;&lt;titles&gt;&lt;title&gt;CONSORT 2010 statement: Updated guidelines for reporting parallel group randomized trials&lt;/title&gt;&lt;secondary-title&gt;Annals of Internal Medicine&lt;/secondary-title&gt;&lt;/titles&gt;&lt;periodical&gt;&lt;full-title&gt;Annals of Internal Medicine&lt;/full-title&gt;&lt;abbr-1&gt;Ann. Intern. Med.&lt;/abbr-1&gt;&lt;abbr-2&gt;Ann Intern Med&lt;/abbr-2&gt;&lt;/periodical&gt;&lt;pages&gt;291-292&lt;/pages&gt;&lt;volume&gt;154&lt;/volume&gt;&lt;number&gt;4&lt;/number&gt;&lt;dates&gt;&lt;year&gt;2011&lt;/year&gt;&lt;/dates&gt;&lt;isbn&gt;0003-4819&lt;/isbn&gt;&lt;urls&gt;&lt;/urls&gt;&lt;/record&gt;&lt;/Cite&gt;&lt;/EndNote&gt;</w:instrText>
      </w:r>
      <w:r w:rsidR="002053B5">
        <w:fldChar w:fldCharType="separate"/>
      </w:r>
      <w:r>
        <w:rPr>
          <w:noProof/>
        </w:rPr>
        <w:t>(40)</w:t>
      </w:r>
      <w:r w:rsidR="002053B5">
        <w:fldChar w:fldCharType="end"/>
      </w:r>
      <w:r w:rsidR="004C632D">
        <w:t xml:space="preserve">, </w:t>
      </w:r>
      <w:r w:rsidR="00BA5239">
        <w:t xml:space="preserve">the implementation of these guidelines has been mixed and </w:t>
      </w:r>
      <w:r w:rsidR="004C632D">
        <w:t xml:space="preserve">there is still need for further improvements </w:t>
      </w:r>
      <w:r w:rsidR="002053B5">
        <w:fldChar w:fldCharType="begin">
          <w:fldData xml:space="preserve">PEVuZE5vdGU+PENpdGU+PEF1dGhvcj5Ib3Bld2VsbDwvQXV0aG9yPjxZZWFyPjIwMTA8L1llYXI+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</w:fldData>
        </w:fldChar>
      </w:r>
      <w:r>
        <w:instrText xml:space="preserve"> ADDIN EN.CITE </w:instrText>
      </w:r>
      <w:r>
        <w:fldChar w:fldCharType="begin">
          <w:fldData xml:space="preserve">PEVuZE5vdGU+PENpdGU+PEF1dGhvcj5Ib3Bld2VsbDwvQXV0aG9yPjxZZWFyPjIwMTA8L1llYXI+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</w:fldData>
        </w:fldChar>
      </w:r>
      <w:r>
        <w:instrText xml:space="preserve"> ADDIN EN.CITE.DATA </w:instrText>
      </w:r>
      <w:r>
        <w:fldChar w:fldCharType="end"/>
      </w:r>
      <w:r w:rsidR="002053B5">
        <w:fldChar w:fldCharType="separate"/>
      </w:r>
      <w:r>
        <w:rPr>
          <w:noProof/>
        </w:rPr>
        <w:t>(41, 42)</w:t>
      </w:r>
      <w:r w:rsidR="002053B5">
        <w:fldChar w:fldCharType="end"/>
      </w:r>
      <w:r w:rsidR="004C632D">
        <w:t xml:space="preserve">. In addition, the new combined model relies on assumption A4; </w:t>
      </w:r>
      <w:r w:rsidR="004C632D">
        <w:lastRenderedPageBreak/>
        <w:t>however, th</w:t>
      </w:r>
      <w:r>
        <w:t>i</w:t>
      </w:r>
      <w:r w:rsidR="004C632D">
        <w:t xml:space="preserve">s </w:t>
      </w:r>
      <w:r>
        <w:t>is</w:t>
      </w:r>
      <w:r w:rsidR="004C632D">
        <w:t xml:space="preserve"> weaker than assumption</w:t>
      </w:r>
      <w:r>
        <w:t xml:space="preserve"> A1</w:t>
      </w:r>
      <w:r w:rsidR="004C632D">
        <w:t xml:space="preserve"> which must be made when estimating treatment effects based on only one type of data.</w:t>
      </w:r>
    </w:p>
    <w:p w14:paraId="15A3F1BC" w14:textId="64BCE3DE" w:rsidR="00BA5239" w:rsidRDefault="00BA5239" w:rsidP="00DF77D1">
      <w:pPr>
        <w:spacing w:line="480" w:lineRule="auto"/>
        <w:jc w:val="both"/>
      </w:pPr>
      <w:r>
        <w:t xml:space="preserve">Assumption A4 is analogous to the one made when calculating the linearly extrapolated estimator of treatment effect in Cross Design Synthesis </w:t>
      </w:r>
      <w:r>
        <w:fldChar w:fldCharType="begin"/>
      </w:r>
      <w:r w:rsidR="000D7FE7">
        <w:instrText xml:space="preserve"> ADDIN EN.CITE &lt;EndNote&gt;&lt;Cite&gt;&lt;Author&gt;Kaizar&lt;/Author&gt;&lt;Year&gt;2011&lt;/Year&gt;&lt;RecNum&gt;26&lt;/RecNum&gt;&lt;DisplayText&gt;(15)&lt;/DisplayText&gt;&lt;record&gt;&lt;rec-number&gt;26&lt;/rec-number&gt;&lt;foreign-keys&gt;&lt;key app="EN" db-id="p5t2axawez5dr9efspu55tfv5tvdrewdrtxf" timestamp="1573635837"&gt;26&lt;/key&gt;&lt;/foreign-keys&gt;&lt;ref-type name="Journal Article"&gt;17&lt;/ref-type&gt;&lt;contributors&gt;&lt;authors&gt;&lt;author&gt;Kaizar, Eloise E&lt;/author&gt;&lt;/authors&gt;&lt;/contributors&gt;&lt;titles&gt;&lt;title&gt;Estimating treatment effect via simple cross design synthesis&lt;/title&gt;&lt;secondary-title&gt;Statistics in Medicine&lt;/secondary-title&gt;&lt;/titles&gt;&lt;periodical&gt;&lt;full-title&gt;Statistics in Medicine&lt;/full-title&gt;&lt;abbr-1&gt;Stat. Med.&lt;/abbr-1&gt;&lt;abbr-2&gt;Stat Med&lt;/abbr-2&gt;&lt;/periodical&gt;&lt;pages&gt;2986-3009&lt;/pages&gt;&lt;volume&gt;30&lt;/volume&gt;&lt;number&gt;25&lt;/number&gt;&lt;dates&gt;&lt;year&gt;2011&lt;/year&gt;&lt;/dates&gt;&lt;isbn&gt;0277-6715&lt;/isbn&gt;&lt;urls&gt;&lt;/urls&gt;&lt;/record&gt;&lt;/Cite&gt;&lt;/EndNote&gt;</w:instrText>
      </w:r>
      <w:r>
        <w:fldChar w:fldCharType="separate"/>
      </w:r>
      <w:r w:rsidR="000D7FE7">
        <w:rPr>
          <w:noProof/>
        </w:rPr>
        <w:t>(15)</w:t>
      </w:r>
      <w:r>
        <w:fldChar w:fldCharType="end"/>
      </w:r>
      <w:r>
        <w:t xml:space="preserve">. The model proposed here does, however, have advantages over </w:t>
      </w:r>
      <w:r w:rsidR="00190F68">
        <w:t>Cross Design Synthesis</w:t>
      </w:r>
      <w:r w:rsidR="00E53E0D">
        <w:t>, in that it</w:t>
      </w:r>
      <w:r w:rsidR="00190F68">
        <w:t xml:space="preserve"> uses a treated cohort from routine data rather than a comparative observational study</w:t>
      </w:r>
      <w:r w:rsidR="00E53E0D">
        <w:t>;</w:t>
      </w:r>
      <w:r w:rsidR="00190F68">
        <w:t xml:space="preserve"> such data sources are more readily and more widely available. In addition, the approach proposed here uses both data sources directly in estimating the treatment effect.</w:t>
      </w:r>
    </w:p>
    <w:p w14:paraId="6DE966D5" w14:textId="08AF7632" w:rsidR="00795CF4" w:rsidRDefault="00DF79C0" w:rsidP="00B64214">
      <w:pPr>
        <w:spacing w:line="480" w:lineRule="auto"/>
        <w:jc w:val="both"/>
      </w:pPr>
      <w:bookmarkStart w:id="14" w:name="_Hlk106374187"/>
      <w:r>
        <w:t xml:space="preserve">The approach has been developed for a continuous outcome measure; however, it could be expanded in future for use with </w:t>
      </w:r>
      <w:r w:rsidR="000E2866">
        <w:t xml:space="preserve">in other clinical settings (e.g., where patients are expected to recover permanently </w:t>
      </w:r>
      <w:proofErr w:type="gramStart"/>
      <w:r w:rsidR="000E2866">
        <w:t>as a result of</w:t>
      </w:r>
      <w:proofErr w:type="gramEnd"/>
      <w:r w:rsidR="000E2866">
        <w:t xml:space="preserve"> treatment) or </w:t>
      </w:r>
      <w:r>
        <w:t xml:space="preserve">other data types (for example binary or time to event data). This would require careful consideration of reasonable assumptions for outcomes under control conditions in the EMR data and then using these assumptions to derive an appropriate model with a treatment effect parameter on which a prior could be placed. Simulation studies would be required to investigate the performance of such an expansion of the model. </w:t>
      </w:r>
      <w:bookmarkEnd w:id="14"/>
      <w:r w:rsidR="004C632D">
        <w:t xml:space="preserve">The modelling methods could also be applied in other conditions and to estimate the effectiveness of other treatments. </w:t>
      </w:r>
    </w:p>
    <w:p w14:paraId="5A4A8D4B" w14:textId="4544F841" w:rsidR="00795CF4" w:rsidRDefault="003D623D" w:rsidP="00DF77D1">
      <w:pPr>
        <w:spacing w:line="480" w:lineRule="auto"/>
        <w:jc w:val="both"/>
      </w:pPr>
      <w:bookmarkStart w:id="15" w:name="_Hlk106982634"/>
      <w:bookmarkEnd w:id="10"/>
      <w:r>
        <w:t xml:space="preserve">In conclusion, in this paper we have proposed a Bayesian mixed model approach to combining data from trials and a treated cohort to estimate treatment effectiveness and demonstrated using a simulation study the superiority of estimates of effectiveness produced by this model compared to those provided by either data source alone. The new model was also applied to estimate the effectiveness at 12 months after treatment offer of </w:t>
      </w:r>
      <w:proofErr w:type="spellStart"/>
      <w:r>
        <w:t>AChEIs</w:t>
      </w:r>
      <w:proofErr w:type="spellEnd"/>
      <w:r>
        <w:t xml:space="preserve"> in the management of dementia as measured using the MMSE. Several possible avenues for future extensions of this model have also been proposed. </w:t>
      </w:r>
    </w:p>
    <w:bookmarkEnd w:id="15"/>
    <w:p w14:paraId="52226901" w14:textId="77777777" w:rsidR="002411EF" w:rsidRDefault="002411EF">
      <w:pPr>
        <w:rPr>
          <w:b/>
          <w:bCs/>
        </w:rPr>
      </w:pPr>
      <w:r>
        <w:rPr>
          <w:b/>
          <w:bCs/>
        </w:rPr>
        <w:br w:type="page"/>
      </w:r>
    </w:p>
    <w:p w14:paraId="173626CB" w14:textId="50F3BE37" w:rsidR="000D7FE7" w:rsidRDefault="000D7FE7" w:rsidP="000D7FE7">
      <w:pPr>
        <w:spacing w:line="480" w:lineRule="auto"/>
        <w:jc w:val="both"/>
        <w:rPr>
          <w:b/>
          <w:bCs/>
        </w:rPr>
      </w:pPr>
      <w:r>
        <w:rPr>
          <w:b/>
          <w:bCs/>
        </w:rPr>
        <w:lastRenderedPageBreak/>
        <w:t>Ethics approval</w:t>
      </w:r>
    </w:p>
    <w:p w14:paraId="137B0008" w14:textId="1E84C1DD" w:rsidR="000D7FE7" w:rsidRDefault="000D7FE7" w:rsidP="000D7FE7">
      <w:pPr>
        <w:spacing w:line="480" w:lineRule="auto"/>
        <w:jc w:val="both"/>
      </w:pPr>
      <w:r>
        <w:t>The CRIS system received ethical approval from the Oxfordshire Research Ethics Committee C as an anonymised data resource.</w:t>
      </w:r>
    </w:p>
    <w:p w14:paraId="660DF295" w14:textId="3537CB3C" w:rsidR="000D7FE7" w:rsidRDefault="000D7FE7" w:rsidP="000D7FE7">
      <w:pPr>
        <w:spacing w:line="480" w:lineRule="auto"/>
        <w:jc w:val="both"/>
        <w:rPr>
          <w:b/>
          <w:bCs/>
        </w:rPr>
      </w:pPr>
      <w:r>
        <w:rPr>
          <w:b/>
          <w:bCs/>
        </w:rPr>
        <w:t>Author contributions</w:t>
      </w:r>
    </w:p>
    <w:p w14:paraId="387C7BAA" w14:textId="610F8664" w:rsidR="00D6425F" w:rsidRPr="00D6425F" w:rsidRDefault="00D6425F" w:rsidP="000D7FE7">
      <w:pPr>
        <w:spacing w:line="480" w:lineRule="auto"/>
        <w:jc w:val="both"/>
      </w:pPr>
      <w:r>
        <w:t>All authors contributed to study conception, study design, interpretation of the results, and reviewed the draft manuscript. RK performed the formal analyses and prepared the first draft of the manuscript.</w:t>
      </w:r>
    </w:p>
    <w:p w14:paraId="13BA8BBE" w14:textId="77777777" w:rsidR="00795CF4" w:rsidRPr="00795CF4" w:rsidRDefault="00795CF4" w:rsidP="00DF77D1">
      <w:pPr>
        <w:spacing w:line="480" w:lineRule="auto"/>
        <w:jc w:val="both"/>
        <w:rPr>
          <w:b/>
          <w:bCs/>
        </w:rPr>
      </w:pPr>
      <w:r w:rsidRPr="00795CF4">
        <w:rPr>
          <w:b/>
          <w:bCs/>
        </w:rPr>
        <w:t>Sources of funding</w:t>
      </w:r>
    </w:p>
    <w:p w14:paraId="0033F9EB" w14:textId="464AE734" w:rsidR="00795CF4" w:rsidRDefault="00795CF4" w:rsidP="00DF77D1">
      <w:pPr>
        <w:spacing w:line="480" w:lineRule="auto"/>
        <w:jc w:val="both"/>
      </w:pPr>
      <w:r>
        <w:t>This paper represents independent research funded by the National Institute for Health Research (NIHR) Biomedical Research Centre at South London and Maudsley NHS Foundation Trust and King’s College London</w:t>
      </w:r>
      <w:r w:rsidR="000D1C4B">
        <w:t xml:space="preserve"> as part of a PhD studentship to RK</w:t>
      </w:r>
      <w:r>
        <w:t>. The views expressed are those of the authors and not necessarily those of the NHS, the NIHR, or the Department of Health.</w:t>
      </w:r>
    </w:p>
    <w:p w14:paraId="3D912E0F" w14:textId="77777777" w:rsidR="000D1C4B" w:rsidRDefault="00795CF4" w:rsidP="00DF77D1">
      <w:pPr>
        <w:spacing w:line="480" w:lineRule="auto"/>
        <w:jc w:val="both"/>
      </w:pPr>
      <w:r>
        <w:t xml:space="preserve">RS is part-funded </w:t>
      </w:r>
      <w:proofErr w:type="gramStart"/>
      <w:r>
        <w:t>by:</w:t>
      </w:r>
      <w:proofErr w:type="gramEnd"/>
      <w:r>
        <w:t xml:space="preserve"> </w:t>
      </w:r>
      <w:proofErr w:type="spellStart"/>
      <w:r>
        <w:t>i</w:t>
      </w:r>
      <w:proofErr w:type="spellEnd"/>
      <w:r>
        <w:t xml:space="preserve">) the </w:t>
      </w:r>
      <w:r>
        <w:rPr>
          <w:color w:val="000000"/>
          <w:shd w:val="clear" w:color="auto" w:fill="FFFFFF"/>
        </w:rPr>
        <w:t xml:space="preserve">National Institute for Health Research (NIHR) </w:t>
      </w:r>
      <w:r>
        <w:t xml:space="preserve">Biomedical Research Centre at the South London and Maudsley NHS Foundation Trust and King’s College London; ii) the Medical Research Council (MRC) HDR UK DATAMIND hub; iii) an NIHR Senior Investigator Award; iv) the National Institute for Health Research (NIHR) Applied Research Collaboration South London (NIHR ARC South London) at King’s College Hospital NHS Foundation Trust. </w:t>
      </w:r>
    </w:p>
    <w:p w14:paraId="51686417" w14:textId="120C861E" w:rsidR="000D7FE7" w:rsidRPr="00795CF4" w:rsidRDefault="000D7FE7" w:rsidP="000D7FE7">
      <w:pPr>
        <w:spacing w:line="480" w:lineRule="auto"/>
        <w:jc w:val="both"/>
        <w:rPr>
          <w:b/>
          <w:bCs/>
        </w:rPr>
      </w:pPr>
      <w:r>
        <w:rPr>
          <w:b/>
          <w:bCs/>
        </w:rPr>
        <w:t>Conflict of i</w:t>
      </w:r>
      <w:r w:rsidRPr="00795CF4">
        <w:rPr>
          <w:b/>
          <w:bCs/>
        </w:rPr>
        <w:t>nterest</w:t>
      </w:r>
    </w:p>
    <w:p w14:paraId="2C850477" w14:textId="1A70DC6A" w:rsidR="00B964C5" w:rsidRPr="000D7FE7" w:rsidRDefault="000D7FE7" w:rsidP="00DF77D1">
      <w:pPr>
        <w:spacing w:line="480" w:lineRule="auto"/>
        <w:jc w:val="both"/>
      </w:pPr>
      <w:r>
        <w:t>RS declares research support received in the last 36 months from Janssen, GSK and Takeda. All other authors declare no competing interests.</w:t>
      </w:r>
      <w:r w:rsidR="00B964C5">
        <w:rPr>
          <w:b/>
        </w:rPr>
        <w:br w:type="page"/>
      </w:r>
    </w:p>
    <w:p w14:paraId="3BB7FAE8" w14:textId="2B105476" w:rsidR="00B964C5" w:rsidRDefault="00B964C5" w:rsidP="00DF77D1">
      <w:pPr>
        <w:spacing w:line="480" w:lineRule="auto"/>
      </w:pPr>
      <w:r>
        <w:rPr>
          <w:b/>
        </w:rPr>
        <w:lastRenderedPageBreak/>
        <w:t>References</w:t>
      </w:r>
    </w:p>
    <w:p w14:paraId="4FE45839" w14:textId="77777777" w:rsidR="003D623D" w:rsidRPr="003D623D" w:rsidRDefault="00C90D2E" w:rsidP="003D623D">
      <w:pPr>
        <w:pStyle w:val="EndNoteBibliography"/>
        <w:spacing w:after="0"/>
      </w:pPr>
      <w:r>
        <w:fldChar w:fldCharType="begin"/>
      </w:r>
      <w:r>
        <w:instrText xml:space="preserve"> ADDIN EN.REFLIST </w:instrText>
      </w:r>
      <w:r>
        <w:fldChar w:fldCharType="separate"/>
      </w:r>
      <w:r w:rsidR="003D623D" w:rsidRPr="003D623D">
        <w:t>1.</w:t>
      </w:r>
      <w:r w:rsidR="003D623D" w:rsidRPr="003D623D">
        <w:tab/>
        <w:t>Smeets HM, Laan W, Engelhard IM, Boks MP, Geerlings MI, de Wit NJ. The psychiatric case register middle Netherlands. BMC Psychiatry. 2011;11(1):106.</w:t>
      </w:r>
    </w:p>
    <w:p w14:paraId="311A0AA1" w14:textId="77777777" w:rsidR="003D623D" w:rsidRPr="003D623D" w:rsidRDefault="003D623D" w:rsidP="003D623D">
      <w:pPr>
        <w:pStyle w:val="EndNoteBibliography"/>
        <w:spacing w:after="0"/>
      </w:pPr>
      <w:r w:rsidRPr="003D623D">
        <w:t>2.</w:t>
      </w:r>
      <w:r w:rsidRPr="003D623D">
        <w:tab/>
        <w:t>Stewart R, Davis K. ‘Big data’in mental health research: current status and emerging possibilities. Soc Psychiatry Psychiatr Epidemiol. 2016;51(8):1055-72.</w:t>
      </w:r>
    </w:p>
    <w:p w14:paraId="631BC0E9" w14:textId="77777777" w:rsidR="003D623D" w:rsidRPr="003D623D" w:rsidRDefault="003D623D" w:rsidP="003D623D">
      <w:pPr>
        <w:pStyle w:val="EndNoteBibliography"/>
        <w:spacing w:after="0"/>
      </w:pPr>
      <w:r w:rsidRPr="003D623D">
        <w:t>3.</w:t>
      </w:r>
      <w:r w:rsidRPr="003D623D">
        <w:tab/>
        <w:t>Dunn G, Emsley R, Liu H, Landau S, Green J, White I, et al. Evaluation and validation of social and psychological markers in randomised trials of complex interventions in mental health: a methodological research programme. 2015.</w:t>
      </w:r>
    </w:p>
    <w:p w14:paraId="2445CABE" w14:textId="77777777" w:rsidR="003D623D" w:rsidRPr="003D623D" w:rsidRDefault="003D623D" w:rsidP="003D623D">
      <w:pPr>
        <w:pStyle w:val="EndNoteBibliography"/>
        <w:spacing w:after="0"/>
      </w:pPr>
      <w:r w:rsidRPr="003D623D">
        <w:t>4.</w:t>
      </w:r>
      <w:r w:rsidRPr="003D623D">
        <w:tab/>
        <w:t>Licht RW, Gouliaev G, Vestergaard P, Frydenberg M. Generalisability of results from randomised drug trials: a trial on antimanic treatment. The British Journal of Psychiatry. 1997;170(3):264-7.</w:t>
      </w:r>
    </w:p>
    <w:p w14:paraId="34AA79D5" w14:textId="77777777" w:rsidR="003D623D" w:rsidRPr="003D623D" w:rsidRDefault="003D623D" w:rsidP="003D623D">
      <w:pPr>
        <w:pStyle w:val="EndNoteBibliography"/>
        <w:spacing w:after="0"/>
      </w:pPr>
      <w:r w:rsidRPr="003D623D">
        <w:t>5.</w:t>
      </w:r>
      <w:r w:rsidRPr="003D623D">
        <w:tab/>
        <w:t>Rothwell PM. External validity of randomised controlled trials:“to whom do the results of this trial apply?”. The Lancet. 2005;365(9453):82-93.</w:t>
      </w:r>
    </w:p>
    <w:p w14:paraId="32A8EA0D" w14:textId="77777777" w:rsidR="003D623D" w:rsidRPr="003D623D" w:rsidRDefault="003D623D" w:rsidP="003D623D">
      <w:pPr>
        <w:pStyle w:val="EndNoteBibliography"/>
        <w:spacing w:after="0"/>
      </w:pPr>
      <w:r w:rsidRPr="003D623D">
        <w:t>6.</w:t>
      </w:r>
      <w:r w:rsidRPr="003D623D">
        <w:tab/>
        <w:t>Ades A, Sutton A. Multiparameter evidence synthesis in epidemiology and medical decision‐making: current approaches. J Roy Stat Soc Ser A (Stat Soc). 2006;169(1):5-35.</w:t>
      </w:r>
    </w:p>
    <w:p w14:paraId="3099F99A" w14:textId="77777777" w:rsidR="003D623D" w:rsidRPr="003D623D" w:rsidRDefault="003D623D" w:rsidP="003D623D">
      <w:pPr>
        <w:pStyle w:val="EndNoteBibliography"/>
        <w:spacing w:after="0"/>
      </w:pPr>
      <w:r w:rsidRPr="003D623D">
        <w:t>7.</w:t>
      </w:r>
      <w:r w:rsidRPr="003D623D">
        <w:tab/>
        <w:t>Kaizar EE. Incorporating both randomized and observational data into a single analysis. Annual Review of Statistics and Its Application. 2015;2:49-72.</w:t>
      </w:r>
    </w:p>
    <w:p w14:paraId="160F3AC3" w14:textId="77777777" w:rsidR="003D623D" w:rsidRPr="003D623D" w:rsidRDefault="003D623D" w:rsidP="003D623D">
      <w:pPr>
        <w:pStyle w:val="EndNoteBibliography"/>
        <w:spacing w:after="0"/>
      </w:pPr>
      <w:r w:rsidRPr="003D623D">
        <w:t>8.</w:t>
      </w:r>
      <w:r w:rsidRPr="003D623D">
        <w:tab/>
        <w:t>Verde PE, Ohmann C. Combining randomized and non‐randomized evidence in clinical research: a review of methods and applications. Research synthesis methods. 2015;6(1):45-62.</w:t>
      </w:r>
    </w:p>
    <w:p w14:paraId="0BCB50F1" w14:textId="77777777" w:rsidR="003D623D" w:rsidRPr="003D623D" w:rsidRDefault="003D623D" w:rsidP="003D623D">
      <w:pPr>
        <w:pStyle w:val="EndNoteBibliography"/>
        <w:spacing w:after="0"/>
      </w:pPr>
      <w:r w:rsidRPr="003D623D">
        <w:t>9.</w:t>
      </w:r>
      <w:r w:rsidRPr="003D623D">
        <w:tab/>
        <w:t>Eddy DM. The confidence profile method: a Bayesian method for assessing health technologies. Oper Res. 1989;37(2):210-28.</w:t>
      </w:r>
    </w:p>
    <w:p w14:paraId="6DC5C81E" w14:textId="77777777" w:rsidR="003D623D" w:rsidRPr="003D623D" w:rsidRDefault="003D623D" w:rsidP="003D623D">
      <w:pPr>
        <w:pStyle w:val="EndNoteBibliography"/>
        <w:spacing w:after="0"/>
      </w:pPr>
      <w:r w:rsidRPr="003D623D">
        <w:t>10.</w:t>
      </w:r>
      <w:r w:rsidRPr="003D623D">
        <w:tab/>
        <w:t>Prevost TC, Abrams KR, Jones DR. Hierarchical models in generalized synthesis of evidence: an example based on studies of breast cancer screening. Stat Med. 2000;19(24):3359-76.</w:t>
      </w:r>
    </w:p>
    <w:p w14:paraId="1E473DFC" w14:textId="77777777" w:rsidR="003D623D" w:rsidRPr="003D623D" w:rsidRDefault="003D623D" w:rsidP="003D623D">
      <w:pPr>
        <w:pStyle w:val="EndNoteBibliography"/>
        <w:spacing w:after="0"/>
      </w:pPr>
      <w:r w:rsidRPr="003D623D">
        <w:t>11.</w:t>
      </w:r>
      <w:r w:rsidRPr="003D623D">
        <w:tab/>
        <w:t>Larose DT, Dey DK. Grouped random effects models for Bayesian meta‐analysis. Stat Med. 1997;16(16):1817-29.</w:t>
      </w:r>
    </w:p>
    <w:p w14:paraId="5D5ABCF3" w14:textId="77777777" w:rsidR="003D623D" w:rsidRPr="003D623D" w:rsidRDefault="003D623D" w:rsidP="003D623D">
      <w:pPr>
        <w:pStyle w:val="EndNoteBibliography"/>
        <w:spacing w:after="0"/>
      </w:pPr>
      <w:r w:rsidRPr="003D623D">
        <w:t>12.</w:t>
      </w:r>
      <w:r w:rsidRPr="003D623D">
        <w:tab/>
        <w:t>O'Rourke K, Walsh C, Hutchinson M. Outcome of beta-interferon treatment in relapsing-remitting multiple sclerosis: a Bayesian analysis. J Neurol. 2007;254(11):1547-54.</w:t>
      </w:r>
    </w:p>
    <w:p w14:paraId="47995A59" w14:textId="77777777" w:rsidR="003D623D" w:rsidRPr="003D623D" w:rsidRDefault="003D623D" w:rsidP="003D623D">
      <w:pPr>
        <w:pStyle w:val="EndNoteBibliography"/>
        <w:spacing w:after="0"/>
      </w:pPr>
      <w:r w:rsidRPr="003D623D">
        <w:t>13.</w:t>
      </w:r>
      <w:r w:rsidRPr="003D623D">
        <w:tab/>
        <w:t>Sutton AJ, Abrams KR. Bayesian methods in meta-analysis and evidence synthesis. Stat Methods Med Res. 2001;10(4):277-303.</w:t>
      </w:r>
    </w:p>
    <w:p w14:paraId="78D0A7E6" w14:textId="77777777" w:rsidR="003D623D" w:rsidRPr="003D623D" w:rsidRDefault="003D623D" w:rsidP="003D623D">
      <w:pPr>
        <w:pStyle w:val="EndNoteBibliography"/>
        <w:spacing w:after="0"/>
      </w:pPr>
      <w:r w:rsidRPr="003D623D">
        <w:t>14.</w:t>
      </w:r>
      <w:r w:rsidRPr="003D623D">
        <w:tab/>
        <w:t>Droitcour J, Silberman G, Chelimsky E. Cross-design synthesis: a new form of meta-analysis for combining results from randomized clinical trials and medical-practice databases. Int J Technol Assess Health Care. 1993;9(3):440-9.</w:t>
      </w:r>
    </w:p>
    <w:p w14:paraId="08E52A92" w14:textId="77777777" w:rsidR="003D623D" w:rsidRPr="003D623D" w:rsidRDefault="003D623D" w:rsidP="003D623D">
      <w:pPr>
        <w:pStyle w:val="EndNoteBibliography"/>
        <w:spacing w:after="0"/>
      </w:pPr>
      <w:r w:rsidRPr="003D623D">
        <w:t>15.</w:t>
      </w:r>
      <w:r w:rsidRPr="003D623D">
        <w:tab/>
        <w:t>Kaizar EE. Estimating treatment effect via simple cross design synthesis. Stat Med. 2011;30(25):2986-3009.</w:t>
      </w:r>
    </w:p>
    <w:p w14:paraId="6B655742" w14:textId="77777777" w:rsidR="003D623D" w:rsidRPr="003D623D" w:rsidRDefault="003D623D" w:rsidP="003D623D">
      <w:pPr>
        <w:pStyle w:val="EndNoteBibliography"/>
        <w:spacing w:after="0"/>
      </w:pPr>
      <w:r w:rsidRPr="003D623D">
        <w:t>16.</w:t>
      </w:r>
      <w:r w:rsidRPr="003D623D">
        <w:tab/>
        <w:t>Prince M, Comas-Herrera A, Knapp M, Guerchet M, Karagiannidou M. World Alzheimer report 2016: improving healthcare for people living with dementia: coverage, quality and costs now and in the future. 2016.</w:t>
      </w:r>
    </w:p>
    <w:p w14:paraId="19B494B2" w14:textId="77777777" w:rsidR="003D623D" w:rsidRPr="003D623D" w:rsidRDefault="003D623D" w:rsidP="003D623D">
      <w:pPr>
        <w:pStyle w:val="EndNoteBibliography"/>
        <w:spacing w:after="0"/>
      </w:pPr>
      <w:r w:rsidRPr="003D623D">
        <w:t>17.</w:t>
      </w:r>
      <w:r w:rsidRPr="003D623D">
        <w:tab/>
        <w:t>Terry AV, Buccafusco JJ. The cholinergic hypothesis of age and Alzheimer's disease-related cognitive deficits: recent challenges and their implications for novel drug development. J Pharmacol Exp Ther. 2003;306(3):821-7.</w:t>
      </w:r>
    </w:p>
    <w:p w14:paraId="63CB3D9D" w14:textId="77777777" w:rsidR="003D623D" w:rsidRPr="003D623D" w:rsidRDefault="003D623D" w:rsidP="003D623D">
      <w:pPr>
        <w:pStyle w:val="EndNoteBibliography"/>
        <w:spacing w:after="0"/>
      </w:pPr>
      <w:r w:rsidRPr="003D623D">
        <w:t>18.</w:t>
      </w:r>
      <w:r w:rsidRPr="003D623D">
        <w:tab/>
        <w:t>Perera G, Broadbent M, Callard F, Chang C-K, Downs J, Dutta R, et al. Cohort profile of the South London and Maudsley NHS Foundation Trust Biomedical Research Centre (SLaM BRC) case register: current status and recent enhancement of an electronic mental health record-derived data resource. BMJ open. 2016;6(3):e008721.</w:t>
      </w:r>
    </w:p>
    <w:p w14:paraId="2F7DF70C" w14:textId="77777777" w:rsidR="003D623D" w:rsidRPr="003D623D" w:rsidRDefault="003D623D" w:rsidP="003D623D">
      <w:pPr>
        <w:pStyle w:val="EndNoteBibliography"/>
        <w:spacing w:after="0"/>
      </w:pPr>
      <w:r w:rsidRPr="003D623D">
        <w:t>19.</w:t>
      </w:r>
      <w:r w:rsidRPr="003D623D">
        <w:tab/>
        <w:t>Perera G. Predictors of response to acetylcholinesterase inhibitors: an observational case register-based cohort study: King's College London (University of London); 2013.</w:t>
      </w:r>
    </w:p>
    <w:p w14:paraId="2EF92B71" w14:textId="77777777" w:rsidR="003D623D" w:rsidRPr="003D623D" w:rsidRDefault="003D623D" w:rsidP="003D623D">
      <w:pPr>
        <w:pStyle w:val="EndNoteBibliography"/>
        <w:spacing w:after="0"/>
      </w:pPr>
      <w:r w:rsidRPr="003D623D">
        <w:t>20.</w:t>
      </w:r>
      <w:r w:rsidRPr="003D623D">
        <w:tab/>
        <w:t>Folstein MF, Folstein SE, McHugh PR. “Mini-mental state”: a practical method for grading the cognitive state of patients for the clinician. J Psychiatr Res. 1975;12(3):189-98.</w:t>
      </w:r>
    </w:p>
    <w:p w14:paraId="5C98139B" w14:textId="77777777" w:rsidR="003D623D" w:rsidRPr="003D623D" w:rsidRDefault="003D623D" w:rsidP="003D623D">
      <w:pPr>
        <w:pStyle w:val="EndNoteBibliography"/>
        <w:spacing w:after="0"/>
      </w:pPr>
      <w:r w:rsidRPr="003D623D">
        <w:lastRenderedPageBreak/>
        <w:t>21.</w:t>
      </w:r>
      <w:r w:rsidRPr="003D623D">
        <w:tab/>
        <w:t>Knight R, Khondoker M, Magill N, Stewart R, Landau S. A systematic review and meta-analysis of the effectiveness of acetylcholinesterase inhibitors and memantine in treating the cognitive symptoms of dementia. Dement Geriatr Cogn Disord. 2018;45(3-4):131-51.</w:t>
      </w:r>
    </w:p>
    <w:p w14:paraId="793A6AF9" w14:textId="77777777" w:rsidR="003D623D" w:rsidRPr="003D623D" w:rsidRDefault="003D623D" w:rsidP="003D623D">
      <w:pPr>
        <w:pStyle w:val="EndNoteBibliography"/>
        <w:spacing w:after="0"/>
      </w:pPr>
      <w:r w:rsidRPr="003D623D">
        <w:t>22.</w:t>
      </w:r>
      <w:r w:rsidRPr="003D623D">
        <w:tab/>
        <w:t>Perera G, Khondoker M, Broadbent M, Breen G, Stewart R. Factors associated with response to acetylcholinesterase inhibition in dementia: a cohort study from a secondary mental health care case register in London. PloS one. 2014;9(11):e109484.</w:t>
      </w:r>
    </w:p>
    <w:p w14:paraId="45D54DFE" w14:textId="77777777" w:rsidR="003D623D" w:rsidRPr="003D623D" w:rsidRDefault="003D623D" w:rsidP="003D623D">
      <w:pPr>
        <w:pStyle w:val="EndNoteBibliography"/>
        <w:spacing w:after="0"/>
      </w:pPr>
      <w:r w:rsidRPr="003D623D">
        <w:t>23.</w:t>
      </w:r>
      <w:r w:rsidRPr="003D623D">
        <w:tab/>
        <w:t>Gelman A, Hill J. Data analysis using regression and multilevel/hierarchical models: Cambridge university press; 2006.</w:t>
      </w:r>
    </w:p>
    <w:p w14:paraId="0DF7866F" w14:textId="77777777" w:rsidR="003D623D" w:rsidRPr="003D623D" w:rsidRDefault="003D623D" w:rsidP="003D623D">
      <w:pPr>
        <w:pStyle w:val="EndNoteBibliography"/>
        <w:spacing w:after="0"/>
      </w:pPr>
      <w:r w:rsidRPr="003D623D">
        <w:t>24.</w:t>
      </w:r>
      <w:r w:rsidRPr="003D623D">
        <w:tab/>
        <w:t>Pauler DK, Finkelstein DM. Predicting time to prostate cancer recurrence based on joint models for non‐linear longitudinal biomarkers and event time outcomes. Stat Med. 2002;21(24):3897-911.</w:t>
      </w:r>
    </w:p>
    <w:p w14:paraId="021E99F6" w14:textId="77777777" w:rsidR="003D623D" w:rsidRPr="003D623D" w:rsidRDefault="003D623D" w:rsidP="003D623D">
      <w:pPr>
        <w:pStyle w:val="EndNoteBibliography"/>
        <w:spacing w:after="0"/>
      </w:pPr>
      <w:r w:rsidRPr="003D623D">
        <w:t>25.</w:t>
      </w:r>
      <w:r w:rsidRPr="003D623D">
        <w:tab/>
        <w:t>Lunn D, Jackson C, Best N, Spiegelhalter D, Thomas A. The BUGS book: A practical introduction to Bayesian analysis: Chapman and Hall/CRC; 2012.</w:t>
      </w:r>
    </w:p>
    <w:p w14:paraId="78214DD5" w14:textId="77777777" w:rsidR="003D623D" w:rsidRPr="003D623D" w:rsidRDefault="003D623D" w:rsidP="003D623D">
      <w:pPr>
        <w:pStyle w:val="EndNoteBibliography"/>
        <w:spacing w:after="0"/>
      </w:pPr>
      <w:r w:rsidRPr="003D623D">
        <w:t>26.</w:t>
      </w:r>
      <w:r w:rsidRPr="003D623D">
        <w:tab/>
        <w:t>Schlüter P, Deely J, Nicholson A. Ranking and selecting motor vehicle accident sites by using a hierarchical Bayesian model. Journal of the Royal Statistical Society: Series D (The Statistician). 1997;46(3):293-316.</w:t>
      </w:r>
    </w:p>
    <w:p w14:paraId="2BD7ED06" w14:textId="77777777" w:rsidR="003D623D" w:rsidRPr="003D623D" w:rsidRDefault="003D623D" w:rsidP="003D623D">
      <w:pPr>
        <w:pStyle w:val="EndNoteBibliography"/>
        <w:spacing w:after="0"/>
      </w:pPr>
      <w:r w:rsidRPr="003D623D">
        <w:t>27.</w:t>
      </w:r>
      <w:r w:rsidRPr="003D623D">
        <w:tab/>
        <w:t>Kennedy-Martin T, Curtis S, Faries D, Robinson S, Johnston J. A literature review on the representativeness of randomized controlled trial samples and implications for the external validity of trial results. Trials. 2015;16(1):495.</w:t>
      </w:r>
    </w:p>
    <w:p w14:paraId="651661AB" w14:textId="77777777" w:rsidR="003D623D" w:rsidRPr="003D623D" w:rsidRDefault="003D623D" w:rsidP="003D623D">
      <w:pPr>
        <w:pStyle w:val="EndNoteBibliography"/>
        <w:spacing w:after="0"/>
      </w:pPr>
      <w:r w:rsidRPr="003D623D">
        <w:t>28.</w:t>
      </w:r>
      <w:r w:rsidRPr="003D623D">
        <w:tab/>
        <w:t>Zimmerman M, Chelminski I, Posternak MA. Exclusion criteria used in antidepressant efficacy trials: consistency across studies and representativeness of samples included. The Journal of nervous and mental disease. 2004;192(2):87-94.</w:t>
      </w:r>
    </w:p>
    <w:p w14:paraId="73701498" w14:textId="77777777" w:rsidR="003D623D" w:rsidRPr="003D623D" w:rsidRDefault="003D623D" w:rsidP="003D623D">
      <w:pPr>
        <w:pStyle w:val="EndNoteBibliography"/>
        <w:spacing w:after="0"/>
      </w:pPr>
      <w:r w:rsidRPr="003D623D">
        <w:t>29.</w:t>
      </w:r>
      <w:r w:rsidRPr="003D623D">
        <w:tab/>
        <w:t>Wallis WD, George JC. Introduction to combinatorics: Chapman and Hall/CRC; 2016.</w:t>
      </w:r>
    </w:p>
    <w:p w14:paraId="67486803" w14:textId="77777777" w:rsidR="003D623D" w:rsidRPr="003D623D" w:rsidRDefault="003D623D" w:rsidP="003D623D">
      <w:pPr>
        <w:pStyle w:val="EndNoteBibliography"/>
        <w:spacing w:after="0"/>
      </w:pPr>
      <w:r w:rsidRPr="003D623D">
        <w:t>30.</w:t>
      </w:r>
      <w:r w:rsidRPr="003D623D">
        <w:tab/>
        <w:t>Hager K, Baseman AS, Nye JS, Brashear HR, Han J, Sano M, et al. Effects of galantamine in a 2-year, randomized, placebo-controlled study in Alzheimer’s disease. Neuropsychiatr Dis Treat. 2014;10:391.</w:t>
      </w:r>
    </w:p>
    <w:p w14:paraId="7A7A72C9" w14:textId="77777777" w:rsidR="003D623D" w:rsidRPr="003D623D" w:rsidRDefault="003D623D" w:rsidP="003D623D">
      <w:pPr>
        <w:pStyle w:val="EndNoteBibliography"/>
        <w:spacing w:after="0"/>
      </w:pPr>
      <w:r w:rsidRPr="003D623D">
        <w:t>31.</w:t>
      </w:r>
      <w:r w:rsidRPr="003D623D">
        <w:tab/>
        <w:t>Karaman Y, Erdoğan F, Köseoğlu E, Turan T, Ersoy AÖ. A 12-month study of the efficacy of rivastigmine in patients with advanced moderate Alzheimer’s disease. Dement Geriatr Cogn Disord. 2005;19(1):51-6.</w:t>
      </w:r>
    </w:p>
    <w:p w14:paraId="21ACA77C" w14:textId="77777777" w:rsidR="003D623D" w:rsidRPr="003D623D" w:rsidRDefault="003D623D" w:rsidP="003D623D">
      <w:pPr>
        <w:pStyle w:val="EndNoteBibliography"/>
        <w:spacing w:after="0"/>
      </w:pPr>
      <w:r w:rsidRPr="003D623D">
        <w:t>32.</w:t>
      </w:r>
      <w:r w:rsidRPr="003D623D">
        <w:tab/>
        <w:t>Mohs RC, Doody R, Morris J, Ieni J, Rogers S, Perdomo C, et al. A 1-year, placebo-controlled preservation of function survival study of donepezil in AD patients. Neurology. 2001;57(3):481-8.</w:t>
      </w:r>
    </w:p>
    <w:p w14:paraId="0790E33F" w14:textId="77777777" w:rsidR="003D623D" w:rsidRPr="003D623D" w:rsidRDefault="003D623D" w:rsidP="003D623D">
      <w:pPr>
        <w:pStyle w:val="EndNoteBibliography"/>
        <w:spacing w:after="0"/>
      </w:pPr>
      <w:r w:rsidRPr="003D623D">
        <w:t>33.</w:t>
      </w:r>
      <w:r w:rsidRPr="003D623D">
        <w:tab/>
        <w:t>Winblad B, Engedal K, Soininen H, Verhey F, Waldemar G, Wimo A, et al. A 1-year, randomized, placebo-controlled study of donepezil in patients with mild to moderate AD. Neurology. 2001;57(3):489-95.</w:t>
      </w:r>
    </w:p>
    <w:p w14:paraId="018C2850" w14:textId="77777777" w:rsidR="003D623D" w:rsidRPr="003D623D" w:rsidRDefault="003D623D" w:rsidP="003D623D">
      <w:pPr>
        <w:pStyle w:val="EndNoteBibliography"/>
        <w:spacing w:after="0"/>
      </w:pPr>
      <w:r w:rsidRPr="003D623D">
        <w:t>34.</w:t>
      </w:r>
      <w:r w:rsidRPr="003D623D">
        <w:tab/>
        <w:t>Greenland S. Bayesian perspectives for epidemiologic research: III. Bias analysis via missing-data methods. International journal of epidemiology. 2009;38(6):1662-73.</w:t>
      </w:r>
    </w:p>
    <w:p w14:paraId="6B949C7B" w14:textId="77777777" w:rsidR="003D623D" w:rsidRPr="003D623D" w:rsidRDefault="003D623D" w:rsidP="003D623D">
      <w:pPr>
        <w:pStyle w:val="EndNoteBibliography"/>
        <w:spacing w:after="0"/>
      </w:pPr>
      <w:r w:rsidRPr="003D623D">
        <w:t>35.</w:t>
      </w:r>
      <w:r w:rsidRPr="003D623D">
        <w:tab/>
        <w:t>Verde PE, Ohmann C, Morbach S, Icks A. Bayesian evidence synthesis for exploring generalizability of treatment effects: a case study of combining randomized and non‐randomized results in diabetes. Stat Med. 2016;35(10):1654-75.</w:t>
      </w:r>
    </w:p>
    <w:p w14:paraId="6030BC9E" w14:textId="77777777" w:rsidR="003D623D" w:rsidRPr="003D623D" w:rsidRDefault="003D623D" w:rsidP="003D623D">
      <w:pPr>
        <w:pStyle w:val="EndNoteBibliography"/>
        <w:spacing w:after="0"/>
      </w:pPr>
      <w:r w:rsidRPr="003D623D">
        <w:t>36.</w:t>
      </w:r>
      <w:r w:rsidRPr="003D623D">
        <w:tab/>
        <w:t>O’rourke K, Walsh C. Impact of stroke units on mortality: a Bayesian analysis. European journal of neurology. 2010;17(2):247-51.</w:t>
      </w:r>
    </w:p>
    <w:p w14:paraId="2B2C3D89" w14:textId="77777777" w:rsidR="003D623D" w:rsidRPr="003D623D" w:rsidRDefault="003D623D" w:rsidP="003D623D">
      <w:pPr>
        <w:pStyle w:val="EndNoteBibliography"/>
        <w:spacing w:after="0"/>
      </w:pPr>
      <w:r w:rsidRPr="003D623D">
        <w:t>37.</w:t>
      </w:r>
      <w:r w:rsidRPr="003D623D">
        <w:tab/>
        <w:t>Ibrahim JG, Chen M-H. Power prior distributions for regression models. Statistical Science. 2000;15(1):46-60.</w:t>
      </w:r>
    </w:p>
    <w:p w14:paraId="1CE9E5CC" w14:textId="77777777" w:rsidR="003D623D" w:rsidRPr="003D623D" w:rsidRDefault="003D623D" w:rsidP="003D623D">
      <w:pPr>
        <w:pStyle w:val="EndNoteBibliography"/>
        <w:spacing w:after="0"/>
      </w:pPr>
      <w:r w:rsidRPr="003D623D">
        <w:t>38.</w:t>
      </w:r>
      <w:r w:rsidRPr="003D623D">
        <w:tab/>
        <w:t>Cole SR, Stuart EA. Generalizing evidence from randomized clinical trials to target populations: The ACTG 320 trial. American journal of epidemiology. 2010;172(1):107-15.</w:t>
      </w:r>
    </w:p>
    <w:p w14:paraId="269ABE74" w14:textId="77777777" w:rsidR="003D623D" w:rsidRPr="003D623D" w:rsidRDefault="003D623D" w:rsidP="003D623D">
      <w:pPr>
        <w:pStyle w:val="EndNoteBibliography"/>
        <w:spacing w:after="0"/>
      </w:pPr>
      <w:r w:rsidRPr="003D623D">
        <w:t>39.</w:t>
      </w:r>
      <w:r w:rsidRPr="003D623D">
        <w:tab/>
        <w:t>Morgan VA, Jablensky AV. From inventory to benchmark: quality of psychiatric case registers in research. The British Journal of Psychiatry. 2010;197(1):8-10.</w:t>
      </w:r>
    </w:p>
    <w:p w14:paraId="3478D3E1" w14:textId="77777777" w:rsidR="003D623D" w:rsidRPr="003D623D" w:rsidRDefault="003D623D" w:rsidP="003D623D">
      <w:pPr>
        <w:pStyle w:val="EndNoteBibliography"/>
        <w:spacing w:after="0"/>
      </w:pPr>
      <w:r w:rsidRPr="003D623D">
        <w:t>40.</w:t>
      </w:r>
      <w:r w:rsidRPr="003D623D">
        <w:tab/>
        <w:t>Schulz KF, Altman DG, Moher D. CONSORT 2010 statement: Updated guidelines for reporting parallel group randomized trials. Ann Intern Med. 2011;154(4):291-2.</w:t>
      </w:r>
    </w:p>
    <w:p w14:paraId="7FF981B7" w14:textId="77777777" w:rsidR="003D623D" w:rsidRPr="003D623D" w:rsidRDefault="003D623D" w:rsidP="003D623D">
      <w:pPr>
        <w:pStyle w:val="EndNoteBibliography"/>
        <w:spacing w:after="0"/>
      </w:pPr>
      <w:r w:rsidRPr="003D623D">
        <w:t>41.</w:t>
      </w:r>
      <w:r w:rsidRPr="003D623D">
        <w:tab/>
        <w:t>Hopewell S, Dutton S, Yu L-M, Chan A-W, Altman DG. The quality of reports of randomised trials in 2000 and 2006: comparative study of articles indexed in PubMed. BMJ. 2010;340:c723.</w:t>
      </w:r>
    </w:p>
    <w:p w14:paraId="06CBB44F" w14:textId="77777777" w:rsidR="003D623D" w:rsidRPr="003D623D" w:rsidRDefault="003D623D" w:rsidP="003D623D">
      <w:pPr>
        <w:pStyle w:val="EndNoteBibliography"/>
      </w:pPr>
      <w:r w:rsidRPr="003D623D">
        <w:lastRenderedPageBreak/>
        <w:t>42.</w:t>
      </w:r>
      <w:r w:rsidRPr="003D623D">
        <w:tab/>
        <w:t>Turner L, Shamseer L, Altman DG, Weeks L, Peters J, Kober T, et al. Consolidated standards of reporting trials (CONSORT) and the completeness of reporting of randomised controlled trials (RCTs) published in medical journals. Cochrane Database Syst Rev. 2012(11).</w:t>
      </w:r>
    </w:p>
    <w:p w14:paraId="3D2B283B" w14:textId="680444AE" w:rsidR="00824A3A" w:rsidRPr="00824A3A" w:rsidRDefault="00C90D2E" w:rsidP="000D7FE7">
      <w:pPr>
        <w:spacing w:line="480" w:lineRule="auto"/>
      </w:pPr>
      <w:r>
        <w:fldChar w:fldCharType="end"/>
      </w:r>
    </w:p>
    <w:sectPr w:rsidR="00824A3A" w:rsidRPr="00824A3A" w:rsidSect="00DF77D1">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A680" w14:textId="77777777" w:rsidR="000D7FE7" w:rsidRDefault="000D7FE7" w:rsidP="000D7FE7">
      <w:pPr>
        <w:spacing w:after="0" w:line="240" w:lineRule="auto"/>
      </w:pPr>
      <w:r>
        <w:separator/>
      </w:r>
    </w:p>
  </w:endnote>
  <w:endnote w:type="continuationSeparator" w:id="0">
    <w:p w14:paraId="4261BC5E" w14:textId="77777777" w:rsidR="000D7FE7" w:rsidRDefault="000D7FE7" w:rsidP="000D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MSY1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560998"/>
      <w:docPartObj>
        <w:docPartGallery w:val="Page Numbers (Bottom of Page)"/>
        <w:docPartUnique/>
      </w:docPartObj>
    </w:sdtPr>
    <w:sdtEndPr>
      <w:rPr>
        <w:noProof/>
      </w:rPr>
    </w:sdtEndPr>
    <w:sdtContent>
      <w:p w14:paraId="36CE7DA8" w14:textId="73BC85F9" w:rsidR="000D7FE7" w:rsidRDefault="000D7FE7" w:rsidP="000D7FE7">
        <w:pPr>
          <w:pStyle w:val="Footer"/>
          <w:jc w:val="center"/>
        </w:pPr>
        <w:r>
          <w:fldChar w:fldCharType="begin"/>
        </w:r>
        <w:r>
          <w:instrText xml:space="preserve"> PAGE   \* MERGEFORMAT </w:instrText>
        </w:r>
        <w:r>
          <w:fldChar w:fldCharType="separate"/>
        </w:r>
        <w:r w:rsidR="00BF422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B94F" w14:textId="77777777" w:rsidR="000D7FE7" w:rsidRDefault="000D7FE7" w:rsidP="000D7FE7">
      <w:pPr>
        <w:spacing w:after="0" w:line="240" w:lineRule="auto"/>
      </w:pPr>
      <w:r>
        <w:separator/>
      </w:r>
    </w:p>
  </w:footnote>
  <w:footnote w:type="continuationSeparator" w:id="0">
    <w:p w14:paraId="312E1FA1" w14:textId="77777777" w:rsidR="000D7FE7" w:rsidRDefault="000D7FE7" w:rsidP="000D7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E93"/>
    <w:multiLevelType w:val="hybridMultilevel"/>
    <w:tmpl w:val="8BA4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C608F"/>
    <w:multiLevelType w:val="hybridMultilevel"/>
    <w:tmpl w:val="0608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77282"/>
    <w:multiLevelType w:val="hybridMultilevel"/>
    <w:tmpl w:val="606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2707A"/>
    <w:multiLevelType w:val="hybridMultilevel"/>
    <w:tmpl w:val="B140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61010"/>
    <w:multiLevelType w:val="hybridMultilevel"/>
    <w:tmpl w:val="E03E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A3328"/>
    <w:multiLevelType w:val="hybridMultilevel"/>
    <w:tmpl w:val="965C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26D6D"/>
    <w:multiLevelType w:val="hybridMultilevel"/>
    <w:tmpl w:val="0EEC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1748704">
    <w:abstractNumId w:val="2"/>
  </w:num>
  <w:num w:numId="2" w16cid:durableId="1680813218">
    <w:abstractNumId w:val="3"/>
  </w:num>
  <w:num w:numId="3" w16cid:durableId="91828668">
    <w:abstractNumId w:val="5"/>
  </w:num>
  <w:num w:numId="4" w16cid:durableId="1041979704">
    <w:abstractNumId w:val="4"/>
  </w:num>
  <w:num w:numId="5" w16cid:durableId="204634727">
    <w:abstractNumId w:val="0"/>
  </w:num>
  <w:num w:numId="6" w16cid:durableId="88888444">
    <w:abstractNumId w:val="1"/>
  </w:num>
  <w:num w:numId="7" w16cid:durableId="702901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rxfxvtcevea8evfd1v0fam9z25p0apdt00&quot;&gt;My EndNote Library&lt;record-ids&gt;&lt;item&gt;76&lt;/item&gt;&lt;item&gt;89&lt;/item&gt;&lt;/record-ids&gt;&lt;/item&gt;&lt;/Libraries&gt;"/>
  </w:docVars>
  <w:rsids>
    <w:rsidRoot w:val="00824A3A"/>
    <w:rsid w:val="0000010A"/>
    <w:rsid w:val="00025909"/>
    <w:rsid w:val="00057B06"/>
    <w:rsid w:val="0006229F"/>
    <w:rsid w:val="00076987"/>
    <w:rsid w:val="00077E0C"/>
    <w:rsid w:val="00081CF4"/>
    <w:rsid w:val="000D1C4B"/>
    <w:rsid w:val="000D6975"/>
    <w:rsid w:val="000D7FE7"/>
    <w:rsid w:val="000E2866"/>
    <w:rsid w:val="000E453E"/>
    <w:rsid w:val="000F1267"/>
    <w:rsid w:val="000F6911"/>
    <w:rsid w:val="00103FEE"/>
    <w:rsid w:val="001343E8"/>
    <w:rsid w:val="0014119A"/>
    <w:rsid w:val="00190F68"/>
    <w:rsid w:val="001D45BD"/>
    <w:rsid w:val="00202196"/>
    <w:rsid w:val="00203319"/>
    <w:rsid w:val="002053B5"/>
    <w:rsid w:val="002056FB"/>
    <w:rsid w:val="002071E3"/>
    <w:rsid w:val="002073EF"/>
    <w:rsid w:val="0021565D"/>
    <w:rsid w:val="00222306"/>
    <w:rsid w:val="002411EF"/>
    <w:rsid w:val="002470E4"/>
    <w:rsid w:val="00255E2C"/>
    <w:rsid w:val="00264F11"/>
    <w:rsid w:val="0027451B"/>
    <w:rsid w:val="00287898"/>
    <w:rsid w:val="00293620"/>
    <w:rsid w:val="002A4F6B"/>
    <w:rsid w:val="002A5754"/>
    <w:rsid w:val="002A69A5"/>
    <w:rsid w:val="002A6A93"/>
    <w:rsid w:val="002B4FC1"/>
    <w:rsid w:val="002E12A2"/>
    <w:rsid w:val="002E6C8A"/>
    <w:rsid w:val="002F11E3"/>
    <w:rsid w:val="002F16D3"/>
    <w:rsid w:val="0031316F"/>
    <w:rsid w:val="0031739C"/>
    <w:rsid w:val="00340EA3"/>
    <w:rsid w:val="00346F40"/>
    <w:rsid w:val="00356C2A"/>
    <w:rsid w:val="0036093C"/>
    <w:rsid w:val="00365C02"/>
    <w:rsid w:val="003731E6"/>
    <w:rsid w:val="00382FB9"/>
    <w:rsid w:val="00386847"/>
    <w:rsid w:val="00397372"/>
    <w:rsid w:val="003A0D5F"/>
    <w:rsid w:val="003A0DC7"/>
    <w:rsid w:val="003A27E3"/>
    <w:rsid w:val="003D623D"/>
    <w:rsid w:val="003F50BE"/>
    <w:rsid w:val="00403A47"/>
    <w:rsid w:val="00405485"/>
    <w:rsid w:val="0040649A"/>
    <w:rsid w:val="0041267E"/>
    <w:rsid w:val="004268AF"/>
    <w:rsid w:val="00474F2B"/>
    <w:rsid w:val="00484E5C"/>
    <w:rsid w:val="004A0870"/>
    <w:rsid w:val="004B3236"/>
    <w:rsid w:val="004B36D9"/>
    <w:rsid w:val="004C59B3"/>
    <w:rsid w:val="004C632D"/>
    <w:rsid w:val="004D471C"/>
    <w:rsid w:val="00501198"/>
    <w:rsid w:val="0051430C"/>
    <w:rsid w:val="00522324"/>
    <w:rsid w:val="005359D5"/>
    <w:rsid w:val="00541396"/>
    <w:rsid w:val="005661DE"/>
    <w:rsid w:val="005854C6"/>
    <w:rsid w:val="005E71E3"/>
    <w:rsid w:val="006071C7"/>
    <w:rsid w:val="00612F58"/>
    <w:rsid w:val="006218DE"/>
    <w:rsid w:val="00623EF9"/>
    <w:rsid w:val="00635D4D"/>
    <w:rsid w:val="006426EC"/>
    <w:rsid w:val="00687A6B"/>
    <w:rsid w:val="00687AC0"/>
    <w:rsid w:val="006A6239"/>
    <w:rsid w:val="006C04E2"/>
    <w:rsid w:val="006C2040"/>
    <w:rsid w:val="00726729"/>
    <w:rsid w:val="007335A8"/>
    <w:rsid w:val="007423A4"/>
    <w:rsid w:val="00776C46"/>
    <w:rsid w:val="007811DC"/>
    <w:rsid w:val="00785CCE"/>
    <w:rsid w:val="0079218B"/>
    <w:rsid w:val="00795CF4"/>
    <w:rsid w:val="007A30F8"/>
    <w:rsid w:val="007A437C"/>
    <w:rsid w:val="007A5BDB"/>
    <w:rsid w:val="00820B33"/>
    <w:rsid w:val="00824A3A"/>
    <w:rsid w:val="00826058"/>
    <w:rsid w:val="00844DD0"/>
    <w:rsid w:val="00856E59"/>
    <w:rsid w:val="008973FD"/>
    <w:rsid w:val="008E4FA6"/>
    <w:rsid w:val="008E6B34"/>
    <w:rsid w:val="008E7C1B"/>
    <w:rsid w:val="00906A2E"/>
    <w:rsid w:val="0092134F"/>
    <w:rsid w:val="009403C4"/>
    <w:rsid w:val="00976CE8"/>
    <w:rsid w:val="00977AEF"/>
    <w:rsid w:val="009A22B1"/>
    <w:rsid w:val="009C7F2B"/>
    <w:rsid w:val="009D06DE"/>
    <w:rsid w:val="009D0FC1"/>
    <w:rsid w:val="009D48B6"/>
    <w:rsid w:val="009E33FB"/>
    <w:rsid w:val="009E4B76"/>
    <w:rsid w:val="009F0DC8"/>
    <w:rsid w:val="009F52FD"/>
    <w:rsid w:val="00A01FC1"/>
    <w:rsid w:val="00A549C9"/>
    <w:rsid w:val="00A76689"/>
    <w:rsid w:val="00A82D1B"/>
    <w:rsid w:val="00A86197"/>
    <w:rsid w:val="00AA499A"/>
    <w:rsid w:val="00AD0D8E"/>
    <w:rsid w:val="00AD3DBC"/>
    <w:rsid w:val="00B10F1D"/>
    <w:rsid w:val="00B15288"/>
    <w:rsid w:val="00B45BBD"/>
    <w:rsid w:val="00B50EF7"/>
    <w:rsid w:val="00B52585"/>
    <w:rsid w:val="00B60C02"/>
    <w:rsid w:val="00B628E9"/>
    <w:rsid w:val="00B64214"/>
    <w:rsid w:val="00B75598"/>
    <w:rsid w:val="00B847E6"/>
    <w:rsid w:val="00B874AC"/>
    <w:rsid w:val="00B93F64"/>
    <w:rsid w:val="00B964C5"/>
    <w:rsid w:val="00BA24EA"/>
    <w:rsid w:val="00BA5239"/>
    <w:rsid w:val="00BD156E"/>
    <w:rsid w:val="00BE0B4A"/>
    <w:rsid w:val="00BF18DB"/>
    <w:rsid w:val="00BF28AF"/>
    <w:rsid w:val="00BF422A"/>
    <w:rsid w:val="00BF441E"/>
    <w:rsid w:val="00C1632F"/>
    <w:rsid w:val="00C43DE8"/>
    <w:rsid w:val="00C5457A"/>
    <w:rsid w:val="00C57334"/>
    <w:rsid w:val="00C8465F"/>
    <w:rsid w:val="00C90D2E"/>
    <w:rsid w:val="00C9220C"/>
    <w:rsid w:val="00C93855"/>
    <w:rsid w:val="00CA5BC6"/>
    <w:rsid w:val="00CC78F7"/>
    <w:rsid w:val="00CD7766"/>
    <w:rsid w:val="00CF1C34"/>
    <w:rsid w:val="00CF6BC0"/>
    <w:rsid w:val="00D02B3C"/>
    <w:rsid w:val="00D02B96"/>
    <w:rsid w:val="00D10B2A"/>
    <w:rsid w:val="00D130D4"/>
    <w:rsid w:val="00D26171"/>
    <w:rsid w:val="00D35396"/>
    <w:rsid w:val="00D64003"/>
    <w:rsid w:val="00D6425F"/>
    <w:rsid w:val="00D709D4"/>
    <w:rsid w:val="00D86084"/>
    <w:rsid w:val="00D94698"/>
    <w:rsid w:val="00DB18EE"/>
    <w:rsid w:val="00DC1D9A"/>
    <w:rsid w:val="00DD5006"/>
    <w:rsid w:val="00DD52A0"/>
    <w:rsid w:val="00DE05F3"/>
    <w:rsid w:val="00DF77D1"/>
    <w:rsid w:val="00DF79C0"/>
    <w:rsid w:val="00DF7A0E"/>
    <w:rsid w:val="00E0056C"/>
    <w:rsid w:val="00E1381F"/>
    <w:rsid w:val="00E13D17"/>
    <w:rsid w:val="00E13E52"/>
    <w:rsid w:val="00E15F8A"/>
    <w:rsid w:val="00E17448"/>
    <w:rsid w:val="00E2218E"/>
    <w:rsid w:val="00E32BCE"/>
    <w:rsid w:val="00E53E0D"/>
    <w:rsid w:val="00E54A6E"/>
    <w:rsid w:val="00E778B8"/>
    <w:rsid w:val="00E77A3F"/>
    <w:rsid w:val="00E85E9C"/>
    <w:rsid w:val="00E914F7"/>
    <w:rsid w:val="00E921CF"/>
    <w:rsid w:val="00E92898"/>
    <w:rsid w:val="00EA4C95"/>
    <w:rsid w:val="00EB705F"/>
    <w:rsid w:val="00EE00BE"/>
    <w:rsid w:val="00EF19AE"/>
    <w:rsid w:val="00EF5E3A"/>
    <w:rsid w:val="00EF701B"/>
    <w:rsid w:val="00F17A31"/>
    <w:rsid w:val="00F209E7"/>
    <w:rsid w:val="00F26EBE"/>
    <w:rsid w:val="00F37E15"/>
    <w:rsid w:val="00F74180"/>
    <w:rsid w:val="00F866A2"/>
    <w:rsid w:val="00F86D5C"/>
    <w:rsid w:val="00FA27F8"/>
    <w:rsid w:val="00FA2DAF"/>
    <w:rsid w:val="00FC3BDB"/>
    <w:rsid w:val="00FC48A6"/>
    <w:rsid w:val="00FF4918"/>
    <w:rsid w:val="00FF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D18CB"/>
  <w15:chartTrackingRefBased/>
  <w15:docId w15:val="{13A9AD57-0B74-4C8A-B6F3-8E983810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4A3A"/>
    <w:rPr>
      <w:sz w:val="16"/>
      <w:szCs w:val="16"/>
    </w:rPr>
  </w:style>
  <w:style w:type="paragraph" w:styleId="CommentText">
    <w:name w:val="annotation text"/>
    <w:basedOn w:val="Normal"/>
    <w:link w:val="CommentTextChar"/>
    <w:uiPriority w:val="99"/>
    <w:unhideWhenUsed/>
    <w:rsid w:val="00824A3A"/>
    <w:pPr>
      <w:spacing w:line="240" w:lineRule="auto"/>
    </w:pPr>
    <w:rPr>
      <w:sz w:val="20"/>
      <w:szCs w:val="20"/>
    </w:rPr>
  </w:style>
  <w:style w:type="character" w:customStyle="1" w:styleId="CommentTextChar">
    <w:name w:val="Comment Text Char"/>
    <w:basedOn w:val="DefaultParagraphFont"/>
    <w:link w:val="CommentText"/>
    <w:uiPriority w:val="99"/>
    <w:rsid w:val="00824A3A"/>
    <w:rPr>
      <w:sz w:val="20"/>
      <w:szCs w:val="20"/>
    </w:rPr>
  </w:style>
  <w:style w:type="paragraph" w:styleId="CommentSubject">
    <w:name w:val="annotation subject"/>
    <w:basedOn w:val="CommentText"/>
    <w:next w:val="CommentText"/>
    <w:link w:val="CommentSubjectChar"/>
    <w:uiPriority w:val="99"/>
    <w:semiHidden/>
    <w:unhideWhenUsed/>
    <w:rsid w:val="00824A3A"/>
    <w:rPr>
      <w:b/>
      <w:bCs/>
    </w:rPr>
  </w:style>
  <w:style w:type="character" w:customStyle="1" w:styleId="CommentSubjectChar">
    <w:name w:val="Comment Subject Char"/>
    <w:basedOn w:val="CommentTextChar"/>
    <w:link w:val="CommentSubject"/>
    <w:uiPriority w:val="99"/>
    <w:semiHidden/>
    <w:rsid w:val="00824A3A"/>
    <w:rPr>
      <w:b/>
      <w:bCs/>
      <w:sz w:val="20"/>
      <w:szCs w:val="20"/>
    </w:rPr>
  </w:style>
  <w:style w:type="paragraph" w:styleId="BalloonText">
    <w:name w:val="Balloon Text"/>
    <w:basedOn w:val="Normal"/>
    <w:link w:val="BalloonTextChar"/>
    <w:uiPriority w:val="99"/>
    <w:semiHidden/>
    <w:unhideWhenUsed/>
    <w:rsid w:val="0082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3A"/>
    <w:rPr>
      <w:rFonts w:ascii="Segoe UI" w:hAnsi="Segoe UI" w:cs="Segoe UI"/>
      <w:sz w:val="18"/>
      <w:szCs w:val="18"/>
    </w:rPr>
  </w:style>
  <w:style w:type="paragraph" w:styleId="ListParagraph">
    <w:name w:val="List Paragraph"/>
    <w:basedOn w:val="Normal"/>
    <w:uiPriority w:val="34"/>
    <w:qFormat/>
    <w:rsid w:val="00824A3A"/>
    <w:pPr>
      <w:ind w:left="720"/>
      <w:contextualSpacing/>
    </w:pPr>
  </w:style>
  <w:style w:type="paragraph" w:styleId="Revision">
    <w:name w:val="Revision"/>
    <w:hidden/>
    <w:uiPriority w:val="99"/>
    <w:semiHidden/>
    <w:rsid w:val="007A30F8"/>
    <w:pPr>
      <w:spacing w:after="0" w:line="240" w:lineRule="auto"/>
    </w:pPr>
  </w:style>
  <w:style w:type="paragraph" w:styleId="NormalWeb">
    <w:name w:val="Normal (Web)"/>
    <w:basedOn w:val="Normal"/>
    <w:uiPriority w:val="99"/>
    <w:unhideWhenUsed/>
    <w:rsid w:val="00B5258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C78F7"/>
    <w:rPr>
      <w:color w:val="808080"/>
    </w:rPr>
  </w:style>
  <w:style w:type="paragraph" w:customStyle="1" w:styleId="EndNoteBibliographyTitle">
    <w:name w:val="EndNote Bibliography Title"/>
    <w:basedOn w:val="Normal"/>
    <w:link w:val="EndNoteBibliographyTitleChar"/>
    <w:rsid w:val="00C90D2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90D2E"/>
    <w:rPr>
      <w:rFonts w:ascii="Calibri" w:hAnsi="Calibri" w:cs="Calibri"/>
      <w:noProof/>
      <w:lang w:val="en-US"/>
    </w:rPr>
  </w:style>
  <w:style w:type="paragraph" w:customStyle="1" w:styleId="EndNoteBibliography">
    <w:name w:val="EndNote Bibliography"/>
    <w:basedOn w:val="Normal"/>
    <w:link w:val="EndNoteBibliographyChar"/>
    <w:rsid w:val="00C90D2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90D2E"/>
    <w:rPr>
      <w:rFonts w:ascii="Calibri" w:hAnsi="Calibri" w:cs="Calibri"/>
      <w:noProof/>
      <w:lang w:val="en-US"/>
    </w:rPr>
  </w:style>
  <w:style w:type="table" w:styleId="TableGrid">
    <w:name w:val="Table Grid"/>
    <w:basedOn w:val="TableNormal"/>
    <w:uiPriority w:val="39"/>
    <w:rsid w:val="00FA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E921CF"/>
  </w:style>
  <w:style w:type="character" w:styleId="LineNumber">
    <w:name w:val="line number"/>
    <w:basedOn w:val="DefaultParagraphFont"/>
    <w:uiPriority w:val="99"/>
    <w:semiHidden/>
    <w:unhideWhenUsed/>
    <w:rsid w:val="00DF77D1"/>
  </w:style>
  <w:style w:type="character" w:styleId="Hyperlink">
    <w:name w:val="Hyperlink"/>
    <w:basedOn w:val="DefaultParagraphFont"/>
    <w:uiPriority w:val="99"/>
    <w:unhideWhenUsed/>
    <w:rsid w:val="00977AEF"/>
    <w:rPr>
      <w:color w:val="0563C1" w:themeColor="hyperlink"/>
      <w:u w:val="single"/>
    </w:rPr>
  </w:style>
  <w:style w:type="character" w:customStyle="1" w:styleId="UnresolvedMention1">
    <w:name w:val="Unresolved Mention1"/>
    <w:basedOn w:val="DefaultParagraphFont"/>
    <w:uiPriority w:val="99"/>
    <w:semiHidden/>
    <w:unhideWhenUsed/>
    <w:rsid w:val="00977AEF"/>
    <w:rPr>
      <w:color w:val="605E5C"/>
      <w:shd w:val="clear" w:color="auto" w:fill="E1DFDD"/>
    </w:rPr>
  </w:style>
  <w:style w:type="paragraph" w:styleId="Header">
    <w:name w:val="header"/>
    <w:basedOn w:val="Normal"/>
    <w:link w:val="HeaderChar"/>
    <w:uiPriority w:val="99"/>
    <w:unhideWhenUsed/>
    <w:rsid w:val="000D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FE7"/>
  </w:style>
  <w:style w:type="paragraph" w:styleId="Footer">
    <w:name w:val="footer"/>
    <w:basedOn w:val="Normal"/>
    <w:link w:val="FooterChar"/>
    <w:uiPriority w:val="99"/>
    <w:unhideWhenUsed/>
    <w:rsid w:val="000D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7645">
      <w:bodyDiv w:val="1"/>
      <w:marLeft w:val="0"/>
      <w:marRight w:val="0"/>
      <w:marTop w:val="0"/>
      <w:marBottom w:val="0"/>
      <w:divBdr>
        <w:top w:val="none" w:sz="0" w:space="0" w:color="auto"/>
        <w:left w:val="none" w:sz="0" w:space="0" w:color="auto"/>
        <w:bottom w:val="none" w:sz="0" w:space="0" w:color="auto"/>
        <w:right w:val="none" w:sz="0" w:space="0" w:color="auto"/>
      </w:divBdr>
      <w:divsChild>
        <w:div w:id="1020279075">
          <w:marLeft w:val="0"/>
          <w:marRight w:val="0"/>
          <w:marTop w:val="240"/>
          <w:marBottom w:val="120"/>
          <w:divBdr>
            <w:top w:val="none" w:sz="0" w:space="0" w:color="auto"/>
            <w:left w:val="none" w:sz="0" w:space="0" w:color="auto"/>
            <w:bottom w:val="none" w:sz="0" w:space="0" w:color="auto"/>
            <w:right w:val="none" w:sz="0" w:space="0" w:color="auto"/>
          </w:divBdr>
        </w:div>
        <w:div w:id="402724953">
          <w:marLeft w:val="0"/>
          <w:marRight w:val="0"/>
          <w:marTop w:val="240"/>
          <w:marBottom w:val="120"/>
          <w:divBdr>
            <w:top w:val="none" w:sz="0" w:space="0" w:color="auto"/>
            <w:left w:val="none" w:sz="0" w:space="0" w:color="auto"/>
            <w:bottom w:val="none" w:sz="0" w:space="0" w:color="auto"/>
            <w:right w:val="none" w:sz="0" w:space="0" w:color="auto"/>
          </w:divBdr>
        </w:div>
      </w:divsChild>
    </w:div>
    <w:div w:id="1575817412">
      <w:bodyDiv w:val="1"/>
      <w:marLeft w:val="0"/>
      <w:marRight w:val="0"/>
      <w:marTop w:val="0"/>
      <w:marBottom w:val="0"/>
      <w:divBdr>
        <w:top w:val="none" w:sz="0" w:space="0" w:color="auto"/>
        <w:left w:val="none" w:sz="0" w:space="0" w:color="auto"/>
        <w:bottom w:val="none" w:sz="0" w:space="0" w:color="auto"/>
        <w:right w:val="none" w:sz="0" w:space="0" w:color="auto"/>
      </w:divBdr>
      <w:divsChild>
        <w:div w:id="1543133786">
          <w:marLeft w:val="0"/>
          <w:marRight w:val="0"/>
          <w:marTop w:val="0"/>
          <w:marBottom w:val="0"/>
          <w:divBdr>
            <w:top w:val="none" w:sz="0" w:space="0" w:color="auto"/>
            <w:left w:val="none" w:sz="0" w:space="0" w:color="auto"/>
            <w:bottom w:val="none" w:sz="0" w:space="0" w:color="auto"/>
            <w:right w:val="none" w:sz="0" w:space="0" w:color="auto"/>
          </w:divBdr>
          <w:divsChild>
            <w:div w:id="1017275595">
              <w:marLeft w:val="0"/>
              <w:marRight w:val="0"/>
              <w:marTop w:val="0"/>
              <w:marBottom w:val="0"/>
              <w:divBdr>
                <w:top w:val="none" w:sz="0" w:space="0" w:color="auto"/>
                <w:left w:val="none" w:sz="0" w:space="0" w:color="auto"/>
                <w:bottom w:val="none" w:sz="0" w:space="0" w:color="auto"/>
                <w:right w:val="none" w:sz="0" w:space="0" w:color="auto"/>
              </w:divBdr>
              <w:divsChild>
                <w:div w:id="18745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knight@csm.o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F531-3C8E-4FB1-A52A-0DA26982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11063</Words>
  <Characters>63064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Knight</dc:creator>
  <cp:keywords/>
  <dc:description/>
  <cp:lastModifiedBy>Ruth Knight</cp:lastModifiedBy>
  <cp:revision>2</cp:revision>
  <dcterms:created xsi:type="dcterms:W3CDTF">2022-06-24T16:16:00Z</dcterms:created>
  <dcterms:modified xsi:type="dcterms:W3CDTF">2022-06-24T16:16:00Z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