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B8200" w14:textId="77777777" w:rsidR="00431638" w:rsidRPr="0063619D" w:rsidRDefault="00431638" w:rsidP="0063619D">
      <w:pPr>
        <w:spacing w:after="0" w:line="480" w:lineRule="auto"/>
        <w:jc w:val="center"/>
        <w:rPr>
          <w:rFonts w:ascii="Arial" w:hAnsi="Arial" w:cs="Arial"/>
          <w:b/>
          <w:bCs/>
          <w:sz w:val="24"/>
          <w:szCs w:val="24"/>
        </w:rPr>
      </w:pPr>
      <w:r w:rsidRPr="0063619D">
        <w:rPr>
          <w:rFonts w:ascii="Arial" w:hAnsi="Arial" w:cs="Arial"/>
          <w:b/>
          <w:bCs/>
          <w:sz w:val="24"/>
          <w:szCs w:val="24"/>
        </w:rPr>
        <w:t xml:space="preserve">A Failure to Engage? </w:t>
      </w:r>
    </w:p>
    <w:p w14:paraId="2E46F63E" w14:textId="77777777" w:rsidR="00431638" w:rsidRPr="0063619D" w:rsidRDefault="00431638" w:rsidP="0063619D">
      <w:pPr>
        <w:spacing w:after="0" w:line="480" w:lineRule="auto"/>
        <w:jc w:val="center"/>
        <w:rPr>
          <w:rFonts w:ascii="Arial" w:hAnsi="Arial" w:cs="Arial"/>
          <w:b/>
          <w:bCs/>
          <w:sz w:val="24"/>
          <w:szCs w:val="24"/>
        </w:rPr>
      </w:pPr>
      <w:r w:rsidRPr="0063619D">
        <w:rPr>
          <w:rFonts w:ascii="Arial" w:hAnsi="Arial" w:cs="Arial"/>
          <w:b/>
          <w:bCs/>
          <w:sz w:val="24"/>
          <w:szCs w:val="24"/>
        </w:rPr>
        <w:t>Negotiating the Gap Between Students' Expectations and Tutors' Assumptions in Seminars</w:t>
      </w:r>
    </w:p>
    <w:p w14:paraId="736183DC" w14:textId="2357ACFE" w:rsidR="00431638" w:rsidRDefault="00431638" w:rsidP="0063619D">
      <w:pPr>
        <w:spacing w:after="0" w:line="480" w:lineRule="auto"/>
        <w:rPr>
          <w:rFonts w:ascii="Arial" w:hAnsi="Arial" w:cs="Arial"/>
          <w:sz w:val="24"/>
          <w:szCs w:val="24"/>
        </w:rPr>
      </w:pPr>
    </w:p>
    <w:p w14:paraId="7110F65E" w14:textId="0478E454" w:rsidR="00750D49" w:rsidRDefault="00750D49" w:rsidP="00750D49">
      <w:pPr>
        <w:spacing w:after="0" w:line="480" w:lineRule="auto"/>
        <w:jc w:val="both"/>
        <w:rPr>
          <w:rFonts w:ascii="Arial" w:hAnsi="Arial" w:cs="Arial"/>
          <w:sz w:val="24"/>
          <w:szCs w:val="24"/>
        </w:rPr>
      </w:pPr>
      <w:r>
        <w:rPr>
          <w:rFonts w:ascii="Arial" w:hAnsi="Arial" w:cs="Arial"/>
          <w:b/>
          <w:bCs/>
          <w:sz w:val="24"/>
          <w:szCs w:val="24"/>
        </w:rPr>
        <w:t xml:space="preserve">Abstract: </w:t>
      </w:r>
      <w:r w:rsidRPr="0063619D">
        <w:rPr>
          <w:rFonts w:ascii="Arial" w:hAnsi="Arial" w:cs="Arial"/>
          <w:sz w:val="24"/>
          <w:szCs w:val="24"/>
        </w:rPr>
        <w:t xml:space="preserve">Seminar-based teaching remains of continued importance to many degree programmes, particularly within the author’s discipline of the Humanities and Social Sciences. </w:t>
      </w:r>
      <w:r>
        <w:rPr>
          <w:rFonts w:ascii="Arial" w:hAnsi="Arial" w:cs="Arial"/>
          <w:sz w:val="24"/>
          <w:szCs w:val="24"/>
        </w:rPr>
        <w:t>However, o</w:t>
      </w:r>
      <w:r w:rsidRPr="0063619D">
        <w:rPr>
          <w:rFonts w:ascii="Arial" w:hAnsi="Arial" w:cs="Arial"/>
          <w:sz w:val="24"/>
          <w:szCs w:val="24"/>
        </w:rPr>
        <w:t xml:space="preserve">ne of the perennial concerns cited by practitioners in Higher Education </w:t>
      </w:r>
      <w:r>
        <w:rPr>
          <w:rFonts w:ascii="Arial" w:hAnsi="Arial" w:cs="Arial"/>
          <w:sz w:val="24"/>
          <w:szCs w:val="24"/>
        </w:rPr>
        <w:t xml:space="preserve">(HE) </w:t>
      </w:r>
      <w:r w:rsidRPr="0063619D">
        <w:rPr>
          <w:rFonts w:ascii="Arial" w:hAnsi="Arial" w:cs="Arial"/>
          <w:sz w:val="24"/>
          <w:szCs w:val="24"/>
        </w:rPr>
        <w:t xml:space="preserve">relates to engaging students in seminars. In contrast to earlier works which are concerned solely with techniques to better engage students within the classroom, </w:t>
      </w:r>
      <w:r>
        <w:rPr>
          <w:rFonts w:ascii="Arial" w:hAnsi="Arial" w:cs="Arial"/>
          <w:sz w:val="24"/>
          <w:szCs w:val="24"/>
        </w:rPr>
        <w:t xml:space="preserve">through the use of a literature review, this paper </w:t>
      </w:r>
      <w:r w:rsidRPr="0063619D">
        <w:rPr>
          <w:rFonts w:ascii="Arial" w:hAnsi="Arial" w:cs="Arial"/>
          <w:sz w:val="24"/>
          <w:szCs w:val="24"/>
        </w:rPr>
        <w:t>explor</w:t>
      </w:r>
      <w:r>
        <w:rPr>
          <w:rFonts w:ascii="Arial" w:hAnsi="Arial" w:cs="Arial"/>
          <w:sz w:val="24"/>
          <w:szCs w:val="24"/>
        </w:rPr>
        <w:t xml:space="preserve">es </w:t>
      </w:r>
      <w:r w:rsidRPr="0063619D">
        <w:rPr>
          <w:rFonts w:ascii="Arial" w:hAnsi="Arial" w:cs="Arial"/>
          <w:sz w:val="24"/>
          <w:szCs w:val="24"/>
        </w:rPr>
        <w:t xml:space="preserve">deeper the expectations about teaching and learning that students bring with them to HE, as well as the assumptions that teachers in HE make about their students when planning teaching and learning activities. </w:t>
      </w:r>
      <w:r>
        <w:rPr>
          <w:rFonts w:ascii="Arial" w:hAnsi="Arial" w:cs="Arial"/>
          <w:sz w:val="24"/>
          <w:szCs w:val="24"/>
        </w:rPr>
        <w:t xml:space="preserve">Ultimately it concludes that tutors must do more to understand their students’ experiences in transitioning to University, particularly for first-generation students, and to work with students to </w:t>
      </w:r>
      <w:r w:rsidRPr="0063619D">
        <w:rPr>
          <w:rFonts w:ascii="Arial" w:hAnsi="Arial" w:cs="Arial"/>
          <w:sz w:val="24"/>
          <w:szCs w:val="24"/>
        </w:rPr>
        <w:t xml:space="preserve">negotiate new styles of </w:t>
      </w:r>
      <w:r>
        <w:rPr>
          <w:rFonts w:ascii="Arial" w:hAnsi="Arial" w:cs="Arial"/>
          <w:sz w:val="24"/>
          <w:szCs w:val="24"/>
        </w:rPr>
        <w:t xml:space="preserve">teaching and </w:t>
      </w:r>
      <w:r w:rsidRPr="0063619D">
        <w:rPr>
          <w:rFonts w:ascii="Arial" w:hAnsi="Arial" w:cs="Arial"/>
          <w:sz w:val="24"/>
          <w:szCs w:val="24"/>
        </w:rPr>
        <w:t xml:space="preserve">learning </w:t>
      </w:r>
      <w:r>
        <w:rPr>
          <w:rFonts w:ascii="Arial" w:hAnsi="Arial" w:cs="Arial"/>
          <w:sz w:val="24"/>
          <w:szCs w:val="24"/>
        </w:rPr>
        <w:t>which will be unfamiliar to many of them.</w:t>
      </w:r>
    </w:p>
    <w:p w14:paraId="451FD3E6" w14:textId="7F97216A" w:rsidR="00750D49" w:rsidRDefault="00750D49" w:rsidP="0063619D">
      <w:pPr>
        <w:spacing w:after="0" w:line="480" w:lineRule="auto"/>
        <w:rPr>
          <w:rFonts w:ascii="Arial" w:hAnsi="Arial" w:cs="Arial"/>
          <w:b/>
          <w:bCs/>
          <w:sz w:val="24"/>
          <w:szCs w:val="24"/>
        </w:rPr>
      </w:pPr>
    </w:p>
    <w:p w14:paraId="63E9CDBA" w14:textId="53E38EDD" w:rsidR="00750D49" w:rsidRDefault="00750D49" w:rsidP="00750D49">
      <w:pPr>
        <w:spacing w:after="0" w:line="480" w:lineRule="auto"/>
        <w:rPr>
          <w:rFonts w:ascii="Arial" w:hAnsi="Arial" w:cs="Arial"/>
          <w:sz w:val="24"/>
          <w:szCs w:val="24"/>
        </w:rPr>
      </w:pPr>
      <w:r>
        <w:rPr>
          <w:rFonts w:ascii="Arial" w:hAnsi="Arial" w:cs="Arial"/>
          <w:b/>
          <w:bCs/>
          <w:sz w:val="24"/>
          <w:szCs w:val="24"/>
        </w:rPr>
        <w:t xml:space="preserve">Keywords: </w:t>
      </w:r>
      <w:r>
        <w:rPr>
          <w:rFonts w:ascii="Arial" w:hAnsi="Arial" w:cs="Arial"/>
          <w:sz w:val="24"/>
          <w:szCs w:val="24"/>
        </w:rPr>
        <w:t>s</w:t>
      </w:r>
      <w:r w:rsidRPr="00750D49">
        <w:rPr>
          <w:rFonts w:ascii="Arial" w:hAnsi="Arial" w:cs="Arial"/>
          <w:sz w:val="24"/>
          <w:szCs w:val="24"/>
        </w:rPr>
        <w:t>eminars</w:t>
      </w:r>
      <w:r>
        <w:rPr>
          <w:rFonts w:ascii="Arial" w:hAnsi="Arial" w:cs="Arial"/>
          <w:sz w:val="24"/>
          <w:szCs w:val="24"/>
        </w:rPr>
        <w:t>, s</w:t>
      </w:r>
      <w:r w:rsidRPr="00750D49">
        <w:rPr>
          <w:rFonts w:ascii="Arial" w:hAnsi="Arial" w:cs="Arial"/>
          <w:sz w:val="24"/>
          <w:szCs w:val="24"/>
        </w:rPr>
        <w:t>tudent engagement</w:t>
      </w:r>
      <w:r>
        <w:rPr>
          <w:rFonts w:ascii="Arial" w:hAnsi="Arial" w:cs="Arial"/>
          <w:sz w:val="24"/>
          <w:szCs w:val="24"/>
        </w:rPr>
        <w:t xml:space="preserve">, </w:t>
      </w:r>
      <w:r w:rsidRPr="00750D49">
        <w:rPr>
          <w:rFonts w:ascii="Arial" w:hAnsi="Arial" w:cs="Arial"/>
          <w:sz w:val="24"/>
          <w:szCs w:val="24"/>
        </w:rPr>
        <w:t>transition to university</w:t>
      </w:r>
      <w:r>
        <w:rPr>
          <w:rFonts w:ascii="Arial" w:hAnsi="Arial" w:cs="Arial"/>
          <w:sz w:val="24"/>
          <w:szCs w:val="24"/>
        </w:rPr>
        <w:t xml:space="preserve">, </w:t>
      </w:r>
      <w:r w:rsidRPr="00750D49">
        <w:rPr>
          <w:rFonts w:ascii="Arial" w:hAnsi="Arial" w:cs="Arial"/>
          <w:sz w:val="24"/>
          <w:szCs w:val="24"/>
        </w:rPr>
        <w:t>humanities</w:t>
      </w:r>
      <w:r>
        <w:rPr>
          <w:rFonts w:ascii="Arial" w:hAnsi="Arial" w:cs="Arial"/>
          <w:sz w:val="24"/>
          <w:szCs w:val="24"/>
        </w:rPr>
        <w:t xml:space="preserve">, </w:t>
      </w:r>
      <w:r w:rsidRPr="00750D49">
        <w:rPr>
          <w:rFonts w:ascii="Arial" w:hAnsi="Arial" w:cs="Arial"/>
          <w:sz w:val="24"/>
          <w:szCs w:val="24"/>
        </w:rPr>
        <w:t>student expectations</w:t>
      </w:r>
      <w:r>
        <w:rPr>
          <w:rFonts w:ascii="Arial" w:hAnsi="Arial" w:cs="Arial"/>
          <w:sz w:val="24"/>
          <w:szCs w:val="24"/>
        </w:rPr>
        <w:t>.</w:t>
      </w:r>
    </w:p>
    <w:p w14:paraId="5BEC9039" w14:textId="77777777" w:rsidR="00750D49" w:rsidRPr="00750D49" w:rsidRDefault="00750D49" w:rsidP="00750D49">
      <w:pPr>
        <w:spacing w:after="0" w:line="480" w:lineRule="auto"/>
        <w:rPr>
          <w:rFonts w:ascii="Arial" w:hAnsi="Arial" w:cs="Arial"/>
          <w:sz w:val="24"/>
          <w:szCs w:val="24"/>
        </w:rPr>
      </w:pPr>
    </w:p>
    <w:p w14:paraId="7F0C78DE" w14:textId="6BC667F7" w:rsidR="00431638" w:rsidRPr="0063619D" w:rsidRDefault="00431638" w:rsidP="0063619D">
      <w:pPr>
        <w:spacing w:after="0" w:line="480" w:lineRule="auto"/>
        <w:rPr>
          <w:rFonts w:ascii="Arial" w:hAnsi="Arial" w:cs="Arial"/>
          <w:b/>
          <w:sz w:val="24"/>
          <w:szCs w:val="24"/>
        </w:rPr>
      </w:pPr>
      <w:r w:rsidRPr="0063619D">
        <w:rPr>
          <w:rFonts w:ascii="Arial" w:hAnsi="Arial" w:cs="Arial"/>
          <w:b/>
          <w:sz w:val="24"/>
          <w:szCs w:val="24"/>
        </w:rPr>
        <w:t>Introduction</w:t>
      </w:r>
    </w:p>
    <w:p w14:paraId="595C9ADC" w14:textId="3F48D973" w:rsidR="003521F4"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One of the perennial concerns cited by practitioners in Higher Education (HE) – both those new to teaching and more experienced staff – relates to engaging students in seminars. </w:t>
      </w:r>
      <w:r w:rsidR="002901C2">
        <w:rPr>
          <w:rFonts w:ascii="Arial" w:hAnsi="Arial" w:cs="Arial"/>
          <w:sz w:val="24"/>
          <w:szCs w:val="24"/>
        </w:rPr>
        <w:t>For instance, i</w:t>
      </w:r>
      <w:r w:rsidRPr="0063619D">
        <w:rPr>
          <w:rFonts w:ascii="Arial" w:hAnsi="Arial" w:cs="Arial"/>
          <w:sz w:val="24"/>
          <w:szCs w:val="24"/>
        </w:rPr>
        <w:t xml:space="preserve">n their guide to teaching for postgraduates and researchers, Morss and Murray (2015, p. 50) neatly summarize a conversation that will be familiar </w:t>
      </w:r>
      <w:r w:rsidRPr="0063619D">
        <w:rPr>
          <w:rFonts w:ascii="Arial" w:hAnsi="Arial" w:cs="Arial"/>
          <w:sz w:val="24"/>
          <w:szCs w:val="24"/>
        </w:rPr>
        <w:lastRenderedPageBreak/>
        <w:t xml:space="preserve">to many: ‘Experienced staff in my department tell me that students don’t do the reading and won’t talk in tutorials. How am I going to overcome that if they can’t?’ </w:t>
      </w:r>
      <w:r w:rsidR="0090077E">
        <w:rPr>
          <w:rFonts w:ascii="Arial" w:hAnsi="Arial" w:cs="Arial"/>
          <w:sz w:val="24"/>
          <w:szCs w:val="24"/>
        </w:rPr>
        <w:t>Meanwhile, a</w:t>
      </w:r>
      <w:r w:rsidRPr="0063619D">
        <w:rPr>
          <w:rFonts w:ascii="Arial" w:hAnsi="Arial" w:cs="Arial"/>
          <w:sz w:val="24"/>
          <w:szCs w:val="24"/>
        </w:rPr>
        <w:t xml:space="preserve"> brief search of the existing literature reveals a wealth of scholarship which offers practical strategies to help better engage students in seminars, through both verbal and non-verbal methods, and </w:t>
      </w:r>
      <w:r w:rsidR="007822A9">
        <w:rPr>
          <w:rFonts w:ascii="Arial" w:hAnsi="Arial" w:cs="Arial"/>
          <w:sz w:val="24"/>
          <w:szCs w:val="24"/>
        </w:rPr>
        <w:t xml:space="preserve">– </w:t>
      </w:r>
      <w:r w:rsidRPr="0063619D">
        <w:rPr>
          <w:rFonts w:ascii="Arial" w:hAnsi="Arial" w:cs="Arial"/>
          <w:sz w:val="24"/>
          <w:szCs w:val="24"/>
        </w:rPr>
        <w:t>especially since the COVID-19 pandemic</w:t>
      </w:r>
      <w:r w:rsidR="007822A9">
        <w:rPr>
          <w:rFonts w:ascii="Arial" w:hAnsi="Arial" w:cs="Arial"/>
          <w:sz w:val="24"/>
          <w:szCs w:val="24"/>
        </w:rPr>
        <w:t xml:space="preserve"> –</w:t>
      </w:r>
      <w:r w:rsidRPr="0063619D">
        <w:rPr>
          <w:rFonts w:ascii="Arial" w:hAnsi="Arial" w:cs="Arial"/>
          <w:sz w:val="24"/>
          <w:szCs w:val="24"/>
        </w:rPr>
        <w:t xml:space="preserve"> in both virtual </w:t>
      </w:r>
      <w:r w:rsidR="005A2EB5">
        <w:rPr>
          <w:rFonts w:ascii="Arial" w:hAnsi="Arial" w:cs="Arial"/>
          <w:sz w:val="24"/>
          <w:szCs w:val="24"/>
        </w:rPr>
        <w:t>(</w:t>
      </w:r>
      <w:r w:rsidR="004872AF" w:rsidRPr="004872AF">
        <w:rPr>
          <w:rFonts w:ascii="Arial" w:hAnsi="Arial" w:cs="Arial"/>
          <w:sz w:val="24"/>
          <w:szCs w:val="24"/>
        </w:rPr>
        <w:t>Alsandor</w:t>
      </w:r>
      <w:r w:rsidR="004872AF">
        <w:rPr>
          <w:rFonts w:ascii="Arial" w:hAnsi="Arial" w:cs="Arial"/>
          <w:sz w:val="24"/>
          <w:szCs w:val="24"/>
        </w:rPr>
        <w:t xml:space="preserve"> &amp; </w:t>
      </w:r>
      <w:r w:rsidR="004872AF" w:rsidRPr="004872AF">
        <w:rPr>
          <w:rFonts w:ascii="Arial" w:hAnsi="Arial" w:cs="Arial"/>
          <w:sz w:val="24"/>
          <w:szCs w:val="24"/>
        </w:rPr>
        <w:t>Trout,</w:t>
      </w:r>
      <w:r w:rsidR="004872AF">
        <w:rPr>
          <w:rFonts w:ascii="Arial" w:hAnsi="Arial" w:cs="Arial"/>
          <w:sz w:val="24"/>
          <w:szCs w:val="24"/>
        </w:rPr>
        <w:t xml:space="preserve"> </w:t>
      </w:r>
      <w:r w:rsidR="004872AF" w:rsidRPr="004872AF">
        <w:rPr>
          <w:rFonts w:ascii="Arial" w:hAnsi="Arial" w:cs="Arial"/>
          <w:sz w:val="24"/>
          <w:szCs w:val="24"/>
        </w:rPr>
        <w:t>2020</w:t>
      </w:r>
      <w:r w:rsidR="004872AF">
        <w:rPr>
          <w:rFonts w:ascii="Arial" w:hAnsi="Arial" w:cs="Arial"/>
          <w:sz w:val="24"/>
          <w:szCs w:val="24"/>
        </w:rPr>
        <w:t xml:space="preserve">; </w:t>
      </w:r>
      <w:r w:rsidR="00F05652" w:rsidRPr="00F05652">
        <w:rPr>
          <w:rFonts w:ascii="Arial" w:hAnsi="Arial" w:cs="Arial"/>
          <w:sz w:val="24"/>
          <w:szCs w:val="24"/>
        </w:rPr>
        <w:t>Brieger, Arghode</w:t>
      </w:r>
      <w:r w:rsidR="00F05652">
        <w:rPr>
          <w:rFonts w:ascii="Arial" w:hAnsi="Arial" w:cs="Arial"/>
          <w:sz w:val="24"/>
          <w:szCs w:val="24"/>
        </w:rPr>
        <w:t xml:space="preserve"> &amp; </w:t>
      </w:r>
      <w:r w:rsidR="00F05652" w:rsidRPr="00F05652">
        <w:rPr>
          <w:rFonts w:ascii="Arial" w:hAnsi="Arial" w:cs="Arial"/>
          <w:sz w:val="24"/>
          <w:szCs w:val="24"/>
        </w:rPr>
        <w:t xml:space="preserve">McLean, 2020) </w:t>
      </w:r>
      <w:r w:rsidRPr="0063619D">
        <w:rPr>
          <w:rFonts w:ascii="Arial" w:hAnsi="Arial" w:cs="Arial"/>
          <w:sz w:val="24"/>
          <w:szCs w:val="24"/>
        </w:rPr>
        <w:t xml:space="preserve">and physical </w:t>
      </w:r>
      <w:r w:rsidR="005A2EB5">
        <w:rPr>
          <w:rFonts w:ascii="Arial" w:hAnsi="Arial" w:cs="Arial"/>
          <w:sz w:val="24"/>
          <w:szCs w:val="24"/>
        </w:rPr>
        <w:t>(</w:t>
      </w:r>
      <w:r w:rsidR="005A2EB5" w:rsidRPr="0063619D">
        <w:rPr>
          <w:rFonts w:ascii="Arial" w:hAnsi="Arial" w:cs="Arial"/>
          <w:sz w:val="24"/>
          <w:szCs w:val="24"/>
        </w:rPr>
        <w:t>Anderson</w:t>
      </w:r>
      <w:r w:rsidR="005A2EB5">
        <w:rPr>
          <w:rFonts w:ascii="Arial" w:hAnsi="Arial" w:cs="Arial"/>
          <w:sz w:val="24"/>
          <w:szCs w:val="24"/>
        </w:rPr>
        <w:t xml:space="preserve"> &amp; </w:t>
      </w:r>
      <w:r w:rsidR="005A2EB5" w:rsidRPr="0063619D">
        <w:rPr>
          <w:rFonts w:ascii="Arial" w:hAnsi="Arial" w:cs="Arial"/>
          <w:sz w:val="24"/>
          <w:szCs w:val="24"/>
        </w:rPr>
        <w:t>Bellenkes</w:t>
      </w:r>
      <w:r w:rsidR="005A2EB5">
        <w:rPr>
          <w:rFonts w:ascii="Arial" w:hAnsi="Arial" w:cs="Arial"/>
          <w:sz w:val="24"/>
          <w:szCs w:val="24"/>
        </w:rPr>
        <w:t xml:space="preserve">, </w:t>
      </w:r>
      <w:r w:rsidR="005A2EB5" w:rsidRPr="0063619D">
        <w:rPr>
          <w:rFonts w:ascii="Arial" w:hAnsi="Arial" w:cs="Arial"/>
          <w:sz w:val="24"/>
          <w:szCs w:val="24"/>
        </w:rPr>
        <w:t>2013</w:t>
      </w:r>
      <w:r w:rsidR="005A2EB5">
        <w:rPr>
          <w:rFonts w:ascii="Arial" w:hAnsi="Arial" w:cs="Arial"/>
          <w:sz w:val="24"/>
          <w:szCs w:val="24"/>
        </w:rPr>
        <w:t xml:space="preserve">; </w:t>
      </w:r>
      <w:r w:rsidR="005A2EB5" w:rsidRPr="0063619D">
        <w:rPr>
          <w:rFonts w:ascii="Arial" w:eastAsia="Times New Roman" w:hAnsi="Arial" w:cs="Arial"/>
          <w:color w:val="000000"/>
          <w:sz w:val="24"/>
          <w:szCs w:val="24"/>
          <w:lang w:eastAsia="en-GB"/>
        </w:rPr>
        <w:t>Councill</w:t>
      </w:r>
      <w:r w:rsidR="005A2EB5">
        <w:rPr>
          <w:rFonts w:ascii="Arial" w:eastAsia="Times New Roman" w:hAnsi="Arial" w:cs="Arial"/>
          <w:color w:val="000000"/>
          <w:sz w:val="24"/>
          <w:szCs w:val="24"/>
          <w:lang w:eastAsia="en-GB"/>
        </w:rPr>
        <w:t xml:space="preserve"> &amp; </w:t>
      </w:r>
      <w:r w:rsidR="005A2EB5" w:rsidRPr="0063619D">
        <w:rPr>
          <w:rFonts w:ascii="Arial" w:eastAsia="Times New Roman" w:hAnsi="Arial" w:cs="Arial"/>
          <w:color w:val="000000"/>
          <w:sz w:val="24"/>
          <w:szCs w:val="24"/>
          <w:lang w:eastAsia="en-GB"/>
        </w:rPr>
        <w:t xml:space="preserve">Baumgartner, </w:t>
      </w:r>
      <w:r w:rsidR="005A2EB5">
        <w:rPr>
          <w:rFonts w:ascii="Arial" w:eastAsia="Times New Roman" w:hAnsi="Arial" w:cs="Arial"/>
          <w:color w:val="000000"/>
          <w:sz w:val="24"/>
          <w:szCs w:val="24"/>
          <w:lang w:eastAsia="en-GB"/>
        </w:rPr>
        <w:t xml:space="preserve">2017; </w:t>
      </w:r>
      <w:r w:rsidR="000E68A5">
        <w:rPr>
          <w:rFonts w:ascii="Arial" w:eastAsia="Times New Roman" w:hAnsi="Arial" w:cs="Arial"/>
          <w:color w:val="000000"/>
          <w:sz w:val="24"/>
          <w:szCs w:val="24"/>
          <w:lang w:eastAsia="en-GB"/>
        </w:rPr>
        <w:t xml:space="preserve">Morss &amp; Murray, 2015; </w:t>
      </w:r>
      <w:r w:rsidR="005A2EB5" w:rsidRPr="0063619D">
        <w:rPr>
          <w:rFonts w:ascii="Arial" w:hAnsi="Arial" w:cs="Arial"/>
          <w:sz w:val="24"/>
          <w:szCs w:val="24"/>
        </w:rPr>
        <w:t>Strawson,</w:t>
      </w:r>
      <w:r w:rsidR="005A2EB5">
        <w:rPr>
          <w:rFonts w:ascii="Arial" w:hAnsi="Arial" w:cs="Arial"/>
          <w:sz w:val="24"/>
          <w:szCs w:val="24"/>
        </w:rPr>
        <w:t xml:space="preserve"> </w:t>
      </w:r>
      <w:r w:rsidR="005A2EB5" w:rsidRPr="0063619D">
        <w:rPr>
          <w:rFonts w:ascii="Arial" w:hAnsi="Arial" w:cs="Arial"/>
          <w:sz w:val="24"/>
          <w:szCs w:val="24"/>
        </w:rPr>
        <w:t>2012)</w:t>
      </w:r>
      <w:r w:rsidR="005A2EB5">
        <w:rPr>
          <w:rFonts w:ascii="Arial" w:hAnsi="Arial" w:cs="Arial"/>
          <w:sz w:val="24"/>
          <w:szCs w:val="24"/>
        </w:rPr>
        <w:t xml:space="preserve"> </w:t>
      </w:r>
      <w:r w:rsidRPr="0063619D">
        <w:rPr>
          <w:rFonts w:ascii="Arial" w:hAnsi="Arial" w:cs="Arial"/>
          <w:sz w:val="24"/>
          <w:szCs w:val="24"/>
        </w:rPr>
        <w:t xml:space="preserve">classrooms. These strategies can be very helpful, particularly to those who are new to seminar-based teaching, including postgraduate students and those on research-based contracts; the latter often receiving only limited access to courses and workshops that develop their role as teachers (Morss &amp; Murray, 2015). </w:t>
      </w:r>
    </w:p>
    <w:p w14:paraId="1DABF5C9" w14:textId="185BECDA" w:rsidR="008D1ACF" w:rsidRDefault="008D1ACF" w:rsidP="004872AF">
      <w:pPr>
        <w:spacing w:after="0" w:line="480" w:lineRule="auto"/>
        <w:jc w:val="both"/>
        <w:rPr>
          <w:rFonts w:ascii="Arial" w:hAnsi="Arial" w:cs="Arial"/>
          <w:sz w:val="24"/>
          <w:szCs w:val="24"/>
        </w:rPr>
      </w:pPr>
    </w:p>
    <w:p w14:paraId="16E1FAB3" w14:textId="2605D0D7" w:rsidR="00A27955" w:rsidRPr="0063619D" w:rsidRDefault="00A27955" w:rsidP="00A27955">
      <w:pPr>
        <w:spacing w:after="0" w:line="480" w:lineRule="auto"/>
        <w:jc w:val="both"/>
        <w:rPr>
          <w:rFonts w:ascii="Arial" w:hAnsi="Arial" w:cs="Arial"/>
          <w:sz w:val="24"/>
          <w:szCs w:val="24"/>
        </w:rPr>
      </w:pPr>
      <w:r w:rsidRPr="0063619D">
        <w:rPr>
          <w:rFonts w:ascii="Arial" w:hAnsi="Arial" w:cs="Arial"/>
          <w:sz w:val="24"/>
          <w:szCs w:val="24"/>
        </w:rPr>
        <w:t xml:space="preserve">Seminars – also </w:t>
      </w:r>
      <w:r>
        <w:rPr>
          <w:rFonts w:ascii="Arial" w:hAnsi="Arial" w:cs="Arial"/>
          <w:sz w:val="24"/>
          <w:szCs w:val="24"/>
        </w:rPr>
        <w:t xml:space="preserve">described as </w:t>
      </w:r>
      <w:r w:rsidRPr="0063619D">
        <w:rPr>
          <w:rFonts w:ascii="Arial" w:hAnsi="Arial" w:cs="Arial"/>
          <w:sz w:val="24"/>
          <w:szCs w:val="24"/>
        </w:rPr>
        <w:t xml:space="preserve">small group teaching (SGT) sessions – are a specific method of academic teaching. In contrast to lectures, where broad swathes of information are transmitted orally by the lecturer to large </w:t>
      </w:r>
      <w:r>
        <w:rPr>
          <w:rFonts w:ascii="Arial" w:hAnsi="Arial" w:cs="Arial"/>
          <w:sz w:val="24"/>
          <w:szCs w:val="24"/>
        </w:rPr>
        <w:t>numbers</w:t>
      </w:r>
      <w:r w:rsidRPr="0063619D">
        <w:rPr>
          <w:rFonts w:ascii="Arial" w:hAnsi="Arial" w:cs="Arial"/>
          <w:sz w:val="24"/>
          <w:szCs w:val="24"/>
        </w:rPr>
        <w:t xml:space="preserve"> of students, seminars</w:t>
      </w:r>
      <w:r>
        <w:rPr>
          <w:rFonts w:ascii="Arial" w:hAnsi="Arial" w:cs="Arial"/>
          <w:sz w:val="24"/>
          <w:szCs w:val="24"/>
        </w:rPr>
        <w:t>/SGT</w:t>
      </w:r>
      <w:r w:rsidRPr="0063619D">
        <w:rPr>
          <w:rFonts w:ascii="Arial" w:hAnsi="Arial" w:cs="Arial"/>
          <w:sz w:val="24"/>
          <w:szCs w:val="24"/>
        </w:rPr>
        <w:t xml:space="preserve"> are based upon smaller group discussions. Although the size of a seminar </w:t>
      </w:r>
      <w:r>
        <w:rPr>
          <w:rFonts w:ascii="Arial" w:hAnsi="Arial" w:cs="Arial"/>
          <w:sz w:val="24"/>
          <w:szCs w:val="24"/>
        </w:rPr>
        <w:t xml:space="preserve">group </w:t>
      </w:r>
      <w:r w:rsidRPr="0063619D">
        <w:rPr>
          <w:rFonts w:ascii="Arial" w:hAnsi="Arial" w:cs="Arial"/>
          <w:sz w:val="24"/>
          <w:szCs w:val="24"/>
        </w:rPr>
        <w:t>is ultimately determined by the requirements of individual HE institutions, scholarship suggest</w:t>
      </w:r>
      <w:r>
        <w:rPr>
          <w:rFonts w:ascii="Arial" w:hAnsi="Arial" w:cs="Arial"/>
          <w:sz w:val="24"/>
          <w:szCs w:val="24"/>
        </w:rPr>
        <w:t>s</w:t>
      </w:r>
      <w:r w:rsidRPr="0063619D">
        <w:rPr>
          <w:rFonts w:ascii="Arial" w:hAnsi="Arial" w:cs="Arial"/>
          <w:sz w:val="24"/>
          <w:szCs w:val="24"/>
        </w:rPr>
        <w:t xml:space="preserve"> that seminars should involve approximately ten to twenty students (Bogaard, Carey, Dodd, Repath &amp; Whitaker, 2005</w:t>
      </w:r>
      <w:r>
        <w:rPr>
          <w:rFonts w:ascii="Arial" w:hAnsi="Arial" w:cs="Arial"/>
          <w:sz w:val="24"/>
          <w:szCs w:val="24"/>
        </w:rPr>
        <w:t xml:space="preserve">; </w:t>
      </w:r>
      <w:r w:rsidRPr="0063619D">
        <w:rPr>
          <w:rFonts w:ascii="Arial" w:hAnsi="Arial" w:cs="Arial"/>
          <w:sz w:val="24"/>
          <w:szCs w:val="24"/>
        </w:rPr>
        <w:t>UCL, 2019). While lecturers may speak uninterrupted for the entirety of a lecture, seminar discussions are student-led; the role of the tutor is to facilitate – rather than to dominate – discussion (Councill &amp; Baumgartner, 2017</w:t>
      </w:r>
      <w:r>
        <w:rPr>
          <w:rFonts w:ascii="Arial" w:hAnsi="Arial" w:cs="Arial"/>
          <w:sz w:val="24"/>
          <w:szCs w:val="24"/>
        </w:rPr>
        <w:t xml:space="preserve">; </w:t>
      </w:r>
      <w:r w:rsidRPr="0063619D">
        <w:rPr>
          <w:rFonts w:ascii="Arial" w:hAnsi="Arial" w:cs="Arial"/>
          <w:sz w:val="24"/>
          <w:szCs w:val="24"/>
        </w:rPr>
        <w:t xml:space="preserve">Morss &amp; Murray, 2015; Stenhouse, 1972). As such, seminars are often used to complement lecture-based teaching, with seminars being used for students to discuss and deepen their understanding of </w:t>
      </w:r>
      <w:r w:rsidRPr="0063619D">
        <w:rPr>
          <w:rFonts w:ascii="Arial" w:hAnsi="Arial" w:cs="Arial"/>
          <w:sz w:val="24"/>
          <w:szCs w:val="24"/>
        </w:rPr>
        <w:lastRenderedPageBreak/>
        <w:t xml:space="preserve">complex material and ideas associated with their specific programme of learning (Bogaard et al., 2005; Morss </w:t>
      </w:r>
      <w:r>
        <w:rPr>
          <w:rFonts w:ascii="Arial" w:hAnsi="Arial" w:cs="Arial"/>
          <w:sz w:val="24"/>
          <w:szCs w:val="24"/>
        </w:rPr>
        <w:t>&amp;</w:t>
      </w:r>
      <w:r w:rsidRPr="0063619D">
        <w:rPr>
          <w:rFonts w:ascii="Arial" w:hAnsi="Arial" w:cs="Arial"/>
          <w:sz w:val="24"/>
          <w:szCs w:val="24"/>
        </w:rPr>
        <w:t xml:space="preserve"> Murray, 2015; Race, 2015</w:t>
      </w:r>
      <w:r>
        <w:rPr>
          <w:rFonts w:ascii="Arial" w:hAnsi="Arial" w:cs="Arial"/>
          <w:sz w:val="24"/>
          <w:szCs w:val="24"/>
        </w:rPr>
        <w:t xml:space="preserve">; </w:t>
      </w:r>
      <w:r w:rsidRPr="0063619D">
        <w:rPr>
          <w:rFonts w:ascii="Arial" w:hAnsi="Arial" w:cs="Arial"/>
          <w:sz w:val="24"/>
          <w:szCs w:val="24"/>
        </w:rPr>
        <w:t>Stenhouse, 1972).</w:t>
      </w:r>
      <w:r w:rsidRPr="0063619D">
        <w:rPr>
          <w:rFonts w:ascii="Arial" w:hAnsi="Arial" w:cs="Arial"/>
          <w:sz w:val="24"/>
          <w:szCs w:val="24"/>
          <w:highlight w:val="yellow"/>
        </w:rPr>
        <w:t xml:space="preserve"> </w:t>
      </w:r>
    </w:p>
    <w:p w14:paraId="6F5C24F6" w14:textId="77777777" w:rsidR="00A27955" w:rsidRDefault="00A27955" w:rsidP="004872AF">
      <w:pPr>
        <w:spacing w:after="0" w:line="480" w:lineRule="auto"/>
        <w:jc w:val="both"/>
        <w:rPr>
          <w:rFonts w:ascii="Arial" w:hAnsi="Arial" w:cs="Arial"/>
          <w:sz w:val="24"/>
          <w:szCs w:val="24"/>
        </w:rPr>
      </w:pPr>
    </w:p>
    <w:p w14:paraId="2F21F249" w14:textId="0992579C" w:rsidR="00750D49" w:rsidRDefault="008D1ACF" w:rsidP="0063619D">
      <w:pPr>
        <w:spacing w:after="0" w:line="480" w:lineRule="auto"/>
        <w:jc w:val="both"/>
        <w:rPr>
          <w:rFonts w:ascii="Arial" w:hAnsi="Arial" w:cs="Arial"/>
          <w:sz w:val="24"/>
          <w:szCs w:val="24"/>
        </w:rPr>
      </w:pPr>
      <w:r>
        <w:rPr>
          <w:rFonts w:ascii="Arial" w:hAnsi="Arial" w:cs="Arial"/>
          <w:sz w:val="24"/>
          <w:szCs w:val="24"/>
        </w:rPr>
        <w:t>F</w:t>
      </w:r>
      <w:r w:rsidR="00431638" w:rsidRPr="0063619D">
        <w:rPr>
          <w:rFonts w:ascii="Arial" w:hAnsi="Arial" w:cs="Arial"/>
          <w:sz w:val="24"/>
          <w:szCs w:val="24"/>
        </w:rPr>
        <w:t>rom both the author’s own experience and through conversation with other colleagues, one suspects that this issue is more complex than students simply arriving in the classroom unprepared and unwilling to contribute to discussion.</w:t>
      </w:r>
      <w:r w:rsidR="003521F4">
        <w:rPr>
          <w:rFonts w:ascii="Arial" w:hAnsi="Arial" w:cs="Arial"/>
          <w:sz w:val="24"/>
          <w:szCs w:val="24"/>
        </w:rPr>
        <w:t xml:space="preserve"> </w:t>
      </w:r>
      <w:r w:rsidR="00431638" w:rsidRPr="0063619D">
        <w:rPr>
          <w:rFonts w:ascii="Arial" w:hAnsi="Arial" w:cs="Arial"/>
          <w:sz w:val="24"/>
          <w:szCs w:val="24"/>
        </w:rPr>
        <w:t>Given the continued importance of seminar-based teaching to many degree programmes</w:t>
      </w:r>
      <w:r>
        <w:rPr>
          <w:rFonts w:ascii="Arial" w:hAnsi="Arial" w:cs="Arial"/>
          <w:sz w:val="24"/>
          <w:szCs w:val="24"/>
        </w:rPr>
        <w:t xml:space="preserve"> – </w:t>
      </w:r>
      <w:r w:rsidR="00431638" w:rsidRPr="0063619D">
        <w:rPr>
          <w:rFonts w:ascii="Arial" w:hAnsi="Arial" w:cs="Arial"/>
          <w:sz w:val="24"/>
          <w:szCs w:val="24"/>
        </w:rPr>
        <w:t>particularly within the author’s own discipline of the Humanities and Social Sciences</w:t>
      </w:r>
      <w:r>
        <w:rPr>
          <w:rFonts w:ascii="Arial" w:hAnsi="Arial" w:cs="Arial"/>
          <w:sz w:val="24"/>
          <w:szCs w:val="24"/>
        </w:rPr>
        <w:t xml:space="preserve"> – </w:t>
      </w:r>
      <w:r w:rsidR="00431638" w:rsidRPr="0063619D">
        <w:rPr>
          <w:rFonts w:ascii="Arial" w:hAnsi="Arial" w:cs="Arial"/>
          <w:sz w:val="24"/>
          <w:szCs w:val="24"/>
        </w:rPr>
        <w:t xml:space="preserve">this paper seeks to explore </w:t>
      </w:r>
      <w:r w:rsidR="00E63595">
        <w:rPr>
          <w:rFonts w:ascii="Arial" w:hAnsi="Arial" w:cs="Arial"/>
          <w:sz w:val="24"/>
          <w:szCs w:val="24"/>
        </w:rPr>
        <w:t xml:space="preserve">deeper </w:t>
      </w:r>
      <w:r w:rsidR="00431638" w:rsidRPr="0063619D">
        <w:rPr>
          <w:rFonts w:ascii="Arial" w:hAnsi="Arial" w:cs="Arial"/>
          <w:sz w:val="24"/>
          <w:szCs w:val="24"/>
        </w:rPr>
        <w:t>the perennial problem of engaging students within seminars</w:t>
      </w:r>
      <w:r w:rsidR="00E63595">
        <w:rPr>
          <w:rFonts w:ascii="Arial" w:hAnsi="Arial" w:cs="Arial"/>
          <w:sz w:val="24"/>
          <w:szCs w:val="24"/>
        </w:rPr>
        <w:t xml:space="preserve">. </w:t>
      </w:r>
      <w:r w:rsidR="00431638" w:rsidRPr="0063619D">
        <w:rPr>
          <w:rFonts w:ascii="Arial" w:hAnsi="Arial" w:cs="Arial"/>
          <w:sz w:val="24"/>
          <w:szCs w:val="24"/>
        </w:rPr>
        <w:t>In contrast to earlier works which are concerned solely with techniques to better engage students within the classroom, it adopts a somewhat different approach by</w:t>
      </w:r>
      <w:r w:rsidR="00E63595">
        <w:rPr>
          <w:rFonts w:ascii="Arial" w:hAnsi="Arial" w:cs="Arial"/>
          <w:sz w:val="24"/>
          <w:szCs w:val="24"/>
        </w:rPr>
        <w:t xml:space="preserve"> forming an investigation into the barriers to student engagement. </w:t>
      </w:r>
      <w:bookmarkStart w:id="0" w:name="_Hlk115080044"/>
      <w:r w:rsidR="00E63595">
        <w:rPr>
          <w:rFonts w:ascii="Arial" w:hAnsi="Arial" w:cs="Arial"/>
          <w:sz w:val="24"/>
          <w:szCs w:val="24"/>
        </w:rPr>
        <w:t xml:space="preserve">It asks </w:t>
      </w:r>
      <w:r w:rsidR="001B6F28">
        <w:rPr>
          <w:rFonts w:ascii="Arial" w:hAnsi="Arial" w:cs="Arial"/>
          <w:sz w:val="24"/>
          <w:szCs w:val="24"/>
        </w:rPr>
        <w:t xml:space="preserve">two key interconnected questions. First, </w:t>
      </w:r>
      <w:r w:rsidR="00E63595">
        <w:rPr>
          <w:rFonts w:ascii="Arial" w:hAnsi="Arial" w:cs="Arial"/>
          <w:sz w:val="24"/>
          <w:szCs w:val="24"/>
        </w:rPr>
        <w:t xml:space="preserve">what </w:t>
      </w:r>
      <w:r w:rsidR="00431638" w:rsidRPr="0063619D">
        <w:rPr>
          <w:rFonts w:ascii="Arial" w:hAnsi="Arial" w:cs="Arial"/>
          <w:sz w:val="24"/>
          <w:szCs w:val="24"/>
        </w:rPr>
        <w:t xml:space="preserve">expectations about teaching and learning </w:t>
      </w:r>
      <w:r w:rsidR="00A27955">
        <w:rPr>
          <w:rFonts w:ascii="Arial" w:hAnsi="Arial" w:cs="Arial"/>
          <w:sz w:val="24"/>
          <w:szCs w:val="24"/>
        </w:rPr>
        <w:t xml:space="preserve">do </w:t>
      </w:r>
      <w:r w:rsidR="00431638" w:rsidRPr="0063619D">
        <w:rPr>
          <w:rFonts w:ascii="Arial" w:hAnsi="Arial" w:cs="Arial"/>
          <w:sz w:val="24"/>
          <w:szCs w:val="24"/>
        </w:rPr>
        <w:t>students bring with them to HE</w:t>
      </w:r>
      <w:r w:rsidR="001B6F28">
        <w:rPr>
          <w:rFonts w:ascii="Arial" w:hAnsi="Arial" w:cs="Arial"/>
          <w:sz w:val="24"/>
          <w:szCs w:val="24"/>
        </w:rPr>
        <w:t xml:space="preserve">? Secondly, </w:t>
      </w:r>
      <w:r w:rsidR="00E63595">
        <w:rPr>
          <w:rFonts w:ascii="Arial" w:hAnsi="Arial" w:cs="Arial"/>
          <w:sz w:val="24"/>
          <w:szCs w:val="24"/>
        </w:rPr>
        <w:t xml:space="preserve">what </w:t>
      </w:r>
      <w:r w:rsidR="00431638" w:rsidRPr="0063619D">
        <w:rPr>
          <w:rFonts w:ascii="Arial" w:hAnsi="Arial" w:cs="Arial"/>
          <w:sz w:val="24"/>
          <w:szCs w:val="24"/>
        </w:rPr>
        <w:t xml:space="preserve">assumptions teachers in HE make about their students </w:t>
      </w:r>
      <w:r w:rsidR="005A2EB5">
        <w:rPr>
          <w:rFonts w:ascii="Arial" w:hAnsi="Arial" w:cs="Arial"/>
          <w:sz w:val="24"/>
          <w:szCs w:val="24"/>
        </w:rPr>
        <w:t xml:space="preserve">in return </w:t>
      </w:r>
      <w:r w:rsidR="00431638" w:rsidRPr="0063619D">
        <w:rPr>
          <w:rFonts w:ascii="Arial" w:hAnsi="Arial" w:cs="Arial"/>
          <w:sz w:val="24"/>
          <w:szCs w:val="24"/>
        </w:rPr>
        <w:t>when planning teaching and learning activities</w:t>
      </w:r>
      <w:r w:rsidR="00E63595">
        <w:rPr>
          <w:rFonts w:ascii="Arial" w:hAnsi="Arial" w:cs="Arial"/>
          <w:sz w:val="24"/>
          <w:szCs w:val="24"/>
        </w:rPr>
        <w:t>?</w:t>
      </w:r>
      <w:r w:rsidR="00F90C52">
        <w:rPr>
          <w:rFonts w:ascii="Arial" w:hAnsi="Arial" w:cs="Arial"/>
          <w:sz w:val="24"/>
          <w:szCs w:val="24"/>
        </w:rPr>
        <w:t xml:space="preserve"> </w:t>
      </w:r>
      <w:bookmarkEnd w:id="0"/>
      <w:r w:rsidR="00431638" w:rsidRPr="0063619D">
        <w:rPr>
          <w:rFonts w:ascii="Arial" w:hAnsi="Arial" w:cs="Arial"/>
          <w:sz w:val="24"/>
          <w:szCs w:val="24"/>
        </w:rPr>
        <w:t>What follows is a review of recent literature concerning students’ transitions to HE, before considering how this understanding may help HE practitioners to better engage students and learners in the classroom.</w:t>
      </w:r>
    </w:p>
    <w:p w14:paraId="185712C1" w14:textId="77777777" w:rsidR="00750D49" w:rsidRDefault="00750D49" w:rsidP="0063619D">
      <w:pPr>
        <w:spacing w:after="0" w:line="480" w:lineRule="auto"/>
        <w:jc w:val="both"/>
        <w:rPr>
          <w:rFonts w:ascii="Arial" w:hAnsi="Arial" w:cs="Arial"/>
          <w:sz w:val="24"/>
          <w:szCs w:val="24"/>
        </w:rPr>
      </w:pPr>
    </w:p>
    <w:p w14:paraId="7F82F015" w14:textId="4458A8F8" w:rsidR="00431638" w:rsidRPr="00750D49" w:rsidRDefault="00431638" w:rsidP="0063619D">
      <w:pPr>
        <w:spacing w:after="0" w:line="480" w:lineRule="auto"/>
        <w:jc w:val="both"/>
        <w:rPr>
          <w:rFonts w:ascii="Arial" w:hAnsi="Arial" w:cs="Arial"/>
          <w:sz w:val="24"/>
          <w:szCs w:val="24"/>
        </w:rPr>
      </w:pPr>
      <w:r w:rsidRPr="0063619D">
        <w:rPr>
          <w:rFonts w:ascii="Arial" w:hAnsi="Arial" w:cs="Arial"/>
          <w:b/>
          <w:sz w:val="24"/>
          <w:szCs w:val="24"/>
        </w:rPr>
        <w:t>Literature Review</w:t>
      </w:r>
    </w:p>
    <w:p w14:paraId="01B74E8B" w14:textId="5B3A4DED"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In his 1972 article, Stenhouse speculated on the future direction of SGT sessions. The basic principle of </w:t>
      </w:r>
      <w:r w:rsidR="00326B16">
        <w:rPr>
          <w:rFonts w:ascii="Arial" w:hAnsi="Arial" w:cs="Arial"/>
          <w:sz w:val="24"/>
          <w:szCs w:val="24"/>
        </w:rPr>
        <w:t>SGT</w:t>
      </w:r>
      <w:r w:rsidRPr="0063619D">
        <w:rPr>
          <w:rFonts w:ascii="Arial" w:hAnsi="Arial" w:cs="Arial"/>
          <w:sz w:val="24"/>
          <w:szCs w:val="24"/>
        </w:rPr>
        <w:t xml:space="preserve">, he argues, is that the collective resources available within the seminar group should be placed at the disposal of all group members. In so doing, students assume collective responsibility for the entire group's learning by leading the discussion. However, Stenhouse highlights an important concern regarding what he </w:t>
      </w:r>
      <w:r w:rsidRPr="0063619D">
        <w:rPr>
          <w:rFonts w:ascii="Arial" w:hAnsi="Arial" w:cs="Arial"/>
          <w:sz w:val="24"/>
          <w:szCs w:val="24"/>
        </w:rPr>
        <w:lastRenderedPageBreak/>
        <w:t xml:space="preserve">terms ‘responsible participation by students in small groups’ (p. 18), noting that students are often ‘reluctant to participate and anxious to interpret the rules of the situation’ (p. 20). Recognising that </w:t>
      </w:r>
      <w:r w:rsidR="00326B16">
        <w:rPr>
          <w:rFonts w:ascii="Arial" w:hAnsi="Arial" w:cs="Arial"/>
          <w:sz w:val="24"/>
          <w:szCs w:val="24"/>
        </w:rPr>
        <w:t>SGT</w:t>
      </w:r>
      <w:r w:rsidRPr="0063619D">
        <w:rPr>
          <w:rFonts w:ascii="Arial" w:hAnsi="Arial" w:cs="Arial"/>
          <w:sz w:val="24"/>
          <w:szCs w:val="24"/>
        </w:rPr>
        <w:t xml:space="preserve"> will be unfamiliar to many students, Stenhouse’s solution is that students need first to be taught how to work in groups, which in turn will lead to more effective discussions.</w:t>
      </w:r>
    </w:p>
    <w:p w14:paraId="704CD487" w14:textId="77777777" w:rsidR="00431638" w:rsidRPr="0063619D" w:rsidRDefault="00431638" w:rsidP="0063619D">
      <w:pPr>
        <w:spacing w:after="0" w:line="480" w:lineRule="auto"/>
        <w:jc w:val="both"/>
        <w:rPr>
          <w:rFonts w:ascii="Arial" w:hAnsi="Arial" w:cs="Arial"/>
          <w:sz w:val="24"/>
          <w:szCs w:val="24"/>
        </w:rPr>
      </w:pPr>
    </w:p>
    <w:p w14:paraId="4E823B6D" w14:textId="35B6EEA4"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While Stenhouse’s paper was written half a century ago, his arguments remain enduring. More recently, Bogaard </w:t>
      </w:r>
      <w:r w:rsidR="00862516">
        <w:rPr>
          <w:rFonts w:ascii="Arial" w:hAnsi="Arial" w:cs="Arial"/>
          <w:sz w:val="24"/>
          <w:szCs w:val="24"/>
        </w:rPr>
        <w:t xml:space="preserve">et al. </w:t>
      </w:r>
      <w:r w:rsidRPr="0063619D">
        <w:rPr>
          <w:rFonts w:ascii="Arial" w:hAnsi="Arial" w:cs="Arial"/>
          <w:sz w:val="24"/>
          <w:szCs w:val="24"/>
        </w:rPr>
        <w:t>(2005) highlighted the continued importance of seminars for teaching politics; this is equally true in the author’s own discipline of History. Drilling deeper than Stenhouse’s assertion that students simply did not know how to work in groups to facilitate their own learning, Bogaard et al. note that there is a clear disparity between students' expectations of SGT sessions and the tutor’s aims for the session. Students, they argue, primarily see seminars as an opportunity to draw upon the knowledge and expertise of their tutor, using the seminar to clarify points made in the lectures, with the tutor guiding discussion. Conversely, they note that tutors see seminars as being student-led, an opportunity for students to take responsibility for their own learning, and to develop their communication skills. They conclude by suggesting measures to resolve these shortcomings. Echoing Stenhouse’s suggestion that students need to be ‘trained’ how to work in groups, Bogaard et al. recommend that tutor input should reflect the academic needs of the group: first year students, for instance, will require more tutor input (50:50) than third year students (70:30). In the author’s own experience, postgraduate students require even less tutor input.</w:t>
      </w:r>
    </w:p>
    <w:p w14:paraId="752EA33B" w14:textId="77777777" w:rsidR="00431638" w:rsidRPr="0063619D" w:rsidRDefault="00431638" w:rsidP="0063619D">
      <w:pPr>
        <w:spacing w:after="0" w:line="480" w:lineRule="auto"/>
        <w:rPr>
          <w:rFonts w:ascii="Arial" w:hAnsi="Arial" w:cs="Arial"/>
          <w:sz w:val="24"/>
          <w:szCs w:val="24"/>
        </w:rPr>
      </w:pPr>
    </w:p>
    <w:p w14:paraId="1938F816" w14:textId="200F29D8"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lastRenderedPageBreak/>
        <w:t xml:space="preserve">Building upon Bogaard et al.’s conclusions that there are significant shortcomings between the expectations of tutors and </w:t>
      </w:r>
      <w:r w:rsidR="006700F1">
        <w:rPr>
          <w:rFonts w:ascii="Arial" w:hAnsi="Arial" w:cs="Arial"/>
          <w:sz w:val="24"/>
          <w:szCs w:val="24"/>
        </w:rPr>
        <w:t xml:space="preserve">students regarding the role of </w:t>
      </w:r>
      <w:r w:rsidR="00345101">
        <w:rPr>
          <w:rFonts w:ascii="Arial" w:hAnsi="Arial" w:cs="Arial"/>
          <w:sz w:val="24"/>
          <w:szCs w:val="24"/>
        </w:rPr>
        <w:t>seminars</w:t>
      </w:r>
      <w:r w:rsidRPr="0063619D">
        <w:rPr>
          <w:rFonts w:ascii="Arial" w:hAnsi="Arial" w:cs="Arial"/>
          <w:sz w:val="24"/>
          <w:szCs w:val="24"/>
        </w:rPr>
        <w:t>, recent scholarship has sought to suggest practical strategies which may overcome this disparity. Simson (2012), for instance, outlines how he has altered his approach to seminar-based teaching in response to the</w:t>
      </w:r>
      <w:r w:rsidR="006700F1">
        <w:rPr>
          <w:rFonts w:ascii="Arial" w:hAnsi="Arial" w:cs="Arial"/>
          <w:sz w:val="24"/>
          <w:szCs w:val="24"/>
        </w:rPr>
        <w:t xml:space="preserve"> perceived</w:t>
      </w:r>
      <w:r w:rsidRPr="0063619D">
        <w:rPr>
          <w:rFonts w:ascii="Arial" w:hAnsi="Arial" w:cs="Arial"/>
          <w:sz w:val="24"/>
          <w:szCs w:val="24"/>
        </w:rPr>
        <w:t xml:space="preserve"> shortcomings of SGT. This includes using the introductory session to outline the rationale behind the structure of the programme, which – he hopes – leads to increased participation, deeper learning and better student engagement. Perhaps less nuanced, others suggest exercises to make seminars simply more ‘interesting’ (Strawson, 2012) or ‘dynamic’ (Anderson </w:t>
      </w:r>
      <w:r w:rsidR="00B556D9">
        <w:rPr>
          <w:rFonts w:ascii="Arial" w:hAnsi="Arial" w:cs="Arial"/>
          <w:sz w:val="24"/>
          <w:szCs w:val="24"/>
        </w:rPr>
        <w:t>&amp;</w:t>
      </w:r>
      <w:r w:rsidR="00B556D9" w:rsidRPr="0063619D">
        <w:rPr>
          <w:rFonts w:ascii="Arial" w:hAnsi="Arial" w:cs="Arial"/>
          <w:sz w:val="24"/>
          <w:szCs w:val="24"/>
        </w:rPr>
        <w:t xml:space="preserve"> </w:t>
      </w:r>
      <w:r w:rsidRPr="0063619D">
        <w:rPr>
          <w:rFonts w:ascii="Arial" w:hAnsi="Arial" w:cs="Arial"/>
          <w:sz w:val="24"/>
          <w:szCs w:val="24"/>
        </w:rPr>
        <w:t xml:space="preserve">Bellenkes, 2013) to capture student’s attention and </w:t>
      </w:r>
      <w:r w:rsidR="00345101">
        <w:rPr>
          <w:rFonts w:ascii="Arial" w:hAnsi="Arial" w:cs="Arial"/>
          <w:sz w:val="24"/>
          <w:szCs w:val="24"/>
        </w:rPr>
        <w:t xml:space="preserve">encourage </w:t>
      </w:r>
      <w:r w:rsidRPr="0063619D">
        <w:rPr>
          <w:rFonts w:ascii="Arial" w:hAnsi="Arial" w:cs="Arial"/>
          <w:sz w:val="24"/>
          <w:szCs w:val="24"/>
        </w:rPr>
        <w:t>engagement. These strategies to promote inclusion and student participation are not without their critics: Gibbs et al. (Gibbs, Hartviksen, Lehtonen &amp; Spruce, 2021) challenge how ‘inclusive’ teaching really is within HE. Reviewing the current literature on good practice for fostering inclusion within seminars, they argue that there is still a long way to go.</w:t>
      </w:r>
    </w:p>
    <w:p w14:paraId="39921BF7" w14:textId="77777777" w:rsidR="00431638" w:rsidRPr="0063619D" w:rsidRDefault="00431638" w:rsidP="0063619D">
      <w:pPr>
        <w:spacing w:after="0" w:line="480" w:lineRule="auto"/>
        <w:jc w:val="both"/>
        <w:rPr>
          <w:rFonts w:ascii="Arial" w:hAnsi="Arial" w:cs="Arial"/>
          <w:sz w:val="24"/>
          <w:szCs w:val="24"/>
        </w:rPr>
      </w:pPr>
    </w:p>
    <w:p w14:paraId="3547A082" w14:textId="24691E4B"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Such works raise an important question that remains hitherto unanswered: how do these discrepancies between tutor and student expectations </w:t>
      </w:r>
      <w:r w:rsidR="006700F1">
        <w:rPr>
          <w:rFonts w:ascii="Arial" w:hAnsi="Arial" w:cs="Arial"/>
          <w:sz w:val="24"/>
          <w:szCs w:val="24"/>
        </w:rPr>
        <w:t>regarding SGT</w:t>
      </w:r>
      <w:r w:rsidR="003236AF">
        <w:rPr>
          <w:rFonts w:ascii="Arial" w:hAnsi="Arial" w:cs="Arial"/>
          <w:sz w:val="24"/>
          <w:szCs w:val="24"/>
        </w:rPr>
        <w:t xml:space="preserve"> </w:t>
      </w:r>
      <w:r w:rsidRPr="0063619D">
        <w:rPr>
          <w:rFonts w:ascii="Arial" w:hAnsi="Arial" w:cs="Arial"/>
          <w:sz w:val="24"/>
          <w:szCs w:val="24"/>
        </w:rPr>
        <w:t>emerge? Rather than taking the seminar as its starting point, this paper begins by considering students’ transition to university, exploring deeper the expectations and assumptions that students bring with them to HE.</w:t>
      </w:r>
    </w:p>
    <w:p w14:paraId="4F068E56" w14:textId="77777777" w:rsidR="00E33435" w:rsidRDefault="00E33435" w:rsidP="0063619D">
      <w:pPr>
        <w:spacing w:after="0" w:line="480" w:lineRule="auto"/>
        <w:rPr>
          <w:rFonts w:ascii="Arial" w:hAnsi="Arial" w:cs="Arial"/>
          <w:b/>
          <w:bCs/>
          <w:sz w:val="24"/>
          <w:szCs w:val="24"/>
        </w:rPr>
      </w:pPr>
    </w:p>
    <w:p w14:paraId="565F7D7C" w14:textId="498F5D7F" w:rsidR="00431638" w:rsidRPr="0063619D" w:rsidRDefault="00431638" w:rsidP="0063619D">
      <w:pPr>
        <w:spacing w:after="0" w:line="480" w:lineRule="auto"/>
        <w:rPr>
          <w:rFonts w:ascii="Arial" w:hAnsi="Arial" w:cs="Arial"/>
          <w:sz w:val="24"/>
          <w:szCs w:val="24"/>
        </w:rPr>
      </w:pPr>
      <w:r w:rsidRPr="0063619D">
        <w:rPr>
          <w:rFonts w:ascii="Arial" w:hAnsi="Arial" w:cs="Arial"/>
          <w:b/>
          <w:bCs/>
          <w:sz w:val="24"/>
          <w:szCs w:val="24"/>
        </w:rPr>
        <w:t>Methodology</w:t>
      </w:r>
      <w:r w:rsidRPr="0063619D">
        <w:rPr>
          <w:rFonts w:ascii="Arial" w:hAnsi="Arial" w:cs="Arial"/>
          <w:sz w:val="24"/>
          <w:szCs w:val="24"/>
        </w:rPr>
        <w:t xml:space="preserve"> </w:t>
      </w:r>
    </w:p>
    <w:p w14:paraId="285DDC3C" w14:textId="6F0B75B2"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This paper forms a literature review, drawing together recent scholarship concerning students’ expectations of university life and teaching. A search of existing literature was conducted, using broad search terms including ‘Seminars’, ‘Small Group </w:t>
      </w:r>
      <w:r w:rsidRPr="0063619D">
        <w:rPr>
          <w:rFonts w:ascii="Arial" w:hAnsi="Arial" w:cs="Arial"/>
          <w:sz w:val="24"/>
          <w:szCs w:val="24"/>
        </w:rPr>
        <w:lastRenderedPageBreak/>
        <w:t>Teaching’, ‘Students</w:t>
      </w:r>
      <w:r w:rsidR="001B6F28">
        <w:rPr>
          <w:rFonts w:ascii="Arial" w:hAnsi="Arial" w:cs="Arial"/>
          <w:sz w:val="24"/>
          <w:szCs w:val="24"/>
        </w:rPr>
        <w:t xml:space="preserve"> + </w:t>
      </w:r>
      <w:r w:rsidRPr="0063619D">
        <w:rPr>
          <w:rFonts w:ascii="Arial" w:hAnsi="Arial" w:cs="Arial"/>
          <w:sz w:val="24"/>
          <w:szCs w:val="24"/>
        </w:rPr>
        <w:t xml:space="preserve">Expectations’, and ‘Transition to University.’ </w:t>
      </w:r>
      <w:r w:rsidR="001B6F28">
        <w:rPr>
          <w:rFonts w:ascii="Arial" w:hAnsi="Arial" w:cs="Arial"/>
          <w:sz w:val="24"/>
          <w:szCs w:val="24"/>
        </w:rPr>
        <w:t>A</w:t>
      </w:r>
      <w:r w:rsidR="00D837C9">
        <w:rPr>
          <w:rFonts w:ascii="Arial" w:hAnsi="Arial" w:cs="Arial"/>
          <w:sz w:val="24"/>
          <w:szCs w:val="24"/>
        </w:rPr>
        <w:t>n initial</w:t>
      </w:r>
      <w:r w:rsidR="001B6F28">
        <w:rPr>
          <w:rFonts w:ascii="Arial" w:hAnsi="Arial" w:cs="Arial"/>
          <w:sz w:val="24"/>
          <w:szCs w:val="24"/>
        </w:rPr>
        <w:t xml:space="preserve"> </w:t>
      </w:r>
      <w:r w:rsidR="00D837C9">
        <w:rPr>
          <w:rFonts w:ascii="Arial" w:hAnsi="Arial" w:cs="Arial"/>
          <w:sz w:val="24"/>
          <w:szCs w:val="24"/>
        </w:rPr>
        <w:t>longlist</w:t>
      </w:r>
      <w:r w:rsidR="001B6F28">
        <w:rPr>
          <w:rFonts w:ascii="Arial" w:hAnsi="Arial" w:cs="Arial"/>
          <w:sz w:val="24"/>
          <w:szCs w:val="24"/>
        </w:rPr>
        <w:t xml:space="preserve"> of </w:t>
      </w:r>
      <w:r w:rsidR="00D837C9">
        <w:rPr>
          <w:rFonts w:ascii="Arial" w:hAnsi="Arial" w:cs="Arial"/>
          <w:sz w:val="24"/>
          <w:szCs w:val="24"/>
        </w:rPr>
        <w:t>texts</w:t>
      </w:r>
      <w:r w:rsidR="001B6F28">
        <w:rPr>
          <w:rFonts w:ascii="Arial" w:hAnsi="Arial" w:cs="Arial"/>
          <w:sz w:val="24"/>
          <w:szCs w:val="24"/>
        </w:rPr>
        <w:t xml:space="preserve"> w</w:t>
      </w:r>
      <w:r w:rsidR="00D837C9">
        <w:rPr>
          <w:rFonts w:ascii="Arial" w:hAnsi="Arial" w:cs="Arial"/>
          <w:sz w:val="24"/>
          <w:szCs w:val="24"/>
        </w:rPr>
        <w:t xml:space="preserve">as </w:t>
      </w:r>
      <w:r w:rsidR="001B6F28">
        <w:rPr>
          <w:rFonts w:ascii="Arial" w:hAnsi="Arial" w:cs="Arial"/>
          <w:sz w:val="24"/>
          <w:szCs w:val="24"/>
        </w:rPr>
        <w:t>collated</w:t>
      </w:r>
      <w:r w:rsidR="00D837C9">
        <w:rPr>
          <w:rFonts w:ascii="Arial" w:hAnsi="Arial" w:cs="Arial"/>
          <w:sz w:val="24"/>
          <w:szCs w:val="24"/>
        </w:rPr>
        <w:t xml:space="preserve">, using item titles </w:t>
      </w:r>
      <w:r w:rsidR="007C720F">
        <w:rPr>
          <w:rFonts w:ascii="Arial" w:hAnsi="Arial" w:cs="Arial"/>
          <w:sz w:val="24"/>
          <w:szCs w:val="24"/>
        </w:rPr>
        <w:t xml:space="preserve">to identify works which were of potential relevance to </w:t>
      </w:r>
      <w:r w:rsidR="00946F25">
        <w:rPr>
          <w:rFonts w:ascii="Arial" w:hAnsi="Arial" w:cs="Arial"/>
          <w:sz w:val="24"/>
          <w:szCs w:val="24"/>
        </w:rPr>
        <w:t>this s</w:t>
      </w:r>
      <w:r w:rsidR="007C720F">
        <w:rPr>
          <w:rFonts w:ascii="Arial" w:hAnsi="Arial" w:cs="Arial"/>
          <w:sz w:val="24"/>
          <w:szCs w:val="24"/>
        </w:rPr>
        <w:t xml:space="preserve">tudy. </w:t>
      </w:r>
      <w:r w:rsidR="00946F25">
        <w:rPr>
          <w:rFonts w:ascii="Arial" w:hAnsi="Arial" w:cs="Arial"/>
          <w:sz w:val="24"/>
          <w:szCs w:val="24"/>
        </w:rPr>
        <w:t>Works</w:t>
      </w:r>
      <w:r w:rsidR="007C720F">
        <w:rPr>
          <w:rFonts w:ascii="Arial" w:hAnsi="Arial" w:cs="Arial"/>
          <w:sz w:val="24"/>
          <w:szCs w:val="24"/>
        </w:rPr>
        <w:t xml:space="preserve"> which were concerned with the experiences of students </w:t>
      </w:r>
      <w:r w:rsidR="005E78FB">
        <w:rPr>
          <w:rFonts w:ascii="Arial" w:hAnsi="Arial" w:cs="Arial"/>
          <w:sz w:val="24"/>
          <w:szCs w:val="24"/>
        </w:rPr>
        <w:t>within</w:t>
      </w:r>
      <w:r w:rsidR="00946F25">
        <w:rPr>
          <w:rFonts w:ascii="Arial" w:hAnsi="Arial" w:cs="Arial"/>
          <w:sz w:val="24"/>
          <w:szCs w:val="24"/>
        </w:rPr>
        <w:t xml:space="preserve"> the</w:t>
      </w:r>
      <w:r w:rsidR="005E78FB">
        <w:rPr>
          <w:rFonts w:ascii="Arial" w:hAnsi="Arial" w:cs="Arial"/>
          <w:sz w:val="24"/>
          <w:szCs w:val="24"/>
        </w:rPr>
        <w:t xml:space="preserve"> </w:t>
      </w:r>
      <w:r w:rsidR="007C720F">
        <w:rPr>
          <w:rFonts w:ascii="Arial" w:hAnsi="Arial" w:cs="Arial"/>
          <w:sz w:val="24"/>
          <w:szCs w:val="24"/>
        </w:rPr>
        <w:t xml:space="preserve">Humanities and Social Sciences were </w:t>
      </w:r>
      <w:r w:rsidR="005E78FB">
        <w:rPr>
          <w:rFonts w:ascii="Arial" w:hAnsi="Arial" w:cs="Arial"/>
          <w:sz w:val="24"/>
          <w:szCs w:val="24"/>
        </w:rPr>
        <w:t xml:space="preserve">included within the </w:t>
      </w:r>
      <w:r w:rsidR="007C720F">
        <w:rPr>
          <w:rFonts w:ascii="Arial" w:hAnsi="Arial" w:cs="Arial"/>
          <w:sz w:val="24"/>
          <w:szCs w:val="24"/>
        </w:rPr>
        <w:t>longlist</w:t>
      </w:r>
      <w:r w:rsidR="005E78FB">
        <w:rPr>
          <w:rFonts w:ascii="Arial" w:hAnsi="Arial" w:cs="Arial"/>
          <w:sz w:val="24"/>
          <w:szCs w:val="24"/>
        </w:rPr>
        <w:t>, while studies which explored other disciplines were excluded</w:t>
      </w:r>
      <w:r w:rsidR="007C720F">
        <w:rPr>
          <w:rFonts w:ascii="Arial" w:hAnsi="Arial" w:cs="Arial"/>
          <w:sz w:val="24"/>
          <w:szCs w:val="24"/>
        </w:rPr>
        <w:t>.</w:t>
      </w:r>
      <w:r w:rsidR="00D837C9">
        <w:rPr>
          <w:rFonts w:ascii="Arial" w:hAnsi="Arial" w:cs="Arial"/>
          <w:sz w:val="24"/>
          <w:szCs w:val="24"/>
        </w:rPr>
        <w:t xml:space="preserve"> In addition, a</w:t>
      </w:r>
      <w:r w:rsidRPr="0063619D">
        <w:rPr>
          <w:rFonts w:ascii="Arial" w:hAnsi="Arial" w:cs="Arial"/>
          <w:sz w:val="24"/>
          <w:szCs w:val="24"/>
        </w:rPr>
        <w:t>rticles which had cited Stenhouse and Bogaard et al.’s works – and thus built upon their conclusions – were also collated</w:t>
      </w:r>
      <w:r w:rsidR="00D837C9">
        <w:rPr>
          <w:rFonts w:ascii="Arial" w:hAnsi="Arial" w:cs="Arial"/>
          <w:sz w:val="24"/>
          <w:szCs w:val="24"/>
        </w:rPr>
        <w:t xml:space="preserve"> using the same criteria</w:t>
      </w:r>
      <w:r w:rsidRPr="0063619D">
        <w:rPr>
          <w:rFonts w:ascii="Arial" w:hAnsi="Arial" w:cs="Arial"/>
          <w:sz w:val="24"/>
          <w:szCs w:val="24"/>
        </w:rPr>
        <w:t>, as were articles which were suggested by their respective publishers as covering similar content. This initial broad search generated a reading list of over fifty items.</w:t>
      </w:r>
    </w:p>
    <w:p w14:paraId="33D6A9A3" w14:textId="77777777" w:rsidR="00431638" w:rsidRPr="0063619D" w:rsidRDefault="00431638" w:rsidP="0063619D">
      <w:pPr>
        <w:spacing w:after="0" w:line="480" w:lineRule="auto"/>
        <w:jc w:val="both"/>
        <w:rPr>
          <w:rFonts w:ascii="Arial" w:hAnsi="Arial" w:cs="Arial"/>
          <w:sz w:val="24"/>
          <w:szCs w:val="24"/>
        </w:rPr>
      </w:pPr>
    </w:p>
    <w:p w14:paraId="4D36A2C3" w14:textId="34DE785B"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T</w:t>
      </w:r>
      <w:r w:rsidR="006474A0">
        <w:rPr>
          <w:rFonts w:ascii="Arial" w:hAnsi="Arial" w:cs="Arial"/>
          <w:sz w:val="24"/>
          <w:szCs w:val="24"/>
        </w:rPr>
        <w:t>hrough a process of appraisal</w:t>
      </w:r>
      <w:r w:rsidR="0074031B">
        <w:rPr>
          <w:rFonts w:ascii="Arial" w:hAnsi="Arial" w:cs="Arial"/>
          <w:sz w:val="24"/>
          <w:szCs w:val="24"/>
        </w:rPr>
        <w:t xml:space="preserve"> </w:t>
      </w:r>
      <w:r w:rsidR="006474A0">
        <w:rPr>
          <w:rFonts w:ascii="Arial" w:hAnsi="Arial" w:cs="Arial"/>
          <w:sz w:val="24"/>
          <w:szCs w:val="24"/>
        </w:rPr>
        <w:t xml:space="preserve">– adapted from </w:t>
      </w:r>
      <w:r w:rsidR="004F392F">
        <w:rPr>
          <w:rFonts w:ascii="Arial" w:hAnsi="Arial" w:cs="Arial"/>
          <w:sz w:val="24"/>
          <w:szCs w:val="24"/>
        </w:rPr>
        <w:t xml:space="preserve">the methodology </w:t>
      </w:r>
      <w:r w:rsidR="00DB13C3">
        <w:rPr>
          <w:rFonts w:ascii="Arial" w:hAnsi="Arial" w:cs="Arial"/>
          <w:sz w:val="24"/>
          <w:szCs w:val="24"/>
        </w:rPr>
        <w:t xml:space="preserve">used </w:t>
      </w:r>
      <w:r w:rsidR="004F392F">
        <w:rPr>
          <w:rFonts w:ascii="Arial" w:hAnsi="Arial" w:cs="Arial"/>
          <w:sz w:val="24"/>
          <w:szCs w:val="24"/>
        </w:rPr>
        <w:t>for a</w:t>
      </w:r>
      <w:r w:rsidR="006474A0">
        <w:rPr>
          <w:rFonts w:ascii="Arial" w:hAnsi="Arial" w:cs="Arial"/>
          <w:sz w:val="24"/>
          <w:szCs w:val="24"/>
        </w:rPr>
        <w:t xml:space="preserve"> systematic review </w:t>
      </w:r>
      <w:r w:rsidR="006474A0" w:rsidRPr="004F392F">
        <w:rPr>
          <w:rFonts w:ascii="Arial" w:hAnsi="Arial" w:cs="Arial"/>
          <w:sz w:val="24"/>
          <w:szCs w:val="24"/>
        </w:rPr>
        <w:t>(</w:t>
      </w:r>
      <w:r w:rsidR="008738C1" w:rsidRPr="004F392F">
        <w:rPr>
          <w:rFonts w:ascii="Arial" w:hAnsi="Arial" w:cs="Arial"/>
          <w:sz w:val="24"/>
          <w:szCs w:val="24"/>
        </w:rPr>
        <w:t>Tsafnat</w:t>
      </w:r>
      <w:r w:rsidR="008738C1" w:rsidRPr="00D31116">
        <w:rPr>
          <w:rFonts w:ascii="Arial" w:hAnsi="Arial" w:cs="Arial"/>
          <w:sz w:val="24"/>
          <w:szCs w:val="24"/>
        </w:rPr>
        <w:t>,</w:t>
      </w:r>
      <w:r w:rsidR="008738C1">
        <w:rPr>
          <w:rFonts w:ascii="Arial" w:hAnsi="Arial" w:cs="Arial"/>
          <w:sz w:val="24"/>
          <w:szCs w:val="24"/>
        </w:rPr>
        <w:t xml:space="preserve"> </w:t>
      </w:r>
      <w:r w:rsidR="008738C1" w:rsidRPr="00D31116">
        <w:rPr>
          <w:rFonts w:ascii="Arial" w:hAnsi="Arial" w:cs="Arial"/>
          <w:sz w:val="24"/>
          <w:szCs w:val="24"/>
        </w:rPr>
        <w:t>Glasziou,</w:t>
      </w:r>
      <w:r w:rsidR="008738C1">
        <w:rPr>
          <w:rFonts w:ascii="Arial" w:hAnsi="Arial" w:cs="Arial"/>
          <w:sz w:val="24"/>
          <w:szCs w:val="24"/>
        </w:rPr>
        <w:t xml:space="preserve"> </w:t>
      </w:r>
      <w:r w:rsidR="008738C1" w:rsidRPr="00D31116">
        <w:rPr>
          <w:rFonts w:ascii="Arial" w:hAnsi="Arial" w:cs="Arial"/>
          <w:sz w:val="24"/>
          <w:szCs w:val="24"/>
        </w:rPr>
        <w:t>Choong, Dunn, Galgani</w:t>
      </w:r>
      <w:r w:rsidR="004F392F">
        <w:rPr>
          <w:rFonts w:ascii="Arial" w:hAnsi="Arial" w:cs="Arial"/>
          <w:sz w:val="24"/>
          <w:szCs w:val="24"/>
        </w:rPr>
        <w:t xml:space="preserve"> &amp; </w:t>
      </w:r>
      <w:r w:rsidR="008738C1" w:rsidRPr="00D31116">
        <w:rPr>
          <w:rFonts w:ascii="Arial" w:hAnsi="Arial" w:cs="Arial"/>
          <w:sz w:val="24"/>
          <w:szCs w:val="24"/>
        </w:rPr>
        <w:t>Coiera</w:t>
      </w:r>
      <w:r w:rsidR="008738C1">
        <w:rPr>
          <w:rFonts w:ascii="Arial" w:hAnsi="Arial" w:cs="Arial"/>
          <w:sz w:val="24"/>
          <w:szCs w:val="24"/>
        </w:rPr>
        <w:t>,</w:t>
      </w:r>
      <w:r w:rsidR="004F392F">
        <w:rPr>
          <w:rFonts w:ascii="Arial" w:hAnsi="Arial" w:cs="Arial"/>
          <w:sz w:val="24"/>
          <w:szCs w:val="24"/>
        </w:rPr>
        <w:t xml:space="preserve"> </w:t>
      </w:r>
      <w:r w:rsidR="008738C1">
        <w:rPr>
          <w:rFonts w:ascii="Arial" w:hAnsi="Arial" w:cs="Arial"/>
          <w:sz w:val="24"/>
          <w:szCs w:val="24"/>
        </w:rPr>
        <w:t>2014</w:t>
      </w:r>
      <w:r w:rsidR="004F392F" w:rsidRPr="004F392F">
        <w:rPr>
          <w:rFonts w:ascii="Arial" w:hAnsi="Arial" w:cs="Arial"/>
          <w:sz w:val="24"/>
          <w:szCs w:val="24"/>
        </w:rPr>
        <w:t xml:space="preserve">, </w:t>
      </w:r>
      <w:r w:rsidR="008738C1" w:rsidRPr="004F392F">
        <w:rPr>
          <w:rFonts w:ascii="Arial" w:hAnsi="Arial" w:cs="Arial"/>
          <w:sz w:val="24"/>
          <w:szCs w:val="24"/>
        </w:rPr>
        <w:t>Figure 1</w:t>
      </w:r>
      <w:r w:rsidR="006474A0" w:rsidRPr="004F392F">
        <w:rPr>
          <w:rFonts w:ascii="Arial" w:hAnsi="Arial" w:cs="Arial"/>
          <w:sz w:val="24"/>
          <w:szCs w:val="24"/>
        </w:rPr>
        <w:t>)</w:t>
      </w:r>
      <w:r w:rsidR="0074031B" w:rsidRPr="004F392F">
        <w:rPr>
          <w:rFonts w:ascii="Arial" w:hAnsi="Arial" w:cs="Arial"/>
          <w:sz w:val="24"/>
          <w:szCs w:val="24"/>
        </w:rPr>
        <w:t xml:space="preserve"> – t</w:t>
      </w:r>
      <w:r w:rsidRPr="004F392F">
        <w:rPr>
          <w:rFonts w:ascii="Arial" w:hAnsi="Arial" w:cs="Arial"/>
          <w:sz w:val="24"/>
          <w:szCs w:val="24"/>
        </w:rPr>
        <w:t>his</w:t>
      </w:r>
      <w:r w:rsidRPr="0063619D">
        <w:rPr>
          <w:rFonts w:ascii="Arial" w:hAnsi="Arial" w:cs="Arial"/>
          <w:sz w:val="24"/>
          <w:szCs w:val="24"/>
        </w:rPr>
        <w:t xml:space="preserve"> large list was then narrowed down to thirteen articles</w:t>
      </w:r>
      <w:r w:rsidR="006474A0">
        <w:rPr>
          <w:rFonts w:ascii="Arial" w:hAnsi="Arial" w:cs="Arial"/>
          <w:sz w:val="24"/>
          <w:szCs w:val="24"/>
        </w:rPr>
        <w:t xml:space="preserve">. </w:t>
      </w:r>
      <w:r w:rsidR="00D837C9">
        <w:rPr>
          <w:rFonts w:ascii="Arial" w:hAnsi="Arial" w:cs="Arial"/>
          <w:sz w:val="24"/>
          <w:szCs w:val="24"/>
        </w:rPr>
        <w:t xml:space="preserve">From the </w:t>
      </w:r>
      <w:r w:rsidR="005E78FB">
        <w:rPr>
          <w:rFonts w:ascii="Arial" w:hAnsi="Arial" w:cs="Arial"/>
          <w:sz w:val="24"/>
          <w:szCs w:val="24"/>
        </w:rPr>
        <w:t xml:space="preserve">detailed </w:t>
      </w:r>
      <w:r w:rsidR="00D837C9">
        <w:rPr>
          <w:rFonts w:ascii="Arial" w:hAnsi="Arial" w:cs="Arial"/>
          <w:sz w:val="24"/>
          <w:szCs w:val="24"/>
        </w:rPr>
        <w:t>information provided in</w:t>
      </w:r>
      <w:r w:rsidR="005E78FB">
        <w:rPr>
          <w:rFonts w:ascii="Arial" w:hAnsi="Arial" w:cs="Arial"/>
          <w:sz w:val="24"/>
          <w:szCs w:val="24"/>
        </w:rPr>
        <w:t xml:space="preserve"> their abstracts, t</w:t>
      </w:r>
      <w:r w:rsidR="006474A0">
        <w:rPr>
          <w:rFonts w:ascii="Arial" w:hAnsi="Arial" w:cs="Arial"/>
          <w:sz w:val="24"/>
          <w:szCs w:val="24"/>
        </w:rPr>
        <w:t xml:space="preserve">hese </w:t>
      </w:r>
      <w:r w:rsidR="0074031B">
        <w:rPr>
          <w:rFonts w:ascii="Arial" w:hAnsi="Arial" w:cs="Arial"/>
          <w:sz w:val="24"/>
          <w:szCs w:val="24"/>
        </w:rPr>
        <w:t xml:space="preserve">thirteen </w:t>
      </w:r>
      <w:r w:rsidR="006474A0">
        <w:rPr>
          <w:rFonts w:ascii="Arial" w:hAnsi="Arial" w:cs="Arial"/>
          <w:sz w:val="24"/>
          <w:szCs w:val="24"/>
        </w:rPr>
        <w:t>articles</w:t>
      </w:r>
      <w:r w:rsidR="0074031B">
        <w:rPr>
          <w:rFonts w:ascii="Arial" w:hAnsi="Arial" w:cs="Arial"/>
          <w:sz w:val="24"/>
          <w:szCs w:val="24"/>
        </w:rPr>
        <w:t xml:space="preserve"> </w:t>
      </w:r>
      <w:r w:rsidRPr="0063619D">
        <w:rPr>
          <w:rFonts w:ascii="Arial" w:hAnsi="Arial" w:cs="Arial"/>
          <w:sz w:val="24"/>
          <w:szCs w:val="24"/>
        </w:rPr>
        <w:t xml:space="preserve">were chosen on the basis of their relevance to </w:t>
      </w:r>
      <w:r w:rsidR="00946F25">
        <w:rPr>
          <w:rFonts w:ascii="Arial" w:hAnsi="Arial" w:cs="Arial"/>
          <w:sz w:val="24"/>
          <w:szCs w:val="24"/>
        </w:rPr>
        <w:t>advance</w:t>
      </w:r>
      <w:r w:rsidRPr="0063619D">
        <w:rPr>
          <w:rFonts w:ascii="Arial" w:hAnsi="Arial" w:cs="Arial"/>
          <w:sz w:val="24"/>
          <w:szCs w:val="24"/>
        </w:rPr>
        <w:t xml:space="preserve"> the aims of th</w:t>
      </w:r>
      <w:r w:rsidR="00946F25">
        <w:rPr>
          <w:rFonts w:ascii="Arial" w:hAnsi="Arial" w:cs="Arial"/>
          <w:sz w:val="24"/>
          <w:szCs w:val="24"/>
        </w:rPr>
        <w:t>is</w:t>
      </w:r>
      <w:r w:rsidRPr="0063619D">
        <w:rPr>
          <w:rFonts w:ascii="Arial" w:hAnsi="Arial" w:cs="Arial"/>
          <w:sz w:val="24"/>
          <w:szCs w:val="24"/>
        </w:rPr>
        <w:t xml:space="preserve"> research, as well as their relevance to the author’s own subject area</w:t>
      </w:r>
      <w:r w:rsidR="00946F25">
        <w:rPr>
          <w:rFonts w:ascii="Arial" w:hAnsi="Arial" w:cs="Arial"/>
          <w:sz w:val="24"/>
          <w:szCs w:val="24"/>
        </w:rPr>
        <w:t xml:space="preserve"> of History</w:t>
      </w:r>
      <w:r w:rsidRPr="0063619D">
        <w:rPr>
          <w:rFonts w:ascii="Arial" w:hAnsi="Arial" w:cs="Arial"/>
          <w:sz w:val="24"/>
          <w:szCs w:val="24"/>
        </w:rPr>
        <w:t xml:space="preserve">. As far as was possible, </w:t>
      </w:r>
      <w:r w:rsidR="0074031B">
        <w:rPr>
          <w:rFonts w:ascii="Arial" w:hAnsi="Arial" w:cs="Arial"/>
          <w:sz w:val="24"/>
          <w:szCs w:val="24"/>
        </w:rPr>
        <w:t xml:space="preserve">the </w:t>
      </w:r>
      <w:r w:rsidRPr="0063619D">
        <w:rPr>
          <w:rFonts w:ascii="Arial" w:hAnsi="Arial" w:cs="Arial"/>
          <w:sz w:val="24"/>
          <w:szCs w:val="24"/>
        </w:rPr>
        <w:t>papers consulted</w:t>
      </w:r>
      <w:r w:rsidR="0074031B">
        <w:rPr>
          <w:rFonts w:ascii="Arial" w:hAnsi="Arial" w:cs="Arial"/>
          <w:sz w:val="24"/>
          <w:szCs w:val="24"/>
        </w:rPr>
        <w:t xml:space="preserve"> for the literature review</w:t>
      </w:r>
      <w:r w:rsidRPr="0063619D">
        <w:rPr>
          <w:rFonts w:ascii="Arial" w:hAnsi="Arial" w:cs="Arial"/>
          <w:sz w:val="24"/>
          <w:szCs w:val="24"/>
        </w:rPr>
        <w:t xml:space="preserve"> concerned studies of Humanities and Social Science departments; many of these were UK based, with some examples from the USA, Australia, and Europe.</w:t>
      </w:r>
      <w:r w:rsidR="0074031B">
        <w:rPr>
          <w:rFonts w:ascii="Arial" w:hAnsi="Arial" w:cs="Arial"/>
          <w:sz w:val="24"/>
          <w:szCs w:val="24"/>
        </w:rPr>
        <w:t xml:space="preserve"> Owing to the nature of the topic – the transition to HE study – the majority of the </w:t>
      </w:r>
      <w:r w:rsidR="004F392F">
        <w:rPr>
          <w:rFonts w:ascii="Arial" w:hAnsi="Arial" w:cs="Arial"/>
          <w:sz w:val="24"/>
          <w:szCs w:val="24"/>
        </w:rPr>
        <w:t>papers</w:t>
      </w:r>
      <w:r w:rsidR="0074031B">
        <w:rPr>
          <w:rFonts w:ascii="Arial" w:hAnsi="Arial" w:cs="Arial"/>
          <w:sz w:val="24"/>
          <w:szCs w:val="24"/>
        </w:rPr>
        <w:t xml:space="preserve"> focused on the experiences of first-year students</w:t>
      </w:r>
      <w:r w:rsidR="00D31116">
        <w:rPr>
          <w:rFonts w:ascii="Arial" w:hAnsi="Arial" w:cs="Arial"/>
          <w:sz w:val="24"/>
          <w:szCs w:val="24"/>
        </w:rPr>
        <w:t>. H</w:t>
      </w:r>
      <w:r w:rsidR="0074031B">
        <w:rPr>
          <w:rFonts w:ascii="Arial" w:hAnsi="Arial" w:cs="Arial"/>
          <w:sz w:val="24"/>
          <w:szCs w:val="24"/>
        </w:rPr>
        <w:t>owever</w:t>
      </w:r>
      <w:r w:rsidR="00D31116">
        <w:rPr>
          <w:rFonts w:ascii="Arial" w:hAnsi="Arial" w:cs="Arial"/>
          <w:sz w:val="24"/>
          <w:szCs w:val="24"/>
        </w:rPr>
        <w:t>,</w:t>
      </w:r>
      <w:r w:rsidR="0074031B">
        <w:rPr>
          <w:rFonts w:ascii="Arial" w:hAnsi="Arial" w:cs="Arial"/>
          <w:sz w:val="24"/>
          <w:szCs w:val="24"/>
        </w:rPr>
        <w:t xml:space="preserve"> two</w:t>
      </w:r>
      <w:r w:rsidR="00D31116">
        <w:rPr>
          <w:rFonts w:ascii="Arial" w:hAnsi="Arial" w:cs="Arial"/>
          <w:sz w:val="24"/>
          <w:szCs w:val="24"/>
        </w:rPr>
        <w:t xml:space="preserve"> of the</w:t>
      </w:r>
      <w:r w:rsidR="0074031B">
        <w:rPr>
          <w:rFonts w:ascii="Arial" w:hAnsi="Arial" w:cs="Arial"/>
          <w:sz w:val="24"/>
          <w:szCs w:val="24"/>
        </w:rPr>
        <w:t xml:space="preserve"> </w:t>
      </w:r>
      <w:r w:rsidR="004F392F">
        <w:rPr>
          <w:rFonts w:ascii="Arial" w:hAnsi="Arial" w:cs="Arial"/>
          <w:sz w:val="24"/>
          <w:szCs w:val="24"/>
        </w:rPr>
        <w:t>studies</w:t>
      </w:r>
      <w:r w:rsidR="0074031B">
        <w:rPr>
          <w:rFonts w:ascii="Arial" w:hAnsi="Arial" w:cs="Arial"/>
          <w:sz w:val="24"/>
          <w:szCs w:val="24"/>
        </w:rPr>
        <w:t xml:space="preserve"> </w:t>
      </w:r>
      <w:r w:rsidR="00D31116">
        <w:rPr>
          <w:rFonts w:ascii="Arial" w:hAnsi="Arial" w:cs="Arial"/>
          <w:sz w:val="24"/>
          <w:szCs w:val="24"/>
        </w:rPr>
        <w:t>explored the longer-term</w:t>
      </w:r>
      <w:r w:rsidR="004F392F">
        <w:rPr>
          <w:rFonts w:ascii="Arial" w:hAnsi="Arial" w:cs="Arial"/>
          <w:sz w:val="24"/>
          <w:szCs w:val="24"/>
        </w:rPr>
        <w:t xml:space="preserve"> impacts of</w:t>
      </w:r>
      <w:r w:rsidR="00D31116">
        <w:rPr>
          <w:rFonts w:ascii="Arial" w:hAnsi="Arial" w:cs="Arial"/>
          <w:sz w:val="24"/>
          <w:szCs w:val="24"/>
        </w:rPr>
        <w:t xml:space="preserve"> transition</w:t>
      </w:r>
      <w:r w:rsidR="0074031B">
        <w:rPr>
          <w:rFonts w:ascii="Arial" w:hAnsi="Arial" w:cs="Arial"/>
          <w:sz w:val="24"/>
          <w:szCs w:val="24"/>
        </w:rPr>
        <w:t xml:space="preserve"> </w:t>
      </w:r>
      <w:r w:rsidR="00D31116">
        <w:rPr>
          <w:rFonts w:ascii="Arial" w:hAnsi="Arial" w:cs="Arial"/>
          <w:sz w:val="24"/>
          <w:szCs w:val="24"/>
        </w:rPr>
        <w:t xml:space="preserve">amongst second- and third-year students. </w:t>
      </w:r>
      <w:r w:rsidRPr="0063619D">
        <w:rPr>
          <w:rFonts w:ascii="Arial" w:hAnsi="Arial" w:cs="Arial"/>
          <w:sz w:val="24"/>
          <w:szCs w:val="24"/>
        </w:rPr>
        <w:t>A database of the articles was compiled, with their high-level arguments captured to enable comparison between them. From the assessment of the literature, four shared themes were identified: transition to university; first-</w:t>
      </w:r>
      <w:r w:rsidRPr="0063619D">
        <w:rPr>
          <w:rFonts w:ascii="Arial" w:hAnsi="Arial" w:cs="Arial"/>
          <w:sz w:val="24"/>
          <w:szCs w:val="24"/>
        </w:rPr>
        <w:lastRenderedPageBreak/>
        <w:t>generation students; student/tutor expectations; and structural problems within HE. The findings of this paper are based around these four themes.</w:t>
      </w:r>
    </w:p>
    <w:p w14:paraId="440EF6CB" w14:textId="77777777" w:rsidR="00431638" w:rsidRPr="0063619D" w:rsidRDefault="00431638" w:rsidP="0063619D">
      <w:pPr>
        <w:spacing w:after="0" w:line="480" w:lineRule="auto"/>
        <w:jc w:val="both"/>
        <w:rPr>
          <w:rFonts w:ascii="Arial" w:hAnsi="Arial" w:cs="Arial"/>
          <w:sz w:val="24"/>
          <w:szCs w:val="24"/>
        </w:rPr>
      </w:pPr>
    </w:p>
    <w:p w14:paraId="0D1EAF6D" w14:textId="77777777" w:rsidR="00431638" w:rsidRPr="0063619D" w:rsidRDefault="00431638" w:rsidP="0063619D">
      <w:pPr>
        <w:spacing w:after="0" w:line="480" w:lineRule="auto"/>
        <w:rPr>
          <w:rFonts w:ascii="Arial" w:hAnsi="Arial" w:cs="Arial"/>
          <w:b/>
          <w:bCs/>
          <w:sz w:val="24"/>
          <w:szCs w:val="24"/>
        </w:rPr>
      </w:pPr>
      <w:r w:rsidRPr="0063619D">
        <w:rPr>
          <w:rFonts w:ascii="Arial" w:hAnsi="Arial" w:cs="Arial"/>
          <w:b/>
          <w:bCs/>
          <w:sz w:val="24"/>
          <w:szCs w:val="24"/>
        </w:rPr>
        <w:t xml:space="preserve">Discussion of Findings </w:t>
      </w:r>
    </w:p>
    <w:p w14:paraId="6D3CAEBA" w14:textId="77777777" w:rsidR="00431638" w:rsidRPr="0063619D" w:rsidRDefault="00431638" w:rsidP="0063619D">
      <w:pPr>
        <w:spacing w:after="0" w:line="480" w:lineRule="auto"/>
        <w:rPr>
          <w:rFonts w:ascii="Arial" w:hAnsi="Arial" w:cs="Arial"/>
          <w:b/>
          <w:bCs/>
          <w:i/>
          <w:iCs/>
          <w:sz w:val="24"/>
          <w:szCs w:val="24"/>
        </w:rPr>
      </w:pPr>
      <w:r w:rsidRPr="0063619D">
        <w:rPr>
          <w:rFonts w:ascii="Arial" w:hAnsi="Arial" w:cs="Arial"/>
          <w:b/>
          <w:bCs/>
          <w:i/>
          <w:iCs/>
          <w:sz w:val="24"/>
          <w:szCs w:val="24"/>
        </w:rPr>
        <w:t xml:space="preserve">Transition to University </w:t>
      </w:r>
    </w:p>
    <w:p w14:paraId="4C08165F" w14:textId="19F7310E"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While practitioners largely acknowledge that seminars are a method of teaching that is new to most students</w:t>
      </w:r>
      <w:r w:rsidR="00B023C7">
        <w:rPr>
          <w:rFonts w:ascii="Arial" w:hAnsi="Arial" w:cs="Arial"/>
          <w:sz w:val="24"/>
          <w:szCs w:val="24"/>
        </w:rPr>
        <w:t xml:space="preserve"> (Stenhouse, 1972)</w:t>
      </w:r>
      <w:r w:rsidRPr="0063619D">
        <w:rPr>
          <w:rFonts w:ascii="Arial" w:hAnsi="Arial" w:cs="Arial"/>
          <w:sz w:val="24"/>
          <w:szCs w:val="24"/>
        </w:rPr>
        <w:t xml:space="preserve">, they often fail to take into account that adjustment to new methods of teaching is only one small part of the changes that students encounter during their transition to university life. These changes include a shift in identity, in response to the uncertain nature of their new environment (Maunder, Cunliffe, Galvin, Mjali &amp; Rogers, 2013). As Brinkworth et al. note, the transition from secondary education to HE has become an important global concern, demonstrated by ‘an extensive (and rapidly expanding) literature’ (Brinkworth, McCann, Matthews &amp; Nordström, 2009, p. 158). Recent studies draw upon Pierre Bourdieu’s (1977) theory of </w:t>
      </w:r>
      <w:r w:rsidRPr="0063619D">
        <w:rPr>
          <w:rFonts w:ascii="Arial" w:hAnsi="Arial" w:cs="Arial"/>
          <w:i/>
          <w:iCs/>
          <w:sz w:val="24"/>
          <w:szCs w:val="24"/>
        </w:rPr>
        <w:t xml:space="preserve">habitus </w:t>
      </w:r>
      <w:r w:rsidRPr="0063619D">
        <w:rPr>
          <w:rFonts w:ascii="Arial" w:hAnsi="Arial" w:cs="Arial"/>
          <w:sz w:val="24"/>
          <w:szCs w:val="24"/>
        </w:rPr>
        <w:t xml:space="preserve">– the ways in which individuals perceive and react to the world around them – to explain this transition, arguing that students experience significant changes to their </w:t>
      </w:r>
      <w:r w:rsidRPr="0063619D">
        <w:rPr>
          <w:rFonts w:ascii="Arial" w:hAnsi="Arial" w:cs="Arial"/>
          <w:i/>
          <w:iCs/>
          <w:sz w:val="24"/>
          <w:szCs w:val="24"/>
        </w:rPr>
        <w:t xml:space="preserve">habiti </w:t>
      </w:r>
      <w:r w:rsidRPr="0063619D">
        <w:rPr>
          <w:rFonts w:ascii="Arial" w:hAnsi="Arial" w:cs="Arial"/>
          <w:sz w:val="24"/>
          <w:szCs w:val="24"/>
        </w:rPr>
        <w:t>upon adjusting to university (Green, 2007; Ivemark &amp; Ambrose, 2021)</w:t>
      </w:r>
      <w:r w:rsidRPr="0063619D">
        <w:rPr>
          <w:rFonts w:ascii="Arial" w:hAnsi="Arial" w:cs="Arial"/>
          <w:i/>
          <w:iCs/>
          <w:sz w:val="24"/>
          <w:szCs w:val="24"/>
        </w:rPr>
        <w:t>.</w:t>
      </w:r>
      <w:r w:rsidRPr="0063619D">
        <w:rPr>
          <w:rFonts w:ascii="Arial" w:hAnsi="Arial" w:cs="Arial"/>
          <w:sz w:val="24"/>
          <w:szCs w:val="24"/>
        </w:rPr>
        <w:t xml:space="preserve"> An individual’s </w:t>
      </w:r>
      <w:r w:rsidRPr="0063619D">
        <w:rPr>
          <w:rFonts w:ascii="Arial" w:hAnsi="Arial" w:cs="Arial"/>
          <w:i/>
          <w:iCs/>
          <w:sz w:val="24"/>
          <w:szCs w:val="24"/>
        </w:rPr>
        <w:t xml:space="preserve">habitus </w:t>
      </w:r>
      <w:r w:rsidRPr="0063619D">
        <w:rPr>
          <w:rFonts w:ascii="Arial" w:hAnsi="Arial" w:cs="Arial"/>
          <w:sz w:val="24"/>
          <w:szCs w:val="24"/>
        </w:rPr>
        <w:t xml:space="preserve">is acquired in childhood, and is shaped by their social, economic and cultural capital; defined by Ivemark and Ambrose (2021) as their family resources, early social environment, educational experiences and opportunities, peers, and partners. It is through this lens that students then attempt to interpret university life. </w:t>
      </w:r>
    </w:p>
    <w:p w14:paraId="6D4F1DA4" w14:textId="77777777" w:rsidR="00431638" w:rsidRPr="0063619D" w:rsidRDefault="00431638" w:rsidP="0063619D">
      <w:pPr>
        <w:spacing w:after="0" w:line="480" w:lineRule="auto"/>
        <w:jc w:val="both"/>
        <w:rPr>
          <w:rFonts w:ascii="Arial" w:hAnsi="Arial" w:cs="Arial"/>
          <w:sz w:val="24"/>
          <w:szCs w:val="24"/>
        </w:rPr>
      </w:pPr>
    </w:p>
    <w:p w14:paraId="0F310256" w14:textId="70E4D329"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Hassel and Ridout (2018, p. 1) note that the transition from school to HE ‘can cause concern for many students’ and that, upon arrival at university, students often lack the academic skills required for HE study (Hassel &amp; Ridout, 2018; Skinner, 2014). In </w:t>
      </w:r>
      <w:r w:rsidRPr="0063619D">
        <w:rPr>
          <w:rFonts w:ascii="Arial" w:hAnsi="Arial" w:cs="Arial"/>
          <w:sz w:val="24"/>
          <w:szCs w:val="24"/>
        </w:rPr>
        <w:lastRenderedPageBreak/>
        <w:t>practical terms, this may manifest itself as students experiencing difficulty in selecting appropriate texts from reading lists, choosing to read only a small number of texts, or expecting teaching to be tutor-led (Green, 2007). Beyond the confines of the structured classroom, Money et al. note that students fail to understand the importance of non-directed teaching time and independent reading to their studies, seeing this instead as leisure time (Money, Nixon, Tracy, Hennessy, Ball &amp; Dinning, 2017). Thus, Maunder et al. cite the first year of undergraduate study as being crucial for student transition, as students adapt from passive to active modes of learning. However, they note that such changes are gradual, continuing into the second year of study and beyond (Maunder et al., 2013; Money</w:t>
      </w:r>
      <w:r w:rsidR="00DB13C3">
        <w:rPr>
          <w:rFonts w:ascii="Arial" w:hAnsi="Arial" w:cs="Arial"/>
          <w:sz w:val="24"/>
          <w:szCs w:val="24"/>
        </w:rPr>
        <w:t xml:space="preserve"> et al.</w:t>
      </w:r>
      <w:r w:rsidRPr="0063619D">
        <w:rPr>
          <w:rFonts w:ascii="Arial" w:hAnsi="Arial" w:cs="Arial"/>
          <w:sz w:val="24"/>
          <w:szCs w:val="24"/>
        </w:rPr>
        <w:t>, 2017). Their conclusion therefore reinforces Bogaard et al.’s (2005) recommendation that tutor input should reflect the academic needs and stage of the group. Nevertheless, students are often expected to adjust to new methods of teaching and learning immediately, often with little support (Brinkworth et al., 2009). Thus, according to Brinkworth et al.:</w:t>
      </w:r>
    </w:p>
    <w:p w14:paraId="66334421" w14:textId="77777777" w:rsidR="00431638" w:rsidRPr="0063619D" w:rsidRDefault="00431638" w:rsidP="0063619D">
      <w:pPr>
        <w:spacing w:after="0" w:line="480" w:lineRule="auto"/>
        <w:ind w:left="720"/>
        <w:jc w:val="both"/>
        <w:rPr>
          <w:rFonts w:ascii="Arial" w:hAnsi="Arial" w:cs="Arial"/>
          <w:sz w:val="24"/>
          <w:szCs w:val="24"/>
        </w:rPr>
      </w:pPr>
      <w:r w:rsidRPr="0063619D">
        <w:rPr>
          <w:rFonts w:ascii="Arial" w:hAnsi="Arial" w:cs="Arial"/>
          <w:sz w:val="24"/>
          <w:szCs w:val="24"/>
        </w:rPr>
        <w:t>a successful transition [to HE] is not solely due to academic ability, but depends also on an ability to make a rapid adjustment to a learning environment that requires greater autonomy and individual responsibility than students expect upon commencement (p. 168).</w:t>
      </w:r>
    </w:p>
    <w:p w14:paraId="57C98A3E" w14:textId="77777777" w:rsidR="00431638" w:rsidRPr="0063619D" w:rsidRDefault="00431638" w:rsidP="0063619D">
      <w:pPr>
        <w:spacing w:after="0" w:line="480" w:lineRule="auto"/>
        <w:jc w:val="both"/>
        <w:rPr>
          <w:rFonts w:ascii="Arial" w:hAnsi="Arial" w:cs="Arial"/>
          <w:sz w:val="24"/>
          <w:szCs w:val="24"/>
        </w:rPr>
      </w:pPr>
    </w:p>
    <w:p w14:paraId="69C947B5" w14:textId="1DF70450"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Importantly, </w:t>
      </w:r>
      <w:r w:rsidRPr="0063619D">
        <w:rPr>
          <w:rFonts w:ascii="Arial" w:hAnsi="Arial" w:cs="Arial"/>
          <w:i/>
          <w:iCs/>
          <w:sz w:val="24"/>
          <w:szCs w:val="24"/>
        </w:rPr>
        <w:t xml:space="preserve">habitus </w:t>
      </w:r>
      <w:r w:rsidRPr="0063619D">
        <w:rPr>
          <w:rFonts w:ascii="Arial" w:hAnsi="Arial" w:cs="Arial"/>
          <w:sz w:val="24"/>
          <w:szCs w:val="24"/>
        </w:rPr>
        <w:t xml:space="preserve">can </w:t>
      </w:r>
      <w:r w:rsidR="00B556D9">
        <w:rPr>
          <w:rFonts w:ascii="Arial" w:hAnsi="Arial" w:cs="Arial"/>
          <w:sz w:val="24"/>
          <w:szCs w:val="24"/>
        </w:rPr>
        <w:t xml:space="preserve">– </w:t>
      </w:r>
      <w:r w:rsidRPr="0063619D">
        <w:rPr>
          <w:rFonts w:ascii="Arial" w:hAnsi="Arial" w:cs="Arial"/>
          <w:sz w:val="24"/>
          <w:szCs w:val="24"/>
        </w:rPr>
        <w:t>and does</w:t>
      </w:r>
      <w:r w:rsidR="00B556D9">
        <w:rPr>
          <w:rFonts w:ascii="Arial" w:hAnsi="Arial" w:cs="Arial"/>
          <w:sz w:val="24"/>
          <w:szCs w:val="24"/>
        </w:rPr>
        <w:t xml:space="preserve"> – </w:t>
      </w:r>
      <w:r w:rsidRPr="0063619D">
        <w:rPr>
          <w:rFonts w:ascii="Arial" w:hAnsi="Arial" w:cs="Arial"/>
          <w:sz w:val="24"/>
          <w:szCs w:val="24"/>
        </w:rPr>
        <w:t xml:space="preserve">change (Green, 2007); in the following section we consider how the ease of transition may vary according to the differing needs and backgrounds of first-generation students. There is a consensus amongst the articles considered within this study that tutors have a responsibility to support students’ transition to HE. Green (2007), for instance, explains that </w:t>
      </w:r>
      <w:r w:rsidRPr="0063619D">
        <w:rPr>
          <w:rFonts w:ascii="Arial" w:hAnsi="Arial" w:cs="Arial"/>
          <w:i/>
          <w:iCs/>
          <w:sz w:val="24"/>
          <w:szCs w:val="24"/>
        </w:rPr>
        <w:t>habitus</w:t>
      </w:r>
      <w:r w:rsidRPr="0063619D">
        <w:rPr>
          <w:rFonts w:ascii="Arial" w:hAnsi="Arial" w:cs="Arial"/>
          <w:sz w:val="24"/>
          <w:szCs w:val="24"/>
        </w:rPr>
        <w:t xml:space="preserve"> needs to be shaped by external forces – such as pedagogy – in order for students’ outlooks to change. </w:t>
      </w:r>
      <w:r w:rsidRPr="0063619D">
        <w:rPr>
          <w:rFonts w:ascii="Arial" w:hAnsi="Arial" w:cs="Arial"/>
          <w:sz w:val="24"/>
          <w:szCs w:val="24"/>
        </w:rPr>
        <w:lastRenderedPageBreak/>
        <w:t>Further, the articles considered within this study propose practical steps that tutors can take to support students’ transition to HE. Green suggests introducing students to new ways of learning – such as seminars – through what he terms ‘mediated socio-pedagogic interaction’: an understanding that these are new for students and negotiating pedagogy together (2007, pp. 126-7). Maunder et al. (2013) similarly suggest cultivating relationships with students that will help to support their transition. Meanwhile, Money at al. (2017) highlight four key areas that are essential to students’ transition to university: directed time, non-directed time, support (academic, financial, and employability), and relationships. Based on these collective findings, HE tutors and practitioners may want to consider how they can better address these areas – particularly support and relationships – to encourage their students’ transition.</w:t>
      </w:r>
    </w:p>
    <w:p w14:paraId="69D0ED20" w14:textId="77777777" w:rsidR="00431638" w:rsidRPr="0063619D" w:rsidRDefault="00431638" w:rsidP="0063619D">
      <w:pPr>
        <w:spacing w:after="0" w:line="480" w:lineRule="auto"/>
        <w:jc w:val="both"/>
        <w:rPr>
          <w:rFonts w:ascii="Arial" w:hAnsi="Arial" w:cs="Arial"/>
          <w:sz w:val="24"/>
          <w:szCs w:val="24"/>
        </w:rPr>
      </w:pPr>
    </w:p>
    <w:p w14:paraId="54DB9F97" w14:textId="1E151C06" w:rsidR="00E33435" w:rsidRDefault="00431638" w:rsidP="00750D49">
      <w:pPr>
        <w:spacing w:after="0" w:line="480" w:lineRule="auto"/>
        <w:jc w:val="both"/>
        <w:rPr>
          <w:rFonts w:ascii="Arial" w:hAnsi="Arial" w:cs="Arial"/>
          <w:sz w:val="24"/>
          <w:szCs w:val="24"/>
        </w:rPr>
      </w:pPr>
      <w:r w:rsidRPr="0063619D">
        <w:rPr>
          <w:rFonts w:ascii="Arial" w:hAnsi="Arial" w:cs="Arial"/>
          <w:sz w:val="24"/>
          <w:szCs w:val="24"/>
        </w:rPr>
        <w:t>The studies considered as part of this literature review also highlighted the necessity – and urgency – for HE tutors to review their current teaching practices. According to Green (2007), from his own perspective in an English department within the UK, university teaching staff have not changed their pedagogic practices to suit the changing needs of students emerging from A-Level study. Hassel and Ridout (2018) reach a similar conclusion, noting that HE tutors who are newer to teaching are more likely to use what they call an ‘Information</w:t>
      </w:r>
      <w:r w:rsidR="003F5DBB">
        <w:rPr>
          <w:rFonts w:ascii="Arial" w:hAnsi="Arial" w:cs="Arial"/>
          <w:sz w:val="24"/>
          <w:szCs w:val="24"/>
        </w:rPr>
        <w:t>-</w:t>
      </w:r>
      <w:r w:rsidRPr="0063619D">
        <w:rPr>
          <w:rFonts w:ascii="Arial" w:hAnsi="Arial" w:cs="Arial"/>
          <w:sz w:val="24"/>
          <w:szCs w:val="24"/>
        </w:rPr>
        <w:t>Transmitting</w:t>
      </w:r>
      <w:r w:rsidR="003F5DBB">
        <w:rPr>
          <w:rFonts w:ascii="Arial" w:hAnsi="Arial" w:cs="Arial"/>
          <w:sz w:val="24"/>
          <w:szCs w:val="24"/>
        </w:rPr>
        <w:t>-</w:t>
      </w:r>
      <w:r w:rsidRPr="0063619D">
        <w:rPr>
          <w:rFonts w:ascii="Arial" w:hAnsi="Arial" w:cs="Arial"/>
          <w:sz w:val="24"/>
          <w:szCs w:val="24"/>
        </w:rPr>
        <w:t>Teacher</w:t>
      </w:r>
      <w:r w:rsidR="003F5DBB">
        <w:rPr>
          <w:rFonts w:ascii="Arial" w:hAnsi="Arial" w:cs="Arial"/>
          <w:sz w:val="24"/>
          <w:szCs w:val="24"/>
        </w:rPr>
        <w:t>-</w:t>
      </w:r>
      <w:r w:rsidRPr="0063619D">
        <w:rPr>
          <w:rFonts w:ascii="Arial" w:hAnsi="Arial" w:cs="Arial"/>
          <w:sz w:val="24"/>
          <w:szCs w:val="24"/>
        </w:rPr>
        <w:t xml:space="preserve">Focused’ (ITTF) </w:t>
      </w:r>
      <w:r w:rsidR="00194FEC">
        <w:rPr>
          <w:rFonts w:ascii="Arial" w:hAnsi="Arial" w:cs="Arial"/>
          <w:sz w:val="24"/>
          <w:szCs w:val="24"/>
        </w:rPr>
        <w:t xml:space="preserve">– in which the tutor’s role is primarily to transmit information to students – </w:t>
      </w:r>
      <w:r w:rsidRPr="0063619D">
        <w:rPr>
          <w:rFonts w:ascii="Arial" w:hAnsi="Arial" w:cs="Arial"/>
          <w:sz w:val="24"/>
          <w:szCs w:val="24"/>
        </w:rPr>
        <w:t>approach; while those who have been teaching for longer continue to use ‘Concept</w:t>
      </w:r>
      <w:r w:rsidR="00194FEC">
        <w:rPr>
          <w:rFonts w:ascii="Arial" w:hAnsi="Arial" w:cs="Arial"/>
          <w:sz w:val="24"/>
          <w:szCs w:val="24"/>
        </w:rPr>
        <w:t>-</w:t>
      </w:r>
      <w:r w:rsidRPr="0063619D">
        <w:rPr>
          <w:rFonts w:ascii="Arial" w:hAnsi="Arial" w:cs="Arial"/>
          <w:sz w:val="24"/>
          <w:szCs w:val="24"/>
        </w:rPr>
        <w:t>Changing</w:t>
      </w:r>
      <w:r w:rsidR="00194FEC">
        <w:rPr>
          <w:rFonts w:ascii="Arial" w:hAnsi="Arial" w:cs="Arial"/>
          <w:sz w:val="24"/>
          <w:szCs w:val="24"/>
        </w:rPr>
        <w:t>-</w:t>
      </w:r>
      <w:r w:rsidRPr="0063619D">
        <w:rPr>
          <w:rFonts w:ascii="Arial" w:hAnsi="Arial" w:cs="Arial"/>
          <w:sz w:val="24"/>
          <w:szCs w:val="24"/>
        </w:rPr>
        <w:t>Student</w:t>
      </w:r>
      <w:r w:rsidR="00194FEC">
        <w:rPr>
          <w:rFonts w:ascii="Arial" w:hAnsi="Arial" w:cs="Arial"/>
          <w:sz w:val="24"/>
          <w:szCs w:val="24"/>
        </w:rPr>
        <w:t>-</w:t>
      </w:r>
      <w:r w:rsidRPr="0063619D">
        <w:rPr>
          <w:rFonts w:ascii="Arial" w:hAnsi="Arial" w:cs="Arial"/>
          <w:sz w:val="24"/>
          <w:szCs w:val="24"/>
        </w:rPr>
        <w:t xml:space="preserve">Focused’ (CCSF) </w:t>
      </w:r>
      <w:r w:rsidR="003F5DBB">
        <w:rPr>
          <w:rFonts w:ascii="Arial" w:hAnsi="Arial" w:cs="Arial"/>
          <w:sz w:val="24"/>
          <w:szCs w:val="24"/>
        </w:rPr>
        <w:t xml:space="preserve">– in which </w:t>
      </w:r>
      <w:r w:rsidR="00194FEC">
        <w:rPr>
          <w:rFonts w:ascii="Arial" w:hAnsi="Arial" w:cs="Arial"/>
          <w:sz w:val="24"/>
          <w:szCs w:val="24"/>
        </w:rPr>
        <w:t xml:space="preserve">the tutor’s role is to facilitate deeper learning and conceptual change amongst students – </w:t>
      </w:r>
      <w:r w:rsidRPr="0063619D">
        <w:rPr>
          <w:rFonts w:ascii="Arial" w:hAnsi="Arial" w:cs="Arial"/>
          <w:sz w:val="24"/>
          <w:szCs w:val="24"/>
        </w:rPr>
        <w:t xml:space="preserve">approaches. Hassel and Ridout </w:t>
      </w:r>
      <w:r w:rsidR="00C8117F">
        <w:rPr>
          <w:rFonts w:ascii="Arial" w:hAnsi="Arial" w:cs="Arial"/>
          <w:sz w:val="24"/>
          <w:szCs w:val="24"/>
        </w:rPr>
        <w:t xml:space="preserve">(2018) </w:t>
      </w:r>
      <w:r w:rsidRPr="0063619D">
        <w:rPr>
          <w:rFonts w:ascii="Arial" w:hAnsi="Arial" w:cs="Arial"/>
          <w:sz w:val="24"/>
          <w:szCs w:val="24"/>
        </w:rPr>
        <w:t xml:space="preserve">argue that ITTF style of teaching is more suited toward – and, indeed, expected by – younger students, who are still navigating their transition to university study. Conversely – and </w:t>
      </w:r>
      <w:r w:rsidRPr="0063619D">
        <w:rPr>
          <w:rFonts w:ascii="Arial" w:hAnsi="Arial" w:cs="Arial"/>
          <w:sz w:val="24"/>
          <w:szCs w:val="24"/>
        </w:rPr>
        <w:lastRenderedPageBreak/>
        <w:t xml:space="preserve">thus echoing the points made by Maunder et al. </w:t>
      </w:r>
      <w:r w:rsidR="00C8117F">
        <w:rPr>
          <w:rFonts w:ascii="Arial" w:hAnsi="Arial" w:cs="Arial"/>
          <w:sz w:val="24"/>
          <w:szCs w:val="24"/>
        </w:rPr>
        <w:t xml:space="preserve">(2013) </w:t>
      </w:r>
      <w:r w:rsidRPr="0063619D">
        <w:rPr>
          <w:rFonts w:ascii="Arial" w:hAnsi="Arial" w:cs="Arial"/>
          <w:sz w:val="24"/>
          <w:szCs w:val="24"/>
        </w:rPr>
        <w:t>and Bogaard et al.</w:t>
      </w:r>
      <w:r w:rsidR="00D6049D">
        <w:rPr>
          <w:rFonts w:ascii="Arial" w:hAnsi="Arial" w:cs="Arial"/>
          <w:sz w:val="24"/>
          <w:szCs w:val="24"/>
        </w:rPr>
        <w:t xml:space="preserve"> </w:t>
      </w:r>
      <w:r w:rsidR="00C8117F">
        <w:rPr>
          <w:rFonts w:ascii="Arial" w:hAnsi="Arial" w:cs="Arial"/>
          <w:sz w:val="24"/>
          <w:szCs w:val="24"/>
        </w:rPr>
        <w:t>(2005)</w:t>
      </w:r>
      <w:r w:rsidRPr="0063619D">
        <w:rPr>
          <w:rFonts w:ascii="Arial" w:hAnsi="Arial" w:cs="Arial"/>
          <w:sz w:val="24"/>
          <w:szCs w:val="24"/>
        </w:rPr>
        <w:t xml:space="preserve"> – they argue that CCSF approaches should be introduced gradually, as they are more suited to students in their later years of study.</w:t>
      </w:r>
    </w:p>
    <w:p w14:paraId="3DBEC479" w14:textId="77777777" w:rsidR="00750D49" w:rsidRDefault="00750D49" w:rsidP="00750D49">
      <w:pPr>
        <w:spacing w:after="0" w:line="480" w:lineRule="auto"/>
        <w:jc w:val="both"/>
        <w:rPr>
          <w:rFonts w:ascii="Arial" w:hAnsi="Arial" w:cs="Arial"/>
          <w:b/>
          <w:bCs/>
          <w:i/>
          <w:iCs/>
          <w:sz w:val="24"/>
          <w:szCs w:val="24"/>
        </w:rPr>
      </w:pPr>
    </w:p>
    <w:p w14:paraId="22655045" w14:textId="57398622" w:rsidR="00431638" w:rsidRPr="0063619D" w:rsidRDefault="00431638" w:rsidP="0063619D">
      <w:pPr>
        <w:spacing w:after="0" w:line="480" w:lineRule="auto"/>
        <w:rPr>
          <w:rFonts w:ascii="Arial" w:hAnsi="Arial" w:cs="Arial"/>
          <w:b/>
          <w:bCs/>
          <w:i/>
          <w:iCs/>
          <w:sz w:val="24"/>
          <w:szCs w:val="24"/>
        </w:rPr>
      </w:pPr>
      <w:r w:rsidRPr="0063619D">
        <w:rPr>
          <w:rFonts w:ascii="Arial" w:hAnsi="Arial" w:cs="Arial"/>
          <w:b/>
          <w:bCs/>
          <w:i/>
          <w:iCs/>
          <w:sz w:val="24"/>
          <w:szCs w:val="24"/>
        </w:rPr>
        <w:t>First-Generation Students</w:t>
      </w:r>
    </w:p>
    <w:p w14:paraId="23C5196C" w14:textId="3696E328"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Following on from – but distinct to – the conclusions outlined above, are the needs of first-generation students. As McEwan notes (2017), students are increasingly drawn from a varied range of backgrounds and with differing experiences. Gibson et al. similarly note that there are complex and multiple paths to university study: not all students enrol within HE institutions immediately upon completing A-Level study</w:t>
      </w:r>
      <w:r w:rsidR="00C8117F">
        <w:rPr>
          <w:rFonts w:ascii="Arial" w:hAnsi="Arial" w:cs="Arial"/>
          <w:sz w:val="24"/>
          <w:szCs w:val="24"/>
        </w:rPr>
        <w:t xml:space="preserve"> – thus entering university as ‘mature’ students –</w:t>
      </w:r>
      <w:r w:rsidRPr="0063619D">
        <w:rPr>
          <w:rFonts w:ascii="Arial" w:hAnsi="Arial" w:cs="Arial"/>
          <w:sz w:val="24"/>
          <w:szCs w:val="24"/>
        </w:rPr>
        <w:t xml:space="preserve">, while students may have diverse and conflicting motivations for embarking upon HE (Gibson, Grace, O’Sullivan &amp; Pritchard, 2019). Invoking Stenhouse’s </w:t>
      </w:r>
      <w:r w:rsidR="00C8117F">
        <w:rPr>
          <w:rFonts w:ascii="Arial" w:hAnsi="Arial" w:cs="Arial"/>
          <w:sz w:val="24"/>
          <w:szCs w:val="24"/>
        </w:rPr>
        <w:t xml:space="preserve">(1972) </w:t>
      </w:r>
      <w:r w:rsidRPr="0063619D">
        <w:rPr>
          <w:rFonts w:ascii="Arial" w:hAnsi="Arial" w:cs="Arial"/>
          <w:sz w:val="24"/>
          <w:szCs w:val="24"/>
        </w:rPr>
        <w:t>definition of seminars, such diversity of age and experience should be beneficial to seminar-based teaching, as it expands and enhances the collective resources which are at the disposal of all group members. Nevertheless, there is a consensus that the transition to university is often more difficult for first-generation students, and that more needs to be done to support them. Gibson et al. (2019) in particular argue that this is often the failing of institutions, who do little to understand their students’ previous experiences and paths to university.</w:t>
      </w:r>
    </w:p>
    <w:p w14:paraId="5B6CFA1B" w14:textId="77777777" w:rsidR="00431638" w:rsidRPr="0063619D" w:rsidRDefault="00431638" w:rsidP="0063619D">
      <w:pPr>
        <w:spacing w:after="0" w:line="480" w:lineRule="auto"/>
        <w:jc w:val="both"/>
        <w:rPr>
          <w:rFonts w:ascii="Arial" w:hAnsi="Arial" w:cs="Arial"/>
          <w:sz w:val="24"/>
          <w:szCs w:val="24"/>
        </w:rPr>
      </w:pPr>
    </w:p>
    <w:p w14:paraId="7EC3CEA6" w14:textId="6D7E1F92"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Pedagogical research agrees that first-generation students who are </w:t>
      </w:r>
      <w:r w:rsidR="00194FEC">
        <w:rPr>
          <w:rFonts w:ascii="Arial" w:hAnsi="Arial" w:cs="Arial"/>
          <w:sz w:val="24"/>
          <w:szCs w:val="24"/>
        </w:rPr>
        <w:t xml:space="preserve">from </w:t>
      </w:r>
      <w:r w:rsidRPr="0063619D">
        <w:rPr>
          <w:rFonts w:ascii="Arial" w:hAnsi="Arial" w:cs="Arial"/>
          <w:sz w:val="24"/>
          <w:szCs w:val="24"/>
        </w:rPr>
        <w:t>working</w:t>
      </w:r>
      <w:r w:rsidR="00194FEC">
        <w:rPr>
          <w:rFonts w:ascii="Arial" w:hAnsi="Arial" w:cs="Arial"/>
          <w:sz w:val="24"/>
          <w:szCs w:val="24"/>
        </w:rPr>
        <w:t>-</w:t>
      </w:r>
      <w:r w:rsidRPr="0063619D">
        <w:rPr>
          <w:rFonts w:ascii="Arial" w:hAnsi="Arial" w:cs="Arial"/>
          <w:sz w:val="24"/>
          <w:szCs w:val="24"/>
        </w:rPr>
        <w:t xml:space="preserve">class </w:t>
      </w:r>
      <w:r w:rsidR="00194FEC">
        <w:rPr>
          <w:rFonts w:ascii="Arial" w:hAnsi="Arial" w:cs="Arial"/>
          <w:sz w:val="24"/>
          <w:szCs w:val="24"/>
        </w:rPr>
        <w:t xml:space="preserve">backgrounds </w:t>
      </w:r>
      <w:r w:rsidRPr="0063619D">
        <w:rPr>
          <w:rFonts w:ascii="Arial" w:hAnsi="Arial" w:cs="Arial"/>
          <w:sz w:val="24"/>
          <w:szCs w:val="24"/>
        </w:rPr>
        <w:t xml:space="preserve">may particularly struggle in their transition to university. In their study of first-generation students in Sweden, Ivemark and Ambrose (2021) found that working-class students experience a tension between their working-class home environments and </w:t>
      </w:r>
      <w:r w:rsidR="00194FEC">
        <w:rPr>
          <w:rFonts w:ascii="Arial" w:hAnsi="Arial" w:cs="Arial"/>
          <w:sz w:val="24"/>
          <w:szCs w:val="24"/>
        </w:rPr>
        <w:t>what the</w:t>
      </w:r>
      <w:r w:rsidR="002D13F7">
        <w:rPr>
          <w:rFonts w:ascii="Arial" w:hAnsi="Arial" w:cs="Arial"/>
          <w:sz w:val="24"/>
          <w:szCs w:val="24"/>
        </w:rPr>
        <w:t xml:space="preserve"> authors </w:t>
      </w:r>
      <w:r w:rsidR="00194FEC">
        <w:rPr>
          <w:rFonts w:ascii="Arial" w:hAnsi="Arial" w:cs="Arial"/>
          <w:sz w:val="24"/>
          <w:szCs w:val="24"/>
        </w:rPr>
        <w:t xml:space="preserve">describe as </w:t>
      </w:r>
      <w:r w:rsidRPr="0063619D">
        <w:rPr>
          <w:rFonts w:ascii="Arial" w:hAnsi="Arial" w:cs="Arial"/>
          <w:sz w:val="24"/>
          <w:szCs w:val="24"/>
        </w:rPr>
        <w:t xml:space="preserve">the middle-class environment of the </w:t>
      </w:r>
      <w:r w:rsidRPr="0063619D">
        <w:rPr>
          <w:rFonts w:ascii="Arial" w:hAnsi="Arial" w:cs="Arial"/>
          <w:sz w:val="24"/>
          <w:szCs w:val="24"/>
        </w:rPr>
        <w:lastRenderedPageBreak/>
        <w:t xml:space="preserve">academy. This is, they argue, particularly true for students from disadvantaged backgrounds, resulting in what they term ‘hysteresis’, or a failure to adapt (p. 194). As they note, the more prestigious the university is, the larger the gap to overcome. Gibson </w:t>
      </w:r>
      <w:r w:rsidR="00862516">
        <w:rPr>
          <w:rFonts w:ascii="Arial" w:hAnsi="Arial" w:cs="Arial"/>
          <w:sz w:val="24"/>
          <w:szCs w:val="24"/>
        </w:rPr>
        <w:t>et al.</w:t>
      </w:r>
      <w:r w:rsidR="00862516" w:rsidRPr="0063619D">
        <w:rPr>
          <w:rFonts w:ascii="Arial" w:hAnsi="Arial" w:cs="Arial"/>
          <w:sz w:val="24"/>
          <w:szCs w:val="24"/>
        </w:rPr>
        <w:t xml:space="preserve"> </w:t>
      </w:r>
      <w:r w:rsidRPr="0063619D">
        <w:rPr>
          <w:rFonts w:ascii="Arial" w:hAnsi="Arial" w:cs="Arial"/>
          <w:sz w:val="24"/>
          <w:szCs w:val="24"/>
        </w:rPr>
        <w:t>(2019) reach a similar conclusion in their qualitative study of the experiences of undergraduate students transitioning to HE. Employing an innovative methodology in which participants used art, poetry and storytelling to share their own experiences of becoming students, they found that working</w:t>
      </w:r>
      <w:r w:rsidR="002D13F7">
        <w:rPr>
          <w:rFonts w:ascii="Arial" w:hAnsi="Arial" w:cs="Arial"/>
          <w:sz w:val="24"/>
          <w:szCs w:val="24"/>
        </w:rPr>
        <w:t>-</w:t>
      </w:r>
      <w:r w:rsidRPr="0063619D">
        <w:rPr>
          <w:rFonts w:ascii="Arial" w:hAnsi="Arial" w:cs="Arial"/>
          <w:sz w:val="24"/>
          <w:szCs w:val="24"/>
        </w:rPr>
        <w:t xml:space="preserve">class students faced particular challenges, particularly concerning their unfamiliarity with academic conventions. </w:t>
      </w:r>
    </w:p>
    <w:p w14:paraId="38DBA546" w14:textId="77777777" w:rsidR="00431638" w:rsidRPr="0063619D" w:rsidRDefault="00431638" w:rsidP="0063619D">
      <w:pPr>
        <w:spacing w:after="0" w:line="480" w:lineRule="auto"/>
        <w:jc w:val="both"/>
        <w:rPr>
          <w:rFonts w:ascii="Arial" w:hAnsi="Arial" w:cs="Arial"/>
          <w:sz w:val="24"/>
          <w:szCs w:val="24"/>
        </w:rPr>
      </w:pPr>
    </w:p>
    <w:p w14:paraId="5D6048B8" w14:textId="76791BAE"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This may, in part, result from the differing aims of students. As Lehman (2009) notes, first-generation and working-class students often attend university for vocational reasons with specific career goals in mind, rather than enrolling for what he terms ‘vague’ degrees </w:t>
      </w:r>
      <w:r w:rsidR="00FA1E2B">
        <w:rPr>
          <w:rFonts w:ascii="Arial" w:hAnsi="Arial" w:cs="Arial"/>
          <w:sz w:val="24"/>
          <w:szCs w:val="24"/>
        </w:rPr>
        <w:t xml:space="preserve">– </w:t>
      </w:r>
      <w:r w:rsidRPr="0063619D">
        <w:rPr>
          <w:rFonts w:ascii="Arial" w:hAnsi="Arial" w:cs="Arial"/>
          <w:sz w:val="24"/>
          <w:szCs w:val="24"/>
        </w:rPr>
        <w:t xml:space="preserve">such as </w:t>
      </w:r>
      <w:r w:rsidR="00946F25">
        <w:rPr>
          <w:rFonts w:ascii="Arial" w:hAnsi="Arial" w:cs="Arial"/>
          <w:sz w:val="24"/>
          <w:szCs w:val="24"/>
        </w:rPr>
        <w:t>H</w:t>
      </w:r>
      <w:r w:rsidRPr="0063619D">
        <w:rPr>
          <w:rFonts w:ascii="Arial" w:hAnsi="Arial" w:cs="Arial"/>
          <w:sz w:val="24"/>
          <w:szCs w:val="24"/>
        </w:rPr>
        <w:t xml:space="preserve">istory or </w:t>
      </w:r>
      <w:r w:rsidR="00946F25">
        <w:rPr>
          <w:rFonts w:ascii="Arial" w:hAnsi="Arial" w:cs="Arial"/>
          <w:sz w:val="24"/>
          <w:szCs w:val="24"/>
        </w:rPr>
        <w:t>S</w:t>
      </w:r>
      <w:r w:rsidRPr="0063619D">
        <w:rPr>
          <w:rFonts w:ascii="Arial" w:hAnsi="Arial" w:cs="Arial"/>
          <w:sz w:val="24"/>
          <w:szCs w:val="24"/>
        </w:rPr>
        <w:t>ociology</w:t>
      </w:r>
      <w:r w:rsidR="00FA1E2B">
        <w:rPr>
          <w:rFonts w:ascii="Arial" w:hAnsi="Arial" w:cs="Arial"/>
          <w:sz w:val="24"/>
          <w:szCs w:val="24"/>
        </w:rPr>
        <w:t xml:space="preserve"> – </w:t>
      </w:r>
      <w:r w:rsidRPr="0063619D">
        <w:rPr>
          <w:rFonts w:ascii="Arial" w:hAnsi="Arial" w:cs="Arial"/>
          <w:sz w:val="24"/>
          <w:szCs w:val="24"/>
        </w:rPr>
        <w:t xml:space="preserve">simply in the pursuit of knowledge. According to Lehman, these reasons include improving their perceived employability in light of the pervasive discourse of the knowledge economy, and the hope of achieving upward social mobility. Thus, Lehman (2009) and McEwan (2017) agree that students’ diverse backgrounds and their differing motivations for pursuing HE directly impact their expectations of university study. Further, Lehman argues that by viewing HE as a vocational pursuit – focused on learning skills and credentials – this serves to reaffirm students’ social backgrounds, resulting in feelings of isolation and a failure to relate to their peers and academic culture. Meanwhile, drawing upon Bourdieu’s theory of </w:t>
      </w:r>
      <w:r w:rsidRPr="0063619D">
        <w:rPr>
          <w:rFonts w:ascii="Arial" w:hAnsi="Arial" w:cs="Arial"/>
          <w:i/>
          <w:iCs/>
          <w:sz w:val="24"/>
          <w:szCs w:val="24"/>
        </w:rPr>
        <w:t>habitus</w:t>
      </w:r>
      <w:r w:rsidRPr="0063619D">
        <w:rPr>
          <w:rFonts w:ascii="Arial" w:hAnsi="Arial" w:cs="Arial"/>
          <w:sz w:val="24"/>
          <w:szCs w:val="24"/>
        </w:rPr>
        <w:t xml:space="preserve"> outlined above, Ivemark and Ambrose (2021) similarly note that the tension between a student’s home </w:t>
      </w:r>
      <w:r w:rsidRPr="0063619D">
        <w:rPr>
          <w:rFonts w:ascii="Arial" w:hAnsi="Arial" w:cs="Arial"/>
          <w:i/>
          <w:iCs/>
          <w:sz w:val="24"/>
          <w:szCs w:val="24"/>
        </w:rPr>
        <w:t xml:space="preserve">habitus </w:t>
      </w:r>
      <w:r w:rsidRPr="0063619D">
        <w:rPr>
          <w:rFonts w:ascii="Arial" w:hAnsi="Arial" w:cs="Arial"/>
          <w:sz w:val="24"/>
          <w:szCs w:val="24"/>
        </w:rPr>
        <w:t xml:space="preserve">and the </w:t>
      </w:r>
      <w:r w:rsidRPr="0063619D">
        <w:rPr>
          <w:rFonts w:ascii="Arial" w:hAnsi="Arial" w:cs="Arial"/>
          <w:i/>
          <w:iCs/>
          <w:sz w:val="24"/>
          <w:szCs w:val="24"/>
        </w:rPr>
        <w:t xml:space="preserve">habitus </w:t>
      </w:r>
      <w:r w:rsidRPr="0063619D">
        <w:rPr>
          <w:rFonts w:ascii="Arial" w:hAnsi="Arial" w:cs="Arial"/>
          <w:sz w:val="24"/>
          <w:szCs w:val="24"/>
        </w:rPr>
        <w:t>that they develop at university can lead to a ‘mismatched’</w:t>
      </w:r>
      <w:r w:rsidR="009860BF">
        <w:rPr>
          <w:rFonts w:ascii="Arial" w:hAnsi="Arial" w:cs="Arial"/>
          <w:sz w:val="24"/>
          <w:szCs w:val="24"/>
        </w:rPr>
        <w:t xml:space="preserve"> (p. 7)</w:t>
      </w:r>
      <w:r w:rsidRPr="0063619D">
        <w:rPr>
          <w:rFonts w:ascii="Arial" w:hAnsi="Arial" w:cs="Arial"/>
          <w:sz w:val="24"/>
          <w:szCs w:val="24"/>
        </w:rPr>
        <w:t xml:space="preserve"> or ‘divided’ </w:t>
      </w:r>
      <w:r w:rsidR="009860BF">
        <w:rPr>
          <w:rFonts w:ascii="Arial" w:hAnsi="Arial" w:cs="Arial"/>
          <w:sz w:val="24"/>
          <w:szCs w:val="24"/>
        </w:rPr>
        <w:t xml:space="preserve">(p. 2) </w:t>
      </w:r>
      <w:r w:rsidRPr="0063619D">
        <w:rPr>
          <w:rFonts w:ascii="Arial" w:hAnsi="Arial" w:cs="Arial"/>
          <w:sz w:val="24"/>
          <w:szCs w:val="24"/>
        </w:rPr>
        <w:t xml:space="preserve">habitus. This, </w:t>
      </w:r>
      <w:r w:rsidRPr="0063619D">
        <w:rPr>
          <w:rFonts w:ascii="Arial" w:hAnsi="Arial" w:cs="Arial"/>
          <w:sz w:val="24"/>
          <w:szCs w:val="24"/>
        </w:rPr>
        <w:lastRenderedPageBreak/>
        <w:t xml:space="preserve">they argue, can result in first-generation students feeling like outsiders, disconnected from their university peers. Such feelings and attitudes can have significant consequences: in his four-year long study of working-class students at a Canadian research-intensive university, Lehman (2009) found that first-generation students were more likely to leave university early. This, he attributed to the aforementioned feelings of not fitting in, and being unable to relate to </w:t>
      </w:r>
      <w:r w:rsidR="00FE1738">
        <w:rPr>
          <w:rFonts w:ascii="Arial" w:hAnsi="Arial" w:cs="Arial"/>
          <w:sz w:val="24"/>
          <w:szCs w:val="24"/>
        </w:rPr>
        <w:t>one’s</w:t>
      </w:r>
      <w:r w:rsidR="00FE1738" w:rsidRPr="0063619D">
        <w:rPr>
          <w:rFonts w:ascii="Arial" w:hAnsi="Arial" w:cs="Arial"/>
          <w:sz w:val="24"/>
          <w:szCs w:val="24"/>
        </w:rPr>
        <w:t xml:space="preserve"> </w:t>
      </w:r>
      <w:r w:rsidRPr="0063619D">
        <w:rPr>
          <w:rFonts w:ascii="Arial" w:hAnsi="Arial" w:cs="Arial"/>
          <w:sz w:val="24"/>
          <w:szCs w:val="24"/>
        </w:rPr>
        <w:t xml:space="preserve">peers. </w:t>
      </w:r>
    </w:p>
    <w:p w14:paraId="51D28FF6" w14:textId="77777777" w:rsidR="00431638" w:rsidRPr="0063619D" w:rsidRDefault="00431638" w:rsidP="0063619D">
      <w:pPr>
        <w:spacing w:after="0" w:line="480" w:lineRule="auto"/>
        <w:rPr>
          <w:rFonts w:ascii="Arial" w:eastAsia="Times New Roman" w:hAnsi="Arial" w:cs="Arial"/>
          <w:color w:val="000000"/>
          <w:sz w:val="24"/>
          <w:szCs w:val="24"/>
          <w:lang w:eastAsia="en-GB"/>
        </w:rPr>
      </w:pPr>
    </w:p>
    <w:p w14:paraId="15E9B765" w14:textId="21BF3514" w:rsidR="00431638" w:rsidRPr="0063619D" w:rsidRDefault="00431638" w:rsidP="002E0806">
      <w:pPr>
        <w:spacing w:after="0" w:line="480" w:lineRule="auto"/>
        <w:jc w:val="both"/>
        <w:rPr>
          <w:rFonts w:ascii="Arial" w:hAnsi="Arial" w:cs="Arial"/>
          <w:sz w:val="24"/>
          <w:szCs w:val="24"/>
        </w:rPr>
      </w:pPr>
      <w:r w:rsidRPr="0063619D">
        <w:rPr>
          <w:rFonts w:ascii="Arial" w:hAnsi="Arial" w:cs="Arial"/>
          <w:sz w:val="24"/>
          <w:szCs w:val="24"/>
        </w:rPr>
        <w:t>While the above-mentioned studies raise important issues regarding the additional support that first-generation students may require when transitioning to university, such studies risk assuming a homogeneity amongst students that does not necessarily exist. As McEwan (2017</w:t>
      </w:r>
      <w:r w:rsidR="0095340B">
        <w:rPr>
          <w:rFonts w:ascii="Arial" w:hAnsi="Arial" w:cs="Arial"/>
          <w:sz w:val="24"/>
          <w:szCs w:val="24"/>
        </w:rPr>
        <w:t>, p. 511</w:t>
      </w:r>
      <w:r w:rsidRPr="0063619D">
        <w:rPr>
          <w:rFonts w:ascii="Arial" w:hAnsi="Arial" w:cs="Arial"/>
          <w:sz w:val="24"/>
          <w:szCs w:val="24"/>
        </w:rPr>
        <w:t>) notes, due to the increased diversity of the student body, there is no ‘</w:t>
      </w:r>
      <w:r w:rsidR="0095340B">
        <w:rPr>
          <w:rFonts w:ascii="Arial" w:hAnsi="Arial" w:cs="Arial"/>
          <w:sz w:val="24"/>
          <w:szCs w:val="24"/>
        </w:rPr>
        <w:t>”</w:t>
      </w:r>
      <w:r w:rsidRPr="0063619D">
        <w:rPr>
          <w:rFonts w:ascii="Arial" w:hAnsi="Arial" w:cs="Arial"/>
          <w:sz w:val="24"/>
          <w:szCs w:val="24"/>
        </w:rPr>
        <w:t>one size fits all</w:t>
      </w:r>
      <w:r w:rsidR="0095340B">
        <w:rPr>
          <w:rFonts w:ascii="Arial" w:hAnsi="Arial" w:cs="Arial"/>
          <w:sz w:val="24"/>
          <w:szCs w:val="24"/>
        </w:rPr>
        <w:t>”</w:t>
      </w:r>
      <w:r w:rsidRPr="0063619D">
        <w:rPr>
          <w:rFonts w:ascii="Arial" w:hAnsi="Arial" w:cs="Arial"/>
          <w:sz w:val="24"/>
          <w:szCs w:val="24"/>
        </w:rPr>
        <w:t xml:space="preserve"> approach’ to supporting students’ transition to university. Not all first-generation students identify as working class or are from disadvantaged backgrounds. This is reflected in Ivemark and Ambrose’s (2021) findings that for first-generation students who have acquired cultural capital at a younger age – such as attending a prestigious high school – the transition is easier. HE practitioners would also do well to consider the needs of particular groups of students</w:t>
      </w:r>
      <w:r w:rsidR="00FE1738">
        <w:rPr>
          <w:rFonts w:ascii="Arial" w:hAnsi="Arial" w:cs="Arial"/>
          <w:sz w:val="24"/>
          <w:szCs w:val="24"/>
        </w:rPr>
        <w:t>, including BAME students, disabled students</w:t>
      </w:r>
      <w:r w:rsidR="00CC4698">
        <w:rPr>
          <w:rFonts w:ascii="Arial" w:hAnsi="Arial" w:cs="Arial"/>
          <w:sz w:val="24"/>
          <w:szCs w:val="24"/>
        </w:rPr>
        <w:t xml:space="preserve"> (McKinney &amp; Swartz, 2022; Soorenian, 2013)</w:t>
      </w:r>
      <w:r w:rsidR="00FE1738">
        <w:rPr>
          <w:rFonts w:ascii="Arial" w:hAnsi="Arial" w:cs="Arial"/>
          <w:sz w:val="24"/>
          <w:szCs w:val="24"/>
        </w:rPr>
        <w:t>, and mature students.</w:t>
      </w:r>
      <w:r w:rsidR="00770286">
        <w:rPr>
          <w:rFonts w:ascii="Arial" w:hAnsi="Arial" w:cs="Arial"/>
          <w:sz w:val="24"/>
          <w:szCs w:val="24"/>
        </w:rPr>
        <w:t xml:space="preserve"> In the papers considered</w:t>
      </w:r>
      <w:r w:rsidR="00CC4698">
        <w:rPr>
          <w:rFonts w:ascii="Arial" w:hAnsi="Arial" w:cs="Arial"/>
          <w:sz w:val="24"/>
          <w:szCs w:val="24"/>
        </w:rPr>
        <w:t xml:space="preserve"> for this </w:t>
      </w:r>
      <w:r w:rsidR="0095340B">
        <w:rPr>
          <w:rFonts w:ascii="Arial" w:hAnsi="Arial" w:cs="Arial"/>
          <w:sz w:val="24"/>
          <w:szCs w:val="24"/>
        </w:rPr>
        <w:t xml:space="preserve">study, </w:t>
      </w:r>
      <w:r w:rsidRPr="0063619D">
        <w:rPr>
          <w:rFonts w:ascii="Arial" w:hAnsi="Arial" w:cs="Arial"/>
          <w:sz w:val="24"/>
          <w:szCs w:val="24"/>
        </w:rPr>
        <w:t>Ivemark and Ambrose (2021) note that BAME students’ ability to engage with majority-white peer networks in HE is dependent upon the social composition of their high school</w:t>
      </w:r>
      <w:r w:rsidR="0095340B">
        <w:rPr>
          <w:rFonts w:ascii="Arial" w:hAnsi="Arial" w:cs="Arial"/>
          <w:sz w:val="24"/>
          <w:szCs w:val="24"/>
        </w:rPr>
        <w:t xml:space="preserve">, while </w:t>
      </w:r>
      <w:r w:rsidRPr="0063619D">
        <w:rPr>
          <w:rFonts w:ascii="Arial" w:hAnsi="Arial" w:cs="Arial"/>
          <w:sz w:val="24"/>
          <w:szCs w:val="24"/>
        </w:rPr>
        <w:t>Lehman (2009) nods towards the experiences of students from immigrant families</w:t>
      </w:r>
      <w:r w:rsidR="002E0806">
        <w:rPr>
          <w:rFonts w:ascii="Arial" w:hAnsi="Arial" w:cs="Arial"/>
          <w:sz w:val="24"/>
          <w:szCs w:val="24"/>
        </w:rPr>
        <w:t xml:space="preserve">. With the exception of </w:t>
      </w:r>
      <w:r w:rsidR="0095340B">
        <w:rPr>
          <w:rFonts w:ascii="Arial" w:hAnsi="Arial" w:cs="Arial"/>
          <w:sz w:val="24"/>
          <w:szCs w:val="24"/>
        </w:rPr>
        <w:t>Davison et al.’s recent article (</w:t>
      </w:r>
      <w:r w:rsidR="002E0806" w:rsidRPr="002E0806">
        <w:rPr>
          <w:rFonts w:ascii="Arial" w:hAnsi="Arial" w:cs="Arial"/>
          <w:sz w:val="24"/>
          <w:szCs w:val="24"/>
        </w:rPr>
        <w:t>Davison, Sanderson, Hobson</w:t>
      </w:r>
      <w:r w:rsidR="002E0806">
        <w:rPr>
          <w:rFonts w:ascii="Arial" w:hAnsi="Arial" w:cs="Arial"/>
          <w:sz w:val="24"/>
          <w:szCs w:val="24"/>
        </w:rPr>
        <w:t xml:space="preserve"> </w:t>
      </w:r>
      <w:r w:rsidR="0095340B">
        <w:rPr>
          <w:rFonts w:ascii="Arial" w:hAnsi="Arial" w:cs="Arial"/>
          <w:sz w:val="24"/>
          <w:szCs w:val="24"/>
        </w:rPr>
        <w:t>&amp;</w:t>
      </w:r>
      <w:r w:rsidR="002E0806">
        <w:rPr>
          <w:rFonts w:ascii="Arial" w:hAnsi="Arial" w:cs="Arial"/>
          <w:sz w:val="24"/>
          <w:szCs w:val="24"/>
        </w:rPr>
        <w:t xml:space="preserve"> </w:t>
      </w:r>
      <w:r w:rsidR="002E0806" w:rsidRPr="002E0806">
        <w:rPr>
          <w:rFonts w:ascii="Arial" w:hAnsi="Arial" w:cs="Arial"/>
          <w:sz w:val="24"/>
          <w:szCs w:val="24"/>
        </w:rPr>
        <w:t>Hopkins</w:t>
      </w:r>
      <w:r w:rsidR="0095340B">
        <w:rPr>
          <w:rFonts w:ascii="Arial" w:hAnsi="Arial" w:cs="Arial"/>
          <w:sz w:val="24"/>
          <w:szCs w:val="24"/>
        </w:rPr>
        <w:t>, 2022)</w:t>
      </w:r>
      <w:r w:rsidR="002E0806">
        <w:rPr>
          <w:rFonts w:ascii="Arial" w:hAnsi="Arial" w:cs="Arial"/>
          <w:sz w:val="24"/>
          <w:szCs w:val="24"/>
        </w:rPr>
        <w:t>,</w:t>
      </w:r>
      <w:r w:rsidRPr="0063619D">
        <w:rPr>
          <w:rFonts w:ascii="Arial" w:hAnsi="Arial" w:cs="Arial"/>
          <w:sz w:val="24"/>
          <w:szCs w:val="24"/>
        </w:rPr>
        <w:t xml:space="preserve"> the </w:t>
      </w:r>
      <w:r w:rsidR="002E0806">
        <w:rPr>
          <w:rFonts w:ascii="Arial" w:hAnsi="Arial" w:cs="Arial"/>
          <w:sz w:val="24"/>
          <w:szCs w:val="24"/>
        </w:rPr>
        <w:t>near-</w:t>
      </w:r>
      <w:r w:rsidRPr="0063619D">
        <w:rPr>
          <w:rFonts w:ascii="Arial" w:hAnsi="Arial" w:cs="Arial"/>
          <w:sz w:val="24"/>
          <w:szCs w:val="24"/>
        </w:rPr>
        <w:t xml:space="preserve">total absence within the literature of </w:t>
      </w:r>
      <w:r w:rsidRPr="0063619D">
        <w:rPr>
          <w:rFonts w:ascii="Arial" w:hAnsi="Arial" w:cs="Arial"/>
          <w:sz w:val="24"/>
          <w:szCs w:val="24"/>
        </w:rPr>
        <w:lastRenderedPageBreak/>
        <w:t>a paper which explicitly explores the experiences of BAME students in transitioning to university indicates that more needs to be done in this respect.</w:t>
      </w:r>
    </w:p>
    <w:p w14:paraId="422D6E2A" w14:textId="77777777" w:rsidR="00431638" w:rsidRPr="0063619D" w:rsidRDefault="00431638" w:rsidP="0063619D">
      <w:pPr>
        <w:spacing w:after="0" w:line="480" w:lineRule="auto"/>
        <w:rPr>
          <w:rFonts w:ascii="Arial" w:eastAsia="Times New Roman" w:hAnsi="Arial" w:cs="Arial"/>
          <w:color w:val="000000"/>
          <w:sz w:val="24"/>
          <w:szCs w:val="24"/>
          <w:lang w:eastAsia="en-GB"/>
        </w:rPr>
      </w:pPr>
    </w:p>
    <w:p w14:paraId="63E81E3E" w14:textId="77777777" w:rsidR="00431638" w:rsidRPr="0063619D" w:rsidRDefault="00431638" w:rsidP="0063619D">
      <w:pPr>
        <w:spacing w:after="0" w:line="480" w:lineRule="auto"/>
        <w:rPr>
          <w:rFonts w:ascii="Arial" w:hAnsi="Arial" w:cs="Arial"/>
          <w:b/>
          <w:bCs/>
          <w:i/>
          <w:iCs/>
          <w:sz w:val="24"/>
          <w:szCs w:val="24"/>
        </w:rPr>
      </w:pPr>
      <w:r w:rsidRPr="0063619D">
        <w:rPr>
          <w:rFonts w:ascii="Arial" w:hAnsi="Arial" w:cs="Arial"/>
          <w:b/>
          <w:bCs/>
          <w:i/>
          <w:iCs/>
          <w:sz w:val="24"/>
          <w:szCs w:val="24"/>
        </w:rPr>
        <w:t>Student/Tutor Expectations</w:t>
      </w:r>
    </w:p>
    <w:p w14:paraId="5ADD1A52" w14:textId="0EAF2119"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A third theme highlighted by the literature reveals that students come to university with ‘unrealistic’ expectations of teaching and learning in HE (</w:t>
      </w:r>
      <w:r w:rsidR="009860BF" w:rsidRPr="0063619D">
        <w:rPr>
          <w:rFonts w:ascii="Arial" w:hAnsi="Arial" w:cs="Arial"/>
          <w:sz w:val="24"/>
          <w:szCs w:val="24"/>
        </w:rPr>
        <w:t>Brinkworth et al., 2009</w:t>
      </w:r>
      <w:r w:rsidR="00EA6841">
        <w:rPr>
          <w:rFonts w:ascii="Arial" w:hAnsi="Arial" w:cs="Arial"/>
          <w:sz w:val="24"/>
          <w:szCs w:val="24"/>
        </w:rPr>
        <w:t>, p. 163</w:t>
      </w:r>
      <w:r w:rsidR="009860BF">
        <w:rPr>
          <w:rFonts w:ascii="Arial" w:hAnsi="Arial" w:cs="Arial"/>
          <w:sz w:val="24"/>
          <w:szCs w:val="24"/>
        </w:rPr>
        <w:t xml:space="preserve">; </w:t>
      </w:r>
      <w:r w:rsidRPr="0063619D">
        <w:rPr>
          <w:rFonts w:ascii="Arial" w:hAnsi="Arial" w:cs="Arial"/>
          <w:sz w:val="24"/>
          <w:szCs w:val="24"/>
        </w:rPr>
        <w:t>Money et al., 2017</w:t>
      </w:r>
      <w:r w:rsidR="00EA6841">
        <w:rPr>
          <w:rFonts w:ascii="Arial" w:hAnsi="Arial" w:cs="Arial"/>
          <w:sz w:val="24"/>
          <w:szCs w:val="24"/>
        </w:rPr>
        <w:t>, p. 1</w:t>
      </w:r>
      <w:r w:rsidRPr="0063619D">
        <w:rPr>
          <w:rFonts w:ascii="Arial" w:hAnsi="Arial" w:cs="Arial"/>
          <w:sz w:val="24"/>
          <w:szCs w:val="24"/>
        </w:rPr>
        <w:t>). In their survey of first-year Humanities students (enrolled on French and History degrees) at the University of Adelaide, Brinkworth et al. (2009) found that 95% of the students surveyed anticipated that HE would be different to high school. Green (2007) reached similar conclusions in his study of UK-based sixth-form students studying English. However, both Green and Brinkworth et al. note that although students knew that HE would be different, they were unsure how and in what ways. In their study of first- and second-year Social Science students (Psychology), Maunder et al. (2013, pp. 143-46) note that students enter HE with preconceived ideas of university life and the ‘normative student experience’, which they later use as a benchmark for measuring their own experiences within HE.</w:t>
      </w:r>
    </w:p>
    <w:p w14:paraId="6F47A7E8" w14:textId="77777777" w:rsidR="00431638" w:rsidRPr="0063619D" w:rsidRDefault="00431638" w:rsidP="0063619D">
      <w:pPr>
        <w:spacing w:after="0" w:line="480" w:lineRule="auto"/>
        <w:jc w:val="both"/>
        <w:rPr>
          <w:rFonts w:ascii="Arial" w:hAnsi="Arial" w:cs="Arial"/>
          <w:sz w:val="24"/>
          <w:szCs w:val="24"/>
        </w:rPr>
      </w:pPr>
    </w:p>
    <w:p w14:paraId="2B01739B" w14:textId="26435F2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These vague, internalized images of HE that students develop whilst still in high school often conflict with the realities of teaching and learning at university. For instance, through further questioning, Brinkworth et al. (2009) found that students’ expectations regarding contact time, access to teaching staff, and feedback on assignments and drafts differed significantly from HE practices and what tutors can realistically deliver. The students surveyed by Maunder et al. (2013), meanwhile, reflected that while the academic content of university work was not as difficult as they had anticipated, they found that the workload and intensity of HE was more demanding than they had </w:t>
      </w:r>
      <w:r w:rsidRPr="0063619D">
        <w:rPr>
          <w:rFonts w:ascii="Arial" w:hAnsi="Arial" w:cs="Arial"/>
          <w:sz w:val="24"/>
          <w:szCs w:val="24"/>
        </w:rPr>
        <w:lastRenderedPageBreak/>
        <w:t>expected. Contrary to assumed beliefs, university was not one long party. Upon arrival in HE institutions, students are faced with new approaches to learning and assessment that they have not encountered in secondary education, including seminars (Money et al., 2017). As Hassel and Ridout note (2018), this contrasts starkly with students’ expectations that, in terms of teaching methods, HE would be a continuation of secondary school. Consequently, in her study of first-year History students based at a UK institution, Skinner (2014) found that many students did not feel that A-Level study adequately prepared them for HE. Rather than A-Levels introducing students to key skills and research methodologies which were nurtured and developed further within HE, students criticized A-Levels as being little more than ‘hoops [that] you have to jump through in order to get to uni[versity]’ (p. 366).</w:t>
      </w:r>
    </w:p>
    <w:p w14:paraId="71BCD2C1" w14:textId="77777777" w:rsidR="00431638" w:rsidRPr="0063619D" w:rsidRDefault="00431638" w:rsidP="0063619D">
      <w:pPr>
        <w:spacing w:after="0" w:line="480" w:lineRule="auto"/>
        <w:jc w:val="both"/>
        <w:rPr>
          <w:rFonts w:ascii="Arial" w:hAnsi="Arial" w:cs="Arial"/>
          <w:sz w:val="24"/>
          <w:szCs w:val="24"/>
        </w:rPr>
      </w:pPr>
    </w:p>
    <w:p w14:paraId="73EE20F5" w14:textId="7777777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Assessments were a particular area in which student expectations differed from practice and were heavily rooted in their experiences in secondary education. Both Skinner (2014) and Brinkworth et al. (2009), in their respective studies, note that students expect feedback on drafts of assessments before submission, as is standard practice within schools. Curiously, and somewhat contradictorily, Skinner (2014) found that students were sceptical about the benefits of unassessed essays, failing to see them as formative even when feedback was given. This may be a failure of HE practitioners to fully articulate the purpose and benefits of formative assignments. Furthermore, both Skinner (2014) and Brinkworth et al. (2009) found that student expectations concerning feedback on assignments contrasted sharply with what was offered by their tutors: students expected feedback on assessed work within less than three weeks; and they wanted a combination of both oral and written feedback delivered in a one-to-one conversation.</w:t>
      </w:r>
    </w:p>
    <w:p w14:paraId="1173581C" w14:textId="77777777" w:rsidR="00431638" w:rsidRPr="0063619D" w:rsidRDefault="00431638" w:rsidP="0063619D">
      <w:pPr>
        <w:spacing w:after="0" w:line="480" w:lineRule="auto"/>
        <w:jc w:val="both"/>
        <w:rPr>
          <w:rFonts w:ascii="Arial" w:hAnsi="Arial" w:cs="Arial"/>
          <w:sz w:val="24"/>
          <w:szCs w:val="24"/>
        </w:rPr>
      </w:pPr>
    </w:p>
    <w:p w14:paraId="1107DC74" w14:textId="7777777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Students are not alone in having preconceived ideas about their tutors, as the literature confirmed that tutors also make assumptions about their students. Hassel and Ridout (2018) note that, although there have been fewer studies conducted into tutors’ assumptions of their students, there is a dissonance between what tutors and students view as being important. Tutors, they argue, expect that students should arrive at university self-motivated and self-disciplined, attributing poor student performance to inadequate preparation for assignments, rather than a reflection of their transition to HE. Brinkworth et al. (2009) also highlight that students are not as overloaded by external commitments – thus distracting students from their work – as tutors assume. Such assumptions, and the mismatch between them, are important. As Hassel and Ridout note (2018, pp. 1-2), the dissonance between what staff and students see as important can lead to ‘distress, poor academic performance, and increased dropout rates.’ Clearly, a compromise needs to be reached.</w:t>
      </w:r>
    </w:p>
    <w:p w14:paraId="759874B4" w14:textId="77777777" w:rsidR="00750D49" w:rsidRDefault="00750D49" w:rsidP="0063619D">
      <w:pPr>
        <w:spacing w:after="0" w:line="480" w:lineRule="auto"/>
        <w:rPr>
          <w:rFonts w:ascii="Arial" w:hAnsi="Arial" w:cs="Arial"/>
          <w:b/>
          <w:bCs/>
          <w:i/>
          <w:iCs/>
          <w:sz w:val="24"/>
          <w:szCs w:val="24"/>
        </w:rPr>
      </w:pPr>
    </w:p>
    <w:p w14:paraId="3C1883F6" w14:textId="2621B138" w:rsidR="00431638" w:rsidRPr="0063619D" w:rsidRDefault="00431638" w:rsidP="0063619D">
      <w:pPr>
        <w:spacing w:after="0" w:line="480" w:lineRule="auto"/>
        <w:rPr>
          <w:rFonts w:ascii="Arial" w:hAnsi="Arial" w:cs="Arial"/>
          <w:b/>
          <w:bCs/>
          <w:i/>
          <w:iCs/>
          <w:sz w:val="24"/>
          <w:szCs w:val="24"/>
        </w:rPr>
      </w:pPr>
      <w:r w:rsidRPr="0063619D">
        <w:rPr>
          <w:rFonts w:ascii="Arial" w:hAnsi="Arial" w:cs="Arial"/>
          <w:b/>
          <w:bCs/>
          <w:i/>
          <w:iCs/>
          <w:sz w:val="24"/>
          <w:szCs w:val="24"/>
        </w:rPr>
        <w:t>Structural Problems within HE</w:t>
      </w:r>
    </w:p>
    <w:p w14:paraId="138B3CAD" w14:textId="7777777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The final theme highlighted by the literature in impacting students’ engagement in small group teaching concerned structural problems which are inherent within HE. According to Skinner (2014), there is a significant disconnect between the objectives of teachers (and their individual modules) and administrators (the aims of the degree) in HE. Since the introduction of student tuition fees within the UK HE sector, combined with a decrease in government funding for Arts and Humanities subjects, she argues that HE administrators are increasingly under pressure to highlight the transferable skills that students acquire from undertaking such programmes, as well as paying close attention to student satisfaction levels. Gibson et al. (2019) make a similar </w:t>
      </w:r>
      <w:r w:rsidRPr="0063619D">
        <w:rPr>
          <w:rFonts w:ascii="Arial" w:hAnsi="Arial" w:cs="Arial"/>
          <w:sz w:val="24"/>
          <w:szCs w:val="24"/>
        </w:rPr>
        <w:lastRenderedPageBreak/>
        <w:t>observation, noting that students are increasingly viewed as consumers by HE institutions, resulting in an increased scrutiny being placed on academic practice and student experience. To them, HE institutions need to be seen as providing value for money for their students.</w:t>
      </w:r>
    </w:p>
    <w:p w14:paraId="5FA37730" w14:textId="77777777" w:rsidR="00431638" w:rsidRPr="0063619D" w:rsidRDefault="00431638" w:rsidP="0063619D">
      <w:pPr>
        <w:spacing w:after="0" w:line="480" w:lineRule="auto"/>
        <w:jc w:val="both"/>
        <w:rPr>
          <w:rFonts w:ascii="Arial" w:hAnsi="Arial" w:cs="Arial"/>
          <w:sz w:val="24"/>
          <w:szCs w:val="24"/>
        </w:rPr>
      </w:pPr>
    </w:p>
    <w:p w14:paraId="1D204B13" w14:textId="4E01E815"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As Skinner (2014</w:t>
      </w:r>
      <w:r w:rsidR="00570217">
        <w:rPr>
          <w:rFonts w:ascii="Arial" w:hAnsi="Arial" w:cs="Arial"/>
          <w:sz w:val="24"/>
          <w:szCs w:val="24"/>
        </w:rPr>
        <w:t>, p. 360</w:t>
      </w:r>
      <w:r w:rsidRPr="0063619D">
        <w:rPr>
          <w:rFonts w:ascii="Arial" w:hAnsi="Arial" w:cs="Arial"/>
          <w:sz w:val="24"/>
          <w:szCs w:val="24"/>
        </w:rPr>
        <w:t>) explains, this preoccupation with ‘end points’ creates confusion for students. For instance, she notes significant gaps between stated learning outcomes (LOs) and how assessments are designed and marked: HE tutors continue to mark assessments using what she terms ‘fuzzy criteria</w:t>
      </w:r>
      <w:r w:rsidR="00570217">
        <w:rPr>
          <w:rFonts w:ascii="Arial" w:hAnsi="Arial" w:cs="Arial"/>
          <w:sz w:val="24"/>
          <w:szCs w:val="24"/>
        </w:rPr>
        <w:t>’ (p. 363)</w:t>
      </w:r>
      <w:r w:rsidRPr="0063619D">
        <w:rPr>
          <w:rFonts w:ascii="Arial" w:hAnsi="Arial" w:cs="Arial"/>
          <w:sz w:val="24"/>
          <w:szCs w:val="24"/>
        </w:rPr>
        <w:t xml:space="preserve">, in gradations, rather than being marked against LOs as ‘pass’ or ‘fail’. For students – who she argues are motivated by performance goals, such as the attainment of a particular grade or skill – they do not understand the ‘fuzzy’ criteria which is being used to assess their work. This becomes demoralising and, combined with fewer contact hours compared to secondary education, may result in students perceiving their HE tutors as being less supportive in </w:t>
      </w:r>
      <w:r w:rsidR="00570217">
        <w:rPr>
          <w:rFonts w:ascii="Arial" w:hAnsi="Arial" w:cs="Arial"/>
          <w:sz w:val="24"/>
          <w:szCs w:val="24"/>
        </w:rPr>
        <w:t xml:space="preserve">helping </w:t>
      </w:r>
      <w:r w:rsidRPr="0063619D">
        <w:rPr>
          <w:rFonts w:ascii="Arial" w:hAnsi="Arial" w:cs="Arial"/>
          <w:sz w:val="24"/>
          <w:szCs w:val="24"/>
        </w:rPr>
        <w:t xml:space="preserve">them </w:t>
      </w:r>
      <w:r w:rsidR="00570217">
        <w:rPr>
          <w:rFonts w:ascii="Arial" w:hAnsi="Arial" w:cs="Arial"/>
          <w:sz w:val="24"/>
          <w:szCs w:val="24"/>
        </w:rPr>
        <w:t xml:space="preserve">to </w:t>
      </w:r>
      <w:r w:rsidRPr="0063619D">
        <w:rPr>
          <w:rFonts w:ascii="Arial" w:hAnsi="Arial" w:cs="Arial"/>
          <w:sz w:val="24"/>
          <w:szCs w:val="24"/>
        </w:rPr>
        <w:t>achiev</w:t>
      </w:r>
      <w:r w:rsidR="00570217">
        <w:rPr>
          <w:rFonts w:ascii="Arial" w:hAnsi="Arial" w:cs="Arial"/>
          <w:sz w:val="24"/>
          <w:szCs w:val="24"/>
        </w:rPr>
        <w:t>e</w:t>
      </w:r>
      <w:r w:rsidRPr="0063619D">
        <w:rPr>
          <w:rFonts w:ascii="Arial" w:hAnsi="Arial" w:cs="Arial"/>
          <w:sz w:val="24"/>
          <w:szCs w:val="24"/>
        </w:rPr>
        <w:t xml:space="preserve"> their performance goals, thus reporting lower satisfaction scores. While the broader structural problems within HE may be out of individual tutors’ control, they still remain important for the purposes of our study as they can impact upon students’ understanding of, participation in, and engagement with seminar-based teaching. </w:t>
      </w:r>
    </w:p>
    <w:p w14:paraId="7AECDB2F" w14:textId="77777777" w:rsidR="00431638" w:rsidRPr="0063619D" w:rsidRDefault="00431638" w:rsidP="0063619D">
      <w:pPr>
        <w:spacing w:after="0" w:line="480" w:lineRule="auto"/>
        <w:jc w:val="both"/>
        <w:rPr>
          <w:rFonts w:ascii="Arial" w:hAnsi="Arial" w:cs="Arial"/>
          <w:sz w:val="24"/>
          <w:szCs w:val="24"/>
        </w:rPr>
      </w:pPr>
    </w:p>
    <w:p w14:paraId="6BA19E9F" w14:textId="358F6F15" w:rsidR="00431638" w:rsidRPr="0063619D" w:rsidRDefault="00431638" w:rsidP="0063619D">
      <w:pPr>
        <w:spacing w:after="0" w:line="480" w:lineRule="auto"/>
        <w:jc w:val="both"/>
        <w:rPr>
          <w:rFonts w:ascii="Arial" w:hAnsi="Arial" w:cs="Arial"/>
          <w:b/>
          <w:bCs/>
          <w:sz w:val="24"/>
          <w:szCs w:val="24"/>
        </w:rPr>
      </w:pPr>
      <w:r w:rsidRPr="0063619D">
        <w:rPr>
          <w:rFonts w:ascii="Arial" w:hAnsi="Arial" w:cs="Arial"/>
          <w:b/>
          <w:bCs/>
          <w:sz w:val="24"/>
          <w:szCs w:val="24"/>
        </w:rPr>
        <w:t>Next Steps and Recommendations</w:t>
      </w:r>
    </w:p>
    <w:p w14:paraId="324F200A" w14:textId="37246875"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With the above findings in mind, how can HE tutors better engage students in seminars? Skinner’s recommendation that tutors should focus on ‘start</w:t>
      </w:r>
      <w:r w:rsidR="00570217">
        <w:rPr>
          <w:rFonts w:ascii="Arial" w:hAnsi="Arial" w:cs="Arial"/>
          <w:sz w:val="24"/>
          <w:szCs w:val="24"/>
        </w:rPr>
        <w:t>ing</w:t>
      </w:r>
      <w:r w:rsidRPr="0063619D">
        <w:rPr>
          <w:rFonts w:ascii="Arial" w:hAnsi="Arial" w:cs="Arial"/>
          <w:sz w:val="24"/>
          <w:szCs w:val="24"/>
        </w:rPr>
        <w:t xml:space="preserve"> points’ </w:t>
      </w:r>
      <w:r w:rsidR="00AB1562" w:rsidRPr="0063619D">
        <w:rPr>
          <w:rFonts w:ascii="Arial" w:hAnsi="Arial" w:cs="Arial"/>
          <w:sz w:val="24"/>
          <w:szCs w:val="24"/>
        </w:rPr>
        <w:t>(</w:t>
      </w:r>
      <w:r w:rsidR="00AB1562">
        <w:rPr>
          <w:rFonts w:ascii="Arial" w:hAnsi="Arial" w:cs="Arial"/>
          <w:sz w:val="24"/>
          <w:szCs w:val="24"/>
        </w:rPr>
        <w:t xml:space="preserve">Ausubel, 1968, </w:t>
      </w:r>
      <w:r w:rsidR="00AB1562" w:rsidRPr="00570217">
        <w:rPr>
          <w:rFonts w:ascii="Arial" w:hAnsi="Arial" w:cs="Arial"/>
          <w:sz w:val="24"/>
          <w:szCs w:val="24"/>
        </w:rPr>
        <w:t xml:space="preserve">as cited in </w:t>
      </w:r>
      <w:r w:rsidR="00AB1562">
        <w:rPr>
          <w:rFonts w:ascii="Arial" w:hAnsi="Arial" w:cs="Arial"/>
          <w:sz w:val="24"/>
          <w:szCs w:val="24"/>
        </w:rPr>
        <w:t xml:space="preserve">Skinner, </w:t>
      </w:r>
      <w:r w:rsidR="00AB1562" w:rsidRPr="0063619D">
        <w:rPr>
          <w:rFonts w:ascii="Arial" w:hAnsi="Arial" w:cs="Arial"/>
          <w:sz w:val="24"/>
          <w:szCs w:val="24"/>
        </w:rPr>
        <w:t>2014</w:t>
      </w:r>
      <w:r w:rsidR="00AB1562">
        <w:rPr>
          <w:rFonts w:ascii="Arial" w:hAnsi="Arial" w:cs="Arial"/>
          <w:sz w:val="24"/>
          <w:szCs w:val="24"/>
        </w:rPr>
        <w:t>, p. 374</w:t>
      </w:r>
      <w:r w:rsidR="00AB1562" w:rsidRPr="0063619D">
        <w:rPr>
          <w:rFonts w:ascii="Arial" w:hAnsi="Arial" w:cs="Arial"/>
          <w:sz w:val="24"/>
          <w:szCs w:val="24"/>
        </w:rPr>
        <w:t xml:space="preserve">) </w:t>
      </w:r>
      <w:r w:rsidRPr="0063619D">
        <w:rPr>
          <w:rFonts w:ascii="Arial" w:hAnsi="Arial" w:cs="Arial"/>
          <w:sz w:val="24"/>
          <w:szCs w:val="24"/>
        </w:rPr>
        <w:t xml:space="preserve">– understanding what your students know – rather than ‘end points’ is particularly pertinent. First, tutors need to approach </w:t>
      </w:r>
      <w:r w:rsidRPr="0063619D">
        <w:rPr>
          <w:rFonts w:ascii="Arial" w:hAnsi="Arial" w:cs="Arial"/>
          <w:sz w:val="24"/>
          <w:szCs w:val="24"/>
        </w:rPr>
        <w:lastRenderedPageBreak/>
        <w:t>seminar-based teaching with an appreciation of the broader sociological and cultural changes that their students are encountering as they make the transition from</w:t>
      </w:r>
      <w:r w:rsidR="00AB1562">
        <w:rPr>
          <w:rFonts w:ascii="Arial" w:hAnsi="Arial" w:cs="Arial"/>
          <w:sz w:val="24"/>
          <w:szCs w:val="24"/>
        </w:rPr>
        <w:t xml:space="preserve"> further education</w:t>
      </w:r>
      <w:r w:rsidRPr="0063619D">
        <w:rPr>
          <w:rFonts w:ascii="Arial" w:hAnsi="Arial" w:cs="Arial"/>
          <w:sz w:val="24"/>
          <w:szCs w:val="24"/>
        </w:rPr>
        <w:t xml:space="preserve"> </w:t>
      </w:r>
      <w:r w:rsidR="00AB1562">
        <w:rPr>
          <w:rFonts w:ascii="Arial" w:hAnsi="Arial" w:cs="Arial"/>
          <w:sz w:val="24"/>
          <w:szCs w:val="24"/>
        </w:rPr>
        <w:t>(</w:t>
      </w:r>
      <w:r w:rsidRPr="0063619D">
        <w:rPr>
          <w:rFonts w:ascii="Arial" w:hAnsi="Arial" w:cs="Arial"/>
          <w:sz w:val="24"/>
          <w:szCs w:val="24"/>
        </w:rPr>
        <w:t>FE</w:t>
      </w:r>
      <w:r w:rsidR="00AB1562">
        <w:rPr>
          <w:rFonts w:ascii="Arial" w:hAnsi="Arial" w:cs="Arial"/>
          <w:sz w:val="24"/>
          <w:szCs w:val="24"/>
        </w:rPr>
        <w:t>)</w:t>
      </w:r>
      <w:r w:rsidRPr="0063619D">
        <w:rPr>
          <w:rFonts w:ascii="Arial" w:hAnsi="Arial" w:cs="Arial"/>
          <w:sz w:val="24"/>
          <w:szCs w:val="24"/>
        </w:rPr>
        <w:t xml:space="preserve"> to HE. While these are particularly relevant for first-year students, Maunder et al. (2013) and Money et al. (2017) remind us that such transitions are gradual, thus also rendering them applicable to second-year students and </w:t>
      </w:r>
      <w:r w:rsidR="00AB1562">
        <w:rPr>
          <w:rFonts w:ascii="Arial" w:hAnsi="Arial" w:cs="Arial"/>
          <w:sz w:val="24"/>
          <w:szCs w:val="24"/>
        </w:rPr>
        <w:t xml:space="preserve">– </w:t>
      </w:r>
      <w:r w:rsidRPr="0063619D">
        <w:rPr>
          <w:rFonts w:ascii="Arial" w:hAnsi="Arial" w:cs="Arial"/>
          <w:sz w:val="24"/>
          <w:szCs w:val="24"/>
        </w:rPr>
        <w:t>to a lesser extent</w:t>
      </w:r>
      <w:r w:rsidR="00AB1562">
        <w:rPr>
          <w:rFonts w:ascii="Arial" w:hAnsi="Arial" w:cs="Arial"/>
          <w:sz w:val="24"/>
          <w:szCs w:val="24"/>
        </w:rPr>
        <w:t xml:space="preserve"> –</w:t>
      </w:r>
      <w:r w:rsidRPr="0063619D">
        <w:rPr>
          <w:rFonts w:ascii="Arial" w:hAnsi="Arial" w:cs="Arial"/>
          <w:sz w:val="24"/>
          <w:szCs w:val="24"/>
        </w:rPr>
        <w:t xml:space="preserve"> beyond. Furthermore, while the transition from FE to HE may be challenging for all students, tutors should be mindful that they may be particularly more so for first-generation students and mature students. The apparent shyness or unwillingness to speak amongst these students may stem from a difficulty in relating to their peers or the academic environment, rather than a simple reluctance to participate. Further, once tutors recognize that seminar-based teaching is a form of learning that is new and unfamiliar to all undergraduate students, the students’ perceived failure to engage or to prepare in the way in which tutors may expect is easier to understand.</w:t>
      </w:r>
    </w:p>
    <w:p w14:paraId="208CF73A" w14:textId="77777777" w:rsidR="00431638" w:rsidRPr="0063619D" w:rsidRDefault="00431638" w:rsidP="0063619D">
      <w:pPr>
        <w:spacing w:after="0" w:line="480" w:lineRule="auto"/>
        <w:jc w:val="both"/>
        <w:rPr>
          <w:rFonts w:ascii="Arial" w:hAnsi="Arial" w:cs="Arial"/>
          <w:sz w:val="24"/>
          <w:szCs w:val="24"/>
        </w:rPr>
      </w:pPr>
    </w:p>
    <w:p w14:paraId="5AF52C82" w14:textId="45956A4C"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Secondly, with the above findings in mind, tutors need to adjust their approach to planning and delivering seminars based on the academic status and abilities of the group they are teaching. For first-year students, this is likely to involve more tutor-input, increased responsibility for guiding the discussion, or targeted reading lists which support students in selecting relevant material. This does not mean that tutors should dominate discussion, as this is not the purpose of seminars. Rather, tutors may need to learn to be comfortable with silence, or consider reframing their questioning, while students take time to navigate their thoughts (Ollin, 2008; </w:t>
      </w:r>
      <w:r w:rsidR="00B556D9" w:rsidRPr="0063619D">
        <w:rPr>
          <w:rFonts w:ascii="Arial" w:hAnsi="Arial" w:cs="Arial"/>
          <w:sz w:val="24"/>
          <w:szCs w:val="24"/>
        </w:rPr>
        <w:t xml:space="preserve">Vassilopoulos </w:t>
      </w:r>
      <w:r w:rsidR="00B556D9">
        <w:rPr>
          <w:rFonts w:ascii="Arial" w:hAnsi="Arial" w:cs="Arial"/>
          <w:sz w:val="24"/>
          <w:szCs w:val="24"/>
        </w:rPr>
        <w:t>&amp;</w:t>
      </w:r>
      <w:r w:rsidR="00B556D9" w:rsidRPr="0063619D">
        <w:rPr>
          <w:rFonts w:ascii="Arial" w:hAnsi="Arial" w:cs="Arial"/>
          <w:sz w:val="24"/>
          <w:szCs w:val="24"/>
        </w:rPr>
        <w:t xml:space="preserve"> Konstantinidis, 2012</w:t>
      </w:r>
      <w:r w:rsidR="00B556D9">
        <w:rPr>
          <w:rFonts w:ascii="Arial" w:hAnsi="Arial" w:cs="Arial"/>
          <w:sz w:val="24"/>
          <w:szCs w:val="24"/>
        </w:rPr>
        <w:t xml:space="preserve">; </w:t>
      </w:r>
      <w:r w:rsidRPr="0063619D">
        <w:rPr>
          <w:rFonts w:ascii="Arial" w:hAnsi="Arial" w:cs="Arial"/>
          <w:sz w:val="24"/>
          <w:szCs w:val="24"/>
        </w:rPr>
        <w:t xml:space="preserve">Zembylas </w:t>
      </w:r>
      <w:r w:rsidR="00B556D9">
        <w:rPr>
          <w:rFonts w:ascii="Arial" w:hAnsi="Arial" w:cs="Arial"/>
          <w:sz w:val="24"/>
          <w:szCs w:val="24"/>
        </w:rPr>
        <w:t>&amp;</w:t>
      </w:r>
      <w:r w:rsidR="00B556D9" w:rsidRPr="0063619D">
        <w:rPr>
          <w:rFonts w:ascii="Arial" w:hAnsi="Arial" w:cs="Arial"/>
          <w:sz w:val="24"/>
          <w:szCs w:val="24"/>
        </w:rPr>
        <w:t xml:space="preserve"> </w:t>
      </w:r>
      <w:r w:rsidRPr="0063619D">
        <w:rPr>
          <w:rFonts w:ascii="Arial" w:hAnsi="Arial" w:cs="Arial"/>
          <w:sz w:val="24"/>
          <w:szCs w:val="24"/>
        </w:rPr>
        <w:t>Michaelides, 2004</w:t>
      </w:r>
      <w:r w:rsidR="00B556D9">
        <w:rPr>
          <w:rFonts w:ascii="Arial" w:hAnsi="Arial" w:cs="Arial"/>
          <w:sz w:val="24"/>
          <w:szCs w:val="24"/>
        </w:rPr>
        <w:t xml:space="preserve">; </w:t>
      </w:r>
      <w:r w:rsidR="00B556D9" w:rsidRPr="0063619D">
        <w:rPr>
          <w:rFonts w:ascii="Arial" w:hAnsi="Arial" w:cs="Arial"/>
          <w:sz w:val="24"/>
          <w:szCs w:val="24"/>
        </w:rPr>
        <w:t>Race, 2015; UCL, 2019</w:t>
      </w:r>
      <w:r w:rsidRPr="0063619D">
        <w:rPr>
          <w:rFonts w:ascii="Arial" w:hAnsi="Arial" w:cs="Arial"/>
          <w:sz w:val="24"/>
          <w:szCs w:val="24"/>
        </w:rPr>
        <w:t xml:space="preserve">). Here, strategies suggested by scholarship on conducting seminars – such as placing students in small groups or pairs to encourage discussion (Morss &amp; Murray, 2015) – </w:t>
      </w:r>
      <w:r w:rsidRPr="0063619D">
        <w:rPr>
          <w:rFonts w:ascii="Arial" w:hAnsi="Arial" w:cs="Arial"/>
          <w:sz w:val="24"/>
          <w:szCs w:val="24"/>
        </w:rPr>
        <w:lastRenderedPageBreak/>
        <w:t>can be extremely helpful. As Simson (2012) suggests, introductory sessions can and should be used by tutors to set clear ground rules and expectations for seminar discussions, as tutors support their students’ transition from FE to HE methods of teaching. As students progress into second and third year, or beyond, and become more independent learners, the tutor can scale back their input accordingly.</w:t>
      </w:r>
    </w:p>
    <w:p w14:paraId="0AB95929" w14:textId="77777777" w:rsidR="00431638" w:rsidRPr="0063619D" w:rsidRDefault="00431638" w:rsidP="0063619D">
      <w:pPr>
        <w:spacing w:after="0" w:line="480" w:lineRule="auto"/>
        <w:jc w:val="both"/>
        <w:rPr>
          <w:rFonts w:ascii="Arial" w:hAnsi="Arial" w:cs="Arial"/>
          <w:sz w:val="24"/>
          <w:szCs w:val="24"/>
        </w:rPr>
      </w:pPr>
    </w:p>
    <w:p w14:paraId="039E3CE2" w14:textId="7777777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Thirdly, tutors should be mindful of the pre-conceived assumptions that students bring with them to HE, and use these to set clear boundaries while exhibiting compassion. One particular assumption highlighted by the literature is that students’ expectations of the contact time that they will receive at university is often much higher than HE tutors are able to provide. This stems from the high levels of support and pastoral care that students receive in high school. While HE tutors are not able, or qualified, to provide such levels of support to individual students, it is something that they should be aware of, particularly when dealing with first-year students. A further assumption concerns the amount of support that students expect to receive when preparing for essays. As tutors guide their students to becoming independent learners, it is important to be mindful that these mismatched expectations can lead to distress and disengagement. Directing students to essay-writing workshops, providing clear instructions regarding marking criteria, and talking through the benefits of these in seminars will support tutors in guiding their students to becoming independent learners.</w:t>
      </w:r>
    </w:p>
    <w:p w14:paraId="68926C69" w14:textId="77777777" w:rsidR="00431638" w:rsidRPr="0063619D" w:rsidRDefault="00431638" w:rsidP="0063619D">
      <w:pPr>
        <w:spacing w:after="0" w:line="480" w:lineRule="auto"/>
        <w:jc w:val="both"/>
        <w:rPr>
          <w:rFonts w:ascii="Arial" w:hAnsi="Arial" w:cs="Arial"/>
          <w:sz w:val="24"/>
          <w:szCs w:val="24"/>
        </w:rPr>
      </w:pPr>
    </w:p>
    <w:p w14:paraId="5455EED4" w14:textId="77777777" w:rsidR="00431638" w:rsidRPr="0063619D" w:rsidRDefault="00431638" w:rsidP="0063619D">
      <w:pPr>
        <w:spacing w:after="0" w:line="480" w:lineRule="auto"/>
        <w:jc w:val="both"/>
        <w:rPr>
          <w:rFonts w:ascii="Arial" w:hAnsi="Arial" w:cs="Arial"/>
          <w:b/>
          <w:bCs/>
          <w:sz w:val="24"/>
          <w:szCs w:val="24"/>
        </w:rPr>
      </w:pPr>
      <w:r w:rsidRPr="0063619D">
        <w:rPr>
          <w:rFonts w:ascii="Arial" w:hAnsi="Arial" w:cs="Arial"/>
          <w:b/>
          <w:bCs/>
          <w:sz w:val="24"/>
          <w:szCs w:val="24"/>
        </w:rPr>
        <w:t>Conclusion</w:t>
      </w:r>
    </w:p>
    <w:p w14:paraId="7FB8306D" w14:textId="7777777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Seminar-based teaching remains of continued importance to many degree programmes, particularly within the author’s discipline of the Humanities and Social </w:t>
      </w:r>
      <w:r w:rsidRPr="0063619D">
        <w:rPr>
          <w:rFonts w:ascii="Arial" w:hAnsi="Arial" w:cs="Arial"/>
          <w:sz w:val="24"/>
          <w:szCs w:val="24"/>
        </w:rPr>
        <w:lastRenderedPageBreak/>
        <w:t>Sciences. This paper sought to explore deeper the underlying causes of an often-cited concern amongst HE tutors: a failure of their students to engage with the pre-seminar reading and to contribute to group discussion. In contrast to existing pedagogical scholarship which offers practical strategies to help better engage students in seminars, this paper hypothesized that students’ perceived unwillingness to participate is more complex than hitherto considered, exploring deeper the expectations about teaching and learning that students bring with them to HE, as well as the assumptions that teachers in HE make about their students when planning teaching and learning activities.</w:t>
      </w:r>
    </w:p>
    <w:p w14:paraId="5826B7A3" w14:textId="77777777" w:rsidR="00431638" w:rsidRPr="0063619D" w:rsidRDefault="00431638" w:rsidP="0063619D">
      <w:pPr>
        <w:spacing w:after="0" w:line="480" w:lineRule="auto"/>
        <w:jc w:val="both"/>
        <w:rPr>
          <w:rFonts w:ascii="Arial" w:hAnsi="Arial" w:cs="Arial"/>
          <w:sz w:val="24"/>
          <w:szCs w:val="24"/>
        </w:rPr>
      </w:pPr>
    </w:p>
    <w:p w14:paraId="605FD3BC" w14:textId="7E891E5F"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Through the use of a literature review, this paper drew together recent scholarship </w:t>
      </w:r>
      <w:r w:rsidR="002366E8">
        <w:rPr>
          <w:rFonts w:ascii="Arial" w:hAnsi="Arial" w:cs="Arial"/>
          <w:sz w:val="24"/>
          <w:szCs w:val="24"/>
        </w:rPr>
        <w:t>to ask</w:t>
      </w:r>
      <w:r w:rsidR="00F65926">
        <w:rPr>
          <w:rFonts w:ascii="Arial" w:hAnsi="Arial" w:cs="Arial"/>
          <w:sz w:val="24"/>
          <w:szCs w:val="24"/>
        </w:rPr>
        <w:t xml:space="preserve"> first,</w:t>
      </w:r>
      <w:r w:rsidR="002366E8">
        <w:rPr>
          <w:rFonts w:ascii="Arial" w:hAnsi="Arial" w:cs="Arial"/>
          <w:sz w:val="24"/>
          <w:szCs w:val="24"/>
        </w:rPr>
        <w:t xml:space="preserve"> </w:t>
      </w:r>
      <w:r w:rsidR="002366E8" w:rsidRPr="00774979">
        <w:rPr>
          <w:rFonts w:ascii="Arial" w:hAnsi="Arial" w:cs="Arial"/>
          <w:sz w:val="24"/>
          <w:szCs w:val="24"/>
        </w:rPr>
        <w:t xml:space="preserve">what </w:t>
      </w:r>
      <w:r w:rsidR="002366E8" w:rsidRPr="0063619D">
        <w:rPr>
          <w:rFonts w:ascii="Arial" w:hAnsi="Arial" w:cs="Arial"/>
          <w:sz w:val="24"/>
          <w:szCs w:val="24"/>
        </w:rPr>
        <w:t>expectations of university life and teaching</w:t>
      </w:r>
      <w:r w:rsidR="002366E8">
        <w:rPr>
          <w:rFonts w:ascii="Arial" w:hAnsi="Arial" w:cs="Arial"/>
          <w:sz w:val="24"/>
          <w:szCs w:val="24"/>
        </w:rPr>
        <w:t xml:space="preserve"> </w:t>
      </w:r>
      <w:r w:rsidR="002366E8" w:rsidRPr="00774979">
        <w:rPr>
          <w:rFonts w:ascii="Arial" w:hAnsi="Arial" w:cs="Arial"/>
          <w:sz w:val="24"/>
          <w:szCs w:val="24"/>
        </w:rPr>
        <w:t>do students bring with them to HE</w:t>
      </w:r>
      <w:r w:rsidR="00F65926">
        <w:rPr>
          <w:rFonts w:ascii="Arial" w:hAnsi="Arial" w:cs="Arial"/>
          <w:sz w:val="24"/>
          <w:szCs w:val="24"/>
        </w:rPr>
        <w:t>;</w:t>
      </w:r>
      <w:r w:rsidR="002366E8">
        <w:rPr>
          <w:rFonts w:ascii="Arial" w:hAnsi="Arial" w:cs="Arial"/>
          <w:sz w:val="24"/>
          <w:szCs w:val="24"/>
        </w:rPr>
        <w:t xml:space="preserve"> and</w:t>
      </w:r>
      <w:r w:rsidR="002366E8" w:rsidRPr="00774979">
        <w:rPr>
          <w:rFonts w:ascii="Arial" w:hAnsi="Arial" w:cs="Arial"/>
          <w:sz w:val="24"/>
          <w:szCs w:val="24"/>
        </w:rPr>
        <w:t xml:space="preserve"> </w:t>
      </w:r>
      <w:r w:rsidR="00F65926">
        <w:rPr>
          <w:rFonts w:ascii="Arial" w:hAnsi="Arial" w:cs="Arial"/>
          <w:sz w:val="24"/>
          <w:szCs w:val="24"/>
        </w:rPr>
        <w:t xml:space="preserve">secondly, </w:t>
      </w:r>
      <w:r w:rsidR="002366E8" w:rsidRPr="00774979">
        <w:rPr>
          <w:rFonts w:ascii="Arial" w:hAnsi="Arial" w:cs="Arial"/>
          <w:sz w:val="24"/>
          <w:szCs w:val="24"/>
        </w:rPr>
        <w:t xml:space="preserve">what assumptions </w:t>
      </w:r>
      <w:r w:rsidR="00F65926">
        <w:rPr>
          <w:rFonts w:ascii="Arial" w:hAnsi="Arial" w:cs="Arial"/>
          <w:sz w:val="24"/>
          <w:szCs w:val="24"/>
        </w:rPr>
        <w:t xml:space="preserve">do </w:t>
      </w:r>
      <w:r w:rsidR="002366E8" w:rsidRPr="00774979">
        <w:rPr>
          <w:rFonts w:ascii="Arial" w:hAnsi="Arial" w:cs="Arial"/>
          <w:sz w:val="24"/>
          <w:szCs w:val="24"/>
        </w:rPr>
        <w:t xml:space="preserve">teachers in HE make about their students </w:t>
      </w:r>
      <w:r w:rsidR="002366E8">
        <w:rPr>
          <w:rFonts w:ascii="Arial" w:hAnsi="Arial" w:cs="Arial"/>
          <w:sz w:val="24"/>
          <w:szCs w:val="24"/>
        </w:rPr>
        <w:t xml:space="preserve">in return </w:t>
      </w:r>
      <w:r w:rsidR="002366E8" w:rsidRPr="00774979">
        <w:rPr>
          <w:rFonts w:ascii="Arial" w:hAnsi="Arial" w:cs="Arial"/>
          <w:sz w:val="24"/>
          <w:szCs w:val="24"/>
        </w:rPr>
        <w:t>when planning teaching and learning activities?</w:t>
      </w:r>
      <w:r w:rsidR="002366E8">
        <w:rPr>
          <w:rFonts w:ascii="Arial" w:hAnsi="Arial" w:cs="Arial"/>
          <w:sz w:val="24"/>
          <w:szCs w:val="24"/>
        </w:rPr>
        <w:t xml:space="preserve"> </w:t>
      </w:r>
      <w:r w:rsidRPr="0063619D">
        <w:rPr>
          <w:rFonts w:ascii="Arial" w:hAnsi="Arial" w:cs="Arial"/>
          <w:sz w:val="24"/>
          <w:szCs w:val="24"/>
        </w:rPr>
        <w:t>Through a close textual analysis</w:t>
      </w:r>
      <w:r w:rsidR="002366E8">
        <w:rPr>
          <w:rFonts w:ascii="Arial" w:hAnsi="Arial" w:cs="Arial"/>
          <w:sz w:val="24"/>
          <w:szCs w:val="24"/>
        </w:rPr>
        <w:t xml:space="preserve"> of </w:t>
      </w:r>
      <w:r w:rsidR="00826FD3">
        <w:rPr>
          <w:rFonts w:ascii="Arial" w:hAnsi="Arial" w:cs="Arial"/>
          <w:sz w:val="24"/>
          <w:szCs w:val="24"/>
        </w:rPr>
        <w:t>thirteen studies</w:t>
      </w:r>
      <w:r w:rsidRPr="0063619D">
        <w:rPr>
          <w:rFonts w:ascii="Arial" w:hAnsi="Arial" w:cs="Arial"/>
          <w:sz w:val="24"/>
          <w:szCs w:val="24"/>
        </w:rPr>
        <w:t>, four themes</w:t>
      </w:r>
      <w:r w:rsidR="00826FD3">
        <w:rPr>
          <w:rFonts w:ascii="Arial" w:hAnsi="Arial" w:cs="Arial"/>
          <w:sz w:val="24"/>
          <w:szCs w:val="24"/>
        </w:rPr>
        <w:t xml:space="preserve"> were identified </w:t>
      </w:r>
      <w:r w:rsidRPr="0063619D">
        <w:rPr>
          <w:rFonts w:ascii="Arial" w:hAnsi="Arial" w:cs="Arial"/>
          <w:sz w:val="24"/>
          <w:szCs w:val="24"/>
        </w:rPr>
        <w:t xml:space="preserve">around which this paper was structured: namely transition to university; first-generation students; student/tutor expectations; and structural problems within HE. </w:t>
      </w:r>
      <w:r w:rsidR="00826FD3">
        <w:rPr>
          <w:rFonts w:ascii="Arial" w:hAnsi="Arial" w:cs="Arial"/>
          <w:sz w:val="24"/>
          <w:szCs w:val="24"/>
        </w:rPr>
        <w:t>A</w:t>
      </w:r>
      <w:r w:rsidR="00826FD3" w:rsidRPr="0063619D">
        <w:rPr>
          <w:rFonts w:ascii="Arial" w:hAnsi="Arial" w:cs="Arial"/>
          <w:sz w:val="24"/>
          <w:szCs w:val="24"/>
        </w:rPr>
        <w:t>s the above findings show, students are a heterogeneous group, with diverse</w:t>
      </w:r>
      <w:r w:rsidR="00826FD3">
        <w:rPr>
          <w:rFonts w:ascii="Arial" w:hAnsi="Arial" w:cs="Arial"/>
          <w:sz w:val="24"/>
          <w:szCs w:val="24"/>
        </w:rPr>
        <w:t xml:space="preserve"> </w:t>
      </w:r>
      <w:r w:rsidR="00826FD3">
        <w:rPr>
          <w:rFonts w:ascii="Arial" w:hAnsi="Arial" w:cs="Arial"/>
          <w:i/>
          <w:iCs/>
          <w:sz w:val="24"/>
          <w:szCs w:val="24"/>
        </w:rPr>
        <w:t xml:space="preserve">habiti </w:t>
      </w:r>
      <w:r w:rsidR="00826FD3">
        <w:rPr>
          <w:rFonts w:ascii="Arial" w:hAnsi="Arial" w:cs="Arial"/>
          <w:sz w:val="24"/>
          <w:szCs w:val="24"/>
        </w:rPr>
        <w:t>and</w:t>
      </w:r>
      <w:r w:rsidR="00826FD3" w:rsidRPr="0063619D">
        <w:rPr>
          <w:rFonts w:ascii="Arial" w:hAnsi="Arial" w:cs="Arial"/>
          <w:sz w:val="24"/>
          <w:szCs w:val="24"/>
        </w:rPr>
        <w:t xml:space="preserve"> backgrounds, </w:t>
      </w:r>
      <w:r w:rsidR="00826FD3">
        <w:rPr>
          <w:rFonts w:ascii="Arial" w:hAnsi="Arial" w:cs="Arial"/>
          <w:sz w:val="24"/>
          <w:szCs w:val="24"/>
        </w:rPr>
        <w:t xml:space="preserve">differing </w:t>
      </w:r>
      <w:r w:rsidR="00826FD3" w:rsidRPr="0063619D">
        <w:rPr>
          <w:rFonts w:ascii="Arial" w:hAnsi="Arial" w:cs="Arial"/>
          <w:sz w:val="24"/>
          <w:szCs w:val="24"/>
        </w:rPr>
        <w:t>pathways to HE</w:t>
      </w:r>
      <w:r w:rsidR="00826FD3">
        <w:rPr>
          <w:rFonts w:ascii="Arial" w:hAnsi="Arial" w:cs="Arial"/>
          <w:sz w:val="24"/>
          <w:szCs w:val="24"/>
        </w:rPr>
        <w:t>,</w:t>
      </w:r>
      <w:r w:rsidR="00826FD3" w:rsidRPr="0063619D">
        <w:rPr>
          <w:rFonts w:ascii="Arial" w:hAnsi="Arial" w:cs="Arial"/>
          <w:sz w:val="24"/>
          <w:szCs w:val="24"/>
        </w:rPr>
        <w:t xml:space="preserve"> and </w:t>
      </w:r>
      <w:r w:rsidR="00826FD3">
        <w:rPr>
          <w:rFonts w:ascii="Arial" w:hAnsi="Arial" w:cs="Arial"/>
          <w:sz w:val="24"/>
          <w:szCs w:val="24"/>
        </w:rPr>
        <w:t xml:space="preserve">individual </w:t>
      </w:r>
      <w:r w:rsidR="00826FD3" w:rsidRPr="0063619D">
        <w:rPr>
          <w:rFonts w:ascii="Arial" w:hAnsi="Arial" w:cs="Arial"/>
          <w:sz w:val="24"/>
          <w:szCs w:val="24"/>
        </w:rPr>
        <w:t>motivations for study.</w:t>
      </w:r>
      <w:r w:rsidR="00826FD3">
        <w:rPr>
          <w:rFonts w:ascii="Arial" w:hAnsi="Arial" w:cs="Arial"/>
          <w:sz w:val="24"/>
          <w:szCs w:val="24"/>
        </w:rPr>
        <w:t xml:space="preserve"> They are often insufficiently prepared for the teaching and learning methods employed within HE. I</w:t>
      </w:r>
      <w:r w:rsidR="00826FD3" w:rsidRPr="0063619D">
        <w:rPr>
          <w:rFonts w:ascii="Arial" w:hAnsi="Arial" w:cs="Arial"/>
          <w:sz w:val="24"/>
          <w:szCs w:val="24"/>
        </w:rPr>
        <w:t>f tutors seek to better engage students in the classroom, they cannot take the seminar as their starting point.</w:t>
      </w:r>
      <w:r w:rsidR="00826FD3" w:rsidRPr="00826FD3">
        <w:rPr>
          <w:rFonts w:ascii="Arial" w:hAnsi="Arial" w:cs="Arial"/>
          <w:sz w:val="24"/>
          <w:szCs w:val="24"/>
        </w:rPr>
        <w:t xml:space="preserve"> </w:t>
      </w:r>
      <w:r w:rsidR="00826FD3" w:rsidRPr="0063619D">
        <w:rPr>
          <w:rFonts w:ascii="Arial" w:hAnsi="Arial" w:cs="Arial"/>
          <w:sz w:val="24"/>
          <w:szCs w:val="24"/>
        </w:rPr>
        <w:t>Rather, tutors must do more to consider their students’ journey thus far and, in response, tailor their approach to suit their students’ needs.</w:t>
      </w:r>
      <w:r w:rsidR="00826FD3" w:rsidRPr="00826FD3">
        <w:rPr>
          <w:rFonts w:ascii="Arial" w:hAnsi="Arial" w:cs="Arial"/>
          <w:sz w:val="24"/>
          <w:szCs w:val="24"/>
        </w:rPr>
        <w:t xml:space="preserve"> </w:t>
      </w:r>
      <w:r w:rsidR="00826FD3" w:rsidRPr="0063619D">
        <w:rPr>
          <w:rFonts w:ascii="Arial" w:hAnsi="Arial" w:cs="Arial"/>
          <w:sz w:val="24"/>
          <w:szCs w:val="24"/>
        </w:rPr>
        <w:t>It is the responsibility of tutors to work with their students to negotiate these new styles of learning and to manage student expectations effectively</w:t>
      </w:r>
      <w:r w:rsidR="00C9289D">
        <w:rPr>
          <w:rFonts w:ascii="Arial" w:hAnsi="Arial" w:cs="Arial"/>
          <w:sz w:val="24"/>
          <w:szCs w:val="24"/>
        </w:rPr>
        <w:t>. S</w:t>
      </w:r>
      <w:r w:rsidRPr="0063619D">
        <w:rPr>
          <w:rFonts w:ascii="Arial" w:hAnsi="Arial" w:cs="Arial"/>
          <w:sz w:val="24"/>
          <w:szCs w:val="24"/>
        </w:rPr>
        <w:t xml:space="preserve">uggested recommendations are given as to how HE tutors </w:t>
      </w:r>
      <w:r w:rsidRPr="0063619D">
        <w:rPr>
          <w:rFonts w:ascii="Arial" w:hAnsi="Arial" w:cs="Arial"/>
          <w:sz w:val="24"/>
          <w:szCs w:val="24"/>
        </w:rPr>
        <w:lastRenderedPageBreak/>
        <w:t xml:space="preserve">can help to support their students’ transition to university and to seminar-based teaching. </w:t>
      </w:r>
    </w:p>
    <w:p w14:paraId="574AC63C" w14:textId="77777777" w:rsidR="00431638" w:rsidRPr="0063619D" w:rsidRDefault="00431638" w:rsidP="0063619D">
      <w:pPr>
        <w:spacing w:after="0" w:line="480" w:lineRule="auto"/>
        <w:jc w:val="both"/>
        <w:rPr>
          <w:rFonts w:ascii="Arial" w:hAnsi="Arial" w:cs="Arial"/>
          <w:sz w:val="24"/>
          <w:szCs w:val="24"/>
        </w:rPr>
      </w:pPr>
    </w:p>
    <w:p w14:paraId="6AA3DE0F" w14:textId="77777777" w:rsidR="00431638" w:rsidRPr="0063619D" w:rsidRDefault="00431638" w:rsidP="0063619D">
      <w:pPr>
        <w:spacing w:after="0" w:line="480" w:lineRule="auto"/>
        <w:jc w:val="both"/>
        <w:rPr>
          <w:rFonts w:ascii="Arial" w:hAnsi="Arial" w:cs="Arial"/>
          <w:b/>
          <w:bCs/>
          <w:sz w:val="24"/>
          <w:szCs w:val="24"/>
        </w:rPr>
      </w:pPr>
    </w:p>
    <w:p w14:paraId="51E870BA" w14:textId="77777777" w:rsidR="00750D49" w:rsidRDefault="00750D49">
      <w:pPr>
        <w:spacing w:line="259" w:lineRule="auto"/>
        <w:rPr>
          <w:rFonts w:ascii="Arial" w:hAnsi="Arial" w:cs="Arial"/>
          <w:b/>
          <w:bCs/>
          <w:sz w:val="24"/>
          <w:szCs w:val="24"/>
        </w:rPr>
      </w:pPr>
      <w:r>
        <w:rPr>
          <w:rFonts w:ascii="Arial" w:hAnsi="Arial" w:cs="Arial"/>
          <w:b/>
          <w:bCs/>
          <w:sz w:val="24"/>
          <w:szCs w:val="24"/>
        </w:rPr>
        <w:br w:type="page"/>
      </w:r>
    </w:p>
    <w:p w14:paraId="2B8AE5BA" w14:textId="74C2028A" w:rsidR="00431638" w:rsidRPr="0063619D" w:rsidRDefault="00431638" w:rsidP="0063619D">
      <w:pPr>
        <w:spacing w:after="0" w:line="480" w:lineRule="auto"/>
        <w:jc w:val="both"/>
        <w:rPr>
          <w:rFonts w:ascii="Arial" w:hAnsi="Arial" w:cs="Arial"/>
          <w:b/>
          <w:bCs/>
          <w:sz w:val="24"/>
          <w:szCs w:val="24"/>
        </w:rPr>
      </w:pPr>
      <w:r w:rsidRPr="0063619D">
        <w:rPr>
          <w:rFonts w:ascii="Arial" w:hAnsi="Arial" w:cs="Arial"/>
          <w:b/>
          <w:bCs/>
          <w:sz w:val="24"/>
          <w:szCs w:val="24"/>
        </w:rPr>
        <w:lastRenderedPageBreak/>
        <w:t>Bibliography</w:t>
      </w:r>
    </w:p>
    <w:p w14:paraId="7A4C598B" w14:textId="25FCB075" w:rsidR="00F05652" w:rsidRDefault="00F05652" w:rsidP="0063619D">
      <w:pPr>
        <w:spacing w:after="0" w:line="480" w:lineRule="auto"/>
        <w:jc w:val="both"/>
        <w:rPr>
          <w:rFonts w:ascii="Arial" w:hAnsi="Arial" w:cs="Arial"/>
          <w:sz w:val="24"/>
          <w:szCs w:val="24"/>
        </w:rPr>
      </w:pPr>
      <w:r w:rsidRPr="00F05652">
        <w:rPr>
          <w:rFonts w:ascii="Arial" w:hAnsi="Arial" w:cs="Arial"/>
          <w:sz w:val="24"/>
          <w:szCs w:val="24"/>
        </w:rPr>
        <w:t>Alsandor, D</w:t>
      </w:r>
      <w:r w:rsidR="004872AF">
        <w:rPr>
          <w:rFonts w:ascii="Arial" w:hAnsi="Arial" w:cs="Arial"/>
          <w:sz w:val="24"/>
          <w:szCs w:val="24"/>
        </w:rPr>
        <w:t xml:space="preserve">. </w:t>
      </w:r>
      <w:r w:rsidRPr="00F05652">
        <w:rPr>
          <w:rFonts w:ascii="Arial" w:hAnsi="Arial" w:cs="Arial"/>
          <w:sz w:val="24"/>
          <w:szCs w:val="24"/>
        </w:rPr>
        <w:t>J. and Trout, I</w:t>
      </w:r>
      <w:r w:rsidR="004872AF">
        <w:rPr>
          <w:rFonts w:ascii="Arial" w:hAnsi="Arial" w:cs="Arial"/>
          <w:sz w:val="24"/>
          <w:szCs w:val="24"/>
        </w:rPr>
        <w:t xml:space="preserve">. </w:t>
      </w:r>
      <w:r w:rsidRPr="00F05652">
        <w:rPr>
          <w:rFonts w:ascii="Arial" w:hAnsi="Arial" w:cs="Arial"/>
          <w:sz w:val="24"/>
          <w:szCs w:val="24"/>
        </w:rPr>
        <w:t>Y</w:t>
      </w:r>
      <w:r w:rsidR="004872AF">
        <w:rPr>
          <w:rFonts w:ascii="Arial" w:hAnsi="Arial" w:cs="Arial"/>
          <w:sz w:val="24"/>
          <w:szCs w:val="24"/>
        </w:rPr>
        <w:t xml:space="preserve">. (2020). </w:t>
      </w:r>
      <w:r w:rsidRPr="00F05652">
        <w:rPr>
          <w:rFonts w:ascii="Arial" w:hAnsi="Arial" w:cs="Arial"/>
          <w:sz w:val="24"/>
          <w:szCs w:val="24"/>
        </w:rPr>
        <w:t>Graduate Student Well-Being: Learning and Living During the COVID-19 Pandemic</w:t>
      </w:r>
      <w:r w:rsidR="004872AF">
        <w:rPr>
          <w:rFonts w:ascii="Arial" w:hAnsi="Arial" w:cs="Arial"/>
          <w:sz w:val="24"/>
          <w:szCs w:val="24"/>
        </w:rPr>
        <w:t>.</w:t>
      </w:r>
      <w:r w:rsidRPr="00F05652">
        <w:rPr>
          <w:rFonts w:ascii="Arial" w:hAnsi="Arial" w:cs="Arial"/>
          <w:sz w:val="24"/>
          <w:szCs w:val="24"/>
        </w:rPr>
        <w:t xml:space="preserve"> </w:t>
      </w:r>
      <w:r w:rsidRPr="004872AF">
        <w:rPr>
          <w:rFonts w:ascii="Arial" w:hAnsi="Arial" w:cs="Arial"/>
          <w:i/>
          <w:iCs/>
          <w:sz w:val="24"/>
          <w:szCs w:val="24"/>
        </w:rPr>
        <w:t>International Journal of Multidisciplinary Perspectives in Higher Education</w:t>
      </w:r>
      <w:r w:rsidR="004872AF">
        <w:rPr>
          <w:rFonts w:ascii="Arial" w:hAnsi="Arial" w:cs="Arial"/>
          <w:i/>
          <w:iCs/>
          <w:sz w:val="24"/>
          <w:szCs w:val="24"/>
        </w:rPr>
        <w:t>,</w:t>
      </w:r>
      <w:r w:rsidRPr="00F05652">
        <w:rPr>
          <w:rFonts w:ascii="Arial" w:hAnsi="Arial" w:cs="Arial"/>
          <w:sz w:val="24"/>
          <w:szCs w:val="24"/>
        </w:rPr>
        <w:t xml:space="preserve"> </w:t>
      </w:r>
      <w:r w:rsidRPr="004872AF">
        <w:rPr>
          <w:rFonts w:ascii="Arial" w:hAnsi="Arial" w:cs="Arial"/>
          <w:i/>
          <w:iCs/>
          <w:sz w:val="24"/>
          <w:szCs w:val="24"/>
        </w:rPr>
        <w:t>5</w:t>
      </w:r>
      <w:r w:rsidR="004872AF">
        <w:rPr>
          <w:rFonts w:ascii="Arial" w:hAnsi="Arial" w:cs="Arial"/>
          <w:sz w:val="24"/>
          <w:szCs w:val="24"/>
        </w:rPr>
        <w:t>(</w:t>
      </w:r>
      <w:r w:rsidRPr="00F05652">
        <w:rPr>
          <w:rFonts w:ascii="Arial" w:hAnsi="Arial" w:cs="Arial"/>
          <w:sz w:val="24"/>
          <w:szCs w:val="24"/>
        </w:rPr>
        <w:t>1</w:t>
      </w:r>
      <w:r w:rsidR="004872AF">
        <w:rPr>
          <w:rFonts w:ascii="Arial" w:hAnsi="Arial" w:cs="Arial"/>
          <w:sz w:val="24"/>
          <w:szCs w:val="24"/>
        </w:rPr>
        <w:t>)</w:t>
      </w:r>
      <w:r w:rsidRPr="00F05652">
        <w:rPr>
          <w:rFonts w:ascii="Arial" w:hAnsi="Arial" w:cs="Arial"/>
          <w:sz w:val="24"/>
          <w:szCs w:val="24"/>
        </w:rPr>
        <w:t>, 150-155.</w:t>
      </w:r>
    </w:p>
    <w:p w14:paraId="44465695" w14:textId="77777777" w:rsidR="00F05652" w:rsidRDefault="00F05652" w:rsidP="0063619D">
      <w:pPr>
        <w:spacing w:after="0" w:line="480" w:lineRule="auto"/>
        <w:jc w:val="both"/>
        <w:rPr>
          <w:rFonts w:ascii="Arial" w:hAnsi="Arial" w:cs="Arial"/>
          <w:sz w:val="24"/>
          <w:szCs w:val="24"/>
        </w:rPr>
      </w:pPr>
    </w:p>
    <w:p w14:paraId="0A9BE937" w14:textId="3F29DE6A"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Anderson, J. H. and Bellenkes, A. H. (2013). </w:t>
      </w:r>
      <w:r w:rsidRPr="0063619D">
        <w:rPr>
          <w:rFonts w:ascii="Arial" w:hAnsi="Arial" w:cs="Arial"/>
          <w:i/>
          <w:iCs/>
          <w:sz w:val="24"/>
          <w:szCs w:val="24"/>
        </w:rPr>
        <w:t xml:space="preserve">Leading Dynamic Seminars: A Practical Handbook for University Educators. </w:t>
      </w:r>
      <w:r w:rsidRPr="0063619D">
        <w:rPr>
          <w:rFonts w:ascii="Arial" w:hAnsi="Arial" w:cs="Arial"/>
          <w:sz w:val="24"/>
          <w:szCs w:val="24"/>
        </w:rPr>
        <w:t>Palgrave Macmillan.</w:t>
      </w:r>
    </w:p>
    <w:p w14:paraId="1A4E91E3" w14:textId="77777777" w:rsidR="00431638" w:rsidRPr="0063619D" w:rsidRDefault="00431638" w:rsidP="0063619D">
      <w:pPr>
        <w:pStyle w:val="FootnoteText"/>
        <w:spacing w:line="480" w:lineRule="auto"/>
        <w:rPr>
          <w:rFonts w:ascii="Arial" w:hAnsi="Arial" w:cs="Arial"/>
          <w:sz w:val="24"/>
          <w:szCs w:val="24"/>
        </w:rPr>
      </w:pPr>
    </w:p>
    <w:p w14:paraId="533F8010" w14:textId="77777777" w:rsidR="00431638" w:rsidRPr="0063619D" w:rsidRDefault="00431638" w:rsidP="0063619D">
      <w:pPr>
        <w:pStyle w:val="FootnoteText"/>
        <w:spacing w:line="480" w:lineRule="auto"/>
        <w:rPr>
          <w:rFonts w:ascii="Arial" w:hAnsi="Arial" w:cs="Arial"/>
          <w:sz w:val="24"/>
          <w:szCs w:val="24"/>
        </w:rPr>
      </w:pPr>
      <w:r w:rsidRPr="0063619D">
        <w:rPr>
          <w:rFonts w:ascii="Arial" w:hAnsi="Arial" w:cs="Arial"/>
          <w:sz w:val="24"/>
          <w:szCs w:val="24"/>
        </w:rPr>
        <w:t xml:space="preserve">Bogaard, A., Carey, S. C., Dodd, G., Repath, I. D., and Whitaker, R. (2005). Doing Politics – Small Group Teaching: Perceptions and Problems. </w:t>
      </w:r>
      <w:r w:rsidRPr="0063619D">
        <w:rPr>
          <w:rFonts w:ascii="Arial" w:hAnsi="Arial" w:cs="Arial"/>
          <w:i/>
          <w:iCs/>
          <w:sz w:val="24"/>
          <w:szCs w:val="24"/>
        </w:rPr>
        <w:t>Politics</w:t>
      </w:r>
      <w:r w:rsidRPr="0063619D">
        <w:rPr>
          <w:rFonts w:ascii="Arial" w:hAnsi="Arial" w:cs="Arial"/>
          <w:sz w:val="24"/>
          <w:szCs w:val="24"/>
        </w:rPr>
        <w:t xml:space="preserve">, </w:t>
      </w:r>
      <w:r w:rsidRPr="0063619D">
        <w:rPr>
          <w:rFonts w:ascii="Arial" w:hAnsi="Arial" w:cs="Arial"/>
          <w:i/>
          <w:iCs/>
          <w:sz w:val="24"/>
          <w:szCs w:val="24"/>
        </w:rPr>
        <w:t>25</w:t>
      </w:r>
      <w:r w:rsidRPr="0063619D">
        <w:rPr>
          <w:rFonts w:ascii="Arial" w:hAnsi="Arial" w:cs="Arial"/>
          <w:sz w:val="24"/>
          <w:szCs w:val="24"/>
        </w:rPr>
        <w:t xml:space="preserve">(2), 116-25. </w:t>
      </w:r>
    </w:p>
    <w:p w14:paraId="4620D468" w14:textId="77777777" w:rsidR="00431638" w:rsidRPr="0063619D" w:rsidRDefault="00431638" w:rsidP="0063619D">
      <w:pPr>
        <w:spacing w:after="0" w:line="480" w:lineRule="auto"/>
        <w:jc w:val="both"/>
        <w:rPr>
          <w:rFonts w:ascii="Arial" w:hAnsi="Arial" w:cs="Arial"/>
          <w:sz w:val="24"/>
          <w:szCs w:val="24"/>
        </w:rPr>
      </w:pPr>
    </w:p>
    <w:p w14:paraId="74817783" w14:textId="7777777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Bourdieu, P. (1977).  </w:t>
      </w:r>
      <w:r w:rsidRPr="0063619D">
        <w:rPr>
          <w:rFonts w:ascii="Arial" w:hAnsi="Arial" w:cs="Arial"/>
          <w:i/>
          <w:iCs/>
          <w:sz w:val="24"/>
          <w:szCs w:val="24"/>
        </w:rPr>
        <w:t>Outline of a Theory of Practice.</w:t>
      </w:r>
      <w:r w:rsidRPr="0063619D">
        <w:rPr>
          <w:rFonts w:ascii="Arial" w:hAnsi="Arial" w:cs="Arial"/>
          <w:sz w:val="24"/>
          <w:szCs w:val="24"/>
        </w:rPr>
        <w:t xml:space="preserve"> Cambridge University Press.</w:t>
      </w:r>
    </w:p>
    <w:p w14:paraId="25D2E5B6" w14:textId="77777777" w:rsidR="00431638" w:rsidRPr="0063619D" w:rsidRDefault="00431638" w:rsidP="0063619D">
      <w:pPr>
        <w:spacing w:after="0" w:line="480" w:lineRule="auto"/>
        <w:jc w:val="both"/>
        <w:rPr>
          <w:rFonts w:ascii="Arial" w:hAnsi="Arial" w:cs="Arial"/>
          <w:sz w:val="24"/>
          <w:szCs w:val="24"/>
        </w:rPr>
      </w:pPr>
    </w:p>
    <w:p w14:paraId="12F414AB" w14:textId="4568D9EA" w:rsidR="000E68A5" w:rsidRDefault="000E68A5" w:rsidP="000E68A5">
      <w:pPr>
        <w:spacing w:after="0" w:line="480" w:lineRule="auto"/>
        <w:jc w:val="both"/>
        <w:rPr>
          <w:rFonts w:ascii="Arial" w:eastAsia="Times New Roman" w:hAnsi="Arial" w:cs="Arial"/>
          <w:color w:val="000000"/>
          <w:sz w:val="24"/>
          <w:szCs w:val="24"/>
          <w:lang w:eastAsia="en-GB"/>
        </w:rPr>
      </w:pPr>
      <w:r w:rsidRPr="000E68A5">
        <w:rPr>
          <w:rFonts w:ascii="Arial" w:eastAsia="Times New Roman" w:hAnsi="Arial" w:cs="Arial"/>
          <w:color w:val="000000"/>
          <w:sz w:val="24"/>
          <w:szCs w:val="24"/>
          <w:lang w:eastAsia="en-GB"/>
        </w:rPr>
        <w:t>Brieger</w:t>
      </w:r>
      <w:r>
        <w:rPr>
          <w:rFonts w:ascii="Arial" w:eastAsia="Times New Roman" w:hAnsi="Arial" w:cs="Arial"/>
          <w:color w:val="000000"/>
          <w:sz w:val="24"/>
          <w:szCs w:val="24"/>
          <w:lang w:eastAsia="en-GB"/>
        </w:rPr>
        <w:t xml:space="preserve">, E., </w:t>
      </w:r>
      <w:r w:rsidRPr="000E68A5">
        <w:rPr>
          <w:rFonts w:ascii="Arial" w:eastAsia="Times New Roman" w:hAnsi="Arial" w:cs="Arial"/>
          <w:color w:val="000000"/>
          <w:sz w:val="24"/>
          <w:szCs w:val="24"/>
          <w:lang w:eastAsia="en-GB"/>
        </w:rPr>
        <w:t>Arghode</w:t>
      </w:r>
      <w:r>
        <w:rPr>
          <w:rFonts w:ascii="Arial" w:eastAsia="Times New Roman" w:hAnsi="Arial" w:cs="Arial"/>
          <w:color w:val="000000"/>
          <w:sz w:val="24"/>
          <w:szCs w:val="24"/>
          <w:lang w:eastAsia="en-GB"/>
        </w:rPr>
        <w:t>, V., and M</w:t>
      </w:r>
      <w:r w:rsidRPr="000E68A5">
        <w:rPr>
          <w:rFonts w:ascii="Arial" w:eastAsia="Times New Roman" w:hAnsi="Arial" w:cs="Arial"/>
          <w:color w:val="000000"/>
          <w:sz w:val="24"/>
          <w:szCs w:val="24"/>
          <w:lang w:eastAsia="en-GB"/>
        </w:rPr>
        <w:t>cLean</w:t>
      </w:r>
      <w:r>
        <w:rPr>
          <w:rFonts w:ascii="Arial" w:eastAsia="Times New Roman" w:hAnsi="Arial" w:cs="Arial"/>
          <w:color w:val="000000"/>
          <w:sz w:val="24"/>
          <w:szCs w:val="24"/>
          <w:lang w:eastAsia="en-GB"/>
        </w:rPr>
        <w:t xml:space="preserve">, G. (2020). </w:t>
      </w:r>
      <w:r w:rsidRPr="000E68A5">
        <w:rPr>
          <w:rFonts w:ascii="Arial" w:eastAsia="Times New Roman" w:hAnsi="Arial" w:cs="Arial"/>
          <w:color w:val="000000"/>
          <w:sz w:val="24"/>
          <w:szCs w:val="24"/>
          <w:lang w:eastAsia="en-GB"/>
        </w:rPr>
        <w:t xml:space="preserve">Connecting </w:t>
      </w:r>
      <w:r>
        <w:rPr>
          <w:rFonts w:ascii="Arial" w:eastAsia="Times New Roman" w:hAnsi="Arial" w:cs="Arial"/>
          <w:color w:val="000000"/>
          <w:sz w:val="24"/>
          <w:szCs w:val="24"/>
          <w:lang w:eastAsia="en-GB"/>
        </w:rPr>
        <w:t>T</w:t>
      </w:r>
      <w:r w:rsidRPr="000E68A5">
        <w:rPr>
          <w:rFonts w:ascii="Arial" w:eastAsia="Times New Roman" w:hAnsi="Arial" w:cs="Arial"/>
          <w:color w:val="000000"/>
          <w:sz w:val="24"/>
          <w:szCs w:val="24"/>
          <w:lang w:eastAsia="en-GB"/>
        </w:rPr>
        <w:t xml:space="preserve">heory and </w:t>
      </w:r>
      <w:r>
        <w:rPr>
          <w:rFonts w:ascii="Arial" w:eastAsia="Times New Roman" w:hAnsi="Arial" w:cs="Arial"/>
          <w:color w:val="000000"/>
          <w:sz w:val="24"/>
          <w:szCs w:val="24"/>
          <w:lang w:eastAsia="en-GB"/>
        </w:rPr>
        <w:t>P</w:t>
      </w:r>
      <w:r w:rsidRPr="000E68A5">
        <w:rPr>
          <w:rFonts w:ascii="Arial" w:eastAsia="Times New Roman" w:hAnsi="Arial" w:cs="Arial"/>
          <w:color w:val="000000"/>
          <w:sz w:val="24"/>
          <w:szCs w:val="24"/>
          <w:lang w:eastAsia="en-GB"/>
        </w:rPr>
        <w:t xml:space="preserve">ractice: </w:t>
      </w:r>
      <w:r>
        <w:rPr>
          <w:rFonts w:ascii="Arial" w:eastAsia="Times New Roman" w:hAnsi="Arial" w:cs="Arial"/>
          <w:color w:val="000000"/>
          <w:sz w:val="24"/>
          <w:szCs w:val="24"/>
          <w:lang w:eastAsia="en-GB"/>
        </w:rPr>
        <w:t>R</w:t>
      </w:r>
      <w:r w:rsidRPr="000E68A5">
        <w:rPr>
          <w:rFonts w:ascii="Arial" w:eastAsia="Times New Roman" w:hAnsi="Arial" w:cs="Arial"/>
          <w:color w:val="000000"/>
          <w:sz w:val="24"/>
          <w:szCs w:val="24"/>
          <w:lang w:eastAsia="en-GB"/>
        </w:rPr>
        <w:t xml:space="preserve">eviewing </w:t>
      </w:r>
      <w:r>
        <w:rPr>
          <w:rFonts w:ascii="Arial" w:eastAsia="Times New Roman" w:hAnsi="Arial" w:cs="Arial"/>
          <w:color w:val="000000"/>
          <w:sz w:val="24"/>
          <w:szCs w:val="24"/>
          <w:lang w:eastAsia="en-GB"/>
        </w:rPr>
        <w:t>S</w:t>
      </w:r>
      <w:r w:rsidRPr="000E68A5">
        <w:rPr>
          <w:rFonts w:ascii="Arial" w:eastAsia="Times New Roman" w:hAnsi="Arial" w:cs="Arial"/>
          <w:color w:val="000000"/>
          <w:sz w:val="24"/>
          <w:szCs w:val="24"/>
          <w:lang w:eastAsia="en-GB"/>
        </w:rPr>
        <w:t xml:space="preserve">ix </w:t>
      </w:r>
      <w:r>
        <w:rPr>
          <w:rFonts w:ascii="Arial" w:eastAsia="Times New Roman" w:hAnsi="Arial" w:cs="Arial"/>
          <w:color w:val="000000"/>
          <w:sz w:val="24"/>
          <w:szCs w:val="24"/>
          <w:lang w:eastAsia="en-GB"/>
        </w:rPr>
        <w:t>L</w:t>
      </w:r>
      <w:r w:rsidRPr="000E68A5">
        <w:rPr>
          <w:rFonts w:ascii="Arial" w:eastAsia="Times New Roman" w:hAnsi="Arial" w:cs="Arial"/>
          <w:color w:val="000000"/>
          <w:sz w:val="24"/>
          <w:szCs w:val="24"/>
          <w:lang w:eastAsia="en-GB"/>
        </w:rPr>
        <w:t xml:space="preserve">earning </w:t>
      </w:r>
      <w:r>
        <w:rPr>
          <w:rFonts w:ascii="Arial" w:eastAsia="Times New Roman" w:hAnsi="Arial" w:cs="Arial"/>
          <w:color w:val="000000"/>
          <w:sz w:val="24"/>
          <w:szCs w:val="24"/>
          <w:lang w:eastAsia="en-GB"/>
        </w:rPr>
        <w:t>T</w:t>
      </w:r>
      <w:r w:rsidRPr="000E68A5">
        <w:rPr>
          <w:rFonts w:ascii="Arial" w:eastAsia="Times New Roman" w:hAnsi="Arial" w:cs="Arial"/>
          <w:color w:val="000000"/>
          <w:sz w:val="24"/>
          <w:szCs w:val="24"/>
          <w:lang w:eastAsia="en-GB"/>
        </w:rPr>
        <w:t xml:space="preserve">heories to </w:t>
      </w:r>
      <w:r>
        <w:rPr>
          <w:rFonts w:ascii="Arial" w:eastAsia="Times New Roman" w:hAnsi="Arial" w:cs="Arial"/>
          <w:color w:val="000000"/>
          <w:sz w:val="24"/>
          <w:szCs w:val="24"/>
          <w:lang w:eastAsia="en-GB"/>
        </w:rPr>
        <w:t>I</w:t>
      </w:r>
      <w:r w:rsidRPr="000E68A5">
        <w:rPr>
          <w:rFonts w:ascii="Arial" w:eastAsia="Times New Roman" w:hAnsi="Arial" w:cs="Arial"/>
          <w:color w:val="000000"/>
          <w:sz w:val="24"/>
          <w:szCs w:val="24"/>
          <w:lang w:eastAsia="en-GB"/>
        </w:rPr>
        <w:t xml:space="preserve">nform </w:t>
      </w:r>
      <w:r>
        <w:rPr>
          <w:rFonts w:ascii="Arial" w:eastAsia="Times New Roman" w:hAnsi="Arial" w:cs="Arial"/>
          <w:color w:val="000000"/>
          <w:sz w:val="24"/>
          <w:szCs w:val="24"/>
          <w:lang w:eastAsia="en-GB"/>
        </w:rPr>
        <w:t>O</w:t>
      </w:r>
      <w:r w:rsidRPr="000E68A5">
        <w:rPr>
          <w:rFonts w:ascii="Arial" w:eastAsia="Times New Roman" w:hAnsi="Arial" w:cs="Arial"/>
          <w:color w:val="000000"/>
          <w:sz w:val="24"/>
          <w:szCs w:val="24"/>
          <w:lang w:eastAsia="en-GB"/>
        </w:rPr>
        <w:t xml:space="preserve">nline </w:t>
      </w:r>
      <w:r>
        <w:rPr>
          <w:rFonts w:ascii="Arial" w:eastAsia="Times New Roman" w:hAnsi="Arial" w:cs="Arial"/>
          <w:color w:val="000000"/>
          <w:sz w:val="24"/>
          <w:szCs w:val="24"/>
          <w:lang w:eastAsia="en-GB"/>
        </w:rPr>
        <w:t>I</w:t>
      </w:r>
      <w:r w:rsidRPr="000E68A5">
        <w:rPr>
          <w:rFonts w:ascii="Arial" w:eastAsia="Times New Roman" w:hAnsi="Arial" w:cs="Arial"/>
          <w:color w:val="000000"/>
          <w:sz w:val="24"/>
          <w:szCs w:val="24"/>
          <w:lang w:eastAsia="en-GB"/>
        </w:rPr>
        <w:t>nstruction</w:t>
      </w:r>
      <w:r>
        <w:rPr>
          <w:rFonts w:ascii="Arial" w:eastAsia="Times New Roman" w:hAnsi="Arial" w:cs="Arial"/>
          <w:color w:val="000000"/>
          <w:sz w:val="24"/>
          <w:szCs w:val="24"/>
          <w:lang w:eastAsia="en-GB"/>
        </w:rPr>
        <w:t>.</w:t>
      </w:r>
      <w:r w:rsidRPr="004872AF">
        <w:rPr>
          <w:rFonts w:ascii="Arial" w:eastAsia="Times New Roman" w:hAnsi="Arial" w:cs="Arial"/>
          <w:i/>
          <w:iCs/>
          <w:color w:val="000000"/>
          <w:sz w:val="24"/>
          <w:szCs w:val="24"/>
          <w:lang w:eastAsia="en-GB"/>
        </w:rPr>
        <w:t xml:space="preserve"> European Journal of Training and Development,</w:t>
      </w:r>
      <w:r>
        <w:rPr>
          <w:rFonts w:ascii="Arial" w:eastAsia="Times New Roman" w:hAnsi="Arial" w:cs="Arial"/>
          <w:color w:val="000000"/>
          <w:sz w:val="24"/>
          <w:szCs w:val="24"/>
          <w:lang w:eastAsia="en-GB"/>
        </w:rPr>
        <w:t xml:space="preserve"> </w:t>
      </w:r>
      <w:r w:rsidRPr="004872AF">
        <w:rPr>
          <w:rFonts w:ascii="Arial" w:eastAsia="Times New Roman" w:hAnsi="Arial" w:cs="Arial"/>
          <w:i/>
          <w:iCs/>
          <w:color w:val="000000"/>
          <w:sz w:val="24"/>
          <w:szCs w:val="24"/>
          <w:lang w:eastAsia="en-GB"/>
        </w:rPr>
        <w:t>44</w:t>
      </w:r>
      <w:r>
        <w:rPr>
          <w:rFonts w:ascii="Arial" w:eastAsia="Times New Roman" w:hAnsi="Arial" w:cs="Arial"/>
          <w:color w:val="000000"/>
          <w:sz w:val="24"/>
          <w:szCs w:val="24"/>
          <w:lang w:eastAsia="en-GB"/>
        </w:rPr>
        <w:t>(</w:t>
      </w:r>
      <w:r w:rsidRPr="000E68A5">
        <w:rPr>
          <w:rFonts w:ascii="Arial" w:eastAsia="Times New Roman" w:hAnsi="Arial" w:cs="Arial"/>
          <w:color w:val="000000"/>
          <w:sz w:val="24"/>
          <w:szCs w:val="24"/>
          <w:lang w:eastAsia="en-GB"/>
        </w:rPr>
        <w:t>4/5</w:t>
      </w:r>
      <w:r>
        <w:rPr>
          <w:rFonts w:ascii="Arial" w:eastAsia="Times New Roman" w:hAnsi="Arial" w:cs="Arial"/>
          <w:color w:val="000000"/>
          <w:sz w:val="24"/>
          <w:szCs w:val="24"/>
          <w:lang w:eastAsia="en-GB"/>
        </w:rPr>
        <w:t xml:space="preserve">), </w:t>
      </w:r>
      <w:r w:rsidRPr="000E68A5">
        <w:rPr>
          <w:rFonts w:ascii="Arial" w:eastAsia="Times New Roman" w:hAnsi="Arial" w:cs="Arial"/>
          <w:color w:val="000000"/>
          <w:sz w:val="24"/>
          <w:szCs w:val="24"/>
          <w:lang w:eastAsia="en-GB"/>
        </w:rPr>
        <w:t>321-339.</w:t>
      </w:r>
    </w:p>
    <w:p w14:paraId="540DBF77" w14:textId="77777777" w:rsidR="000E68A5" w:rsidRDefault="000E68A5" w:rsidP="000E68A5">
      <w:pPr>
        <w:spacing w:after="0" w:line="480" w:lineRule="auto"/>
        <w:jc w:val="both"/>
        <w:rPr>
          <w:rFonts w:ascii="Arial" w:eastAsia="Times New Roman" w:hAnsi="Arial" w:cs="Arial"/>
          <w:color w:val="000000"/>
          <w:sz w:val="24"/>
          <w:szCs w:val="24"/>
          <w:lang w:eastAsia="en-GB"/>
        </w:rPr>
      </w:pPr>
    </w:p>
    <w:p w14:paraId="26C33A2E" w14:textId="14B738E1" w:rsidR="00431638" w:rsidRPr="0063619D" w:rsidRDefault="00431638" w:rsidP="000E68A5">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Brinkworth, R., McCann, B., Matthews, C. and Nordström, K. (2009). First Year Expectations and Experiences: Student and Teacher Perspectives. </w:t>
      </w:r>
      <w:r w:rsidRPr="0063619D">
        <w:rPr>
          <w:rFonts w:ascii="Arial" w:eastAsia="Times New Roman" w:hAnsi="Arial" w:cs="Arial"/>
          <w:i/>
          <w:iCs/>
          <w:color w:val="000000"/>
          <w:sz w:val="24"/>
          <w:szCs w:val="24"/>
          <w:lang w:eastAsia="en-GB"/>
        </w:rPr>
        <w:t>Higher Education. 58</w:t>
      </w:r>
      <w:r w:rsidRPr="0063619D">
        <w:rPr>
          <w:rFonts w:ascii="Arial" w:eastAsia="Times New Roman" w:hAnsi="Arial" w:cs="Arial"/>
          <w:color w:val="000000"/>
          <w:sz w:val="24"/>
          <w:szCs w:val="24"/>
          <w:lang w:eastAsia="en-GB"/>
        </w:rPr>
        <w:t>(2), 157-173.</w:t>
      </w:r>
    </w:p>
    <w:p w14:paraId="2A9BBFFE"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34213F7A"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Councill, K. H. and Baumgartner, C. M. (2017). Student Teaching Seminars: Ideas for a Collaborative and Meaningful Culminating Experience. </w:t>
      </w:r>
      <w:r w:rsidRPr="0063619D">
        <w:rPr>
          <w:rFonts w:ascii="Arial" w:eastAsia="Times New Roman" w:hAnsi="Arial" w:cs="Arial"/>
          <w:i/>
          <w:iCs/>
          <w:color w:val="000000"/>
          <w:sz w:val="24"/>
          <w:szCs w:val="24"/>
          <w:lang w:eastAsia="en-GB"/>
        </w:rPr>
        <w:t>Music Educators Journal, 104</w:t>
      </w:r>
      <w:r w:rsidRPr="0063619D">
        <w:rPr>
          <w:rFonts w:ascii="Arial" w:eastAsia="Times New Roman" w:hAnsi="Arial" w:cs="Arial"/>
          <w:color w:val="000000"/>
          <w:sz w:val="24"/>
          <w:szCs w:val="24"/>
          <w:lang w:eastAsia="en-GB"/>
        </w:rPr>
        <w:t>(1), 62-70.</w:t>
      </w:r>
    </w:p>
    <w:p w14:paraId="7A8CFABE"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27CE7229" w14:textId="02066718" w:rsidR="00FC71F4" w:rsidRPr="00FC71F4" w:rsidRDefault="00FC71F4" w:rsidP="00FC71F4">
      <w:pPr>
        <w:spacing w:after="0" w:line="480" w:lineRule="auto"/>
        <w:jc w:val="both"/>
        <w:rPr>
          <w:rFonts w:ascii="Arial" w:eastAsia="Times New Roman" w:hAnsi="Arial" w:cs="Arial"/>
          <w:color w:val="000000"/>
          <w:sz w:val="24"/>
          <w:szCs w:val="24"/>
          <w:lang w:eastAsia="en-GB"/>
        </w:rPr>
      </w:pPr>
      <w:r w:rsidRPr="00FC71F4">
        <w:rPr>
          <w:rFonts w:ascii="Arial" w:eastAsia="Times New Roman" w:hAnsi="Arial" w:cs="Arial"/>
          <w:color w:val="000000"/>
          <w:sz w:val="24"/>
          <w:szCs w:val="24"/>
          <w:lang w:eastAsia="en-GB"/>
        </w:rPr>
        <w:lastRenderedPageBreak/>
        <w:t>Davison, E</w:t>
      </w:r>
      <w:r>
        <w:rPr>
          <w:rFonts w:ascii="Arial" w:eastAsia="Times New Roman" w:hAnsi="Arial" w:cs="Arial"/>
          <w:color w:val="000000"/>
          <w:sz w:val="24"/>
          <w:szCs w:val="24"/>
          <w:lang w:eastAsia="en-GB"/>
        </w:rPr>
        <w:t xml:space="preserve">., </w:t>
      </w:r>
      <w:r w:rsidRPr="00FC71F4">
        <w:rPr>
          <w:rFonts w:ascii="Arial" w:eastAsia="Times New Roman" w:hAnsi="Arial" w:cs="Arial"/>
          <w:color w:val="000000"/>
          <w:sz w:val="24"/>
          <w:szCs w:val="24"/>
          <w:lang w:eastAsia="en-GB"/>
        </w:rPr>
        <w:t>Sanderson, R</w:t>
      </w:r>
      <w:r>
        <w:rPr>
          <w:rFonts w:ascii="Arial" w:eastAsia="Times New Roman" w:hAnsi="Arial" w:cs="Arial"/>
          <w:color w:val="000000"/>
          <w:sz w:val="24"/>
          <w:szCs w:val="24"/>
          <w:lang w:eastAsia="en-GB"/>
        </w:rPr>
        <w:t xml:space="preserve">., </w:t>
      </w:r>
      <w:r w:rsidRPr="00FC71F4">
        <w:rPr>
          <w:rFonts w:ascii="Arial" w:eastAsia="Times New Roman" w:hAnsi="Arial" w:cs="Arial"/>
          <w:color w:val="000000"/>
          <w:sz w:val="24"/>
          <w:szCs w:val="24"/>
          <w:lang w:eastAsia="en-GB"/>
        </w:rPr>
        <w:t>Hobson, T</w:t>
      </w:r>
      <w:r>
        <w:rPr>
          <w:rFonts w:ascii="Arial" w:eastAsia="Times New Roman" w:hAnsi="Arial" w:cs="Arial"/>
          <w:color w:val="000000"/>
          <w:sz w:val="24"/>
          <w:szCs w:val="24"/>
          <w:lang w:eastAsia="en-GB"/>
        </w:rPr>
        <w:t xml:space="preserve">, and </w:t>
      </w:r>
      <w:r w:rsidRPr="00FC71F4">
        <w:rPr>
          <w:rFonts w:ascii="Arial" w:eastAsia="Times New Roman" w:hAnsi="Arial" w:cs="Arial"/>
          <w:color w:val="000000"/>
          <w:sz w:val="24"/>
          <w:szCs w:val="24"/>
          <w:lang w:eastAsia="en-GB"/>
        </w:rPr>
        <w:t>Hopkins, J</w:t>
      </w:r>
      <w:r>
        <w:rPr>
          <w:rFonts w:ascii="Arial" w:eastAsia="Times New Roman" w:hAnsi="Arial" w:cs="Arial"/>
          <w:color w:val="000000"/>
          <w:sz w:val="24"/>
          <w:szCs w:val="24"/>
          <w:lang w:eastAsia="en-GB"/>
        </w:rPr>
        <w:t xml:space="preserve">. (2022). </w:t>
      </w:r>
      <w:r w:rsidRPr="00FC71F4">
        <w:rPr>
          <w:rFonts w:ascii="Arial" w:eastAsia="Times New Roman" w:hAnsi="Arial" w:cs="Arial"/>
          <w:color w:val="000000"/>
          <w:sz w:val="24"/>
          <w:szCs w:val="24"/>
          <w:lang w:eastAsia="en-GB"/>
        </w:rPr>
        <w:t xml:space="preserve">Skills for Success? Supporting </w:t>
      </w:r>
      <w:r>
        <w:rPr>
          <w:rFonts w:ascii="Arial" w:eastAsia="Times New Roman" w:hAnsi="Arial" w:cs="Arial"/>
          <w:color w:val="000000"/>
          <w:sz w:val="24"/>
          <w:szCs w:val="24"/>
          <w:lang w:eastAsia="en-GB"/>
        </w:rPr>
        <w:t>T</w:t>
      </w:r>
      <w:r w:rsidRPr="00FC71F4">
        <w:rPr>
          <w:rFonts w:ascii="Arial" w:eastAsia="Times New Roman" w:hAnsi="Arial" w:cs="Arial"/>
          <w:color w:val="000000"/>
          <w:sz w:val="24"/>
          <w:szCs w:val="24"/>
          <w:lang w:eastAsia="en-GB"/>
        </w:rPr>
        <w:t xml:space="preserve">ransition into </w:t>
      </w:r>
      <w:r>
        <w:rPr>
          <w:rFonts w:ascii="Arial" w:eastAsia="Times New Roman" w:hAnsi="Arial" w:cs="Arial"/>
          <w:color w:val="000000"/>
          <w:sz w:val="24"/>
          <w:szCs w:val="24"/>
          <w:lang w:eastAsia="en-GB"/>
        </w:rPr>
        <w:t>H</w:t>
      </w:r>
      <w:r w:rsidRPr="00FC71F4">
        <w:rPr>
          <w:rFonts w:ascii="Arial" w:eastAsia="Times New Roman" w:hAnsi="Arial" w:cs="Arial"/>
          <w:color w:val="000000"/>
          <w:sz w:val="24"/>
          <w:szCs w:val="24"/>
          <w:lang w:eastAsia="en-GB"/>
        </w:rPr>
        <w:t xml:space="preserve">igher </w:t>
      </w:r>
      <w:r>
        <w:rPr>
          <w:rFonts w:ascii="Arial" w:eastAsia="Times New Roman" w:hAnsi="Arial" w:cs="Arial"/>
          <w:color w:val="000000"/>
          <w:sz w:val="24"/>
          <w:szCs w:val="24"/>
          <w:lang w:eastAsia="en-GB"/>
        </w:rPr>
        <w:t>E</w:t>
      </w:r>
      <w:r w:rsidRPr="00FC71F4">
        <w:rPr>
          <w:rFonts w:ascii="Arial" w:eastAsia="Times New Roman" w:hAnsi="Arial" w:cs="Arial"/>
          <w:color w:val="000000"/>
          <w:sz w:val="24"/>
          <w:szCs w:val="24"/>
          <w:lang w:eastAsia="en-GB"/>
        </w:rPr>
        <w:t xml:space="preserve">ducation for </w:t>
      </w:r>
      <w:r>
        <w:rPr>
          <w:rFonts w:ascii="Arial" w:eastAsia="Times New Roman" w:hAnsi="Arial" w:cs="Arial"/>
          <w:color w:val="000000"/>
          <w:sz w:val="24"/>
          <w:szCs w:val="24"/>
          <w:lang w:eastAsia="en-GB"/>
        </w:rPr>
        <w:t>S</w:t>
      </w:r>
      <w:r w:rsidRPr="00FC71F4">
        <w:rPr>
          <w:rFonts w:ascii="Arial" w:eastAsia="Times New Roman" w:hAnsi="Arial" w:cs="Arial"/>
          <w:color w:val="000000"/>
          <w:sz w:val="24"/>
          <w:szCs w:val="24"/>
          <w:lang w:eastAsia="en-GB"/>
        </w:rPr>
        <w:t xml:space="preserve">tudents from </w:t>
      </w:r>
      <w:r>
        <w:rPr>
          <w:rFonts w:ascii="Arial" w:eastAsia="Times New Roman" w:hAnsi="Arial" w:cs="Arial"/>
          <w:color w:val="000000"/>
          <w:sz w:val="24"/>
          <w:szCs w:val="24"/>
          <w:lang w:eastAsia="en-GB"/>
        </w:rPr>
        <w:t>D</w:t>
      </w:r>
      <w:r w:rsidRPr="00FC71F4">
        <w:rPr>
          <w:rFonts w:ascii="Arial" w:eastAsia="Times New Roman" w:hAnsi="Arial" w:cs="Arial"/>
          <w:color w:val="000000"/>
          <w:sz w:val="24"/>
          <w:szCs w:val="24"/>
          <w:lang w:eastAsia="en-GB"/>
        </w:rPr>
        <w:t xml:space="preserve">iverse </w:t>
      </w:r>
      <w:r>
        <w:rPr>
          <w:rFonts w:ascii="Arial" w:eastAsia="Times New Roman" w:hAnsi="Arial" w:cs="Arial"/>
          <w:color w:val="000000"/>
          <w:sz w:val="24"/>
          <w:szCs w:val="24"/>
          <w:lang w:eastAsia="en-GB"/>
        </w:rPr>
        <w:t>B</w:t>
      </w:r>
      <w:r w:rsidRPr="00FC71F4">
        <w:rPr>
          <w:rFonts w:ascii="Arial" w:eastAsia="Times New Roman" w:hAnsi="Arial" w:cs="Arial"/>
          <w:color w:val="000000"/>
          <w:sz w:val="24"/>
          <w:szCs w:val="24"/>
          <w:lang w:eastAsia="en-GB"/>
        </w:rPr>
        <w:t>ackgrounds.</w:t>
      </w:r>
    </w:p>
    <w:p w14:paraId="1AB972BD" w14:textId="77777777" w:rsidR="00FC71F4" w:rsidRDefault="00FC71F4" w:rsidP="00FC71F4">
      <w:pPr>
        <w:spacing w:after="0" w:line="480" w:lineRule="auto"/>
        <w:jc w:val="both"/>
        <w:rPr>
          <w:rFonts w:ascii="Arial" w:eastAsia="Times New Roman" w:hAnsi="Arial" w:cs="Arial"/>
          <w:color w:val="000000"/>
          <w:sz w:val="24"/>
          <w:szCs w:val="24"/>
          <w:lang w:eastAsia="en-GB"/>
        </w:rPr>
      </w:pPr>
      <w:r w:rsidRPr="00FC71F4">
        <w:rPr>
          <w:rFonts w:ascii="Arial" w:eastAsia="Times New Roman" w:hAnsi="Arial" w:cs="Arial"/>
          <w:i/>
          <w:iCs/>
          <w:color w:val="000000"/>
          <w:sz w:val="24"/>
          <w:szCs w:val="24"/>
          <w:lang w:eastAsia="en-GB"/>
        </w:rPr>
        <w:t>Widening Participation &amp; Lifelong Learning</w:t>
      </w:r>
      <w:r>
        <w:rPr>
          <w:rFonts w:ascii="Arial" w:eastAsia="Times New Roman" w:hAnsi="Arial" w:cs="Arial"/>
          <w:color w:val="000000"/>
          <w:sz w:val="24"/>
          <w:szCs w:val="24"/>
          <w:lang w:eastAsia="en-GB"/>
        </w:rPr>
        <w:t xml:space="preserve">, </w:t>
      </w:r>
      <w:r w:rsidRPr="00FC71F4">
        <w:rPr>
          <w:rFonts w:ascii="Arial" w:eastAsia="Times New Roman" w:hAnsi="Arial" w:cs="Arial"/>
          <w:i/>
          <w:iCs/>
          <w:color w:val="000000"/>
          <w:sz w:val="24"/>
          <w:szCs w:val="24"/>
          <w:lang w:eastAsia="en-GB"/>
        </w:rPr>
        <w:t>24</w:t>
      </w:r>
      <w:r>
        <w:rPr>
          <w:rFonts w:ascii="Arial" w:eastAsia="Times New Roman" w:hAnsi="Arial" w:cs="Arial"/>
          <w:color w:val="000000"/>
          <w:sz w:val="24"/>
          <w:szCs w:val="24"/>
          <w:lang w:eastAsia="en-GB"/>
        </w:rPr>
        <w:t>(</w:t>
      </w:r>
      <w:r w:rsidRPr="00FC71F4">
        <w:rPr>
          <w:rFonts w:ascii="Arial" w:eastAsia="Times New Roman" w:hAnsi="Arial" w:cs="Arial"/>
          <w:color w:val="000000"/>
          <w:sz w:val="24"/>
          <w:szCs w:val="24"/>
          <w:lang w:eastAsia="en-GB"/>
        </w:rPr>
        <w:t>1</w:t>
      </w:r>
      <w:r>
        <w:rPr>
          <w:rFonts w:ascii="Arial" w:eastAsia="Times New Roman" w:hAnsi="Arial" w:cs="Arial"/>
          <w:color w:val="000000"/>
          <w:sz w:val="24"/>
          <w:szCs w:val="24"/>
          <w:lang w:eastAsia="en-GB"/>
        </w:rPr>
        <w:t>)</w:t>
      </w:r>
      <w:r w:rsidRPr="00FC71F4">
        <w:rPr>
          <w:rFonts w:ascii="Arial" w:eastAsia="Times New Roman" w:hAnsi="Arial" w:cs="Arial"/>
          <w:color w:val="000000"/>
          <w:sz w:val="24"/>
          <w:szCs w:val="24"/>
          <w:lang w:eastAsia="en-GB"/>
        </w:rPr>
        <w:t>, 165-186</w:t>
      </w:r>
      <w:r>
        <w:rPr>
          <w:rFonts w:ascii="Arial" w:eastAsia="Times New Roman" w:hAnsi="Arial" w:cs="Arial"/>
          <w:color w:val="000000"/>
          <w:sz w:val="24"/>
          <w:szCs w:val="24"/>
          <w:lang w:eastAsia="en-GB"/>
        </w:rPr>
        <w:t>.</w:t>
      </w:r>
    </w:p>
    <w:p w14:paraId="05C7B22A" w14:textId="77777777" w:rsidR="00FC71F4" w:rsidRDefault="00FC71F4" w:rsidP="00FC71F4">
      <w:pPr>
        <w:spacing w:after="0" w:line="480" w:lineRule="auto"/>
        <w:jc w:val="both"/>
        <w:rPr>
          <w:rFonts w:ascii="Arial" w:eastAsia="Times New Roman" w:hAnsi="Arial" w:cs="Arial"/>
          <w:color w:val="000000"/>
          <w:sz w:val="24"/>
          <w:szCs w:val="24"/>
          <w:lang w:eastAsia="en-GB"/>
        </w:rPr>
      </w:pPr>
    </w:p>
    <w:p w14:paraId="0D7C398C" w14:textId="40D9FCE5" w:rsidR="00431638" w:rsidRPr="0063619D" w:rsidRDefault="00431638" w:rsidP="00FC71F4">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Gibbs, J., Hartviksen, J. J., Lehtonen, A. and Spruce, E. (2021). Pedagogies of Inclusion: A Critical Exploration of Small-Group Teaching Practice in Higher Education. </w:t>
      </w:r>
      <w:r w:rsidRPr="0063619D">
        <w:rPr>
          <w:rFonts w:ascii="Arial" w:eastAsia="Times New Roman" w:hAnsi="Arial" w:cs="Arial"/>
          <w:i/>
          <w:iCs/>
          <w:color w:val="000000"/>
          <w:sz w:val="24"/>
          <w:szCs w:val="24"/>
          <w:lang w:eastAsia="en-GB"/>
        </w:rPr>
        <w:t>Teaching in Higher Education, 26</w:t>
      </w:r>
      <w:r w:rsidRPr="0063619D">
        <w:rPr>
          <w:rFonts w:ascii="Arial" w:eastAsia="Times New Roman" w:hAnsi="Arial" w:cs="Arial"/>
          <w:color w:val="000000"/>
          <w:sz w:val="24"/>
          <w:szCs w:val="24"/>
          <w:lang w:eastAsia="en-GB"/>
        </w:rPr>
        <w:t>(5), 696-711.</w:t>
      </w:r>
    </w:p>
    <w:p w14:paraId="71B86056"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4954B116"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Gibson, S., Grace, A., O’Sullivan, C., and Pritchard, C. (2019). Exploring Transitions into the Undergraduate University World using a Student-Centred Framework. </w:t>
      </w:r>
      <w:r w:rsidRPr="0063619D">
        <w:rPr>
          <w:rFonts w:ascii="Arial" w:eastAsia="Times New Roman" w:hAnsi="Arial" w:cs="Arial"/>
          <w:i/>
          <w:iCs/>
          <w:color w:val="000000"/>
          <w:sz w:val="24"/>
          <w:szCs w:val="24"/>
          <w:lang w:eastAsia="en-GB"/>
        </w:rPr>
        <w:t>Teaching in Higher Education, 24</w:t>
      </w:r>
      <w:r w:rsidRPr="0063619D">
        <w:rPr>
          <w:rFonts w:ascii="Arial" w:eastAsia="Times New Roman" w:hAnsi="Arial" w:cs="Arial"/>
          <w:color w:val="000000"/>
          <w:sz w:val="24"/>
          <w:szCs w:val="24"/>
          <w:lang w:eastAsia="en-GB"/>
        </w:rPr>
        <w:t>(7), 819–833.</w:t>
      </w:r>
    </w:p>
    <w:p w14:paraId="511A7DEB"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005D93EA"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Green, A. (2007). A Matter of Expectation: The Transition from School to University English. </w:t>
      </w:r>
      <w:r w:rsidRPr="0063619D">
        <w:rPr>
          <w:rFonts w:ascii="Arial" w:eastAsia="Times New Roman" w:hAnsi="Arial" w:cs="Arial"/>
          <w:i/>
          <w:iCs/>
          <w:color w:val="000000"/>
          <w:sz w:val="24"/>
          <w:szCs w:val="24"/>
          <w:lang w:eastAsia="en-GB"/>
        </w:rPr>
        <w:t>Changing English: Studies in Culture and Education, 14</w:t>
      </w:r>
      <w:r w:rsidRPr="0063619D">
        <w:rPr>
          <w:rFonts w:ascii="Arial" w:eastAsia="Times New Roman" w:hAnsi="Arial" w:cs="Arial"/>
          <w:color w:val="000000"/>
          <w:sz w:val="24"/>
          <w:szCs w:val="24"/>
          <w:lang w:eastAsia="en-GB"/>
        </w:rPr>
        <w:t xml:space="preserve">(2), 121-33. </w:t>
      </w:r>
    </w:p>
    <w:p w14:paraId="21002EEF"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1F153FC6"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Hassel, S. and Ridout, N. (2018). An Investigation of First-Year Students' and Lecturers' Expectations of University Education. </w:t>
      </w:r>
      <w:r w:rsidRPr="0063619D">
        <w:rPr>
          <w:rFonts w:ascii="Arial" w:eastAsia="Times New Roman" w:hAnsi="Arial" w:cs="Arial"/>
          <w:i/>
          <w:iCs/>
          <w:color w:val="000000"/>
          <w:sz w:val="24"/>
          <w:szCs w:val="24"/>
          <w:lang w:eastAsia="en-GB"/>
        </w:rPr>
        <w:t>Frontiers in Psychology, 8</w:t>
      </w:r>
      <w:r w:rsidRPr="0063619D">
        <w:rPr>
          <w:rFonts w:ascii="Arial" w:eastAsia="Times New Roman" w:hAnsi="Arial" w:cs="Arial"/>
          <w:color w:val="000000"/>
          <w:sz w:val="24"/>
          <w:szCs w:val="24"/>
          <w:lang w:eastAsia="en-GB"/>
        </w:rPr>
        <w:t xml:space="preserve">, 1-13. </w:t>
      </w:r>
      <w:hyperlink r:id="rId7" w:history="1">
        <w:r w:rsidRPr="0063619D">
          <w:rPr>
            <w:rStyle w:val="Hyperlink"/>
            <w:rFonts w:ascii="Arial" w:eastAsia="Times New Roman" w:hAnsi="Arial" w:cs="Arial"/>
            <w:sz w:val="24"/>
            <w:szCs w:val="24"/>
            <w:lang w:eastAsia="en-GB"/>
          </w:rPr>
          <w:t>https://doi.org/10.3389/fpsyg.2017.02218</w:t>
        </w:r>
      </w:hyperlink>
      <w:r w:rsidRPr="0063619D">
        <w:rPr>
          <w:rFonts w:ascii="Arial" w:eastAsia="Times New Roman" w:hAnsi="Arial" w:cs="Arial"/>
          <w:color w:val="000000"/>
          <w:sz w:val="24"/>
          <w:szCs w:val="24"/>
          <w:lang w:eastAsia="en-GB"/>
        </w:rPr>
        <w:t xml:space="preserve"> </w:t>
      </w:r>
    </w:p>
    <w:p w14:paraId="0D3C5298"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5E394584"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Ivemark, B. and Ambrose, A. (2021). Habitus Adaptation and First-Generation University Students' Adjustment to Higher Education: A Life Course Perspective. </w:t>
      </w:r>
      <w:r w:rsidRPr="0063619D">
        <w:rPr>
          <w:rFonts w:ascii="Arial" w:eastAsia="Times New Roman" w:hAnsi="Arial" w:cs="Arial"/>
          <w:i/>
          <w:iCs/>
          <w:color w:val="000000"/>
          <w:sz w:val="24"/>
          <w:szCs w:val="24"/>
          <w:lang w:eastAsia="en-GB"/>
        </w:rPr>
        <w:t>Sociology of Education, 94</w:t>
      </w:r>
      <w:r w:rsidRPr="0063619D">
        <w:rPr>
          <w:rFonts w:ascii="Arial" w:eastAsia="Times New Roman" w:hAnsi="Arial" w:cs="Arial"/>
          <w:color w:val="000000"/>
          <w:sz w:val="24"/>
          <w:szCs w:val="24"/>
          <w:lang w:eastAsia="en-GB"/>
        </w:rPr>
        <w:t>(3), 191-207.</w:t>
      </w:r>
    </w:p>
    <w:p w14:paraId="562CD0EA"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1057736F"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Lehmann, W. (2009). University as Vocational Education: Working</w:t>
      </w:r>
      <w:r w:rsidRPr="0063619D">
        <w:rPr>
          <w:rFonts w:ascii="Cambria Math" w:eastAsia="Times New Roman" w:hAnsi="Cambria Math" w:cs="Cambria Math"/>
          <w:color w:val="000000"/>
          <w:sz w:val="24"/>
          <w:szCs w:val="24"/>
          <w:lang w:eastAsia="en-GB"/>
        </w:rPr>
        <w:t>‐</w:t>
      </w:r>
      <w:r w:rsidRPr="0063619D">
        <w:rPr>
          <w:rFonts w:ascii="Arial" w:eastAsia="Times New Roman" w:hAnsi="Arial" w:cs="Arial"/>
          <w:color w:val="000000"/>
          <w:sz w:val="24"/>
          <w:szCs w:val="24"/>
          <w:lang w:eastAsia="en-GB"/>
        </w:rPr>
        <w:t xml:space="preserve">Class Students’ Expectations for University. </w:t>
      </w:r>
      <w:r w:rsidRPr="0063619D">
        <w:rPr>
          <w:rFonts w:ascii="Arial" w:eastAsia="Times New Roman" w:hAnsi="Arial" w:cs="Arial"/>
          <w:i/>
          <w:iCs/>
          <w:color w:val="000000"/>
          <w:sz w:val="24"/>
          <w:szCs w:val="24"/>
          <w:lang w:eastAsia="en-GB"/>
        </w:rPr>
        <w:t>British Journal of Sociology of Education, 30</w:t>
      </w:r>
      <w:r w:rsidRPr="0063619D">
        <w:rPr>
          <w:rFonts w:ascii="Arial" w:eastAsia="Times New Roman" w:hAnsi="Arial" w:cs="Arial"/>
          <w:color w:val="000000"/>
          <w:sz w:val="24"/>
          <w:szCs w:val="24"/>
          <w:lang w:eastAsia="en-GB"/>
        </w:rPr>
        <w:t>(2), 137-149.</w:t>
      </w:r>
    </w:p>
    <w:p w14:paraId="05F41550"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7FE24313"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Maunder, R. E., Cunliffe, M., Galvin, J., Mjali, S. and Rogers, J. (2013). Listening to Student Voices: Student Researchers Exploring Undergraduate Experiences of University Transition. </w:t>
      </w:r>
      <w:r w:rsidRPr="0063619D">
        <w:rPr>
          <w:rFonts w:ascii="Arial" w:eastAsia="Times New Roman" w:hAnsi="Arial" w:cs="Arial"/>
          <w:i/>
          <w:iCs/>
          <w:color w:val="000000"/>
          <w:sz w:val="24"/>
          <w:szCs w:val="24"/>
          <w:lang w:eastAsia="en-GB"/>
        </w:rPr>
        <w:t>Higher Education, 66</w:t>
      </w:r>
      <w:r w:rsidRPr="0063619D">
        <w:rPr>
          <w:rFonts w:ascii="Arial" w:eastAsia="Times New Roman" w:hAnsi="Arial" w:cs="Arial"/>
          <w:color w:val="000000"/>
          <w:sz w:val="24"/>
          <w:szCs w:val="24"/>
          <w:lang w:eastAsia="en-GB"/>
        </w:rPr>
        <w:t>(2), 139-152.</w:t>
      </w:r>
    </w:p>
    <w:p w14:paraId="263425C4"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39999F67" w14:textId="696AAA4D" w:rsidR="00431638"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McEwan, M. P. (2017). The Essay as a Lens on Transition to the University: Student and Staff Perceptions of Essay Writing. </w:t>
      </w:r>
      <w:r w:rsidRPr="0063619D">
        <w:rPr>
          <w:rFonts w:ascii="Arial" w:eastAsia="Times New Roman" w:hAnsi="Arial" w:cs="Arial"/>
          <w:i/>
          <w:iCs/>
          <w:color w:val="000000"/>
          <w:sz w:val="24"/>
          <w:szCs w:val="24"/>
          <w:lang w:eastAsia="en-GB"/>
        </w:rPr>
        <w:t>International Journal of Teaching &amp; Learning in Higher Education, 29</w:t>
      </w:r>
      <w:r w:rsidRPr="0063619D">
        <w:rPr>
          <w:rFonts w:ascii="Arial" w:eastAsia="Times New Roman" w:hAnsi="Arial" w:cs="Arial"/>
          <w:color w:val="000000"/>
          <w:sz w:val="24"/>
          <w:szCs w:val="24"/>
          <w:lang w:eastAsia="en-GB"/>
        </w:rPr>
        <w:t>(3), 511-23.</w:t>
      </w:r>
    </w:p>
    <w:p w14:paraId="3C142A4F" w14:textId="0A62211B" w:rsidR="00C12D24" w:rsidRDefault="00C12D24" w:rsidP="0063619D">
      <w:pPr>
        <w:spacing w:after="0" w:line="480" w:lineRule="auto"/>
        <w:jc w:val="both"/>
        <w:rPr>
          <w:rFonts w:ascii="Arial" w:eastAsia="Times New Roman" w:hAnsi="Arial" w:cs="Arial"/>
          <w:color w:val="000000"/>
          <w:sz w:val="24"/>
          <w:szCs w:val="24"/>
          <w:lang w:eastAsia="en-GB"/>
        </w:rPr>
      </w:pPr>
    </w:p>
    <w:p w14:paraId="719CBBD5" w14:textId="2B6EF906" w:rsidR="00C12D24" w:rsidRPr="0063619D" w:rsidRDefault="00C12D24" w:rsidP="00C12D24">
      <w:pPr>
        <w:spacing w:after="0" w:line="480" w:lineRule="auto"/>
        <w:jc w:val="both"/>
        <w:rPr>
          <w:rFonts w:ascii="Arial" w:eastAsia="Times New Roman" w:hAnsi="Arial" w:cs="Arial"/>
          <w:color w:val="000000"/>
          <w:sz w:val="24"/>
          <w:szCs w:val="24"/>
          <w:lang w:eastAsia="en-GB"/>
        </w:rPr>
      </w:pPr>
      <w:r w:rsidRPr="00C12D24">
        <w:rPr>
          <w:rFonts w:ascii="Arial" w:eastAsia="Times New Roman" w:hAnsi="Arial" w:cs="Arial"/>
          <w:color w:val="000000"/>
          <w:sz w:val="24"/>
          <w:szCs w:val="24"/>
          <w:lang w:eastAsia="en-GB"/>
        </w:rPr>
        <w:t>McKinney, E</w:t>
      </w:r>
      <w:r>
        <w:rPr>
          <w:rFonts w:ascii="Arial" w:eastAsia="Times New Roman" w:hAnsi="Arial" w:cs="Arial"/>
          <w:color w:val="000000"/>
          <w:sz w:val="24"/>
          <w:szCs w:val="24"/>
          <w:lang w:eastAsia="en-GB"/>
        </w:rPr>
        <w:t xml:space="preserve">. </w:t>
      </w:r>
      <w:r w:rsidRPr="00C12D24">
        <w:rPr>
          <w:rFonts w:ascii="Arial" w:eastAsia="Times New Roman" w:hAnsi="Arial" w:cs="Arial"/>
          <w:color w:val="000000"/>
          <w:sz w:val="24"/>
          <w:szCs w:val="24"/>
          <w:lang w:eastAsia="en-GB"/>
        </w:rPr>
        <w:t>L</w:t>
      </w:r>
      <w:r>
        <w:rPr>
          <w:rFonts w:ascii="Arial" w:eastAsia="Times New Roman" w:hAnsi="Arial" w:cs="Arial"/>
          <w:color w:val="000000"/>
          <w:sz w:val="24"/>
          <w:szCs w:val="24"/>
          <w:lang w:eastAsia="en-GB"/>
        </w:rPr>
        <w:t xml:space="preserve">. and </w:t>
      </w:r>
      <w:r w:rsidRPr="00C12D24">
        <w:rPr>
          <w:rFonts w:ascii="Arial" w:eastAsia="Times New Roman" w:hAnsi="Arial" w:cs="Arial"/>
          <w:color w:val="000000"/>
          <w:sz w:val="24"/>
          <w:szCs w:val="24"/>
          <w:lang w:eastAsia="en-GB"/>
        </w:rPr>
        <w:t>Swartz, L</w:t>
      </w:r>
      <w:r>
        <w:rPr>
          <w:rFonts w:ascii="Arial" w:eastAsia="Times New Roman" w:hAnsi="Arial" w:cs="Arial"/>
          <w:color w:val="000000"/>
          <w:sz w:val="24"/>
          <w:szCs w:val="24"/>
          <w:lang w:eastAsia="en-GB"/>
        </w:rPr>
        <w:t xml:space="preserve">. (2022). </w:t>
      </w:r>
      <w:r w:rsidRPr="00C12D24">
        <w:rPr>
          <w:rFonts w:ascii="Arial" w:eastAsia="Times New Roman" w:hAnsi="Arial" w:cs="Arial"/>
          <w:color w:val="000000"/>
          <w:sz w:val="24"/>
          <w:szCs w:val="24"/>
          <w:lang w:eastAsia="en-GB"/>
        </w:rPr>
        <w:t xml:space="preserve">Integration into </w:t>
      </w:r>
      <w:r>
        <w:rPr>
          <w:rFonts w:ascii="Arial" w:eastAsia="Times New Roman" w:hAnsi="Arial" w:cs="Arial"/>
          <w:color w:val="000000"/>
          <w:sz w:val="24"/>
          <w:szCs w:val="24"/>
          <w:lang w:eastAsia="en-GB"/>
        </w:rPr>
        <w:t>H</w:t>
      </w:r>
      <w:r w:rsidRPr="00C12D24">
        <w:rPr>
          <w:rFonts w:ascii="Arial" w:eastAsia="Times New Roman" w:hAnsi="Arial" w:cs="Arial"/>
          <w:color w:val="000000"/>
          <w:sz w:val="24"/>
          <w:szCs w:val="24"/>
          <w:lang w:eastAsia="en-GB"/>
        </w:rPr>
        <w:t xml:space="preserve">igher </w:t>
      </w:r>
      <w:r>
        <w:rPr>
          <w:rFonts w:ascii="Arial" w:eastAsia="Times New Roman" w:hAnsi="Arial" w:cs="Arial"/>
          <w:color w:val="000000"/>
          <w:sz w:val="24"/>
          <w:szCs w:val="24"/>
          <w:lang w:eastAsia="en-GB"/>
        </w:rPr>
        <w:t>E</w:t>
      </w:r>
      <w:r w:rsidRPr="00C12D24">
        <w:rPr>
          <w:rFonts w:ascii="Arial" w:eastAsia="Times New Roman" w:hAnsi="Arial" w:cs="Arial"/>
          <w:color w:val="000000"/>
          <w:sz w:val="24"/>
          <w:szCs w:val="24"/>
          <w:lang w:eastAsia="en-GB"/>
        </w:rPr>
        <w:t xml:space="preserve">ducation: </w:t>
      </w:r>
      <w:r>
        <w:rPr>
          <w:rFonts w:ascii="Arial" w:eastAsia="Times New Roman" w:hAnsi="Arial" w:cs="Arial"/>
          <w:color w:val="000000"/>
          <w:sz w:val="24"/>
          <w:szCs w:val="24"/>
          <w:lang w:eastAsia="en-GB"/>
        </w:rPr>
        <w:t>E</w:t>
      </w:r>
      <w:r w:rsidRPr="00C12D24">
        <w:rPr>
          <w:rFonts w:ascii="Arial" w:eastAsia="Times New Roman" w:hAnsi="Arial" w:cs="Arial"/>
          <w:color w:val="000000"/>
          <w:sz w:val="24"/>
          <w:szCs w:val="24"/>
          <w:lang w:eastAsia="en-GB"/>
        </w:rPr>
        <w:t xml:space="preserve">xperiences of </w:t>
      </w:r>
      <w:r>
        <w:rPr>
          <w:rFonts w:ascii="Arial" w:eastAsia="Times New Roman" w:hAnsi="Arial" w:cs="Arial"/>
          <w:color w:val="000000"/>
          <w:sz w:val="24"/>
          <w:szCs w:val="24"/>
          <w:lang w:eastAsia="en-GB"/>
        </w:rPr>
        <w:t>D</w:t>
      </w:r>
      <w:r w:rsidRPr="00C12D24">
        <w:rPr>
          <w:rFonts w:ascii="Arial" w:eastAsia="Times New Roman" w:hAnsi="Arial" w:cs="Arial"/>
          <w:color w:val="000000"/>
          <w:sz w:val="24"/>
          <w:szCs w:val="24"/>
          <w:lang w:eastAsia="en-GB"/>
        </w:rPr>
        <w:t xml:space="preserve">isabled </w:t>
      </w:r>
      <w:r>
        <w:rPr>
          <w:rFonts w:ascii="Arial" w:eastAsia="Times New Roman" w:hAnsi="Arial" w:cs="Arial"/>
          <w:color w:val="000000"/>
          <w:sz w:val="24"/>
          <w:szCs w:val="24"/>
          <w:lang w:eastAsia="en-GB"/>
        </w:rPr>
        <w:t>S</w:t>
      </w:r>
      <w:r w:rsidRPr="00C12D24">
        <w:rPr>
          <w:rFonts w:ascii="Arial" w:eastAsia="Times New Roman" w:hAnsi="Arial" w:cs="Arial"/>
          <w:color w:val="000000"/>
          <w:sz w:val="24"/>
          <w:szCs w:val="24"/>
          <w:lang w:eastAsia="en-GB"/>
        </w:rPr>
        <w:t>tudents in South Africa.</w:t>
      </w:r>
      <w:r>
        <w:rPr>
          <w:rFonts w:ascii="Arial" w:eastAsia="Times New Roman" w:hAnsi="Arial" w:cs="Arial"/>
          <w:color w:val="000000"/>
          <w:sz w:val="24"/>
          <w:szCs w:val="24"/>
          <w:lang w:eastAsia="en-GB"/>
        </w:rPr>
        <w:t xml:space="preserve"> </w:t>
      </w:r>
      <w:r w:rsidRPr="00C12D24">
        <w:rPr>
          <w:rFonts w:ascii="Arial" w:eastAsia="Times New Roman" w:hAnsi="Arial" w:cs="Arial"/>
          <w:i/>
          <w:iCs/>
          <w:color w:val="000000"/>
          <w:sz w:val="24"/>
          <w:szCs w:val="24"/>
          <w:lang w:eastAsia="en-GB"/>
        </w:rPr>
        <w:t>Studies in Higher Education</w:t>
      </w:r>
      <w:r>
        <w:rPr>
          <w:rFonts w:ascii="Arial" w:eastAsia="Times New Roman" w:hAnsi="Arial" w:cs="Arial"/>
          <w:color w:val="000000"/>
          <w:sz w:val="24"/>
          <w:szCs w:val="24"/>
          <w:lang w:eastAsia="en-GB"/>
        </w:rPr>
        <w:t xml:space="preserve">, </w:t>
      </w:r>
      <w:r w:rsidRPr="00C12D24">
        <w:rPr>
          <w:rFonts w:ascii="Arial" w:eastAsia="Times New Roman" w:hAnsi="Arial" w:cs="Arial"/>
          <w:i/>
          <w:iCs/>
          <w:color w:val="000000"/>
          <w:sz w:val="24"/>
          <w:szCs w:val="24"/>
          <w:lang w:eastAsia="en-GB"/>
        </w:rPr>
        <w:t>47</w:t>
      </w:r>
      <w:r>
        <w:rPr>
          <w:rFonts w:ascii="Arial" w:eastAsia="Times New Roman" w:hAnsi="Arial" w:cs="Arial"/>
          <w:color w:val="000000"/>
          <w:sz w:val="24"/>
          <w:szCs w:val="24"/>
          <w:lang w:eastAsia="en-GB"/>
        </w:rPr>
        <w:t>(</w:t>
      </w:r>
      <w:r w:rsidRPr="00C12D24">
        <w:rPr>
          <w:rFonts w:ascii="Arial" w:eastAsia="Times New Roman" w:hAnsi="Arial" w:cs="Arial"/>
          <w:color w:val="000000"/>
          <w:sz w:val="24"/>
          <w:szCs w:val="24"/>
          <w:lang w:eastAsia="en-GB"/>
        </w:rPr>
        <w:t>2</w:t>
      </w:r>
      <w:r>
        <w:rPr>
          <w:rFonts w:ascii="Arial" w:eastAsia="Times New Roman" w:hAnsi="Arial" w:cs="Arial"/>
          <w:color w:val="000000"/>
          <w:sz w:val="24"/>
          <w:szCs w:val="24"/>
          <w:lang w:eastAsia="en-GB"/>
        </w:rPr>
        <w:t>)</w:t>
      </w:r>
      <w:r w:rsidRPr="00C12D24">
        <w:rPr>
          <w:rFonts w:ascii="Arial" w:eastAsia="Times New Roman" w:hAnsi="Arial" w:cs="Arial"/>
          <w:color w:val="000000"/>
          <w:sz w:val="24"/>
          <w:szCs w:val="24"/>
          <w:lang w:eastAsia="en-GB"/>
        </w:rPr>
        <w:t>, 367-377</w:t>
      </w:r>
      <w:r>
        <w:rPr>
          <w:rFonts w:ascii="Arial" w:eastAsia="Times New Roman" w:hAnsi="Arial" w:cs="Arial"/>
          <w:color w:val="000000"/>
          <w:sz w:val="24"/>
          <w:szCs w:val="24"/>
          <w:lang w:eastAsia="en-GB"/>
        </w:rPr>
        <w:t>.</w:t>
      </w:r>
    </w:p>
    <w:p w14:paraId="55850C08"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6C2B7209"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Money, J., Nixon, S., Tracy, F., Hennessy, C., Ball, E. &amp; Dinning, T. (2017). Undergraduate Student Expectations of University in the United Kingdom: What Really Matters to Them? </w:t>
      </w:r>
      <w:r w:rsidRPr="0063619D">
        <w:rPr>
          <w:rFonts w:ascii="Arial" w:eastAsia="Times New Roman" w:hAnsi="Arial" w:cs="Arial"/>
          <w:i/>
          <w:iCs/>
          <w:color w:val="000000"/>
          <w:sz w:val="24"/>
          <w:szCs w:val="24"/>
          <w:lang w:eastAsia="en-GB"/>
        </w:rPr>
        <w:t>Cogent Education, 4</w:t>
      </w:r>
      <w:r w:rsidRPr="0063619D">
        <w:rPr>
          <w:rFonts w:ascii="Arial" w:eastAsia="Times New Roman" w:hAnsi="Arial" w:cs="Arial"/>
          <w:color w:val="000000"/>
          <w:sz w:val="24"/>
          <w:szCs w:val="24"/>
          <w:lang w:eastAsia="en-GB"/>
        </w:rPr>
        <w:t xml:space="preserve">(1), 1-11. </w:t>
      </w:r>
      <w:hyperlink r:id="rId8" w:history="1">
        <w:r w:rsidRPr="0063619D">
          <w:rPr>
            <w:rStyle w:val="Hyperlink"/>
            <w:rFonts w:ascii="Arial" w:eastAsia="Times New Roman" w:hAnsi="Arial" w:cs="Arial"/>
            <w:sz w:val="24"/>
            <w:szCs w:val="24"/>
            <w:lang w:eastAsia="en-GB"/>
          </w:rPr>
          <w:t>https://doi.org/10.1080/2331186X.2017.1301855</w:t>
        </w:r>
      </w:hyperlink>
      <w:r w:rsidRPr="0063619D">
        <w:rPr>
          <w:rFonts w:ascii="Arial" w:eastAsia="Times New Roman" w:hAnsi="Arial" w:cs="Arial"/>
          <w:color w:val="000000"/>
          <w:sz w:val="24"/>
          <w:szCs w:val="24"/>
          <w:lang w:eastAsia="en-GB"/>
        </w:rPr>
        <w:t xml:space="preserve"> </w:t>
      </w:r>
    </w:p>
    <w:p w14:paraId="59C2A905" w14:textId="77777777" w:rsidR="00431638" w:rsidRPr="0063619D" w:rsidRDefault="00431638" w:rsidP="0063619D">
      <w:pPr>
        <w:spacing w:after="0" w:line="480" w:lineRule="auto"/>
        <w:jc w:val="both"/>
        <w:rPr>
          <w:rFonts w:ascii="Arial" w:hAnsi="Arial" w:cs="Arial"/>
          <w:sz w:val="24"/>
          <w:szCs w:val="24"/>
        </w:rPr>
      </w:pPr>
    </w:p>
    <w:p w14:paraId="1BDB186F" w14:textId="7777777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Morss, K. and Murray, R. (2015). </w:t>
      </w:r>
      <w:r w:rsidRPr="0063619D">
        <w:rPr>
          <w:rFonts w:ascii="Arial" w:hAnsi="Arial" w:cs="Arial"/>
          <w:i/>
          <w:iCs/>
          <w:sz w:val="24"/>
          <w:szCs w:val="24"/>
        </w:rPr>
        <w:t>Teaching at University: A Guide for Postgraduates and Researchers</w:t>
      </w:r>
      <w:r w:rsidRPr="0063619D">
        <w:rPr>
          <w:rFonts w:ascii="Arial" w:hAnsi="Arial" w:cs="Arial"/>
          <w:sz w:val="24"/>
          <w:szCs w:val="24"/>
        </w:rPr>
        <w:t>. SAGE Publications Ltd.</w:t>
      </w:r>
    </w:p>
    <w:p w14:paraId="3F451837" w14:textId="77777777" w:rsidR="00431638" w:rsidRPr="0063619D" w:rsidRDefault="00431638" w:rsidP="0063619D">
      <w:pPr>
        <w:spacing w:after="0" w:line="480" w:lineRule="auto"/>
        <w:jc w:val="both"/>
        <w:rPr>
          <w:rFonts w:ascii="Arial" w:hAnsi="Arial" w:cs="Arial"/>
          <w:sz w:val="24"/>
          <w:szCs w:val="24"/>
        </w:rPr>
      </w:pPr>
    </w:p>
    <w:p w14:paraId="58BED12B" w14:textId="77777777" w:rsidR="00431638" w:rsidRPr="0063619D" w:rsidRDefault="00431638" w:rsidP="0063619D">
      <w:pPr>
        <w:pStyle w:val="FootnoteText"/>
        <w:spacing w:line="480" w:lineRule="auto"/>
        <w:rPr>
          <w:rFonts w:ascii="Arial" w:hAnsi="Arial" w:cs="Arial"/>
          <w:sz w:val="24"/>
          <w:szCs w:val="24"/>
        </w:rPr>
      </w:pPr>
      <w:r w:rsidRPr="0063619D">
        <w:rPr>
          <w:rFonts w:ascii="Arial" w:hAnsi="Arial" w:cs="Arial"/>
          <w:sz w:val="24"/>
          <w:szCs w:val="24"/>
        </w:rPr>
        <w:t xml:space="preserve">Ollin, R. (2008). Silent Pedagogy and Rethinking Classroom Practice: Structuring Teaching Through Silence Rather than Talk. </w:t>
      </w:r>
      <w:r w:rsidRPr="0063619D">
        <w:rPr>
          <w:rFonts w:ascii="Arial" w:hAnsi="Arial" w:cs="Arial"/>
          <w:i/>
          <w:iCs/>
          <w:sz w:val="24"/>
          <w:szCs w:val="24"/>
        </w:rPr>
        <w:t>Cambridge Journal of Education</w:t>
      </w:r>
      <w:r w:rsidRPr="0063619D">
        <w:rPr>
          <w:rFonts w:ascii="Arial" w:hAnsi="Arial" w:cs="Arial"/>
          <w:sz w:val="24"/>
          <w:szCs w:val="24"/>
        </w:rPr>
        <w:t xml:space="preserve">, </w:t>
      </w:r>
      <w:r w:rsidRPr="0063619D">
        <w:rPr>
          <w:rFonts w:ascii="Arial" w:hAnsi="Arial" w:cs="Arial"/>
          <w:i/>
          <w:iCs/>
          <w:sz w:val="24"/>
          <w:szCs w:val="24"/>
        </w:rPr>
        <w:t>38</w:t>
      </w:r>
      <w:r w:rsidRPr="0063619D">
        <w:rPr>
          <w:rFonts w:ascii="Arial" w:hAnsi="Arial" w:cs="Arial"/>
          <w:sz w:val="24"/>
          <w:szCs w:val="24"/>
        </w:rPr>
        <w:t xml:space="preserve">(2), 265-80. </w:t>
      </w:r>
    </w:p>
    <w:p w14:paraId="2B6B3AA2"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4BB534CA" w14:textId="77777777" w:rsidR="00431638" w:rsidRPr="0063619D" w:rsidRDefault="00431638" w:rsidP="0063619D">
      <w:pPr>
        <w:pStyle w:val="FootnoteText"/>
        <w:spacing w:line="480" w:lineRule="auto"/>
        <w:rPr>
          <w:rFonts w:ascii="Arial" w:hAnsi="Arial" w:cs="Arial"/>
          <w:sz w:val="24"/>
          <w:szCs w:val="24"/>
        </w:rPr>
      </w:pPr>
      <w:r w:rsidRPr="0063619D">
        <w:rPr>
          <w:rFonts w:ascii="Arial" w:hAnsi="Arial" w:cs="Arial"/>
          <w:sz w:val="24"/>
          <w:szCs w:val="24"/>
        </w:rPr>
        <w:lastRenderedPageBreak/>
        <w:t>Race, P. (2015)</w:t>
      </w:r>
      <w:r w:rsidRPr="0063619D">
        <w:rPr>
          <w:rFonts w:ascii="Arial" w:hAnsi="Arial" w:cs="Arial"/>
          <w:i/>
          <w:iCs/>
          <w:sz w:val="24"/>
          <w:szCs w:val="24"/>
        </w:rPr>
        <w:t xml:space="preserve"> The Lecturer’s Toolkit: A Practical Guide to Assessment, Learning and Teaching</w:t>
      </w:r>
      <w:r w:rsidRPr="0063619D">
        <w:rPr>
          <w:rFonts w:ascii="Arial" w:hAnsi="Arial" w:cs="Arial"/>
          <w:sz w:val="24"/>
          <w:szCs w:val="24"/>
        </w:rPr>
        <w:t>. Routledge.</w:t>
      </w:r>
    </w:p>
    <w:p w14:paraId="01B6FE5B"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p>
    <w:p w14:paraId="64489BC8"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Simson, G. J. (2012). Teaching Seminars - Pedagogy and Potential. </w:t>
      </w:r>
      <w:r w:rsidRPr="0063619D">
        <w:rPr>
          <w:rFonts w:ascii="Arial" w:eastAsia="Times New Roman" w:hAnsi="Arial" w:cs="Arial"/>
          <w:i/>
          <w:iCs/>
          <w:color w:val="000000"/>
          <w:sz w:val="24"/>
          <w:szCs w:val="24"/>
          <w:lang w:eastAsia="en-GB"/>
        </w:rPr>
        <w:t>Mercer Law Review</w:t>
      </w:r>
      <w:r w:rsidRPr="0063619D">
        <w:rPr>
          <w:rFonts w:ascii="Arial" w:eastAsia="Times New Roman" w:hAnsi="Arial" w:cs="Arial"/>
          <w:color w:val="000000"/>
          <w:sz w:val="24"/>
          <w:szCs w:val="24"/>
          <w:lang w:eastAsia="en-GB"/>
        </w:rPr>
        <w:t xml:space="preserve">, </w:t>
      </w:r>
      <w:r w:rsidRPr="0063619D">
        <w:rPr>
          <w:rFonts w:ascii="Arial" w:eastAsia="Times New Roman" w:hAnsi="Arial" w:cs="Arial"/>
          <w:i/>
          <w:iCs/>
          <w:color w:val="000000"/>
          <w:sz w:val="24"/>
          <w:szCs w:val="24"/>
          <w:lang w:eastAsia="en-GB"/>
        </w:rPr>
        <w:t>63</w:t>
      </w:r>
      <w:r w:rsidRPr="0063619D">
        <w:rPr>
          <w:rFonts w:ascii="Arial" w:eastAsia="Times New Roman" w:hAnsi="Arial" w:cs="Arial"/>
          <w:color w:val="000000"/>
          <w:sz w:val="24"/>
          <w:szCs w:val="24"/>
          <w:lang w:eastAsia="en-GB"/>
        </w:rPr>
        <w:t>(3), 1057-1070.</w:t>
      </w:r>
    </w:p>
    <w:p w14:paraId="508D46BC" w14:textId="77777777" w:rsidR="00431638" w:rsidRPr="0063619D" w:rsidRDefault="00431638" w:rsidP="0063619D">
      <w:pPr>
        <w:spacing w:after="0" w:line="480" w:lineRule="auto"/>
        <w:jc w:val="both"/>
        <w:rPr>
          <w:rFonts w:ascii="Arial" w:hAnsi="Arial" w:cs="Arial"/>
          <w:sz w:val="24"/>
          <w:szCs w:val="24"/>
        </w:rPr>
      </w:pPr>
    </w:p>
    <w:p w14:paraId="56DF8D89" w14:textId="77777777" w:rsidR="00431638" w:rsidRPr="0063619D" w:rsidRDefault="00431638" w:rsidP="0063619D">
      <w:pPr>
        <w:spacing w:after="0" w:line="480" w:lineRule="auto"/>
        <w:jc w:val="both"/>
        <w:rPr>
          <w:rFonts w:ascii="Arial" w:eastAsia="Times New Roman" w:hAnsi="Arial" w:cs="Arial"/>
          <w:color w:val="000000"/>
          <w:sz w:val="24"/>
          <w:szCs w:val="24"/>
          <w:lang w:eastAsia="en-GB"/>
        </w:rPr>
      </w:pPr>
      <w:r w:rsidRPr="0063619D">
        <w:rPr>
          <w:rFonts w:ascii="Arial" w:eastAsia="Times New Roman" w:hAnsi="Arial" w:cs="Arial"/>
          <w:color w:val="000000"/>
          <w:sz w:val="24"/>
          <w:szCs w:val="24"/>
          <w:lang w:eastAsia="en-GB"/>
        </w:rPr>
        <w:t xml:space="preserve">Skinner, K. (2014). Bridging Gaps and Jumping Through Hoops: First-year History students’ Expectations and Perceptions of Assessment and Feedback in a Research-Intensive UK University. </w:t>
      </w:r>
      <w:r w:rsidRPr="0063619D">
        <w:rPr>
          <w:rFonts w:ascii="Arial" w:eastAsia="Times New Roman" w:hAnsi="Arial" w:cs="Arial"/>
          <w:i/>
          <w:iCs/>
          <w:color w:val="000000"/>
          <w:sz w:val="24"/>
          <w:szCs w:val="24"/>
          <w:lang w:eastAsia="en-GB"/>
        </w:rPr>
        <w:t>Arts &amp; Humanities in Higher Education</w:t>
      </w:r>
      <w:r w:rsidRPr="0063619D">
        <w:rPr>
          <w:rFonts w:ascii="Arial" w:eastAsia="Times New Roman" w:hAnsi="Arial" w:cs="Arial"/>
          <w:color w:val="000000"/>
          <w:sz w:val="24"/>
          <w:szCs w:val="24"/>
          <w:lang w:eastAsia="en-GB"/>
        </w:rPr>
        <w:t xml:space="preserve">, </w:t>
      </w:r>
      <w:r w:rsidRPr="0063619D">
        <w:rPr>
          <w:rFonts w:ascii="Arial" w:eastAsia="Times New Roman" w:hAnsi="Arial" w:cs="Arial"/>
          <w:i/>
          <w:iCs/>
          <w:color w:val="000000"/>
          <w:sz w:val="24"/>
          <w:szCs w:val="24"/>
          <w:lang w:eastAsia="en-GB"/>
        </w:rPr>
        <w:t>13</w:t>
      </w:r>
      <w:r w:rsidRPr="0063619D">
        <w:rPr>
          <w:rFonts w:ascii="Arial" w:eastAsia="Times New Roman" w:hAnsi="Arial" w:cs="Arial"/>
          <w:color w:val="000000"/>
          <w:sz w:val="24"/>
          <w:szCs w:val="24"/>
          <w:lang w:eastAsia="en-GB"/>
        </w:rPr>
        <w:t>(4), 359-376.</w:t>
      </w:r>
    </w:p>
    <w:p w14:paraId="5945A88B" w14:textId="77777777" w:rsidR="00431638" w:rsidRPr="0063619D" w:rsidRDefault="00431638" w:rsidP="0063619D">
      <w:pPr>
        <w:spacing w:after="0" w:line="480" w:lineRule="auto"/>
        <w:jc w:val="both"/>
        <w:rPr>
          <w:rFonts w:ascii="Arial" w:hAnsi="Arial" w:cs="Arial"/>
          <w:sz w:val="24"/>
          <w:szCs w:val="24"/>
          <w:highlight w:val="yellow"/>
        </w:rPr>
      </w:pPr>
    </w:p>
    <w:p w14:paraId="41D8B2C1" w14:textId="77777777" w:rsidR="00DC1C14" w:rsidRDefault="00DC1C14" w:rsidP="0063619D">
      <w:pPr>
        <w:pStyle w:val="FootnoteText"/>
        <w:spacing w:line="480" w:lineRule="auto"/>
        <w:rPr>
          <w:rFonts w:ascii="Arial" w:hAnsi="Arial" w:cs="Arial"/>
          <w:sz w:val="24"/>
          <w:szCs w:val="24"/>
        </w:rPr>
      </w:pPr>
      <w:r w:rsidRPr="00DC1C14">
        <w:rPr>
          <w:rFonts w:ascii="Arial" w:hAnsi="Arial" w:cs="Arial"/>
          <w:sz w:val="24"/>
          <w:szCs w:val="24"/>
        </w:rPr>
        <w:t>Soorenian</w:t>
      </w:r>
      <w:r>
        <w:rPr>
          <w:rFonts w:ascii="Arial" w:hAnsi="Arial" w:cs="Arial"/>
          <w:sz w:val="24"/>
          <w:szCs w:val="24"/>
        </w:rPr>
        <w:t>, A. (2013).</w:t>
      </w:r>
      <w:r w:rsidRPr="00DC1C14">
        <w:rPr>
          <w:rFonts w:ascii="Arial" w:hAnsi="Arial" w:cs="Arial"/>
          <w:sz w:val="24"/>
          <w:szCs w:val="24"/>
        </w:rPr>
        <w:t xml:space="preserve"> </w:t>
      </w:r>
      <w:r w:rsidRPr="00DC1C14">
        <w:rPr>
          <w:rFonts w:ascii="Arial" w:hAnsi="Arial" w:cs="Arial"/>
          <w:i/>
          <w:iCs/>
          <w:sz w:val="24"/>
          <w:szCs w:val="24"/>
        </w:rPr>
        <w:t>Disabled International Students in British Higher Education: Experiences and Expectations</w:t>
      </w:r>
      <w:r>
        <w:rPr>
          <w:rFonts w:ascii="Arial" w:hAnsi="Arial" w:cs="Arial"/>
          <w:sz w:val="24"/>
          <w:szCs w:val="24"/>
        </w:rPr>
        <w:t>.</w:t>
      </w:r>
      <w:r w:rsidRPr="00DC1C14">
        <w:rPr>
          <w:rFonts w:ascii="Arial" w:hAnsi="Arial" w:cs="Arial"/>
          <w:sz w:val="24"/>
          <w:szCs w:val="24"/>
        </w:rPr>
        <w:t xml:space="preserve"> </w:t>
      </w:r>
      <w:r>
        <w:rPr>
          <w:rFonts w:ascii="Arial" w:hAnsi="Arial" w:cs="Arial"/>
          <w:sz w:val="24"/>
          <w:szCs w:val="24"/>
        </w:rPr>
        <w:t>Sense Publishers.</w:t>
      </w:r>
    </w:p>
    <w:p w14:paraId="699E42AE" w14:textId="77777777" w:rsidR="00DC1C14" w:rsidRDefault="00DC1C14" w:rsidP="0063619D">
      <w:pPr>
        <w:pStyle w:val="FootnoteText"/>
        <w:spacing w:line="480" w:lineRule="auto"/>
        <w:rPr>
          <w:rFonts w:ascii="Arial" w:hAnsi="Arial" w:cs="Arial"/>
          <w:sz w:val="24"/>
          <w:szCs w:val="24"/>
        </w:rPr>
      </w:pPr>
    </w:p>
    <w:p w14:paraId="605FCC4A" w14:textId="0C7B19ED" w:rsidR="00431638" w:rsidRPr="0063619D" w:rsidRDefault="00431638" w:rsidP="0063619D">
      <w:pPr>
        <w:pStyle w:val="FootnoteText"/>
        <w:spacing w:line="480" w:lineRule="auto"/>
        <w:rPr>
          <w:rFonts w:ascii="Arial" w:hAnsi="Arial" w:cs="Arial"/>
          <w:sz w:val="24"/>
          <w:szCs w:val="24"/>
        </w:rPr>
      </w:pPr>
      <w:r w:rsidRPr="0063619D">
        <w:rPr>
          <w:rFonts w:ascii="Arial" w:hAnsi="Arial" w:cs="Arial"/>
          <w:sz w:val="24"/>
          <w:szCs w:val="24"/>
        </w:rPr>
        <w:t xml:space="preserve">Stenhouse, L. (1972). Teaching Through Small Group Discussion: Formality, Rules and Authority. </w:t>
      </w:r>
      <w:r w:rsidRPr="0063619D">
        <w:rPr>
          <w:rFonts w:ascii="Arial" w:hAnsi="Arial" w:cs="Arial"/>
          <w:i/>
          <w:iCs/>
          <w:sz w:val="24"/>
          <w:szCs w:val="24"/>
        </w:rPr>
        <w:t>Cambridge Journal of Education</w:t>
      </w:r>
      <w:r w:rsidRPr="0063619D">
        <w:rPr>
          <w:rFonts w:ascii="Arial" w:hAnsi="Arial" w:cs="Arial"/>
          <w:sz w:val="24"/>
          <w:szCs w:val="24"/>
        </w:rPr>
        <w:t xml:space="preserve">, </w:t>
      </w:r>
      <w:r w:rsidRPr="0063619D">
        <w:rPr>
          <w:rFonts w:ascii="Arial" w:hAnsi="Arial" w:cs="Arial"/>
          <w:i/>
          <w:iCs/>
          <w:sz w:val="24"/>
          <w:szCs w:val="24"/>
        </w:rPr>
        <w:t>2</w:t>
      </w:r>
      <w:r w:rsidRPr="0063619D">
        <w:rPr>
          <w:rFonts w:ascii="Arial" w:hAnsi="Arial" w:cs="Arial"/>
          <w:sz w:val="24"/>
          <w:szCs w:val="24"/>
        </w:rPr>
        <w:t xml:space="preserve">(1), 18-24. </w:t>
      </w:r>
    </w:p>
    <w:p w14:paraId="562D0D05" w14:textId="77777777" w:rsidR="00431638" w:rsidRPr="0063619D" w:rsidRDefault="00431638" w:rsidP="0063619D">
      <w:pPr>
        <w:spacing w:after="0" w:line="480" w:lineRule="auto"/>
        <w:jc w:val="both"/>
        <w:rPr>
          <w:rFonts w:ascii="Arial" w:hAnsi="Arial" w:cs="Arial"/>
          <w:sz w:val="24"/>
          <w:szCs w:val="24"/>
          <w:highlight w:val="yellow"/>
        </w:rPr>
      </w:pPr>
    </w:p>
    <w:p w14:paraId="1959665D" w14:textId="03C3322B" w:rsidR="00431638" w:rsidRDefault="00431638" w:rsidP="0063619D">
      <w:pPr>
        <w:spacing w:after="0" w:line="480" w:lineRule="auto"/>
        <w:jc w:val="both"/>
        <w:rPr>
          <w:rFonts w:ascii="Arial" w:hAnsi="Arial" w:cs="Arial"/>
          <w:sz w:val="24"/>
          <w:szCs w:val="24"/>
        </w:rPr>
      </w:pPr>
      <w:r w:rsidRPr="0063619D">
        <w:rPr>
          <w:rFonts w:ascii="Arial" w:hAnsi="Arial" w:cs="Arial"/>
          <w:sz w:val="24"/>
          <w:szCs w:val="24"/>
        </w:rPr>
        <w:t xml:space="preserve">Strawson, H. (2012). </w:t>
      </w:r>
      <w:r w:rsidRPr="0063619D">
        <w:rPr>
          <w:rFonts w:ascii="Arial" w:hAnsi="Arial" w:cs="Arial"/>
          <w:i/>
          <w:iCs/>
          <w:sz w:val="24"/>
          <w:szCs w:val="24"/>
        </w:rPr>
        <w:t>53 Interesting Things to Do in Your Seminars and Tutorials</w:t>
      </w:r>
      <w:r w:rsidRPr="0063619D">
        <w:rPr>
          <w:rFonts w:ascii="Arial" w:hAnsi="Arial" w:cs="Arial"/>
          <w:sz w:val="24"/>
          <w:szCs w:val="24"/>
        </w:rPr>
        <w:t xml:space="preserve">. Professional and Higher Partnership Ltd. </w:t>
      </w:r>
    </w:p>
    <w:p w14:paraId="726848CD" w14:textId="4C8F36F5" w:rsidR="00D31116" w:rsidRDefault="00D31116" w:rsidP="0063619D">
      <w:pPr>
        <w:spacing w:after="0" w:line="480" w:lineRule="auto"/>
        <w:jc w:val="both"/>
        <w:rPr>
          <w:rFonts w:ascii="Arial" w:hAnsi="Arial" w:cs="Arial"/>
          <w:sz w:val="24"/>
          <w:szCs w:val="24"/>
        </w:rPr>
      </w:pPr>
    </w:p>
    <w:p w14:paraId="2D3C3417" w14:textId="6C112CFD" w:rsidR="00D31116" w:rsidRPr="0063619D" w:rsidRDefault="00D31116" w:rsidP="00D31116">
      <w:pPr>
        <w:spacing w:after="0" w:line="480" w:lineRule="auto"/>
        <w:jc w:val="both"/>
        <w:rPr>
          <w:rFonts w:ascii="Arial" w:hAnsi="Arial" w:cs="Arial"/>
          <w:sz w:val="24"/>
          <w:szCs w:val="24"/>
        </w:rPr>
      </w:pPr>
      <w:r w:rsidRPr="00D31116">
        <w:rPr>
          <w:rFonts w:ascii="Arial" w:hAnsi="Arial" w:cs="Arial"/>
          <w:sz w:val="24"/>
          <w:szCs w:val="24"/>
        </w:rPr>
        <w:t>Tsafnat,</w:t>
      </w:r>
      <w:r>
        <w:rPr>
          <w:rFonts w:ascii="Arial" w:hAnsi="Arial" w:cs="Arial"/>
          <w:sz w:val="24"/>
          <w:szCs w:val="24"/>
        </w:rPr>
        <w:t xml:space="preserve"> G., </w:t>
      </w:r>
      <w:r w:rsidRPr="00D31116">
        <w:rPr>
          <w:rFonts w:ascii="Arial" w:hAnsi="Arial" w:cs="Arial"/>
          <w:sz w:val="24"/>
          <w:szCs w:val="24"/>
        </w:rPr>
        <w:t>Glasziou,</w:t>
      </w:r>
      <w:r>
        <w:rPr>
          <w:rFonts w:ascii="Arial" w:hAnsi="Arial" w:cs="Arial"/>
          <w:sz w:val="24"/>
          <w:szCs w:val="24"/>
        </w:rPr>
        <w:t xml:space="preserve"> P.,</w:t>
      </w:r>
      <w:r w:rsidRPr="00D31116">
        <w:rPr>
          <w:rFonts w:ascii="Arial" w:hAnsi="Arial" w:cs="Arial"/>
          <w:sz w:val="24"/>
          <w:szCs w:val="24"/>
        </w:rPr>
        <w:t xml:space="preserve"> Choong, </w:t>
      </w:r>
      <w:r>
        <w:rPr>
          <w:rFonts w:ascii="Arial" w:hAnsi="Arial" w:cs="Arial"/>
          <w:sz w:val="24"/>
          <w:szCs w:val="24"/>
        </w:rPr>
        <w:t>M.</w:t>
      </w:r>
      <w:r w:rsidR="004F392F">
        <w:rPr>
          <w:rFonts w:ascii="Arial" w:hAnsi="Arial" w:cs="Arial"/>
          <w:sz w:val="24"/>
          <w:szCs w:val="24"/>
        </w:rPr>
        <w:t xml:space="preserve"> K.</w:t>
      </w:r>
      <w:r>
        <w:rPr>
          <w:rFonts w:ascii="Arial" w:hAnsi="Arial" w:cs="Arial"/>
          <w:sz w:val="24"/>
          <w:szCs w:val="24"/>
        </w:rPr>
        <w:t xml:space="preserve">, </w:t>
      </w:r>
      <w:r w:rsidRPr="00D31116">
        <w:rPr>
          <w:rFonts w:ascii="Arial" w:hAnsi="Arial" w:cs="Arial"/>
          <w:sz w:val="24"/>
          <w:szCs w:val="24"/>
        </w:rPr>
        <w:t xml:space="preserve">Dunn, </w:t>
      </w:r>
      <w:r>
        <w:rPr>
          <w:rFonts w:ascii="Arial" w:hAnsi="Arial" w:cs="Arial"/>
          <w:sz w:val="24"/>
          <w:szCs w:val="24"/>
        </w:rPr>
        <w:t xml:space="preserve">A., </w:t>
      </w:r>
      <w:r w:rsidRPr="00D31116">
        <w:rPr>
          <w:rFonts w:ascii="Arial" w:hAnsi="Arial" w:cs="Arial"/>
          <w:sz w:val="24"/>
          <w:szCs w:val="24"/>
        </w:rPr>
        <w:t>Galgani</w:t>
      </w:r>
      <w:r>
        <w:rPr>
          <w:rFonts w:ascii="Arial" w:hAnsi="Arial" w:cs="Arial"/>
          <w:sz w:val="24"/>
          <w:szCs w:val="24"/>
        </w:rPr>
        <w:t>, F., and</w:t>
      </w:r>
      <w:r w:rsidRPr="00D31116">
        <w:rPr>
          <w:rFonts w:ascii="Arial" w:hAnsi="Arial" w:cs="Arial"/>
          <w:sz w:val="24"/>
          <w:szCs w:val="24"/>
        </w:rPr>
        <w:t xml:space="preserve"> Coiera</w:t>
      </w:r>
      <w:r>
        <w:rPr>
          <w:rFonts w:ascii="Arial" w:hAnsi="Arial" w:cs="Arial"/>
          <w:sz w:val="24"/>
          <w:szCs w:val="24"/>
        </w:rPr>
        <w:t>, E.</w:t>
      </w:r>
      <w:r w:rsidR="008738C1">
        <w:rPr>
          <w:rFonts w:ascii="Arial" w:hAnsi="Arial" w:cs="Arial"/>
          <w:sz w:val="24"/>
          <w:szCs w:val="24"/>
        </w:rPr>
        <w:t xml:space="preserve"> (2014). </w:t>
      </w:r>
      <w:r w:rsidR="008738C1" w:rsidRPr="008738C1">
        <w:rPr>
          <w:rFonts w:ascii="Arial" w:hAnsi="Arial" w:cs="Arial"/>
          <w:sz w:val="24"/>
          <w:szCs w:val="24"/>
        </w:rPr>
        <w:t xml:space="preserve">Systematic </w:t>
      </w:r>
      <w:r w:rsidR="008738C1">
        <w:rPr>
          <w:rFonts w:ascii="Arial" w:hAnsi="Arial" w:cs="Arial"/>
          <w:sz w:val="24"/>
          <w:szCs w:val="24"/>
        </w:rPr>
        <w:t>R</w:t>
      </w:r>
      <w:r w:rsidR="008738C1" w:rsidRPr="008738C1">
        <w:rPr>
          <w:rFonts w:ascii="Arial" w:hAnsi="Arial" w:cs="Arial"/>
          <w:sz w:val="24"/>
          <w:szCs w:val="24"/>
        </w:rPr>
        <w:t xml:space="preserve">eview </w:t>
      </w:r>
      <w:r w:rsidR="008738C1">
        <w:rPr>
          <w:rFonts w:ascii="Arial" w:hAnsi="Arial" w:cs="Arial"/>
          <w:sz w:val="24"/>
          <w:szCs w:val="24"/>
        </w:rPr>
        <w:t>A</w:t>
      </w:r>
      <w:r w:rsidR="008738C1" w:rsidRPr="008738C1">
        <w:rPr>
          <w:rFonts w:ascii="Arial" w:hAnsi="Arial" w:cs="Arial"/>
          <w:sz w:val="24"/>
          <w:szCs w:val="24"/>
        </w:rPr>
        <w:t xml:space="preserve">utomation </w:t>
      </w:r>
      <w:r w:rsidR="008738C1">
        <w:rPr>
          <w:rFonts w:ascii="Arial" w:hAnsi="Arial" w:cs="Arial"/>
          <w:sz w:val="24"/>
          <w:szCs w:val="24"/>
        </w:rPr>
        <w:t>T</w:t>
      </w:r>
      <w:r w:rsidR="008738C1" w:rsidRPr="008738C1">
        <w:rPr>
          <w:rFonts w:ascii="Arial" w:hAnsi="Arial" w:cs="Arial"/>
          <w:sz w:val="24"/>
          <w:szCs w:val="24"/>
        </w:rPr>
        <w:t>echnologies</w:t>
      </w:r>
      <w:r w:rsidR="008738C1">
        <w:rPr>
          <w:rFonts w:ascii="Arial" w:hAnsi="Arial" w:cs="Arial"/>
          <w:sz w:val="24"/>
          <w:szCs w:val="24"/>
        </w:rPr>
        <w:t xml:space="preserve">. </w:t>
      </w:r>
      <w:r w:rsidRPr="008738C1">
        <w:rPr>
          <w:rFonts w:ascii="Arial" w:hAnsi="Arial" w:cs="Arial"/>
          <w:i/>
          <w:iCs/>
          <w:sz w:val="24"/>
          <w:szCs w:val="24"/>
        </w:rPr>
        <w:t>Systematic Reviews</w:t>
      </w:r>
      <w:r w:rsidR="008738C1">
        <w:rPr>
          <w:rFonts w:ascii="Arial" w:hAnsi="Arial" w:cs="Arial"/>
          <w:sz w:val="24"/>
          <w:szCs w:val="24"/>
        </w:rPr>
        <w:t>,</w:t>
      </w:r>
      <w:r w:rsidRPr="00D31116">
        <w:rPr>
          <w:rFonts w:ascii="Arial" w:hAnsi="Arial" w:cs="Arial"/>
          <w:sz w:val="24"/>
          <w:szCs w:val="24"/>
        </w:rPr>
        <w:t xml:space="preserve"> </w:t>
      </w:r>
      <w:r w:rsidRPr="008738C1">
        <w:rPr>
          <w:rFonts w:ascii="Arial" w:hAnsi="Arial" w:cs="Arial"/>
          <w:i/>
          <w:iCs/>
          <w:sz w:val="24"/>
          <w:szCs w:val="24"/>
        </w:rPr>
        <w:t>3</w:t>
      </w:r>
      <w:r w:rsidR="008738C1">
        <w:rPr>
          <w:rFonts w:ascii="Arial" w:hAnsi="Arial" w:cs="Arial"/>
          <w:sz w:val="24"/>
          <w:szCs w:val="24"/>
        </w:rPr>
        <w:t>(</w:t>
      </w:r>
      <w:r w:rsidRPr="00D31116">
        <w:rPr>
          <w:rFonts w:ascii="Arial" w:hAnsi="Arial" w:cs="Arial"/>
          <w:sz w:val="24"/>
          <w:szCs w:val="24"/>
        </w:rPr>
        <w:t>74</w:t>
      </w:r>
      <w:r w:rsidR="008738C1">
        <w:rPr>
          <w:rFonts w:ascii="Arial" w:hAnsi="Arial" w:cs="Arial"/>
          <w:sz w:val="24"/>
          <w:szCs w:val="24"/>
        </w:rPr>
        <w:t xml:space="preserve">). </w:t>
      </w:r>
      <w:r w:rsidR="008738C1" w:rsidRPr="008738C1">
        <w:rPr>
          <w:rFonts w:ascii="Arial" w:hAnsi="Arial" w:cs="Arial"/>
          <w:sz w:val="24"/>
          <w:szCs w:val="24"/>
        </w:rPr>
        <w:t>https://doi.org/10.1186/2046-4053-3-74</w:t>
      </w:r>
    </w:p>
    <w:p w14:paraId="15B8C6B1" w14:textId="77777777" w:rsidR="00431638" w:rsidRPr="0063619D" w:rsidRDefault="00431638" w:rsidP="0063619D">
      <w:pPr>
        <w:spacing w:after="0" w:line="480" w:lineRule="auto"/>
        <w:jc w:val="both"/>
        <w:rPr>
          <w:rFonts w:ascii="Arial" w:hAnsi="Arial" w:cs="Arial"/>
          <w:sz w:val="24"/>
          <w:szCs w:val="24"/>
        </w:rPr>
      </w:pPr>
    </w:p>
    <w:p w14:paraId="6CAB4406" w14:textId="77777777" w:rsidR="00431638" w:rsidRPr="0063619D" w:rsidRDefault="00431638" w:rsidP="0063619D">
      <w:pPr>
        <w:spacing w:after="0" w:line="480" w:lineRule="auto"/>
        <w:jc w:val="both"/>
        <w:rPr>
          <w:rFonts w:ascii="Arial" w:hAnsi="Arial" w:cs="Arial"/>
          <w:sz w:val="24"/>
          <w:szCs w:val="24"/>
        </w:rPr>
      </w:pPr>
      <w:r w:rsidRPr="0063619D">
        <w:rPr>
          <w:rFonts w:ascii="Arial" w:hAnsi="Arial" w:cs="Arial"/>
          <w:sz w:val="24"/>
          <w:szCs w:val="24"/>
        </w:rPr>
        <w:lastRenderedPageBreak/>
        <w:t xml:space="preserve">UCL Arena Centre for Research-Based Education. (1 August 2019). </w:t>
      </w:r>
      <w:r w:rsidRPr="0063619D">
        <w:rPr>
          <w:rFonts w:ascii="Arial" w:hAnsi="Arial" w:cs="Arial"/>
          <w:i/>
          <w:iCs/>
          <w:sz w:val="24"/>
          <w:szCs w:val="24"/>
        </w:rPr>
        <w:t xml:space="preserve">Small Group Teaching. </w:t>
      </w:r>
      <w:hyperlink r:id="rId9" w:history="1">
        <w:r w:rsidRPr="0063619D">
          <w:rPr>
            <w:rStyle w:val="Hyperlink"/>
            <w:rFonts w:ascii="Arial" w:hAnsi="Arial" w:cs="Arial"/>
            <w:sz w:val="24"/>
            <w:szCs w:val="24"/>
          </w:rPr>
          <w:t>https://www.ucl.ac.uk/teaching-learning/publications/2019/aug/small-group-teaching</w:t>
        </w:r>
      </w:hyperlink>
      <w:r w:rsidRPr="0063619D">
        <w:rPr>
          <w:rFonts w:ascii="Arial" w:hAnsi="Arial" w:cs="Arial"/>
          <w:sz w:val="24"/>
          <w:szCs w:val="24"/>
        </w:rPr>
        <w:t xml:space="preserve"> </w:t>
      </w:r>
    </w:p>
    <w:p w14:paraId="015D7E37" w14:textId="77777777" w:rsidR="00431638" w:rsidRPr="0063619D" w:rsidRDefault="00431638" w:rsidP="0063619D">
      <w:pPr>
        <w:spacing w:after="0" w:line="480" w:lineRule="auto"/>
        <w:jc w:val="both"/>
        <w:rPr>
          <w:rFonts w:ascii="Arial" w:hAnsi="Arial" w:cs="Arial"/>
          <w:sz w:val="24"/>
          <w:szCs w:val="24"/>
        </w:rPr>
      </w:pPr>
    </w:p>
    <w:p w14:paraId="7ABFA3F9" w14:textId="77777777" w:rsidR="00431638" w:rsidRPr="0063619D" w:rsidRDefault="00431638" w:rsidP="0063619D">
      <w:pPr>
        <w:pStyle w:val="FootnoteText"/>
        <w:spacing w:line="480" w:lineRule="auto"/>
        <w:rPr>
          <w:rFonts w:ascii="Arial" w:hAnsi="Arial" w:cs="Arial"/>
          <w:sz w:val="24"/>
          <w:szCs w:val="24"/>
        </w:rPr>
      </w:pPr>
      <w:r w:rsidRPr="0063619D">
        <w:rPr>
          <w:rFonts w:ascii="Arial" w:hAnsi="Arial" w:cs="Arial"/>
          <w:sz w:val="24"/>
          <w:szCs w:val="24"/>
        </w:rPr>
        <w:t xml:space="preserve">Vassilopoulos, S. P. and Konstantinidis, G. (2012). Teacher Use of Silence in Elementary Education. </w:t>
      </w:r>
      <w:r w:rsidRPr="0063619D">
        <w:rPr>
          <w:rFonts w:ascii="Arial" w:hAnsi="Arial" w:cs="Arial"/>
          <w:i/>
          <w:iCs/>
          <w:sz w:val="24"/>
          <w:szCs w:val="24"/>
        </w:rPr>
        <w:t>Journal of Teaching and Learning</w:t>
      </w:r>
      <w:r w:rsidRPr="0063619D">
        <w:rPr>
          <w:rFonts w:ascii="Arial" w:hAnsi="Arial" w:cs="Arial"/>
          <w:sz w:val="24"/>
          <w:szCs w:val="24"/>
        </w:rPr>
        <w:t xml:space="preserve">, </w:t>
      </w:r>
      <w:r w:rsidRPr="0063619D">
        <w:rPr>
          <w:rFonts w:ascii="Arial" w:hAnsi="Arial" w:cs="Arial"/>
          <w:i/>
          <w:iCs/>
          <w:sz w:val="24"/>
          <w:szCs w:val="24"/>
        </w:rPr>
        <w:t>8</w:t>
      </w:r>
      <w:r w:rsidRPr="0063619D">
        <w:rPr>
          <w:rFonts w:ascii="Arial" w:hAnsi="Arial" w:cs="Arial"/>
          <w:sz w:val="24"/>
          <w:szCs w:val="24"/>
        </w:rPr>
        <w:t xml:space="preserve">(1), 91-105. </w:t>
      </w:r>
    </w:p>
    <w:p w14:paraId="250276CE" w14:textId="77777777" w:rsidR="00431638" w:rsidRPr="0063619D" w:rsidRDefault="00431638" w:rsidP="0063619D">
      <w:pPr>
        <w:pStyle w:val="FootnoteText"/>
        <w:spacing w:line="480" w:lineRule="auto"/>
        <w:rPr>
          <w:rFonts w:ascii="Arial" w:hAnsi="Arial" w:cs="Arial"/>
          <w:sz w:val="24"/>
          <w:szCs w:val="24"/>
        </w:rPr>
      </w:pPr>
    </w:p>
    <w:p w14:paraId="6A9478B4" w14:textId="77777777" w:rsidR="00431638" w:rsidRPr="0063619D" w:rsidRDefault="00431638" w:rsidP="0063619D">
      <w:pPr>
        <w:pStyle w:val="FootnoteText"/>
        <w:spacing w:line="480" w:lineRule="auto"/>
        <w:rPr>
          <w:rFonts w:ascii="Arial" w:hAnsi="Arial" w:cs="Arial"/>
          <w:sz w:val="24"/>
          <w:szCs w:val="24"/>
        </w:rPr>
      </w:pPr>
      <w:r w:rsidRPr="0063619D">
        <w:rPr>
          <w:rFonts w:ascii="Arial" w:hAnsi="Arial" w:cs="Arial"/>
          <w:sz w:val="24"/>
          <w:szCs w:val="24"/>
        </w:rPr>
        <w:t xml:space="preserve">Zembylas, M. and Michaelides, P. (2004). The Sound of Silence in Pedagogy. </w:t>
      </w:r>
      <w:r w:rsidRPr="0063619D">
        <w:rPr>
          <w:rFonts w:ascii="Arial" w:hAnsi="Arial" w:cs="Arial"/>
          <w:i/>
          <w:iCs/>
          <w:sz w:val="24"/>
          <w:szCs w:val="24"/>
        </w:rPr>
        <w:t>Educational Theory</w:t>
      </w:r>
      <w:r w:rsidRPr="0063619D">
        <w:rPr>
          <w:rFonts w:ascii="Arial" w:hAnsi="Arial" w:cs="Arial"/>
          <w:sz w:val="24"/>
          <w:szCs w:val="24"/>
        </w:rPr>
        <w:t xml:space="preserve">, </w:t>
      </w:r>
      <w:r w:rsidRPr="0063619D">
        <w:rPr>
          <w:rFonts w:ascii="Arial" w:hAnsi="Arial" w:cs="Arial"/>
          <w:i/>
          <w:iCs/>
          <w:sz w:val="24"/>
          <w:szCs w:val="24"/>
        </w:rPr>
        <w:t>54</w:t>
      </w:r>
      <w:r w:rsidRPr="0063619D">
        <w:rPr>
          <w:rFonts w:ascii="Arial" w:hAnsi="Arial" w:cs="Arial"/>
          <w:sz w:val="24"/>
          <w:szCs w:val="24"/>
        </w:rPr>
        <w:t>(2), 193-210.</w:t>
      </w:r>
    </w:p>
    <w:p w14:paraId="3D568573" w14:textId="4CD974DA" w:rsidR="00431638" w:rsidRPr="0063619D" w:rsidRDefault="00431638" w:rsidP="0063619D">
      <w:pPr>
        <w:spacing w:after="0" w:line="480" w:lineRule="auto"/>
        <w:rPr>
          <w:rFonts w:ascii="Arial" w:hAnsi="Arial" w:cs="Arial"/>
          <w:sz w:val="24"/>
          <w:szCs w:val="24"/>
        </w:rPr>
      </w:pPr>
    </w:p>
    <w:sectPr w:rsidR="00431638" w:rsidRPr="0063619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15616" w14:textId="77777777" w:rsidR="005A4FF2" w:rsidRDefault="005A4FF2" w:rsidP="00431638">
      <w:pPr>
        <w:spacing w:after="0" w:line="240" w:lineRule="auto"/>
      </w:pPr>
      <w:r>
        <w:separator/>
      </w:r>
    </w:p>
  </w:endnote>
  <w:endnote w:type="continuationSeparator" w:id="0">
    <w:p w14:paraId="376A7A30" w14:textId="77777777" w:rsidR="005A4FF2" w:rsidRDefault="005A4FF2" w:rsidP="00431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E1B64" w14:textId="77777777" w:rsidR="00D20DF3" w:rsidRDefault="00D20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25FEB" w14:textId="77777777" w:rsidR="00D20DF3" w:rsidRDefault="00D20D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E2ACB" w14:textId="77777777" w:rsidR="00D20DF3" w:rsidRDefault="00D20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D5383" w14:textId="77777777" w:rsidR="005A4FF2" w:rsidRDefault="005A4FF2" w:rsidP="00431638">
      <w:pPr>
        <w:spacing w:after="0" w:line="240" w:lineRule="auto"/>
      </w:pPr>
      <w:r>
        <w:separator/>
      </w:r>
    </w:p>
  </w:footnote>
  <w:footnote w:type="continuationSeparator" w:id="0">
    <w:p w14:paraId="682BFD19" w14:textId="77777777" w:rsidR="005A4FF2" w:rsidRDefault="005A4FF2" w:rsidP="00431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37F08" w14:textId="77777777" w:rsidR="00D20DF3" w:rsidRDefault="00D20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CF18D" w14:textId="0EF22921" w:rsidR="00431638" w:rsidRPr="00D20DF3" w:rsidRDefault="00D20DF3" w:rsidP="00431638">
    <w:pPr>
      <w:pStyle w:val="Header"/>
      <w:rPr>
        <w:rFonts w:ascii="Arial" w:hAnsi="Arial" w:cs="Arial"/>
        <w:sz w:val="24"/>
        <w:szCs w:val="24"/>
      </w:rPr>
    </w:pPr>
    <w:r>
      <w:rPr>
        <w:rFonts w:ascii="Arial" w:hAnsi="Arial" w:cs="Arial"/>
        <w:sz w:val="24"/>
        <w:szCs w:val="24"/>
      </w:rPr>
      <w:t>October</w:t>
    </w:r>
    <w:r w:rsidRPr="00D20DF3">
      <w:rPr>
        <w:rFonts w:ascii="Arial" w:hAnsi="Arial" w:cs="Arial"/>
        <w:sz w:val="24"/>
        <w:szCs w:val="24"/>
      </w:rPr>
      <w:t xml:space="preserve"> </w:t>
    </w:r>
    <w:r w:rsidRPr="00D20DF3">
      <w:rPr>
        <w:rFonts w:ascii="Arial" w:hAnsi="Arial" w:cs="Arial"/>
        <w:sz w:val="24"/>
        <w:szCs w:val="24"/>
      </w:rPr>
      <w:t>2022</w:t>
    </w:r>
    <w:r w:rsidRPr="00D20DF3">
      <w:rPr>
        <w:rFonts w:ascii="Arial" w:hAnsi="Arial" w:cs="Arial"/>
        <w:sz w:val="24"/>
        <w:szCs w:val="24"/>
      </w:rPr>
      <w:tab/>
    </w:r>
    <w:r w:rsidRPr="00D20DF3">
      <w:rPr>
        <w:rFonts w:ascii="Arial" w:hAnsi="Arial" w:cs="Arial"/>
        <w:sz w:val="24"/>
        <w:szCs w:val="24"/>
      </w:rPr>
      <w:tab/>
    </w:r>
    <w:r w:rsidRPr="00D20DF3">
      <w:rPr>
        <w:rFonts w:ascii="Arial" w:hAnsi="Arial" w:cs="Arial"/>
        <w:i/>
        <w:iCs/>
        <w:sz w:val="24"/>
        <w:szCs w:val="24"/>
      </w:rPr>
      <w:t>Developing Academic Practice</w:t>
    </w:r>
    <w:r w:rsidR="0063619D" w:rsidRPr="00D20DF3">
      <w:rPr>
        <w:rFonts w:ascii="Arial" w:hAnsi="Arial" w:cs="Arial"/>
        <w:sz w:val="24"/>
        <w:szCs w:val="24"/>
      </w:rPr>
      <w:tab/>
    </w:r>
    <w:r w:rsidR="00431638" w:rsidRPr="00D20DF3">
      <w:rPr>
        <w:rFonts w:ascii="Arial" w:hAnsi="Arial" w:cs="Arial"/>
        <w:sz w:val="24"/>
        <w:szCs w:val="24"/>
      </w:rPr>
      <w:tab/>
    </w:r>
  </w:p>
  <w:p w14:paraId="735534C0" w14:textId="77777777" w:rsidR="00431638" w:rsidRPr="00D20DF3" w:rsidRDefault="00431638">
    <w:pPr>
      <w:pStyle w:val="Header"/>
      <w:rPr>
        <w:rFonts w:ascii="Arial" w:hAnsi="Arial" w:cs="Arial"/>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6EF90" w14:textId="77777777" w:rsidR="00D20DF3" w:rsidRDefault="00D20D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2"/>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638"/>
    <w:rsid w:val="00072716"/>
    <w:rsid w:val="000D435B"/>
    <w:rsid w:val="000E68A5"/>
    <w:rsid w:val="00132E17"/>
    <w:rsid w:val="00194FEC"/>
    <w:rsid w:val="001B6F28"/>
    <w:rsid w:val="002366E8"/>
    <w:rsid w:val="002901C2"/>
    <w:rsid w:val="002D13F7"/>
    <w:rsid w:val="002E0806"/>
    <w:rsid w:val="00314036"/>
    <w:rsid w:val="003236AF"/>
    <w:rsid w:val="00326B16"/>
    <w:rsid w:val="00345101"/>
    <w:rsid w:val="003521F4"/>
    <w:rsid w:val="003853D9"/>
    <w:rsid w:val="003F5DBB"/>
    <w:rsid w:val="00431638"/>
    <w:rsid w:val="004363D5"/>
    <w:rsid w:val="00453BBB"/>
    <w:rsid w:val="004872AF"/>
    <w:rsid w:val="00490336"/>
    <w:rsid w:val="004F392F"/>
    <w:rsid w:val="00570217"/>
    <w:rsid w:val="005A2EB5"/>
    <w:rsid w:val="005A4FF2"/>
    <w:rsid w:val="005C582D"/>
    <w:rsid w:val="005E576D"/>
    <w:rsid w:val="005E78FB"/>
    <w:rsid w:val="005F2CBA"/>
    <w:rsid w:val="0063619D"/>
    <w:rsid w:val="00646D94"/>
    <w:rsid w:val="006474A0"/>
    <w:rsid w:val="006700F1"/>
    <w:rsid w:val="006E543B"/>
    <w:rsid w:val="00702C20"/>
    <w:rsid w:val="0074031B"/>
    <w:rsid w:val="00750D49"/>
    <w:rsid w:val="00770286"/>
    <w:rsid w:val="007822A9"/>
    <w:rsid w:val="007C720F"/>
    <w:rsid w:val="00826FD3"/>
    <w:rsid w:val="00862516"/>
    <w:rsid w:val="008738C1"/>
    <w:rsid w:val="008D1ACF"/>
    <w:rsid w:val="008D3392"/>
    <w:rsid w:val="0090077E"/>
    <w:rsid w:val="00946F25"/>
    <w:rsid w:val="0095340B"/>
    <w:rsid w:val="00982C32"/>
    <w:rsid w:val="009860BF"/>
    <w:rsid w:val="009D18CC"/>
    <w:rsid w:val="00A27955"/>
    <w:rsid w:val="00A330DB"/>
    <w:rsid w:val="00AB1562"/>
    <w:rsid w:val="00AD6E84"/>
    <w:rsid w:val="00B023C7"/>
    <w:rsid w:val="00B556D9"/>
    <w:rsid w:val="00B94032"/>
    <w:rsid w:val="00C12D24"/>
    <w:rsid w:val="00C56B96"/>
    <w:rsid w:val="00C662E1"/>
    <w:rsid w:val="00C8117F"/>
    <w:rsid w:val="00C9289D"/>
    <w:rsid w:val="00CC4698"/>
    <w:rsid w:val="00D20DF3"/>
    <w:rsid w:val="00D31116"/>
    <w:rsid w:val="00D32950"/>
    <w:rsid w:val="00D50E28"/>
    <w:rsid w:val="00D6049D"/>
    <w:rsid w:val="00D837C9"/>
    <w:rsid w:val="00DB13C3"/>
    <w:rsid w:val="00DC1C14"/>
    <w:rsid w:val="00E33435"/>
    <w:rsid w:val="00E63595"/>
    <w:rsid w:val="00E7407B"/>
    <w:rsid w:val="00EA6841"/>
    <w:rsid w:val="00F05652"/>
    <w:rsid w:val="00F401B9"/>
    <w:rsid w:val="00F46EB7"/>
    <w:rsid w:val="00F65926"/>
    <w:rsid w:val="00F84CB9"/>
    <w:rsid w:val="00F90C52"/>
    <w:rsid w:val="00FA1E2B"/>
    <w:rsid w:val="00FA50E9"/>
    <w:rsid w:val="00FC71F4"/>
    <w:rsid w:val="00FE1738"/>
    <w:rsid w:val="00FE18E8"/>
    <w:rsid w:val="00FF1B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0ABBAF"/>
  <w15:chartTrackingRefBased/>
  <w15:docId w15:val="{C25CDFFF-CFBD-42B2-B344-CCA8DBAE4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6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31638"/>
    <w:rPr>
      <w:color w:val="0563C1" w:themeColor="hyperlink"/>
      <w:u w:val="single"/>
    </w:rPr>
  </w:style>
  <w:style w:type="paragraph" w:styleId="FootnoteText">
    <w:name w:val="footnote text"/>
    <w:basedOn w:val="Normal"/>
    <w:link w:val="FootnoteTextChar"/>
    <w:uiPriority w:val="99"/>
    <w:semiHidden/>
    <w:unhideWhenUsed/>
    <w:rsid w:val="0043163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1638"/>
    <w:rPr>
      <w:sz w:val="20"/>
      <w:szCs w:val="20"/>
    </w:rPr>
  </w:style>
  <w:style w:type="paragraph" w:styleId="Header">
    <w:name w:val="header"/>
    <w:basedOn w:val="Normal"/>
    <w:link w:val="HeaderChar"/>
    <w:uiPriority w:val="99"/>
    <w:unhideWhenUsed/>
    <w:rsid w:val="004316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638"/>
  </w:style>
  <w:style w:type="paragraph" w:styleId="Footer">
    <w:name w:val="footer"/>
    <w:basedOn w:val="Normal"/>
    <w:link w:val="FooterChar"/>
    <w:uiPriority w:val="99"/>
    <w:unhideWhenUsed/>
    <w:rsid w:val="004316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638"/>
  </w:style>
  <w:style w:type="paragraph" w:styleId="Revision">
    <w:name w:val="Revision"/>
    <w:hidden/>
    <w:uiPriority w:val="99"/>
    <w:semiHidden/>
    <w:rsid w:val="002901C2"/>
    <w:pPr>
      <w:spacing w:after="0" w:line="240" w:lineRule="auto"/>
    </w:pPr>
  </w:style>
  <w:style w:type="character" w:styleId="CommentReference">
    <w:name w:val="annotation reference"/>
    <w:basedOn w:val="DefaultParagraphFont"/>
    <w:uiPriority w:val="99"/>
    <w:semiHidden/>
    <w:unhideWhenUsed/>
    <w:rsid w:val="0090077E"/>
    <w:rPr>
      <w:sz w:val="16"/>
      <w:szCs w:val="16"/>
    </w:rPr>
  </w:style>
  <w:style w:type="paragraph" w:styleId="CommentText">
    <w:name w:val="annotation text"/>
    <w:basedOn w:val="Normal"/>
    <w:link w:val="CommentTextChar"/>
    <w:uiPriority w:val="99"/>
    <w:unhideWhenUsed/>
    <w:rsid w:val="0090077E"/>
    <w:pPr>
      <w:spacing w:line="240" w:lineRule="auto"/>
    </w:pPr>
    <w:rPr>
      <w:sz w:val="20"/>
      <w:szCs w:val="20"/>
    </w:rPr>
  </w:style>
  <w:style w:type="character" w:customStyle="1" w:styleId="CommentTextChar">
    <w:name w:val="Comment Text Char"/>
    <w:basedOn w:val="DefaultParagraphFont"/>
    <w:link w:val="CommentText"/>
    <w:uiPriority w:val="99"/>
    <w:rsid w:val="0090077E"/>
    <w:rPr>
      <w:sz w:val="20"/>
      <w:szCs w:val="20"/>
    </w:rPr>
  </w:style>
  <w:style w:type="paragraph" w:styleId="CommentSubject">
    <w:name w:val="annotation subject"/>
    <w:basedOn w:val="CommentText"/>
    <w:next w:val="CommentText"/>
    <w:link w:val="CommentSubjectChar"/>
    <w:uiPriority w:val="99"/>
    <w:semiHidden/>
    <w:unhideWhenUsed/>
    <w:rsid w:val="0090077E"/>
    <w:rPr>
      <w:b/>
      <w:bCs/>
    </w:rPr>
  </w:style>
  <w:style w:type="character" w:customStyle="1" w:styleId="CommentSubjectChar">
    <w:name w:val="Comment Subject Char"/>
    <w:basedOn w:val="CommentTextChar"/>
    <w:link w:val="CommentSubject"/>
    <w:uiPriority w:val="99"/>
    <w:semiHidden/>
    <w:rsid w:val="0090077E"/>
    <w:rPr>
      <w:b/>
      <w:bCs/>
      <w:sz w:val="20"/>
      <w:szCs w:val="20"/>
    </w:rPr>
  </w:style>
  <w:style w:type="character" w:styleId="FollowedHyperlink">
    <w:name w:val="FollowedHyperlink"/>
    <w:basedOn w:val="DefaultParagraphFont"/>
    <w:uiPriority w:val="99"/>
    <w:semiHidden/>
    <w:unhideWhenUsed/>
    <w:rsid w:val="005E78F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148975">
      <w:bodyDiv w:val="1"/>
      <w:marLeft w:val="0"/>
      <w:marRight w:val="0"/>
      <w:marTop w:val="0"/>
      <w:marBottom w:val="0"/>
      <w:divBdr>
        <w:top w:val="none" w:sz="0" w:space="0" w:color="auto"/>
        <w:left w:val="none" w:sz="0" w:space="0" w:color="auto"/>
        <w:bottom w:val="none" w:sz="0" w:space="0" w:color="auto"/>
        <w:right w:val="none" w:sz="0" w:space="0" w:color="auto"/>
      </w:divBdr>
    </w:div>
    <w:div w:id="17168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2331186X.2017.1301855"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doi.org/10.3389/fpsyg.2017.02218"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cl.ac.uk/teaching-learning/publications/2019/aug/small-group-teachin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8DA24-01BC-4D5A-9F02-593239288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6093</Words>
  <Characters>34736</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Sophie [shjones]</dc:creator>
  <cp:keywords/>
  <dc:description/>
  <cp:lastModifiedBy>Jones, Sophie [shjones]</cp:lastModifiedBy>
  <cp:revision>3</cp:revision>
  <dcterms:created xsi:type="dcterms:W3CDTF">2022-10-17T13:18:00Z</dcterms:created>
  <dcterms:modified xsi:type="dcterms:W3CDTF">2022-10-17T13:21:00Z</dcterms:modified>
</cp:coreProperties>
</file>