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64A84" w14:textId="09FB3A92" w:rsidR="002868E2" w:rsidRPr="00376CC5" w:rsidRDefault="00F139BA" w:rsidP="00376CC5">
      <w:pPr>
        <w:pStyle w:val="Title"/>
      </w:pPr>
      <w:r>
        <w:t>P</w:t>
      </w:r>
      <w:r w:rsidRPr="00A41BED">
        <w:t xml:space="preserve">roteoglycans </w:t>
      </w:r>
      <w:r>
        <w:t xml:space="preserve">play a role </w:t>
      </w:r>
      <w:r w:rsidR="00A41BED" w:rsidRPr="00A41BED">
        <w:t xml:space="preserve">in the viscoelastic </w:t>
      </w:r>
      <w:r w:rsidR="00A41BED">
        <w:t>behaviour</w:t>
      </w:r>
      <w:r w:rsidR="00A41BED" w:rsidRPr="00A41BED">
        <w:t xml:space="preserve"> of the </w:t>
      </w:r>
      <w:r>
        <w:t xml:space="preserve">canine </w:t>
      </w:r>
      <w:r w:rsidR="00B80348">
        <w:t>cranial</w:t>
      </w:r>
      <w:r w:rsidR="00A41BED" w:rsidRPr="00A41BED">
        <w:t xml:space="preserve"> cruciate ligament</w:t>
      </w:r>
      <w:r w:rsidR="00A41BED">
        <w:t>.</w:t>
      </w:r>
    </w:p>
    <w:p w14:paraId="337586F1" w14:textId="06C5147E" w:rsidR="002868E2" w:rsidRPr="00376CC5" w:rsidRDefault="00A41BED" w:rsidP="00651CA2">
      <w:pPr>
        <w:pStyle w:val="AuthorList"/>
      </w:pPr>
      <w:r w:rsidRPr="00A41BED">
        <w:t>Rosti Readioff</w:t>
      </w:r>
      <w:r w:rsidRPr="00A41BED">
        <w:rPr>
          <w:vertAlign w:val="superscript"/>
        </w:rPr>
        <w:t>1,2,3*</w:t>
      </w:r>
      <w:r>
        <w:t xml:space="preserve">, </w:t>
      </w:r>
      <w:r w:rsidRPr="00A41BED">
        <w:t>Brendan Geraghty</w:t>
      </w:r>
      <w:r w:rsidRPr="00A41BED">
        <w:rPr>
          <w:vertAlign w:val="superscript"/>
        </w:rPr>
        <w:t>4</w:t>
      </w:r>
      <w:r w:rsidRPr="00A41BED">
        <w:t xml:space="preserve">, </w:t>
      </w:r>
      <w:proofErr w:type="spellStart"/>
      <w:r w:rsidRPr="00A41BED">
        <w:t>Yalda</w:t>
      </w:r>
      <w:proofErr w:type="spellEnd"/>
      <w:r w:rsidRPr="00A41BED">
        <w:t xml:space="preserve"> A. Kharaz</w:t>
      </w:r>
      <w:r w:rsidRPr="00A41BED">
        <w:rPr>
          <w:vertAlign w:val="superscript"/>
        </w:rPr>
        <w:t>4, 5</w:t>
      </w:r>
      <w:r w:rsidRPr="00A41BED">
        <w:t>, Ahmed Elsheikh</w:t>
      </w:r>
      <w:r w:rsidRPr="00A41BED">
        <w:rPr>
          <w:vertAlign w:val="superscript"/>
        </w:rPr>
        <w:t>1,6,7</w:t>
      </w:r>
      <w:r w:rsidRPr="00A41BED">
        <w:t>, Eithne Comerford</w:t>
      </w:r>
      <w:r w:rsidRPr="00A41BED">
        <w:rPr>
          <w:vertAlign w:val="superscript"/>
        </w:rPr>
        <w:t>4, 5, 8*</w:t>
      </w:r>
    </w:p>
    <w:p w14:paraId="760A6A16" w14:textId="1C62CFA2" w:rsidR="00A41BED" w:rsidRPr="00A41BED" w:rsidRDefault="00A41BED" w:rsidP="00A41BED">
      <w:pPr>
        <w:spacing w:after="0"/>
        <w:rPr>
          <w:rFonts w:cs="Times New Roman"/>
          <w:szCs w:val="24"/>
        </w:rPr>
      </w:pPr>
      <w:r w:rsidRPr="00A41BED">
        <w:rPr>
          <w:rFonts w:cs="Times New Roman"/>
          <w:szCs w:val="24"/>
          <w:vertAlign w:val="superscript"/>
        </w:rPr>
        <w:t>1</w:t>
      </w:r>
      <w:r w:rsidRPr="00A41BED">
        <w:rPr>
          <w:rFonts w:cs="Times New Roman"/>
          <w:szCs w:val="24"/>
        </w:rPr>
        <w:t>Department of Mechanical, Materials and Aerospace Engineering, School of Engineering, University of Liverpool, Liverpool, United Kingdom.</w:t>
      </w:r>
    </w:p>
    <w:p w14:paraId="0894CFEC" w14:textId="0EF00C61" w:rsidR="00A41BED" w:rsidRPr="00A41BED" w:rsidRDefault="00A41BED" w:rsidP="00A41BED">
      <w:pPr>
        <w:spacing w:after="0"/>
        <w:rPr>
          <w:rFonts w:cs="Times New Roman"/>
          <w:szCs w:val="24"/>
        </w:rPr>
      </w:pPr>
      <w:r w:rsidRPr="00A41BED">
        <w:rPr>
          <w:rFonts w:cs="Times New Roman"/>
          <w:szCs w:val="24"/>
          <w:vertAlign w:val="superscript"/>
        </w:rPr>
        <w:t>2</w:t>
      </w:r>
      <w:r w:rsidRPr="00A41BED">
        <w:rPr>
          <w:rFonts w:cs="Times New Roman"/>
          <w:szCs w:val="24"/>
        </w:rPr>
        <w:t>Institute of Medical and Biological Engineering, School of Mechanical Engineering, Faculty of Engineering, University of Leeds, Leeds, United Kingdom.</w:t>
      </w:r>
    </w:p>
    <w:p w14:paraId="4FF94303" w14:textId="18FD94CE" w:rsidR="00A41BED" w:rsidRPr="00A41BED" w:rsidRDefault="00A41BED" w:rsidP="00A41BED">
      <w:pPr>
        <w:spacing w:after="0"/>
        <w:rPr>
          <w:rFonts w:cs="Times New Roman"/>
          <w:szCs w:val="24"/>
        </w:rPr>
      </w:pPr>
      <w:r w:rsidRPr="00A41BED">
        <w:rPr>
          <w:rFonts w:cs="Times New Roman"/>
          <w:szCs w:val="24"/>
          <w:vertAlign w:val="superscript"/>
        </w:rPr>
        <w:t>3</w:t>
      </w:r>
      <w:r w:rsidRPr="00A41BED">
        <w:rPr>
          <w:rFonts w:cs="Times New Roman"/>
          <w:szCs w:val="24"/>
        </w:rPr>
        <w:t>School of Dentistry, University of Liverpool, Liverpool, United Kingdom.</w:t>
      </w:r>
    </w:p>
    <w:p w14:paraId="288C9F5C" w14:textId="1BC0720D" w:rsidR="00A41BED" w:rsidRPr="00A41BED" w:rsidRDefault="00A41BED" w:rsidP="00A41BED">
      <w:pPr>
        <w:spacing w:after="0"/>
        <w:rPr>
          <w:rFonts w:cs="Times New Roman"/>
          <w:szCs w:val="24"/>
        </w:rPr>
      </w:pPr>
      <w:r w:rsidRPr="00A41BED">
        <w:rPr>
          <w:rFonts w:cs="Times New Roman"/>
          <w:szCs w:val="24"/>
          <w:vertAlign w:val="superscript"/>
        </w:rPr>
        <w:t>4</w:t>
      </w:r>
      <w:r w:rsidRPr="00A41BED">
        <w:rPr>
          <w:rFonts w:cs="Times New Roman"/>
          <w:szCs w:val="24"/>
        </w:rPr>
        <w:t>Institute of Life Course and Medical Sciences, University of Liverpool, Liverpool, United Kingdom.</w:t>
      </w:r>
    </w:p>
    <w:p w14:paraId="35CA5B06" w14:textId="6AC0240B" w:rsidR="00A41BED" w:rsidRPr="00A41BED" w:rsidRDefault="00A41BED" w:rsidP="00A41BED">
      <w:pPr>
        <w:spacing w:after="0"/>
        <w:rPr>
          <w:rFonts w:cs="Times New Roman"/>
          <w:szCs w:val="24"/>
        </w:rPr>
      </w:pPr>
      <w:r w:rsidRPr="00A41BED">
        <w:rPr>
          <w:rFonts w:cs="Times New Roman"/>
          <w:szCs w:val="24"/>
          <w:vertAlign w:val="superscript"/>
        </w:rPr>
        <w:t>5</w:t>
      </w:r>
      <w:r w:rsidRPr="00A41BED">
        <w:rPr>
          <w:rFonts w:cs="Times New Roman"/>
          <w:szCs w:val="24"/>
        </w:rPr>
        <w:t>Medical Research Council Versus Arthritis Centre for Integrated Research into Musculoskeletal Ageing (CIMA), University of Liverpool, Liverpool, United Kingdom.</w:t>
      </w:r>
    </w:p>
    <w:p w14:paraId="2F12BD69" w14:textId="202B2B16" w:rsidR="00A41BED" w:rsidRPr="00A41BED" w:rsidRDefault="00A41BED" w:rsidP="00A41BED">
      <w:pPr>
        <w:spacing w:after="0"/>
        <w:rPr>
          <w:rFonts w:cs="Times New Roman"/>
          <w:szCs w:val="24"/>
        </w:rPr>
      </w:pPr>
      <w:r w:rsidRPr="00A41BED">
        <w:rPr>
          <w:rFonts w:cs="Times New Roman"/>
          <w:szCs w:val="24"/>
          <w:vertAlign w:val="superscript"/>
        </w:rPr>
        <w:t>6</w:t>
      </w:r>
      <w:r w:rsidRPr="00A41BED">
        <w:rPr>
          <w:rFonts w:cs="Times New Roman"/>
          <w:szCs w:val="24"/>
        </w:rPr>
        <w:t xml:space="preserve">Beijing Advanced Innovation </w:t>
      </w:r>
      <w:proofErr w:type="spellStart"/>
      <w:r w:rsidRPr="00A41BED">
        <w:rPr>
          <w:rFonts w:cs="Times New Roman"/>
          <w:szCs w:val="24"/>
        </w:rPr>
        <w:t>Center</w:t>
      </w:r>
      <w:proofErr w:type="spellEnd"/>
      <w:r w:rsidRPr="00A41BED">
        <w:rPr>
          <w:rFonts w:cs="Times New Roman"/>
          <w:szCs w:val="24"/>
        </w:rPr>
        <w:t xml:space="preserve"> for Biomedical Engineering, </w:t>
      </w:r>
      <w:proofErr w:type="spellStart"/>
      <w:r w:rsidRPr="00A41BED">
        <w:rPr>
          <w:rFonts w:cs="Times New Roman"/>
          <w:szCs w:val="24"/>
        </w:rPr>
        <w:t>Beihang</w:t>
      </w:r>
      <w:proofErr w:type="spellEnd"/>
      <w:r w:rsidRPr="00A41BED">
        <w:rPr>
          <w:rFonts w:cs="Times New Roman"/>
          <w:szCs w:val="24"/>
        </w:rPr>
        <w:t xml:space="preserve"> University, Beijing, China.</w:t>
      </w:r>
    </w:p>
    <w:p w14:paraId="7CF942E0" w14:textId="4B9B6733" w:rsidR="00A41BED" w:rsidRPr="00A41BED" w:rsidRDefault="00A41BED" w:rsidP="00A41BED">
      <w:pPr>
        <w:spacing w:after="0"/>
        <w:rPr>
          <w:rFonts w:cs="Times New Roman"/>
          <w:szCs w:val="24"/>
        </w:rPr>
      </w:pPr>
      <w:r w:rsidRPr="00A41BED">
        <w:rPr>
          <w:rFonts w:cs="Times New Roman"/>
          <w:szCs w:val="24"/>
          <w:vertAlign w:val="superscript"/>
        </w:rPr>
        <w:t>7</w:t>
      </w:r>
      <w:r w:rsidRPr="00A41BED">
        <w:rPr>
          <w:rFonts w:cs="Times New Roman"/>
          <w:szCs w:val="24"/>
        </w:rPr>
        <w:t>NIHR Moorfields BRC, 2/12 Wolfson Building, UCL Institute of Ophthalmology, London, United Kingdom.</w:t>
      </w:r>
    </w:p>
    <w:p w14:paraId="55113FAE" w14:textId="652AF215" w:rsidR="00A41BED" w:rsidRDefault="00A41BED" w:rsidP="00A41BED">
      <w:pPr>
        <w:spacing w:after="0"/>
        <w:rPr>
          <w:rFonts w:cs="Times New Roman"/>
          <w:szCs w:val="24"/>
        </w:rPr>
      </w:pPr>
      <w:r w:rsidRPr="00A41BED">
        <w:rPr>
          <w:rFonts w:cs="Times New Roman"/>
          <w:szCs w:val="24"/>
          <w:vertAlign w:val="superscript"/>
        </w:rPr>
        <w:t>8</w:t>
      </w:r>
      <w:r w:rsidRPr="00A41BED">
        <w:rPr>
          <w:rFonts w:cs="Times New Roman"/>
          <w:szCs w:val="24"/>
        </w:rPr>
        <w:t>School of Veterinary Science, University of Liverpool, Neston, United Kingdom.</w:t>
      </w:r>
    </w:p>
    <w:p w14:paraId="28BC4AFD" w14:textId="77777777" w:rsidR="00A41BED" w:rsidRPr="00376CC5" w:rsidRDefault="00A41BED" w:rsidP="006B2D5B">
      <w:pPr>
        <w:spacing w:after="0"/>
        <w:rPr>
          <w:rFonts w:cs="Times New Roman"/>
          <w:b/>
          <w:szCs w:val="24"/>
        </w:rPr>
      </w:pPr>
    </w:p>
    <w:p w14:paraId="686F331D" w14:textId="393B23C4" w:rsidR="00B80348" w:rsidRDefault="002868E2" w:rsidP="00671D9A">
      <w:pPr>
        <w:spacing w:before="240" w:after="0"/>
        <w:rPr>
          <w:rFonts w:cs="Times New Roman"/>
          <w:szCs w:val="24"/>
        </w:rPr>
      </w:pPr>
      <w:r w:rsidRPr="00376CC5">
        <w:rPr>
          <w:rFonts w:cs="Times New Roman"/>
          <w:b/>
          <w:szCs w:val="24"/>
        </w:rPr>
        <w:t xml:space="preserve">* Correspondence: </w:t>
      </w:r>
      <w:r w:rsidR="00671D9A" w:rsidRPr="00376CC5">
        <w:rPr>
          <w:rFonts w:cs="Times New Roman"/>
          <w:b/>
          <w:szCs w:val="24"/>
        </w:rPr>
        <w:br/>
      </w:r>
      <w:r w:rsidRPr="00376CC5">
        <w:rPr>
          <w:rFonts w:cs="Times New Roman"/>
          <w:szCs w:val="24"/>
        </w:rPr>
        <w:t>Corresponding Author</w:t>
      </w:r>
      <w:r w:rsidR="00B80348">
        <w:rPr>
          <w:rFonts w:cs="Times New Roman"/>
          <w:szCs w:val="24"/>
        </w:rPr>
        <w:t>s</w:t>
      </w:r>
      <w:r w:rsidR="00671D9A" w:rsidRPr="00376CC5">
        <w:rPr>
          <w:rFonts w:cs="Times New Roman"/>
          <w:szCs w:val="24"/>
        </w:rPr>
        <w:br/>
      </w:r>
      <w:r w:rsidR="00B80348" w:rsidRPr="00B80348">
        <w:rPr>
          <w:rFonts w:cs="Times New Roman"/>
          <w:szCs w:val="24"/>
        </w:rPr>
        <w:t>Rosti Readioff</w:t>
      </w:r>
      <w:r w:rsidR="00B80348">
        <w:rPr>
          <w:rFonts w:cs="Times New Roman"/>
          <w:szCs w:val="24"/>
        </w:rPr>
        <w:t xml:space="preserve">: </w:t>
      </w:r>
      <w:hyperlink r:id="rId8" w:history="1">
        <w:r w:rsidR="00B80348" w:rsidRPr="00AA2206">
          <w:rPr>
            <w:rStyle w:val="Hyperlink"/>
            <w:rFonts w:ascii="Times" w:hAnsi="Times" w:cs="Times"/>
            <w:szCs w:val="24"/>
          </w:rPr>
          <w:t>r.readioff@leeds.ac.uk</w:t>
        </w:r>
      </w:hyperlink>
    </w:p>
    <w:p w14:paraId="55458F15" w14:textId="501BED4C" w:rsidR="002868E2" w:rsidRPr="00B80348" w:rsidRDefault="00B80348" w:rsidP="00B80348">
      <w:pPr>
        <w:spacing w:before="0" w:after="0"/>
        <w:rPr>
          <w:rFonts w:cs="Times New Roman"/>
          <w:szCs w:val="24"/>
        </w:rPr>
      </w:pPr>
      <w:r>
        <w:rPr>
          <w:rFonts w:cs="Times New Roman"/>
          <w:szCs w:val="24"/>
        </w:rPr>
        <w:t xml:space="preserve">Eithne Comerford: </w:t>
      </w:r>
      <w:hyperlink r:id="rId9" w:history="1">
        <w:r w:rsidRPr="00AA2206">
          <w:rPr>
            <w:rStyle w:val="Hyperlink"/>
            <w:rFonts w:ascii="Times" w:hAnsi="Times" w:cs="Times"/>
            <w:szCs w:val="24"/>
          </w:rPr>
          <w:t>Eithne.Comerford@liverpool.ac.uk</w:t>
        </w:r>
      </w:hyperlink>
    </w:p>
    <w:p w14:paraId="688EE9ED" w14:textId="750E0856" w:rsidR="00EA3D3C" w:rsidRPr="00376CC5" w:rsidRDefault="00817DD6" w:rsidP="00651CA2">
      <w:pPr>
        <w:pStyle w:val="AuthorList"/>
      </w:pPr>
      <w:r w:rsidRPr="00376CC5">
        <w:t xml:space="preserve">Keywords: </w:t>
      </w:r>
      <w:r w:rsidR="00B80348" w:rsidRPr="00B80348">
        <w:t>Knee joint</w:t>
      </w:r>
      <w:r w:rsidR="00B80348">
        <w:t>,</w:t>
      </w:r>
      <w:r w:rsidR="00B80348" w:rsidRPr="00B80348">
        <w:t xml:space="preserve"> </w:t>
      </w:r>
      <w:r w:rsidR="002E6E9E">
        <w:t xml:space="preserve">canine </w:t>
      </w:r>
      <w:r w:rsidR="00B80348">
        <w:t>cranial</w:t>
      </w:r>
      <w:r w:rsidR="00B80348" w:rsidRPr="00B80348">
        <w:t xml:space="preserve"> cruciate ligaments</w:t>
      </w:r>
      <w:r w:rsidR="00B80348">
        <w:t>,</w:t>
      </w:r>
      <w:r w:rsidR="00B80348" w:rsidRPr="00B80348">
        <w:t xml:space="preserve"> proteoglycans</w:t>
      </w:r>
      <w:r w:rsidR="00B80348">
        <w:t>,</w:t>
      </w:r>
      <w:r w:rsidR="00B80348" w:rsidRPr="00B80348">
        <w:t xml:space="preserve"> glycosaminoglycans</w:t>
      </w:r>
      <w:r w:rsidR="00B80348">
        <w:t>,</w:t>
      </w:r>
      <w:r w:rsidR="00B80348" w:rsidRPr="00B80348">
        <w:t xml:space="preserve"> viscoelasticity</w:t>
      </w:r>
      <w:r w:rsidR="00B80348">
        <w:t>, creep, stress relaxation.</w:t>
      </w:r>
    </w:p>
    <w:p w14:paraId="17B18C08" w14:textId="77777777" w:rsidR="002975D2" w:rsidRDefault="002975D2" w:rsidP="00147395">
      <w:pPr>
        <w:pStyle w:val="AuthorList"/>
      </w:pPr>
    </w:p>
    <w:p w14:paraId="2A752E44" w14:textId="1173C913" w:rsidR="002975D2" w:rsidRPr="002975D2" w:rsidRDefault="002975D2" w:rsidP="002975D2">
      <w:pPr>
        <w:spacing w:before="240" w:after="0"/>
        <w:rPr>
          <w:rFonts w:cs="Times New Roman"/>
          <w:szCs w:val="24"/>
        </w:rPr>
      </w:pPr>
      <w:r w:rsidRPr="002975D2">
        <w:rPr>
          <w:rFonts w:cs="Times New Roman"/>
          <w:szCs w:val="24"/>
        </w:rPr>
        <w:t>Number of words:</w:t>
      </w:r>
      <w:r w:rsidR="00F72AA0">
        <w:rPr>
          <w:rFonts w:cs="Times New Roman"/>
          <w:szCs w:val="24"/>
        </w:rPr>
        <w:t xml:space="preserve"> </w:t>
      </w:r>
      <w:r w:rsidR="009D404C">
        <w:rPr>
          <w:rFonts w:cs="Times New Roman"/>
          <w:szCs w:val="24"/>
        </w:rPr>
        <w:t xml:space="preserve">~ </w:t>
      </w:r>
      <w:r w:rsidR="00C97367">
        <w:rPr>
          <w:rFonts w:cs="Times New Roman"/>
          <w:szCs w:val="24"/>
        </w:rPr>
        <w:t xml:space="preserve">4694 </w:t>
      </w:r>
    </w:p>
    <w:p w14:paraId="6C7CBF31" w14:textId="5A34955A" w:rsidR="002975D2" w:rsidRPr="002975D2" w:rsidRDefault="002975D2" w:rsidP="002975D2">
      <w:pPr>
        <w:spacing w:before="240" w:after="0"/>
        <w:rPr>
          <w:rFonts w:cs="Times New Roman"/>
          <w:szCs w:val="24"/>
        </w:rPr>
      </w:pPr>
      <w:r w:rsidRPr="002975D2">
        <w:rPr>
          <w:rFonts w:cs="Times New Roman"/>
          <w:szCs w:val="24"/>
        </w:rPr>
        <w:t xml:space="preserve">Number of </w:t>
      </w:r>
      <w:r w:rsidR="00F139BA">
        <w:rPr>
          <w:rFonts w:cs="Times New Roman"/>
          <w:szCs w:val="24"/>
        </w:rPr>
        <w:t>F</w:t>
      </w:r>
      <w:r w:rsidRPr="002975D2">
        <w:rPr>
          <w:rFonts w:cs="Times New Roman"/>
          <w:szCs w:val="24"/>
        </w:rPr>
        <w:t>igures:</w:t>
      </w:r>
      <w:r w:rsidR="00F72AA0">
        <w:rPr>
          <w:rFonts w:cs="Times New Roman"/>
          <w:szCs w:val="24"/>
        </w:rPr>
        <w:t xml:space="preserve"> six</w:t>
      </w:r>
    </w:p>
    <w:p w14:paraId="3BB4E810" w14:textId="2E5285D9" w:rsidR="002975D2" w:rsidRPr="002975D2" w:rsidRDefault="002975D2" w:rsidP="002975D2">
      <w:pPr>
        <w:spacing w:before="240" w:after="0"/>
        <w:rPr>
          <w:rFonts w:cs="Times New Roman"/>
          <w:szCs w:val="24"/>
        </w:rPr>
      </w:pPr>
      <w:r w:rsidRPr="002975D2">
        <w:rPr>
          <w:rFonts w:cs="Times New Roman"/>
          <w:szCs w:val="24"/>
        </w:rPr>
        <w:t xml:space="preserve">Number of </w:t>
      </w:r>
      <w:r w:rsidR="00F139BA">
        <w:rPr>
          <w:rFonts w:cs="Times New Roman"/>
          <w:szCs w:val="24"/>
        </w:rPr>
        <w:t>T</w:t>
      </w:r>
      <w:r w:rsidRPr="002975D2">
        <w:rPr>
          <w:rFonts w:cs="Times New Roman"/>
          <w:szCs w:val="24"/>
        </w:rPr>
        <w:t>ables:</w:t>
      </w:r>
      <w:r w:rsidR="00F72AA0">
        <w:rPr>
          <w:rFonts w:cs="Times New Roman"/>
          <w:szCs w:val="24"/>
        </w:rPr>
        <w:t xml:space="preserve"> two</w:t>
      </w:r>
    </w:p>
    <w:p w14:paraId="569A7293" w14:textId="4EB7B931" w:rsidR="002975D2" w:rsidRDefault="002975D2" w:rsidP="00147395">
      <w:pPr>
        <w:pStyle w:val="AuthorList"/>
      </w:pPr>
      <w:r>
        <w:br w:type="page"/>
      </w:r>
    </w:p>
    <w:p w14:paraId="4DB10602" w14:textId="0F9860BA" w:rsidR="008E2B54" w:rsidRPr="00B95674" w:rsidRDefault="00EA3D3C" w:rsidP="00147395">
      <w:pPr>
        <w:pStyle w:val="AuthorList"/>
        <w:rPr>
          <w:bCs/>
        </w:rPr>
      </w:pPr>
      <w:r w:rsidRPr="00B95674">
        <w:rPr>
          <w:bCs/>
        </w:rPr>
        <w:lastRenderedPageBreak/>
        <w:t>Abstract</w:t>
      </w:r>
    </w:p>
    <w:p w14:paraId="57E236CB" w14:textId="2C1CA46E" w:rsidR="00E27670" w:rsidRPr="00E27670" w:rsidRDefault="00F776E5" w:rsidP="00E27670">
      <w:pPr>
        <w:rPr>
          <w:szCs w:val="24"/>
        </w:rPr>
      </w:pPr>
      <w:r w:rsidRPr="00F776E5">
        <w:rPr>
          <w:szCs w:val="24"/>
        </w:rPr>
        <w:t>Proteoglycans (PGs) are minor extracellular matrix proteins</w:t>
      </w:r>
      <w:r w:rsidR="003D3E52">
        <w:rPr>
          <w:szCs w:val="24"/>
        </w:rPr>
        <w:t>,</w:t>
      </w:r>
      <w:r>
        <w:rPr>
          <w:szCs w:val="24"/>
        </w:rPr>
        <w:t xml:space="preserve"> and their</w:t>
      </w:r>
      <w:r w:rsidRPr="00F776E5">
        <w:rPr>
          <w:szCs w:val="24"/>
        </w:rPr>
        <w:t xml:space="preserve"> contribution</w:t>
      </w:r>
      <w:r>
        <w:rPr>
          <w:szCs w:val="24"/>
        </w:rPr>
        <w:t>s</w:t>
      </w:r>
      <w:r w:rsidRPr="00F776E5">
        <w:rPr>
          <w:szCs w:val="24"/>
        </w:rPr>
        <w:t xml:space="preserve"> to the mechanobiology of complex ligaments such as the </w:t>
      </w:r>
      <w:r>
        <w:rPr>
          <w:szCs w:val="24"/>
        </w:rPr>
        <w:t>cranial</w:t>
      </w:r>
      <w:r w:rsidRPr="00F776E5">
        <w:rPr>
          <w:szCs w:val="24"/>
        </w:rPr>
        <w:t xml:space="preserve"> cruciate ligament (</w:t>
      </w:r>
      <w:r>
        <w:rPr>
          <w:szCs w:val="24"/>
        </w:rPr>
        <w:t>CCL</w:t>
      </w:r>
      <w:r w:rsidRPr="00F776E5">
        <w:rPr>
          <w:szCs w:val="24"/>
        </w:rPr>
        <w:t>) ha</w:t>
      </w:r>
      <w:r w:rsidR="003D3E52">
        <w:rPr>
          <w:szCs w:val="24"/>
        </w:rPr>
        <w:t>ve</w:t>
      </w:r>
      <w:r w:rsidRPr="00F776E5">
        <w:rPr>
          <w:szCs w:val="24"/>
        </w:rPr>
        <w:t xml:space="preserve"> not been determined to date. </w:t>
      </w:r>
      <w:r>
        <w:rPr>
          <w:szCs w:val="24"/>
        </w:rPr>
        <w:t xml:space="preserve">The CCLs are </w:t>
      </w:r>
      <w:r w:rsidRPr="00E27670">
        <w:rPr>
          <w:szCs w:val="24"/>
        </w:rPr>
        <w:t>highly susceptible to injuries</w:t>
      </w:r>
      <w:r w:rsidR="003D3E52">
        <w:rPr>
          <w:szCs w:val="24"/>
        </w:rPr>
        <w:t xml:space="preserve">, and their extracellular matrix </w:t>
      </w:r>
      <w:r w:rsidR="005B5FEE">
        <w:rPr>
          <w:szCs w:val="24"/>
        </w:rPr>
        <w:t>comprises</w:t>
      </w:r>
      <w:r w:rsidR="003D3E52">
        <w:rPr>
          <w:szCs w:val="24"/>
        </w:rPr>
        <w:t xml:space="preserve"> higher PGs content than</w:t>
      </w:r>
      <w:r w:rsidRPr="00E27670">
        <w:rPr>
          <w:szCs w:val="24"/>
        </w:rPr>
        <w:t xml:space="preserve"> the </w:t>
      </w:r>
      <w:r w:rsidR="00056FCA">
        <w:rPr>
          <w:szCs w:val="24"/>
        </w:rPr>
        <w:t>other major knee</w:t>
      </w:r>
      <w:r w:rsidRPr="00E27670">
        <w:rPr>
          <w:szCs w:val="24"/>
        </w:rPr>
        <w:t xml:space="preserve"> ligaments</w:t>
      </w:r>
      <w:r w:rsidR="00056FCA">
        <w:rPr>
          <w:szCs w:val="24"/>
        </w:rPr>
        <w:t>. Hence</w:t>
      </w:r>
      <w:r w:rsidR="003D3E52">
        <w:rPr>
          <w:szCs w:val="24"/>
        </w:rPr>
        <w:t xml:space="preserve"> these characteristics </w:t>
      </w:r>
      <w:r w:rsidR="00056FCA">
        <w:rPr>
          <w:szCs w:val="24"/>
        </w:rPr>
        <w:t>mak</w:t>
      </w:r>
      <w:r w:rsidR="005B5FEE">
        <w:rPr>
          <w:szCs w:val="24"/>
        </w:rPr>
        <w:t>e</w:t>
      </w:r>
      <w:r w:rsidR="00056FCA">
        <w:rPr>
          <w:szCs w:val="24"/>
        </w:rPr>
        <w:t xml:space="preserve"> </w:t>
      </w:r>
      <w:r w:rsidR="00216686">
        <w:rPr>
          <w:szCs w:val="24"/>
        </w:rPr>
        <w:t>CCLs</w:t>
      </w:r>
      <w:r w:rsidR="00056FCA">
        <w:rPr>
          <w:szCs w:val="24"/>
        </w:rPr>
        <w:t xml:space="preserve"> an ideal specimen to use as a model</w:t>
      </w:r>
      <w:r w:rsidR="00216686">
        <w:rPr>
          <w:szCs w:val="24"/>
        </w:rPr>
        <w:t xml:space="preserve"> in this study.</w:t>
      </w:r>
      <w:r w:rsidR="0038424A" w:rsidRPr="0038424A">
        <w:rPr>
          <w:szCs w:val="24"/>
        </w:rPr>
        <w:t xml:space="preserve"> </w:t>
      </w:r>
      <w:r w:rsidR="0038424A" w:rsidRPr="00F776E5">
        <w:rPr>
          <w:szCs w:val="24"/>
        </w:rPr>
        <w:t>Th</w:t>
      </w:r>
      <w:r w:rsidR="003D3E52">
        <w:rPr>
          <w:szCs w:val="24"/>
        </w:rPr>
        <w:t xml:space="preserve">is study </w:t>
      </w:r>
      <w:r w:rsidR="0038424A" w:rsidRPr="00F776E5">
        <w:rPr>
          <w:szCs w:val="24"/>
        </w:rPr>
        <w:t>address</w:t>
      </w:r>
      <w:r w:rsidR="0069562D">
        <w:rPr>
          <w:szCs w:val="24"/>
        </w:rPr>
        <w:t>ed</w:t>
      </w:r>
      <w:r w:rsidR="0038424A" w:rsidRPr="00F776E5">
        <w:rPr>
          <w:szCs w:val="24"/>
        </w:rPr>
        <w:t xml:space="preserve"> the hypothesis that PGs play a vital role in </w:t>
      </w:r>
      <w:r w:rsidR="0038424A">
        <w:rPr>
          <w:szCs w:val="24"/>
        </w:rPr>
        <w:t>CCL</w:t>
      </w:r>
      <w:r w:rsidR="0038424A" w:rsidRPr="00F776E5">
        <w:rPr>
          <w:szCs w:val="24"/>
        </w:rPr>
        <w:t xml:space="preserve"> mechanobiology by determining the biomechanical behaviour at low strain rates </w:t>
      </w:r>
      <w:r w:rsidR="00306979">
        <w:rPr>
          <w:szCs w:val="24"/>
        </w:rPr>
        <w:t>before</w:t>
      </w:r>
      <w:r w:rsidR="0038424A" w:rsidRPr="00F776E5">
        <w:rPr>
          <w:szCs w:val="24"/>
        </w:rPr>
        <w:t xml:space="preserve"> and </w:t>
      </w:r>
      <w:r w:rsidR="00306979">
        <w:rPr>
          <w:szCs w:val="24"/>
        </w:rPr>
        <w:t xml:space="preserve">after altering </w:t>
      </w:r>
      <w:r w:rsidR="0038424A" w:rsidRPr="00F776E5">
        <w:rPr>
          <w:szCs w:val="24"/>
        </w:rPr>
        <w:t>PGs</w:t>
      </w:r>
      <w:r w:rsidR="00306979">
        <w:rPr>
          <w:szCs w:val="24"/>
        </w:rPr>
        <w:t xml:space="preserve"> content</w:t>
      </w:r>
      <w:r w:rsidR="0038424A">
        <w:rPr>
          <w:szCs w:val="24"/>
        </w:rPr>
        <w:t xml:space="preserve">. </w:t>
      </w:r>
      <w:r w:rsidR="003D3E52">
        <w:rPr>
          <w:szCs w:val="24"/>
        </w:rPr>
        <w:t>For the first time, this</w:t>
      </w:r>
      <w:r w:rsidR="00E27670" w:rsidRPr="00E27670">
        <w:rPr>
          <w:szCs w:val="24"/>
        </w:rPr>
        <w:t xml:space="preserve"> study </w:t>
      </w:r>
      <w:r w:rsidR="0038424A">
        <w:rPr>
          <w:szCs w:val="24"/>
        </w:rPr>
        <w:t>qualitatively</w:t>
      </w:r>
      <w:r w:rsidR="00E27670" w:rsidRPr="00E27670">
        <w:rPr>
          <w:szCs w:val="24"/>
        </w:rPr>
        <w:t xml:space="preserve"> investigate</w:t>
      </w:r>
      <w:r w:rsidR="003D3E52">
        <w:rPr>
          <w:szCs w:val="24"/>
        </w:rPr>
        <w:t>d</w:t>
      </w:r>
      <w:r w:rsidR="00E27670" w:rsidRPr="00E27670">
        <w:rPr>
          <w:szCs w:val="24"/>
        </w:rPr>
        <w:t xml:space="preserve"> the contribution of PGs to key viscoelastic characteristics</w:t>
      </w:r>
      <w:r w:rsidR="00306979">
        <w:rPr>
          <w:szCs w:val="24"/>
        </w:rPr>
        <w:t xml:space="preserve">, including </w:t>
      </w:r>
      <w:r w:rsidR="00E27670" w:rsidRPr="00E27670">
        <w:rPr>
          <w:szCs w:val="24"/>
        </w:rPr>
        <w:t>strain</w:t>
      </w:r>
      <w:r w:rsidR="0038424A">
        <w:rPr>
          <w:szCs w:val="24"/>
        </w:rPr>
        <w:t xml:space="preserve"> </w:t>
      </w:r>
      <w:r w:rsidR="00E27670" w:rsidRPr="00E27670">
        <w:rPr>
          <w:szCs w:val="24"/>
        </w:rPr>
        <w:t>rate dependency, hysteresis, creep and stress</w:t>
      </w:r>
      <w:r w:rsidR="006B6474">
        <w:rPr>
          <w:szCs w:val="24"/>
        </w:rPr>
        <w:t xml:space="preserve"> </w:t>
      </w:r>
      <w:r w:rsidR="00E27670" w:rsidRPr="00E27670">
        <w:rPr>
          <w:szCs w:val="24"/>
        </w:rPr>
        <w:t>relaxation</w:t>
      </w:r>
      <w:r w:rsidR="00306979">
        <w:rPr>
          <w:szCs w:val="24"/>
        </w:rPr>
        <w:t xml:space="preserve">, </w:t>
      </w:r>
      <w:r w:rsidR="00E27670" w:rsidRPr="00E27670">
        <w:rPr>
          <w:szCs w:val="24"/>
        </w:rPr>
        <w:t xml:space="preserve">in </w:t>
      </w:r>
      <w:r w:rsidR="006B6474">
        <w:rPr>
          <w:szCs w:val="24"/>
        </w:rPr>
        <w:t>canine</w:t>
      </w:r>
      <w:r w:rsidR="00E27670" w:rsidRPr="00E27670">
        <w:rPr>
          <w:szCs w:val="24"/>
        </w:rPr>
        <w:t xml:space="preserve"> </w:t>
      </w:r>
      <w:r w:rsidR="006B6474">
        <w:rPr>
          <w:szCs w:val="24"/>
        </w:rPr>
        <w:t>CCLs</w:t>
      </w:r>
      <w:r w:rsidR="00E27670" w:rsidRPr="00E27670">
        <w:rPr>
          <w:szCs w:val="24"/>
        </w:rPr>
        <w:t xml:space="preserve">. </w:t>
      </w:r>
    </w:p>
    <w:p w14:paraId="1C5CE2C3" w14:textId="51521DC0" w:rsidR="00E27670" w:rsidRPr="00E27670" w:rsidRDefault="00E27670" w:rsidP="00E27670">
      <w:pPr>
        <w:rPr>
          <w:szCs w:val="24"/>
        </w:rPr>
      </w:pPr>
      <w:r w:rsidRPr="00E27670">
        <w:rPr>
          <w:szCs w:val="24"/>
        </w:rPr>
        <w:t>Femur-</w:t>
      </w:r>
      <w:r w:rsidR="005C411A">
        <w:rPr>
          <w:szCs w:val="24"/>
        </w:rPr>
        <w:t>CCL</w:t>
      </w:r>
      <w:r w:rsidRPr="00E27670">
        <w:rPr>
          <w:szCs w:val="24"/>
        </w:rPr>
        <w:t xml:space="preserve">-tibia </w:t>
      </w:r>
      <w:r w:rsidR="006B6474">
        <w:rPr>
          <w:szCs w:val="24"/>
        </w:rPr>
        <w:t>specimens</w:t>
      </w:r>
      <w:r w:rsidRPr="00E27670">
        <w:rPr>
          <w:szCs w:val="24"/>
        </w:rPr>
        <w:t xml:space="preserve"> (n=6 pairs) were harvested from canine knee joints and categorised into </w:t>
      </w:r>
      <w:r w:rsidR="00FE5D23">
        <w:rPr>
          <w:szCs w:val="24"/>
        </w:rPr>
        <w:t xml:space="preserve">a </w:t>
      </w:r>
      <w:r w:rsidRPr="00E27670">
        <w:rPr>
          <w:szCs w:val="24"/>
        </w:rPr>
        <w:t>control</w:t>
      </w:r>
      <w:r w:rsidR="00FE5D23">
        <w:rPr>
          <w:szCs w:val="24"/>
        </w:rPr>
        <w:t xml:space="preserve"> group</w:t>
      </w:r>
      <w:r w:rsidR="0069562D">
        <w:rPr>
          <w:szCs w:val="24"/>
        </w:rPr>
        <w:t>, where PGs were not depleted,</w:t>
      </w:r>
      <w:r w:rsidRPr="00E27670">
        <w:rPr>
          <w:szCs w:val="24"/>
        </w:rPr>
        <w:t xml:space="preserve"> and</w:t>
      </w:r>
      <w:r w:rsidR="00FE5D23">
        <w:rPr>
          <w:szCs w:val="24"/>
        </w:rPr>
        <w:t xml:space="preserve"> a</w:t>
      </w:r>
      <w:r w:rsidRPr="00E27670">
        <w:rPr>
          <w:szCs w:val="24"/>
        </w:rPr>
        <w:t xml:space="preserve"> </w:t>
      </w:r>
      <w:r w:rsidR="003E0E6F">
        <w:rPr>
          <w:szCs w:val="24"/>
        </w:rPr>
        <w:t>treated</w:t>
      </w:r>
      <w:r w:rsidR="00FE5D23">
        <w:rPr>
          <w:szCs w:val="24"/>
        </w:rPr>
        <w:t xml:space="preserve"> group</w:t>
      </w:r>
      <w:r w:rsidR="0069562D">
        <w:rPr>
          <w:szCs w:val="24"/>
        </w:rPr>
        <w:t xml:space="preserve">, where PGs were </w:t>
      </w:r>
      <w:r w:rsidR="00306979">
        <w:rPr>
          <w:szCs w:val="24"/>
        </w:rPr>
        <w:t>depleted</w:t>
      </w:r>
      <w:r w:rsidR="0069562D">
        <w:rPr>
          <w:szCs w:val="24"/>
        </w:rPr>
        <w:t>.</w:t>
      </w:r>
      <w:r w:rsidRPr="00E27670">
        <w:rPr>
          <w:szCs w:val="24"/>
        </w:rPr>
        <w:t xml:space="preserve"> Specimens were preconditioned and cyclically loaded to 9.9 N at 0.1, 1 and 10%/min strain</w:t>
      </w:r>
      <w:r w:rsidR="006B6474">
        <w:rPr>
          <w:szCs w:val="24"/>
        </w:rPr>
        <w:t xml:space="preserve"> </w:t>
      </w:r>
      <w:r w:rsidRPr="00E27670">
        <w:rPr>
          <w:szCs w:val="24"/>
        </w:rPr>
        <w:t>rates</w:t>
      </w:r>
      <w:r w:rsidR="003D3E52">
        <w:rPr>
          <w:szCs w:val="24"/>
        </w:rPr>
        <w:t>,</w:t>
      </w:r>
      <w:r w:rsidRPr="00E27670">
        <w:rPr>
          <w:szCs w:val="24"/>
        </w:rPr>
        <w:t xml:space="preserve"> followed by creep and stress</w:t>
      </w:r>
      <w:r w:rsidR="006B6474">
        <w:rPr>
          <w:szCs w:val="24"/>
        </w:rPr>
        <w:t xml:space="preserve"> </w:t>
      </w:r>
      <w:r w:rsidRPr="00E27670">
        <w:rPr>
          <w:szCs w:val="24"/>
        </w:rPr>
        <w:t xml:space="preserve">relaxation tests. Low tensile loads were applied </w:t>
      </w:r>
      <w:r w:rsidR="00EC088A">
        <w:rPr>
          <w:szCs w:val="24"/>
        </w:rPr>
        <w:t xml:space="preserve">to </w:t>
      </w:r>
      <w:r w:rsidR="00306979">
        <w:rPr>
          <w:szCs w:val="24"/>
        </w:rPr>
        <w:t>focus</w:t>
      </w:r>
      <w:r w:rsidRPr="00E27670">
        <w:rPr>
          <w:szCs w:val="24"/>
        </w:rPr>
        <w:t xml:space="preserve"> on the toe-region of the stress-strain curves where the non-collagenous extracellular matrix components take </w:t>
      </w:r>
      <w:r w:rsidR="006B6474">
        <w:rPr>
          <w:szCs w:val="24"/>
        </w:rPr>
        <w:t xml:space="preserve">significant </w:t>
      </w:r>
      <w:r w:rsidRPr="00E27670">
        <w:rPr>
          <w:szCs w:val="24"/>
        </w:rPr>
        <w:t xml:space="preserve">effect. </w:t>
      </w:r>
      <w:r w:rsidR="00306979">
        <w:rPr>
          <w:szCs w:val="24"/>
        </w:rPr>
        <w:t>B</w:t>
      </w:r>
      <w:r w:rsidRPr="00E27670">
        <w:rPr>
          <w:szCs w:val="24"/>
        </w:rPr>
        <w:t xml:space="preserve">iochemical assays were performed on the </w:t>
      </w:r>
      <w:r w:rsidR="005C411A">
        <w:rPr>
          <w:szCs w:val="24"/>
        </w:rPr>
        <w:t>CCLs</w:t>
      </w:r>
      <w:r w:rsidRPr="00E27670">
        <w:rPr>
          <w:szCs w:val="24"/>
        </w:rPr>
        <w:t xml:space="preserve"> to determine PGs and water content. </w:t>
      </w:r>
    </w:p>
    <w:p w14:paraId="4248D5F6" w14:textId="11B1E633" w:rsidR="00051A26" w:rsidRDefault="00306979" w:rsidP="00E27670">
      <w:pPr>
        <w:rPr>
          <w:szCs w:val="24"/>
        </w:rPr>
      </w:pPr>
      <w:r>
        <w:rPr>
          <w:szCs w:val="24"/>
        </w:rPr>
        <w:t xml:space="preserve">The PG content was ~19% less in the treated </w:t>
      </w:r>
      <w:r w:rsidR="00EC088A">
        <w:rPr>
          <w:szCs w:val="24"/>
        </w:rPr>
        <w:t>group than i</w:t>
      </w:r>
      <w:r>
        <w:rPr>
          <w:szCs w:val="24"/>
        </w:rPr>
        <w:t xml:space="preserve">n the control group. </w:t>
      </w:r>
      <w:r w:rsidR="003D3E52">
        <w:rPr>
          <w:szCs w:val="24"/>
        </w:rPr>
        <w:t>The</w:t>
      </w:r>
      <w:r>
        <w:rPr>
          <w:szCs w:val="24"/>
        </w:rPr>
        <w:t xml:space="preserve"> qualitative study showed that t</w:t>
      </w:r>
      <w:r w:rsidR="00576871">
        <w:rPr>
          <w:szCs w:val="24"/>
        </w:rPr>
        <w:t>he</w:t>
      </w:r>
      <w:r w:rsidR="00986142">
        <w:rPr>
          <w:szCs w:val="24"/>
        </w:rPr>
        <w:t xml:space="preserve"> stress-strain curves </w:t>
      </w:r>
      <w:r w:rsidR="00482204">
        <w:rPr>
          <w:szCs w:val="24"/>
        </w:rPr>
        <w:t xml:space="preserve">in </w:t>
      </w:r>
      <w:r w:rsidR="003D3E52">
        <w:rPr>
          <w:szCs w:val="24"/>
        </w:rPr>
        <w:t xml:space="preserve">the </w:t>
      </w:r>
      <w:r w:rsidR="00576871">
        <w:rPr>
          <w:szCs w:val="24"/>
        </w:rPr>
        <w:t xml:space="preserve">treated </w:t>
      </w:r>
      <w:r w:rsidR="003D3E52">
        <w:rPr>
          <w:szCs w:val="24"/>
        </w:rPr>
        <w:t xml:space="preserve">group </w:t>
      </w:r>
      <w:r>
        <w:rPr>
          <w:szCs w:val="24"/>
        </w:rPr>
        <w:t>were</w:t>
      </w:r>
      <w:r w:rsidR="00576871">
        <w:rPr>
          <w:szCs w:val="24"/>
        </w:rPr>
        <w:t xml:space="preserve"> strain rate dependent</w:t>
      </w:r>
      <w:r w:rsidR="003D3E52">
        <w:rPr>
          <w:szCs w:val="24"/>
        </w:rPr>
        <w:t xml:space="preserve">, </w:t>
      </w:r>
      <w:proofErr w:type="gramStart"/>
      <w:r w:rsidR="003D3E52">
        <w:rPr>
          <w:szCs w:val="24"/>
        </w:rPr>
        <w:t>similar to</w:t>
      </w:r>
      <w:proofErr w:type="gramEnd"/>
      <w:r w:rsidR="00482204">
        <w:rPr>
          <w:szCs w:val="24"/>
        </w:rPr>
        <w:t xml:space="preserve"> </w:t>
      </w:r>
      <w:r w:rsidR="003D3E52">
        <w:rPr>
          <w:szCs w:val="24"/>
        </w:rPr>
        <w:t xml:space="preserve">the control group. </w:t>
      </w:r>
      <w:r w:rsidR="00482204">
        <w:rPr>
          <w:szCs w:val="24"/>
        </w:rPr>
        <w:t xml:space="preserve">The CCLs in the </w:t>
      </w:r>
      <w:r w:rsidR="003D3E52">
        <w:rPr>
          <w:szCs w:val="24"/>
        </w:rPr>
        <w:t xml:space="preserve">treated </w:t>
      </w:r>
      <w:r w:rsidR="00482204">
        <w:rPr>
          <w:szCs w:val="24"/>
        </w:rPr>
        <w:t xml:space="preserve">group </w:t>
      </w:r>
      <w:r w:rsidR="006B67D4">
        <w:rPr>
          <w:szCs w:val="24"/>
        </w:rPr>
        <w:t>showed</w:t>
      </w:r>
      <w:r w:rsidR="00576871">
        <w:rPr>
          <w:szCs w:val="24"/>
        </w:rPr>
        <w:t xml:space="preserve"> stiffer </w:t>
      </w:r>
      <w:r w:rsidR="006B67D4">
        <w:rPr>
          <w:szCs w:val="24"/>
        </w:rPr>
        <w:t xml:space="preserve">characteristics </w:t>
      </w:r>
      <w:r w:rsidR="00576871">
        <w:rPr>
          <w:szCs w:val="24"/>
        </w:rPr>
        <w:t>than</w:t>
      </w:r>
      <w:r w:rsidR="006B67D4">
        <w:rPr>
          <w:szCs w:val="24"/>
        </w:rPr>
        <w:t xml:space="preserve"> </w:t>
      </w:r>
      <w:r w:rsidR="00986142">
        <w:rPr>
          <w:szCs w:val="24"/>
        </w:rPr>
        <w:t xml:space="preserve">the control </w:t>
      </w:r>
      <w:r w:rsidR="003D3E52">
        <w:rPr>
          <w:szCs w:val="24"/>
        </w:rPr>
        <w:t>group</w:t>
      </w:r>
      <w:r w:rsidR="00986142">
        <w:rPr>
          <w:szCs w:val="24"/>
        </w:rPr>
        <w:t>.</w:t>
      </w:r>
      <w:r w:rsidR="00051A26">
        <w:rPr>
          <w:szCs w:val="24"/>
        </w:rPr>
        <w:t xml:space="preserve"> Hysteresis, creep </w:t>
      </w:r>
      <w:r w:rsidR="006B67D4">
        <w:rPr>
          <w:szCs w:val="24"/>
        </w:rPr>
        <w:t>characteristics (creep strain, creep rate and creep compliance)</w:t>
      </w:r>
      <w:r w:rsidR="00FE5D23">
        <w:rPr>
          <w:szCs w:val="24"/>
        </w:rPr>
        <w:t>,</w:t>
      </w:r>
      <w:r w:rsidR="00051A26">
        <w:rPr>
          <w:szCs w:val="24"/>
        </w:rPr>
        <w:t xml:space="preserve"> and stress relaxation</w:t>
      </w:r>
      <w:r w:rsidR="00FE5D23">
        <w:rPr>
          <w:szCs w:val="24"/>
        </w:rPr>
        <w:t xml:space="preserve"> values</w:t>
      </w:r>
      <w:r w:rsidR="00051A26">
        <w:rPr>
          <w:szCs w:val="24"/>
        </w:rPr>
        <w:t xml:space="preserve"> </w:t>
      </w:r>
      <w:r w:rsidR="00D25413">
        <w:rPr>
          <w:szCs w:val="24"/>
        </w:rPr>
        <w:t>were</w:t>
      </w:r>
      <w:r w:rsidR="00051A26">
        <w:rPr>
          <w:szCs w:val="24"/>
        </w:rPr>
        <w:t xml:space="preserve"> reduced in the treated group compared to the control group. </w:t>
      </w:r>
    </w:p>
    <w:p w14:paraId="36119432" w14:textId="6911C7B0" w:rsidR="00F72AA0" w:rsidRDefault="00FE5D23" w:rsidP="00E27670">
      <w:pPr>
        <w:rPr>
          <w:szCs w:val="24"/>
        </w:rPr>
      </w:pPr>
      <w:r>
        <w:rPr>
          <w:szCs w:val="24"/>
        </w:rPr>
        <w:t>This</w:t>
      </w:r>
      <w:r w:rsidR="00051A26" w:rsidRPr="00E27670">
        <w:rPr>
          <w:szCs w:val="24"/>
        </w:rPr>
        <w:t xml:space="preserve"> study </w:t>
      </w:r>
      <w:r w:rsidR="006B67D4">
        <w:rPr>
          <w:szCs w:val="24"/>
        </w:rPr>
        <w:t>suggests</w:t>
      </w:r>
      <w:r w:rsidR="00051A26" w:rsidRPr="00E27670">
        <w:rPr>
          <w:szCs w:val="24"/>
        </w:rPr>
        <w:t xml:space="preserve"> that altering PGs content </w:t>
      </w:r>
      <w:r w:rsidR="006B67D4">
        <w:rPr>
          <w:szCs w:val="24"/>
        </w:rPr>
        <w:t xml:space="preserve">changes the microstructural organisation of the CCLs, including water molecule contents which </w:t>
      </w:r>
      <w:r w:rsidR="00F72AA0">
        <w:rPr>
          <w:szCs w:val="24"/>
        </w:rPr>
        <w:t>can</w:t>
      </w:r>
      <w:r w:rsidR="00051A26" w:rsidRPr="00E27670">
        <w:rPr>
          <w:szCs w:val="24"/>
        </w:rPr>
        <w:t xml:space="preserve"> lead to changes in </w:t>
      </w:r>
      <w:r w:rsidR="00051A26">
        <w:rPr>
          <w:szCs w:val="24"/>
        </w:rPr>
        <w:t>CCL</w:t>
      </w:r>
      <w:r w:rsidR="00051A26" w:rsidRPr="00E27670">
        <w:rPr>
          <w:szCs w:val="24"/>
        </w:rPr>
        <w:t xml:space="preserve"> viscoelasticity</w:t>
      </w:r>
      <w:r w:rsidR="006B67D4">
        <w:rPr>
          <w:szCs w:val="24"/>
        </w:rPr>
        <w:t xml:space="preserve">. The change in mechanical properties of </w:t>
      </w:r>
      <w:r w:rsidR="006B6B77">
        <w:rPr>
          <w:szCs w:val="24"/>
        </w:rPr>
        <w:t xml:space="preserve">the CCLs </w:t>
      </w:r>
      <w:r w:rsidR="00051A26" w:rsidRPr="00E27670">
        <w:rPr>
          <w:szCs w:val="24"/>
        </w:rPr>
        <w:t>may predispose to injury and lead to knee joint osteoarthritis.</w:t>
      </w:r>
      <w:r w:rsidR="00051A26">
        <w:rPr>
          <w:szCs w:val="24"/>
        </w:rPr>
        <w:t xml:space="preserve"> Future stud</w:t>
      </w:r>
      <w:r w:rsidR="003D3E52">
        <w:rPr>
          <w:szCs w:val="24"/>
        </w:rPr>
        <w:t>ies</w:t>
      </w:r>
      <w:r w:rsidR="00051A26">
        <w:rPr>
          <w:szCs w:val="24"/>
        </w:rPr>
        <w:t xml:space="preserve"> should focus on quantita</w:t>
      </w:r>
      <w:r w:rsidR="003D3E52">
        <w:rPr>
          <w:szCs w:val="24"/>
        </w:rPr>
        <w:t>tively identifying the effect of PG on the mechanics of intact knee ligaments</w:t>
      </w:r>
      <w:r w:rsidR="006B6B77">
        <w:rPr>
          <w:szCs w:val="24"/>
        </w:rPr>
        <w:t xml:space="preserve"> across </w:t>
      </w:r>
      <w:r w:rsidR="005B5FEE">
        <w:rPr>
          <w:szCs w:val="24"/>
        </w:rPr>
        <w:t>broa</w:t>
      </w:r>
      <w:r w:rsidR="006B6B77">
        <w:rPr>
          <w:szCs w:val="24"/>
        </w:rPr>
        <w:t xml:space="preserve">der demography. </w:t>
      </w:r>
    </w:p>
    <w:p w14:paraId="638D5EAC" w14:textId="0350A9CC" w:rsidR="00E27670" w:rsidRDefault="00E27670" w:rsidP="00E27670">
      <w:pPr>
        <w:rPr>
          <w:szCs w:val="24"/>
        </w:rPr>
      </w:pPr>
      <w:r>
        <w:rPr>
          <w:szCs w:val="24"/>
        </w:rPr>
        <w:br w:type="page"/>
      </w:r>
    </w:p>
    <w:p w14:paraId="57F6A29A" w14:textId="77777777" w:rsidR="00EA3D3C" w:rsidRPr="00376CC5" w:rsidRDefault="00EA3D3C" w:rsidP="00D9503C">
      <w:pPr>
        <w:pStyle w:val="Heading1"/>
      </w:pPr>
      <w:r w:rsidRPr="00376CC5">
        <w:lastRenderedPageBreak/>
        <w:t>Introduction</w:t>
      </w:r>
    </w:p>
    <w:p w14:paraId="764396C5" w14:textId="26F7C911" w:rsidR="00E27670" w:rsidRPr="00E27670" w:rsidRDefault="00F139BA" w:rsidP="00E27670">
      <w:pPr>
        <w:rPr>
          <w:szCs w:val="24"/>
        </w:rPr>
      </w:pPr>
      <w:r>
        <w:rPr>
          <w:szCs w:val="24"/>
        </w:rPr>
        <w:t>L</w:t>
      </w:r>
      <w:r w:rsidR="00E27670" w:rsidRPr="00E27670">
        <w:rPr>
          <w:szCs w:val="24"/>
        </w:rPr>
        <w:t>igaments are essential to knee joint stability</w:t>
      </w:r>
      <w:r w:rsidR="00311380">
        <w:rPr>
          <w:szCs w:val="24"/>
        </w:rPr>
        <w:t>,</w:t>
      </w:r>
      <w:r w:rsidR="00E27670" w:rsidRPr="00E27670">
        <w:rPr>
          <w:szCs w:val="24"/>
        </w:rPr>
        <w:t xml:space="preserve"> defined by their material composition</w:t>
      </w:r>
      <w:r w:rsidR="00311380">
        <w:rPr>
          <w:szCs w:val="24"/>
        </w:rPr>
        <w:t>,</w:t>
      </w:r>
      <w:r w:rsidR="00E27670" w:rsidRPr="00E27670">
        <w:rPr>
          <w:szCs w:val="24"/>
        </w:rPr>
        <w:t xml:space="preserve"> </w:t>
      </w:r>
      <w:r w:rsidR="00FE5D23">
        <w:rPr>
          <w:szCs w:val="24"/>
        </w:rPr>
        <w:t>contributing</w:t>
      </w:r>
      <w:r w:rsidR="00E27670" w:rsidRPr="00E27670">
        <w:rPr>
          <w:szCs w:val="24"/>
        </w:rPr>
        <w:t xml:space="preserve"> to their complex mechanical characteristics </w:t>
      </w:r>
      <w:r w:rsidR="00E27670" w:rsidRPr="00E27670">
        <w:rPr>
          <w:szCs w:val="24"/>
        </w:rPr>
        <w:fldChar w:fldCharType="begin"/>
      </w:r>
      <w:r w:rsidR="0097525F">
        <w:rPr>
          <w:szCs w:val="24"/>
        </w:rPr>
        <w:instrText xml:space="preserve"> ADDIN ZOTERO_ITEM CSL_CITATION {"citationID":"6zxMohs5","properties":{"formattedCitation":"(Girgis et al., 1975; Butler et al., 1978a; Arnoczky, 1983; Frank, 2004)","plainCitation":"(Girgis et al., 1975; Butler et al., 1978a; Arnoczky, 1983; Frank, 2004)","noteIndex":0},"citationItems":[{"id":3046,"uris":["http://zotero.org/users/5692498/items/QGUL22JL"],"itemData":{"id":3046,"type":"article-journal","abstract":"Ligaments are specialized connective tissues with very interesting biomechanical properties. They have the ability to adapt to the complex functions that each are required to perform. While ligaments were once thought to be inert, they are in fact responsive to many local and systemic factors that influence their function within the organism. Injury to a ligament results in a drastic change in its structure and physiology and creates a situation where ligament function is restored by the formation of scar tissue that is biologically and biomechanically inferior to the tissue it replaces. This article will briefly review the basic structure, physiology and function of normal versus healing knee ligaments, referring specifically to what is known about two of the most extensively studied and clinically relevant knee ligaments, the anterior cruciate (ACL) and medial collateral (MCL) ligaments of the knee. Those readers wishing for more comprehensive sources of information on ligament biology and biomechanics are referred to many excellent reviews on these topics.","container-title":"Journal of Musculoskeletal &amp; Neuronal Interactions","ISSN":"1108-7161","issue":"2","journalAbbreviation":"J Musculoskelet Neuronal Interact","language":"eng","note":"PMID: 15615126","page":"199-201","source":"PubMed","title":"Ligament structure, physiology and function","volume":"4","author":[{"family":"Frank","given":"C. B."}],"issued":{"date-parts":[["2004",6]]}}},{"id":3094,"uris":["http://zotero.org/users/5692498/items/Y6QYK4JX"],"itemData":{"id":3094,"type":"article-journal","abstract":"The anatomical and functional details of the cruciate ligamants of the knee were studied on 20 cadaver knees and 24 fresh knees. Each anterior cruciate ligament was found to consist of 2 parts: a distinct anteromedial band (AMB) and a main posterolateral part. The exact geometry of the ligaments and their relationship to bony landmarks were recorded in detail. The state of the cruciate ligaments, i.e. tightness or looseness was recorded in the various positions of the knee as the basis for classification of the function of the various anatomical components. Selective cutting of the anterior cruciate ligament resulted in an increase of anterior drawer flexion and extension. External and internal rotation were increased in both flexion and extionsion. Hyperextension also was increased. It is suggested that the AMB of the anterior cruciate is responsible for the in anteroposterior drawer with flexion. The selective cutting of the posterior cruciate ligament demonstrated that it is important in the flexed knee and produces an.increased posterior drawer sign. Rotational stability was unchanged in extension, but altered in flexion after cutting the posterior cruciate.","container-title":"Clinical Orthopaedics and Related Research","DOI":"10.1097/00003086-197501000-00033","ISSN":"0009-921X","issue":"106","journalAbbreviation":"Clin Orthop Relat Res","language":"eng","note":"PMID: 1126079","page":"216-231","source":"PubMed","title":"The cruciate ligaments of the knee joint. Anatomical, functional and experimental analysis","author":[{"family":"Girgis","given":"F. G."},{"family":"Marshall","given":"J. L."},{"family":"Monajem","given":"A."}],"issued":{"date-parts":[["1975",2]]}}},{"id":3092,"uris":["http://zotero.org/users/5692498/items/VMCGSVXR"],"itemData":{"id":3092,"type":"article-journal","abstract":"The anterior cruciate ligament (ACL) is a multifascicular structure whose femoral and tibial attachments, as well as spatial orientation within the knee, are directly related to its function as a constraint of joint motion. The ACL is made up of multiple collagen bundles that give rise to the multifascicular nature of the ligament. This arrangement results in a different portion of the ligament being taut and therefore functional, throughout the range of motion. The ACL receives its blood supply from branches of the middle genicular artery, which from a vascular synovial envelope around the ligament. These periligamentous vessels penetrate the ligament transversely and anastomose with a longitudinal network of endoligamentous vessels. The body attachments do not contribute significantly to the vascularity of the ligament. The nerve supply to the ACL originates from the tibial nerve. Although the majority of fibers appear to have a vasomotor function, some fibers may serve a proprioceptive or sensory function.","container-title":"Clinical Orthopaedics and Related Research","ISSN":"0009-921X","issue":"172","journalAbbreviation":"Clin Orthop Relat Res","language":"eng","note":"PMID: 6821989","page":"19-25","source":"PubMed","title":"Anatomy of the anterior cruciate ligament","author":[{"family":"Arnoczky","given":"S. P."}],"issued":{"date-parts":[["1983",2]]}}},{"id":3098,"uris":["http://zotero.org/users/5692498/items/S8LDI97R"],"itemData":{"id":3098,"type":"article-journal","container-title":"Exercise and Sport Sciences Reviews","ISSN":"0091-6331","journalAbbreviation":"Exerc Sport Sci Rev","language":"eng","note":"PMID: 394967","page":"125-181","source":"PubMed","title":"Biomechanics of ligaments and tendons","volume":"6","author":[{"family":"Butler","given":"D. L."},{"family":"Grood","given":"E. S."},{"family":"Noyes","given":"F. R."},{"family":"Zernicke","given":"R. F."}],"issued":{"date-parts":[["1978"]]}}}],"schema":"https://github.com/citation-style-language/schema/raw/master/csl-citation.json"} </w:instrText>
      </w:r>
      <w:r w:rsidR="00E27670" w:rsidRPr="00E27670">
        <w:rPr>
          <w:szCs w:val="24"/>
        </w:rPr>
        <w:fldChar w:fldCharType="separate"/>
      </w:r>
      <w:r w:rsidR="0097525F" w:rsidRPr="0097525F">
        <w:rPr>
          <w:rFonts w:cs="Times New Roman"/>
        </w:rPr>
        <w:t>(Girgis et al., 1975; Butler et al., 1978a; Arnoczky, 1983; Frank, 2004)</w:t>
      </w:r>
      <w:r w:rsidR="00E27670" w:rsidRPr="00E27670">
        <w:rPr>
          <w:szCs w:val="24"/>
        </w:rPr>
        <w:fldChar w:fldCharType="end"/>
      </w:r>
      <w:r w:rsidR="00E27670" w:rsidRPr="00E27670">
        <w:rPr>
          <w:szCs w:val="24"/>
        </w:rPr>
        <w:t xml:space="preserve">. Knee ligaments are strong fibrous tissues consisting of cellular material and extracellular matrix (ECM) proteins such as collagen type I </w:t>
      </w:r>
      <w:r w:rsidR="00E27670" w:rsidRPr="00E27670">
        <w:rPr>
          <w:szCs w:val="24"/>
        </w:rPr>
        <w:fldChar w:fldCharType="begin"/>
      </w:r>
      <w:r w:rsidR="0097525F">
        <w:rPr>
          <w:szCs w:val="24"/>
        </w:rPr>
        <w:instrText xml:space="preserve"> ADDIN ZOTERO_ITEM CSL_CITATION {"citationID":"1MENWStY","properties":{"formattedCitation":"(Frank, 2004)","plainCitation":"(Frank, 2004)","noteIndex":0},"citationItems":[{"id":3046,"uris":["http://zotero.org/users/5692498/items/QGUL22JL"],"itemData":{"id":3046,"type":"article-journal","abstract":"Ligaments are specialized connective tissues with very interesting biomechanical properties. They have the ability to adapt to the complex functions that each are required to perform. While ligaments were once thought to be inert, they are in fact responsive to many local and systemic factors that influence their function within the organism. Injury to a ligament results in a drastic change in its structure and physiology and creates a situation where ligament function is restored by the formation of scar tissue that is biologically and biomechanically inferior to the tissue it replaces. This article will briefly review the basic structure, physiology and function of normal versus healing knee ligaments, referring specifically to what is known about two of the most extensively studied and clinically relevant knee ligaments, the anterior cruciate (ACL) and medial collateral (MCL) ligaments of the knee. Those readers wishing for more comprehensive sources of information on ligament biology and biomechanics are referred to many excellent reviews on these topics.","container-title":"Journal of Musculoskeletal &amp; Neuronal Interactions","ISSN":"1108-7161","issue":"2","journalAbbreviation":"J Musculoskelet Neuronal Interact","language":"eng","note":"PMID: 15615126","page":"199-201","source":"PubMed","title":"Ligament structure, physiology and function","volume":"4","author":[{"family":"Frank","given":"C. B."}],"issued":{"date-parts":[["2004",6]]}}}],"schema":"https://github.com/citation-style-language/schema/raw/master/csl-citation.json"} </w:instrText>
      </w:r>
      <w:r w:rsidR="00E27670" w:rsidRPr="00E27670">
        <w:rPr>
          <w:szCs w:val="24"/>
        </w:rPr>
        <w:fldChar w:fldCharType="separate"/>
      </w:r>
      <w:r w:rsidR="0097525F" w:rsidRPr="0097525F">
        <w:rPr>
          <w:rFonts w:cs="Times New Roman"/>
        </w:rPr>
        <w:t>(Frank, 2004)</w:t>
      </w:r>
      <w:r w:rsidR="00E27670" w:rsidRPr="00E27670">
        <w:rPr>
          <w:szCs w:val="24"/>
        </w:rPr>
        <w:fldChar w:fldCharType="end"/>
      </w:r>
      <w:r w:rsidR="00E27670" w:rsidRPr="00E27670">
        <w:rPr>
          <w:szCs w:val="24"/>
        </w:rPr>
        <w:t xml:space="preserve">. The viscoelastic properties of ligaments are thought to come from </w:t>
      </w:r>
      <w:r w:rsidR="00311380">
        <w:rPr>
          <w:szCs w:val="24"/>
        </w:rPr>
        <w:t xml:space="preserve">the </w:t>
      </w:r>
      <w:r w:rsidR="00E27670" w:rsidRPr="00E27670">
        <w:rPr>
          <w:szCs w:val="24"/>
        </w:rPr>
        <w:t xml:space="preserve">viscous and elastic properties of the collagen fibres </w:t>
      </w:r>
      <w:r w:rsidR="00E27670" w:rsidRPr="00E27670">
        <w:rPr>
          <w:szCs w:val="24"/>
        </w:rPr>
        <w:fldChar w:fldCharType="begin"/>
      </w:r>
      <w:r w:rsidR="0097525F">
        <w:rPr>
          <w:szCs w:val="24"/>
        </w:rPr>
        <w:instrText xml:space="preserve"> ADDIN ZOTERO_ITEM CSL_CITATION {"citationID":"fqHmx4ZJ","properties":{"formattedCitation":"(Puxkandl et al., 2002)","plainCitation":"(Puxkandl et al., 2002)","noteIndex":0},"citationItems":[{"id":3111,"uris":["http://zotero.org/users/5692498/items/3JA535JN"],"itemData":{"id":3111,"type":"article-journal","abstract":"Collagen type I is the most abundant structural protein in tendon, skin and bone, and largely determines the mechanical behaviour of these connective tissues. To obtain a better understanding of the relationship between structure and mechanical properties, tensile tests and synchrotron X-ray scattering have been carried out simultaneously, correlating the mechanical behaviour with changes in the microstructure. Because intermolecular cross-links are thought to have a great influence on the mechanical behaviour of collagen, we also carried out experiments using cross-link-deficient tail-tendon collagen from rats fed with beta-APN, in addition to normal controls. The load-elongation curve of tendon collagen has a characteristic shape with, initially, an increasing slope, corresponding to an increasing stiffness, followed by yielding and then fracture. Cross-link-deficient collagen produces a quite different curve with a marked plateau appearing in some cases, where the length of the tendon increases at constant stress. With the use of in situ X-ray diffraction, it was possible to measure simultaneously the elongation of the collagen fibrils inside the tendon and of the tendon as a whole. The overall strain of the tendon was always larger than the strain in the individual fibrils, which demonstrates that some deformation is taking place in the matrix between fibrils. Moreover, the ratio of fibril strain to tendon strain was dependent on the applied strain rate. When the speed of deformation was increased, this ratio increased in normal collagen but generally decreased in cross-link-deficient collagen, correlating to the appearance of a plateau in the force-elongation curve indicating creep. We proposed a simple structural model, which describes the tendon at a hierarchical level, where fibrils and interfibrillar matrix act as coupled viscoelastic systems. All qualitative features of the strain-rate dependence of both normal and cross-link-deficient collagen can be reproduced within this model. This complements earlier models that considered the next smallest level of hierarchy, describing the deformation of collagen fibrils in terms of changes in their molecular packing.","container-title":"Philosophical Transactions of the Royal Society B: Biological Sciences","DOI":"10.1098/rstb.2001.1033","ISSN":"0962-8436","issue":"1418","journalAbbreviation":"Philos Trans R Soc Lond B Biol Sci","note":"PMID: 11911776\nPMCID: PMC1692933","page":"191-197","source":"PubMed Central","title":"Viscoelastic properties of collagen: synchrotron radiation investigations and structural model.","title-short":"Viscoelastic properties of collagen","volume":"357","author":[{"family":"Puxkandl","given":"R"},{"family":"Zizak","given":"I"},{"family":"Paris","given":"O"},{"family":"Keckes","given":"J"},{"family":"Tesch","given":"W"},{"family":"Bernstorff","given":"S"},{"family":"Purslow","given":"P"},{"family":"Fratzl","given":"P"}],"issued":{"date-parts":[["2002",2,28]]}}}],"schema":"https://github.com/citation-style-language/schema/raw/master/csl-citation.json"} </w:instrText>
      </w:r>
      <w:r w:rsidR="00E27670" w:rsidRPr="00E27670">
        <w:rPr>
          <w:szCs w:val="24"/>
        </w:rPr>
        <w:fldChar w:fldCharType="separate"/>
      </w:r>
      <w:r w:rsidR="0097525F" w:rsidRPr="0097525F">
        <w:rPr>
          <w:rFonts w:cs="Times New Roman"/>
        </w:rPr>
        <w:t>(Puxkandl et al., 2002)</w:t>
      </w:r>
      <w:r w:rsidR="00E27670" w:rsidRPr="00E27670">
        <w:rPr>
          <w:szCs w:val="24"/>
        </w:rPr>
        <w:fldChar w:fldCharType="end"/>
      </w:r>
      <w:r>
        <w:rPr>
          <w:szCs w:val="24"/>
        </w:rPr>
        <w:t>,</w:t>
      </w:r>
      <w:r w:rsidR="00E27670" w:rsidRPr="00E27670">
        <w:rPr>
          <w:szCs w:val="24"/>
        </w:rPr>
        <w:t xml:space="preserve"> </w:t>
      </w:r>
      <w:r w:rsidR="00311380">
        <w:rPr>
          <w:szCs w:val="24"/>
        </w:rPr>
        <w:t xml:space="preserve">the </w:t>
      </w:r>
      <w:r w:rsidR="00E27670" w:rsidRPr="00E27670">
        <w:rPr>
          <w:szCs w:val="24"/>
        </w:rPr>
        <w:t xml:space="preserve">interaction of collagen fibres with other non-collagenous components in the ECM such as elastin and proteoglycans (PGs) </w:t>
      </w:r>
      <w:r w:rsidR="00E27670" w:rsidRPr="00E27670">
        <w:rPr>
          <w:szCs w:val="24"/>
        </w:rPr>
        <w:fldChar w:fldCharType="begin"/>
      </w:r>
      <w:r w:rsidR="008D4B27">
        <w:rPr>
          <w:szCs w:val="24"/>
        </w:rPr>
        <w:instrText xml:space="preserve"> ADDIN ZOTERO_ITEM CSL_CITATION {"citationID":"SvG2v04o","properties":{"formattedCitation":"(Frank, 2004; Henninger et al., 2010, 2013; Smith et al., 2011, 2014)","plainCitation":"(Frank, 2004; Henninger et al., 2010, 2013; Smith et al., 2011, 2014)","noteIndex":0},"citationItems":[{"id":3046,"uris":["http://zotero.org/users/5692498/items/QGUL22JL"],"itemData":{"id":3046,"type":"article-journal","abstract":"Ligaments are specialized connective tissues with very interesting biomechanical properties. They have the ability to adapt to the complex functions that each are required to perform. While ligaments were once thought to be inert, they are in fact responsive to many local and systemic factors that influence their function within the organism. Injury to a ligament results in a drastic change in its structure and physiology and creates a situation where ligament function is restored by the formation of scar tissue that is biologically and biomechanically inferior to the tissue it replaces. This article will briefly review the basic structure, physiology and function of normal versus healing knee ligaments, referring specifically to what is known about two of the most extensively studied and clinically relevant knee ligaments, the anterior cruciate (ACL) and medial collateral (MCL) ligaments of the knee. Those readers wishing for more comprehensive sources of information on ligament biology and biomechanics are referred to many excellent reviews on these topics.","container-title":"Journal of Musculoskeletal &amp; Neuronal Interactions","ISSN":"1108-7161","issue":"2","journalAbbreviation":"J Musculoskelet Neuronal Interact","language":"eng","note":"PMID: 15615126","page":"199-201","source":"PubMed","title":"Ligament structure, physiology and function","volume":"4","author":[{"family":"Frank","given":"C. B."}],"issued":{"date-parts":[["2004",6]]}}},{"id":3182,"uris":["http://zotero.org/users/5692498/items/6A47EX3P"],"itemData":{"id":3182,"type":"article-journal","abstract":"Elastin is a structural protein that provides resilience to biological tissues. We examined the contributions of elastin to the quasi-static tensile response of porcine medial collateral ligament through targeted disruption of the elastin network with pancreatic elastase. Elastase concentration and treatment time were varied to determine a dose response. Whereas elastin content decreased with increasing elastase concentration and treatment time, the change in peak stress after cyclic loading reached a plateau above 1 U/ml elastase and 6 h treatment. For specimens treated with 2 U/ml elastase for 6 h, elastin content decreased approximately 35%. Mean peak tissue strain after cyclic loading (4.8%, p ≥ 0.300), modulus (275 MPa, p ≥ 0.114) and hysteresis (20%, p ≥ 0.553) were unaffected by elastase digestion, but stress decreased significantly after treatment (up to 2 MPa, p ≤ 0.049). Elastin degradation had no effect on failure properties, but tissue lengthened under the same pre-stress. Stiffness in the linear region was unaffected by elastase digestion, suggesting that enzyme treatment did not disrupt collagen. These results demonstrate that elastin primarily functions in the toe region of the stress–strain curve, yet contributes load support in the linear region. The increase in length after elastase digestion suggests that elastin may pre-stress and stabilize collagen crimp in ligaments. © 2013 Orthopaedic Research Society Published by Wiley Periodicals, Inc. J Orthop Res 31:1226–1233, 2013","container-title":"Journal of Orthopaedic Research","DOI":"10.1002/jor.22352","ISSN":"1554-527X","issue":"8","language":"en","license":"Copyright © 2013 Orthopaedic Research Society","note":"_eprint: https://onlinelibrary.wiley.com/doi/pdf/10.1002/jor.22352","page":"1226-1233","source":"Wiley Online Library","title":"Effect of elastin digestion on the quasi-static tensile response of medial collateral ligament","volume":"31","author":[{"family":"Henninger","given":"Heath B."},{"family":"Underwood","given":"Clayton J."},{"family":"Romney","given":"Steven J."},{"family":"Davis","given":"Grant L."},{"family":"Weiss","given":"Jeffrey A."}],"issued":{"date-parts":[["2013"]]}}},{"id":2966,"uris":["http://zotero.org/users/5692498/items/QCW39JZN"],"itemData":{"id":2966,"type":"article-journal","abstract":"Dermatan and chondroitin sulfate glycosaminoglycans (GAGs) comprise over 90% of the GAG content in ligament. Studies of their mechanical contribution to soft tissues have reported conflicting results. Measuring the transient compressive response and biphasic material parameters of the tissue may elucidate the contributions of GAGs to the viscoelastic response to deformation. The hypotheses of the current study were that digestion of sulfated GAGs would decrease compressive stress and aggregate modulus while increasing the permeability of porcine medial collateral ligament (MCL). Confined compression stress relaxation experiments were carried out on porcine MCL and tissue treated with chondroitinase ABC (ChABC). Results were fit to a biphasic constitutive model to derive permeability and aggregate modulus. Bovine articular cartilage was used as a benchmark tissue to verify that the apparatus provided reliable results. GAG digestion removed up to 88% of sulfated GAGs from the ligament. Removal of sulfated GAGs increased the permeability of porcine MCL nearly 6-fold versus control tissues. Peak stress decreased significantly. Bovine articular cartilage exhibited the typical reduction of GAG content and resultant decreases in stress and modulus and increases in permeability with ChABC digestion. Given the relatively small amount of GAG in ligament (&lt;1% of tissue dry weight) and the significant change in peak stress and permeability upon removal of GAGs, sulfated GAGs may play a significant role in maintaining the apposition of collagen fibrils in the transverse direction, thus supporting dynamic compressive loads experienced by the ligament during complex joint motion.","container-title":"Journal of Biomechanics","DOI":"10.1016/j.jbiomech.2010.05.012","ISSN":"0021-9290","issue":"13","journalAbbreviation":"Journal of Biomechanics","language":"en","page":"2567-2573","source":"ScienceDirect","title":"Effect of sulfated glycosaminoglycan digestion on the transverse permeability of medial collateral ligament","volume":"43","author":[{"family":"Henninger","given":"Heath B."},{"family":"Underwood","given":"Clayton J."},{"family":"Ateshian","given":"Gerard A."},{"family":"Weiss","given":"Jeffrey A."}],"issued":{"date-parts":[["2010",9,17]]}}},{"id":3174,"uris":["http://zotero.org/users/5692498/items/6M93448I"],"itemData":{"id":3174,"type":"article-journal","abstract":"Cruciate ligaments (CLs) are primary stabilisers of the knee joint and canine cranial cruciate ligament disease (CCLD) and rupture is a common injury. Elastin fibres, composed of an elastin core and fibrillin containing microfibrils, are traditionally considered minor components of the ligament extracellular matrix (ECM). However, their content and distribution in CLs is unknown. The purposes of this study were to determine the elastin content of canine CLs and to ascertain its relationship to other biochemical components and histological architecture. Macroscopically normal CLs were harvested from Greyhounds (n=11), a breed with a low risk of CCLD. Elastin, collagen and sulfated glycosaminoglycan content were measured and histological scoring systems were developed to quantify ECM changes using a modified Vasseur score (mVS) and oxytalan fibre (bundles of microfibrils) staining. Elastin contents were 9.86±3.97% dry weight in the cranial CL and 10.79±4.37% in the caudal CL, respectively, and did not alter with advancing histological degeneration. All CLs demonstrated mild degenerative changes, with an average mVS score of 11.9±3.3 (maximum 24). Increasing degeneration of the ligament ECM showed a positive correlation (r=0.690, P&lt;0.001) with increased oxytalan fibre staining within the ECM. Elastin is an abundant protein in CLs forming a greater proportion of the ligament ECM than previously reported. The appearance of oxytalan fibres in degenerative CL ECM may reflect an adaptive or reparative response to normal or increased loads. This finding is important for future therapeutic or ligament replacement strategies associated with cranial CL injury.","container-title":"The Veterinary Journal","DOI":"10.1016/j.tvjl.2013.11.002","ISSN":"1090-0233","issue":"1","journalAbbreviation":"The Veterinary Journal","language":"en","page":"169-174","source":"ScienceDirect","title":"Elastin content is high in the canine cruciate ligament and is associated with degeneration","volume":"199","author":[{"family":"Smith","given":"K. D."},{"family":"Clegg","given":"P. D."},{"family":"Innes","given":"J. F."},{"family":"Comerford","given":"E. J."}],"issued":{"date-parts":[["2014",1,1]]}}},{"id":3171,"uris":["http://zotero.org/users/5692498/items/PBAA63FU"],"itemData":{"id":3171,"type":"article-journal","abstract":"Although elastin fibres and oxytalan fibres (bundles of microfibrils) have important mechanical, biochemical and cell regulatory functions, neither their distribution nor their function in cruciate ligaments has been investigated. Twelve pairs of cruciate ligaments (CLs) were obtained from 10 adult dogs with no evidence of knee osteoarthritis. Elastic fibres were identified using Verhoeff’s and Miller’s staining. Fibrillins 1 and 2 were immunolocalised and imaged using confocal laser scanning microscopy. Hydrated, unfixed tissue was analysed using Nomarski differential interference microscopy (NDIC), allowing structural and mechanical analysis. Microfibrils and elastin fibres were widespread in both CLs, predominantly within ligament fascicles, parallel to collagen bundles. Although elastin fibres were sparse, microfibrils were abundant. We described abundant fibres composed of both fibrillin 1 and fibrillin 2, which had a similar pattern of distribution to oxytalan fibres. NDIC demonstrated complex interfascicular and interbundle anatomy in the CL complex. The distribution of elastin fibres is suggestive of a mechanical role in bundle reorganisation following ligament deformation. The presence and location of fibrillin 2 in oxytalan fibres in ligament differs from the solely fibrillin 1-containing oxytalan fibres previously described in tendon and may demonstrate a fundamental difference between ligament and tendon.","container-title":"Journal of Anatomy","DOI":"10.1111/j.1469-7580.2011.01374.x","ISSN":"1469-7580","issue":"6","language":"en","license":"© 2011 The Authors. Journal of Anatomy © 2011 Anatomical Society of Great Britain and Ireland","note":"_eprint: https://onlinelibrary.wiley.com/doi/pdf/10.1111/j.1469-7580.2011.01374.x","page":"600-607","source":"Wiley Online Library","title":"The organisation of elastin and fibrillins 1 and 2 in the cruciate ligament complex","volume":"218","author":[{"family":"Smith","given":"Kinley D."},{"family":"Vaughan‐Thomas","given":"Anne"},{"family":"Spiller","given":"David G."},{"family":"Innes","given":"John F."},{"family":"Clegg","given":"Peter D."},{"family":"Comerford","given":"Eithne J."}],"issued":{"date-parts":[["2011"]]}}}],"schema":"https://github.com/citation-style-language/schema/raw/master/csl-citation.json"} </w:instrText>
      </w:r>
      <w:r w:rsidR="00E27670" w:rsidRPr="00E27670">
        <w:rPr>
          <w:szCs w:val="24"/>
        </w:rPr>
        <w:fldChar w:fldCharType="separate"/>
      </w:r>
      <w:r w:rsidR="0097525F" w:rsidRPr="0097525F">
        <w:rPr>
          <w:rFonts w:cs="Times New Roman"/>
        </w:rPr>
        <w:t>(Frank, 2004; Henninger et al., 2010, 2013; Smith et al., 2011, 2014)</w:t>
      </w:r>
      <w:r w:rsidR="00E27670" w:rsidRPr="00E27670">
        <w:rPr>
          <w:szCs w:val="24"/>
        </w:rPr>
        <w:fldChar w:fldCharType="end"/>
      </w:r>
      <w:r w:rsidR="00E27670" w:rsidRPr="00E27670">
        <w:rPr>
          <w:szCs w:val="24"/>
        </w:rPr>
        <w:t xml:space="preserve">, and </w:t>
      </w:r>
      <w:r w:rsidR="0071666D">
        <w:rPr>
          <w:szCs w:val="24"/>
        </w:rPr>
        <w:t>water</w:t>
      </w:r>
      <w:r w:rsidR="00E27670" w:rsidRPr="00E27670">
        <w:rPr>
          <w:szCs w:val="24"/>
        </w:rPr>
        <w:t xml:space="preserve"> movement </w:t>
      </w:r>
      <w:r w:rsidR="00E27670" w:rsidRPr="00E27670">
        <w:rPr>
          <w:szCs w:val="24"/>
        </w:rPr>
        <w:fldChar w:fldCharType="begin"/>
      </w:r>
      <w:r w:rsidR="0097525F">
        <w:rPr>
          <w:szCs w:val="24"/>
        </w:rPr>
        <w:instrText xml:space="preserve"> ADDIN ZOTERO_ITEM CSL_CITATION {"citationID":"F8tpYuUA","properties":{"formattedCitation":"(Chimich et al., 1992)","plainCitation":"(Chimich et al., 1992)","noteIndex":0},"citationItems":[{"id":3117,"uris":["http://zotero.org/users/5692498/items/HC92LVXZ"],"itemData":{"id":3117,"type":"article-journal","abstract":"Testing environment is an important factor in the outcome of mechanical tests on connective tissue. The purpose of this investigation was to determine the effect of ligament water content on ligament mechanical behaviour by altering the test environment. Water content of medial collateral ligament (MCLs) from 19 three-month-old New Zealand White rabbits was varied in subsets of ligaments pairs by means of immersion in 2, 10 or 25% sucrose or 0.9% phosphate-buffered saline (PBS) solutions for 1 h. One knee joint was cycled 50 times in the designated solution (experimental), while the contralateral knee (uncycled control) was simultaneously soaked in the same tank. Following cycling, the water contents of both test and control ligaments were determined. Water contents of 22 normal MCLs were determined immediately post-sacrifice and served as 'normal water content' controls. Normalized peak cyclic load changes were used as a measure of the viscoelastic behaviour of each MCL. Results demonstrated that only ligaments soaked (but not cycled) in a 10% sucrose solution had water contents (60.5 +/- 2.5%) which were statistically similar to the 22 fresh normal MCLs (63.9 +/- 6.0%). Ligaments soaked in PBS (74.0 +/- 1.3%) or 2% sucrose (69.2 +/- 2.3%) had significantly higher water contents compared to fresh normal MCLs. Ligaments with higher water contents (e.g. soaked in PBS or 2% sucrose) demonstrated greater cyclic load relaxation compared to ligaments with lower contents (e.g. soaked in 25 or 10% sucrose). Different fluid test environments can significantly alter ligament water content and, in turn, significantly affect ligament viscoelastic behaviour.","container-title":"Journal of Biomechanics","DOI":"10.1016/0021-9290(92)90223-n","ISSN":"0021-9290","issue":"8","journalAbbreviation":"J Biomech","language":"eng","note":"PMID: 1639827","page":"831-837","source":"PubMed","title":"Water content alters viscoelastic behaviour of the normal adolescent rabbit medial collateral ligament","volume":"25","author":[{"family":"Chimich","given":"D."},{"family":"Shrive","given":"N."},{"family":"Frank","given":"C."},{"family":"Marchuk","given":"L."},{"family":"Bray","given":"R."}],"issued":{"date-parts":[["1992",8]]}}}],"schema":"https://github.com/citation-style-language/schema/raw/master/csl-citation.json"} </w:instrText>
      </w:r>
      <w:r w:rsidR="00E27670" w:rsidRPr="00E27670">
        <w:rPr>
          <w:szCs w:val="24"/>
        </w:rPr>
        <w:fldChar w:fldCharType="separate"/>
      </w:r>
      <w:r w:rsidR="0097525F" w:rsidRPr="0097525F">
        <w:rPr>
          <w:rFonts w:cs="Times New Roman"/>
        </w:rPr>
        <w:t>(Chimich et al., 1992)</w:t>
      </w:r>
      <w:r w:rsidR="00E27670" w:rsidRPr="00E27670">
        <w:rPr>
          <w:szCs w:val="24"/>
        </w:rPr>
        <w:fldChar w:fldCharType="end"/>
      </w:r>
      <w:r w:rsidR="00E27670" w:rsidRPr="00E27670">
        <w:rPr>
          <w:szCs w:val="24"/>
        </w:rPr>
        <w:t>. In particular, the interaction</w:t>
      </w:r>
      <w:r>
        <w:rPr>
          <w:szCs w:val="24"/>
        </w:rPr>
        <w:t>s</w:t>
      </w:r>
      <w:r w:rsidR="00E27670" w:rsidRPr="00E27670">
        <w:rPr>
          <w:szCs w:val="24"/>
        </w:rPr>
        <w:t xml:space="preserve"> between sulphated glycosaminoglycans (sGAGs), which are components of proteoglycans (PG</w:t>
      </w:r>
      <w:r>
        <w:rPr>
          <w:szCs w:val="24"/>
        </w:rPr>
        <w:t>s</w:t>
      </w:r>
      <w:r w:rsidR="00E27670" w:rsidRPr="00E27670">
        <w:rPr>
          <w:szCs w:val="24"/>
        </w:rPr>
        <w:t xml:space="preserve">), such as dermatan and chondroitinase sulphate with collagen fibrils in </w:t>
      </w:r>
      <w:r w:rsidR="006C4DDA">
        <w:rPr>
          <w:szCs w:val="24"/>
        </w:rPr>
        <w:t xml:space="preserve">porcine </w:t>
      </w:r>
      <w:r w:rsidR="00E27670" w:rsidRPr="00E27670">
        <w:rPr>
          <w:szCs w:val="24"/>
        </w:rPr>
        <w:t>medial collateral ligaments ha</w:t>
      </w:r>
      <w:r w:rsidR="00FE5D23">
        <w:rPr>
          <w:szCs w:val="24"/>
        </w:rPr>
        <w:t>ve</w:t>
      </w:r>
      <w:r w:rsidR="00E27670" w:rsidRPr="00E27670">
        <w:rPr>
          <w:szCs w:val="24"/>
        </w:rPr>
        <w:t xml:space="preserve"> been reported to increase permeability and decrease peak stress </w:t>
      </w:r>
      <w:r w:rsidR="00E27670" w:rsidRPr="00E27670">
        <w:rPr>
          <w:szCs w:val="24"/>
        </w:rPr>
        <w:fldChar w:fldCharType="begin"/>
      </w:r>
      <w:r w:rsidR="0097525F">
        <w:rPr>
          <w:szCs w:val="24"/>
        </w:rPr>
        <w:instrText xml:space="preserve"> ADDIN ZOTERO_ITEM CSL_CITATION {"citationID":"iUqrqOFH","properties":{"formattedCitation":"(Henninger et al., 2010)","plainCitation":"(Henninger et al., 2010)","noteIndex":0},"citationItems":[{"id":2966,"uris":["http://zotero.org/users/5692498/items/QCW39JZN"],"itemData":{"id":2966,"type":"article-journal","abstract":"Dermatan and chondroitin sulfate glycosaminoglycans (GAGs) comprise over 90% of the GAG content in ligament. Studies of their mechanical contribution to soft tissues have reported conflicting results. Measuring the transient compressive response and biphasic material parameters of the tissue may elucidate the contributions of GAGs to the viscoelastic response to deformation. The hypotheses of the current study were that digestion of sulfated GAGs would decrease compressive stress and aggregate modulus while increasing the permeability of porcine medial collateral ligament (MCL). Confined compression stress relaxation experiments were carried out on porcine MCL and tissue treated with chondroitinase ABC (ChABC). Results were fit to a biphasic constitutive model to derive permeability and aggregate modulus. Bovine articular cartilage was used as a benchmark tissue to verify that the apparatus provided reliable results. GAG digestion removed up to 88% of sulfated GAGs from the ligament. Removal of sulfated GAGs increased the permeability of porcine MCL nearly 6-fold versus control tissues. Peak stress decreased significantly. Bovine articular cartilage exhibited the typical reduction of GAG content and resultant decreases in stress and modulus and increases in permeability with ChABC digestion. Given the relatively small amount of GAG in ligament (&lt;1% of tissue dry weight) and the significant change in peak stress and permeability upon removal of GAGs, sulfated GAGs may play a significant role in maintaining the apposition of collagen fibrils in the transverse direction, thus supporting dynamic compressive loads experienced by the ligament during complex joint motion.","container-title":"Journal of Biomechanics","DOI":"10.1016/j.jbiomech.2010.05.012","ISSN":"0021-9290","issue":"13","journalAbbreviation":"Journal of Biomechanics","language":"en","page":"2567-2573","source":"ScienceDirect","title":"Effect of sulfated glycosaminoglycan digestion on the transverse permeability of medial collateral ligament","volume":"43","author":[{"family":"Henninger","given":"Heath B."},{"family":"Underwood","given":"Clayton J."},{"family":"Ateshian","given":"Gerard A."},{"family":"Weiss","given":"Jeffrey A."}],"issued":{"date-parts":[["2010",9,17]]}}}],"schema":"https://github.com/citation-style-language/schema/raw/master/csl-citation.json"} </w:instrText>
      </w:r>
      <w:r w:rsidR="00E27670" w:rsidRPr="00E27670">
        <w:rPr>
          <w:szCs w:val="24"/>
        </w:rPr>
        <w:fldChar w:fldCharType="separate"/>
      </w:r>
      <w:r w:rsidR="0097525F" w:rsidRPr="0097525F">
        <w:rPr>
          <w:rFonts w:cs="Times New Roman"/>
        </w:rPr>
        <w:t>(Henninger et al., 2010)</w:t>
      </w:r>
      <w:r w:rsidR="00E27670" w:rsidRPr="00E27670">
        <w:rPr>
          <w:szCs w:val="24"/>
        </w:rPr>
        <w:fldChar w:fldCharType="end"/>
      </w:r>
      <w:r w:rsidR="00E27670" w:rsidRPr="00E27670">
        <w:rPr>
          <w:szCs w:val="24"/>
        </w:rPr>
        <w:t xml:space="preserve">. </w:t>
      </w:r>
    </w:p>
    <w:p w14:paraId="19FBF4C9" w14:textId="47EB9149" w:rsidR="00E27670" w:rsidRPr="00E27670" w:rsidRDefault="00E27670" w:rsidP="00E27670">
      <w:pPr>
        <w:rPr>
          <w:szCs w:val="24"/>
        </w:rPr>
      </w:pPr>
      <w:r w:rsidRPr="00E27670">
        <w:rPr>
          <w:szCs w:val="24"/>
        </w:rPr>
        <w:t xml:space="preserve">PGs comprise 0.2 - 5% of ligament dry weight and are either non-aggregating (small leucine-rich proteoglycan (SLRPs) such as decorin and biglycan) or large aggregating PGs (versican and aggrecan) </w:t>
      </w:r>
      <w:r w:rsidRPr="00E27670">
        <w:rPr>
          <w:szCs w:val="24"/>
        </w:rPr>
        <w:fldChar w:fldCharType="begin"/>
      </w:r>
      <w:r w:rsidR="008D4B27">
        <w:rPr>
          <w:szCs w:val="24"/>
        </w:rPr>
        <w:instrText xml:space="preserve"> ADDIN ZOTERO_ITEM CSL_CITATION {"citationID":"SEy6qNyF","properties":{"formattedCitation":"(Gillard et al., 1977; Amiel et al., 1984; Hey et al., 1990; Kharaz et al., 2018)","plainCitation":"(Gillard et al., 1977; Amiel et al., 1984; Hey et al., 1990; Kharaz et al., 2018)","noteIndex":0},"citationItems":[{"id":3044,"uris":["http://zotero.org/users/5692498/items/7MIXFZ9P"],"itemData":{"id":3044,"type":"article-journal","abstract":"Bovine collateral ligament was found to have a water content of 67.5 +/- 2.5%, the tissue was highly collagenous containing 100.3 +/- 15.1 micrograms hydroxyproline/mg dry weight. Type I collagen was the major collagen present with small amounts of Type III and V. The hexuronate content of the tissue was found to be 2.62 +/- 0.40 micrograms hexuronate/mg dry weight of tissue. On incubation in vitro collateral ligament incorporated [35S]sulfate and [3H]acetate into proteoglycans and [3H]acetate into hyaluronate and glycoproteins. The rate of synthesis of proteoglycans by collateral ligament was shown on a weight basis to be greater than that of tendon but lower than that of articular cartilage. Analysis of the proteoglycans present in collateral ligament showed two populations of proteoglycans to be present. Approx. 20% of the total proteoglycans present were large chondroitin- and keratan sulfate-containing proteoglycans capable of forming aggregates with hyaluronate. The major species of proteoglycan present were small dermatan sulfate proteoglycans made up of a core protein with a molecular mass of 45,000 daltons with one dermatan/chondroitin sulfate glycosaminoglycan chain of 30,000 daltons attached. The N-terminal amino acid sequence of the core protein of this proteoglycan showed it to be analogous to the core protein of dermatan sulfate proteoglycan II.","container-title":"Biochimica Et Biophysica Acta","DOI":"10.1016/0304-4165(90)90155-p","ISSN":"0006-3002","issue":"1","journalAbbreviation":"Biochim Biophys Acta","language":"eng","note":"PMID: 2328264","page":"73-80","source":"PubMed","title":"Characterization and synthesis of macromolecules by adult collateral ligament","volume":"1034","author":[{"family":"Hey","given":"N. J."},{"family":"Handley","given":"C. J."},{"family":"Ng","given":"C. K."},{"family":"Oakes","given":"B. W."}],"issued":{"date-parts":[["1990",4,23]]}}},{"id":237,"uris":["http://zotero.org/users/5692498/items/SSSZS3EX"],"itemData":{"id":237,"type":"article-journal","container-title":"Journal of Orthopaedic Research","DOI":"10.1002/jor.1100010305","ISSN":"0736-0266 (Print) 0736-0266 (Linking)","issue":"3","note":"type: Journal Article\nCitation Key: RN2","page":"257-265","title":"Tendons and ligaments: A morphological and biochemical comparison","volume":"1","author":[{"family":"Amiel","given":"D"},{"family":"Frank","given":"C B"},{"family":"Harwood","given":"F"},{"family":"Fronek","given":"J"},{"family":"Akeson","given":"W"}],"issued":{"date-parts":[["1984"]]}}},{"id":3029,"uris":["http://zotero.org/users/5692498/items/MU2WHR23"],"itemData":{"id":3029,"type":"article-journal","abstract":"The glycosaminoglycan content and the axial periodicity of collagen was determined in various regions of the rabbit flexor digitorum profundus tendon. This tendon, which passes from the calf to the toes round the inner side of the ankle, contains a thickened sesamoid-like pad where it is subjected to friction and pressure. Other regions of the tendon are subject only to longitudinal tension. In tensional areas the axial periodicity of collagen was of the order of 62 nm and the tissue contained less than 0.2% proteoglycan on a dry weight basis. In the sesamoid-like region, however, the axial periodicity was a significant 13-15% less, and the proteoglycan constituted about 3.5% of the dry weight. Also, in the tensional areas the predominant glycosaminoglycan was dermatan sulphate, whereas in the sesamoid the predominant glycosaminoglycan was chondroitin sulphate. The possible interrelationships between collagen axial peroidicity and proteoglycan content in this tissue are discussed.","container-title":"Biochemical Journal","DOI":"10.1042/bj1630145","ISSN":"0264-6021","issue":"1","journalAbbreviation":"Biochem J","language":"en","note":"publisher: Portland Press","page":"145-151","source":"portlandpress.com","title":"The proteoglycan content and the axial periodicity of collagen in tendon","volume":"163","author":[{"family":"Gillard","given":"G. C."},{"family":"Merrilees","given":"M. J."},{"family":"Bell-Booth","given":"P. G."},{"family":"Reilly","given":"H. C."},{"family":"Flint","given":"M. H."}],"issued":{"date-parts":[["1977",4,1]]}}},{"id":3023,"uris":["http://zotero.org/users/5692498/items/FBH69HV4"],"itemData":{"id":3023,"type":"article-journal","abstract":"Tendons and ligaments play key roles in the musculoskeletal system in both man and animals. Both tissues can undergo traumatic injury, age-related degeneration and chronic disease, causing discomfort, pain and increased susceptibility to wider degenerative joint disease. To date, tendon and ligament ultrastructural biology is relatively under-studied in healthy, non-diseased tissues. This information is essential to understand the pathology of these tissues with regard to function-related injury and to assist with the future development of tissue-engineered tendon and ligament structures. This study investigated the morphological, compositional and extracellular matrix protein distribution differences between tendons and ligaments around the non-diseased canine stifle joint. The morphological, structural characteristics of different regions of the periarticular tendons and ligaments (the intra-articular anterior cruciate ligament, the extra-articular medial collateral ligament, the positional long digital extensor tendon and energy-storing superficial digital flexor tendons) were identified using a novel semi-objective histological scoring analysis and by determining their biochemical composition. Protein distribution of extracellular matrix collagens, proteoglycans and elastic fibre proteins in anterior cruciate ligament and long digital extensor tendon were also determined using immunostaining techniques. The anterior cruciate ligament was found to have significant morphological differences in comparison with the other three tissues, including less compact collagen architecture, differences in cell nuclei phenotype and increased glycosaminoglycan and elastin content. Intra- and interobserver differences of histology scoring resulted in an average score 0.7, indicative of good agreement between observers. Statistically significant differences were also found in the extracellular matrix composition in terms of glycosaminoglycan and elastin content, being more prominent in the anterior cruciate ligament than in the other three tissues. A different distribution of several extracellular matrix proteins was also found between long digital extensor tendon and anterior cruciate ligament, with a significantly increased immunostaining of aggrecan and versican in the anterior cruciate ligament. These findings directly relate to the different functions of tendon and ligament and indicate that the intra-articular anterior cruciate ligament is subjected to more compressive forces, reflecting an adaptive response to normal or increased loads and resulting in different extracellular matrix composition and arrangement to protect the tissue from damage.","container-title":"Journal of Anatomy","DOI":"10.1111/joa.12802","ISSN":"1469-7580","issue":"6","language":"en","license":"© 2018 The Authors. Journal of Anatomy published by John Wiley &amp; Sons Ltd on behalf of Anatomical Society.","note":"_eprint: https://onlinelibrary.wiley.com/doi/pdf/10.1111/joa.12802","page":"943-955","source":"Wiley Online Library","title":"Variations in internal structure, composition and protein distribution between intra- and extra-articular knee ligaments and tendons","volume":"232","author":[{"family":"Kharaz","given":"Yalda A."},{"family":"Canty‐Laird","given":"Elizabeth G."},{"family":"Tew","given":"Simon R."},{"family":"Comerford","given":"Eithne J."}],"issued":{"date-parts":[["2018"]]}}}],"schema":"https://github.com/citation-style-language/schema/raw/master/csl-citation.json"} </w:instrText>
      </w:r>
      <w:r w:rsidRPr="00E27670">
        <w:rPr>
          <w:szCs w:val="24"/>
        </w:rPr>
        <w:fldChar w:fldCharType="separate"/>
      </w:r>
      <w:r w:rsidR="0097525F" w:rsidRPr="0097525F">
        <w:rPr>
          <w:rFonts w:cs="Times New Roman"/>
        </w:rPr>
        <w:t>(Gillard et al., 1977; Amiel et al., 1984; Hey et al., 1990; Kharaz et al., 2018)</w:t>
      </w:r>
      <w:r w:rsidRPr="00E27670">
        <w:rPr>
          <w:szCs w:val="24"/>
        </w:rPr>
        <w:fldChar w:fldCharType="end"/>
      </w:r>
      <w:r w:rsidRPr="00E27670">
        <w:rPr>
          <w:szCs w:val="24"/>
        </w:rPr>
        <w:t xml:space="preserve">. They </w:t>
      </w:r>
      <w:r w:rsidR="00F139BA">
        <w:rPr>
          <w:szCs w:val="24"/>
        </w:rPr>
        <w:t xml:space="preserve">are </w:t>
      </w:r>
      <w:r w:rsidR="00311380">
        <w:rPr>
          <w:szCs w:val="24"/>
        </w:rPr>
        <w:t>comprise</w:t>
      </w:r>
      <w:r w:rsidR="00F139BA">
        <w:rPr>
          <w:szCs w:val="24"/>
        </w:rPr>
        <w:t>d of</w:t>
      </w:r>
      <w:r w:rsidRPr="00E27670">
        <w:rPr>
          <w:szCs w:val="24"/>
        </w:rPr>
        <w:t xml:space="preserve"> a protein core and sulphated GAGs </w:t>
      </w:r>
      <w:r w:rsidRPr="00E27670">
        <w:rPr>
          <w:szCs w:val="24"/>
        </w:rPr>
        <w:fldChar w:fldCharType="begin"/>
      </w:r>
      <w:r w:rsidR="0097525F">
        <w:rPr>
          <w:szCs w:val="24"/>
        </w:rPr>
        <w:instrText xml:space="preserve"> ADDIN ZOTERO_ITEM CSL_CITATION {"citationID":"eVoVwDER","properties":{"formattedCitation":"(Vogel, 1994)","plainCitation":"(Vogel, 1994)","noteIndex":0},"citationItems":[{"id":992,"uris":["http://zotero.org/users/5692498/items/F7WLUD4A"],"itemData":{"id":992,"type":"chapter","collection-title":"Biology of extracellular matrix series","container-title":"Extracellular matrix assembly and structure","event-place":"San Diego","ISBN":"0-12-775170-X","note":"collection-title: Biology of extracellular matrix series\ntype: Book Section\nCitation Key: RN1446","page":"243-273","publisher":"Academic Press","publisher-place":"San Diego","title":"Glycosaminoglycans and proteoglycans","author":[{"family":"Vogel","given":"K"}],"editor":[{"family":"Yurchenco","given":"Peter D"},{"family":"Birk","given":"David E"},{"family":"Mecham","given":"Robert P"}],"issued":{"date-parts":[["1994"]]}}}],"schema":"https://github.com/citation-style-language/schema/raw/master/csl-citation.json"} </w:instrText>
      </w:r>
      <w:r w:rsidRPr="00E27670">
        <w:rPr>
          <w:szCs w:val="24"/>
        </w:rPr>
        <w:fldChar w:fldCharType="separate"/>
      </w:r>
      <w:r w:rsidR="0097525F" w:rsidRPr="0097525F">
        <w:rPr>
          <w:rFonts w:cs="Times New Roman"/>
        </w:rPr>
        <w:t>(Vogel, 1994)</w:t>
      </w:r>
      <w:r w:rsidRPr="00E27670">
        <w:rPr>
          <w:szCs w:val="24"/>
        </w:rPr>
        <w:fldChar w:fldCharType="end"/>
      </w:r>
      <w:r w:rsidRPr="00E27670">
        <w:rPr>
          <w:szCs w:val="24"/>
        </w:rPr>
        <w:t>. Approximately 90% of the total PGs in the fresh collateral ligament</w:t>
      </w:r>
      <w:r w:rsidR="00311380">
        <w:rPr>
          <w:szCs w:val="24"/>
        </w:rPr>
        <w:t>s</w:t>
      </w:r>
      <w:r w:rsidRPr="00E27670">
        <w:rPr>
          <w:szCs w:val="24"/>
        </w:rPr>
        <w:t xml:space="preserve"> </w:t>
      </w:r>
      <w:r w:rsidR="00311380">
        <w:rPr>
          <w:szCs w:val="24"/>
        </w:rPr>
        <w:t xml:space="preserve">are </w:t>
      </w:r>
      <w:r w:rsidRPr="00E27670">
        <w:rPr>
          <w:szCs w:val="24"/>
        </w:rPr>
        <w:t>decorin</w:t>
      </w:r>
      <w:r w:rsidR="00311380">
        <w:rPr>
          <w:szCs w:val="24"/>
        </w:rPr>
        <w:t>,</w:t>
      </w:r>
      <w:r w:rsidRPr="00E27670">
        <w:rPr>
          <w:szCs w:val="24"/>
        </w:rPr>
        <w:t xml:space="preserve"> and the remaining PGs include biglycan, aggrecan and versican </w:t>
      </w:r>
      <w:r w:rsidRPr="00E27670">
        <w:rPr>
          <w:szCs w:val="24"/>
        </w:rPr>
        <w:fldChar w:fldCharType="begin"/>
      </w:r>
      <w:r w:rsidR="0097525F">
        <w:rPr>
          <w:szCs w:val="24"/>
        </w:rPr>
        <w:instrText xml:space="preserve"> ADDIN ZOTERO_ITEM CSL_CITATION {"citationID":"QIC3kvEO","properties":{"formattedCitation":"(Ilic et al., 2005)","plainCitation":"(Ilic et al., 2005)","noteIndex":0},"citationItems":[{"id":2951,"uris":["http://zotero.org/users/5692498/items/EVF6A4EL"],"itemData":{"id":2951,"type":"article-journal","abstract":"The aim of the present study was to characterize the proteoglycans and catabolic products of proteoglycans present in the tensile region of ligament and explant cultures of this tissue, and to compare these with those observed in the tensile region of tendon. Approx. 90% of the total proteoglycans in fresh ligament was decorin, as estimated by N-terminal amino acid sequence analysis. Other species that were detected were biglycan and the large proteoglycans versican (splice variants V0 and/or V1 and/or V2) and aggrecan. Approx. 23% of decorin detected in the matrix was degraded. Intact decorin and decorin fragments similar to those observed in the matrix that retained the N-terminus were also observed in the medium of ligament cultures. Intact biglycan core protein was detected in the matrix and medium of ligament cultures, and two fragments originating from the N-terminal region of biglycan were observed in the matrix of cultured ligament. Versican and versican fragments that retained the N-terminus of versican core protein were detected in fresh matrix and medium of tendon cultures. Approx. 42% of versican present in the fresh ligament was degraded. Aggrecan catabolites appearing in the culture medium were derived from aggrecanase cleavage of the core protein. An intact link protein and a degradation product from the N-terminal region of type XII collagen were also detected in the medium of the ligament explant.","container-title":"Biochemical Journal","DOI":"10.1042/BJ20040844","ISSN":"0264-6021","issue":"2","journalAbbreviation":"Biochem J","language":"en","note":"publisher: Portland Press","page":"381-388","source":"portlandpress.com","title":"Proteoglycans and catabolic products of proteoglycans present in ligament","volume":"385","author":[{"family":"Ilic","given":"Mirna Z."},{"family":"Carter","given":"Phillip"},{"family":"Tyndall","given":"Alicia"},{"family":"Dudhia","given":"Jayesh"},{"family":"Handley","given":"Christopher J."}],"issued":{"date-parts":[["2005",1,15]]}}}],"schema":"https://github.com/citation-style-language/schema/raw/master/csl-citation.json"} </w:instrText>
      </w:r>
      <w:r w:rsidRPr="00E27670">
        <w:rPr>
          <w:szCs w:val="24"/>
        </w:rPr>
        <w:fldChar w:fldCharType="separate"/>
      </w:r>
      <w:r w:rsidR="0097525F" w:rsidRPr="0097525F">
        <w:rPr>
          <w:rFonts w:cs="Times New Roman"/>
        </w:rPr>
        <w:t>(Ilic et al., 2005)</w:t>
      </w:r>
      <w:r w:rsidRPr="00E27670">
        <w:rPr>
          <w:szCs w:val="24"/>
        </w:rPr>
        <w:fldChar w:fldCharType="end"/>
      </w:r>
      <w:r w:rsidRPr="00E27670">
        <w:rPr>
          <w:szCs w:val="24"/>
        </w:rPr>
        <w:t xml:space="preserve">. </w:t>
      </w:r>
      <w:r w:rsidR="000022CC">
        <w:rPr>
          <w:szCs w:val="24"/>
        </w:rPr>
        <w:t>T</w:t>
      </w:r>
      <w:r w:rsidRPr="00E27670">
        <w:rPr>
          <w:szCs w:val="24"/>
        </w:rPr>
        <w:t>he interactions between PGs with collagen fibrils differ, such that decorin binds to collagen fibrils through its core protein</w:t>
      </w:r>
      <w:r w:rsidR="00311380">
        <w:rPr>
          <w:szCs w:val="24"/>
        </w:rPr>
        <w:t>,</w:t>
      </w:r>
      <w:r w:rsidRPr="00E27670">
        <w:rPr>
          <w:szCs w:val="24"/>
        </w:rPr>
        <w:t xml:space="preserve"> whereas biglycan and the large PGs, aggrecan and versican, bind to collagen fibrils through their sGAG chains </w:t>
      </w:r>
      <w:r w:rsidRPr="00E27670">
        <w:rPr>
          <w:szCs w:val="24"/>
        </w:rPr>
        <w:fldChar w:fldCharType="begin"/>
      </w:r>
      <w:r w:rsidR="008D4B27">
        <w:rPr>
          <w:szCs w:val="24"/>
        </w:rPr>
        <w:instrText xml:space="preserve"> ADDIN ZOTERO_ITEM CSL_CITATION {"citationID":"Ij5VyQWc","properties":{"formattedCitation":"(Pog\\uc0\\u225{}ny et al., 1994; Scott and Thomlinson, 1998; Kharaz et al., 2018)","plainCitation":"(Pogány et al., 1994; Scott and Thomlinson, 1998; Kharaz et al., 2018)","noteIndex":0},"citationItems":[{"id":3023,"uris":["http://zotero.org/users/5692498/items/FBH69HV4"],"itemData":{"id":3023,"type":"article-journal","abstract":"Tendons and ligaments play key roles in the musculoskeletal system in both man and animals. Both tissues can undergo traumatic injury, age-related degeneration and chronic disease, causing discomfort, pain and increased susceptibility to wider degenerative joint disease. To date, tendon and ligament ultrastructural biology is relatively under-studied in healthy, non-diseased tissues. This information is essential to understand the pathology of these tissues with regard to function-related injury and to assist with the future development of tissue-engineered tendon and ligament structures. This study investigated the morphological, compositional and extracellular matrix protein distribution differences between tendons and ligaments around the non-diseased canine stifle joint. The morphological, structural characteristics of different regions of the periarticular tendons and ligaments (the intra-articular anterior cruciate ligament, the extra-articular medial collateral ligament, the positional long digital extensor tendon and energy-storing superficial digital flexor tendons) were identified using a novel semi-objective histological scoring analysis and by determining their biochemical composition. Protein distribution of extracellular matrix collagens, proteoglycans and elastic fibre proteins in anterior cruciate ligament and long digital extensor tendon were also determined using immunostaining techniques. The anterior cruciate ligament was found to have significant morphological differences in comparison with the other three tissues, including less compact collagen architecture, differences in cell nuclei phenotype and increased glycosaminoglycan and elastin content. Intra- and interobserver differences of histology scoring resulted in an average score 0.7, indicative of good agreement between observers. Statistically significant differences were also found in the extracellular matrix composition in terms of glycosaminoglycan and elastin content, being more prominent in the anterior cruciate ligament than in the other three tissues. A different distribution of several extracellular matrix proteins was also found between long digital extensor tendon and anterior cruciate ligament, with a significantly increased immunostaining of aggrecan and versican in the anterior cruciate ligament. These findings directly relate to the different functions of tendon and ligament and indicate that the intra-articular anterior cruciate ligament is subjected to more compressive forces, reflecting an adaptive response to normal or increased loads and resulting in different extracellular matrix composition and arrangement to protect the tissue from damage.","container-title":"Journal of Anatomy","DOI":"10.1111/joa.12802","ISSN":"1469-7580","issue":"6","language":"en","license":"© 2018 The Authors. Journal of Anatomy published by John Wiley &amp; Sons Ltd on behalf of Anatomical Society.","note":"_eprint: https://onlinelibrary.wiley.com/doi/pdf/10.1111/joa.12802","page":"943-955","source":"Wiley Online Library","title":"Variations in internal structure, composition and protein distribution between intra- and extra-articular knee ligaments and tendons","volume":"232","author":[{"family":"Kharaz","given":"Yalda A."},{"family":"Canty‐Laird","given":"Elizabeth G."},{"family":"Tew","given":"Simon R."},{"family":"Comerford","given":"Eithne J."}],"issued":{"date-parts":[["2018"]]}}},{"id":3104,"uris":["http://zotero.org/users/5692498/items/UHALRE4V"],"itemData":{"id":3104,"type":"article-journal","abstract":"Binding of proteoglycans to type I collagen in vitro was assessed using radiolabeled decorin, biglycan, and large proteoglycans and acid-extracted bovine tendon collagen. Decorin, biglycan, and large proteoglycans were all bound to collagen fibrils in phosphate-buffered saline (PBS) containing 3 mM sodium phosphate. Only decorin was bound when the phosphate concentration in PBS was increased to 30 mM. These distinct binding characteristics were not altered by the presence of 10% serum, by purification of the proteoglycans in 7 M urea and 4 M guanidine HCl, or by digestion of the collagen with pepsin. In addition to being affected by phosphate, both glycosaminoglycan and proteoglycan binding to collagen was inhibited by sulfate, an anion with similar structure, and by molecules that contain sulfate or sulfonate groups, such as chondroitin sulfate and N-tris[hydroxymethyl]methyl-2-aminoethanesulfonic acid (Tes). The rate of in vitro collagen fibrillogenesis was retarded by increasing concentrations of phosphate. Decorin decreased the rate of collagen fibrillogenesis in all buffers and virtually abolished fibril formation when added in buffer containing both 30 mM phosphate and 30 mM Tes. It is concluded that decorin binds to collagen through interaction between collagen and the decorin core protein, whereas biglycan and large proteoglycans bind to collagen fibrils through their glycosaminoglycan chains. This glycosaminoglycan-collagen interaction is inhibited by phosphate, sulfate, and sulfonate. These observations may clarify contradictory results among previous in vitro studies of proteoglycan-collagen interaction. Since the phosphate concentration of blood and interstitial fluid is estimated to be approximately 1 mM, collagen-glycosaminoglycan interactions could occur in tissue.","container-title":"Archives of Biochemistry and Biophysics","DOI":"10.1006/abbi.1994.1365","ISSN":"0003-9861","issue":"1","journalAbbreviation":"Arch Biochem Biophys","language":"eng","note":"PMID: 8053669","page":"102-111","source":"PubMed","title":"The in vitro interaction of proteoglycans with type I collagen is modulated by phosphate","volume":"313","author":[{"family":"Pogány","given":"G."},{"family":"Hernandez","given":"D. J."},{"family":"Vogel","given":"K. G."}],"issued":{"date-parts":[["1994",8,15]]}}},{"id":3106,"uris":["http://zotero.org/users/5692498/items/59BCY2TB"],"itemData":{"id":3106,"type":"article-journal","abstract":"Collagen fibrils in extracellular matrices of connective tissues (tendon, cornea, etc.) are bridged and linked by the anionic glycosaminoglycans (AGAGs) of the small proteoglycans (decoron, etc.). It was proposed that these bridges and ties maintain the collagen fibril dispositions in relation to each other, helping to define tissue shape, and hence called shape modules. This investigation describes chemical and physicochemical conditions in which these structures are stable and what treatments cause their disruption. The effects on fixed and unfixed sections of tendon, cornea, lung and ear from rat, mouse and rabbit of pH, electrolyte concentration, EDTA, mercaptoethanol, hydrogen peroxide, free radicals, periodate, acetylation, urea, nonionic detergent and organic solvents were assessed by staining with Cupromeronic blue or Alcec blue in CEC techniques to localise AGAG bridges or their disintegration products. Ca2+ was not involved in the structures, oxidation/reduction had no effect and Triton X100, a nonionic detergent did not damage them. They were stable between pH 4.5 and 9.5. Periodate as a glycol-cleaving reagent did not affect them. High concentrations of urea (&gt;2.0 \n\t\t\t\t\tm) and MgCl2 (0.5 \n\t\t\t\t\tm) disrupted the tissues. The combination of Triton and urea at concentrations too low to cause damage separately was disruptive. Free radicals in periodate solutions were damaging. Organic solvents caused collapse and rearrangements of the AGAG filaments. Acetylation caused considerable disruption of shape modules. Dermochondan but not keratan sulphate AGAGs were removed by treatment with NaOH. After fixing with glutaraldehyde only free radical and NaOH treatments were severely disruptive of shape modules. The results are compatible with a previously proposed structure for the shape modules, stabilised by hydrophobic and hydrogen bonding.","container-title":"Journal of Anatomy","DOI":"10.1046/j.1469-7580.1998.19230391.x","ISSN":"0021-8782","issue":"Pt 3","journalAbbreviation":"J Anat","note":"PMID: 9688505\nPMCID: PMC1467783","page":"391-405","source":"PubMed Central","title":"The structure of interfibrillar proteoglycan bridges (‘shape modules’) in extracellular matrix of fibrous connective tissues and their stability in various chemical environments","volume":"192","author":[{"family":"Scott","given":"John E."},{"family":"Thomlinson","given":"Alison M."}],"issued":{"date-parts":[["1998",4]]}}}],"schema":"https://github.com/citation-style-language/schema/raw/master/csl-citation.json"} </w:instrText>
      </w:r>
      <w:r w:rsidRPr="00E27670">
        <w:rPr>
          <w:szCs w:val="24"/>
        </w:rPr>
        <w:fldChar w:fldCharType="separate"/>
      </w:r>
      <w:r w:rsidR="0097525F" w:rsidRPr="0097525F">
        <w:rPr>
          <w:rFonts w:cs="Times New Roman"/>
          <w:szCs w:val="24"/>
        </w:rPr>
        <w:t>(Pogány et al., 1994; Scott and Thomlinson, 1998; Kharaz et al., 2018)</w:t>
      </w:r>
      <w:r w:rsidRPr="00E27670">
        <w:rPr>
          <w:szCs w:val="24"/>
        </w:rPr>
        <w:fldChar w:fldCharType="end"/>
      </w:r>
      <w:r w:rsidRPr="00E27670">
        <w:rPr>
          <w:szCs w:val="24"/>
        </w:rPr>
        <w:t>. Interactions between the sGAG chains form interfibrillar PG bridges</w:t>
      </w:r>
      <w:r w:rsidR="00311380">
        <w:rPr>
          <w:szCs w:val="24"/>
        </w:rPr>
        <w:t>,</w:t>
      </w:r>
      <w:r w:rsidRPr="00E27670">
        <w:rPr>
          <w:szCs w:val="24"/>
        </w:rPr>
        <w:t xml:space="preserve"> </w:t>
      </w:r>
      <w:r w:rsidR="00311380">
        <w:rPr>
          <w:szCs w:val="24"/>
        </w:rPr>
        <w:t>which</w:t>
      </w:r>
      <w:r w:rsidRPr="00E27670">
        <w:rPr>
          <w:szCs w:val="24"/>
        </w:rPr>
        <w:t xml:space="preserve"> are believed to contribute to </w:t>
      </w:r>
      <w:r w:rsidR="00311380">
        <w:rPr>
          <w:szCs w:val="24"/>
        </w:rPr>
        <w:t xml:space="preserve">the </w:t>
      </w:r>
      <w:r w:rsidRPr="00E27670">
        <w:rPr>
          <w:szCs w:val="24"/>
        </w:rPr>
        <w:t xml:space="preserve">mechanical characteristics of collagenous tissues </w:t>
      </w:r>
      <w:r w:rsidRPr="00E27670">
        <w:rPr>
          <w:szCs w:val="24"/>
        </w:rPr>
        <w:fldChar w:fldCharType="begin"/>
      </w:r>
      <w:r w:rsidR="0097525F">
        <w:rPr>
          <w:szCs w:val="24"/>
        </w:rPr>
        <w:instrText xml:space="preserve"> ADDIN ZOTERO_ITEM CSL_CITATION {"citationID":"5uU21COO","properties":{"formattedCitation":"(Scott and Thomlinson, 1998; Scott, 2003)","plainCitation":"(Scott and Thomlinson, 1998; Scott, 2003)","noteIndex":0},"citationItems":[{"id":3106,"uris":["http://zotero.org/users/5692498/items/59BCY2TB"],"itemData":{"id":3106,"type":"article-journal","abstract":"Collagen fibrils in extracellular matrices of connective tissues (tendon, cornea, etc.) are bridged and linked by the anionic glycosaminoglycans (AGAGs) of the small proteoglycans (decoron, etc.). It was proposed that these bridges and ties maintain the collagen fibril dispositions in relation to each other, helping to define tissue shape, and hence called shape modules. This investigation describes chemical and physicochemical conditions in which these structures are stable and what treatments cause their disruption. The effects on fixed and unfixed sections of tendon, cornea, lung and ear from rat, mouse and rabbit of pH, electrolyte concentration, EDTA, mercaptoethanol, hydrogen peroxide, free radicals, periodate, acetylation, urea, nonionic detergent and organic solvents were assessed by staining with Cupromeronic blue or Alcec blue in CEC techniques to localise AGAG bridges or their disintegration products. Ca2+ was not involved in the structures, oxidation/reduction had no effect and Triton X100, a nonionic detergent did not damage them. They were stable between pH 4.5 and 9.5. Periodate as a glycol-cleaving reagent did not affect them. High concentrations of urea (&gt;2.0 \n\t\t\t\t\tm) and MgCl2 (0.5 \n\t\t\t\t\tm) disrupted the tissues. The combination of Triton and urea at concentrations too low to cause damage separately was disruptive. Free radicals in periodate solutions were damaging. Organic solvents caused collapse and rearrangements of the AGAG filaments. Acetylation caused considerable disruption of shape modules. Dermochondan but not keratan sulphate AGAGs were removed by treatment with NaOH. After fixing with glutaraldehyde only free radical and NaOH treatments were severely disruptive of shape modules. The results are compatible with a previously proposed structure for the shape modules, stabilised by hydrophobic and hydrogen bonding.","container-title":"Journal of Anatomy","DOI":"10.1046/j.1469-7580.1998.19230391.x","ISSN":"0021-8782","issue":"Pt 3","journalAbbreviation":"J Anat","note":"PMID: 9688505\nPMCID: PMC1467783","page":"391-405","source":"PubMed Central","title":"The structure of interfibrillar proteoglycan bridges (‘shape modules’) in extracellular matrix of fibrous connective tissues and their stability in various chemical environments","volume":"192","author":[{"family":"Scott","given":"John E."},{"family":"Thomlinson","given":"Alison M."}],"issued":{"date-parts":[["1998",4]]}}},{"id":3114,"uris":["http://zotero.org/users/5692498/items/VEHUR5YI"],"itemData":{"id":3114,"type":"article-journal","abstract":"Connective tissues (CTs), which define bodily shape, must respond quickly, robustly and reversibly to deformations caused by internal and external stresses. Fibrillar (elastin, collagen) elasticity under tension depends on molecular and supramolecular mechanisms. A second intra-/inter-molecular pair, involving proteoglycans (PGs), is proposed to cope with compressive stresses. PG interfibrillar bridges (‘shape modules’), supramolecular structures ubiquitously distributed throughout CT extracellular matrices (ECMs), are examined for potential elastic properties. l-iduronate residues in shape module decoran PGs are suggested to be molecular springs, cycling through alternative conformations. On a larger scale, anionic glycosaminoglycan (AGAG) interfibrillar bridges in shape modules are postulated to take part in a sliding filament (dashpot-like) process, which converts local compressions into disseminated tensile strains. The elasticity of fibrils and AGAGs, manifest at molecular and larger-scale levels, provides a graduated and smooth response to stresses of varying degrees. NMR and rheo NMR, computer modelling, electron histochemical, biophysical and chemical morphological evidence for the proposals is reviewed.","container-title":"The Journal of Physiology","DOI":"10.1113/jphysiol.2003.050179","ISSN":"0022-3751","issue":"Pt 2","journalAbbreviation":"J Physiol","note":"PMID: 12923209\nPMCID: PMC2343561","page":"335-343","source":"PubMed Central","title":"Elasticity in extracellular matrix ‘shape modules’ of tendon, cartilage, etc. A sliding proteoglycan-filament model","volume":"553","author":[{"family":"Scott","given":"J E"}],"issued":{"date-parts":[["2003",12,1]]}}}],"schema":"https://github.com/citation-style-language/schema/raw/master/csl-citation.json"} </w:instrText>
      </w:r>
      <w:r w:rsidRPr="00E27670">
        <w:rPr>
          <w:szCs w:val="24"/>
        </w:rPr>
        <w:fldChar w:fldCharType="separate"/>
      </w:r>
      <w:r w:rsidR="0097525F" w:rsidRPr="0097525F">
        <w:rPr>
          <w:rFonts w:cs="Times New Roman"/>
        </w:rPr>
        <w:t>(Scott and Thomlinson, 1998; Scott, 2003)</w:t>
      </w:r>
      <w:r w:rsidRPr="00E27670">
        <w:rPr>
          <w:szCs w:val="24"/>
        </w:rPr>
        <w:fldChar w:fldCharType="end"/>
      </w:r>
      <w:r w:rsidRPr="00E27670">
        <w:rPr>
          <w:szCs w:val="24"/>
        </w:rPr>
        <w:t xml:space="preserve">. Several studies have shown that decorin contributes to the organisation and mechanical properties of soft tissues such as the skin </w:t>
      </w:r>
      <w:r w:rsidRPr="00E27670">
        <w:rPr>
          <w:szCs w:val="24"/>
        </w:rPr>
        <w:fldChar w:fldCharType="begin"/>
      </w:r>
      <w:r w:rsidR="0097525F">
        <w:rPr>
          <w:szCs w:val="24"/>
        </w:rPr>
        <w:instrText xml:space="preserve"> ADDIN ZOTERO_ITEM CSL_CITATION {"citationID":"HqHBwf89","properties":{"formattedCitation":"(Danielson et al., 1997; Eshel and Lanir, 2001; Reed and Iozzo, 2002)","plainCitation":"(Danielson et al., 1997; Eshel and Lanir, 2001; Reed and Iozzo, 2002)","noteIndex":0},"citationItems":[{"id":3185,"uris":["http://zotero.org/users/5692498/items/ZNFR432Q"],"itemData":{"id":3185,"type":"article-journal","abstract":"Decorin is a member of the expanding group of widely distributed small leucine-rich proteoglycans that are expected to play important functions in tissue assembly. We report that mice harboring a targeted disruption of the decorin gene are viable but have fragile skin with markedly reduced tensile strength. Ultrastructural analysis revealed abnormal collagen morphology in skin and tendon, with coarser and irregular fiber outlines. Quantitative scanning transmission EM of individual collagen fibrils showed abrupt increases and decreases in mass along their axes. thereby accounting for the irregular outlines and size variability observed in cross-sections. The data indicate uncontrolled lateral fusion of collagen fibrils in the decorindeficient mice and provide an explanation for the reduced tensile strength of the skin. These findings demonstrate a fundamental role for decorin in regulating collagen fiber formation in vivo.","container-title":"The Journal of Cell Biology","DOI":"10.1083/jcb.136.3.729","ISSN":"0021-9525","issue":"3","journalAbbreviation":"J Cell Biol","language":"eng","note":"PMID: 9024701\nPMCID: PMC2134287","page":"729-743","source":"PubMed","title":"Targeted disruption of decorin leads to abnormal collagen fibril morphology and skin fragility","volume":"136","author":[{"family":"Danielson","given":"K. G."},{"family":"Baribault","given":"H."},{"family":"Holmes","given":"D. F."},{"family":"Graham","given":"H."},{"family":"Kadler","given":"K. E."},{"family":"Iozzo","given":"R. V."}],"issued":{"date-parts":[["1997",2,10]]}}},{"id":3188,"uris":["http://zotero.org/users/5692498/items/AWUIYQWE"],"itemData":{"id":3188,"type":"article-journal","abstract":"The mechanical response of rat dorsal skin was experimentally studied under cyclic uniaxial ramp stretches to various strain levels. Special emphasis was paid to the effects of the preconditioning protocol on the stress-strain relationship, and to the effects of ramp strain level and proteoglycan (PG) depletion, on viscoelasticity and preconditioning responses. The results show that preconditioning significantly reduced both the slope of the low strain stress-strain relationship, and the stress levels at consecutive stretch cycles. Following a short rest there was a significant partial recovery. Stress decay due to preconditioning was significant at all strain levels, and increased with strain. Stress relaxation was significant at all strain levels, but varied little with strain. Recovery following a 10 min rest was minor at all strain levels and varied little with strain. PG-depleted samples manifested similar response patterns. These results are consistent with the following notion: (1) skin consists of three mechanical components: elastin and proteoglycan which dominate the low strain response and are effected by preconditioning and (PG) depletion, and collagen which dominates the high strain response and is unaffected by preconditioning and PG depletion; (2) that the viscoelasticity of elastin and PG vs that of collagen are similar, so that rat dorsal skin can be regarded quasilinear viscoelastic.","container-title":"Annals of Biomedical Engineering","DOI":"10.1114/1.1349697","ISSN":"0090-6964","issue":"2","journalAbbreviation":"Ann Biomed Eng","language":"eng","note":"PMID: 11284671","page":"164-172","source":"PubMed","title":"Effects of strain level and proteoglycan depletion on preconditioning and viscoelastic responses of rat dorsal skin","volume":"29","author":[{"family":"Eshel","given":"H."},{"family":"Lanir","given":"Y."}],"issued":{"date-parts":[["2001",2]]}}},{"id":3054,"uris":["http://zotero.org/users/5692498/items/MZ53G5RJ"],"itemData":{"id":3054,"type":"article-journal","abstract":"Decorin, a prototype member of the growing family of the small leucine-rich proteoglycans (SLRP's), plays significant roles in tissue development and assembly, as well as playing both direct and indirect signaling roles. This review will concentrate on decorin's function in collagen fibrillogenesis as determined through the study of mice with a disrupted decorin gene. The fragile skin and abnormal tendon phenotypes initially observed were found to be due to fundamental alterations in collagen fibers, highlighting the crucial role of proteoglycans in general and SLRP's in particular in collagen fibrillogenesis. The altered fibril formation within tissues in turn leads to observable and quantifiable changes at the organismal level. Research into certain fibrotic processes with concomitant upregulation or reduction of decorin makes interesting comparisons with the collagen malformations seen in Dcn−/− mice. Overall, decorin is shown to be a vital player in maintaining skin and tendon integrity at the molecular level, among other functions. Published in 2003.","container-title":"Glycoconjugate Journal","DOI":"10.1023/A:1025383913444","ISSN":"1573-4986","issue":"4","journalAbbreviation":"Glycoconj J","language":"en","page":"249-255","source":"Springer Link","title":"The role of decorin in collagen fibrillogenesis and skin homeostasis","volume":"19","author":[{"family":"Reed","given":"Charles C."},{"family":"Iozzo","given":"Renato V."}],"issued":{"date-parts":[["2002",5,1]]}}}],"schema":"https://github.com/citation-style-language/schema/raw/master/csl-citation.json"} </w:instrText>
      </w:r>
      <w:r w:rsidRPr="00E27670">
        <w:rPr>
          <w:szCs w:val="24"/>
        </w:rPr>
        <w:fldChar w:fldCharType="separate"/>
      </w:r>
      <w:r w:rsidR="0097525F" w:rsidRPr="0097525F">
        <w:rPr>
          <w:rFonts w:cs="Times New Roman"/>
        </w:rPr>
        <w:t>(Danielson et al., 1997; Eshel and Lanir, 2001; Reed and Iozzo, 2002)</w:t>
      </w:r>
      <w:r w:rsidRPr="00E27670">
        <w:rPr>
          <w:szCs w:val="24"/>
        </w:rPr>
        <w:fldChar w:fldCharType="end"/>
      </w:r>
      <w:r w:rsidRPr="00E27670">
        <w:rPr>
          <w:szCs w:val="24"/>
        </w:rPr>
        <w:t xml:space="preserve"> and tendons </w:t>
      </w:r>
      <w:r w:rsidRPr="00E27670">
        <w:rPr>
          <w:szCs w:val="24"/>
        </w:rPr>
        <w:fldChar w:fldCharType="begin"/>
      </w:r>
      <w:r w:rsidR="0097525F">
        <w:rPr>
          <w:szCs w:val="24"/>
        </w:rPr>
        <w:instrText xml:space="preserve"> ADDIN ZOTERO_ITEM CSL_CITATION {"citationID":"PxcRGiV9","properties":{"formattedCitation":"(Robinson et al., 2005, 2017; Connizzo et al., 2013)","plainCitation":"(Robinson et al., 2005, 2017; Connizzo et al., 2013)","noteIndex":0},"citationItems":[{"id":3190,"uris":["http://zotero.org/users/5692498/items/YTF2Y5II"],"itemData":{"id":3190,"type":"article-journal","abstract":"Evaluations of tendon mechanical behavior based on biochemical and structural arrangement have implications for designing tendon specific treatment modalities or replacement strategies. In addition to the well studied type I collagen, other important constituents of tendon are the small proteoglycans (PGs). PGs have been shown to vary in concentration within differently loaded areas of tendon, implicating them in specific tendon function. This study measured the mechanical properties of multiple tendon tissues from normal mice and from mice with knock-outs of the PGs decorin or biglycan. Tail tendon fascicles, patellar tendons (PT), and flexor digitorum longus tendons (FDL), three tissues representing different in vivo loading environments, were characterized from the three groups of mice. It was hypothesized that the absence of decorin or biglycan would have individual effects on each type of tendon tissue. Surprisingly, no change in mechanical properties was observed for the tail tendon fascicles due to the PG knockouts. The loss of decorin affected the PT causing an increase in modulus and stress relaxation, but had little effect on the FDL. Conversely, the loss of biglycan did not significantly affect the PT, but caused a reduction in both the maximum stress and modulus of the FDL. These results give mechanical support to previous biochemical data that tendons likely are uniquely tailored to their specific location and function. Variances such as those presented here need to be further characterized and taken into account when designing therapies or replacements for any one particular tendon.","container-title":"Journal of Biomechanical Engineering","DOI":"10.1115/1.1835363","ISSN":"0148-0731","issue":"1","journalAbbreviation":"J Biomech Eng","language":"eng","note":"PMID: 15868800","page":"181-185","source":"PubMed","title":"Influence of decorin and biglycan on mechanical properties of multiple tendons in knockout mice","volume":"127","author":[{"family":"Robinson","given":"Paul S."},{"family":"Huang","given":"Tung-Fu"},{"family":"Kazam","given":"Elan"},{"family":"Iozzo","given":"Renato V."},{"family":"Birk","given":"David E."},{"family":"Soslowsky","given":"Louis J."}],"issued":{"date-parts":[["2005",2]]}}},{"id":3056,"uris":["http://zotero.org/users/5692498/items/QFTXSWEM"],"itemData":{"id":3056,"type":"article-journal","abstract":"The small leucine-rich proteoglycans (SLRPs), decorin and biglycan, are key regulators of collagen fibril and matrix assembly. The goal of this work was to elucidate the roles of decorin and biglycan in tendon homeostasis. Our central hypothesis is that decorin and biglycan expression in the mature tendon would be critical for the maintenance of the structural and mechanical properties of healthy tendons. Defining the function(s) of these SLRPs in tendon homeostasis requires that effects in the mature tendon be isolated from their influence on development. Thus, we generated an inducible knockout mouse model that permits genetic ablation of decorin and biglycan expression in the mature tendon, while maintaining normal expression during development. Decorin and biglycan expression were knocked out in the mature patellar tendon with the subsequent turnover of endogenous SLRPs deposited prior to induction. The acute absence of SLRP expression was associated with changes in fibril structure with a general shift to larger diameter fibrils in the compound knockout tendons, together with fibril diameter heterogeneity. In addition, tendon mechanical properties were altered. Compared to wild-type controls, acute ablation of both genes resulted in failure of the tendon at lower loads, decreased stiffness, a trend towards decreased dynamic modulus, as well as a significant increase in percent relaxation and tissue viscosity. Collagen fiber realignment was also increased with a delayed and slower in response to load in the absence of expression. These structural and functional changes in response to an acute loss of decorin and biglycan expression in the mature tendon demonstrate a significant role for these SLRPs in adult tendon homeostasis.","container-title":"Matrix Biology","DOI":"10.1016/j.matbio.2017.08.004","ISSN":"0945-053X","journalAbbreviation":"Matrix Biology","language":"en","page":"81-93","source":"ScienceDirect","title":"Decorin and biglycan are necessary for maintaining collagen fibril structure, fiber realignment, and mechanical properties of mature tendons","volume":"64","author":[{"family":"Robinson","given":"Kelsey A."},{"family":"Sun","given":"Mei"},{"family":"Barnum","given":"Carrie E."},{"family":"Weiss","given":"Stephanie N."},{"family":"Huegel","given":"Julianne"},{"family":"Shetye","given":"Snehal S."},{"family":"Lin","given":"Linda"},{"family":"Saez","given":"Daniel"},{"family":"Adams","given":"Sheila M."},{"family":"Iozzo","given":"Renato V."},{"family":"Soslowsky","given":"Louis J."},{"family":"Birk","given":"David E."}],"issued":{"date-parts":[["2017",12,1]]}}},{"id":3193,"uris":["http://zotero.org/users/5692498/items/K4FY88H6"],"itemData":{"id":3193,"type":"article-journal","abstract":"Collagen fiber realignment is one mechanism by which tendon responds to load. Re-alignment is altered when the structure of tendon is altered, such as in the natural process of aging or with alterations of matrix proteins, such as proteoglycan expression. While changes in re-alignment and mechanical properties have been investigated recently during development, they have not been studied in (1) aged tendons, or (2) in the absence of key proteoglycans. Collagen fiber re-alignment and the corresponding mechanical properties are quantified throughout tensile mechanical testing in both the insertion site and the midsubstance of mouse supraspinatus tendons in wild type (WT), decorin-null (Dcn(-/-)), and biglycan-null (Bgn(-/-)) mice at three different ages (90 days, 300 days, and 570 days). Percent relaxation was significantly decreased with age in the WT and Dcn(-/-) tendons, but not in the Bgn(-/-) tendons. Changes with age were found in the linear modulus at the insertion site where the 300 day group was greater than the 90 day and 570 day group in the Bgn(-/-) tendons and the 90 day group was smaller than the 300 day and 570 day groups in the Dcn(-/-) tendons. However, no changes in modulus were found across age in WT tendons were found. The midsubstance fibers of the WT and Bgn(-/-) tendons were initially less aligned with increasing age. The re-alignment was significantly altered with age in the WT tendons, with older groups responding to load later in the mechanical test. This was also seen in the Dcn(-/-) midsubstance and the Bgn(-/-) insertion, but not in the other locations. Although some studies have found changes in the WT mechanical properties with age, this study did not support those findings. However, it did show fiber re-alignment changes at both locations with age, suggesting a breakdown of tendon's ability to respond to load in later ages. In the proteoglycan-null tendons however, there were changes in the mechanical properties, accompanied only by location-dependent re-alignment changes, suggesting a site-specific role for these molecules in loading. Finally, changes in the mechanical properties did not occur in concert with changes in re-alignment, suggesting that typical mechanical property measurements alone are insufficient to describe how structural alterations affect tendon's response to load.","container-title":"Journal of Biomechanical Engineering","DOI":"10.1115/1.4023234","ISSN":"1528-8951","issue":"2","journalAbbreviation":"J Biomech Eng","language":"eng","note":"PMID: 23445064\nPMCID: PMC5413158","page":"021019","source":"PubMed","title":"Effect of age and proteoglycan deficiency on collagen fiber re-alignment and mechanical properties in mouse supraspinatus tendon","volume":"135","author":[{"family":"Connizzo","given":"Brianne K."},{"family":"Sarver","given":"Joseph J."},{"family":"Birk","given":"David E."},{"family":"Soslowsky","given":"Louis J."},{"family":"Iozzo","given":"Renato V."}],"issued":{"date-parts":[["2013",2]]}}}],"schema":"https://github.com/citation-style-language/schema/raw/master/csl-citation.json"} </w:instrText>
      </w:r>
      <w:r w:rsidRPr="00E27670">
        <w:rPr>
          <w:szCs w:val="24"/>
        </w:rPr>
        <w:fldChar w:fldCharType="separate"/>
      </w:r>
      <w:r w:rsidR="0097525F" w:rsidRPr="0097525F">
        <w:rPr>
          <w:rFonts w:cs="Times New Roman"/>
        </w:rPr>
        <w:t>(Robinson et al., 2005, 2017; Connizzo et al., 2013)</w:t>
      </w:r>
      <w:r w:rsidRPr="00E27670">
        <w:rPr>
          <w:szCs w:val="24"/>
        </w:rPr>
        <w:fldChar w:fldCharType="end"/>
      </w:r>
      <w:r w:rsidRPr="00E27670">
        <w:rPr>
          <w:szCs w:val="24"/>
        </w:rPr>
        <w:t xml:space="preserve">. </w:t>
      </w:r>
      <w:bookmarkStart w:id="0" w:name="_Hlk59364340"/>
      <w:r w:rsidRPr="00E27670">
        <w:rPr>
          <w:szCs w:val="24"/>
        </w:rPr>
        <w:t xml:space="preserve">The </w:t>
      </w:r>
      <w:r w:rsidR="00311380">
        <w:rPr>
          <w:szCs w:val="24"/>
        </w:rPr>
        <w:t>sGAG chains’ role in</w:t>
      </w:r>
      <w:r w:rsidRPr="00E27670">
        <w:rPr>
          <w:szCs w:val="24"/>
        </w:rPr>
        <w:t xml:space="preserve"> tissue mechanics has been </w:t>
      </w:r>
      <w:r w:rsidR="00311380">
        <w:rPr>
          <w:szCs w:val="24"/>
        </w:rPr>
        <w:t>vital</w:t>
      </w:r>
      <w:r w:rsidRPr="00E27670">
        <w:rPr>
          <w:szCs w:val="24"/>
        </w:rPr>
        <w:t xml:space="preserve"> at low stress and strain levels </w:t>
      </w:r>
      <w:r w:rsidRPr="00E27670">
        <w:rPr>
          <w:szCs w:val="24"/>
        </w:rPr>
        <w:fldChar w:fldCharType="begin"/>
      </w:r>
      <w:r w:rsidR="0097525F">
        <w:rPr>
          <w:szCs w:val="24"/>
        </w:rPr>
        <w:instrText xml:space="preserve"> ADDIN ZOTERO_ITEM CSL_CITATION {"citationID":"e4yyQo3x","properties":{"formattedCitation":"(Eshel and Lanir, 2001; Eckert et al., 2013)","plainCitation":"(Eshel and Lanir, 2001; Eckert et al., 2013)","noteIndex":0},"citationItems":[{"id":3188,"uris":["http://zotero.org/users/5692498/items/AWUIYQWE"],"itemData":{"id":3188,"type":"article-journal","abstract":"The mechanical response of rat dorsal skin was experimentally studied under cyclic uniaxial ramp stretches to various strain levels. Special emphasis was paid to the effects of the preconditioning protocol on the stress-strain relationship, and to the effects of ramp strain level and proteoglycan (PG) depletion, on viscoelasticity and preconditioning responses. The results show that preconditioning significantly reduced both the slope of the low strain stress-strain relationship, and the stress levels at consecutive stretch cycles. Following a short rest there was a significant partial recovery. Stress decay due to preconditioning was significant at all strain levels, and increased with strain. Stress relaxation was significant at all strain levels, but varied little with strain. Recovery following a 10 min rest was minor at all strain levels and varied little with strain. PG-depleted samples manifested similar response patterns. These results are consistent with the following notion: (1) skin consists of three mechanical components: elastin and proteoglycan which dominate the low strain response and are effected by preconditioning and (PG) depletion, and collagen which dominates the high strain response and is unaffected by preconditioning and PG depletion; (2) that the viscoelasticity of elastin and PG vs that of collagen are similar, so that rat dorsal skin can be regarded quasilinear viscoelastic.","container-title":"Annals of Biomedical Engineering","DOI":"10.1114/1.1349697","ISSN":"0090-6964","issue":"2","journalAbbreviation":"Ann Biomed Eng","language":"eng","note":"PMID: 11284671","page":"164-172","source":"PubMed","title":"Effects of strain level and proteoglycan depletion on preconditioning and viscoelastic responses of rat dorsal skin","volume":"29","author":[{"family":"Eshel","given":"H."},{"family":"Lanir","given":"Y."}],"issued":{"date-parts":[["2001",2]]}}},{"id":913,"uris":["http://zotero.org/users/5692498/items/BE8DU7UF"],"itemData":{"id":913,"type":"article-journal","container-title":"Acta Biomaterialia","DOI":"10.1016/j.actbio.2012.09.031","ISSN":"1878-7568 (Electronic) 1742-7061 (Linking)","issue":"1","note":"type: Journal Article\nCitation Key: RN1445","page":"4653-4660","title":"On the biomechanical role of glycosaminoglycans in the aortic heart valve leaflet","volume":"9","author":[{"family":"Eckert","given":"C E"},{"family":"Fan","given":"R"},{"family":"Mikulis","given":"B"},{"family":"Barron","given":"M"},{"family":"Carruthers","given":"C A"},{"family":"Friebe","given":"V M"},{"family":"Vyavahare","given":"N R"},{"family":"Sacks","given":"M S"}],"issued":{"date-parts":[["2013"]]}}}],"schema":"https://github.com/citation-style-language/schema/raw/master/csl-citation.json"} </w:instrText>
      </w:r>
      <w:r w:rsidRPr="00E27670">
        <w:rPr>
          <w:szCs w:val="24"/>
        </w:rPr>
        <w:fldChar w:fldCharType="separate"/>
      </w:r>
      <w:r w:rsidR="0097525F" w:rsidRPr="0097525F">
        <w:rPr>
          <w:rFonts w:cs="Times New Roman"/>
        </w:rPr>
        <w:t>(Eshel and Lanir, 2001; Eckert et al., 2013)</w:t>
      </w:r>
      <w:r w:rsidRPr="00E27670">
        <w:rPr>
          <w:szCs w:val="24"/>
        </w:rPr>
        <w:fldChar w:fldCharType="end"/>
      </w:r>
      <w:r w:rsidRPr="00E27670">
        <w:rPr>
          <w:szCs w:val="24"/>
        </w:rPr>
        <w:t>.</w:t>
      </w:r>
      <w:r w:rsidR="001743D1">
        <w:rPr>
          <w:szCs w:val="24"/>
        </w:rPr>
        <w:t xml:space="preserve"> </w:t>
      </w:r>
      <w:proofErr w:type="spellStart"/>
      <w:r w:rsidR="001743D1">
        <w:rPr>
          <w:szCs w:val="24"/>
        </w:rPr>
        <w:t>Eshel</w:t>
      </w:r>
      <w:proofErr w:type="spellEnd"/>
      <w:r w:rsidR="001743D1">
        <w:rPr>
          <w:szCs w:val="24"/>
        </w:rPr>
        <w:t xml:space="preserve"> and </w:t>
      </w:r>
      <w:proofErr w:type="spellStart"/>
      <w:r w:rsidR="001743D1">
        <w:rPr>
          <w:szCs w:val="24"/>
        </w:rPr>
        <w:t>Lanir</w:t>
      </w:r>
      <w:proofErr w:type="spellEnd"/>
      <w:r w:rsidR="001743D1">
        <w:rPr>
          <w:szCs w:val="24"/>
        </w:rPr>
        <w:t xml:space="preserve"> </w:t>
      </w:r>
      <w:r w:rsidR="001743D1" w:rsidRPr="00E27670">
        <w:rPr>
          <w:szCs w:val="24"/>
        </w:rPr>
        <w:t xml:space="preserve"> </w:t>
      </w:r>
      <w:r w:rsidR="001743D1" w:rsidRPr="00E27670">
        <w:rPr>
          <w:szCs w:val="24"/>
        </w:rPr>
        <w:fldChar w:fldCharType="begin"/>
      </w:r>
      <w:r w:rsidR="001743D1">
        <w:rPr>
          <w:szCs w:val="24"/>
        </w:rPr>
        <w:instrText xml:space="preserve"> ADDIN ZOTERO_ITEM CSL_CITATION {"citationID":"YT2Y3RMs","properties":{"formattedCitation":"(2001)","plainCitation":"(2001)","noteIndex":0},"citationItems":[{"id":3188,"uris":["http://zotero.org/users/5692498/items/AWUIYQWE"],"itemData":{"id":3188,"type":"article-journal","abstract":"The mechanical response of rat dorsal skin was experimentally studied under cyclic uniaxial ramp stretches to various strain levels. Special emphasis was paid to the effects of the preconditioning protocol on the stress-strain relationship, and to the effects of ramp strain level and proteoglycan (PG) depletion, on viscoelasticity and preconditioning responses. The results show that preconditioning significantly reduced both the slope of the low strain stress-strain relationship, and the stress levels at consecutive stretch cycles. Following a short rest there was a significant partial recovery. Stress decay due to preconditioning was significant at all strain levels, and increased with strain. Stress relaxation was significant at all strain levels, but varied little with strain. Recovery following a 10 min rest was minor at all strain levels and varied little with strain. PG-depleted samples manifested similar response patterns. These results are consistent with the following notion: (1) skin consists of three mechanical components: elastin and proteoglycan which dominate the low strain response and are effected by preconditioning and (PG) depletion, and collagen which dominates the high strain response and is unaffected by preconditioning and PG depletion; (2) that the viscoelasticity of elastin and PG vs that of collagen are similar, so that rat dorsal skin can be regarded quasilinear viscoelastic.","container-title":"Annals of Biomedical Engineering","DOI":"10.1114/1.1349697","ISSN":"0090-6964","issue":"2","journalAbbreviation":"Ann Biomed Eng","language":"eng","note":"PMID: 11284671","page":"164-172","source":"PubMed","title":"Effects of strain level and proteoglycan depletion on preconditioning and viscoelastic responses of rat dorsal skin","volume":"29","author":[{"family":"Eshel","given":"H."},{"family":"Lanir","given":"Y."}],"issued":{"date-parts":[["2001",2]]}},"suppress-author":true}],"schema":"https://github.com/citation-style-language/schema/raw/master/csl-citation.json"} </w:instrText>
      </w:r>
      <w:r w:rsidR="001743D1" w:rsidRPr="00E27670">
        <w:rPr>
          <w:szCs w:val="24"/>
        </w:rPr>
        <w:fldChar w:fldCharType="separate"/>
      </w:r>
      <w:r w:rsidR="001743D1" w:rsidRPr="001743D1">
        <w:rPr>
          <w:rFonts w:cs="Times New Roman"/>
        </w:rPr>
        <w:t>(2001)</w:t>
      </w:r>
      <w:r w:rsidR="001743D1" w:rsidRPr="00E27670">
        <w:rPr>
          <w:szCs w:val="24"/>
        </w:rPr>
        <w:fldChar w:fldCharType="end"/>
      </w:r>
      <w:r w:rsidR="001743D1">
        <w:rPr>
          <w:szCs w:val="24"/>
        </w:rPr>
        <w:t xml:space="preserve"> reported that PGs control rat dorsal skin’s response at low strain levels where the collagen fibres were still crimped </w:t>
      </w:r>
      <w:r w:rsidR="001743D1" w:rsidRPr="00E27670">
        <w:rPr>
          <w:szCs w:val="24"/>
        </w:rPr>
        <w:t>(toe region of stress-strain behaviour)</w:t>
      </w:r>
      <w:r w:rsidR="001743D1">
        <w:rPr>
          <w:szCs w:val="24"/>
        </w:rPr>
        <w:t>.</w:t>
      </w:r>
      <w:bookmarkEnd w:id="0"/>
      <w:r w:rsidR="001743D1">
        <w:rPr>
          <w:szCs w:val="24"/>
        </w:rPr>
        <w:t xml:space="preserve"> </w:t>
      </w:r>
      <w:r w:rsidRPr="00E27670">
        <w:rPr>
          <w:szCs w:val="24"/>
        </w:rPr>
        <w:t>Similarly, the sGAG content in porcine aortic heart valve leaflets may provide a damping mechanism reducing aortic valve leaflet flutter when the leaflet is not under high tensile stress, reportedly due to strong associations with fibre-fibre and fibre-matrix interaction at low</w:t>
      </w:r>
      <w:r w:rsidR="00311380">
        <w:rPr>
          <w:szCs w:val="24"/>
        </w:rPr>
        <w:t>-</w:t>
      </w:r>
      <w:r w:rsidRPr="00E27670">
        <w:rPr>
          <w:szCs w:val="24"/>
        </w:rPr>
        <w:t xml:space="preserve">stress levels </w:t>
      </w:r>
      <w:bookmarkStart w:id="1" w:name="_Hlk59364827"/>
      <w:r w:rsidRPr="00E27670">
        <w:rPr>
          <w:szCs w:val="24"/>
        </w:rPr>
        <w:fldChar w:fldCharType="begin"/>
      </w:r>
      <w:r w:rsidR="0097525F">
        <w:rPr>
          <w:szCs w:val="24"/>
        </w:rPr>
        <w:instrText xml:space="preserve"> ADDIN ZOTERO_ITEM CSL_CITATION {"citationID":"yUrcPb9U","properties":{"formattedCitation":"(Eckert et al., 2013)","plainCitation":"(Eckert et al., 2013)","noteIndex":0},"citationItems":[{"id":913,"uris":["http://zotero.org/users/5692498/items/BE8DU7UF"],"itemData":{"id":913,"type":"article-journal","container-title":"Acta Biomaterialia","DOI":"10.1016/j.actbio.2012.09.031","ISSN":"1878-7568 (Electronic) 1742-7061 (Linking)","issue":"1","note":"type: Journal Article\nCitation Key: RN1445","page":"4653-4660","title":"On the biomechanical role of glycosaminoglycans in the aortic heart valve leaflet","volume":"9","author":[{"family":"Eckert","given":"C E"},{"family":"Fan","given":"R"},{"family":"Mikulis","given":"B"},{"family":"Barron","given":"M"},{"family":"Carruthers","given":"C A"},{"family":"Friebe","given":"V M"},{"family":"Vyavahare","given":"N R"},{"family":"Sacks","given":"M S"}],"issued":{"date-parts":[["2013"]]}}}],"schema":"https://github.com/citation-style-language/schema/raw/master/csl-citation.json"} </w:instrText>
      </w:r>
      <w:r w:rsidRPr="00E27670">
        <w:rPr>
          <w:szCs w:val="24"/>
        </w:rPr>
        <w:fldChar w:fldCharType="separate"/>
      </w:r>
      <w:r w:rsidR="0097525F" w:rsidRPr="0097525F">
        <w:rPr>
          <w:rFonts w:cs="Times New Roman"/>
        </w:rPr>
        <w:t>(Eckert et al., 2013)</w:t>
      </w:r>
      <w:r w:rsidRPr="00E27670">
        <w:rPr>
          <w:szCs w:val="24"/>
        </w:rPr>
        <w:fldChar w:fldCharType="end"/>
      </w:r>
      <w:r w:rsidRPr="00E27670">
        <w:rPr>
          <w:szCs w:val="24"/>
        </w:rPr>
        <w:t>.</w:t>
      </w:r>
      <w:bookmarkEnd w:id="1"/>
      <w:r w:rsidRPr="00E27670">
        <w:rPr>
          <w:szCs w:val="24"/>
        </w:rPr>
        <w:t xml:space="preserve"> In addition to the cross-linking function of sGAG, the chains of sGAG may affect </w:t>
      </w:r>
      <w:r w:rsidR="00311380">
        <w:rPr>
          <w:szCs w:val="24"/>
        </w:rPr>
        <w:t xml:space="preserve">the </w:t>
      </w:r>
      <w:r w:rsidRPr="00E27670">
        <w:rPr>
          <w:szCs w:val="24"/>
        </w:rPr>
        <w:t xml:space="preserve">hydration of soft tissues due to its highly negative charges </w:t>
      </w:r>
      <w:bookmarkStart w:id="2" w:name="_Hlk59376606"/>
      <w:r w:rsidRPr="00E27670">
        <w:rPr>
          <w:szCs w:val="24"/>
        </w:rPr>
        <w:fldChar w:fldCharType="begin"/>
      </w:r>
      <w:r w:rsidR="0097525F">
        <w:rPr>
          <w:szCs w:val="24"/>
        </w:rPr>
        <w:instrText xml:space="preserve"> ADDIN ZOTERO_ITEM CSL_CITATION {"citationID":"1XaWjYkY","properties":{"formattedCitation":"(Amiel et al., 1995; Thornton et al., 2001; Murienne et al., 2015)","plainCitation":"(Amiel et al., 1995; Thornton et al., 2001; Murienne et al., 2015)","noteIndex":0},"citationItems":[{"id":577,"uris":["http://zotero.org/users/5692498/items/J6MVQ3QR"],"itemData":{"id":577,"type":"chapter","container-title":"Repetitive Motion Disorders of the Upper Extremity","edition":"1st","event-place":"Rosemont, IL","page":"217-230","publisher":"Rosemont","publisher-place":"Rosemont, IL","title":"Effect of loading on metabolism and repair of tendons and ligaments","author":[{"family":"Amiel","given":"D"},{"family":"Chu","given":"C R"},{"family":"Lee","given":"J"}],"issued":{"date-parts":[["1995"]]}}},{"id":194,"uris":["http://zotero.org/users/5692498/items/B53XXHHT"],"itemData":{"id":194,"type":"article-journal","container-title":"Acta Biomaterialia","DOI":"10.1016/j.actbio.2014.10.033","ISSN":"1878-7568 (Electronic) 1742-7061 (Linking)","note":"type: Journal Article\nCitation Key: RN1279","page":"195-206","title":"The effects of glycosaminoglycan degradation on the mechanical behavior of the posterior porcine sclera","volume":"12","author":[{"family":"Murienne","given":"B J"},{"family":"Jefferys","given":"J L"},{"family":"Quigley","given":"H A"},{"family":"Nguyen","given":"T D"}],"issued":{"date-parts":[["2015"]]}}},{"id":3119,"uris":["http://zotero.org/users/5692498/items/ZQVAB6LJ"],"itemData":{"id":3119,"type":"article-journal","abstract":"The water content of a ligament can be altered by injury and surgical intervention in vivo, and inadvertently or purposely during in vitro tests. We investigated how altering the water content of the rabbit medial collateral ligament (MCL) affected its resulting creep behaviour (defined as an increase in strain from sequential cyclic and static creep tests). The water content of normal MCLs (n=4) was compared to that of MCLs soaked for 1 h in a sucrose solution (n=4) or phosphate buffered saline (PBS; n=8). Sucrose exposure decreased hydration and PBS exposure increased hydration. In addition, soaking in PBS caused a shift in “ligament zero” (the position where there was 0.1 N of tension on the ligament). Following the same single solution treatment, additional MCLs were creep tested at 4.1 MPa using a load based on the ligament cross-sectional area measured before solution treatment: sucrose (n=4), PBS new “ligament zero” (n=5), and PBS old “ligament zero” (n=6). Normal MCLs were also tested at 4.1 MPa (n=7) in a humidity chamber that maintained normal ligament water content. Additional MCLs were treated with both solutions in series (n=12) to examine the reversibility of the mechanical changes caused by single solution treatment. This was the first investigation to show that ligament creep behaviour was clearly affected by the initial state of hydration: creep decreased with decreased hydration and creep increased with increased hydration. Another unique finding was that ligaments with increased hydration had decreased ligament functional length and increased ligament pre-stress. The creep behaviour of these ligaments was decreased if they were loaded from the pre-stressed state compared to the unloaded state. These results suggest that maintenance of physiological water content is important for in vitro mechanical testing of ligaments and controlling the low-load stress state of ligaments in situ.","container-title":"Journal of Orthopaedic Research","DOI":"10.1016/S0736-0266(01)00005-5","ISSN":"0736-0266","issue":"5","journalAbbreviation":"Journal of Orthopaedic Research","language":"en","page":"845-851","source":"ScienceDirect","title":"Altering ligament water content affects ligament pre-stress and creep behaviour","volume":"19","author":[{"family":"Thornton","given":"G. M"},{"family":"Shrive","given":"N. G"},{"family":"Frank","given":"C. B"}],"issued":{"date-parts":[["2001",9,1]]}}}],"schema":"https://github.com/citation-style-language/schema/raw/master/csl-citation.json"} </w:instrText>
      </w:r>
      <w:r w:rsidRPr="00E27670">
        <w:rPr>
          <w:szCs w:val="24"/>
        </w:rPr>
        <w:fldChar w:fldCharType="separate"/>
      </w:r>
      <w:r w:rsidR="0097525F" w:rsidRPr="0097525F">
        <w:rPr>
          <w:rFonts w:cs="Times New Roman"/>
        </w:rPr>
        <w:t>(Amiel et al., 1995; Thornton et al., 2001; Murienne et al., 2015)</w:t>
      </w:r>
      <w:r w:rsidRPr="00E27670">
        <w:rPr>
          <w:szCs w:val="24"/>
        </w:rPr>
        <w:fldChar w:fldCharType="end"/>
      </w:r>
      <w:bookmarkStart w:id="3" w:name="_Hlk59387255"/>
      <w:bookmarkEnd w:id="2"/>
      <w:r w:rsidRPr="00E27670">
        <w:rPr>
          <w:szCs w:val="24"/>
        </w:rPr>
        <w:t xml:space="preserve">. The water molecules bond with sGAG can act as a lubricant between collagen fibrils </w:t>
      </w:r>
      <w:r w:rsidRPr="00E27670">
        <w:rPr>
          <w:szCs w:val="24"/>
        </w:rPr>
        <w:fldChar w:fldCharType="begin"/>
      </w:r>
      <w:r w:rsidR="0097525F">
        <w:rPr>
          <w:szCs w:val="24"/>
        </w:rPr>
        <w:instrText xml:space="preserve"> ADDIN ZOTERO_ITEM CSL_CITATION {"citationID":"soYlsNDe","properties":{"formattedCitation":"(Scott, 2003)","plainCitation":"(Scott, 2003)","noteIndex":0},"citationItems":[{"id":3114,"uris":["http://zotero.org/users/5692498/items/VEHUR5YI"],"itemData":{"id":3114,"type":"article-journal","abstract":"Connective tissues (CTs), which define bodily shape, must respond quickly, robustly and reversibly to deformations caused by internal and external stresses. Fibrillar (elastin, collagen) elasticity under tension depends on molecular and supramolecular mechanisms. A second intra-/inter-molecular pair, involving proteoglycans (PGs), is proposed to cope with compressive stresses. PG interfibrillar bridges (‘shape modules’), supramolecular structures ubiquitously distributed throughout CT extracellular matrices (ECMs), are examined for potential elastic properties. l-iduronate residues in shape module decoran PGs are suggested to be molecular springs, cycling through alternative conformations. On a larger scale, anionic glycosaminoglycan (AGAG) interfibrillar bridges in shape modules are postulated to take part in a sliding filament (dashpot-like) process, which converts local compressions into disseminated tensile strains. The elasticity of fibrils and AGAGs, manifest at molecular and larger-scale levels, provides a graduated and smooth response to stresses of varying degrees. NMR and rheo NMR, computer modelling, electron histochemical, biophysical and chemical morphological evidence for the proposals is reviewed.","container-title":"The Journal of Physiology","DOI":"10.1113/jphysiol.2003.050179","ISSN":"0022-3751","issue":"Pt 2","journalAbbreviation":"J Physiol","note":"PMID: 12923209\nPMCID: PMC2343561","page":"335-343","source":"PubMed Central","title":"Elasticity in extracellular matrix ‘shape modules’ of tendon, cartilage, etc. A sliding proteoglycan-filament model","volume":"553","author":[{"family":"Scott","given":"J E"}],"issued":{"date-parts":[["2003",12,1]]}}}],"schema":"https://github.com/citation-style-language/schema/raw/master/csl-citation.json"} </w:instrText>
      </w:r>
      <w:r w:rsidRPr="00E27670">
        <w:rPr>
          <w:szCs w:val="24"/>
        </w:rPr>
        <w:fldChar w:fldCharType="separate"/>
      </w:r>
      <w:r w:rsidR="0097525F" w:rsidRPr="0097525F">
        <w:rPr>
          <w:rFonts w:cs="Times New Roman"/>
        </w:rPr>
        <w:t>(Scott, 2003)</w:t>
      </w:r>
      <w:r w:rsidRPr="00E27670">
        <w:rPr>
          <w:szCs w:val="24"/>
        </w:rPr>
        <w:fldChar w:fldCharType="end"/>
      </w:r>
      <w:r w:rsidRPr="00E27670">
        <w:rPr>
          <w:szCs w:val="24"/>
        </w:rPr>
        <w:t xml:space="preserve"> and facilitate </w:t>
      </w:r>
      <w:r w:rsidR="00311380">
        <w:rPr>
          <w:szCs w:val="24"/>
        </w:rPr>
        <w:t xml:space="preserve">the </w:t>
      </w:r>
      <w:r w:rsidRPr="00E27670">
        <w:rPr>
          <w:szCs w:val="24"/>
        </w:rPr>
        <w:t xml:space="preserve">sliding of the fibrils during tensile stretches </w:t>
      </w:r>
      <w:r w:rsidRPr="00E27670">
        <w:rPr>
          <w:szCs w:val="24"/>
        </w:rPr>
        <w:fldChar w:fldCharType="begin"/>
      </w:r>
      <w:r w:rsidR="0097525F">
        <w:rPr>
          <w:szCs w:val="24"/>
        </w:rPr>
        <w:instrText xml:space="preserve"> ADDIN ZOTERO_ITEM CSL_CITATION {"citationID":"qdZLq0vH","properties":{"formattedCitation":"(Puxkandl et al., 2002)","plainCitation":"(Puxkandl et al., 2002)","noteIndex":0},"citationItems":[{"id":3111,"uris":["http://zotero.org/users/5692498/items/3JA535JN"],"itemData":{"id":3111,"type":"article-journal","abstract":"Collagen type I is the most abundant structural protein in tendon, skin and bone, and largely determines the mechanical behaviour of these connective tissues. To obtain a better understanding of the relationship between structure and mechanical properties, tensile tests and synchrotron X-ray scattering have been carried out simultaneously, correlating the mechanical behaviour with changes in the microstructure. Because intermolecular cross-links are thought to have a great influence on the mechanical behaviour of collagen, we also carried out experiments using cross-link-deficient tail-tendon collagen from rats fed with beta-APN, in addition to normal controls. The load-elongation curve of tendon collagen has a characteristic shape with, initially, an increasing slope, corresponding to an increasing stiffness, followed by yielding and then fracture. Cross-link-deficient collagen produces a quite different curve with a marked plateau appearing in some cases, where the length of the tendon increases at constant stress. With the use of in situ X-ray diffraction, it was possible to measure simultaneously the elongation of the collagen fibrils inside the tendon and of the tendon as a whole. The overall strain of the tendon was always larger than the strain in the individual fibrils, which demonstrates that some deformation is taking place in the matrix between fibrils. Moreover, the ratio of fibril strain to tendon strain was dependent on the applied strain rate. When the speed of deformation was increased, this ratio increased in normal collagen but generally decreased in cross-link-deficient collagen, correlating to the appearance of a plateau in the force-elongation curve indicating creep. We proposed a simple structural model, which describes the tendon at a hierarchical level, where fibrils and interfibrillar matrix act as coupled viscoelastic systems. All qualitative features of the strain-rate dependence of both normal and cross-link-deficient collagen can be reproduced within this model. This complements earlier models that considered the next smallest level of hierarchy, describing the deformation of collagen fibrils in terms of changes in their molecular packing.","container-title":"Philosophical Transactions of the Royal Society B: Biological Sciences","DOI":"10.1098/rstb.2001.1033","ISSN":"0962-8436","issue":"1418","journalAbbreviation":"Philos Trans R Soc Lond B Biol Sci","note":"PMID: 11911776\nPMCID: PMC1692933","page":"191-197","source":"PubMed Central","title":"Viscoelastic properties of collagen: synchrotron radiation investigations and structural model.","title-short":"Viscoelastic properties of collagen","volume":"357","author":[{"family":"Puxkandl","given":"R"},{"family":"Zizak","given":"I"},{"family":"Paris","given":"O"},{"family":"Keckes","given":"J"},{"family":"Tesch","given":"W"},{"family":"Bernstorff","given":"S"},{"family":"Purslow","given":"P"},{"family":"Fratzl","given":"P"}],"issued":{"date-parts":[["2002",2,28]]}}}],"schema":"https://github.com/citation-style-language/schema/raw/master/csl-citation.json"} </w:instrText>
      </w:r>
      <w:r w:rsidRPr="00E27670">
        <w:rPr>
          <w:szCs w:val="24"/>
        </w:rPr>
        <w:fldChar w:fldCharType="separate"/>
      </w:r>
      <w:r w:rsidR="0097525F" w:rsidRPr="0097525F">
        <w:rPr>
          <w:rFonts w:cs="Times New Roman"/>
        </w:rPr>
        <w:t>(Puxkandl et al., 2002)</w:t>
      </w:r>
      <w:r w:rsidRPr="00E27670">
        <w:rPr>
          <w:szCs w:val="24"/>
        </w:rPr>
        <w:fldChar w:fldCharType="end"/>
      </w:r>
      <w:r w:rsidRPr="00E27670">
        <w:rPr>
          <w:szCs w:val="24"/>
        </w:rPr>
        <w:t xml:space="preserve">, hence affecting </w:t>
      </w:r>
      <w:r w:rsidR="00311380">
        <w:rPr>
          <w:szCs w:val="24"/>
        </w:rPr>
        <w:t xml:space="preserve">the </w:t>
      </w:r>
      <w:r w:rsidRPr="00E27670">
        <w:rPr>
          <w:szCs w:val="24"/>
        </w:rPr>
        <w:t xml:space="preserve">viscoelastic properties of ligaments </w:t>
      </w:r>
      <w:r w:rsidRPr="00E27670">
        <w:rPr>
          <w:szCs w:val="24"/>
        </w:rPr>
        <w:fldChar w:fldCharType="begin"/>
      </w:r>
      <w:r w:rsidR="0097525F">
        <w:rPr>
          <w:szCs w:val="24"/>
        </w:rPr>
        <w:instrText xml:space="preserve"> ADDIN ZOTERO_ITEM CSL_CITATION {"citationID":"i5UXTATP","properties":{"formattedCitation":"(Chimich et al., 1992; Thornton et al., 2001; Gautieri et al., 2012)","plainCitation":"(Chimich et al., 1992; Thornton et al., 2001; Gautieri et al., 2012)","noteIndex":0},"citationItems":[{"id":3119,"uris":["http://zotero.org/users/5692498/items/ZQVAB6LJ"],"itemData":{"id":3119,"type":"article-journal","abstract":"The water content of a ligament can be altered by injury and surgical intervention in vivo, and inadvertently or purposely during in vitro tests. We investigated how altering the water content of the rabbit medial collateral ligament (MCL) affected its resulting creep behaviour (defined as an increase in strain from sequential cyclic and static creep tests). The water content of normal MCLs (n=4) was compared to that of MCLs soaked for 1 h in a sucrose solution (n=4) or phosphate buffered saline (PBS; n=8). Sucrose exposure decreased hydration and PBS exposure increased hydration. In addition, soaking in PBS caused a shift in “ligament zero” (the position where there was 0.1 N of tension on the ligament). Following the same single solution treatment, additional MCLs were creep tested at 4.1 MPa using a load based on the ligament cross-sectional area measured before solution treatment: sucrose (n=4), PBS new “ligament zero” (n=5), and PBS old “ligament zero” (n=6). Normal MCLs were also tested at 4.1 MPa (n=7) in a humidity chamber that maintained normal ligament water content. Additional MCLs were treated with both solutions in series (n=12) to examine the reversibility of the mechanical changes caused by single solution treatment. This was the first investigation to show that ligament creep behaviour was clearly affected by the initial state of hydration: creep decreased with decreased hydration and creep increased with increased hydration. Another unique finding was that ligaments with increased hydration had decreased ligament functional length and increased ligament pre-stress. The creep behaviour of these ligaments was decreased if they were loaded from the pre-stressed state compared to the unloaded state. These results suggest that maintenance of physiological water content is important for in vitro mechanical testing of ligaments and controlling the low-load stress state of ligaments in situ.","container-title":"Journal of Orthopaedic Research","DOI":"10.1016/S0736-0266(01)00005-5","ISSN":"0736-0266","issue":"5","journalAbbreviation":"Journal of Orthopaedic Research","language":"en","page":"845-851","source":"ScienceDirect","title":"Altering ligament water content affects ligament pre-stress and creep behaviour","volume":"19","author":[{"family":"Thornton","given":"G. M"},{"family":"Shrive","given":"N. G"},{"family":"Frank","given":"C. B"}],"issued":{"date-parts":[["2001",9,1]]}}},{"id":3117,"uris":["http://zotero.org/users/5692498/items/HC92LVXZ"],"itemData":{"id":3117,"type":"article-journal","abstract":"Testing environment is an important factor in the outcome of mechanical tests on connective tissue. The purpose of this investigation was to determine the effect of ligament water content on ligament mechanical behaviour by altering the test environment. Water content of medial collateral ligament (MCLs) from 19 three-month-old New Zealand White rabbits was varied in subsets of ligaments pairs by means of immersion in 2, 10 or 25% sucrose or 0.9% phosphate-buffered saline (PBS) solutions for 1 h. One knee joint was cycled 50 times in the designated solution (experimental), while the contralateral knee (uncycled control) was simultaneously soaked in the same tank. Following cycling, the water contents of both test and control ligaments were determined. Water contents of 22 normal MCLs were determined immediately post-sacrifice and served as 'normal water content' controls. Normalized peak cyclic load changes were used as a measure of the viscoelastic behaviour of each MCL. Results demonstrated that only ligaments soaked (but not cycled) in a 10% sucrose solution had water contents (60.5 +/- 2.5%) which were statistically similar to the 22 fresh normal MCLs (63.9 +/- 6.0%). Ligaments soaked in PBS (74.0 +/- 1.3%) or 2% sucrose (69.2 +/- 2.3%) had significantly higher water contents compared to fresh normal MCLs. Ligaments with higher water contents (e.g. soaked in PBS or 2% sucrose) demonstrated greater cyclic load relaxation compared to ligaments with lower contents (e.g. soaked in 25 or 10% sucrose). Different fluid test environments can significantly alter ligament water content and, in turn, significantly affect ligament viscoelastic behaviour.","container-title":"Journal of Biomechanics","DOI":"10.1016/0021-9290(92)90223-n","ISSN":"0021-9290","issue":"8","journalAbbreviation":"J Biomech","language":"eng","note":"PMID: 1639827","page":"831-837","source":"PubMed","title":"Water content alters viscoelastic behaviour of the normal adolescent rabbit medial collateral ligament","volume":"25","author":[{"family":"Chimich","given":"D."},{"family":"Shrive","given":"N."},{"family":"Frank","given":"C."},{"family":"Marchuk","given":"L."},{"family":"Bray","given":"R."}],"issued":{"date-parts":[["1992",8]]}}},{"id":3100,"uris":["http://zotero.org/users/5692498/items/JH7Y2APC"],"itemData":{"id":3100,"type":"article-journal","abstract":"In vertebrates, collagen tissues are the main component responsible for force transmission. In spite of the physiological importance of these phenomena, force transmission mechanisms are still not fully understood, especially at smaller scales, including in particular collagen molecules and fibrils. Here we investigate the mechanism of molecular sliding between collagen molecules within a fibril, by shearing a central molecule in a hexagonally packed bundle mimicking the collagen microfibril environment, using varied lateral distance between the molecules in both dry and solvated conditions. In vacuum, the central molecule slides under a stick–slip mechanism that is due to the characteristic surface profile of collagen molecules, enhanced by the breaking and reformation of H-bonds between neighboring collagen molecules. This mechanism is consistently observed for varied lateral separations between molecules. The high shearing force (&gt;7nN) found for the experimentally observed intermolecular distance (≈1.1nm) suggests that in dry samples the fibril elongation mechanism relies almost exclusively on molecular stretching, which may explain the higher stiffnesses found in dry fibrils. When hydrated, the slip–stick behavior is observed only below 1.3nm of lateral distance, whereas above 1.3nm the molecule shears smoothly, showing that the water layer has a strong lubricating effect. Moreover, the average force required to shear is approximately the same in solvated as in dry conditions (≈2.5nN), which suggests that the role of water at the intermolecular level includes the transfer of load between molecules.","container-title":"Journal of Biomechanics","DOI":"10.1016/j.jbiomech.2012.05.047","ISSN":"0021-9290","issue":"12","journalAbbreviation":"Journal of Biomechanics","language":"en","page":"2079-2083","source":"ScienceDirect","title":"Hydration and distance dependence of intermolecular shearing between collagen molecules in a model microfibril","volume":"45","author":[{"family":"Gautieri","given":"Alfonso"},{"family":"Pate","given":"Monica I."},{"family":"Vesentini","given":"Simone"},{"family":"Redaelli","given":"Alberto"},{"family":"Buehler","given":"Markus J."}],"issued":{"date-parts":[["2012",8,9]]}}}],"schema":"https://github.com/citation-style-language/schema/raw/master/csl-citation.json"} </w:instrText>
      </w:r>
      <w:r w:rsidRPr="00E27670">
        <w:rPr>
          <w:szCs w:val="24"/>
        </w:rPr>
        <w:fldChar w:fldCharType="separate"/>
      </w:r>
      <w:r w:rsidR="0097525F" w:rsidRPr="0097525F">
        <w:rPr>
          <w:rFonts w:cs="Times New Roman"/>
        </w:rPr>
        <w:t>(Chimich et al., 1992; Thornton et al., 2001; Gautieri et al., 2012)</w:t>
      </w:r>
      <w:r w:rsidRPr="00E27670">
        <w:rPr>
          <w:szCs w:val="24"/>
        </w:rPr>
        <w:fldChar w:fldCharType="end"/>
      </w:r>
      <w:r w:rsidRPr="00E27670">
        <w:rPr>
          <w:szCs w:val="24"/>
        </w:rPr>
        <w:t xml:space="preserve">. </w:t>
      </w:r>
      <w:bookmarkEnd w:id="3"/>
    </w:p>
    <w:p w14:paraId="71EA882D" w14:textId="1F7ACC4C" w:rsidR="00E27670" w:rsidRPr="00E27670" w:rsidRDefault="00FB50EC" w:rsidP="00E27670">
      <w:pPr>
        <w:rPr>
          <w:szCs w:val="24"/>
        </w:rPr>
      </w:pPr>
      <w:r>
        <w:rPr>
          <w:szCs w:val="24"/>
        </w:rPr>
        <w:t xml:space="preserve">Most available studies focused on </w:t>
      </w:r>
      <w:r w:rsidR="002C7A27">
        <w:rPr>
          <w:szCs w:val="24"/>
        </w:rPr>
        <w:t>PG’s contribution to articular cartilage material mechanics</w:t>
      </w:r>
      <w:r>
        <w:rPr>
          <w:szCs w:val="24"/>
        </w:rPr>
        <w:t xml:space="preserve">. </w:t>
      </w:r>
      <w:proofErr w:type="spellStart"/>
      <w:r>
        <w:rPr>
          <w:szCs w:val="24"/>
        </w:rPr>
        <w:t>Nissinen</w:t>
      </w:r>
      <w:proofErr w:type="spellEnd"/>
      <w:r>
        <w:rPr>
          <w:szCs w:val="24"/>
        </w:rPr>
        <w:t xml:space="preserve"> et al. </w:t>
      </w:r>
      <w:r>
        <w:rPr>
          <w:szCs w:val="24"/>
        </w:rPr>
        <w:fldChar w:fldCharType="begin"/>
      </w:r>
      <w:r>
        <w:rPr>
          <w:szCs w:val="24"/>
        </w:rPr>
        <w:instrText xml:space="preserve"> ADDIN ZOTERO_ITEM CSL_CITATION {"citationID":"sY6A813C","properties":{"formattedCitation":"(2021)","plainCitation":"(2021)","noteIndex":0},"citationItems":[{"id":4348,"uris":["http://zotero.org/users/5692498/items/BIVRXW37"],"itemData":{"id":4348,"type":"article-journal","abstract":"Changes in the fibril-reinforced poroelastic (FRPE) mechanical material parameters of human patellar cartilage at different stages of osteoarthritis (OA) are not known. Further, the patellofemoral joint loading is thought to include more sliding and shear compared to other knee joint locations, thus, the relations between structural and functional changes may differ in OA. Thus, our aim was to determine the patellar cartilage FRPE properties followed by associating them with the structure and composition. Osteochondral plugs (n = 14) were harvested from the patellae of six cadavers. Then, the FRPE material properties were determined, and those properties were associated with proteoglycan content, collagen fibril orientation angle, optical retardation (fibril parallelism), and the state of OA of the samples. The initial fibril network modulus and permeability strain-dependency factor were 72% and 63% smaller in advanced OA samples when compared to early OA samples. Further, we observed a negative association between the initial fibril network modulus and optical retardation (r = -0.537, p &lt; 0.05). We also observed positive associations between 1) the initial permeability and optical retardation (r = 0.547, p &lt; 0.05), and 2) the initial fibril network modulus and optical density (r = 0.670, p &lt; 0.01).These results suggest that the reduced pretension of the collagen fibrils, as shown by the reduced initial fibril network modulus, is linked with the loss of proteoglycans and cartilage swelling in human patellofemoral OA. The characterization of these changes is important to improve the representativeness of knee joint models in tissue and cell scale.","container-title":"Journal of Biomechanics","DOI":"10.1016/j.jbiomech.2021.110634","ISSN":"1873-2380","journalAbbreviation":"J Biomech","language":"eng","note":"PMID: 34454206","page":"110634","source":"PubMed","title":"Functional and structural properties of human patellar articular cartilage in osteoarthritis","volume":"126","author":[{"family":"Nissinen","given":"Mikko T."},{"family":"Hänninen","given":"Nina"},{"family":"Prakash","given":"Mithilesh"},{"family":"Mäkelä","given":"Janne T. A."},{"family":"Nissi","given":"Mikko J."},{"family":"Töyräs","given":"Juha"},{"family":"Nieminen","given":"Miika T."},{"family":"Korhonen","given":"Rami K."},{"family":"Tanska","given":"Petri"}],"issued":{"date-parts":[["2021",9,20]]}},"label":"page","suppress-author":true}],"schema":"https://github.com/citation-style-language/schema/raw/master/csl-citation.json"} </w:instrText>
      </w:r>
      <w:r>
        <w:rPr>
          <w:szCs w:val="24"/>
        </w:rPr>
        <w:fldChar w:fldCharType="separate"/>
      </w:r>
      <w:r w:rsidRPr="00561008">
        <w:rPr>
          <w:rFonts w:cs="Times New Roman"/>
        </w:rPr>
        <w:t>(2021)</w:t>
      </w:r>
      <w:r>
        <w:rPr>
          <w:szCs w:val="24"/>
        </w:rPr>
        <w:fldChar w:fldCharType="end"/>
      </w:r>
      <w:r>
        <w:rPr>
          <w:szCs w:val="24"/>
        </w:rPr>
        <w:t xml:space="preserve"> and </w:t>
      </w:r>
      <w:proofErr w:type="spellStart"/>
      <w:r w:rsidRPr="00DE64D3">
        <w:rPr>
          <w:szCs w:val="24"/>
        </w:rPr>
        <w:t>Mäkelä</w:t>
      </w:r>
      <w:proofErr w:type="spellEnd"/>
      <w:r w:rsidRPr="00DE64D3">
        <w:rPr>
          <w:szCs w:val="24"/>
        </w:rPr>
        <w:t xml:space="preserve"> </w:t>
      </w:r>
      <w:r>
        <w:rPr>
          <w:szCs w:val="24"/>
        </w:rPr>
        <w:t xml:space="preserve">et al. </w:t>
      </w:r>
      <w:r>
        <w:rPr>
          <w:szCs w:val="24"/>
        </w:rPr>
        <w:fldChar w:fldCharType="begin"/>
      </w:r>
      <w:r>
        <w:rPr>
          <w:szCs w:val="24"/>
        </w:rPr>
        <w:instrText xml:space="preserve"> ADDIN ZOTERO_ITEM CSL_CITATION {"citationID":"02VCAjgs","properties":{"formattedCitation":"(2015)","plainCitation":"(2015)","noteIndex":0},"citationItems":[{"id":4351,"uris":["http://zotero.org/users/5692498/items/KGLHKT4F"],"itemData":{"id":4351,"type":"article-journal","abstract":"In this study, fibril-reinforced poroelastic (FRPE) modeling was used for rabbit knee after anterior cruciate ligament transection (ACLT) to assess how the mechanical properties of collagen, proteoglycans, and fluid in articular cartilage change in early osteoarthritis, and how site-specific these changes are. Unilateral ACLT was performed in eight skeletally mature, female New Zealand white rabbits. A separate control (CTRL) group consisted of knee joints of five non-operated rabbits. Animals were sacrificed at four weeks after ACLT and cartilage-on-bone samples from femoral groove, medial and lateral femoral condyles, and tibial plateaus were harvested. A stress-relaxation protocol in indentation geometry was applied and the FRPE model was fitted to the experimental force-time curve by minimizing the mean absolute error between experiment and simulation. The optimized parameters were: fibril network modulus (Ef), representing the collagen network; non-fibrillar matrix modulus (Enf), representing the PG matrix; and permeability (k), representing fluid flow. Permeability was increased significantly in the ACLT group compared to the CTRL group knees at all sites except for the medial tibial plateau. ACLT also caused a decrease in the Ef at all sites except for the medial and lateral tibial plateaus. The Enf of the ACLT group knees was altered only for the lateral femoral condyle. The results of this study suggest that early osteoarthritis primarily affects cartilage permeability and impairs the collagen network stiffness in a site-specific manner. These findings from early osteoarthritis indicate that fluid flow velocity in articular cartilage may change prior to quantifiable structural alterations in the tissue.","container-title":"Journal of Biomechanics","DOI":"10.1016/j.jbiomech.2015.06.010","ISSN":"1873-2380","issue":"12","journalAbbreviation":"J Biomech","language":"eng","note":"PMID: 26159056","page":"3369-3376","source":"PubMed","title":"Very early osteoarthritis changes sensitively fluid flow properties of articular cartilage","volume":"48","author":[{"family":"Mäkelä","given":"J. T. A."},{"family":"Han","given":"S.-K."},{"family":"Herzog","given":"W."},{"family":"Korhonen","given":"R. K."}],"issued":{"date-parts":[["2015",9,18]]}},"label":"page","suppress-author":true}],"schema":"https://github.com/citation-style-language/schema/raw/master/csl-citation.json"} </w:instrText>
      </w:r>
      <w:r>
        <w:rPr>
          <w:szCs w:val="24"/>
        </w:rPr>
        <w:fldChar w:fldCharType="separate"/>
      </w:r>
      <w:r w:rsidRPr="00DE64D3">
        <w:rPr>
          <w:rFonts w:cs="Times New Roman"/>
        </w:rPr>
        <w:t>(2015)</w:t>
      </w:r>
      <w:r>
        <w:rPr>
          <w:szCs w:val="24"/>
        </w:rPr>
        <w:fldChar w:fldCharType="end"/>
      </w:r>
      <w:r>
        <w:rPr>
          <w:szCs w:val="24"/>
        </w:rPr>
        <w:t xml:space="preserve"> studied </w:t>
      </w:r>
      <w:r w:rsidR="00A0434E">
        <w:rPr>
          <w:szCs w:val="24"/>
        </w:rPr>
        <w:t xml:space="preserve">changes in </w:t>
      </w:r>
      <w:r w:rsidR="001E130F">
        <w:rPr>
          <w:szCs w:val="24"/>
        </w:rPr>
        <w:t xml:space="preserve">the </w:t>
      </w:r>
      <w:r>
        <w:rPr>
          <w:szCs w:val="24"/>
        </w:rPr>
        <w:t>articular cartilage</w:t>
      </w:r>
      <w:r w:rsidR="00A0434E">
        <w:rPr>
          <w:szCs w:val="24"/>
        </w:rPr>
        <w:t>’s</w:t>
      </w:r>
      <w:r>
        <w:rPr>
          <w:szCs w:val="24"/>
        </w:rPr>
        <w:t xml:space="preserve"> poroelastic material parameters and fluid flow</w:t>
      </w:r>
      <w:r w:rsidR="002C7A27">
        <w:rPr>
          <w:szCs w:val="24"/>
        </w:rPr>
        <w:t>,</w:t>
      </w:r>
      <w:r>
        <w:rPr>
          <w:szCs w:val="24"/>
        </w:rPr>
        <w:t xml:space="preserve"> which are associated with PG content. A computational modelling study </w:t>
      </w:r>
      <w:r w:rsidR="002C7A27">
        <w:rPr>
          <w:szCs w:val="24"/>
        </w:rPr>
        <w:t>representing</w:t>
      </w:r>
      <w:r>
        <w:rPr>
          <w:szCs w:val="24"/>
        </w:rPr>
        <w:t xml:space="preserve"> the heterogeneous internal architecture of cartilaginous tissues such as knee menisci captured </w:t>
      </w:r>
      <w:r w:rsidR="002C7A27">
        <w:rPr>
          <w:szCs w:val="24"/>
        </w:rPr>
        <w:t xml:space="preserve">the </w:t>
      </w:r>
      <w:r>
        <w:rPr>
          <w:szCs w:val="24"/>
        </w:rPr>
        <w:t xml:space="preserve">poroelastic behaviour of the tissue </w:t>
      </w:r>
      <w:r>
        <w:rPr>
          <w:szCs w:val="24"/>
        </w:rPr>
        <w:fldChar w:fldCharType="begin"/>
      </w:r>
      <w:r>
        <w:rPr>
          <w:szCs w:val="24"/>
        </w:rPr>
        <w:instrText xml:space="preserve"> ADDIN ZOTERO_ITEM CSL_CITATION {"citationID":"SoYfY1DU","properties":{"formattedCitation":"(Elmukashfi et al., 2022)","plainCitation":"(Elmukashfi et al., 2022)","noteIndex":0},"citationItems":[{"id":4345,"uris":["http://zotero.org/users/5692498/items/TWAT6Q77"],"itemData":{"id":4345,"type":"chapter","abstract":"Soft tissues—such as ligaments and tendons—primarily consist of solid (collagen, predominantly) and liquid phases. Understanding the interaction between such components and how they change under physiological loading sets the basis for elucidating the essential link between their internal structure and mechanical behavior. In fact, the internal heterogeneous structure of this kind of tissues leads to a wide range of mechanical behaviors, which then determine their own function(s). Characterizing these behaviors implies an important experimental effort in terms of tissue harvesting, sample preparation, and implementation of testing protocols—which, often, are not standardized. These issues lead to several difficulties in both collecting and providing comparable and reliable information. In order to model the behaviors of heterogeneous tissues and identify material parameters, a large volume of reproducible experimental data is required; unfortunately, such an amount of information is often not available. In reality, most of the studies that are focused on the identification of material parameters are largely based on small sets of experimental data, which present a large variability. Such a large variability opens on to uncertainties in the estimation of material parameters, as reported in the literature. Hence, the use of a rigorous probabilistic framework, that is able to address uncertainties due to paucity of data, is of paramount importance in the field of biomechanics; in this perspective, Bayesian inference represents a promising approach. This study was focused on the analysis of the knee meniscus as a paradigmatic example of human soft tissue. Indeed, the heterogeneous internal architecture of this structure is linked to functionally graded material properties, which enable this fibrocartilaginous tissue to perform a wide range of functions within the knee joint. More in detail, within this work we specifically addressed: (i) the variability of parameters for the meniscal nonfibrous, fibrous solid phase, and for the liquid one, (ii) the material models currently used to interpret experimental data, (iii) a comparative finite element study on the knee joint in which the meniscus is modeled by using several material models, and (iv) an outlook on Bayesian inference for the identification of material parameters, and model selection and comparison. Our findings suggest that an accurate descriptions of the time-independent, time-dependent, and spatial variability of soft tissues, such as the human meniscus, are essential to correctly define and develop any modeling solution. This work is relevant to the description of the physiological biomechanics of human menisci, and paves the way to generalize this approach to different soft tissues.","container-title":"Advances in Applied Mechanics","language":"en","note":"DOI: 10.1016/bs.aams.2022.05.001","publisher":"Elsevier","source":"ScienceDirect","title":"Model selection and sensitivity analysis in the biomechanics of soft tissues: A case study on the human knee meniscus","title-short":"Model selection and sensitivity analysis in the biomechanics of soft tissues","URL":"https://www.sciencedirect.com/science/article/pii/S0065215622000023","author":[{"family":"Elmukashfi","given":"Elsiddig"},{"family":"Marchiori","given":"Gregorio"},{"family":"Berni","given":"Matteo"},{"family":"Cassiolas","given":"Giorgio"},{"family":"Lopomo","given":"Nicola Francesco"},{"family":"Rappel","given":"Hussein"},{"family":"Girolami","given":"Mark"},{"family":"Barrera","given":"Olga"}],"accessed":{"date-parts":[["2022",9,14]]},"issued":{"date-parts":[["2022",7,27]]}}}],"schema":"https://github.com/citation-style-language/schema/raw/master/csl-citation.json"} </w:instrText>
      </w:r>
      <w:r>
        <w:rPr>
          <w:szCs w:val="24"/>
        </w:rPr>
        <w:fldChar w:fldCharType="separate"/>
      </w:r>
      <w:r w:rsidRPr="00FB50EC">
        <w:rPr>
          <w:rFonts w:cs="Times New Roman"/>
        </w:rPr>
        <w:t>(Elmukashfi et al., 2022)</w:t>
      </w:r>
      <w:r>
        <w:rPr>
          <w:szCs w:val="24"/>
        </w:rPr>
        <w:fldChar w:fldCharType="end"/>
      </w:r>
      <w:r>
        <w:rPr>
          <w:szCs w:val="24"/>
        </w:rPr>
        <w:t>. However, the</w:t>
      </w:r>
      <w:r w:rsidR="002C7A27">
        <w:rPr>
          <w:szCs w:val="24"/>
        </w:rPr>
        <w:t xml:space="preserve"> previous</w:t>
      </w:r>
      <w:r>
        <w:rPr>
          <w:szCs w:val="24"/>
        </w:rPr>
        <w:t xml:space="preserve"> computational modelling studies on cartilage and other tissues </w:t>
      </w:r>
      <w:r w:rsidR="002C7A27">
        <w:rPr>
          <w:szCs w:val="24"/>
        </w:rPr>
        <w:t>have</w:t>
      </w:r>
      <w:r>
        <w:rPr>
          <w:szCs w:val="24"/>
        </w:rPr>
        <w:t xml:space="preserve"> not explicitly investigate</w:t>
      </w:r>
      <w:r w:rsidR="002C7A27">
        <w:rPr>
          <w:szCs w:val="24"/>
        </w:rPr>
        <w:t>d</w:t>
      </w:r>
      <w:r>
        <w:rPr>
          <w:szCs w:val="24"/>
        </w:rPr>
        <w:t xml:space="preserve"> the role of PGs </w:t>
      </w:r>
      <w:r w:rsidR="002C7A27">
        <w:rPr>
          <w:szCs w:val="24"/>
        </w:rPr>
        <w:t>in</w:t>
      </w:r>
      <w:r>
        <w:rPr>
          <w:szCs w:val="24"/>
        </w:rPr>
        <w:t xml:space="preserve"> tissue mechanics</w:t>
      </w:r>
      <w:r w:rsidR="002C7A27">
        <w:rPr>
          <w:szCs w:val="24"/>
        </w:rPr>
        <w:t xml:space="preserve"> nor included ligaments’ microstructure</w:t>
      </w:r>
      <w:r>
        <w:rPr>
          <w:szCs w:val="24"/>
        </w:rPr>
        <w:t xml:space="preserve">. </w:t>
      </w:r>
      <w:r w:rsidR="002C7A27">
        <w:rPr>
          <w:szCs w:val="24"/>
        </w:rPr>
        <w:t>Hence, investigations of the mechanical role of sGAGs in the knee ligaments are</w:t>
      </w:r>
      <w:r w:rsidR="00E27670" w:rsidRPr="00E27670">
        <w:rPr>
          <w:szCs w:val="24"/>
        </w:rPr>
        <w:t xml:space="preserve"> </w:t>
      </w:r>
      <w:r w:rsidR="002C7A27">
        <w:rPr>
          <w:szCs w:val="24"/>
        </w:rPr>
        <w:t>limited. T</w:t>
      </w:r>
      <w:r w:rsidR="00E27670" w:rsidRPr="00E27670">
        <w:rPr>
          <w:szCs w:val="24"/>
        </w:rPr>
        <w:t xml:space="preserve">he previous </w:t>
      </w:r>
      <w:r w:rsidR="00E27670" w:rsidRPr="00E27670">
        <w:rPr>
          <w:szCs w:val="24"/>
        </w:rPr>
        <w:lastRenderedPageBreak/>
        <w:t xml:space="preserve">literature focused on the medial collateral ligaments </w:t>
      </w:r>
      <w:r w:rsidR="00E27670" w:rsidRPr="00E27670">
        <w:rPr>
          <w:szCs w:val="24"/>
        </w:rPr>
        <w:fldChar w:fldCharType="begin"/>
      </w:r>
      <w:r w:rsidR="008D4B27">
        <w:rPr>
          <w:szCs w:val="24"/>
        </w:rPr>
        <w:instrText xml:space="preserve"> ADDIN ZOTERO_ITEM CSL_CITATION {"citationID":"m8y3Svgn","properties":{"formattedCitation":"(Lujan et al., 2007, 2009; Henninger et al., 2010)","plainCitation":"(Lujan et al., 2007, 2009; Henninger et al., 2010)","noteIndex":0},"citationItems":[{"id":2966,"uris":["http://zotero.org/users/5692498/items/QCW39JZN"],"itemData":{"id":2966,"type":"article-journal","abstract":"Dermatan and chondroitin sulfate glycosaminoglycans (GAGs) comprise over 90% of the GAG content in ligament. Studies of their mechanical contribution to soft tissues have reported conflicting results. Measuring the transient compressive response and biphasic material parameters of the tissue may elucidate the contributions of GAGs to the viscoelastic response to deformation. The hypotheses of the current study were that digestion of sulfated GAGs would decrease compressive stress and aggregate modulus while increasing the permeability of porcine medial collateral ligament (MCL). Confined compression stress relaxation experiments were carried out on porcine MCL and tissue treated with chondroitinase ABC (ChABC). Results were fit to a biphasic constitutive model to derive permeability and aggregate modulus. Bovine articular cartilage was used as a benchmark tissue to verify that the apparatus provided reliable results. GAG digestion removed up to 88% of sulfated GAGs from the ligament. Removal of sulfated GAGs increased the permeability of porcine MCL nearly 6-fold versus control tissues. Peak stress decreased significantly. Bovine articular cartilage exhibited the typical reduction of GAG content and resultant decreases in stress and modulus and increases in permeability with ChABC digestion. Given the relatively small amount of GAG in ligament (&lt;1% of tissue dry weight) and the significant change in peak stress and permeability upon removal of GAGs, sulfated GAGs may play a significant role in maintaining the apposition of collagen fibrils in the transverse direction, thus supporting dynamic compressive loads experienced by the ligament during complex joint motion.","container-title":"Journal of Biomechanics","DOI":"10.1016/j.jbiomech.2010.05.012","ISSN":"0021-9290","issue":"13","journalAbbreviation":"Journal of Biomechanics","language":"en","page":"2567-2573","source":"ScienceDirect","title":"Effect of sulfated glycosaminoglycan digestion on the transverse permeability of medial collateral ligament","volume":"43","author":[{"family":"Henninger","given":"Heath B."},{"family":"Underwood","given":"Clayton J."},{"family":"Ateshian","given":"Gerard A."},{"family":"Weiss","given":"Jeffrey A."}],"issued":{"date-parts":[["2010",9,17]]}}},{"id":2969,"uris":["http://zotero.org/users/5692498/items/D8HR2IBK"],"itemData":{"id":2969,"type":"article-journal","abstract":"The glycosaminoglycan of decorin, dermatan sulfate (DS), has been suggested to contribute to the mechanical properties of soft connective tissues such as ligaments and tendons. This study investigated the mechanical function of DS in human medial collateral ligaments (MCL) using nondestructive shear and tensile material tests performed before and after targeted removal of DS with chondroitinase B (ChB). The quasi-static elastic material properties of human MCL were unchanged after DS removal. At peak deformation, tensile and shear stresses in ChB treated tissue were within 0.5% (p &gt; 0.70) and 2.0% (p &gt; 0.30) of pre-treatment values, respectively. From pre- to post-ChB treatment under tensile loading, the tensile tangent modulus went from 242 ± 64 to 233 ± 57 MPa (p = 0.44), and tissue strain at peak deformation went from 4.3 ± 0.3% to 4.4 ± 0.3% (p = 0.54). Tissue hysteresis was unaffected by DS removal for both tensile and shear loading. Biochemical analysis confirmed that 90% of DS was removed by ChB treatment when compared to control samples, and transmission electron microscopy (TEM) imaging further verified the degradation of DS by showing an 88% reduction (p &lt; .001) of sulfated glycosaminoglycans in ChB treated tissue. These results demonstrate that DS in mature knee MCL tissue does not resist tensile or shear deformation under quasi-static loading conditions, challenging the theory that decorin proteoglycans contribute to the elastic material behavior of ligament. © 2007 Orthopaedic Research Society. Published by Wiley Periodicals, Inc. J Orthop Res 25:894–903, 2007","container-title":"Journal of Orthopaedic Research","DOI":"10.1002/jor.20351","ISSN":"1554-527X","issue":"7","language":"en","license":"Copyright © 2007 Orthopaedic Research Society","note":"_eprint: https://onlinelibrary.wiley.com/doi/pdf/10.1002/jor.20351","page":"894-903","source":"Wiley Online Library","title":"Effect of dermatan sulfate glycosaminoglycans on the quasi-static material properties of the human medial collateral ligament","volume":"25","author":[{"family":"Lujan","given":"Trevor J."},{"family":"Underwood","given":"Clayton J."},{"family":"Henninger","given":"Heath B."},{"family":"Thompson","given":"Brent M."},{"family":"Weiss","given":"Jeffrey A."}],"issued":{"date-parts":[["2007"]]}}},{"id":2963,"uris":["http://zotero.org/users/5692498/items/C59ACT4I"],"itemData":{"id":2963,"type":"article-journal","abstract":"The viscoelastic properties of human ligament potentially guard against structural failure, yet the microstructural origins of these transient behaviors are unknown. Glycosaminoglycans (GAGs) are widely suspected to affect ligament viscoelasticity by forming molecular bridges between neighboring collagen fibrils. This study investigated whether GAGs directly affect viscoelastic material behavior in human medial collateral ligament (MCL) by using nondestructive tensile tests before and after degradation of GAGs with chondroitinase ABC (ChABC). Control and ChABC treatment (83% GAG removal) produced similar alterations to ligament viscoelasticity. This finding was consistent at different levels of collagen fiber stretch and tissue hydration. On average, stress relaxation increased after incubation by 2.2% (control) and 2.1% (ChABC), dynamic modulus increased after incubation by 3.6% (control) and 3.8% (ChABC), and phase shift increased after incubation by 8.5% (control) and 8.4% (ChABC). The changes in viscoelastic behavior after treatment were significantly more pronounced at lower clamp-to-clamp strain levels. A 10% difference in the water content of tested specimens had minor influence on ligament viscoelastic properties. The major finding of this study is that mechanical interactions between collagen fibrils and GAGs are unrelated to tissue-level viscoelastic mechanics in mature human MCL. These findings narrow the possible number of extracellular matrix molecules that have a direct contribution to ligament viscoelasticity.","container-title":"Journal of Applied Physiology","DOI":"10.1152/japplphysiol.90748.2008","ISSN":"8750-7587","issue":"2","note":"publisher: American Physiological Society","page":"423-431","source":"journals.physiology.org (Atypon)","title":"Contribution of glycosaminoglycans to viscoelastic tensile behavior of human ligament","volume":"106","author":[{"family":"Lujan","given":"Trevor J."},{"family":"Underwood","given":"Clayton J."},{"family":"Jacobs","given":"Nathan T."},{"family":"Weiss","given":"Jeffrey A."}],"issued":{"date-parts":[["2009",2,1]]}}}],"schema":"https://github.com/citation-style-language/schema/raw/master/csl-citation.json"} </w:instrText>
      </w:r>
      <w:r w:rsidR="00E27670" w:rsidRPr="00E27670">
        <w:rPr>
          <w:szCs w:val="24"/>
        </w:rPr>
        <w:fldChar w:fldCharType="separate"/>
      </w:r>
      <w:r w:rsidR="0097525F" w:rsidRPr="0097525F">
        <w:rPr>
          <w:rFonts w:cs="Times New Roman"/>
        </w:rPr>
        <w:t>(Lujan et al., 2007, 2009; Henninger et al., 2010)</w:t>
      </w:r>
      <w:r w:rsidR="00E27670" w:rsidRPr="00E27670">
        <w:rPr>
          <w:szCs w:val="24"/>
        </w:rPr>
        <w:fldChar w:fldCharType="end"/>
      </w:r>
      <w:r w:rsidR="00E27670" w:rsidRPr="00E27670">
        <w:rPr>
          <w:szCs w:val="24"/>
        </w:rPr>
        <w:t xml:space="preserve">. These studies reported that the interactions between sGAGs and collagen fibrils had no impact on the viscoelastic, tensile and resistance properties </w:t>
      </w:r>
      <w:r w:rsidR="00E27670" w:rsidRPr="00E27670">
        <w:rPr>
          <w:szCs w:val="24"/>
        </w:rPr>
        <w:fldChar w:fldCharType="begin"/>
      </w:r>
      <w:r w:rsidR="008D4B27">
        <w:rPr>
          <w:szCs w:val="24"/>
        </w:rPr>
        <w:instrText xml:space="preserve"> ADDIN ZOTERO_ITEM CSL_CITATION {"citationID":"sxJFboOS","properties":{"unsorted":true,"formattedCitation":"(Lujan et al., 2007, 2009)","plainCitation":"(Lujan et al., 2007, 2009)","noteIndex":0},"citationItems":[{"id":2969,"uris":["http://zotero.org/users/5692498/items/D8HR2IBK"],"itemData":{"id":2969,"type":"article-journal","abstract":"The glycosaminoglycan of decorin, dermatan sulfate (DS), has been suggested to contribute to the mechanical properties of soft connective tissues such as ligaments and tendons. This study investigated the mechanical function of DS in human medial collateral ligaments (MCL) using nondestructive shear and tensile material tests performed before and after targeted removal of DS with chondroitinase B (ChB). The quasi-static elastic material properties of human MCL were unchanged after DS removal. At peak deformation, tensile and shear stresses in ChB treated tissue were within 0.5% (p &gt; 0.70) and 2.0% (p &gt; 0.30) of pre-treatment values, respectively. From pre- to post-ChB treatment under tensile loading, the tensile tangent modulus went from 242 ± 64 to 233 ± 57 MPa (p = 0.44), and tissue strain at peak deformation went from 4.3 ± 0.3% to 4.4 ± 0.3% (p = 0.54). Tissue hysteresis was unaffected by DS removal for both tensile and shear loading. Biochemical analysis confirmed that 90% of DS was removed by ChB treatment when compared to control samples, and transmission electron microscopy (TEM) imaging further verified the degradation of DS by showing an 88% reduction (p &lt; .001) of sulfated glycosaminoglycans in ChB treated tissue. These results demonstrate that DS in mature knee MCL tissue does not resist tensile or shear deformation under quasi-static loading conditions, challenging the theory that decorin proteoglycans contribute to the elastic material behavior of ligament. © 2007 Orthopaedic Research Society. Published by Wiley Periodicals, Inc. J Orthop Res 25:894–903, 2007","container-title":"Journal of Orthopaedic Research","DOI":"10.1002/jor.20351","ISSN":"1554-527X","issue":"7","language":"en","license":"Copyright © 2007 Orthopaedic Research Society","note":"_eprint: https://onlinelibrary.wiley.com/doi/pdf/10.1002/jor.20351","page":"894-903","source":"Wiley Online Library","title":"Effect of dermatan sulfate glycosaminoglycans on the quasi-static material properties of the human medial collateral ligament","volume":"25","author":[{"family":"Lujan","given":"Trevor J."},{"family":"Underwood","given":"Clayton J."},{"family":"Henninger","given":"Heath B."},{"family":"Thompson","given":"Brent M."},{"family":"Weiss","given":"Jeffrey A."}],"issued":{"date-parts":[["2007"]]}}},{"id":2963,"uris":["http://zotero.org/users/5692498/items/C59ACT4I"],"itemData":{"id":2963,"type":"article-journal","abstract":"The viscoelastic properties of human ligament potentially guard against structural failure, yet the microstructural origins of these transient behaviors are unknown. Glycosaminoglycans (GAGs) are widely suspected to affect ligament viscoelasticity by forming molecular bridges between neighboring collagen fibrils. This study investigated whether GAGs directly affect viscoelastic material behavior in human medial collateral ligament (MCL) by using nondestructive tensile tests before and after degradation of GAGs with chondroitinase ABC (ChABC). Control and ChABC treatment (83% GAG removal) produced similar alterations to ligament viscoelasticity. This finding was consistent at different levels of collagen fiber stretch and tissue hydration. On average, stress relaxation increased after incubation by 2.2% (control) and 2.1% (ChABC), dynamic modulus increased after incubation by 3.6% (control) and 3.8% (ChABC), and phase shift increased after incubation by 8.5% (control) and 8.4% (ChABC). The changes in viscoelastic behavior after treatment were significantly more pronounced at lower clamp-to-clamp strain levels. A 10% difference in the water content of tested specimens had minor influence on ligament viscoelastic properties. The major finding of this study is that mechanical interactions between collagen fibrils and GAGs are unrelated to tissue-level viscoelastic mechanics in mature human MCL. These findings narrow the possible number of extracellular matrix molecules that have a direct contribution to ligament viscoelasticity.","container-title":"Journal of Applied Physiology","DOI":"10.1152/japplphysiol.90748.2008","ISSN":"8750-7587","issue":"2","note":"publisher: American Physiological Society","page":"423-431","source":"journals.physiology.org (Atypon)","title":"Contribution of glycosaminoglycans to viscoelastic tensile behavior of human ligament","volume":"106","author":[{"family":"Lujan","given":"Trevor J."},{"family":"Underwood","given":"Clayton J."},{"family":"Jacobs","given":"Nathan T."},{"family":"Weiss","given":"Jeffrey A."}],"issued":{"date-parts":[["2009",2,1]]}}}],"schema":"https://github.com/citation-style-language/schema/raw/master/csl-citation.json"} </w:instrText>
      </w:r>
      <w:r w:rsidR="00E27670" w:rsidRPr="00E27670">
        <w:rPr>
          <w:szCs w:val="24"/>
        </w:rPr>
        <w:fldChar w:fldCharType="separate"/>
      </w:r>
      <w:r w:rsidR="0097525F" w:rsidRPr="0097525F">
        <w:rPr>
          <w:rFonts w:cs="Times New Roman"/>
        </w:rPr>
        <w:t>(Lujan et al., 2007, 2009)</w:t>
      </w:r>
      <w:r w:rsidR="00E27670" w:rsidRPr="00E27670">
        <w:rPr>
          <w:szCs w:val="24"/>
        </w:rPr>
        <w:fldChar w:fldCharType="end"/>
      </w:r>
      <w:r w:rsidR="00E27670" w:rsidRPr="00E27670">
        <w:rPr>
          <w:szCs w:val="24"/>
        </w:rPr>
        <w:t xml:space="preserve">. However, </w:t>
      </w:r>
      <w:r w:rsidR="00311380">
        <w:rPr>
          <w:szCs w:val="24"/>
        </w:rPr>
        <w:t xml:space="preserve">the </w:t>
      </w:r>
      <w:r w:rsidR="00E27670" w:rsidRPr="00E27670">
        <w:rPr>
          <w:szCs w:val="24"/>
        </w:rPr>
        <w:t xml:space="preserve">permeability of the medial collateral ligament was found to increase with the reduction of sGAG </w:t>
      </w:r>
      <w:r w:rsidR="00E27670" w:rsidRPr="00E27670">
        <w:rPr>
          <w:szCs w:val="24"/>
        </w:rPr>
        <w:fldChar w:fldCharType="begin"/>
      </w:r>
      <w:r w:rsidR="0097525F">
        <w:rPr>
          <w:szCs w:val="24"/>
        </w:rPr>
        <w:instrText xml:space="preserve"> ADDIN ZOTERO_ITEM CSL_CITATION {"citationID":"M7x4zjm4","properties":{"formattedCitation":"(Henninger et al., 2010)","plainCitation":"(Henninger et al., 2010)","noteIndex":0},"citationItems":[{"id":2966,"uris":["http://zotero.org/users/5692498/items/QCW39JZN"],"itemData":{"id":2966,"type":"article-journal","abstract":"Dermatan and chondroitin sulfate glycosaminoglycans (GAGs) comprise over 90% of the GAG content in ligament. Studies of their mechanical contribution to soft tissues have reported conflicting results. Measuring the transient compressive response and biphasic material parameters of the tissue may elucidate the contributions of GAGs to the viscoelastic response to deformation. The hypotheses of the current study were that digestion of sulfated GAGs would decrease compressive stress and aggregate modulus while increasing the permeability of porcine medial collateral ligament (MCL). Confined compression stress relaxation experiments were carried out on porcine MCL and tissue treated with chondroitinase ABC (ChABC). Results were fit to a biphasic constitutive model to derive permeability and aggregate modulus. Bovine articular cartilage was used as a benchmark tissue to verify that the apparatus provided reliable results. GAG digestion removed up to 88% of sulfated GAGs from the ligament. Removal of sulfated GAGs increased the permeability of porcine MCL nearly 6-fold versus control tissues. Peak stress decreased significantly. Bovine articular cartilage exhibited the typical reduction of GAG content and resultant decreases in stress and modulus and increases in permeability with ChABC digestion. Given the relatively small amount of GAG in ligament (&lt;1% of tissue dry weight) and the significant change in peak stress and permeability upon removal of GAGs, sulfated GAGs may play a significant role in maintaining the apposition of collagen fibrils in the transverse direction, thus supporting dynamic compressive loads experienced by the ligament during complex joint motion.","container-title":"Journal of Biomechanics","DOI":"10.1016/j.jbiomech.2010.05.012","ISSN":"0021-9290","issue":"13","journalAbbreviation":"Journal of Biomechanics","language":"en","page":"2567-2573","source":"ScienceDirect","title":"Effect of sulfated glycosaminoglycan digestion on the transverse permeability of medial collateral ligament","volume":"43","author":[{"family":"Henninger","given":"Heath B."},{"family":"Underwood","given":"Clayton J."},{"family":"Ateshian","given":"Gerard A."},{"family":"Weiss","given":"Jeffrey A."}],"issued":{"date-parts":[["2010",9,17]]}}}],"schema":"https://github.com/citation-style-language/schema/raw/master/csl-citation.json"} </w:instrText>
      </w:r>
      <w:r w:rsidR="00E27670" w:rsidRPr="00E27670">
        <w:rPr>
          <w:szCs w:val="24"/>
        </w:rPr>
        <w:fldChar w:fldCharType="separate"/>
      </w:r>
      <w:r w:rsidR="0097525F" w:rsidRPr="0097525F">
        <w:rPr>
          <w:rFonts w:cs="Times New Roman"/>
        </w:rPr>
        <w:t>(Henninger et al., 2010)</w:t>
      </w:r>
      <w:r w:rsidR="00E27670" w:rsidRPr="00E27670">
        <w:rPr>
          <w:szCs w:val="24"/>
        </w:rPr>
        <w:fldChar w:fldCharType="end"/>
      </w:r>
      <w:r w:rsidR="00311380">
        <w:rPr>
          <w:szCs w:val="24"/>
        </w:rPr>
        <w:t>,</w:t>
      </w:r>
      <w:r w:rsidR="00E27670" w:rsidRPr="00E27670">
        <w:rPr>
          <w:szCs w:val="24"/>
        </w:rPr>
        <w:t xml:space="preserve"> which could be an indication that sGAGs contribute to the mechanical properties of knee ligaments </w:t>
      </w:r>
      <w:r w:rsidR="00311380">
        <w:rPr>
          <w:szCs w:val="24"/>
        </w:rPr>
        <w:t>by</w:t>
      </w:r>
      <w:r w:rsidR="00E27670" w:rsidRPr="00E27670">
        <w:rPr>
          <w:szCs w:val="24"/>
        </w:rPr>
        <w:t xml:space="preserve"> maintaining tissue hydration. A limitation of these studies was that extracted sections of the ligaments, which might have altered the microstructural organisation of the specimens, were examined instead of testing intact ligaments with their bone attachments ex vivo </w:t>
      </w:r>
      <w:r w:rsidR="00E27670" w:rsidRPr="00E27670">
        <w:rPr>
          <w:szCs w:val="24"/>
        </w:rPr>
        <w:fldChar w:fldCharType="begin"/>
      </w:r>
      <w:r w:rsidR="0097525F">
        <w:rPr>
          <w:szCs w:val="24"/>
        </w:rPr>
        <w:instrText xml:space="preserve"> ADDIN ZOTERO_ITEM CSL_CITATION {"citationID":"A9DeHXXF","properties":{"formattedCitation":"(Henninger et al., 2010)","plainCitation":"(Henninger et al., 2010)","noteIndex":0},"citationItems":[{"id":2966,"uris":["http://zotero.org/users/5692498/items/QCW39JZN"],"itemData":{"id":2966,"type":"article-journal","abstract":"Dermatan and chondroitin sulfate glycosaminoglycans (GAGs) comprise over 90% of the GAG content in ligament. Studies of their mechanical contribution to soft tissues have reported conflicting results. Measuring the transient compressive response and biphasic material parameters of the tissue may elucidate the contributions of GAGs to the viscoelastic response to deformation. The hypotheses of the current study were that digestion of sulfated GAGs would decrease compressive stress and aggregate modulus while increasing the permeability of porcine medial collateral ligament (MCL). Confined compression stress relaxation experiments were carried out on porcine MCL and tissue treated with chondroitinase ABC (ChABC). Results were fit to a biphasic constitutive model to derive permeability and aggregate modulus. Bovine articular cartilage was used as a benchmark tissue to verify that the apparatus provided reliable results. GAG digestion removed up to 88% of sulfated GAGs from the ligament. Removal of sulfated GAGs increased the permeability of porcine MCL nearly 6-fold versus control tissues. Peak stress decreased significantly. Bovine articular cartilage exhibited the typical reduction of GAG content and resultant decreases in stress and modulus and increases in permeability with ChABC digestion. Given the relatively small amount of GAG in ligament (&lt;1% of tissue dry weight) and the significant change in peak stress and permeability upon removal of GAGs, sulfated GAGs may play a significant role in maintaining the apposition of collagen fibrils in the transverse direction, thus supporting dynamic compressive loads experienced by the ligament during complex joint motion.","container-title":"Journal of Biomechanics","DOI":"10.1016/j.jbiomech.2010.05.012","ISSN":"0021-9290","issue":"13","journalAbbreviation":"Journal of Biomechanics","language":"en","page":"2567-2573","source":"ScienceDirect","title":"Effect of sulfated glycosaminoglycan digestion on the transverse permeability of medial collateral ligament","volume":"43","author":[{"family":"Henninger","given":"Heath B."},{"family":"Underwood","given":"Clayton J."},{"family":"Ateshian","given":"Gerard A."},{"family":"Weiss","given":"Jeffrey A."}],"issued":{"date-parts":[["2010",9,17]]}}}],"schema":"https://github.com/citation-style-language/schema/raw/master/csl-citation.json"} </w:instrText>
      </w:r>
      <w:r w:rsidR="00E27670" w:rsidRPr="00E27670">
        <w:rPr>
          <w:szCs w:val="24"/>
        </w:rPr>
        <w:fldChar w:fldCharType="separate"/>
      </w:r>
      <w:r w:rsidR="0097525F" w:rsidRPr="0097525F">
        <w:rPr>
          <w:rFonts w:cs="Times New Roman"/>
        </w:rPr>
        <w:t>(Henninger et al., 2010)</w:t>
      </w:r>
      <w:r w:rsidR="00E27670" w:rsidRPr="00E27670">
        <w:rPr>
          <w:szCs w:val="24"/>
        </w:rPr>
        <w:fldChar w:fldCharType="end"/>
      </w:r>
      <w:r w:rsidR="00E27670" w:rsidRPr="00E27670">
        <w:rPr>
          <w:szCs w:val="24"/>
        </w:rPr>
        <w:t>.</w:t>
      </w:r>
      <w:r>
        <w:rPr>
          <w:szCs w:val="24"/>
        </w:rPr>
        <w:t xml:space="preserve"> </w:t>
      </w:r>
    </w:p>
    <w:p w14:paraId="2BC8C2C4" w14:textId="193C75A6" w:rsidR="00310124" w:rsidRDefault="00E27670" w:rsidP="00AC0270">
      <w:pPr>
        <w:rPr>
          <w:szCs w:val="24"/>
        </w:rPr>
      </w:pPr>
      <w:r w:rsidRPr="00E27670">
        <w:rPr>
          <w:szCs w:val="24"/>
        </w:rPr>
        <w:t xml:space="preserve">In the </w:t>
      </w:r>
      <w:r w:rsidR="001B591D">
        <w:rPr>
          <w:szCs w:val="24"/>
        </w:rPr>
        <w:t xml:space="preserve">canine </w:t>
      </w:r>
      <w:r w:rsidRPr="00E27670">
        <w:rPr>
          <w:szCs w:val="24"/>
        </w:rPr>
        <w:t xml:space="preserve">knee joint, the </w:t>
      </w:r>
      <w:r w:rsidR="006448C6">
        <w:rPr>
          <w:szCs w:val="24"/>
        </w:rPr>
        <w:t>cranial</w:t>
      </w:r>
      <w:r w:rsidRPr="00E27670">
        <w:rPr>
          <w:szCs w:val="24"/>
        </w:rPr>
        <w:t xml:space="preserve"> cruciate ligament (</w:t>
      </w:r>
      <w:r w:rsidR="00E83B1F">
        <w:rPr>
          <w:szCs w:val="24"/>
        </w:rPr>
        <w:t>C</w:t>
      </w:r>
      <w:r w:rsidRPr="00E27670">
        <w:rPr>
          <w:szCs w:val="24"/>
        </w:rPr>
        <w:t xml:space="preserve">CL) is </w:t>
      </w:r>
      <w:r w:rsidR="00FE5D23">
        <w:rPr>
          <w:szCs w:val="24"/>
        </w:rPr>
        <w:t xml:space="preserve">the </w:t>
      </w:r>
      <w:r w:rsidRPr="00E27670">
        <w:rPr>
          <w:szCs w:val="24"/>
        </w:rPr>
        <w:t>most susceptible</w:t>
      </w:r>
      <w:r w:rsidR="001B591D">
        <w:rPr>
          <w:szCs w:val="24"/>
        </w:rPr>
        <w:t xml:space="preserve"> ligament</w:t>
      </w:r>
      <w:r w:rsidRPr="00E27670">
        <w:rPr>
          <w:szCs w:val="24"/>
        </w:rPr>
        <w:t xml:space="preserve"> to injur</w:t>
      </w:r>
      <w:r w:rsidR="001B591D">
        <w:rPr>
          <w:szCs w:val="24"/>
        </w:rPr>
        <w:t xml:space="preserve">y </w:t>
      </w:r>
      <w:r w:rsidRPr="00E27670">
        <w:rPr>
          <w:szCs w:val="24"/>
        </w:rPr>
        <w:fldChar w:fldCharType="begin"/>
      </w:r>
      <w:r w:rsidR="0097525F">
        <w:rPr>
          <w:szCs w:val="24"/>
        </w:rPr>
        <w:instrText xml:space="preserve"> ADDIN ZOTERO_ITEM CSL_CITATION {"citationID":"8Vhf2DCI","properties":{"formattedCitation":"(Moses et al., 2012)","plainCitation":"(Moses et al., 2012)","noteIndex":0},"citationItems":[{"id":3196,"uris":["http://zotero.org/users/5692498/items/KXHXEZWT"],"itemData":{"id":3196,"type":"article-journal","abstract":"Accurate documentation of injury incidence is critical for study of injury risk factors and prevention. Comparisons of published incidences of anterior cruciate ligament (ACL) injuries and surgical reconstructions are difficult, however, because of the variations in units. Some studies report absolute time-based denominators (such as annual incidence or incidence per 100,000 person years), whereas others report exposure-based denominators (such as incidence per 1,000 player hours or athlete exposures). We converted exposure-based units into annual incidences to compare various studies. National population studies show annual incidence rates of up to 0.05% per person per year in Australia. Professional athletes in basketball, soccer, and the other football codes report an annual incidence of 0.15%-3.7% in studies with at least a moderate sample size. Annual ACL incidence in amateur sporting groups was generally higher than the entire population but lower than among professional athletes. Converting incidence rates to annual units allowed better comparisons to be made between population rates across different studies.","container-title":"Research in Sports Medicine (Print)","DOI":"10.1080/15438627.2012.680633","ISSN":"1543-8635","issue":"3-4","journalAbbreviation":"Res Sports Med","language":"eng","note":"PMID: 22742074","page":"157-179","source":"PubMed","title":"Systematic review: Annual incidence of ACL injury and surgery in various populations","title-short":"Systematic review","volume":"20","author":[{"family":"Moses","given":"Bassam"},{"family":"Orchard","given":"John"},{"family":"Orchard","given":"Jessica"}],"issued":{"date-parts":[["2012",7]]}}}],"schema":"https://github.com/citation-style-language/schema/raw/master/csl-citation.json"} </w:instrText>
      </w:r>
      <w:r w:rsidRPr="00E27670">
        <w:rPr>
          <w:szCs w:val="24"/>
        </w:rPr>
        <w:fldChar w:fldCharType="separate"/>
      </w:r>
      <w:r w:rsidR="0097525F" w:rsidRPr="0097525F">
        <w:rPr>
          <w:rFonts w:cs="Times New Roman"/>
        </w:rPr>
        <w:t>(Moses et al., 2012)</w:t>
      </w:r>
      <w:r w:rsidRPr="00E27670">
        <w:rPr>
          <w:szCs w:val="24"/>
        </w:rPr>
        <w:fldChar w:fldCharType="end"/>
      </w:r>
      <w:r w:rsidRPr="00E27670">
        <w:rPr>
          <w:szCs w:val="24"/>
        </w:rPr>
        <w:t xml:space="preserve"> and contains a higher PGs content compared to other knee ligaments </w:t>
      </w:r>
      <w:r w:rsidRPr="00E27670">
        <w:rPr>
          <w:szCs w:val="24"/>
        </w:rPr>
        <w:fldChar w:fldCharType="begin"/>
      </w:r>
      <w:r w:rsidR="008D4B27">
        <w:rPr>
          <w:szCs w:val="24"/>
        </w:rPr>
        <w:instrText xml:space="preserve"> ADDIN ZOTERO_ITEM CSL_CITATION {"citationID":"5AC5QDo8","properties":{"formattedCitation":"(Rumian et al., 2007; Kharaz et al., 2018)","plainCitation":"(Rumian et al., 2007; Kharaz et al., 2018)","noteIndex":0},"citationItems":[{"id":3023,"uris":["http://zotero.org/users/5692498/items/FBH69HV4"],"itemData":{"id":3023,"type":"article-journal","abstract":"Tendons and ligaments play key roles in the musculoskeletal system in both man and animals. Both tissues can undergo traumatic injury, age-related degeneration and chronic disease, causing discomfort, pain and increased susceptibility to wider degenerative joint disease. To date, tendon and ligament ultrastructural biology is relatively under-studied in healthy, non-diseased tissues. This information is essential to understand the pathology of these tissues with regard to function-related injury and to assist with the future development of tissue-engineered tendon and ligament structures. This study investigated the morphological, compositional and extracellular matrix protein distribution differences between tendons and ligaments around the non-diseased canine stifle joint. The morphological, structural characteristics of different regions of the periarticular tendons and ligaments (the intra-articular anterior cruciate ligament, the extra-articular medial collateral ligament, the positional long digital extensor tendon and energy-storing superficial digital flexor tendons) were identified using a novel semi-objective histological scoring analysis and by determining their biochemical composition. Protein distribution of extracellular matrix collagens, proteoglycans and elastic fibre proteins in anterior cruciate ligament and long digital extensor tendon were also determined using immunostaining techniques. The anterior cruciate ligament was found to have significant morphological differences in comparison with the other three tissues, including less compact collagen architecture, differences in cell nuclei phenotype and increased glycosaminoglycan and elastin content. Intra- and interobserver differences of histology scoring resulted in an average score 0.7, indicative of good agreement between observers. Statistically significant differences were also found in the extracellular matrix composition in terms of glycosaminoglycan and elastin content, being more prominent in the anterior cruciate ligament than in the other three tissues. A different distribution of several extracellular matrix proteins was also found between long digital extensor tendon and anterior cruciate ligament, with a significantly increased immunostaining of aggrecan and versican in the anterior cruciate ligament. These findings directly relate to the different functions of tendon and ligament and indicate that the intra-articular anterior cruciate ligament is subjected to more compressive forces, reflecting an adaptive response to normal or increased loads and resulting in different extracellular matrix composition and arrangement to protect the tissue from damage.","container-title":"Journal of Anatomy","DOI":"10.1111/joa.12802","ISSN":"1469-7580","issue":"6","language":"en","license":"© 2018 The Authors. Journal of Anatomy published by John Wiley &amp; Sons Ltd on behalf of Anatomical Society.","note":"_eprint: https://onlinelibrary.wiley.com/doi/pdf/10.1111/joa.12802","page":"943-955","source":"Wiley Online Library","title":"Variations in internal structure, composition and protein distribution between intra- and extra-articular knee ligaments and tendons","volume":"232","author":[{"family":"Kharaz","given":"Yalda A."},{"family":"Canty‐Laird","given":"Elizabeth G."},{"family":"Tew","given":"Simon R."},{"family":"Comerford","given":"Eithne J."}],"issued":{"date-parts":[["2018"]]}}},{"id":3084,"uris":["http://zotero.org/users/5692498/items/F9QS56GA"],"itemData":{"id":3084,"type":"article-journal","abstract":"Tendons and ligaments are similar in composition but differ in function. Simple anatomical definitions do not reflect the fact individual tendons and ligaments have unique properties due to their adaptation to a specific role. The patellar tendon is a structure of particular clinical interest. A null hypothesis was declared stating that the patellar tendon is not significantly different in terms of matrix composition and collagen fibril diameter to other tendons. The lateral and medial collateral ligaments (LCL, MCL), anterior and posterior cruciate ligaments (ACL, PCL), together with the long digital extensor, superficial digital extensor, and patellar tendons (LDET, SDFT, PT) were harvested from three cadaveric ovine hindlimbs. The extracellular matrix was assessed in terms of water, collagen, and total sulphated glycosaminoglycan (GAG) content. The organization of the collagen component was determined by an ultrastructural analysis of collagen fibril diameter distributions, together with values for the collagen fibril index (CFI) and mass-average diameter (MAD). There were significant differences between ligaments and tendons. The PT had a bimodal collagen fibril diameter distribution with CFI 72.9%, MAD 202 nm, water content 53.1%, GAG content 2.3 microg/mg, and collagen content 73.7%, which was not significantly different from the other tendons. The results of this study support the null hypothesis suggesting that the patellar tendon is similar to other tendons and demonstrate that tendons have different characteristics to ligaments.","container-title":"Journal of Orthopaedic Research: Official Publication of the Orthopaedic Research Society","DOI":"10.1002/jor.20218","ISSN":"0736-0266","issue":"4","journalAbbreviation":"J Orthop Res","language":"eng","note":"PMID: 17205554","page":"458-464","source":"PubMed","title":"Tendons and ligaments are anatomically distinct but overlap in molecular and morphological features--a comparative study in an ovine model","volume":"25","author":[{"family":"Rumian","given":"Adam P."},{"family":"Wallace","given":"Andrew L."},{"family":"Birch","given":"Helen L."}],"issued":{"date-parts":[["2007",4]]}}}],"schema":"https://github.com/citation-style-language/schema/raw/master/csl-citation.json"} </w:instrText>
      </w:r>
      <w:r w:rsidRPr="00E27670">
        <w:rPr>
          <w:szCs w:val="24"/>
        </w:rPr>
        <w:fldChar w:fldCharType="separate"/>
      </w:r>
      <w:r w:rsidR="0097525F" w:rsidRPr="0097525F">
        <w:rPr>
          <w:rFonts w:cs="Times New Roman"/>
        </w:rPr>
        <w:t>(Rumian et al., 2007; Kharaz et al., 2018)</w:t>
      </w:r>
      <w:r w:rsidRPr="00E27670">
        <w:rPr>
          <w:szCs w:val="24"/>
        </w:rPr>
        <w:fldChar w:fldCharType="end"/>
      </w:r>
      <w:r w:rsidRPr="00E27670">
        <w:rPr>
          <w:szCs w:val="24"/>
        </w:rPr>
        <w:t xml:space="preserve"> which </w:t>
      </w:r>
      <w:bookmarkStart w:id="4" w:name="_Hlk60166967"/>
      <w:r w:rsidRPr="00E27670">
        <w:rPr>
          <w:szCs w:val="24"/>
        </w:rPr>
        <w:t xml:space="preserve">likely contribute to the structural integrity of the tissues. Therefore, </w:t>
      </w:r>
      <w:r w:rsidR="00311380">
        <w:rPr>
          <w:szCs w:val="24"/>
        </w:rPr>
        <w:t>we hypothesise</w:t>
      </w:r>
      <w:r w:rsidRPr="00E27670">
        <w:rPr>
          <w:szCs w:val="24"/>
        </w:rPr>
        <w:t xml:space="preserve"> that a reduction in PGs content would affect the contribution of ECM composition to the structural integrity in the </w:t>
      </w:r>
      <w:r w:rsidR="005C411A">
        <w:rPr>
          <w:szCs w:val="24"/>
        </w:rPr>
        <w:t>CCL</w:t>
      </w:r>
      <w:r w:rsidRPr="00E27670">
        <w:rPr>
          <w:szCs w:val="24"/>
        </w:rPr>
        <w:t>, resulting in altered ligament mechanics</w:t>
      </w:r>
      <w:r w:rsidR="00311380">
        <w:rPr>
          <w:szCs w:val="24"/>
        </w:rPr>
        <w:t>,</w:t>
      </w:r>
      <w:r w:rsidRPr="00E27670">
        <w:rPr>
          <w:szCs w:val="24"/>
        </w:rPr>
        <w:t xml:space="preserve"> which may ultimately lead to </w:t>
      </w:r>
      <w:r w:rsidR="005C411A">
        <w:rPr>
          <w:szCs w:val="24"/>
        </w:rPr>
        <w:t>CCL</w:t>
      </w:r>
      <w:r w:rsidRPr="00E27670">
        <w:rPr>
          <w:szCs w:val="24"/>
        </w:rPr>
        <w:t xml:space="preserve"> injury and knee joint osteoarthritis </w:t>
      </w:r>
      <w:r w:rsidRPr="00E27670">
        <w:rPr>
          <w:szCs w:val="24"/>
        </w:rPr>
        <w:fldChar w:fldCharType="begin"/>
      </w:r>
      <w:r w:rsidR="008D4B27">
        <w:rPr>
          <w:szCs w:val="24"/>
        </w:rPr>
        <w:instrText xml:space="preserve"> ADDIN ZOTERO_ITEM CSL_CITATION {"citationID":"B1rYS01N","properties":{"formattedCitation":"(Quasnichka et al., 2005)","plainCitation":"(Quasnichka et al., 2005)","noteIndex":0},"citationItems":[{"id":3177,"uris":["http://zotero.org/users/5692498/items/YB8X266H"],"itemData":{"id":3177,"type":"article-journal","abstract":"Objective The influence of the cruciate ligaments in spontaneous osteoarthritis (OA) is not understood, although ligament rupture is known to cause secondary OA. Additionally, femoral notch narrowing at the anterior cruciate ligament (ACL) insertion site is associated with disease severity, but it is unknown whether ligament deterioration precedes or follows osteophyte formation. We examined cruciate ligament mechanics and metabolism and the intercondylar notch width in OA-prone Dunkin-Hartley (DH) guinea pigs at ages up to and including the age at OA onset (24 weeks), and compared the data with those in age-matched controls (Bristol strain 2 [BS2] guinea pigs). Methods Guinea pigs were assessed at 3, 6, 9, 12, 16, 20, 24, and 36 weeks of age. ACLs were mechanically tested, and the intercondylar notch width index (NWI) was determined. Cruciate ligament metabolism was determined by measuring the following markers of collagen turnover: matrix metalloproteinase 2 (MMP-2), tissue inhibitor of metalloproteinases 2, C-terminal type I procollagen propeptide (PICP), and the immature collagen-derived crosslink dihydroxylysinonorleucine (DHLNL). Results DH guinea pigs had significantly laxer ACLs than did BS2 guinea pigs, at 12, 16, and 24 weeks. We observed elevated levels of pro and active MMP-2, PICP, and DHLNL in the cruciate ligaments of DH animals at most ages, compared with BS2 guinea pigs. The NWI in DH animals was significantly lower than that in BS2 guinea pigs at 24 and 36 weeks. Conclusion In DH guinea pigs, laxer ACLs, which are associated with increased collagen turnover, may cause joint instability and predispose these animals to the early onset of OA. Decreased intercondylar notch width in the DH animals indicates that bone remodeling at the ACL insertion site is a response to elevated ACL laxity.","container-title":"Arthritis &amp; Rheumatism","DOI":"10.1002/art.21340","ISSN":"1529-0131","issue":"10","language":"en","license":"Copyright © 2005 by the American College of Rheumatology","note":"_eprint: https://onlinelibrary.wiley.com/doi/pdf/10.1002/art.21340","page":"3100-3109","source":"Wiley Online Library","title":"Cruciate ligament laxity and femoral intercondylar notch narrowing in early-stage knee osteoarthritis","volume":"52","author":[{"family":"Quasnichka","given":"Helen L."},{"family":"Anderson‐MacKenzie","given":"Janet M."},{"family":"Tarlton","given":"John F."},{"family":"Sims","given":"Trevor J."},{"family":"Billingham","given":"Michael E. J."},{"family":"Bailey","given":"Allen J."}],"issued":{"date-parts":[["2005"]]}}}],"schema":"https://github.com/citation-style-language/schema/raw/master/csl-citation.json"} </w:instrText>
      </w:r>
      <w:r w:rsidRPr="00E27670">
        <w:rPr>
          <w:szCs w:val="24"/>
        </w:rPr>
        <w:fldChar w:fldCharType="separate"/>
      </w:r>
      <w:r w:rsidR="0097525F" w:rsidRPr="0097525F">
        <w:rPr>
          <w:rFonts w:cs="Times New Roman"/>
        </w:rPr>
        <w:t>(Quasnichka et al., 2005)</w:t>
      </w:r>
      <w:r w:rsidRPr="00E27670">
        <w:rPr>
          <w:szCs w:val="24"/>
        </w:rPr>
        <w:fldChar w:fldCharType="end"/>
      </w:r>
      <w:r w:rsidRPr="00E27670">
        <w:rPr>
          <w:szCs w:val="24"/>
        </w:rPr>
        <w:t>.</w:t>
      </w:r>
      <w:bookmarkEnd w:id="4"/>
      <w:r w:rsidRPr="00E27670">
        <w:rPr>
          <w:szCs w:val="24"/>
        </w:rPr>
        <w:t xml:space="preserve"> Thus, th</w:t>
      </w:r>
      <w:r w:rsidR="00311380">
        <w:rPr>
          <w:szCs w:val="24"/>
        </w:rPr>
        <w:t>is study aimed</w:t>
      </w:r>
      <w:r w:rsidRPr="00E27670">
        <w:rPr>
          <w:szCs w:val="24"/>
        </w:rPr>
        <w:t xml:space="preserve"> to </w:t>
      </w:r>
      <w:r w:rsidR="000E5B82">
        <w:rPr>
          <w:szCs w:val="24"/>
        </w:rPr>
        <w:t>qualitatively</w:t>
      </w:r>
      <w:r w:rsidR="00311380">
        <w:rPr>
          <w:szCs w:val="24"/>
        </w:rPr>
        <w:t xml:space="preserve"> investigate</w:t>
      </w:r>
      <w:r w:rsidRPr="00E27670">
        <w:rPr>
          <w:szCs w:val="24"/>
        </w:rPr>
        <w:t xml:space="preserve"> the role of PGs </w:t>
      </w:r>
      <w:r w:rsidR="00311380">
        <w:rPr>
          <w:szCs w:val="24"/>
        </w:rPr>
        <w:t>in</w:t>
      </w:r>
      <w:r w:rsidRPr="00E27670">
        <w:rPr>
          <w:szCs w:val="24"/>
        </w:rPr>
        <w:t xml:space="preserve"> the viscoelastic properties (strain</w:t>
      </w:r>
      <w:r w:rsidR="000E5B82">
        <w:rPr>
          <w:szCs w:val="24"/>
        </w:rPr>
        <w:t xml:space="preserve"> </w:t>
      </w:r>
      <w:r w:rsidRPr="00E27670">
        <w:rPr>
          <w:szCs w:val="24"/>
        </w:rPr>
        <w:t>rate dependency, hysteresis, creep and stress</w:t>
      </w:r>
      <w:r w:rsidR="000E5B82">
        <w:rPr>
          <w:szCs w:val="24"/>
        </w:rPr>
        <w:t xml:space="preserve"> </w:t>
      </w:r>
      <w:r w:rsidRPr="00E27670">
        <w:rPr>
          <w:szCs w:val="24"/>
        </w:rPr>
        <w:t>relaxation) of intact femur-</w:t>
      </w:r>
      <w:r w:rsidR="005C411A">
        <w:rPr>
          <w:szCs w:val="24"/>
        </w:rPr>
        <w:t>CCL</w:t>
      </w:r>
      <w:r w:rsidRPr="00E27670">
        <w:rPr>
          <w:szCs w:val="24"/>
        </w:rPr>
        <w:t xml:space="preserve">-tibia in an </w:t>
      </w:r>
      <w:r w:rsidRPr="000E5B82">
        <w:rPr>
          <w:i/>
          <w:iCs/>
          <w:szCs w:val="24"/>
        </w:rPr>
        <w:t>ex vivo</w:t>
      </w:r>
      <w:r w:rsidRPr="00E27670">
        <w:rPr>
          <w:szCs w:val="24"/>
        </w:rPr>
        <w:t xml:space="preserve"> test environment</w:t>
      </w:r>
      <w:r w:rsidR="00F46494" w:rsidRPr="00376CC5">
        <w:rPr>
          <w:szCs w:val="24"/>
        </w:rPr>
        <w:t>.</w:t>
      </w:r>
    </w:p>
    <w:p w14:paraId="776C12F6" w14:textId="77777777" w:rsidR="00A67C97" w:rsidRPr="00376CC5" w:rsidRDefault="00A67C97" w:rsidP="00AC0270">
      <w:pPr>
        <w:rPr>
          <w:szCs w:val="24"/>
        </w:rPr>
      </w:pPr>
    </w:p>
    <w:p w14:paraId="4CC0779D" w14:textId="77777777" w:rsidR="00C375E3" w:rsidRPr="00DD15C3" w:rsidRDefault="00C375E3" w:rsidP="00B62277">
      <w:pPr>
        <w:pStyle w:val="Heading1"/>
      </w:pPr>
      <w:r w:rsidRPr="00DD15C3">
        <w:t>Material and Methods</w:t>
      </w:r>
    </w:p>
    <w:p w14:paraId="0EB9A2C5" w14:textId="77777777" w:rsidR="00C375E3" w:rsidRPr="00DD15C3" w:rsidRDefault="00C375E3" w:rsidP="00B62277">
      <w:pPr>
        <w:pStyle w:val="Heading2"/>
      </w:pPr>
      <w:r w:rsidRPr="00DD15C3">
        <w:t>Specimen storage, preparation and purpose</w:t>
      </w:r>
    </w:p>
    <w:p w14:paraId="3B125DB1" w14:textId="0A52EE21" w:rsidR="00C375E3" w:rsidRDefault="00C375E3" w:rsidP="00C375E3">
      <w:pPr>
        <w:rPr>
          <w:rFonts w:cs="Times New Roman"/>
          <w:szCs w:val="24"/>
        </w:rPr>
      </w:pPr>
      <w:r w:rsidRPr="00DD15C3">
        <w:rPr>
          <w:rFonts w:cs="Times New Roman"/>
          <w:szCs w:val="24"/>
        </w:rPr>
        <w:t xml:space="preserve">Paired disease-free knee joint cadavers (n=6) from skeletally mature Staffordshire bull terrier canines were obtained with full ethical permission from the Veterinary Research Ethics Committee ((VREC65), University of Liverpool). Inclusion criteria were knee joints from skeletally mature animals with a bodyweight &gt;20 kg. The entire knee joints were frozen at -20°C until required and defrosted at room temperature for extracting the </w:t>
      </w:r>
      <w:r w:rsidR="005C411A">
        <w:rPr>
          <w:rFonts w:cs="Times New Roman"/>
          <w:szCs w:val="24"/>
        </w:rPr>
        <w:t>CCL</w:t>
      </w:r>
      <w:r w:rsidRPr="00DD15C3">
        <w:rPr>
          <w:rFonts w:cs="Times New Roman"/>
          <w:szCs w:val="24"/>
        </w:rPr>
        <w:t xml:space="preserve"> as a femur-</w:t>
      </w:r>
      <w:r w:rsidR="005C411A">
        <w:rPr>
          <w:rFonts w:cs="Times New Roman"/>
          <w:szCs w:val="24"/>
        </w:rPr>
        <w:t>CCL</w:t>
      </w:r>
      <w:r w:rsidRPr="00DD15C3">
        <w:rPr>
          <w:rFonts w:cs="Times New Roman"/>
          <w:szCs w:val="24"/>
        </w:rPr>
        <w:t xml:space="preserve">-tibia complex </w:t>
      </w:r>
      <w:r w:rsidRPr="00DD15C3">
        <w:rPr>
          <w:rFonts w:cs="Times New Roman"/>
          <w:szCs w:val="24"/>
        </w:rPr>
        <w:fldChar w:fldCharType="begin"/>
      </w:r>
      <w:r w:rsidR="0097525F">
        <w:rPr>
          <w:rFonts w:cs="Times New Roman"/>
          <w:szCs w:val="24"/>
        </w:rPr>
        <w:instrText xml:space="preserve"> ADDIN ZOTERO_ITEM CSL_CITATION {"citationID":"Hw7Gywss","properties":{"formattedCitation":"(Readioff, 2017; Readioff et al., 2020a, 2020b)","plainCitation":"(Readioff, 2017; Readioff et al., 2020a, 2020b)","noteIndex":0},"citationItems":[{"id":2584,"uris":["http://zotero.org/users/5692498/items/58ARLL83"],"itemData":{"id":2584,"type":"article-journal","abstract":"It is limiting to use conventional methods when characterising material properties of complex biological tissues with inhomogeneous and anisotropic structure, such as the anterior cruciate ligament (ACL) in the knee joint. This study aims to develop and utilise a three-dimensional digital image correlation method (3D DIC) for the purpose of determining material properties of femur-ACL-tibia complex across the surface without any contact between the tissue and the loading equipment. A full-field (360° view) 3D DIC test setup consisting of six digital single-lens reflex cameras was developed and ACL specimens from skeletally mature dog knee joints were tested. The six cameras were arranged into three pairs and the cameras within each pair were positioned with 25° in between to obtain the desired stereovision output. The test setup was calibrated twice: first to obtain the intrinsic and extrinsic parameters within camera pairs, and second to align the 3D surfaces from each camera pair in order to generate the full view of the ACLs. Using the undeformed 3D surfaces of the ligaments, ACL-specific finite element models were generated. Longitudinal deformation of ligaments under tensile loads obtained from the 3D DIC, and this was analysed to serve as input for the inverse finite element analysis. As a result, hyperelastic coefficients from the first-order Ogden model that characterise ACL behaviour were determined with a marginal error of &lt;1.5%. This test setup and methodology provides a means to accurately determine inhomogeneous and anisotropic material properties of ACL. The methodology described in this study could be adopted to investigate other biological and cultured tissues with complex structure.\nStatement of Significance\nDetermining the material properties of soft tissues with complex anatomical structure, such as the anterior cruciate ligament (ACL), is important to better understand their contribution to musculoskeletal biomechanics. Current conventional methods for characterising material properties of the ACL are often limited to a contact measurement approach, however an improved understanding of the mechanics of this complex tissue is vital in terms of preventing injury and developing novel therapies. This article reports the development and utilisation of non-contact optical methodology involving full-field three-dimensional digital image correlation and finite element analysis to accurately investigate material properties of the ACL, in a controlled environment. This technique reduces inaccuracies due to specimen clamping and more importantly considers the inhomogeneous nature of the examined tissue.","container-title":"Acta Biomaterialia","DOI":"10.1016/j.actbio.2020.07.003","ISSN":"1742-7061","journalAbbreviation":"Acta Biomaterialia","language":"en","page":"417-428","source":"ScienceDirect","title":"A full-field 3D digital image correlation and modelling technique to characterise anterior cruciate ligament mechanics ex vivo","volume":"113","author":[{"family":"Readioff","given":"Rosti"},{"family":"Geraghty","given":"Brendan"},{"family":"Comerford","given":"Eithne"},{"family":"Elsheikh","given":"Ahmed"}],"issued":{"date-parts":[["2020",9,1]]}}},{"id":1311,"uris":["http://zotero.org/users/5692498/items/Q2K6QVBU"],"itemData":{"id":1311,"type":"thesis","publisher":"University of Liverpool","title":"Viscoelastic behaviour of the canine cranial cruciate ligament complex.","URL":"http://livrepository.liverpool.ac.uk/id/eprint/3016657","author":[{"family":"Readioff","given":"Rosti"}],"issued":{"date-parts":[["2017"]]}}},{"id":3168,"uris":["http://zotero.org/users/5692498/items/GYIP8SXX"],"itemData":{"id":3168,"type":"article-journal","abstract":"Ligaments including the cruciate ligaments support and transfer loads between bones applied to the knee joint organ. The functions of these ligaments can get compromised due to changes to their viscoelastic material properties. Currently there are discrepancies in the literature on the viscoelastic characteristics of knee ligaments which are thought to be due to tissue variability and different testing protocols. The aim of this study was to characterise the viscoelastic properties of healthy cranial cruciate ligaments (CCLs), from the canine knee (stifle) joint, with a focus on the toe region of the stress-strain properties where any alterations in the extracellular matrix which would affect viscoelastic properties would be seen. Six paired CCLs, from skeletally mature and disease-free Staffordshire bull terrier stifle joints were retrieved as a femur-CCL-tibia complex and mechanically tested under uniaxial cyclic loading up to 10 N at three strain rates, namely 0.1%, 1% and 10%/min, to assess the viscoelastic property of strain rate dependency. The effect of strain history was also investigated by subjecting contralateral CCLs to an ascending (0.1%, 1% and 10%/min) or descending (10%, 1% and 0.1%/min) strain rate protocol. The differences between strain rates were not statistically significant. However, hysteresis and recovery of ligament lengths showed some dependency on strain rate. Only hysteresis was affected by the test protocol and lower strain rates resulted in higher hysteresis and lower recovery. These findings could be explained by the slow process of uncrimping of collagen fibres and the contribution of proteoglycans in the ligament extracellular matrix to intra-fibrillar gliding, which results in more tissue elongations and higher energy dissipation. This study further expands our understanding of canine CCL behaviour, providing data for material models of femur-CCL-tibia complexes, and demonstrating the challenges for engineering complex biomaterials such as knee joint ligaments.","container-title":"PeerJ","DOI":"10.7717/peerj.10635","ISSN":"2167-8359","journalAbbreviation":"PeerJ","language":"en","note":"publisher: PeerJ Inc.","page":"e10635","source":"peerj.com","title":"Viscoelastic characteristics of the canine cranial cruciate ligament complex at slow strain rates","volume":"8","author":[{"family":"Readioff","given":"Rosti"},{"family":"Geraghty","given":"Brendan"},{"family":"Elsheikh","given":"Ahmed"},{"family":"Comerford","given":"Eithne"}],"issued":{"date-parts":[["2020",12,22]]}}}],"schema":"https://github.com/citation-style-language/schema/raw/master/csl-citation.json"} </w:instrText>
      </w:r>
      <w:r w:rsidRPr="00DD15C3">
        <w:rPr>
          <w:rFonts w:cs="Times New Roman"/>
          <w:szCs w:val="24"/>
        </w:rPr>
        <w:fldChar w:fldCharType="separate"/>
      </w:r>
      <w:r w:rsidR="0097525F" w:rsidRPr="0097525F">
        <w:rPr>
          <w:rFonts w:cs="Times New Roman"/>
        </w:rPr>
        <w:t>(Readioff, 2017; Readioff et al., 2020a, 2020b)</w:t>
      </w:r>
      <w:r w:rsidRPr="00DD15C3">
        <w:rPr>
          <w:rFonts w:cs="Times New Roman"/>
          <w:szCs w:val="24"/>
        </w:rPr>
        <w:fldChar w:fldCharType="end"/>
      </w:r>
      <w:r w:rsidRPr="00DD15C3">
        <w:rPr>
          <w:rFonts w:cs="Times New Roman"/>
          <w:szCs w:val="24"/>
        </w:rPr>
        <w:t xml:space="preserve">. </w:t>
      </w:r>
      <w:r w:rsidR="005C411A">
        <w:rPr>
          <w:rFonts w:cs="Times New Roman"/>
          <w:szCs w:val="24"/>
        </w:rPr>
        <w:t>CCL</w:t>
      </w:r>
      <w:r w:rsidRPr="00DD15C3">
        <w:rPr>
          <w:rFonts w:cs="Times New Roman"/>
          <w:szCs w:val="24"/>
        </w:rPr>
        <w:t xml:space="preserve"> complexes from the right knee</w:t>
      </w:r>
      <w:r w:rsidR="001B591D">
        <w:rPr>
          <w:rFonts w:cs="Times New Roman"/>
          <w:szCs w:val="24"/>
        </w:rPr>
        <w:t xml:space="preserve"> joints</w:t>
      </w:r>
      <w:r w:rsidRPr="00DD15C3">
        <w:rPr>
          <w:rFonts w:cs="Times New Roman"/>
          <w:szCs w:val="24"/>
        </w:rPr>
        <w:t xml:space="preserve"> were not treated </w:t>
      </w:r>
      <w:r w:rsidR="00225C28">
        <w:rPr>
          <w:rFonts w:cs="Times New Roman"/>
          <w:szCs w:val="24"/>
        </w:rPr>
        <w:t>with the PG depletion enzyme</w:t>
      </w:r>
      <w:r w:rsidRPr="00DD15C3">
        <w:rPr>
          <w:rFonts w:cs="Times New Roman"/>
          <w:szCs w:val="24"/>
        </w:rPr>
        <w:t xml:space="preserve"> (control group), whilst the </w:t>
      </w:r>
      <w:r w:rsidR="005C411A">
        <w:rPr>
          <w:rFonts w:cs="Times New Roman"/>
          <w:szCs w:val="24"/>
        </w:rPr>
        <w:t>CCL</w:t>
      </w:r>
      <w:r w:rsidRPr="00DD15C3">
        <w:rPr>
          <w:rFonts w:cs="Times New Roman"/>
          <w:szCs w:val="24"/>
        </w:rPr>
        <w:t xml:space="preserve"> complexes from the left knee joints were treated to </w:t>
      </w:r>
      <w:r w:rsidR="00225C28">
        <w:rPr>
          <w:rFonts w:cs="Times New Roman"/>
          <w:szCs w:val="24"/>
        </w:rPr>
        <w:t>deplete</w:t>
      </w:r>
      <w:r w:rsidRPr="00DD15C3">
        <w:rPr>
          <w:rFonts w:cs="Times New Roman"/>
          <w:szCs w:val="24"/>
        </w:rPr>
        <w:t xml:space="preserve"> the PGs content (</w:t>
      </w:r>
      <w:r w:rsidR="00A13A42">
        <w:rPr>
          <w:rFonts w:cs="Times New Roman"/>
          <w:szCs w:val="24"/>
        </w:rPr>
        <w:t>treated</w:t>
      </w:r>
      <w:r w:rsidRPr="00DD15C3">
        <w:rPr>
          <w:rFonts w:cs="Times New Roman"/>
          <w:szCs w:val="24"/>
        </w:rPr>
        <w:t xml:space="preserve"> group).</w:t>
      </w:r>
    </w:p>
    <w:p w14:paraId="67BD6D25" w14:textId="77777777" w:rsidR="00A67C97" w:rsidRPr="00DD15C3" w:rsidRDefault="00A67C97" w:rsidP="00C375E3">
      <w:pPr>
        <w:rPr>
          <w:rFonts w:cs="Times New Roman"/>
          <w:szCs w:val="24"/>
        </w:rPr>
      </w:pPr>
    </w:p>
    <w:p w14:paraId="4AA119A2" w14:textId="77777777" w:rsidR="00C375E3" w:rsidRPr="00DD15C3" w:rsidRDefault="00C375E3" w:rsidP="00B62277">
      <w:pPr>
        <w:pStyle w:val="Heading2"/>
      </w:pPr>
      <w:r w:rsidRPr="00DD15C3">
        <w:t>Specimen length and cross-sectional area</w:t>
      </w:r>
    </w:p>
    <w:p w14:paraId="281C4712" w14:textId="4E2E58F7" w:rsidR="00C375E3" w:rsidRDefault="00C375E3" w:rsidP="00C375E3">
      <w:pPr>
        <w:rPr>
          <w:rFonts w:cs="Times New Roman"/>
          <w:szCs w:val="24"/>
        </w:rPr>
      </w:pPr>
      <w:r w:rsidRPr="00DD15C3">
        <w:rPr>
          <w:rFonts w:cs="Times New Roman"/>
          <w:szCs w:val="24"/>
        </w:rPr>
        <w:t xml:space="preserve">The </w:t>
      </w:r>
      <w:r w:rsidR="005C411A">
        <w:rPr>
          <w:rFonts w:cs="Times New Roman"/>
          <w:szCs w:val="24"/>
        </w:rPr>
        <w:t>CCL</w:t>
      </w:r>
      <w:r w:rsidRPr="00DD15C3">
        <w:rPr>
          <w:rFonts w:cs="Times New Roman"/>
          <w:szCs w:val="24"/>
        </w:rPr>
        <w:t xml:space="preserve"> lengths were determined between the insertion and origin of the ligaments at the cranial, caudal, lateral and medial planes using Vernier callipers (D00352, </w:t>
      </w:r>
      <w:proofErr w:type="spellStart"/>
      <w:r w:rsidRPr="00DD15C3">
        <w:rPr>
          <w:rFonts w:cs="Times New Roman"/>
          <w:szCs w:val="24"/>
        </w:rPr>
        <w:t>Duratool</w:t>
      </w:r>
      <w:proofErr w:type="spellEnd"/>
      <w:r w:rsidRPr="00DD15C3">
        <w:rPr>
          <w:rFonts w:cs="Times New Roman"/>
          <w:szCs w:val="24"/>
        </w:rPr>
        <w:t xml:space="preserve">, Taiwan) accurate to ±10 µm </w:t>
      </w:r>
      <w:r w:rsidRPr="00DD15C3">
        <w:rPr>
          <w:rFonts w:cs="Times New Roman"/>
          <w:szCs w:val="24"/>
        </w:rPr>
        <w:fldChar w:fldCharType="begin" w:fldLock="1"/>
      </w:r>
      <w:r w:rsidR="008D4B27">
        <w:rPr>
          <w:rFonts w:cs="Times New Roman"/>
          <w:szCs w:val="24"/>
        </w:rPr>
        <w:instrText xml:space="preserve"> ADDIN ZOTERO_ITEM CSL_CITATION {"citationID":"ZU0gNMUv","properties":{"formattedCitation":"(Vasseur et al., 1991; Comerford et al., 2005a)","plainCitation":"(Vasseur et al., 1991; Comerford et al., 2005a)","noteIndex":0},"citationItems":[{"id":"hIRZaDaU/ttVOf9As","uris":["http://www.mendeley.com/documents/?uuid=a2e56fe9-7b03-4974-8eea-ce513a49449d"],"itemData":{"DOI":"10.1016/j.orthres.2004.05.016","ISSN":"0736-0266 (Print) 0736-0266 (Linking)","author":[{"dropping-particle":"","family":"Comerford","given":"E J","non-dropping-particle":"","parse-names":false,"suffix":""},{"dropping-particle":"","family":"Tarlton","given":"J F","non-dropping-particle":"","parse-names":false,"suffix":""},{"dropping-particle":"","family":"Innes","given":"J F","non-dropping-particle":"","parse-names":false,"suffix":""},{"dropping-particle":"","family":"Johnson","given":"K A","non-dropping-particle":"","parse-names":false,"suffix":""},{"dropping-particle":"","family":"Amis","given":"A A","non-dropping-particle":"","parse-names":false,"suffix":""},{"dropping-particle":"","family":"Bailey","given":"A J","non-dropping-particle":"","parse-names":false,"suffix":""}],"container-title":"Journal of Orthopaedic Research","id":"ITEM-1","issue":"1","issued":{"date-parts":[["2005"]]},"page":"61-66","title":"Metabolism and composition of the canine anterior cruciate ligament relate to differences in knee joint mechanics and predisposition to ligament rupture","type":"article-journal","volume":"23"}},{"id":"hIRZaDaU/pmO7eqwy","uris":["http://www.mendeley.com/documents/?uuid=138c5b21-d979-4d95-aba8-ff68a1a8ba6a"],"itemData":{"ISSN":"0009-921X","author":[{"dropping-particle":"","family":"Vasseur","given":"P B","non-dropping-particle":"","parse-names":false,"suffix":""},{"dropping-particle":"","family":"Stevenson","given":"S","non-dropping-particle":"","parse-names":false,"suffix":""},{"dropping-particle":"","family":"Gregory","given":"C R","non-dropping-particle":"","parse-names":false,"suffix":""},{"dropping-particle":"","family":"Rodrigo","given":"J J","non-dropping-particle":"","parse-names":false,"suffix":""},{"dropping-particle":"","family":"Pauli","given":"S","non-dropping-particle":"","parse-names":false,"suffix":""},{"dropping-particle":"","family":"Heitter","given":"D","non-dropping-particle":"","parse-names":false,"suffix":""},{"dropping-particle":"","family":"Sharkey","given":"N","non-dropping-particle":"","parse-names":false,"suffix":""}],"container-title":"Clinical Orthopaedics and Related Research","id":"ITEM-2","issue":"269","issued":{"date-parts":[["1991"]]},"page":"295-304","title":"Anterior cruciate ligament allograft transplantation in dogs","type":"article-journal"}}],"schema":"https://github.com/citation-style-language/schema/raw/master/csl-citation.json"} </w:instrText>
      </w:r>
      <w:r w:rsidRPr="00DD15C3">
        <w:rPr>
          <w:rFonts w:cs="Times New Roman"/>
          <w:szCs w:val="24"/>
        </w:rPr>
        <w:fldChar w:fldCharType="separate"/>
      </w:r>
      <w:r w:rsidR="0097525F" w:rsidRPr="0097525F">
        <w:rPr>
          <w:rFonts w:cs="Times New Roman"/>
        </w:rPr>
        <w:t>(Vasseur et al., 1991; Comerford et al., 2005a)</w:t>
      </w:r>
      <w:r w:rsidRPr="00DD15C3">
        <w:rPr>
          <w:rFonts w:cs="Times New Roman"/>
          <w:szCs w:val="24"/>
        </w:rPr>
        <w:fldChar w:fldCharType="end"/>
      </w:r>
      <w:r w:rsidRPr="00DD15C3">
        <w:rPr>
          <w:rFonts w:cs="Times New Roman"/>
          <w:szCs w:val="24"/>
        </w:rPr>
        <w:t xml:space="preserve">. </w:t>
      </w:r>
      <w:bookmarkStart w:id="5" w:name="_Hlk55070345"/>
      <w:r w:rsidRPr="00DD15C3">
        <w:rPr>
          <w:rFonts w:cs="Times New Roman"/>
          <w:szCs w:val="24"/>
        </w:rPr>
        <w:t>The</w:t>
      </w:r>
      <w:r w:rsidR="00311380">
        <w:rPr>
          <w:rFonts w:cs="Times New Roman"/>
          <w:szCs w:val="24"/>
        </w:rPr>
        <w:t xml:space="preserve"> mean values were used in calculating the engineering strains</w:t>
      </w:r>
      <w:bookmarkEnd w:id="5"/>
      <w:r w:rsidRPr="00DD15C3">
        <w:rPr>
          <w:rFonts w:cs="Times New Roman"/>
          <w:szCs w:val="24"/>
        </w:rPr>
        <w:t xml:space="preserve"> </w:t>
      </w:r>
      <w:r w:rsidRPr="00DD15C3">
        <w:rPr>
          <w:rFonts w:cs="Times New Roman"/>
          <w:szCs w:val="24"/>
        </w:rPr>
        <w:fldChar w:fldCharType="begin"/>
      </w:r>
      <w:r w:rsidR="0097525F">
        <w:rPr>
          <w:rFonts w:cs="Times New Roman"/>
          <w:szCs w:val="24"/>
        </w:rPr>
        <w:instrText xml:space="preserve"> ADDIN ZOTERO_ITEM CSL_CITATION {"citationID":"lDFswxEW","properties":{"formattedCitation":"(Readioff, 2017; Readioff et al., 2020b)","plainCitation":"(Readioff, 2017; Readioff et al., 2020b)","noteIndex":0},"citationItems":[{"id":1311,"uris":["http://zotero.org/users/5692498/items/Q2K6QVBU"],"itemData":{"id":1311,"type":"thesis","publisher":"University of Liverpool","title":"Viscoelastic behaviour of the canine cranial cruciate ligament complex.","URL":"http://livrepository.liverpool.ac.uk/id/eprint/3016657","author":[{"family":"Readioff","given":"Rosti"}],"issued":{"date-parts":[["2017"]]}}},{"id":3168,"uris":["http://zotero.org/users/5692498/items/GYIP8SXX"],"itemData":{"id":3168,"type":"article-journal","abstract":"Ligaments including the cruciate ligaments support and transfer loads between bones applied to the knee joint organ. The functions of these ligaments can get compromised due to changes to their viscoelastic material properties. Currently there are discrepancies in the literature on the viscoelastic characteristics of knee ligaments which are thought to be due to tissue variability and different testing protocols. The aim of this study was to characterise the viscoelastic properties of healthy cranial cruciate ligaments (CCLs), from the canine knee (stifle) joint, with a focus on the toe region of the stress-strain properties where any alterations in the extracellular matrix which would affect viscoelastic properties would be seen. Six paired CCLs, from skeletally mature and disease-free Staffordshire bull terrier stifle joints were retrieved as a femur-CCL-tibia complex and mechanically tested under uniaxial cyclic loading up to 10 N at three strain rates, namely 0.1%, 1% and 10%/min, to assess the viscoelastic property of strain rate dependency. The effect of strain history was also investigated by subjecting contralateral CCLs to an ascending (0.1%, 1% and 10%/min) or descending (10%, 1% and 0.1%/min) strain rate protocol. The differences between strain rates were not statistically significant. However, hysteresis and recovery of ligament lengths showed some dependency on strain rate. Only hysteresis was affected by the test protocol and lower strain rates resulted in higher hysteresis and lower recovery. These findings could be explained by the slow process of uncrimping of collagen fibres and the contribution of proteoglycans in the ligament extracellular matrix to intra-fibrillar gliding, which results in more tissue elongations and higher energy dissipation. This study further expands our understanding of canine CCL behaviour, providing data for material models of femur-CCL-tibia complexes, and demonstrating the challenges for engineering complex biomaterials such as knee joint ligaments.","container-title":"PeerJ","DOI":"10.7717/peerj.10635","ISSN":"2167-8359","journalAbbreviation":"PeerJ","language":"en","note":"publisher: PeerJ Inc.","page":"e10635","source":"peerj.com","title":"Viscoelastic characteristics of the canine cranial cruciate ligament complex at slow strain rates","volume":"8","author":[{"family":"Readioff","given":"Rosti"},{"family":"Geraghty","given":"Brendan"},{"family":"Elsheikh","given":"Ahmed"},{"family":"Comerford","given":"Eithne"}],"issued":{"date-parts":[["2020",12,22]]}}}],"schema":"https://github.com/citation-style-language/schema/raw/master/csl-citation.json"} </w:instrText>
      </w:r>
      <w:r w:rsidRPr="00DD15C3">
        <w:rPr>
          <w:rFonts w:cs="Times New Roman"/>
          <w:szCs w:val="24"/>
        </w:rPr>
        <w:fldChar w:fldCharType="separate"/>
      </w:r>
      <w:r w:rsidR="0097525F" w:rsidRPr="0097525F">
        <w:rPr>
          <w:rFonts w:cs="Times New Roman"/>
        </w:rPr>
        <w:t>(Readioff, 2017; Readioff et al., 2020b)</w:t>
      </w:r>
      <w:r w:rsidRPr="00DD15C3">
        <w:rPr>
          <w:rFonts w:cs="Times New Roman"/>
          <w:szCs w:val="24"/>
        </w:rPr>
        <w:fldChar w:fldCharType="end"/>
      </w:r>
      <w:r w:rsidRPr="00DD15C3">
        <w:rPr>
          <w:rFonts w:cs="Times New Roman"/>
          <w:szCs w:val="24"/>
        </w:rPr>
        <w:t xml:space="preserve">. The method by </w:t>
      </w:r>
      <w:proofErr w:type="spellStart"/>
      <w:r w:rsidRPr="00DD15C3">
        <w:rPr>
          <w:rFonts w:cs="Times New Roman"/>
          <w:szCs w:val="24"/>
        </w:rPr>
        <w:t>Goodship</w:t>
      </w:r>
      <w:proofErr w:type="spellEnd"/>
      <w:r w:rsidRPr="00DD15C3">
        <w:rPr>
          <w:rFonts w:cs="Times New Roman"/>
          <w:szCs w:val="24"/>
        </w:rPr>
        <w:t xml:space="preserve"> and Birch was used to measure the </w:t>
      </w:r>
      <w:r w:rsidR="005C411A">
        <w:rPr>
          <w:rFonts w:cs="Times New Roman"/>
          <w:szCs w:val="24"/>
        </w:rPr>
        <w:t>CCL</w:t>
      </w:r>
      <w:r w:rsidR="00311380">
        <w:rPr>
          <w:rFonts w:cs="Times New Roman"/>
          <w:szCs w:val="24"/>
        </w:rPr>
        <w:t>s’ cross-sectional area (CSA)</w:t>
      </w:r>
      <w:r w:rsidRPr="00DD15C3">
        <w:rPr>
          <w:rFonts w:cs="Times New Roman"/>
          <w:szCs w:val="24"/>
        </w:rPr>
        <w:t xml:space="preserve"> </w:t>
      </w:r>
      <w:r w:rsidRPr="00DD15C3">
        <w:rPr>
          <w:rFonts w:cs="Times New Roman"/>
          <w:szCs w:val="24"/>
        </w:rPr>
        <w:fldChar w:fldCharType="begin" w:fldLock="1"/>
      </w:r>
      <w:r w:rsidR="008D4B27">
        <w:rPr>
          <w:rFonts w:cs="Times New Roman"/>
          <w:szCs w:val="24"/>
        </w:rPr>
        <w:instrText xml:space="preserve"> ADDIN ZOTERO_ITEM CSL_CITATION {"citationID":"KyxiLM85","properties":{"formattedCitation":"(Goodship and Birch, 2005)","plainCitation":"(Goodship and Birch, 2005)","noteIndex":0},"citationItems":[{"id":"hIRZaDaU/UYhdZMwj","uris":["http://www.mendeley.com/documents/?uuid=12364062-68ff-4ea0-9c13-85cd917ec625"],"itemData":{"DOI":"DOI 10.1016/j.jbiomech.2004.05.003","ISSN":"0021-9290","author":[{"dropping-particle":"","family":"Goodship","given":"A E","non-dropping-particle":"","parse-names":false,"suffix":""},{"dropping-particle":"","family":"Birch","given":"H L","non-dropping-particle":"","parse-names":false,"suffix":""}],"container-title":"Journal of Biomechanics","id":"ITEM-1","issue":"3","issued":{"date-parts":[["2005"]]},"page":"605-608","title":"Cross sectional area measurement of tendon and ligament in vitro: a simple, rapid, non-destructive technique","type":"article-journal","volume":"38"}}],"schema":"https://github.com/citation-style-language/schema/raw/master/csl-citation.json"} </w:instrText>
      </w:r>
      <w:r w:rsidRPr="00DD15C3">
        <w:rPr>
          <w:rFonts w:cs="Times New Roman"/>
          <w:szCs w:val="24"/>
        </w:rPr>
        <w:fldChar w:fldCharType="separate"/>
      </w:r>
      <w:r w:rsidR="0097525F" w:rsidRPr="0097525F">
        <w:rPr>
          <w:rFonts w:cs="Times New Roman"/>
        </w:rPr>
        <w:t>(Goodship and Birch, 2005)</w:t>
      </w:r>
      <w:r w:rsidRPr="00DD15C3">
        <w:rPr>
          <w:rFonts w:cs="Times New Roman"/>
          <w:szCs w:val="24"/>
        </w:rPr>
        <w:fldChar w:fldCharType="end"/>
      </w:r>
      <w:r w:rsidRPr="00DD15C3">
        <w:rPr>
          <w:rFonts w:cs="Times New Roman"/>
          <w:szCs w:val="24"/>
        </w:rPr>
        <w:t xml:space="preserve">. In brief, alginate dental impression </w:t>
      </w:r>
      <w:proofErr w:type="gramStart"/>
      <w:r w:rsidRPr="00DD15C3">
        <w:rPr>
          <w:rFonts w:cs="Times New Roman"/>
          <w:szCs w:val="24"/>
        </w:rPr>
        <w:t>paste</w:t>
      </w:r>
      <w:proofErr w:type="gramEnd"/>
      <w:r w:rsidRPr="00DD15C3">
        <w:rPr>
          <w:rFonts w:cs="Times New Roman"/>
          <w:szCs w:val="24"/>
        </w:rPr>
        <w:t xml:space="preserve"> (</w:t>
      </w:r>
      <w:proofErr w:type="spellStart"/>
      <w:r w:rsidRPr="00DD15C3">
        <w:rPr>
          <w:rFonts w:cs="Times New Roman"/>
          <w:szCs w:val="24"/>
        </w:rPr>
        <w:t>UnoDent</w:t>
      </w:r>
      <w:proofErr w:type="spellEnd"/>
      <w:r w:rsidRPr="00DD15C3">
        <w:rPr>
          <w:rFonts w:cs="Times New Roman"/>
          <w:szCs w:val="24"/>
        </w:rPr>
        <w:t xml:space="preserve">, </w:t>
      </w:r>
      <w:proofErr w:type="spellStart"/>
      <w:r w:rsidRPr="00DD15C3">
        <w:rPr>
          <w:rFonts w:cs="Times New Roman"/>
          <w:szCs w:val="24"/>
        </w:rPr>
        <w:t>UnoDent</w:t>
      </w:r>
      <w:proofErr w:type="spellEnd"/>
      <w:r w:rsidRPr="00DD15C3">
        <w:rPr>
          <w:rFonts w:cs="Times New Roman"/>
          <w:szCs w:val="24"/>
        </w:rPr>
        <w:t xml:space="preserve"> Ltd., UK) was used to make a mould around the </w:t>
      </w:r>
      <w:r w:rsidR="005C411A">
        <w:rPr>
          <w:rFonts w:cs="Times New Roman"/>
          <w:szCs w:val="24"/>
        </w:rPr>
        <w:t>CCL</w:t>
      </w:r>
      <w:r w:rsidR="00311380">
        <w:rPr>
          <w:rFonts w:cs="Times New Roman"/>
          <w:szCs w:val="24"/>
        </w:rPr>
        <w:t>, which</w:t>
      </w:r>
      <w:r w:rsidRPr="00DD15C3">
        <w:rPr>
          <w:rFonts w:cs="Times New Roman"/>
          <w:szCs w:val="24"/>
        </w:rPr>
        <w:t xml:space="preserve"> was used to create replicas of the ligament. The replicas were cut in half</w:t>
      </w:r>
      <w:r w:rsidR="00311380">
        <w:rPr>
          <w:rFonts w:cs="Times New Roman"/>
          <w:szCs w:val="24"/>
        </w:rPr>
        <w:t>,</w:t>
      </w:r>
      <w:r w:rsidRPr="00DD15C3">
        <w:rPr>
          <w:rFonts w:cs="Times New Roman"/>
          <w:szCs w:val="24"/>
        </w:rPr>
        <w:t xml:space="preserve"> and the surface of the replicas showing middle CSA was determined using ImageJ (a public domain Java image processing program) </w:t>
      </w:r>
      <w:r w:rsidRPr="00DD15C3">
        <w:rPr>
          <w:rFonts w:cs="Times New Roman"/>
          <w:szCs w:val="24"/>
        </w:rPr>
        <w:fldChar w:fldCharType="begin"/>
      </w:r>
      <w:r w:rsidR="0097525F">
        <w:rPr>
          <w:rFonts w:cs="Times New Roman"/>
          <w:szCs w:val="24"/>
        </w:rPr>
        <w:instrText xml:space="preserve"> ADDIN ZOTERO_ITEM CSL_CITATION {"citationID":"WUPd9eHt","properties":{"formattedCitation":"(Readioff, 2017; Readioff et al., 2020b)","plainCitation":"(Readioff, 2017; Readioff et al., 2020b)","noteIndex":0},"citationItems":[{"id":1311,"uris":["http://zotero.org/users/5692498/items/Q2K6QVBU"],"itemData":{"id":1311,"type":"thesis","publisher":"University of Liverpool","title":"Viscoelastic behaviour of the canine cranial cruciate ligament complex.","URL":"http://livrepository.liverpool.ac.uk/id/eprint/3016657","author":[{"family":"Readioff","given":"Rosti"}],"issued":{"date-parts":[["2017"]]}}},{"id":3168,"uris":["http://zotero.org/users/5692498/items/GYIP8SXX"],"itemData":{"id":3168,"type":"article-journal","abstract":"Ligaments including the cruciate ligaments support and transfer loads between bones applied to the knee joint organ. The functions of these ligaments can get compromised due to changes to their viscoelastic material properties. Currently there are discrepancies in the literature on the viscoelastic characteristics of knee ligaments which are thought to be due to tissue variability and different testing protocols. The aim of this study was to characterise the viscoelastic properties of healthy cranial cruciate ligaments (CCLs), from the canine knee (stifle) joint, with a focus on the toe region of the stress-strain properties where any alterations in the extracellular matrix which would affect viscoelastic properties would be seen. Six paired CCLs, from skeletally mature and disease-free Staffordshire bull terrier stifle joints were retrieved as a femur-CCL-tibia complex and mechanically tested under uniaxial cyclic loading up to 10 N at three strain rates, namely 0.1%, 1% and 10%/min, to assess the viscoelastic property of strain rate dependency. The effect of strain history was also investigated by subjecting contralateral CCLs to an ascending (0.1%, 1% and 10%/min) or descending (10%, 1% and 0.1%/min) strain rate protocol. The differences between strain rates were not statistically significant. However, hysteresis and recovery of ligament lengths showed some dependency on strain rate. Only hysteresis was affected by the test protocol and lower strain rates resulted in higher hysteresis and lower recovery. These findings could be explained by the slow process of uncrimping of collagen fibres and the contribution of proteoglycans in the ligament extracellular matrix to intra-fibrillar gliding, which results in more tissue elongations and higher energy dissipation. This study further expands our understanding of canine CCL behaviour, providing data for material models of femur-CCL-tibia complexes, and demonstrating the challenges for engineering complex biomaterials such as knee joint ligaments.","container-title":"PeerJ","DOI":"10.7717/peerj.10635","ISSN":"2167-8359","journalAbbreviation":"PeerJ","language":"en","note":"publisher: PeerJ Inc.","page":"e10635","source":"peerj.com","title":"Viscoelastic characteristics of the canine cranial cruciate ligament complex at slow strain rates","volume":"8","author":[{"family":"Readioff","given":"Rosti"},{"family":"Geraghty","given":"Brendan"},{"family":"Elsheikh","given":"Ahmed"},{"family":"Comerford","given":"Eithne"}],"issued":{"date-parts":[["2020",12,22]]}}}],"schema":"https://github.com/citation-style-language/schema/raw/master/csl-citation.json"} </w:instrText>
      </w:r>
      <w:r w:rsidRPr="00DD15C3">
        <w:rPr>
          <w:rFonts w:cs="Times New Roman"/>
          <w:szCs w:val="24"/>
        </w:rPr>
        <w:fldChar w:fldCharType="separate"/>
      </w:r>
      <w:r w:rsidR="0097525F" w:rsidRPr="0097525F">
        <w:rPr>
          <w:rFonts w:cs="Times New Roman"/>
        </w:rPr>
        <w:t>(Readioff, 2017; Readioff et al., 2020b)</w:t>
      </w:r>
      <w:r w:rsidRPr="00DD15C3">
        <w:rPr>
          <w:rFonts w:cs="Times New Roman"/>
          <w:szCs w:val="24"/>
        </w:rPr>
        <w:fldChar w:fldCharType="end"/>
      </w:r>
      <w:r w:rsidRPr="00DD15C3">
        <w:rPr>
          <w:rFonts w:cs="Times New Roman"/>
          <w:szCs w:val="24"/>
        </w:rPr>
        <w:t xml:space="preserve">. The CSA values were then used in the calculations of engineering stress. </w:t>
      </w:r>
    </w:p>
    <w:p w14:paraId="05333153" w14:textId="77777777" w:rsidR="00A67C97" w:rsidRPr="00DD15C3" w:rsidRDefault="00A67C97" w:rsidP="00C375E3">
      <w:pPr>
        <w:rPr>
          <w:rFonts w:cs="Times New Roman"/>
          <w:szCs w:val="24"/>
        </w:rPr>
      </w:pPr>
    </w:p>
    <w:p w14:paraId="5FDF4BC3" w14:textId="77777777" w:rsidR="00C375E3" w:rsidRPr="00DD15C3" w:rsidRDefault="00C375E3" w:rsidP="00B62277">
      <w:pPr>
        <w:pStyle w:val="Heading2"/>
      </w:pPr>
      <w:r w:rsidRPr="00DD15C3">
        <w:t>Chondroitinase treatment protocol</w:t>
      </w:r>
    </w:p>
    <w:p w14:paraId="516FA7FB" w14:textId="022DFCDD" w:rsidR="00C375E3" w:rsidRDefault="00C375E3" w:rsidP="00C375E3">
      <w:pPr>
        <w:rPr>
          <w:rFonts w:cs="Times New Roman"/>
          <w:szCs w:val="24"/>
        </w:rPr>
      </w:pPr>
      <w:r w:rsidRPr="00DD15C3">
        <w:rPr>
          <w:rFonts w:cs="Times New Roman"/>
          <w:szCs w:val="24"/>
        </w:rPr>
        <w:t xml:space="preserve">The </w:t>
      </w:r>
      <w:r w:rsidR="005C411A">
        <w:rPr>
          <w:rFonts w:cs="Times New Roman"/>
          <w:szCs w:val="24"/>
        </w:rPr>
        <w:t>CCL</w:t>
      </w:r>
      <w:r w:rsidRPr="00DD15C3">
        <w:rPr>
          <w:rFonts w:cs="Times New Roman"/>
          <w:szCs w:val="24"/>
        </w:rPr>
        <w:t xml:space="preserve">s from both groups were immersed for one hour at room temperature (20°C) in 20 ml buffer solution (15 ml of 20 mM Tris pH 7.5, 150 mM NaCl, </w:t>
      </w:r>
      <w:r w:rsidR="00515404">
        <w:rPr>
          <w:rFonts w:cs="Times New Roman"/>
          <w:szCs w:val="24"/>
        </w:rPr>
        <w:t>5</w:t>
      </w:r>
      <w:r w:rsidRPr="00DD15C3">
        <w:rPr>
          <w:rFonts w:cs="Times New Roman"/>
          <w:szCs w:val="24"/>
        </w:rPr>
        <w:t xml:space="preserve"> mM CaCl</w:t>
      </w:r>
      <w:r w:rsidRPr="00C375E3">
        <w:rPr>
          <w:rFonts w:cs="Times New Roman"/>
          <w:szCs w:val="24"/>
        </w:rPr>
        <w:t>2</w:t>
      </w:r>
      <w:r w:rsidRPr="00DD15C3">
        <w:rPr>
          <w:rFonts w:cs="Times New Roman"/>
          <w:szCs w:val="24"/>
        </w:rPr>
        <w:t>) with protease inhibitors (1 tablet of mini-</w:t>
      </w:r>
      <w:proofErr w:type="spellStart"/>
      <w:r w:rsidRPr="00DD15C3">
        <w:rPr>
          <w:rFonts w:cs="Times New Roman"/>
          <w:szCs w:val="24"/>
        </w:rPr>
        <w:t>cOmplete</w:t>
      </w:r>
      <w:proofErr w:type="spellEnd"/>
      <w:r w:rsidRPr="00DD15C3">
        <w:rPr>
          <w:rFonts w:cs="Times New Roman"/>
          <w:szCs w:val="24"/>
        </w:rPr>
        <w:t xml:space="preserve"> per 10 ml of buffer, SIGMA-ALDRICH/Roche, USA) </w:t>
      </w:r>
      <w:r w:rsidRPr="00DD15C3">
        <w:rPr>
          <w:rFonts w:cs="Times New Roman"/>
          <w:szCs w:val="24"/>
        </w:rPr>
        <w:fldChar w:fldCharType="begin"/>
      </w:r>
      <w:r w:rsidR="0097525F">
        <w:rPr>
          <w:rFonts w:cs="Times New Roman"/>
          <w:szCs w:val="24"/>
        </w:rPr>
        <w:instrText xml:space="preserve"> ADDIN ZOTERO_ITEM CSL_CITATION {"citationID":"fIUYhlC6","properties":{"formattedCitation":"(Lujan et al., 2009)","plainCitation":"(Lujan et al., 2009)","noteIndex":0},"citationItems":[{"id":2963,"uris":["http://zotero.org/users/5692498/items/C59ACT4I"],"itemData":{"id":2963,"type":"article-journal","abstract":"The viscoelastic properties of human ligament potentially guard against structural failure, yet the microstructural origins of these transient behaviors are unknown. Glycosaminoglycans (GAGs) are widely suspected to affect ligament viscoelasticity by forming molecular bridges between neighboring collagen fibrils. This study investigated whether GAGs directly affect viscoelastic material behavior in human medial collateral ligament (MCL) by using nondestructive tensile tests before and after degradation of GAGs with chondroitinase ABC (ChABC). Control and ChABC treatment (83% GAG removal) produced similar alterations to ligament viscoelasticity. This finding was consistent at different levels of collagen fiber stretch and tissue hydration. On average, stress relaxation increased after incubation by 2.2% (control) and 2.1% (ChABC), dynamic modulus increased after incubation by 3.6% (control) and 3.8% (ChABC), and phase shift increased after incubation by 8.5% (control) and 8.4% (ChABC). The changes in viscoelastic behavior after treatment were significantly more pronounced at lower clamp-to-clamp strain levels. A 10% difference in the water content of tested specimens had minor influence on ligament viscoelastic properties. The major finding of this study is that mechanical interactions between collagen fibrils and GAGs are unrelated to tissue-level viscoelastic mechanics in mature human MCL. These findings narrow the possible number of extracellular matrix molecules that have a direct contribution to ligament viscoelasticity.","container-title":"Journal of Applied Physiology","DOI":"10.1152/japplphysiol.90748.2008","ISSN":"8750-7587","issue":"2","note":"publisher: American Physiological Society","page":"423-431","source":"journals.physiology.org (Atypon)","title":"Contribution of glycosaminoglycans to viscoelastic tensile behavior of human ligament","volume":"106","author":[{"family":"Lujan","given":"Trevor J."},{"family":"Underwood","given":"Clayton J."},{"family":"Jacobs","given":"Nathan T."},{"family":"Weiss","given":"Jeffrey A."}],"issued":{"date-parts":[["2009",2,1]]}}}],"schema":"https://github.com/citation-style-language/schema/raw/master/csl-citation.json"} </w:instrText>
      </w:r>
      <w:r w:rsidRPr="00DD15C3">
        <w:rPr>
          <w:rFonts w:cs="Times New Roman"/>
          <w:szCs w:val="24"/>
        </w:rPr>
        <w:fldChar w:fldCharType="separate"/>
      </w:r>
      <w:r w:rsidR="0097525F" w:rsidRPr="0097525F">
        <w:rPr>
          <w:rFonts w:cs="Times New Roman"/>
        </w:rPr>
        <w:t>(Lujan et al., 2009)</w:t>
      </w:r>
      <w:r w:rsidRPr="00DD15C3">
        <w:rPr>
          <w:rFonts w:cs="Times New Roman"/>
          <w:szCs w:val="24"/>
        </w:rPr>
        <w:fldChar w:fldCharType="end"/>
      </w:r>
      <w:r w:rsidRPr="00DD15C3">
        <w:rPr>
          <w:rFonts w:cs="Times New Roman"/>
          <w:szCs w:val="24"/>
        </w:rPr>
        <w:t xml:space="preserve">. </w:t>
      </w:r>
      <w:r w:rsidR="00311380">
        <w:rPr>
          <w:rFonts w:cs="Times New Roman"/>
          <w:szCs w:val="24"/>
        </w:rPr>
        <w:t>C</w:t>
      </w:r>
      <w:r w:rsidRPr="00DD15C3">
        <w:rPr>
          <w:rFonts w:cs="Times New Roman"/>
          <w:szCs w:val="24"/>
        </w:rPr>
        <w:t>hondroitinase ABC (ChABC) 0.25 IU/mL (SIGMA-ALDRICH, USA) enzyme was dissolved in 0.01% bovine serum albumin (BSA)</w:t>
      </w:r>
      <w:r w:rsidR="00311380">
        <w:rPr>
          <w:rFonts w:cs="Times New Roman"/>
          <w:szCs w:val="24"/>
        </w:rPr>
        <w:t>,</w:t>
      </w:r>
      <w:r w:rsidRPr="00DD15C3">
        <w:rPr>
          <w:rFonts w:cs="Times New Roman"/>
          <w:szCs w:val="24"/>
        </w:rPr>
        <w:t xml:space="preserve"> and samples were incubated in this solution for three hours prior to the mechanical tests as previously described </w:t>
      </w:r>
      <w:r w:rsidRPr="00DD15C3">
        <w:rPr>
          <w:rFonts w:cs="Times New Roman"/>
          <w:szCs w:val="24"/>
        </w:rPr>
        <w:fldChar w:fldCharType="begin"/>
      </w:r>
      <w:r w:rsidR="0097525F">
        <w:rPr>
          <w:rFonts w:cs="Times New Roman"/>
          <w:szCs w:val="24"/>
        </w:rPr>
        <w:instrText xml:space="preserve"> ADDIN ZOTERO_ITEM CSL_CITATION {"citationID":"fHXYz5dA","properties":{"formattedCitation":"(Lujan et al., 2009)","plainCitation":"(Lujan et al., 2009)","noteIndex":0},"citationItems":[{"id":2963,"uris":["http://zotero.org/users/5692498/items/C59ACT4I"],"itemData":{"id":2963,"type":"article-journal","abstract":"The viscoelastic properties of human ligament potentially guard against structural failure, yet the microstructural origins of these transient behaviors are unknown. Glycosaminoglycans (GAGs) are widely suspected to affect ligament viscoelasticity by forming molecular bridges between neighboring collagen fibrils. This study investigated whether GAGs directly affect viscoelastic material behavior in human medial collateral ligament (MCL) by using nondestructive tensile tests before and after degradation of GAGs with chondroitinase ABC (ChABC). Control and ChABC treatment (83% GAG removal) produced similar alterations to ligament viscoelasticity. This finding was consistent at different levels of collagen fiber stretch and tissue hydration. On average, stress relaxation increased after incubation by 2.2% (control) and 2.1% (ChABC), dynamic modulus increased after incubation by 3.6% (control) and 3.8% (ChABC), and phase shift increased after incubation by 8.5% (control) and 8.4% (ChABC). The changes in viscoelastic behavior after treatment were significantly more pronounced at lower clamp-to-clamp strain levels. A 10% difference in the water content of tested specimens had minor influence on ligament viscoelastic properties. The major finding of this study is that mechanical interactions between collagen fibrils and GAGs are unrelated to tissue-level viscoelastic mechanics in mature human MCL. These findings narrow the possible number of extracellular matrix molecules that have a direct contribution to ligament viscoelasticity.","container-title":"Journal of Applied Physiology","DOI":"10.1152/japplphysiol.90748.2008","ISSN":"8750-7587","issue":"2","note":"publisher: American Physiological Society","page":"423-431","source":"journals.physiology.org (Atypon)","title":"Contribution of glycosaminoglycans to viscoelastic tensile behavior of human ligament","volume":"106","author":[{"family":"Lujan","given":"Trevor J."},{"family":"Underwood","given":"Clayton J."},{"family":"Jacobs","given":"Nathan T."},{"family":"Weiss","given":"Jeffrey A."}],"issued":{"date-parts":[["2009",2,1]]}}}],"schema":"https://github.com/citation-style-language/schema/raw/master/csl-citation.json"} </w:instrText>
      </w:r>
      <w:r w:rsidRPr="00DD15C3">
        <w:rPr>
          <w:rFonts w:cs="Times New Roman"/>
          <w:szCs w:val="24"/>
        </w:rPr>
        <w:fldChar w:fldCharType="separate"/>
      </w:r>
      <w:r w:rsidR="0097525F" w:rsidRPr="0097525F">
        <w:rPr>
          <w:rFonts w:cs="Times New Roman"/>
        </w:rPr>
        <w:t>(Lujan et al., 2009)</w:t>
      </w:r>
      <w:r w:rsidRPr="00DD15C3">
        <w:rPr>
          <w:rFonts w:cs="Times New Roman"/>
          <w:szCs w:val="24"/>
        </w:rPr>
        <w:fldChar w:fldCharType="end"/>
      </w:r>
      <w:r w:rsidRPr="00DD15C3">
        <w:rPr>
          <w:rFonts w:cs="Times New Roman"/>
          <w:szCs w:val="24"/>
        </w:rPr>
        <w:t>.</w:t>
      </w:r>
      <w:bookmarkStart w:id="6" w:name="OLE_LINK36"/>
      <w:r w:rsidRPr="00DD15C3">
        <w:rPr>
          <w:rFonts w:cs="Times New Roman"/>
          <w:szCs w:val="24"/>
        </w:rPr>
        <w:t xml:space="preserve"> </w:t>
      </w:r>
      <w:r w:rsidR="00311380">
        <w:rPr>
          <w:rFonts w:cs="Times New Roman"/>
          <w:szCs w:val="24"/>
        </w:rPr>
        <w:t xml:space="preserve">This process was performed to reduce PG contents, and it was </w:t>
      </w:r>
      <w:r w:rsidRPr="00DD15C3">
        <w:rPr>
          <w:rFonts w:cs="Times New Roman"/>
          <w:szCs w:val="24"/>
        </w:rPr>
        <w:t>based on our preliminary work</w:t>
      </w:r>
      <w:r w:rsidR="00311380">
        <w:rPr>
          <w:rFonts w:cs="Times New Roman"/>
          <w:szCs w:val="24"/>
        </w:rPr>
        <w:t xml:space="preserve">. Our preliminary work showed that </w:t>
      </w:r>
      <w:r w:rsidRPr="00DD15C3">
        <w:rPr>
          <w:rFonts w:cs="Times New Roman"/>
          <w:szCs w:val="24"/>
        </w:rPr>
        <w:t xml:space="preserve">approximately 80% of PGs in sectioned </w:t>
      </w:r>
      <w:r w:rsidR="005C411A">
        <w:rPr>
          <w:rFonts w:cs="Times New Roman"/>
          <w:szCs w:val="24"/>
        </w:rPr>
        <w:t>CCL</w:t>
      </w:r>
      <w:r w:rsidRPr="00DD15C3">
        <w:rPr>
          <w:rFonts w:cs="Times New Roman"/>
          <w:szCs w:val="24"/>
        </w:rPr>
        <w:t xml:space="preserve">s were digested within 3 hours of incubation </w:t>
      </w:r>
      <w:bookmarkEnd w:id="6"/>
      <w:r w:rsidRPr="00DD15C3">
        <w:rPr>
          <w:rFonts w:cs="Times New Roman"/>
          <w:szCs w:val="24"/>
        </w:rPr>
        <w:t xml:space="preserve">(Supplementary Materials (Table S1 and Figure S1)). </w:t>
      </w:r>
      <w:r w:rsidR="00311380">
        <w:rPr>
          <w:rFonts w:cs="Times New Roman"/>
          <w:szCs w:val="24"/>
        </w:rPr>
        <w:t>C</w:t>
      </w:r>
      <w:r w:rsidRPr="00DD15C3">
        <w:rPr>
          <w:rFonts w:cs="Times New Roman"/>
          <w:szCs w:val="24"/>
        </w:rPr>
        <w:t xml:space="preserve">ontrol and </w:t>
      </w:r>
      <w:r w:rsidR="00A13A42">
        <w:rPr>
          <w:rFonts w:cs="Times New Roman"/>
          <w:szCs w:val="24"/>
        </w:rPr>
        <w:t>t</w:t>
      </w:r>
      <w:r w:rsidR="003E0E6F">
        <w:rPr>
          <w:rFonts w:cs="Times New Roman"/>
          <w:szCs w:val="24"/>
        </w:rPr>
        <w:t>reated</w:t>
      </w:r>
      <w:r w:rsidRPr="00DD15C3">
        <w:rPr>
          <w:rFonts w:cs="Times New Roman"/>
          <w:szCs w:val="24"/>
        </w:rPr>
        <w:t xml:space="preserve"> groups were preserved during the mechanical tests in a custom-built tank filled with 600ml of the buffer solution and protease inhibitors at room temperature (20°C) (1 tablet of </w:t>
      </w:r>
      <w:proofErr w:type="spellStart"/>
      <w:r w:rsidRPr="00DD15C3">
        <w:rPr>
          <w:rFonts w:cs="Times New Roman"/>
          <w:szCs w:val="24"/>
        </w:rPr>
        <w:t>cOmplete</w:t>
      </w:r>
      <w:proofErr w:type="spellEnd"/>
      <w:r w:rsidRPr="00DD15C3">
        <w:rPr>
          <w:rFonts w:cs="Times New Roman"/>
          <w:szCs w:val="24"/>
        </w:rPr>
        <w:t xml:space="preserve"> Protease Inhibitor Cocktail per 50ml of buffer, SIGMA-ALDRICH/Roche, USA). </w:t>
      </w:r>
    </w:p>
    <w:p w14:paraId="394A4CAE" w14:textId="77777777" w:rsidR="00A67C97" w:rsidRPr="00DD15C3" w:rsidRDefault="00A67C97" w:rsidP="00C375E3">
      <w:pPr>
        <w:rPr>
          <w:rFonts w:cs="Times New Roman"/>
          <w:szCs w:val="24"/>
        </w:rPr>
      </w:pPr>
    </w:p>
    <w:p w14:paraId="438C2911" w14:textId="77777777" w:rsidR="00C375E3" w:rsidRPr="00DD15C3" w:rsidRDefault="00C375E3" w:rsidP="00B62277">
      <w:pPr>
        <w:pStyle w:val="Heading2"/>
      </w:pPr>
      <w:r w:rsidRPr="00DD15C3">
        <w:t>Mechanical testing protocol</w:t>
      </w:r>
    </w:p>
    <w:p w14:paraId="731045B1" w14:textId="25D7FC7D" w:rsidR="00C375E3" w:rsidRPr="00DD15C3" w:rsidRDefault="00C375E3" w:rsidP="00C375E3">
      <w:pPr>
        <w:rPr>
          <w:rFonts w:cs="Times New Roman"/>
          <w:szCs w:val="24"/>
        </w:rPr>
      </w:pPr>
      <w:r>
        <w:rPr>
          <w:rFonts w:cs="Times New Roman"/>
          <w:szCs w:val="24"/>
        </w:rPr>
        <w:t>Each</w:t>
      </w:r>
      <w:r w:rsidRPr="00DD15C3">
        <w:rPr>
          <w:rFonts w:cs="Times New Roman"/>
          <w:szCs w:val="24"/>
        </w:rPr>
        <w:t xml:space="preserve"> femur-</w:t>
      </w:r>
      <w:r w:rsidR="005C411A">
        <w:rPr>
          <w:rFonts w:cs="Times New Roman"/>
          <w:szCs w:val="24"/>
        </w:rPr>
        <w:t>CCL</w:t>
      </w:r>
      <w:r w:rsidRPr="00DD15C3">
        <w:rPr>
          <w:rFonts w:cs="Times New Roman"/>
          <w:szCs w:val="24"/>
        </w:rPr>
        <w:t xml:space="preserve">-tibia complex </w:t>
      </w:r>
      <w:r>
        <w:rPr>
          <w:rFonts w:cs="Times New Roman"/>
          <w:szCs w:val="24"/>
        </w:rPr>
        <w:t>examined</w:t>
      </w:r>
      <w:r w:rsidRPr="00DD15C3">
        <w:rPr>
          <w:rFonts w:cs="Times New Roman"/>
          <w:szCs w:val="24"/>
        </w:rPr>
        <w:t xml:space="preserve"> was attached to an Instron 3366 (Instron, Norwood, MA) material testing machine fitted with a 10 N load cell (Instron 2530-428 with ±0.025 N accuracy) using a custom-built stainless steel ducktail clamp and rig </w:t>
      </w:r>
      <w:r w:rsidRPr="00DD15C3">
        <w:rPr>
          <w:rFonts w:cs="Times New Roman"/>
          <w:szCs w:val="24"/>
        </w:rPr>
        <w:fldChar w:fldCharType="begin"/>
      </w:r>
      <w:r w:rsidR="0097525F">
        <w:rPr>
          <w:rFonts w:cs="Times New Roman"/>
          <w:szCs w:val="24"/>
        </w:rPr>
        <w:instrText xml:space="preserve"> ADDIN ZOTERO_ITEM CSL_CITATION {"citationID":"jxmzovY7","properties":{"formattedCitation":"(Readioff et al., 2020a, 2020b)","plainCitation":"(Readioff et al., 2020a, 2020b)","noteIndex":0},"citationItems":[{"id":2584,"uris":["http://zotero.org/users/5692498/items/58ARLL83"],"itemData":{"id":2584,"type":"article-journal","abstract":"It is limiting to use conventional methods when characterising material properties of complex biological tissues with inhomogeneous and anisotropic structure, such as the anterior cruciate ligament (ACL) in the knee joint. This study aims to develop and utilise a three-dimensional digital image correlation method (3D DIC) for the purpose of determining material properties of femur-ACL-tibia complex across the surface without any contact between the tissue and the loading equipment. A full-field (360° view) 3D DIC test setup consisting of six digital single-lens reflex cameras was developed and ACL specimens from skeletally mature dog knee joints were tested. The six cameras were arranged into three pairs and the cameras within each pair were positioned with 25° in between to obtain the desired stereovision output. The test setup was calibrated twice: first to obtain the intrinsic and extrinsic parameters within camera pairs, and second to align the 3D surfaces from each camera pair in order to generate the full view of the ACLs. Using the undeformed 3D surfaces of the ligaments, ACL-specific finite element models were generated. Longitudinal deformation of ligaments under tensile loads obtained from the 3D DIC, and this was analysed to serve as input for the inverse finite element analysis. As a result, hyperelastic coefficients from the first-order Ogden model that characterise ACL behaviour were determined with a marginal error of &lt;1.5%. This test setup and methodology provides a means to accurately determine inhomogeneous and anisotropic material properties of ACL. The methodology described in this study could be adopted to investigate other biological and cultured tissues with complex structure.\nStatement of Significance\nDetermining the material properties of soft tissues with complex anatomical structure, such as the anterior cruciate ligament (ACL), is important to better understand their contribution to musculoskeletal biomechanics. Current conventional methods for characterising material properties of the ACL are often limited to a contact measurement approach, however an improved understanding of the mechanics of this complex tissue is vital in terms of preventing injury and developing novel therapies. This article reports the development and utilisation of non-contact optical methodology involving full-field three-dimensional digital image correlation and finite element analysis to accurately investigate material properties of the ACL, in a controlled environment. This technique reduces inaccuracies due to specimen clamping and more importantly considers the inhomogeneous nature of the examined tissue.","container-title":"Acta Biomaterialia","DOI":"10.1016/j.actbio.2020.07.003","ISSN":"1742-7061","journalAbbreviation":"Acta Biomaterialia","language":"en","page":"417-428","source":"ScienceDirect","title":"A full-field 3D digital image correlation and modelling technique to characterise anterior cruciate ligament mechanics ex vivo","volume":"113","author":[{"family":"Readioff","given":"Rosti"},{"family":"Geraghty","given":"Brendan"},{"family":"Comerford","given":"Eithne"},{"family":"Elsheikh","given":"Ahmed"}],"issued":{"date-parts":[["2020",9,1]]}}},{"id":3168,"uris":["http://zotero.org/users/5692498/items/GYIP8SXX"],"itemData":{"id":3168,"type":"article-journal","abstract":"Ligaments including the cruciate ligaments support and transfer loads between bones applied to the knee joint organ. The functions of these ligaments can get compromised due to changes to their viscoelastic material properties. Currently there are discrepancies in the literature on the viscoelastic characteristics of knee ligaments which are thought to be due to tissue variability and different testing protocols. The aim of this study was to characterise the viscoelastic properties of healthy cranial cruciate ligaments (CCLs), from the canine knee (stifle) joint, with a focus on the toe region of the stress-strain properties where any alterations in the extracellular matrix which would affect viscoelastic properties would be seen. Six paired CCLs, from skeletally mature and disease-free Staffordshire bull terrier stifle joints were retrieved as a femur-CCL-tibia complex and mechanically tested under uniaxial cyclic loading up to 10 N at three strain rates, namely 0.1%, 1% and 10%/min, to assess the viscoelastic property of strain rate dependency. The effect of strain history was also investigated by subjecting contralateral CCLs to an ascending (0.1%, 1% and 10%/min) or descending (10%, 1% and 0.1%/min) strain rate protocol. The differences between strain rates were not statistically significant. However, hysteresis and recovery of ligament lengths showed some dependency on strain rate. Only hysteresis was affected by the test protocol and lower strain rates resulted in higher hysteresis and lower recovery. These findings could be explained by the slow process of uncrimping of collagen fibres and the contribution of proteoglycans in the ligament extracellular matrix to intra-fibrillar gliding, which results in more tissue elongations and higher energy dissipation. This study further expands our understanding of canine CCL behaviour, providing data for material models of femur-CCL-tibia complexes, and demonstrating the challenges for engineering complex biomaterials such as knee joint ligaments.","container-title":"PeerJ","DOI":"10.7717/peerj.10635","ISSN":"2167-8359","journalAbbreviation":"PeerJ","language":"en","note":"publisher: PeerJ Inc.","page":"e10635","source":"peerj.com","title":"Viscoelastic characteristics of the canine cranial cruciate ligament complex at slow strain rates","volume":"8","author":[{"family":"Readioff","given":"Rosti"},{"family":"Geraghty","given":"Brendan"},{"family":"Elsheikh","given":"Ahmed"},{"family":"Comerford","given":"Eithne"}],"issued":{"date-parts":[["2020",12,22]]}}}],"schema":"https://github.com/citation-style-language/schema/raw/master/csl-citation.json"} </w:instrText>
      </w:r>
      <w:r w:rsidRPr="00DD15C3">
        <w:rPr>
          <w:rFonts w:cs="Times New Roman"/>
          <w:szCs w:val="24"/>
        </w:rPr>
        <w:fldChar w:fldCharType="separate"/>
      </w:r>
      <w:r w:rsidR="0097525F" w:rsidRPr="0097525F">
        <w:rPr>
          <w:rFonts w:cs="Times New Roman"/>
        </w:rPr>
        <w:t>(Readioff et al., 2020a, 2020b)</w:t>
      </w:r>
      <w:r w:rsidRPr="00DD15C3">
        <w:rPr>
          <w:rFonts w:cs="Times New Roman"/>
          <w:szCs w:val="24"/>
        </w:rPr>
        <w:fldChar w:fldCharType="end"/>
      </w:r>
      <w:r w:rsidRPr="00DD15C3">
        <w:rPr>
          <w:rFonts w:cs="Times New Roman"/>
          <w:szCs w:val="24"/>
        </w:rPr>
        <w:t xml:space="preserve">. A pre-load of 0.1 N was applied, followed by five load-unload preconditioning cycles to a maximum load of 9.9 N at </w:t>
      </w:r>
      <w:r w:rsidR="00311380">
        <w:rPr>
          <w:rFonts w:cs="Times New Roman"/>
          <w:szCs w:val="24"/>
        </w:rPr>
        <w:t xml:space="preserve">a </w:t>
      </w:r>
      <w:r w:rsidRPr="00DD15C3">
        <w:rPr>
          <w:rFonts w:cs="Times New Roman"/>
          <w:szCs w:val="24"/>
        </w:rPr>
        <w:t xml:space="preserve">10%/min </w:t>
      </w:r>
      <w:r w:rsidR="00311380">
        <w:rPr>
          <w:rFonts w:cs="Times New Roman"/>
          <w:szCs w:val="24"/>
        </w:rPr>
        <w:t>strain rate</w:t>
      </w:r>
      <w:r w:rsidR="00311380" w:rsidRPr="00DD15C3">
        <w:rPr>
          <w:rFonts w:cs="Times New Roman"/>
          <w:szCs w:val="24"/>
        </w:rPr>
        <w:t xml:space="preserve"> </w:t>
      </w:r>
      <w:r w:rsidRPr="00DD15C3">
        <w:rPr>
          <w:rFonts w:cs="Times New Roman"/>
          <w:szCs w:val="24"/>
        </w:rPr>
        <w:fldChar w:fldCharType="begin" w:fldLock="1"/>
      </w:r>
      <w:r w:rsidR="008D4B27">
        <w:rPr>
          <w:rFonts w:cs="Times New Roman"/>
          <w:szCs w:val="24"/>
        </w:rPr>
        <w:instrText xml:space="preserve"> ADDIN ZOTERO_ITEM CSL_CITATION {"citationID":"H03t0AGg","properties":{"formattedCitation":"(Butler et al., 1978b; Fung, 1993; Savelberg et al., 1993; Provenzano et al., 2002)","plainCitation":"(Butler et al., 1978b; Fung, 1993; Savelberg et al., 1993; Provenzano et al., 2002)","noteIndex":0},"citationItems":[{"id":"hIRZaDaU/L0B7oT2V","uris":["http://www.mendeley.com/documents/?uuid=525832de-7670-47a3-a2eb-30c511c10690"],"itemData":{"ISBN":"0849302420","author":[{"dropping-particle":"","family":"Butler","given":"D L","non-dropping-particle":"","parse-names":false,"suffix":""},{"dropping-particle":"","family":"Noyes","given":"F R","non-dropping-particle":"","parse-names":false,"suffix":""},{"dropping-particle":"","family":"Grood","given":"E S","non-dropping-particle":"","parse-names":false,"suffix":""}],"container-title":"CRC handbook of engineering in medicine and biology section B: Instruments and measurements","id":"ITEM-1","issued":{"date-parts":[["1978"]]},"page":"279-314","publisher":"CRC Press Inc.","publisher-place":"West Palm Beach","title":"Measurement of the mechanical properties of ligaments","type":"chapter","volume":"1"}},{"id":"hIRZaDaU/5TFt9WQH","uris":["http://www.mendeley.com/documents/?uuid=44ab90db-ef4a-4fd7-9189-8f508261f265"],"itemData":{"ISBN":"0387979476 (New York acid-free paper) 3540979476 (Berlin acid-free paper)","author":[{"dropping-particle":"","family":"Fung","given":"Y C","non-dropping-particle":"","parse-names":false,"suffix":""}],"edition":"2nd","id":"ITEM-3","issued":{"date-parts":[["1993"]]},"publisher":"Springer","publisher-place":"New York","title":"Biomechanics: Mechanical properties of living tissues","type":"book"}},{"id":1476,"uris":["http://zotero.org/users/5692498/items/J4KK6Y54"],"itemData":{"id":1476,"type":"article-journal","container-title":"Journal of Applied Physiology","ISSN":"8750-7587 (Print) 0161-7567 (Linking)","issue":"1","note":"type: Journal Article\nCitation Key: RN1605","page":"362-371","title":"Subfailure damage in ligament: A structural and cellular evaluation","volume":"92","author":[{"family":"Provenzano","given":"P P"},{"family":"Heisey","given":"D"},{"family":"Hayashi","given":"K"},{"family":"Lakes","given":"R"},{"family":"Vanderby R.","given":"Jr."}],"issued":{"date-parts":[["2002"]]}}},{"id":3198,"uris":["http://zotero.org/users/5692498/items/E2EYXCVD"],"itemData":{"id":3198,"type":"article-journal","abstract":"A method has been developed to calculate the forces that are developed in the ligaments of a joint specimen during motions. This indirect method is needed since direct measurements fail in the case of small ligaments. As an example the small ligaments of the carpal joint are considered. The rationale of the method is that the force generated in a ligament depends on the amount of strain to which it is subjected and on its material characteristics. In the method presented the lengths of the ligaments are determined in vitro at several joint positions by means of röntgenstereophotogrammetry. The zero-force length and the force-elongation relationship are determined on the same ligaments isolated in a materials testing machine. Over a considerable part of the strain range the measurement errors are relatively small compared to the forces determined, less than 10%. The method is applicable to joints in situations where other measuring methods cannot be used. The present analysis shows, however, that the force values determined are susceptible to preconditioning of the ligaments. In preconditioned ligaments the forces could be up to 50% lower than in the non-preconditioned situation. This suggests that ligament forces may vary considerably in vivo, depending on the extent of preconditioning provoked by a particular function.","container-title":"Journal of Biomechanics","DOI":"10.1016/0021-9290(93)90358-l","ISSN":"0021-9290","issue":"11","journalAbbreviation":"J Biomech","language":"eng","note":"PMID: 8262996","page":"1347-1351","source":"PubMed","title":"An indirect method to assess wrist ligament forces with particular regard to the effect of preconditioning","volume":"26","author":[{"family":"Savelberg","given":"H. H."},{"family":"Kooloos","given":"J. G."},{"family":"Huiskes","given":"R."},{"family":"Kauer","given":"J. M."}],"issued":{"date-parts":[["1993",11]]}}}],"schema":"https://github.com/citation-style-language/schema/raw/master/csl-citation.json"} </w:instrText>
      </w:r>
      <w:r w:rsidRPr="00DD15C3">
        <w:rPr>
          <w:rFonts w:cs="Times New Roman"/>
          <w:szCs w:val="24"/>
        </w:rPr>
        <w:fldChar w:fldCharType="separate"/>
      </w:r>
      <w:r w:rsidR="0097525F" w:rsidRPr="0097525F">
        <w:rPr>
          <w:rFonts w:cs="Times New Roman"/>
        </w:rPr>
        <w:t>(Butler et al., 1978b; Fung, 1993; Savelberg et al., 1993; Provenzano et al., 2002)</w:t>
      </w:r>
      <w:r w:rsidRPr="00DD15C3">
        <w:rPr>
          <w:rFonts w:cs="Times New Roman"/>
          <w:szCs w:val="24"/>
        </w:rPr>
        <w:fldChar w:fldCharType="end"/>
      </w:r>
      <w:r w:rsidRPr="00DD15C3">
        <w:rPr>
          <w:rFonts w:cs="Times New Roman"/>
          <w:szCs w:val="24"/>
        </w:rPr>
        <w:t xml:space="preserve">. Subsequently, mechanical tests </w:t>
      </w:r>
      <w:r w:rsidR="005B5FEE">
        <w:rPr>
          <w:rFonts w:cs="Times New Roman"/>
          <w:szCs w:val="24"/>
        </w:rPr>
        <w:t>were performed examining strain rate, creep and stress relaxation behaviours</w:t>
      </w:r>
      <w:r w:rsidRPr="00DD15C3">
        <w:rPr>
          <w:rFonts w:cs="Times New Roman"/>
          <w:szCs w:val="24"/>
        </w:rPr>
        <w:t>. The strain</w:t>
      </w:r>
      <w:r w:rsidR="00515404">
        <w:rPr>
          <w:rFonts w:cs="Times New Roman"/>
          <w:szCs w:val="24"/>
        </w:rPr>
        <w:t xml:space="preserve"> </w:t>
      </w:r>
      <w:r w:rsidRPr="00DD15C3">
        <w:rPr>
          <w:rFonts w:cs="Times New Roman"/>
          <w:szCs w:val="24"/>
        </w:rPr>
        <w:t>rate tests consisted of (</w:t>
      </w:r>
      <w:proofErr w:type="spellStart"/>
      <w:r w:rsidRPr="00DD15C3">
        <w:rPr>
          <w:rFonts w:cs="Times New Roman"/>
          <w:szCs w:val="24"/>
        </w:rPr>
        <w:t>i</w:t>
      </w:r>
      <w:proofErr w:type="spellEnd"/>
      <w:r w:rsidRPr="00DD15C3">
        <w:rPr>
          <w:rFonts w:cs="Times New Roman"/>
          <w:szCs w:val="24"/>
        </w:rPr>
        <w:t xml:space="preserve">) two loading cycles at 0.1 %/min </w:t>
      </w:r>
      <w:r>
        <w:rPr>
          <w:rFonts w:cs="Times New Roman"/>
          <w:szCs w:val="24"/>
        </w:rPr>
        <w:t>strain</w:t>
      </w:r>
      <w:r w:rsidR="00515404">
        <w:rPr>
          <w:rFonts w:cs="Times New Roman"/>
          <w:szCs w:val="24"/>
        </w:rPr>
        <w:t xml:space="preserve"> </w:t>
      </w:r>
      <w:r>
        <w:rPr>
          <w:rFonts w:cs="Times New Roman"/>
          <w:szCs w:val="24"/>
        </w:rPr>
        <w:t>rate</w:t>
      </w:r>
      <w:r w:rsidRPr="00DD15C3">
        <w:rPr>
          <w:rFonts w:cs="Times New Roman"/>
          <w:szCs w:val="24"/>
        </w:rPr>
        <w:t xml:space="preserve">; (ii) three loading cycles at 1 %/min </w:t>
      </w:r>
      <w:r>
        <w:rPr>
          <w:rFonts w:cs="Times New Roman"/>
          <w:szCs w:val="24"/>
        </w:rPr>
        <w:t>strain</w:t>
      </w:r>
      <w:r w:rsidR="00515404">
        <w:rPr>
          <w:rFonts w:cs="Times New Roman"/>
          <w:szCs w:val="24"/>
        </w:rPr>
        <w:t xml:space="preserve"> </w:t>
      </w:r>
      <w:r>
        <w:rPr>
          <w:rFonts w:cs="Times New Roman"/>
          <w:szCs w:val="24"/>
        </w:rPr>
        <w:t>rate</w:t>
      </w:r>
      <w:r w:rsidRPr="00DD15C3">
        <w:rPr>
          <w:rFonts w:cs="Times New Roman"/>
          <w:szCs w:val="24"/>
        </w:rPr>
        <w:t xml:space="preserve">; and (iii) two loading cycles at 10 %/min </w:t>
      </w:r>
      <w:r>
        <w:rPr>
          <w:rFonts w:cs="Times New Roman"/>
          <w:szCs w:val="24"/>
        </w:rPr>
        <w:t>strain</w:t>
      </w:r>
      <w:r w:rsidR="00515404">
        <w:rPr>
          <w:rFonts w:cs="Times New Roman"/>
          <w:szCs w:val="24"/>
        </w:rPr>
        <w:t xml:space="preserve"> </w:t>
      </w:r>
      <w:r>
        <w:rPr>
          <w:rFonts w:cs="Times New Roman"/>
          <w:szCs w:val="24"/>
        </w:rPr>
        <w:t>rate</w:t>
      </w:r>
      <w:r w:rsidRPr="00DD15C3">
        <w:rPr>
          <w:rFonts w:cs="Times New Roman"/>
          <w:szCs w:val="24"/>
        </w:rPr>
        <w:t>. These loading cycles were successively applied, followed by two cycles for creep testing and two for stress</w:t>
      </w:r>
      <w:r w:rsidR="00515404">
        <w:rPr>
          <w:rFonts w:cs="Times New Roman"/>
          <w:szCs w:val="24"/>
        </w:rPr>
        <w:t xml:space="preserve"> </w:t>
      </w:r>
      <w:r w:rsidRPr="00DD15C3">
        <w:rPr>
          <w:rFonts w:cs="Times New Roman"/>
          <w:szCs w:val="24"/>
        </w:rPr>
        <w:t>relaxation testing.</w:t>
      </w:r>
    </w:p>
    <w:p w14:paraId="524E934E" w14:textId="260B8F40" w:rsidR="00C375E3" w:rsidRPr="00DD15C3" w:rsidRDefault="00C375E3" w:rsidP="00C375E3">
      <w:pPr>
        <w:rPr>
          <w:rFonts w:cs="Times New Roman"/>
          <w:szCs w:val="24"/>
        </w:rPr>
      </w:pPr>
      <w:r w:rsidRPr="00DD15C3">
        <w:rPr>
          <w:rFonts w:cs="Times New Roman"/>
          <w:szCs w:val="24"/>
        </w:rPr>
        <w:t xml:space="preserve">The creep behaviour of the </w:t>
      </w:r>
      <w:r w:rsidR="005C411A">
        <w:rPr>
          <w:rFonts w:cs="Times New Roman"/>
          <w:szCs w:val="24"/>
        </w:rPr>
        <w:t>CCL</w:t>
      </w:r>
      <w:r w:rsidRPr="00DD15C3">
        <w:rPr>
          <w:rFonts w:cs="Times New Roman"/>
          <w:szCs w:val="24"/>
        </w:rPr>
        <w:t>s was determined by subjecting the ligament to tensile loads of 4.9 N and 9.9 N that remained constant for 15 minutes each. For the stress</w:t>
      </w:r>
      <w:r w:rsidR="00515404">
        <w:rPr>
          <w:rFonts w:cs="Times New Roman"/>
          <w:szCs w:val="24"/>
        </w:rPr>
        <w:t xml:space="preserve"> </w:t>
      </w:r>
      <w:r w:rsidRPr="00DD15C3">
        <w:rPr>
          <w:rFonts w:cs="Times New Roman"/>
          <w:szCs w:val="24"/>
        </w:rPr>
        <w:t xml:space="preserve">relaxation tests, the </w:t>
      </w:r>
      <w:r w:rsidR="005C411A">
        <w:rPr>
          <w:rFonts w:cs="Times New Roman"/>
          <w:szCs w:val="24"/>
        </w:rPr>
        <w:t>CCL</w:t>
      </w:r>
      <w:r w:rsidRPr="00DD15C3">
        <w:rPr>
          <w:rFonts w:cs="Times New Roman"/>
          <w:szCs w:val="24"/>
        </w:rPr>
        <w:t xml:space="preserve">s were extended by applying a 9.9 N tensile load and monitoring the gradual decrease in tissue stress over </w:t>
      </w:r>
      <w:r w:rsidR="00311380">
        <w:rPr>
          <w:rFonts w:cs="Times New Roman"/>
          <w:szCs w:val="24"/>
        </w:rPr>
        <w:t>15 minutes</w:t>
      </w:r>
      <w:r w:rsidRPr="00DD15C3">
        <w:rPr>
          <w:rFonts w:cs="Times New Roman"/>
          <w:szCs w:val="24"/>
        </w:rPr>
        <w:t xml:space="preserve"> whilst the </w:t>
      </w:r>
      <w:r w:rsidR="00311380">
        <w:rPr>
          <w:rFonts w:cs="Times New Roman"/>
          <w:szCs w:val="24"/>
        </w:rPr>
        <w:t>ligament extension</w:t>
      </w:r>
      <w:r w:rsidRPr="00DD15C3">
        <w:rPr>
          <w:rFonts w:cs="Times New Roman"/>
          <w:szCs w:val="24"/>
        </w:rPr>
        <w:t xml:space="preserve"> was held constant. Loading and unloading during creep and stress</w:t>
      </w:r>
      <w:r w:rsidR="00515404">
        <w:rPr>
          <w:rFonts w:cs="Times New Roman"/>
          <w:szCs w:val="24"/>
        </w:rPr>
        <w:t xml:space="preserve"> </w:t>
      </w:r>
      <w:r w:rsidRPr="00DD15C3">
        <w:rPr>
          <w:rFonts w:cs="Times New Roman"/>
          <w:szCs w:val="24"/>
        </w:rPr>
        <w:t xml:space="preserve">relaxation tests were performed at </w:t>
      </w:r>
      <w:r w:rsidR="00311380">
        <w:rPr>
          <w:rFonts w:cs="Times New Roman"/>
          <w:szCs w:val="24"/>
        </w:rPr>
        <w:t xml:space="preserve">a </w:t>
      </w:r>
      <w:r w:rsidRPr="00DD15C3">
        <w:rPr>
          <w:rFonts w:cs="Times New Roman"/>
          <w:szCs w:val="24"/>
        </w:rPr>
        <w:t xml:space="preserve">1 %/min </w:t>
      </w:r>
      <w:r>
        <w:rPr>
          <w:rFonts w:cs="Times New Roman"/>
          <w:szCs w:val="24"/>
        </w:rPr>
        <w:t>strain</w:t>
      </w:r>
      <w:r w:rsidR="00311380">
        <w:rPr>
          <w:rFonts w:cs="Times New Roman"/>
          <w:szCs w:val="24"/>
        </w:rPr>
        <w:t xml:space="preserve"> </w:t>
      </w:r>
      <w:r>
        <w:rPr>
          <w:rFonts w:cs="Times New Roman"/>
          <w:szCs w:val="24"/>
        </w:rPr>
        <w:t>rate</w:t>
      </w:r>
      <w:r w:rsidRPr="00DD15C3">
        <w:rPr>
          <w:rFonts w:cs="Times New Roman"/>
          <w:szCs w:val="24"/>
        </w:rPr>
        <w:t xml:space="preserve">. A recovery period of six minutes was applied between each loading-unloading cycle to minimise the effect of the strain history of previous cycles on subsequent behaviour </w:t>
      </w:r>
      <w:r w:rsidRPr="00DD15C3">
        <w:rPr>
          <w:rFonts w:cs="Times New Roman"/>
          <w:szCs w:val="24"/>
        </w:rPr>
        <w:fldChar w:fldCharType="begin"/>
      </w:r>
      <w:r w:rsidR="0097525F">
        <w:rPr>
          <w:rFonts w:cs="Times New Roman"/>
          <w:szCs w:val="24"/>
        </w:rPr>
        <w:instrText xml:space="preserve"> ADDIN ZOTERO_ITEM CSL_CITATION {"citationID":"NWWqsOm0","properties":{"formattedCitation":"(Readioff et al., 2020a, 2020b)","plainCitation":"(Readioff et al., 2020a, 2020b)","noteIndex":0},"citationItems":[{"id":2584,"uris":["http://zotero.org/users/5692498/items/58ARLL83"],"itemData":{"id":2584,"type":"article-journal","abstract":"It is limiting to use conventional methods when characterising material properties of complex biological tissues with inhomogeneous and anisotropic structure, such as the anterior cruciate ligament (ACL) in the knee joint. This study aims to develop and utilise a three-dimensional digital image correlation method (3D DIC) for the purpose of determining material properties of femur-ACL-tibia complex across the surface without any contact between the tissue and the loading equipment. A full-field (360° view) 3D DIC test setup consisting of six digital single-lens reflex cameras was developed and ACL specimens from skeletally mature dog knee joints were tested. The six cameras were arranged into three pairs and the cameras within each pair were positioned with 25° in between to obtain the desired stereovision output. The test setup was calibrated twice: first to obtain the intrinsic and extrinsic parameters within camera pairs, and second to align the 3D surfaces from each camera pair in order to generate the full view of the ACLs. Using the undeformed 3D surfaces of the ligaments, ACL-specific finite element models were generated. Longitudinal deformation of ligaments under tensile loads obtained from the 3D DIC, and this was analysed to serve as input for the inverse finite element analysis. As a result, hyperelastic coefficients from the first-order Ogden model that characterise ACL behaviour were determined with a marginal error of &lt;1.5%. This test setup and methodology provides a means to accurately determine inhomogeneous and anisotropic material properties of ACL. The methodology described in this study could be adopted to investigate other biological and cultured tissues with complex structure.\nStatement of Significance\nDetermining the material properties of soft tissues with complex anatomical structure, such as the anterior cruciate ligament (ACL), is important to better understand their contribution to musculoskeletal biomechanics. Current conventional methods for characterising material properties of the ACL are often limited to a contact measurement approach, however an improved understanding of the mechanics of this complex tissue is vital in terms of preventing injury and developing novel therapies. This article reports the development and utilisation of non-contact optical methodology involving full-field three-dimensional digital image correlation and finite element analysis to accurately investigate material properties of the ACL, in a controlled environment. This technique reduces inaccuracies due to specimen clamping and more importantly considers the inhomogeneous nature of the examined tissue.","container-title":"Acta Biomaterialia","DOI":"10.1016/j.actbio.2020.07.003","ISSN":"1742-7061","journalAbbreviation":"Acta Biomaterialia","language":"en","page":"417-428","source":"ScienceDirect","title":"A full-field 3D digital image correlation and modelling technique to characterise anterior cruciate ligament mechanics ex vivo","volume":"113","author":[{"family":"Readioff","given":"Rosti"},{"family":"Geraghty","given":"Brendan"},{"family":"Comerford","given":"Eithne"},{"family":"Elsheikh","given":"Ahmed"}],"issued":{"date-parts":[["2020",9,1]]}}},{"id":3168,"uris":["http://zotero.org/users/5692498/items/GYIP8SXX"],"itemData":{"id":3168,"type":"article-journal","abstract":"Ligaments including the cruciate ligaments support and transfer loads between bones applied to the knee joint organ. The functions of these ligaments can get compromised due to changes to their viscoelastic material properties. Currently there are discrepancies in the literature on the viscoelastic characteristics of knee ligaments which are thought to be due to tissue variability and different testing protocols. The aim of this study was to characterise the viscoelastic properties of healthy cranial cruciate ligaments (CCLs), from the canine knee (stifle) joint, with a focus on the toe region of the stress-strain properties where any alterations in the extracellular matrix which would affect viscoelastic properties would be seen. Six paired CCLs, from skeletally mature and disease-free Staffordshire bull terrier stifle joints were retrieved as a femur-CCL-tibia complex and mechanically tested under uniaxial cyclic loading up to 10 N at three strain rates, namely 0.1%, 1% and 10%/min, to assess the viscoelastic property of strain rate dependency. The effect of strain history was also investigated by subjecting contralateral CCLs to an ascending (0.1%, 1% and 10%/min) or descending (10%, 1% and 0.1%/min) strain rate protocol. The differences between strain rates were not statistically significant. However, hysteresis and recovery of ligament lengths showed some dependency on strain rate. Only hysteresis was affected by the test protocol and lower strain rates resulted in higher hysteresis and lower recovery. These findings could be explained by the slow process of uncrimping of collagen fibres and the contribution of proteoglycans in the ligament extracellular matrix to intra-fibrillar gliding, which results in more tissue elongations and higher energy dissipation. This study further expands our understanding of canine CCL behaviour, providing data for material models of femur-CCL-tibia complexes, and demonstrating the challenges for engineering complex biomaterials such as knee joint ligaments.","container-title":"PeerJ","DOI":"10.7717/peerj.10635","ISSN":"2167-8359","journalAbbreviation":"PeerJ","language":"en","note":"publisher: PeerJ Inc.","page":"e10635","source":"peerj.com","title":"Viscoelastic characteristics of the canine cranial cruciate ligament complex at slow strain rates","volume":"8","author":[{"family":"Readioff","given":"Rosti"},{"family":"Geraghty","given":"Brendan"},{"family":"Elsheikh","given":"Ahmed"},{"family":"Comerford","given":"Eithne"}],"issued":{"date-parts":[["2020",12,22]]}}}],"schema":"https://github.com/citation-style-language/schema/raw/master/csl-citation.json"} </w:instrText>
      </w:r>
      <w:r w:rsidRPr="00DD15C3">
        <w:rPr>
          <w:rFonts w:cs="Times New Roman"/>
          <w:szCs w:val="24"/>
        </w:rPr>
        <w:fldChar w:fldCharType="separate"/>
      </w:r>
      <w:r w:rsidR="0097525F" w:rsidRPr="0097525F">
        <w:rPr>
          <w:rFonts w:cs="Times New Roman"/>
        </w:rPr>
        <w:t>(Readioff et al., 2020a, 2020b)</w:t>
      </w:r>
      <w:r w:rsidRPr="00DD15C3">
        <w:rPr>
          <w:rFonts w:cs="Times New Roman"/>
          <w:szCs w:val="24"/>
        </w:rPr>
        <w:fldChar w:fldCharType="end"/>
      </w:r>
      <w:r w:rsidRPr="00DD15C3">
        <w:rPr>
          <w:rFonts w:cs="Times New Roman"/>
          <w:szCs w:val="24"/>
        </w:rPr>
        <w:t xml:space="preserve">. </w:t>
      </w:r>
    </w:p>
    <w:p w14:paraId="6A3E7426" w14:textId="5B0904BD" w:rsidR="00C375E3" w:rsidRDefault="00C375E3" w:rsidP="00C375E3">
      <w:pPr>
        <w:rPr>
          <w:rFonts w:cs="Times New Roman"/>
          <w:szCs w:val="24"/>
        </w:rPr>
      </w:pPr>
      <w:r w:rsidRPr="00DD15C3">
        <w:rPr>
          <w:rFonts w:cs="Times New Roman"/>
          <w:szCs w:val="24"/>
        </w:rPr>
        <w:t xml:space="preserve">Following completion of the mechanical tests, the middle section of each </w:t>
      </w:r>
      <w:r w:rsidR="005C411A">
        <w:rPr>
          <w:rFonts w:cs="Times New Roman"/>
          <w:szCs w:val="24"/>
        </w:rPr>
        <w:t>CCL</w:t>
      </w:r>
      <w:r w:rsidRPr="00DD15C3">
        <w:rPr>
          <w:rFonts w:cs="Times New Roman"/>
          <w:szCs w:val="24"/>
        </w:rPr>
        <w:t xml:space="preserve"> was extracted in preparation for the biochemical assays to determine water and sGAG contents in both control and </w:t>
      </w:r>
      <w:r w:rsidR="00A13A42">
        <w:rPr>
          <w:rFonts w:cs="Times New Roman"/>
          <w:szCs w:val="24"/>
        </w:rPr>
        <w:t>t</w:t>
      </w:r>
      <w:r w:rsidR="003E0E6F">
        <w:rPr>
          <w:rFonts w:cs="Times New Roman"/>
          <w:szCs w:val="24"/>
        </w:rPr>
        <w:t>reated</w:t>
      </w:r>
      <w:r w:rsidRPr="00DD15C3">
        <w:rPr>
          <w:rFonts w:cs="Times New Roman"/>
          <w:szCs w:val="24"/>
        </w:rPr>
        <w:t xml:space="preserve"> groups </w:t>
      </w:r>
      <w:r w:rsidRPr="00DD15C3">
        <w:rPr>
          <w:rFonts w:cs="Times New Roman"/>
          <w:szCs w:val="24"/>
        </w:rPr>
        <w:fldChar w:fldCharType="begin"/>
      </w:r>
      <w:r w:rsidR="0097525F">
        <w:rPr>
          <w:rFonts w:cs="Times New Roman"/>
          <w:szCs w:val="24"/>
        </w:rPr>
        <w:instrText xml:space="preserve"> ADDIN ZOTERO_ITEM CSL_CITATION {"citationID":"65XNOrOg","properties":{"formattedCitation":"(Farndale et al., 1986)","plainCitation":"(Farndale et al., 1986)","noteIndex":0},"citationItems":[{"id":3143,"uris":["http://zotero.org/users/5692498/items/8SEKUA4J"],"itemData":{"id":3143,"type":"article-journal","abstract":"The dimethylmethylene blue assay for sulphated glycosaminoglycans has found wide acceptance as a quick and simple method of measuring the sulphated glycosaminoglycan content of tissues and fluids. The available assay methods have lacked specificity for sulphated glycosaminoglycans in the presence of other polyanions, however, and have not discriminated between the different sulphated glycosaminoglycans. We now describe a modified form of the dimethylmethylene blue assay that has improved specificity for sulphated glycosaminoglycans, and we show that in conjunction with specific polysaccharidases, the dimethylmethylene blue assay can be used to quantitate individual sulphated glycosaminoglycans.","container-title":"Biochimica Et Biophysica Acta","DOI":"10.1016/0304-4165(86)90306-5","ISSN":"0006-3002","issue":"2","journalAbbreviation":"Biochim Biophys Acta","language":"eng","note":"PMID: 3091074","page":"173-177","source":"PubMed","title":"Improved quantitation and discrimination of sulphated glycosaminoglycans by use of dimethylmethylene blue","volume":"883","author":[{"family":"Farndale","given":"R. W."},{"family":"Buttle","given":"D. J."},{"family":"Barrett","given":"A. J."}],"issued":{"date-parts":[["1986",9,4]]}}}],"schema":"https://github.com/citation-style-language/schema/raw/master/csl-citation.json"} </w:instrText>
      </w:r>
      <w:r w:rsidRPr="00DD15C3">
        <w:rPr>
          <w:rFonts w:cs="Times New Roman"/>
          <w:szCs w:val="24"/>
        </w:rPr>
        <w:fldChar w:fldCharType="separate"/>
      </w:r>
      <w:r w:rsidR="0097525F" w:rsidRPr="0097525F">
        <w:rPr>
          <w:rFonts w:cs="Times New Roman"/>
        </w:rPr>
        <w:t>(Farndale et al., 1986)</w:t>
      </w:r>
      <w:r w:rsidRPr="00DD15C3">
        <w:rPr>
          <w:rFonts w:cs="Times New Roman"/>
          <w:szCs w:val="24"/>
        </w:rPr>
        <w:fldChar w:fldCharType="end"/>
      </w:r>
      <w:r w:rsidRPr="00DD15C3">
        <w:rPr>
          <w:rFonts w:cs="Times New Roman"/>
          <w:szCs w:val="24"/>
        </w:rPr>
        <w:t>.</w:t>
      </w:r>
    </w:p>
    <w:p w14:paraId="0407A0BA" w14:textId="77777777" w:rsidR="00A67C97" w:rsidRPr="00DD15C3" w:rsidRDefault="00A67C97" w:rsidP="00C375E3">
      <w:pPr>
        <w:rPr>
          <w:rFonts w:cs="Times New Roman"/>
          <w:szCs w:val="24"/>
        </w:rPr>
      </w:pPr>
    </w:p>
    <w:p w14:paraId="78FAD7A7" w14:textId="77777777" w:rsidR="00C375E3" w:rsidRPr="00DD15C3" w:rsidRDefault="00C375E3" w:rsidP="00B62277">
      <w:pPr>
        <w:pStyle w:val="Heading2"/>
      </w:pPr>
      <w:r w:rsidRPr="00DD15C3">
        <w:t>Biochemical assays</w:t>
      </w:r>
    </w:p>
    <w:p w14:paraId="4A30198E" w14:textId="77777777" w:rsidR="00C375E3" w:rsidRPr="00100D0A" w:rsidRDefault="00C375E3" w:rsidP="00B62277">
      <w:pPr>
        <w:pStyle w:val="Heading3"/>
        <w:rPr>
          <w:rFonts w:eastAsia="Times New Roman"/>
          <w:lang w:eastAsia="en-GB"/>
        </w:rPr>
      </w:pPr>
      <w:r w:rsidRPr="00100D0A">
        <w:rPr>
          <w:rFonts w:eastAsia="Times New Roman"/>
          <w:lang w:eastAsia="en-GB"/>
        </w:rPr>
        <w:lastRenderedPageBreak/>
        <w:t>sGAG content quantification</w:t>
      </w:r>
    </w:p>
    <w:p w14:paraId="6E79DE19" w14:textId="75917BDC" w:rsidR="00C375E3" w:rsidRPr="00DD15C3" w:rsidRDefault="005C411A" w:rsidP="00C375E3">
      <w:pPr>
        <w:rPr>
          <w:rFonts w:cs="Times New Roman"/>
          <w:szCs w:val="24"/>
        </w:rPr>
      </w:pPr>
      <w:r>
        <w:rPr>
          <w:rFonts w:cs="Times New Roman"/>
          <w:szCs w:val="24"/>
        </w:rPr>
        <w:t>CCL</w:t>
      </w:r>
      <w:r w:rsidR="00C375E3" w:rsidRPr="00DD15C3">
        <w:rPr>
          <w:rFonts w:cs="Times New Roman"/>
          <w:szCs w:val="24"/>
        </w:rPr>
        <w:t xml:space="preserve">s in control and </w:t>
      </w:r>
      <w:r w:rsidR="00A13A42">
        <w:rPr>
          <w:rFonts w:cs="Times New Roman"/>
          <w:szCs w:val="24"/>
        </w:rPr>
        <w:t>t</w:t>
      </w:r>
      <w:r w:rsidR="003E0E6F">
        <w:rPr>
          <w:rFonts w:cs="Times New Roman"/>
          <w:szCs w:val="24"/>
        </w:rPr>
        <w:t>reated</w:t>
      </w:r>
      <w:r w:rsidR="00C375E3" w:rsidRPr="00DD15C3">
        <w:rPr>
          <w:rFonts w:cs="Times New Roman"/>
          <w:szCs w:val="24"/>
        </w:rPr>
        <w:t xml:space="preserve"> groups were digested for 48 hours with 10 unit/ml papain in 100 mM sodium acetate, 2.4 mM ethylenediaminetetraacetic acid (EDTA)</w:t>
      </w:r>
      <w:r w:rsidR="005B5FEE">
        <w:rPr>
          <w:rFonts w:cs="Times New Roman"/>
          <w:szCs w:val="24"/>
        </w:rPr>
        <w:t>,</w:t>
      </w:r>
      <w:r w:rsidR="00C375E3" w:rsidRPr="00DD15C3">
        <w:rPr>
          <w:rFonts w:cs="Times New Roman"/>
          <w:szCs w:val="24"/>
        </w:rPr>
        <w:t xml:space="preserve"> and </w:t>
      </w:r>
      <w:r w:rsidR="005B5FEE">
        <w:rPr>
          <w:rFonts w:cs="Times New Roman"/>
          <w:szCs w:val="24"/>
        </w:rPr>
        <w:t>5</w:t>
      </w:r>
      <w:r w:rsidR="00C375E3" w:rsidRPr="00DD15C3">
        <w:rPr>
          <w:rFonts w:cs="Times New Roman"/>
          <w:szCs w:val="24"/>
        </w:rPr>
        <w:t xml:space="preserve"> mM cysteine hydrochloric acid (HCL) at 60°C </w:t>
      </w:r>
      <w:r w:rsidR="00C375E3" w:rsidRPr="00DD15C3">
        <w:rPr>
          <w:rFonts w:cs="Times New Roman"/>
          <w:szCs w:val="24"/>
        </w:rPr>
        <w:fldChar w:fldCharType="begin"/>
      </w:r>
      <w:r w:rsidR="0097525F">
        <w:rPr>
          <w:rFonts w:cs="Times New Roman"/>
          <w:szCs w:val="24"/>
        </w:rPr>
        <w:instrText xml:space="preserve"> ADDIN ZOTERO_ITEM CSL_CITATION {"citationID":"QFJhio0w","properties":{"formattedCitation":"(Farndale et al., 1986)","plainCitation":"(Farndale et al., 1986)","noteIndex":0},"citationItems":[{"id":3143,"uris":["http://zotero.org/users/5692498/items/8SEKUA4J"],"itemData":{"id":3143,"type":"article-journal","abstract":"The dimethylmethylene blue assay for sulphated glycosaminoglycans has found wide acceptance as a quick and simple method of measuring the sulphated glycosaminoglycan content of tissues and fluids. The available assay methods have lacked specificity for sulphated glycosaminoglycans in the presence of other polyanions, however, and have not discriminated between the different sulphated glycosaminoglycans. We now describe a modified form of the dimethylmethylene blue assay that has improved specificity for sulphated glycosaminoglycans, and we show that in conjunction with specific polysaccharidases, the dimethylmethylene blue assay can be used to quantitate individual sulphated glycosaminoglycans.","container-title":"Biochimica Et Biophysica Acta","DOI":"10.1016/0304-4165(86)90306-5","ISSN":"0006-3002","issue":"2","journalAbbreviation":"Biochim Biophys Acta","language":"eng","note":"PMID: 3091074","page":"173-177","source":"PubMed","title":"Improved quantitation and discrimination of sulphated glycosaminoglycans by use of dimethylmethylene blue","volume":"883","author":[{"family":"Farndale","given":"R. W."},{"family":"Buttle","given":"D. J."},{"family":"Barrett","given":"A. J."}],"issued":{"date-parts":[["1986",9,4]]}}}],"schema":"https://github.com/citation-style-language/schema/raw/master/csl-citation.json"} </w:instrText>
      </w:r>
      <w:r w:rsidR="00C375E3" w:rsidRPr="00DD15C3">
        <w:rPr>
          <w:rFonts w:cs="Times New Roman"/>
          <w:szCs w:val="24"/>
        </w:rPr>
        <w:fldChar w:fldCharType="separate"/>
      </w:r>
      <w:r w:rsidR="0097525F" w:rsidRPr="0097525F">
        <w:rPr>
          <w:rFonts w:cs="Times New Roman"/>
        </w:rPr>
        <w:t>(Farndale et al., 1986)</w:t>
      </w:r>
      <w:r w:rsidR="00C375E3" w:rsidRPr="00DD15C3">
        <w:rPr>
          <w:rFonts w:cs="Times New Roman"/>
          <w:szCs w:val="24"/>
        </w:rPr>
        <w:fldChar w:fldCharType="end"/>
      </w:r>
      <w:r w:rsidR="00C375E3" w:rsidRPr="00DD15C3">
        <w:rPr>
          <w:rFonts w:cs="Times New Roman"/>
          <w:szCs w:val="24"/>
        </w:rPr>
        <w:t xml:space="preserve">. </w:t>
      </w:r>
      <w:proofErr w:type="spellStart"/>
      <w:r w:rsidR="00C375E3" w:rsidRPr="00DD15C3">
        <w:rPr>
          <w:rFonts w:cs="Times New Roman"/>
          <w:szCs w:val="24"/>
        </w:rPr>
        <w:t>Dimethylmethylene</w:t>
      </w:r>
      <w:proofErr w:type="spellEnd"/>
      <w:r w:rsidR="00C375E3" w:rsidRPr="00DD15C3">
        <w:rPr>
          <w:rFonts w:cs="Times New Roman"/>
          <w:szCs w:val="24"/>
        </w:rPr>
        <w:t xml:space="preserve"> blue (DMMB) dye</w:t>
      </w:r>
      <w:r w:rsidR="000D2DE1">
        <w:rPr>
          <w:rFonts w:cs="Times New Roman"/>
          <w:szCs w:val="24"/>
        </w:rPr>
        <w:t>-</w:t>
      </w:r>
      <w:r w:rsidR="00C375E3" w:rsidRPr="00DD15C3">
        <w:rPr>
          <w:rFonts w:cs="Times New Roman"/>
          <w:szCs w:val="24"/>
        </w:rPr>
        <w:t xml:space="preserve">binding assay (1, 9-dimethylmethylene blue) was used to determine the sGAG content of the </w:t>
      </w:r>
      <w:r>
        <w:rPr>
          <w:rFonts w:cs="Times New Roman"/>
          <w:szCs w:val="24"/>
        </w:rPr>
        <w:t>CCL</w:t>
      </w:r>
      <w:r w:rsidR="00C375E3" w:rsidRPr="00DD15C3">
        <w:rPr>
          <w:rFonts w:cs="Times New Roman"/>
          <w:szCs w:val="24"/>
        </w:rPr>
        <w:t xml:space="preserve">s </w:t>
      </w:r>
      <w:r w:rsidR="00C375E3" w:rsidRPr="00DD15C3">
        <w:rPr>
          <w:rFonts w:cs="Times New Roman"/>
          <w:szCs w:val="24"/>
        </w:rPr>
        <w:fldChar w:fldCharType="begin"/>
      </w:r>
      <w:r w:rsidR="008D4B27">
        <w:rPr>
          <w:rFonts w:cs="Times New Roman"/>
          <w:szCs w:val="24"/>
        </w:rPr>
        <w:instrText xml:space="preserve"> ADDIN ZOTERO_ITEM CSL_CITATION {"citationID":"SufXDbCa","properties":{"formattedCitation":"(Farndale et al., 1986; Kharaz et al., 2018)","plainCitation":"(Farndale et al., 1986; Kharaz et al., 2018)","noteIndex":0},"citationItems":[{"id":3023,"uris":["http://zotero.org/users/5692498/items/FBH69HV4"],"itemData":{"id":3023,"type":"article-journal","abstract":"Tendons and ligaments play key roles in the musculoskeletal system in both man and animals. Both tissues can undergo traumatic injury, age-related degeneration and chronic disease, causing discomfort, pain and increased susceptibility to wider degenerative joint disease. To date, tendon and ligament ultrastructural biology is relatively under-studied in healthy, non-diseased tissues. This information is essential to understand the pathology of these tissues with regard to function-related injury and to assist with the future development of tissue-engineered tendon and ligament structures. This study investigated the morphological, compositional and extracellular matrix protein distribution differences between tendons and ligaments around the non-diseased canine stifle joint. The morphological, structural characteristics of different regions of the periarticular tendons and ligaments (the intra-articular anterior cruciate ligament, the extra-articular medial collateral ligament, the positional long digital extensor tendon and energy-storing superficial digital flexor tendons) were identified using a novel semi-objective histological scoring analysis and by determining their biochemical composition. Protein distribution of extracellular matrix collagens, proteoglycans and elastic fibre proteins in anterior cruciate ligament and long digital extensor tendon were also determined using immunostaining techniques. The anterior cruciate ligament was found to have significant morphological differences in comparison with the other three tissues, including less compact collagen architecture, differences in cell nuclei phenotype and increased glycosaminoglycan and elastin content. Intra- and interobserver differences of histology scoring resulted in an average score 0.7, indicative of good agreement between observers. Statistically significant differences were also found in the extracellular matrix composition in terms of glycosaminoglycan and elastin content, being more prominent in the anterior cruciate ligament than in the other three tissues. A different distribution of several extracellular matrix proteins was also found between long digital extensor tendon and anterior cruciate ligament, with a significantly increased immunostaining of aggrecan and versican in the anterior cruciate ligament. These findings directly relate to the different functions of tendon and ligament and indicate that the intra-articular anterior cruciate ligament is subjected to more compressive forces, reflecting an adaptive response to normal or increased loads and resulting in different extracellular matrix composition and arrangement to protect the tissue from damage.","container-title":"Journal of Anatomy","DOI":"10.1111/joa.12802","ISSN":"1469-7580","issue":"6","language":"en","license":"© 2018 The Authors. Journal of Anatomy published by John Wiley &amp; Sons Ltd on behalf of Anatomical Society.","note":"_eprint: https://onlinelibrary.wiley.com/doi/pdf/10.1111/joa.12802","page":"943-955","source":"Wiley Online Library","title":"Variations in internal structure, composition and protein distribution between intra- and extra-articular knee ligaments and tendons","volume":"232","author":[{"family":"Kharaz","given":"Yalda A."},{"family":"Canty‐Laird","given":"Elizabeth G."},{"family":"Tew","given":"Simon R."},{"family":"Comerford","given":"Eithne J."}],"issued":{"date-parts":[["2018"]]}}},{"id":3143,"uris":["http://zotero.org/users/5692498/items/8SEKUA4J"],"itemData":{"id":3143,"type":"article-journal","abstract":"The dimethylmethylene blue assay for sulphated glycosaminoglycans has found wide acceptance as a quick and simple method of measuring the sulphated glycosaminoglycan content of tissues and fluids. The available assay methods have lacked specificity for sulphated glycosaminoglycans in the presence of other polyanions, however, and have not discriminated between the different sulphated glycosaminoglycans. We now describe a modified form of the dimethylmethylene blue assay that has improved specificity for sulphated glycosaminoglycans, and we show that in conjunction with specific polysaccharidases, the dimethylmethylene blue assay can be used to quantitate individual sulphated glycosaminoglycans.","container-title":"Biochimica Et Biophysica Acta","DOI":"10.1016/0304-4165(86)90306-5","ISSN":"0006-3002","issue":"2","journalAbbreviation":"Biochim Biophys Acta","language":"eng","note":"PMID: 3091074","page":"173-177","source":"PubMed","title":"Improved quantitation and discrimination of sulphated glycosaminoglycans by use of dimethylmethylene blue","volume":"883","author":[{"family":"Farndale","given":"R. W."},{"family":"Buttle","given":"D. J."},{"family":"Barrett","given":"A. J."}],"issued":{"date-parts":[["1986",9,4]]}}}],"schema":"https://github.com/citation-style-language/schema/raw/master/csl-citation.json"} </w:instrText>
      </w:r>
      <w:r w:rsidR="00C375E3" w:rsidRPr="00DD15C3">
        <w:rPr>
          <w:rFonts w:cs="Times New Roman"/>
          <w:szCs w:val="24"/>
        </w:rPr>
        <w:fldChar w:fldCharType="separate"/>
      </w:r>
      <w:r w:rsidR="0097525F" w:rsidRPr="0097525F">
        <w:rPr>
          <w:rFonts w:cs="Times New Roman"/>
        </w:rPr>
        <w:t>(Farndale et al., 1986; Kharaz et al., 2018)</w:t>
      </w:r>
      <w:r w:rsidR="00C375E3" w:rsidRPr="00DD15C3">
        <w:rPr>
          <w:rFonts w:cs="Times New Roman"/>
          <w:szCs w:val="24"/>
        </w:rPr>
        <w:fldChar w:fldCharType="end"/>
      </w:r>
      <w:r w:rsidR="00C375E3" w:rsidRPr="00DD15C3">
        <w:rPr>
          <w:rFonts w:cs="Times New Roman"/>
          <w:szCs w:val="24"/>
        </w:rPr>
        <w:t xml:space="preserve">. Subsequently, 250 µl of DMMB dye was added to 40 µl duplicates of papain-digested </w:t>
      </w:r>
      <w:r>
        <w:rPr>
          <w:rFonts w:cs="Times New Roman"/>
          <w:szCs w:val="24"/>
        </w:rPr>
        <w:t>CCL</w:t>
      </w:r>
      <w:r w:rsidR="00C375E3" w:rsidRPr="00DD15C3">
        <w:rPr>
          <w:rFonts w:cs="Times New Roman"/>
          <w:szCs w:val="24"/>
        </w:rPr>
        <w:t>s, and this was immediately analysed at 570 nm wavelength. Shark chondroitin sulphate over a concentration range of 0-75 µg/ml was used as a standard</w:t>
      </w:r>
      <w:r w:rsidR="000D2DE1">
        <w:rPr>
          <w:rFonts w:cs="Times New Roman"/>
          <w:szCs w:val="24"/>
        </w:rPr>
        <w:t>,</w:t>
      </w:r>
      <w:r w:rsidR="00C375E3" w:rsidRPr="00DD15C3">
        <w:rPr>
          <w:rFonts w:cs="Times New Roman"/>
          <w:szCs w:val="24"/>
        </w:rPr>
        <w:t xml:space="preserve"> and sGAG content was calculated by comparison with the standard line </w:t>
      </w:r>
      <w:r w:rsidR="00C375E3" w:rsidRPr="00DD15C3">
        <w:rPr>
          <w:rFonts w:cs="Times New Roman"/>
          <w:szCs w:val="24"/>
        </w:rPr>
        <w:fldChar w:fldCharType="begin"/>
      </w:r>
      <w:r w:rsidR="008D4B27">
        <w:rPr>
          <w:rFonts w:cs="Times New Roman"/>
          <w:szCs w:val="24"/>
        </w:rPr>
        <w:instrText xml:space="preserve"> ADDIN ZOTERO_ITEM CSL_CITATION {"citationID":"OZtv7E83","properties":{"formattedCitation":"(Lujan et al., 2009; Kharaz et al., 2018)","plainCitation":"(Lujan et al., 2009; Kharaz et al., 2018)","noteIndex":0},"citationItems":[{"id":2963,"uris":["http://zotero.org/users/5692498/items/C59ACT4I"],"itemData":{"id":2963,"type":"article-journal","abstract":"The viscoelastic properties of human ligament potentially guard against structural failure, yet the microstructural origins of these transient behaviors are unknown. Glycosaminoglycans (GAGs) are widely suspected to affect ligament viscoelasticity by forming molecular bridges between neighboring collagen fibrils. This study investigated whether GAGs directly affect viscoelastic material behavior in human medial collateral ligament (MCL) by using nondestructive tensile tests before and after degradation of GAGs with chondroitinase ABC (ChABC). Control and ChABC treatment (83% GAG removal) produced similar alterations to ligament viscoelasticity. This finding was consistent at different levels of collagen fiber stretch and tissue hydration. On average, stress relaxation increased after incubation by 2.2% (control) and 2.1% (ChABC), dynamic modulus increased after incubation by 3.6% (control) and 3.8% (ChABC), and phase shift increased after incubation by 8.5% (control) and 8.4% (ChABC). The changes in viscoelastic behavior after treatment were significantly more pronounced at lower clamp-to-clamp strain levels. A 10% difference in the water content of tested specimens had minor influence on ligament viscoelastic properties. The major finding of this study is that mechanical interactions between collagen fibrils and GAGs are unrelated to tissue-level viscoelastic mechanics in mature human MCL. These findings narrow the possible number of extracellular matrix molecules that have a direct contribution to ligament viscoelasticity.","container-title":"Journal of Applied Physiology","DOI":"10.1152/japplphysiol.90748.2008","ISSN":"8750-7587","issue":"2","note":"publisher: American Physiological Society","page":"423-431","source":"journals.physiology.org (Atypon)","title":"Contribution of glycosaminoglycans to viscoelastic tensile behavior of human ligament","volume":"106","author":[{"family":"Lujan","given":"Trevor J."},{"family":"Underwood","given":"Clayton J."},{"family":"Jacobs","given":"Nathan T."},{"family":"Weiss","given":"Jeffrey A."}],"issued":{"date-parts":[["2009",2,1]]}}},{"id":3023,"uris":["http://zotero.org/users/5692498/items/FBH69HV4"],"itemData":{"id":3023,"type":"article-journal","abstract":"Tendons and ligaments play key roles in the musculoskeletal system in both man and animals. Both tissues can undergo traumatic injury, age-related degeneration and chronic disease, causing discomfort, pain and increased susceptibility to wider degenerative joint disease. To date, tendon and ligament ultrastructural biology is relatively under-studied in healthy, non-diseased tissues. This information is essential to understand the pathology of these tissues with regard to function-related injury and to assist with the future development of tissue-engineered tendon and ligament structures. This study investigated the morphological, compositional and extracellular matrix protein distribution differences between tendons and ligaments around the non-diseased canine stifle joint. The morphological, structural characteristics of different regions of the periarticular tendons and ligaments (the intra-articular anterior cruciate ligament, the extra-articular medial collateral ligament, the positional long digital extensor tendon and energy-storing superficial digital flexor tendons) were identified using a novel semi-objective histological scoring analysis and by determining their biochemical composition. Protein distribution of extracellular matrix collagens, proteoglycans and elastic fibre proteins in anterior cruciate ligament and long digital extensor tendon were also determined using immunostaining techniques. The anterior cruciate ligament was found to have significant morphological differences in comparison with the other three tissues, including less compact collagen architecture, differences in cell nuclei phenotype and increased glycosaminoglycan and elastin content. Intra- and interobserver differences of histology scoring resulted in an average score 0.7, indicative of good agreement between observers. Statistically significant differences were also found in the extracellular matrix composition in terms of glycosaminoglycan and elastin content, being more prominent in the anterior cruciate ligament than in the other three tissues. A different distribution of several extracellular matrix proteins was also found between long digital extensor tendon and anterior cruciate ligament, with a significantly increased immunostaining of aggrecan and versican in the anterior cruciate ligament. These findings directly relate to the different functions of tendon and ligament and indicate that the intra-articular anterior cruciate ligament is subjected to more compressive forces, reflecting an adaptive response to normal or increased loads and resulting in different extracellular matrix composition and arrangement to protect the tissue from damage.","container-title":"Journal of Anatomy","DOI":"10.1111/joa.12802","ISSN":"1469-7580","issue":"6","language":"en","license":"© 2018 The Authors. Journal of Anatomy published by John Wiley &amp; Sons Ltd on behalf of Anatomical Society.","note":"_eprint: https://onlinelibrary.wiley.com/doi/pdf/10.1111/joa.12802","page":"943-955","source":"Wiley Online Library","title":"Variations in internal structure, composition and protein distribution between intra- and extra-articular knee ligaments and tendons","volume":"232","author":[{"family":"Kharaz","given":"Yalda A."},{"family":"Canty‐Laird","given":"Elizabeth G."},{"family":"Tew","given":"Simon R."},{"family":"Comerford","given":"Eithne J."}],"issued":{"date-parts":[["2018"]]}}}],"schema":"https://github.com/citation-style-language/schema/raw/master/csl-citation.json"} </w:instrText>
      </w:r>
      <w:r w:rsidR="00C375E3" w:rsidRPr="00DD15C3">
        <w:rPr>
          <w:rFonts w:cs="Times New Roman"/>
          <w:szCs w:val="24"/>
        </w:rPr>
        <w:fldChar w:fldCharType="separate"/>
      </w:r>
      <w:r w:rsidR="0097525F" w:rsidRPr="0097525F">
        <w:rPr>
          <w:rFonts w:cs="Times New Roman"/>
        </w:rPr>
        <w:t>(Lujan et al., 2009; Kharaz et al., 2018)</w:t>
      </w:r>
      <w:r w:rsidR="00C375E3" w:rsidRPr="00DD15C3">
        <w:rPr>
          <w:rFonts w:cs="Times New Roman"/>
          <w:szCs w:val="24"/>
        </w:rPr>
        <w:fldChar w:fldCharType="end"/>
      </w:r>
      <w:r w:rsidR="00C375E3" w:rsidRPr="00DD15C3">
        <w:rPr>
          <w:rFonts w:cs="Times New Roman"/>
          <w:szCs w:val="24"/>
        </w:rPr>
        <w:t xml:space="preserve">. </w:t>
      </w:r>
    </w:p>
    <w:p w14:paraId="544A5673" w14:textId="77777777" w:rsidR="00C375E3" w:rsidRPr="00100D0A" w:rsidRDefault="00C375E3" w:rsidP="00B62277">
      <w:pPr>
        <w:pStyle w:val="Heading3"/>
        <w:rPr>
          <w:rFonts w:eastAsia="Times New Roman"/>
          <w:lang w:eastAsia="en-GB"/>
        </w:rPr>
      </w:pPr>
      <w:r w:rsidRPr="00100D0A">
        <w:rPr>
          <w:rFonts w:eastAsia="Times New Roman"/>
          <w:lang w:eastAsia="en-GB"/>
        </w:rPr>
        <w:t>Water content quantification</w:t>
      </w:r>
    </w:p>
    <w:p w14:paraId="42E34CDF" w14:textId="2F576831" w:rsidR="00C375E3" w:rsidRPr="00DD15C3" w:rsidRDefault="00C375E3" w:rsidP="00C375E3">
      <w:pPr>
        <w:rPr>
          <w:rFonts w:cs="Times New Roman"/>
          <w:szCs w:val="24"/>
        </w:rPr>
      </w:pPr>
      <w:r w:rsidRPr="00DD15C3">
        <w:rPr>
          <w:rFonts w:cs="Times New Roman"/>
          <w:szCs w:val="24"/>
        </w:rPr>
        <w:t xml:space="preserve">The water content of the </w:t>
      </w:r>
      <w:r w:rsidR="005C411A">
        <w:rPr>
          <w:rFonts w:cs="Times New Roman"/>
          <w:szCs w:val="24"/>
        </w:rPr>
        <w:t>CCL</w:t>
      </w:r>
      <w:r w:rsidRPr="00DD15C3">
        <w:rPr>
          <w:rFonts w:cs="Times New Roman"/>
          <w:szCs w:val="24"/>
        </w:rPr>
        <w:t xml:space="preserve"> in both groups was expressed in terms of the mass of water per unit mass of the wet ligament (Equation 1) as described previously </w:t>
      </w:r>
      <w:r w:rsidRPr="00DD15C3">
        <w:rPr>
          <w:rFonts w:cs="Times New Roman"/>
          <w:szCs w:val="24"/>
        </w:rPr>
        <w:fldChar w:fldCharType="begin"/>
      </w:r>
      <w:r w:rsidR="0097525F">
        <w:rPr>
          <w:rFonts w:cs="Times New Roman"/>
          <w:szCs w:val="24"/>
        </w:rPr>
        <w:instrText xml:space="preserve"> ADDIN ZOTERO_ITEM CSL_CITATION {"citationID":"F5LHgjyD","properties":{"formattedCitation":"(Lujan et al., 2009; Kharaz, 2015)","plainCitation":"(Lujan et al., 2009; Kharaz, 2015)","noteIndex":0},"citationItems":[{"id":2963,"uris":["http://zotero.org/users/5692498/items/C59ACT4I"],"itemData":{"id":2963,"type":"article-journal","abstract":"The viscoelastic properties of human ligament potentially guard against structural failure, yet the microstructural origins of these transient behaviors are unknown. Glycosaminoglycans (GAGs) are widely suspected to affect ligament viscoelasticity by forming molecular bridges between neighboring collagen fibrils. This study investigated whether GAGs directly affect viscoelastic material behavior in human medial collateral ligament (MCL) by using nondestructive tensile tests before and after degradation of GAGs with chondroitinase ABC (ChABC). Control and ChABC treatment (83% GAG removal) produced similar alterations to ligament viscoelasticity. This finding was consistent at different levels of collagen fiber stretch and tissue hydration. On average, stress relaxation increased after incubation by 2.2% (control) and 2.1% (ChABC), dynamic modulus increased after incubation by 3.6% (control) and 3.8% (ChABC), and phase shift increased after incubation by 8.5% (control) and 8.4% (ChABC). The changes in viscoelastic behavior after treatment were significantly more pronounced at lower clamp-to-clamp strain levels. A 10% difference in the water content of tested specimens had minor influence on ligament viscoelastic properties. The major finding of this study is that mechanical interactions between collagen fibrils and GAGs are unrelated to tissue-level viscoelastic mechanics in mature human MCL. These findings narrow the possible number of extracellular matrix molecules that have a direct contribution to ligament viscoelasticity.","container-title":"Journal of Applied Physiology","DOI":"10.1152/japplphysiol.90748.2008","ISSN":"8750-7587","issue":"2","note":"publisher: American Physiological Society","page":"423-431","source":"journals.physiology.org (Atypon)","title":"Contribution of glycosaminoglycans to viscoelastic tensile behavior of human ligament","volume":"106","author":[{"family":"Lujan","given":"Trevor J."},{"family":"Underwood","given":"Clayton J."},{"family":"Jacobs","given":"Nathan T."},{"family":"Weiss","given":"Jeffrey A."}],"issued":{"date-parts":[["2009",2,1]]}}},{"id":1214,"uris":["http://zotero.org/users/5692498/items/IEXUSFXG"],"itemData":{"id":1214,"type":"thesis","genre":"Thesis","note":"Citation Key: RN1425","title":"The molecular and cellular differences between tendons and ligaments","URL":"https://livrepository.liverpool.ac.uk/2048079/3/AshrafkharazYal_Mar2015_2048079.pdf","author":[{"family":"Kharaz","given":"Y A"}],"issued":{"date-parts":[["2015"]]}}}],"schema":"https://github.com/citation-style-language/schema/raw/master/csl-citation.json"} </w:instrText>
      </w:r>
      <w:r w:rsidRPr="00DD15C3">
        <w:rPr>
          <w:rFonts w:cs="Times New Roman"/>
          <w:szCs w:val="24"/>
        </w:rPr>
        <w:fldChar w:fldCharType="separate"/>
      </w:r>
      <w:r w:rsidR="0097525F" w:rsidRPr="0097525F">
        <w:rPr>
          <w:rFonts w:cs="Times New Roman"/>
        </w:rPr>
        <w:t>(Lujan et al., 2009; Kharaz, 2015)</w:t>
      </w:r>
      <w:r w:rsidRPr="00DD15C3">
        <w:rPr>
          <w:rFonts w:cs="Times New Roman"/>
          <w:szCs w:val="24"/>
        </w:rPr>
        <w:fldChar w:fldCharType="end"/>
      </w:r>
      <w:r w:rsidRPr="00DD15C3">
        <w:rPr>
          <w:rFonts w:cs="Times New Roman"/>
          <w:szCs w:val="24"/>
        </w:rPr>
        <w:t xml:space="preserve">. Initially, the </w:t>
      </w:r>
      <w:r w:rsidR="005C411A">
        <w:rPr>
          <w:rFonts w:cs="Times New Roman"/>
          <w:szCs w:val="24"/>
        </w:rPr>
        <w:t>CCL</w:t>
      </w:r>
      <w:r w:rsidRPr="00DD15C3">
        <w:rPr>
          <w:rFonts w:cs="Times New Roman"/>
          <w:szCs w:val="24"/>
        </w:rPr>
        <w:t>s were left to thaw at room temperature (20°C)</w:t>
      </w:r>
      <w:r w:rsidR="000D2DE1">
        <w:rPr>
          <w:rFonts w:cs="Times New Roman"/>
          <w:szCs w:val="24"/>
        </w:rPr>
        <w:t>,</w:t>
      </w:r>
      <w:r w:rsidRPr="00DD15C3">
        <w:rPr>
          <w:rFonts w:cs="Times New Roman"/>
          <w:szCs w:val="24"/>
        </w:rPr>
        <w:t xml:space="preserve"> and wet mass was measured. Subsequently, these samples were freeze</w:t>
      </w:r>
      <w:r w:rsidR="000D2DE1">
        <w:rPr>
          <w:rFonts w:cs="Times New Roman"/>
          <w:szCs w:val="24"/>
        </w:rPr>
        <w:t>-</w:t>
      </w:r>
      <w:r w:rsidRPr="00DD15C3">
        <w:rPr>
          <w:rFonts w:cs="Times New Roman"/>
          <w:szCs w:val="24"/>
        </w:rPr>
        <w:t>dried overnight</w:t>
      </w:r>
      <w:r w:rsidR="000D2DE1">
        <w:rPr>
          <w:rFonts w:cs="Times New Roman"/>
          <w:szCs w:val="24"/>
        </w:rPr>
        <w:t>,</w:t>
      </w:r>
      <w:r w:rsidRPr="00DD15C3">
        <w:rPr>
          <w:rFonts w:cs="Times New Roman"/>
          <w:szCs w:val="24"/>
        </w:rPr>
        <w:t xml:space="preserve"> and then the dry masses of the </w:t>
      </w:r>
      <w:r w:rsidR="005C411A">
        <w:rPr>
          <w:rFonts w:cs="Times New Roman"/>
          <w:szCs w:val="24"/>
        </w:rPr>
        <w:t>CCL</w:t>
      </w:r>
      <w:r w:rsidRPr="00DD15C3">
        <w:rPr>
          <w:rFonts w:cs="Times New Roman"/>
          <w:szCs w:val="24"/>
        </w:rPr>
        <w:t xml:space="preserve">s were measured.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9"/>
        <w:gridCol w:w="2558"/>
      </w:tblGrid>
      <w:tr w:rsidR="00C375E3" w:rsidRPr="00C375E3" w14:paraId="68571B6F" w14:textId="77777777" w:rsidTr="000D4A1E">
        <w:trPr>
          <w:trHeight w:val="1168"/>
        </w:trPr>
        <w:tc>
          <w:tcPr>
            <w:tcW w:w="3692" w:type="pct"/>
            <w:vAlign w:val="center"/>
          </w:tcPr>
          <w:p w14:paraId="2508F1B6" w14:textId="1588548D" w:rsidR="00C375E3" w:rsidRPr="00985AEA" w:rsidRDefault="00985AEA" w:rsidP="00C375E3">
            <w:pPr>
              <w:rPr>
                <w:rFonts w:cs="Times New Roman"/>
                <w:b/>
                <w:bCs/>
                <w:szCs w:val="24"/>
              </w:rPr>
            </w:pPr>
            <m:oMathPara>
              <m:oMathParaPr>
                <m:jc m:val="left"/>
              </m:oMathParaPr>
              <m:oMath>
                <m:r>
                  <m:rPr>
                    <m:sty m:val="bi"/>
                  </m:rPr>
                  <w:rPr>
                    <w:rFonts w:ascii="Cambria Math" w:hAnsi="Cambria Math" w:cs="Times New Roman"/>
                    <w:szCs w:val="24"/>
                  </w:rPr>
                  <m:t>Water</m:t>
                </m:r>
                <m:r>
                  <m:rPr>
                    <m:sty m:val="b"/>
                  </m:rPr>
                  <w:rPr>
                    <w:rFonts w:ascii="Cambria Math" w:hAnsi="Cambria Math" w:cs="Times New Roman"/>
                    <w:szCs w:val="24"/>
                  </w:rPr>
                  <m:t xml:space="preserve"> </m:t>
                </m:r>
                <m:r>
                  <m:rPr>
                    <m:sty m:val="bi"/>
                  </m:rPr>
                  <w:rPr>
                    <w:rFonts w:ascii="Cambria Math" w:hAnsi="Cambria Math" w:cs="Times New Roman"/>
                    <w:szCs w:val="24"/>
                  </w:rPr>
                  <m:t>Content</m:t>
                </m:r>
                <m:r>
                  <m:rPr>
                    <m:sty m:val="b"/>
                  </m:rPr>
                  <w:rPr>
                    <w:rFonts w:ascii="Cambria Math" w:hAnsi="Cambria Math" w:cs="Times New Roman"/>
                    <w:szCs w:val="24"/>
                  </w:rPr>
                  <m:t xml:space="preserve"> </m:t>
                </m:r>
                <m:d>
                  <m:dPr>
                    <m:ctrlPr>
                      <w:rPr>
                        <w:rFonts w:ascii="Cambria Math" w:hAnsi="Cambria Math" w:cs="Times New Roman"/>
                        <w:b/>
                        <w:bCs/>
                        <w:szCs w:val="24"/>
                      </w:rPr>
                    </m:ctrlPr>
                  </m:dPr>
                  <m:e>
                    <m:r>
                      <m:rPr>
                        <m:sty m:val="b"/>
                      </m:rPr>
                      <w:rPr>
                        <w:rFonts w:ascii="Cambria Math" w:hAnsi="Cambria Math" w:cs="Times New Roman"/>
                        <w:szCs w:val="24"/>
                      </w:rPr>
                      <m:t>%</m:t>
                    </m:r>
                  </m:e>
                </m:d>
                <m:r>
                  <m:rPr>
                    <m:sty m:val="b"/>
                  </m:rPr>
                  <w:rPr>
                    <w:rFonts w:ascii="Cambria Math" w:hAnsi="Cambria Math" w:cs="Times New Roman"/>
                    <w:szCs w:val="24"/>
                  </w:rPr>
                  <m:t xml:space="preserve">= </m:t>
                </m:r>
                <m:f>
                  <m:fPr>
                    <m:ctrlPr>
                      <w:rPr>
                        <w:rFonts w:ascii="Cambria Math" w:hAnsi="Cambria Math" w:cs="Times New Roman"/>
                        <w:b/>
                        <w:bCs/>
                        <w:szCs w:val="24"/>
                      </w:rPr>
                    </m:ctrlPr>
                  </m:fPr>
                  <m:num>
                    <m:r>
                      <m:rPr>
                        <m:sty m:val="bi"/>
                      </m:rPr>
                      <w:rPr>
                        <w:rFonts w:ascii="Cambria Math" w:hAnsi="Cambria Math" w:cs="Times New Roman"/>
                        <w:szCs w:val="24"/>
                      </w:rPr>
                      <m:t>Wet</m:t>
                    </m:r>
                    <m:r>
                      <m:rPr>
                        <m:sty m:val="b"/>
                      </m:rPr>
                      <w:rPr>
                        <w:rFonts w:ascii="Cambria Math" w:hAnsi="Cambria Math" w:cs="Times New Roman"/>
                        <w:szCs w:val="24"/>
                      </w:rPr>
                      <m:t xml:space="preserve"> </m:t>
                    </m:r>
                    <m:r>
                      <m:rPr>
                        <m:sty m:val="bi"/>
                      </m:rPr>
                      <w:rPr>
                        <w:rFonts w:ascii="Cambria Math" w:hAnsi="Cambria Math" w:cs="Times New Roman"/>
                        <w:szCs w:val="24"/>
                      </w:rPr>
                      <m:t>mass</m:t>
                    </m:r>
                    <m:r>
                      <m:rPr>
                        <m:sty m:val="b"/>
                      </m:rPr>
                      <w:rPr>
                        <w:rFonts w:ascii="Cambria Math" w:hAnsi="Cambria Math" w:cs="Times New Roman"/>
                        <w:szCs w:val="24"/>
                      </w:rPr>
                      <m:t>-</m:t>
                    </m:r>
                    <m:r>
                      <m:rPr>
                        <m:sty m:val="bi"/>
                      </m:rPr>
                      <w:rPr>
                        <w:rFonts w:ascii="Cambria Math" w:hAnsi="Cambria Math" w:cs="Times New Roman"/>
                        <w:szCs w:val="24"/>
                      </w:rPr>
                      <m:t>Dry</m:t>
                    </m:r>
                    <m:r>
                      <m:rPr>
                        <m:sty m:val="b"/>
                      </m:rPr>
                      <w:rPr>
                        <w:rFonts w:ascii="Cambria Math" w:hAnsi="Cambria Math" w:cs="Times New Roman"/>
                        <w:szCs w:val="24"/>
                      </w:rPr>
                      <m:t xml:space="preserve"> </m:t>
                    </m:r>
                    <m:r>
                      <m:rPr>
                        <m:sty m:val="bi"/>
                      </m:rPr>
                      <w:rPr>
                        <w:rFonts w:ascii="Cambria Math" w:hAnsi="Cambria Math" w:cs="Times New Roman"/>
                        <w:szCs w:val="24"/>
                      </w:rPr>
                      <m:t>mass</m:t>
                    </m:r>
                  </m:num>
                  <m:den>
                    <m:r>
                      <m:rPr>
                        <m:sty m:val="bi"/>
                      </m:rPr>
                      <w:rPr>
                        <w:rFonts w:ascii="Cambria Math" w:hAnsi="Cambria Math" w:cs="Times New Roman"/>
                        <w:szCs w:val="24"/>
                      </w:rPr>
                      <m:t>Wet</m:t>
                    </m:r>
                    <m:r>
                      <m:rPr>
                        <m:sty m:val="b"/>
                      </m:rPr>
                      <w:rPr>
                        <w:rFonts w:ascii="Cambria Math" w:hAnsi="Cambria Math" w:cs="Times New Roman"/>
                        <w:szCs w:val="24"/>
                      </w:rPr>
                      <m:t xml:space="preserve"> </m:t>
                    </m:r>
                    <m:r>
                      <m:rPr>
                        <m:sty m:val="bi"/>
                      </m:rPr>
                      <w:rPr>
                        <w:rFonts w:ascii="Cambria Math" w:hAnsi="Cambria Math" w:cs="Times New Roman"/>
                        <w:szCs w:val="24"/>
                      </w:rPr>
                      <m:t>mass</m:t>
                    </m:r>
                  </m:den>
                </m:f>
                <m:r>
                  <m:rPr>
                    <m:sty m:val="b"/>
                  </m:rPr>
                  <w:rPr>
                    <w:rFonts w:ascii="Cambria Math" w:hAnsi="Cambria Math" w:cs="Times New Roman"/>
                    <w:szCs w:val="24"/>
                  </w:rPr>
                  <m:t>×100</m:t>
                </m:r>
              </m:oMath>
            </m:oMathPara>
          </w:p>
        </w:tc>
        <w:tc>
          <w:tcPr>
            <w:tcW w:w="1308" w:type="pct"/>
            <w:vAlign w:val="center"/>
          </w:tcPr>
          <w:p w14:paraId="632D9FC4" w14:textId="77777777" w:rsidR="00C375E3" w:rsidRPr="00DD15C3" w:rsidRDefault="00C375E3" w:rsidP="005F6831">
            <w:pPr>
              <w:jc w:val="right"/>
              <w:rPr>
                <w:rFonts w:cs="Times New Roman"/>
                <w:szCs w:val="24"/>
              </w:rPr>
            </w:pPr>
            <w:r w:rsidRPr="00DD15C3">
              <w:rPr>
                <w:rFonts w:cs="Times New Roman"/>
                <w:szCs w:val="24"/>
              </w:rPr>
              <w:t>Equation 1</w:t>
            </w:r>
          </w:p>
        </w:tc>
      </w:tr>
    </w:tbl>
    <w:p w14:paraId="3AA8E0B3" w14:textId="77777777" w:rsidR="00C375E3" w:rsidRPr="00DD15C3" w:rsidRDefault="00C375E3" w:rsidP="00B62277">
      <w:pPr>
        <w:pStyle w:val="Heading2"/>
      </w:pPr>
      <w:r w:rsidRPr="00DD15C3">
        <w:t>Viscoelastic data analysis</w:t>
      </w:r>
    </w:p>
    <w:p w14:paraId="36E1004A" w14:textId="5C99E9B7" w:rsidR="00C375E3" w:rsidRPr="00DD15C3" w:rsidRDefault="00C375E3" w:rsidP="00C375E3">
      <w:pPr>
        <w:rPr>
          <w:rFonts w:cs="Times New Roman"/>
          <w:szCs w:val="24"/>
        </w:rPr>
      </w:pPr>
      <w:bookmarkStart w:id="7" w:name="_Hlk55043473"/>
      <w:r w:rsidRPr="00DD15C3">
        <w:rPr>
          <w:rFonts w:cs="Times New Roman"/>
          <w:szCs w:val="24"/>
        </w:rPr>
        <w:t>Analyses of the load-deformation data were performed using MATLAB (MATLAB R2020</w:t>
      </w:r>
      <w:r w:rsidR="00BD0F6D">
        <w:rPr>
          <w:rFonts w:cs="Times New Roman"/>
          <w:szCs w:val="24"/>
        </w:rPr>
        <w:t>b</w:t>
      </w:r>
      <w:r w:rsidRPr="00DD15C3">
        <w:rPr>
          <w:rFonts w:cs="Times New Roman"/>
          <w:szCs w:val="24"/>
        </w:rPr>
        <w:t>)</w:t>
      </w:r>
      <w:r w:rsidR="006C4DDA">
        <w:rPr>
          <w:rFonts w:cs="Times New Roman"/>
          <w:szCs w:val="24"/>
        </w:rPr>
        <w:t xml:space="preserve">, and </w:t>
      </w:r>
      <w:r w:rsidR="00FE5D23">
        <w:rPr>
          <w:rFonts w:cs="Times New Roman"/>
          <w:szCs w:val="24"/>
        </w:rPr>
        <w:t xml:space="preserve">the </w:t>
      </w:r>
      <w:r w:rsidR="006C4DDA">
        <w:rPr>
          <w:rFonts w:cs="Times New Roman"/>
          <w:szCs w:val="24"/>
        </w:rPr>
        <w:t xml:space="preserve">mean and standard deviation of the </w:t>
      </w:r>
      <w:r w:rsidR="00BD0F6D">
        <w:rPr>
          <w:rFonts w:cs="Times New Roman"/>
          <w:szCs w:val="24"/>
        </w:rPr>
        <w:t xml:space="preserve">analysed </w:t>
      </w:r>
      <w:r w:rsidR="006C4DDA">
        <w:rPr>
          <w:rFonts w:cs="Times New Roman"/>
          <w:szCs w:val="24"/>
        </w:rPr>
        <w:t>data were reported.</w:t>
      </w:r>
      <w:r w:rsidRPr="00DD15C3">
        <w:rPr>
          <w:rFonts w:cs="Times New Roman"/>
          <w:szCs w:val="24"/>
        </w:rPr>
        <w:t xml:space="preserve"> </w:t>
      </w:r>
      <w:bookmarkEnd w:id="7"/>
      <w:r w:rsidRPr="00DD15C3">
        <w:rPr>
          <w:rFonts w:cs="Times New Roman"/>
          <w:szCs w:val="24"/>
        </w:rPr>
        <w:t xml:space="preserve">Equations 2 and 3 were used to calculate engineering stress and strain values </w:t>
      </w:r>
      <w:r w:rsidRPr="00DD15C3">
        <w:rPr>
          <w:rFonts w:cs="Times New Roman"/>
          <w:szCs w:val="24"/>
        </w:rPr>
        <w:fldChar w:fldCharType="begin" w:fldLock="1"/>
      </w:r>
      <w:r w:rsidR="008D4B27">
        <w:rPr>
          <w:rFonts w:cs="Times New Roman"/>
          <w:szCs w:val="24"/>
        </w:rPr>
        <w:instrText xml:space="preserve"> ADDIN ZOTERO_ITEM CSL_CITATION {"citationID":"R9Gthm7s","properties":{"formattedCitation":"(Haut and Little, 1969; Woo et al., 1981)","plainCitation":"(Haut and Little, 1969; Woo et al., 1981)","noteIndex":0},"citationItems":[{"id":"hIRZaDaU/mtzWGjFp","uris":["http://www.mendeley.com/documents/?uuid=2d9e4182-df4a-42e8-a272-7b54c5817fea"],"itemData":{"DOI":"Doi 10.1016/0021-9290(69)90085-2","ISSN":"0021-9290","author":[{"dropping-particle":"","family":"Haut","given":"R C","non-dropping-particle":"","parse-names":false,"suffix":""},{"dropping-particle":"","family":"Little","given":"R W","non-dropping-particle":"","parse-names":false,"suffix":""}],"container-title":"Journal of Biomechanics","id":"ITEM-1","issue":"3","issued":{"date-parts":[["1969"]]},"page":"289-298","title":"Rheological properties of canine anterior cruciate ligaments","type":"article-journal","volume":"2"}},{"id":"hIRZaDaU/lfr0dKeT","uris":["http://www.mendeley.com/documents/?uuid=e6598a76-c697-4e60-8a2e-806a2ca9f8cd"],"itemData":{"ISSN":"0148-0731 (Print) 0148-0731 (Linking)","author":[{"dropping-particle":"","family":"Woo","given":"S L Y","non-dropping-particle":"","parse-names":false,"suffix":""},{"dropping-particle":"","family":"Gomez","given":"M A","non-dropping-particle":"","parse-names":false,"suffix":""},{"dropping-particle":"","family":"Akeson","given":"W H","non-dropping-particle":"","parse-names":false,"suffix":""}],"container-title":"Journal of Biomechanical Engineering","id":"ITEM-2","issue":"4","issued":{"date-parts":[["1981"]]},"page":"293-298","title":"The time and history-dependent viscoelastic properties of the canine medical collateral ligament","type":"article-journal","volume":"103"}}],"schema":"https://github.com/citation-style-language/schema/raw/master/csl-citation.json"} </w:instrText>
      </w:r>
      <w:r w:rsidRPr="00DD15C3">
        <w:rPr>
          <w:rFonts w:cs="Times New Roman"/>
          <w:szCs w:val="24"/>
        </w:rPr>
        <w:fldChar w:fldCharType="separate"/>
      </w:r>
      <w:r w:rsidR="0097525F" w:rsidRPr="0097525F">
        <w:rPr>
          <w:rFonts w:cs="Times New Roman"/>
        </w:rPr>
        <w:t>(Haut and Little, 1969; Woo et al., 1981)</w:t>
      </w:r>
      <w:r w:rsidRPr="00DD15C3">
        <w:rPr>
          <w:rFonts w:cs="Times New Roman"/>
          <w:szCs w:val="24"/>
        </w:rPr>
        <w:fldChar w:fldCharType="end"/>
      </w:r>
      <w:r w:rsidRPr="00DD15C3">
        <w:rPr>
          <w:rFonts w:cs="Times New Roman"/>
          <w:szCs w:val="24"/>
        </w:rPr>
        <w:t xml:space="preserve">. Subsequently, </w:t>
      </w:r>
      <w:r w:rsidR="005B5FEE">
        <w:rPr>
          <w:rFonts w:cs="Times New Roman"/>
          <w:szCs w:val="24"/>
        </w:rPr>
        <w:t xml:space="preserve">the </w:t>
      </w:r>
      <w:r w:rsidR="003D4D79">
        <w:rPr>
          <w:rFonts w:cs="Times New Roman"/>
          <w:szCs w:val="24"/>
        </w:rPr>
        <w:t>secant</w:t>
      </w:r>
      <w:r w:rsidRPr="00DD15C3">
        <w:rPr>
          <w:rFonts w:cs="Times New Roman"/>
          <w:szCs w:val="24"/>
        </w:rPr>
        <w:t xml:space="preserve"> </w:t>
      </w:r>
      <w:r w:rsidR="00351814" w:rsidRPr="00351814">
        <w:rPr>
          <w:rFonts w:cs="Times New Roman"/>
          <w:szCs w:val="24"/>
        </w:rPr>
        <w:t xml:space="preserve">modulus for the maximum applied stress </w:t>
      </w:r>
      <w:r w:rsidRPr="00DD15C3">
        <w:rPr>
          <w:rFonts w:cs="Times New Roman"/>
          <w:szCs w:val="24"/>
        </w:rPr>
        <w:t xml:space="preserve">describing </w:t>
      </w:r>
      <w:r w:rsidR="000D2DE1">
        <w:rPr>
          <w:rFonts w:cs="Times New Roman"/>
          <w:szCs w:val="24"/>
        </w:rPr>
        <w:t xml:space="preserve">the </w:t>
      </w:r>
      <w:r w:rsidRPr="00DD15C3">
        <w:rPr>
          <w:rFonts w:cs="Times New Roman"/>
          <w:szCs w:val="24"/>
        </w:rPr>
        <w:t xml:space="preserve">stiffness of the </w:t>
      </w:r>
      <w:r w:rsidR="005C411A">
        <w:rPr>
          <w:rFonts w:cs="Times New Roman"/>
          <w:szCs w:val="24"/>
        </w:rPr>
        <w:t>CCL</w:t>
      </w:r>
      <w:r>
        <w:rPr>
          <w:rFonts w:cs="Times New Roman"/>
          <w:szCs w:val="24"/>
        </w:rPr>
        <w:t>s</w:t>
      </w:r>
      <w:r w:rsidRPr="00DD15C3">
        <w:rPr>
          <w:rFonts w:cs="Times New Roman"/>
          <w:szCs w:val="24"/>
        </w:rPr>
        <w:t xml:space="preserve"> w</w:t>
      </w:r>
      <w:r w:rsidR="005B5FEE">
        <w:rPr>
          <w:rFonts w:cs="Times New Roman"/>
          <w:szCs w:val="24"/>
        </w:rPr>
        <w:t>as</w:t>
      </w:r>
      <w:r w:rsidRPr="00DD15C3">
        <w:rPr>
          <w:rFonts w:cs="Times New Roman"/>
          <w:szCs w:val="24"/>
        </w:rPr>
        <w:t xml:space="preserve"> determined (Equation 4). </w:t>
      </w:r>
      <w:bookmarkStart w:id="8" w:name="_Hlk54555929"/>
      <w:r w:rsidRPr="00DD15C3">
        <w:rPr>
          <w:rFonts w:cs="Times New Roman"/>
          <w:szCs w:val="24"/>
        </w:rPr>
        <w:t xml:space="preserve">Numerical integration (using the trapezoidal rule) of the load-unload stress-strain curves was used to estimate the stored energy in the ligaments (Equation 5). The hysteresis (dissipated energy) was then calculated from the difference between the stored energy during loading and unloading cycles </w:t>
      </w:r>
      <w:r w:rsidRPr="00DD15C3">
        <w:rPr>
          <w:rFonts w:cs="Times New Roman"/>
          <w:szCs w:val="24"/>
        </w:rPr>
        <w:fldChar w:fldCharType="begin" w:fldLock="1"/>
      </w:r>
      <w:r w:rsidR="008D4B27">
        <w:rPr>
          <w:rFonts w:cs="Times New Roman"/>
          <w:szCs w:val="24"/>
        </w:rPr>
        <w:instrText xml:space="preserve"> ADDIN ZOTERO_ITEM CSL_CITATION {"citationID":"sYjz0SjV","properties":{"formattedCitation":"(Elsheikh et al., 2008)","plainCitation":"(Elsheikh et al., 2008)","noteIndex":0},"citationItems":[{"id":"hIRZaDaU/5m2BDSyB","uris":["http://www.mendeley.com/documents/?uuid=5e5a1fd2-af7b-46c8-9a73-7651d34265c0"],"itemData":{"DOI":"10.1080/02713680701882519","ISSN":"0271-3683 (Print) 0271-3683 (Linking)","author":[{"dropping-particle":"","family":"Elsheikh","given":"A","non-dropping-particle":"","parse-names":false,"suffix":""},{"dropping-particle":"","family":"Wang","given":"D","non-dropping-particle":"","parse-names":false,"suffix":""},{"dropping-particle":"","family":"Rama","given":"P","non-dropping-particle":"","parse-names":false,"suffix":""},{"dropping-particle":"","family":"Campanelli","given":"M","non-dropping-particle":"","parse-names":false,"suffix":""},{"dropping-particle":"","family":"Garway-Heath","given":"D","non-dropping-particle":"","parse-names":false,"suffix":""}],"container-title":"Current Eye Research","id":"ITEM-1","issue":"3","issued":{"date-parts":[["2008"]]},"page":"205-213","title":"Experimental assessment of human corneal hysteresis","type":"article-journal","volume":"33"}}],"schema":"https://github.com/citation-style-language/schema/raw/master/csl-citation.json"} </w:instrText>
      </w:r>
      <w:r w:rsidRPr="00DD15C3">
        <w:rPr>
          <w:rFonts w:cs="Times New Roman"/>
          <w:szCs w:val="24"/>
        </w:rPr>
        <w:fldChar w:fldCharType="separate"/>
      </w:r>
      <w:r w:rsidR="0097525F" w:rsidRPr="0097525F">
        <w:rPr>
          <w:rFonts w:cs="Times New Roman"/>
        </w:rPr>
        <w:t>(Elsheikh et al., 2008)</w:t>
      </w:r>
      <w:r w:rsidRPr="00DD15C3">
        <w:rPr>
          <w:rFonts w:cs="Times New Roman"/>
          <w:szCs w:val="24"/>
        </w:rPr>
        <w:fldChar w:fldCharType="end"/>
      </w:r>
      <w:r w:rsidRPr="00DD15C3">
        <w:rPr>
          <w:rFonts w:cs="Times New Roman"/>
          <w:szCs w:val="24"/>
        </w:rPr>
        <w:t xml:space="preserve"> </w:t>
      </w:r>
      <w:bookmarkEnd w:id="8"/>
      <w:r w:rsidRPr="00DD15C3">
        <w:rPr>
          <w:rFonts w:cs="Times New Roman"/>
          <w:szCs w:val="24"/>
        </w:rPr>
        <w:t>(Equation 6). Creep behaviour was determined from the strain-time curves</w:t>
      </w:r>
      <w:r w:rsidR="003D4D79">
        <w:rPr>
          <w:rFonts w:cs="Times New Roman"/>
          <w:szCs w:val="24"/>
        </w:rPr>
        <w:t xml:space="preserve"> and creep compliance function (Equation 7). T</w:t>
      </w:r>
      <w:r w:rsidRPr="00DD15C3">
        <w:rPr>
          <w:rFonts w:cs="Times New Roman"/>
          <w:szCs w:val="24"/>
        </w:rPr>
        <w:t xml:space="preserve">he </w:t>
      </w:r>
      <w:r>
        <w:rPr>
          <w:rFonts w:cs="Times New Roman"/>
          <w:szCs w:val="24"/>
        </w:rPr>
        <w:t>stress</w:t>
      </w:r>
      <w:r w:rsidR="00515404">
        <w:rPr>
          <w:rFonts w:cs="Times New Roman"/>
          <w:szCs w:val="24"/>
        </w:rPr>
        <w:t xml:space="preserve"> </w:t>
      </w:r>
      <w:r>
        <w:rPr>
          <w:rFonts w:cs="Times New Roman"/>
          <w:szCs w:val="24"/>
        </w:rPr>
        <w:t>relaxation</w:t>
      </w:r>
      <w:r w:rsidRPr="00DD15C3">
        <w:rPr>
          <w:rFonts w:cs="Times New Roman"/>
          <w:szCs w:val="24"/>
        </w:rPr>
        <w:t xml:space="preserve"> behaviour was determined from the stress-time curves</w:t>
      </w:r>
      <w:r w:rsidR="003D4D79">
        <w:rPr>
          <w:rFonts w:cs="Times New Roman"/>
          <w:szCs w:val="24"/>
        </w:rPr>
        <w:t xml:space="preserve"> and stress relaxation modulus (Equation 8)</w:t>
      </w:r>
      <w:r w:rsidRPr="00DD15C3">
        <w:rPr>
          <w:rFonts w:cs="Times New Roman"/>
          <w:szCs w:val="24"/>
        </w:rPr>
        <w:t>.</w:t>
      </w:r>
      <w:r w:rsidR="000D2DE1">
        <w:rPr>
          <w:rFonts w:cs="Times New Roman"/>
          <w:szCs w:val="24"/>
        </w:rPr>
        <w:t xml:space="preserve"> S</w:t>
      </w:r>
      <w:r w:rsidRPr="00DD15C3">
        <w:rPr>
          <w:rFonts w:cs="Times New Roman"/>
          <w:szCs w:val="24"/>
        </w:rPr>
        <w:t>tress values were normalised by the peak stress at the test start time (t=0)</w:t>
      </w:r>
      <w:r w:rsidR="000D2DE1">
        <w:rPr>
          <w:rFonts w:cs="Times New Roman"/>
          <w:szCs w:val="24"/>
        </w:rPr>
        <w:t>,</w:t>
      </w:r>
      <w:r w:rsidRPr="00DD15C3">
        <w:rPr>
          <w:rFonts w:cs="Times New Roman"/>
          <w:szCs w:val="24"/>
        </w:rPr>
        <w:t xml:space="preserve"> </w:t>
      </w:r>
      <w:r w:rsidR="000D2DE1">
        <w:rPr>
          <w:rFonts w:cs="Times New Roman"/>
          <w:szCs w:val="24"/>
        </w:rPr>
        <w:t>allowing the comparison of</w:t>
      </w:r>
      <w:r w:rsidR="000D2DE1" w:rsidRPr="00DD15C3">
        <w:rPr>
          <w:rFonts w:cs="Times New Roman"/>
          <w:szCs w:val="24"/>
        </w:rPr>
        <w:t xml:space="preserve"> relaxation behaviour across ligaments </w:t>
      </w:r>
      <w:r w:rsidRPr="00DD15C3">
        <w:rPr>
          <w:rFonts w:cs="Times New Roman"/>
          <w:szCs w:val="24"/>
        </w:rPr>
        <w:fldChar w:fldCharType="begin"/>
      </w:r>
      <w:r w:rsidR="008D4B27">
        <w:rPr>
          <w:rFonts w:cs="Times New Roman"/>
          <w:szCs w:val="24"/>
        </w:rPr>
        <w:instrText xml:space="preserve"> ADDIN ZOTERO_ITEM CSL_CITATION {"citationID":"2RiRCegs","properties":{"formattedCitation":"(Fung, 1993)","plainCitation":"(Fung, 1993)","noteIndex":0},"citationItems":[{"id":"hIRZaDaU/5TFt9WQH","uris":["http://www.mendeley.com/documents/?uuid=44ab90db-ef4a-4fd7-9189-8f508261f265"],"itemData":{"ISBN":"0387979476 (New York acid-free paper) 3540979476 (Berlin acid-free paper)","author":[{"dropping-particle":"","family":"Fung","given":"Y C","non-dropping-particle":"","parse-names":false,"suffix":""}],"edition":"2nd","id":"BRCsphJJ/5LzCYQmS","issued":{"date-parts":[["1993"]]},"publisher":"Springer","publisher-place":"New York","title":"Biomechanics: Mechanical properties of living tissues","type":"book"}}],"schema":"https://github.com/citation-style-language/schema/raw/master/csl-citation.json"} </w:instrText>
      </w:r>
      <w:r w:rsidRPr="00DD15C3">
        <w:rPr>
          <w:rFonts w:cs="Times New Roman"/>
          <w:szCs w:val="24"/>
        </w:rPr>
        <w:fldChar w:fldCharType="separate"/>
      </w:r>
      <w:r w:rsidR="0097525F" w:rsidRPr="0097525F">
        <w:rPr>
          <w:rFonts w:cs="Times New Roman"/>
        </w:rPr>
        <w:t>(Fung, 1993)</w:t>
      </w:r>
      <w:r w:rsidRPr="00DD15C3">
        <w:rPr>
          <w:rFonts w:cs="Times New Roman"/>
          <w:szCs w:val="24"/>
        </w:rPr>
        <w:fldChar w:fldCharType="end"/>
      </w:r>
      <w:r w:rsidRPr="00DD15C3">
        <w:rPr>
          <w:rFonts w:cs="Times New Roman"/>
          <w:szCs w:val="24"/>
        </w:rPr>
        <w:t xml:space="preserve">. </w:t>
      </w:r>
      <w:bookmarkStart w:id="9" w:name="_Hlk114324409"/>
      <w:r w:rsidR="00013704">
        <w:rPr>
          <w:rFonts w:cs="Times New Roman"/>
          <w:szCs w:val="24"/>
        </w:rPr>
        <w:t>The s</w:t>
      </w:r>
      <w:r w:rsidR="00F3066C">
        <w:rPr>
          <w:rFonts w:cs="Times New Roman"/>
          <w:szCs w:val="24"/>
        </w:rPr>
        <w:t xml:space="preserve">tress relaxation rate was calculated at 15 minutes. </w:t>
      </w:r>
      <w:bookmarkEnd w:id="9"/>
    </w:p>
    <w:p w14:paraId="70D4E122" w14:textId="77777777" w:rsidR="00C375E3" w:rsidRPr="00DD15C3" w:rsidRDefault="00C375E3" w:rsidP="00C375E3">
      <w:pPr>
        <w:rPr>
          <w:rFonts w:cs="Times New Roman"/>
          <w:szCs w:val="24"/>
        </w:rPr>
      </w:pPr>
    </w:p>
    <w:tbl>
      <w:tblPr>
        <w:tblW w:w="5000" w:type="pct"/>
        <w:tblLook w:val="04A0" w:firstRow="1" w:lastRow="0" w:firstColumn="1" w:lastColumn="0" w:noHBand="0" w:noVBand="1"/>
      </w:tblPr>
      <w:tblGrid>
        <w:gridCol w:w="8095"/>
        <w:gridCol w:w="47"/>
        <w:gridCol w:w="1635"/>
      </w:tblGrid>
      <w:tr w:rsidR="00C375E3" w:rsidRPr="00C375E3" w14:paraId="4CE60CC7" w14:textId="77777777" w:rsidTr="0084784B">
        <w:trPr>
          <w:trHeight w:val="841"/>
        </w:trPr>
        <w:tc>
          <w:tcPr>
            <w:tcW w:w="4164" w:type="pct"/>
            <w:gridSpan w:val="2"/>
            <w:vAlign w:val="center"/>
          </w:tcPr>
          <w:p w14:paraId="31CDD5C8" w14:textId="6D5588FD" w:rsidR="00C375E3" w:rsidRPr="00985AEA" w:rsidRDefault="00985AEA" w:rsidP="00C375E3">
            <w:pPr>
              <w:rPr>
                <w:rFonts w:cs="Times New Roman"/>
                <w:b/>
                <w:bCs/>
                <w:szCs w:val="24"/>
              </w:rPr>
            </w:pPr>
            <m:oMathPara>
              <m:oMathParaPr>
                <m:jc m:val="left"/>
              </m:oMathParaPr>
              <m:oMath>
                <m:r>
                  <m:rPr>
                    <m:sty m:val="bi"/>
                  </m:rPr>
                  <w:rPr>
                    <w:rFonts w:ascii="Cambria Math" w:hAnsi="Cambria Math" w:cs="Times New Roman"/>
                    <w:szCs w:val="24"/>
                  </w:rPr>
                  <m:t>σ</m:t>
                </m:r>
                <m:r>
                  <m:rPr>
                    <m:sty m:val="b"/>
                  </m:rPr>
                  <w:rPr>
                    <w:rFonts w:ascii="Cambria Math" w:hAnsi="Cambria Math" w:cs="Times New Roman"/>
                    <w:szCs w:val="24"/>
                  </w:rPr>
                  <m:t xml:space="preserve">= </m:t>
                </m:r>
                <m:f>
                  <m:fPr>
                    <m:ctrlPr>
                      <w:rPr>
                        <w:rFonts w:ascii="Cambria Math" w:hAnsi="Cambria Math" w:cs="Times New Roman"/>
                        <w:b/>
                        <w:bCs/>
                        <w:szCs w:val="24"/>
                      </w:rPr>
                    </m:ctrlPr>
                  </m:fPr>
                  <m:num>
                    <m:r>
                      <m:rPr>
                        <m:sty m:val="bi"/>
                      </m:rPr>
                      <w:rPr>
                        <w:rFonts w:ascii="Cambria Math" w:hAnsi="Cambria Math" w:cs="Times New Roman"/>
                        <w:szCs w:val="24"/>
                      </w:rPr>
                      <m:t>F</m:t>
                    </m:r>
                  </m:num>
                  <m:den>
                    <m:r>
                      <m:rPr>
                        <m:sty m:val="bi"/>
                      </m:rPr>
                      <w:rPr>
                        <w:rFonts w:ascii="Cambria Math" w:hAnsi="Cambria Math" w:cs="Times New Roman"/>
                        <w:szCs w:val="24"/>
                      </w:rPr>
                      <m:t>CSA</m:t>
                    </m:r>
                  </m:den>
                </m:f>
              </m:oMath>
            </m:oMathPara>
          </w:p>
        </w:tc>
        <w:tc>
          <w:tcPr>
            <w:tcW w:w="836" w:type="pct"/>
            <w:vAlign w:val="center"/>
          </w:tcPr>
          <w:p w14:paraId="408F1A05" w14:textId="77777777" w:rsidR="00C375E3" w:rsidRPr="00C375E3" w:rsidRDefault="00C375E3" w:rsidP="005F6831">
            <w:pPr>
              <w:jc w:val="right"/>
              <w:rPr>
                <w:rFonts w:cs="Times New Roman"/>
                <w:szCs w:val="24"/>
              </w:rPr>
            </w:pPr>
            <w:r w:rsidRPr="00DD15C3">
              <w:rPr>
                <w:rFonts w:cs="Times New Roman"/>
                <w:szCs w:val="24"/>
              </w:rPr>
              <w:t>Equation 2</w:t>
            </w:r>
          </w:p>
        </w:tc>
      </w:tr>
      <w:tr w:rsidR="00C375E3" w:rsidRPr="00C375E3" w14:paraId="7D86F023" w14:textId="77777777" w:rsidTr="0084784B">
        <w:trPr>
          <w:trHeight w:val="149"/>
        </w:trPr>
        <w:tc>
          <w:tcPr>
            <w:tcW w:w="5000" w:type="pct"/>
            <w:gridSpan w:val="3"/>
            <w:vAlign w:val="center"/>
          </w:tcPr>
          <w:p w14:paraId="30851BC4" w14:textId="38C40E6D" w:rsidR="00C375E3" w:rsidRPr="00DD15C3" w:rsidRDefault="00C375E3" w:rsidP="00C375E3">
            <w:pPr>
              <w:rPr>
                <w:rFonts w:cs="Times New Roman"/>
                <w:szCs w:val="24"/>
              </w:rPr>
            </w:pPr>
            <w:r w:rsidRPr="00DD15C3">
              <w:rPr>
                <w:rFonts w:cs="Times New Roman"/>
                <w:szCs w:val="24"/>
              </w:rPr>
              <w:t xml:space="preserve">where </w:t>
            </w:r>
            <m:oMath>
              <m:r>
                <w:rPr>
                  <w:rFonts w:ascii="Cambria Math" w:hAnsi="Cambria Math" w:cs="Times New Roman"/>
                  <w:szCs w:val="24"/>
                </w:rPr>
                <m:t>σ</m:t>
              </m:r>
            </m:oMath>
            <w:r w:rsidRPr="00DD15C3">
              <w:rPr>
                <w:rFonts w:cs="Times New Roman"/>
                <w:szCs w:val="24"/>
              </w:rPr>
              <w:t xml:space="preserve"> is stress in MPa, </w:t>
            </w:r>
            <m:oMath>
              <m:r>
                <w:rPr>
                  <w:rFonts w:ascii="Cambria Math" w:hAnsi="Cambria Math" w:cs="Times New Roman"/>
                  <w:szCs w:val="24"/>
                </w:rPr>
                <m:t>F</m:t>
              </m:r>
            </m:oMath>
            <w:r w:rsidRPr="00DD15C3">
              <w:rPr>
                <w:rFonts w:cs="Times New Roman"/>
                <w:szCs w:val="24"/>
              </w:rPr>
              <w:t xml:space="preserve"> is applied load in N</w:t>
            </w:r>
            <w:r w:rsidR="000D2DE1">
              <w:rPr>
                <w:rFonts w:cs="Times New Roman"/>
                <w:szCs w:val="24"/>
              </w:rPr>
              <w:t>,</w:t>
            </w:r>
            <w:r w:rsidRPr="00DD15C3">
              <w:rPr>
                <w:rFonts w:cs="Times New Roman"/>
                <w:szCs w:val="24"/>
              </w:rPr>
              <w:t xml:space="preserve"> and </w:t>
            </w:r>
            <m:oMath>
              <m:r>
                <w:rPr>
                  <w:rFonts w:ascii="Cambria Math" w:hAnsi="Cambria Math" w:cs="Times New Roman"/>
                  <w:szCs w:val="24"/>
                </w:rPr>
                <m:t>CSA</m:t>
              </m:r>
            </m:oMath>
            <w:r w:rsidRPr="00DD15C3">
              <w:rPr>
                <w:rFonts w:cs="Times New Roman"/>
                <w:szCs w:val="24"/>
              </w:rPr>
              <w:t xml:space="preserve"> is </w:t>
            </w:r>
            <w:r w:rsidR="000D2DE1">
              <w:rPr>
                <w:rFonts w:cs="Times New Roman"/>
                <w:szCs w:val="24"/>
              </w:rPr>
              <w:t xml:space="preserve">the </w:t>
            </w:r>
            <w:r w:rsidRPr="00DD15C3">
              <w:rPr>
                <w:rFonts w:cs="Times New Roman"/>
                <w:szCs w:val="24"/>
              </w:rPr>
              <w:t xml:space="preserve">cross-sectional area at the middle of the </w:t>
            </w:r>
            <w:r w:rsidR="005C411A">
              <w:rPr>
                <w:rFonts w:cs="Times New Roman"/>
                <w:szCs w:val="24"/>
              </w:rPr>
              <w:t>CCL</w:t>
            </w:r>
            <w:r w:rsidRPr="00DD15C3">
              <w:rPr>
                <w:rFonts w:cs="Times New Roman"/>
                <w:szCs w:val="24"/>
              </w:rPr>
              <w:t xml:space="preserve"> in mm</w:t>
            </w:r>
            <w:r w:rsidRPr="008E0084">
              <w:rPr>
                <w:rFonts w:cs="Times New Roman"/>
                <w:szCs w:val="24"/>
                <w:vertAlign w:val="superscript"/>
              </w:rPr>
              <w:t>2</w:t>
            </w:r>
            <w:r w:rsidRPr="00DD15C3">
              <w:rPr>
                <w:rFonts w:cs="Times New Roman"/>
                <w:szCs w:val="24"/>
              </w:rPr>
              <w:t>.</w:t>
            </w:r>
          </w:p>
        </w:tc>
      </w:tr>
      <w:tr w:rsidR="00C375E3" w:rsidRPr="00C375E3" w14:paraId="5114EB01" w14:textId="77777777" w:rsidTr="0084784B">
        <w:tc>
          <w:tcPr>
            <w:tcW w:w="4164" w:type="pct"/>
            <w:gridSpan w:val="2"/>
            <w:vAlign w:val="center"/>
          </w:tcPr>
          <w:p w14:paraId="3CB768EC" w14:textId="33FB3B86" w:rsidR="00C375E3" w:rsidRPr="00985AEA" w:rsidRDefault="00985AEA" w:rsidP="00C375E3">
            <w:pPr>
              <w:rPr>
                <w:rFonts w:cs="Times New Roman"/>
                <w:b/>
                <w:bCs/>
                <w:szCs w:val="24"/>
              </w:rPr>
            </w:pPr>
            <m:oMathPara>
              <m:oMathParaPr>
                <m:jc m:val="left"/>
              </m:oMathParaPr>
              <m:oMath>
                <m:r>
                  <m:rPr>
                    <m:sty m:val="bi"/>
                  </m:rPr>
                  <w:rPr>
                    <w:rFonts w:ascii="Cambria Math" w:hAnsi="Cambria Math" w:cs="Times New Roman"/>
                    <w:szCs w:val="24"/>
                  </w:rPr>
                  <w:lastRenderedPageBreak/>
                  <m:t>ε</m:t>
                </m:r>
                <m:r>
                  <m:rPr>
                    <m:sty m:val="b"/>
                  </m:rPr>
                  <w:rPr>
                    <w:rFonts w:ascii="Cambria Math" w:hAnsi="Cambria Math" w:cs="Times New Roman"/>
                    <w:szCs w:val="24"/>
                  </w:rPr>
                  <m:t xml:space="preserve">= </m:t>
                </m:r>
                <m:f>
                  <m:fPr>
                    <m:ctrlPr>
                      <w:rPr>
                        <w:rFonts w:ascii="Cambria Math" w:hAnsi="Cambria Math" w:cs="Times New Roman"/>
                        <w:b/>
                        <w:bCs/>
                        <w:szCs w:val="24"/>
                      </w:rPr>
                    </m:ctrlPr>
                  </m:fPr>
                  <m:num>
                    <m:r>
                      <m:rPr>
                        <m:sty m:val="b"/>
                      </m:rPr>
                      <w:rPr>
                        <w:rFonts w:ascii="Cambria Math" w:hAnsi="Cambria Math" w:cs="Times New Roman"/>
                        <w:szCs w:val="24"/>
                      </w:rPr>
                      <m:t>∆</m:t>
                    </m:r>
                    <m:r>
                      <m:rPr>
                        <m:sty m:val="bi"/>
                      </m:rPr>
                      <w:rPr>
                        <w:rFonts w:ascii="Cambria Math" w:hAnsi="Cambria Math" w:cs="Times New Roman"/>
                        <w:szCs w:val="24"/>
                      </w:rPr>
                      <m:t>L</m:t>
                    </m:r>
                  </m:num>
                  <m:den>
                    <m:sSub>
                      <m:sSubPr>
                        <m:ctrlPr>
                          <w:rPr>
                            <w:rFonts w:ascii="Cambria Math" w:hAnsi="Cambria Math" w:cs="Times New Roman"/>
                            <w:b/>
                            <w:bCs/>
                            <w:szCs w:val="24"/>
                          </w:rPr>
                        </m:ctrlPr>
                      </m:sSubPr>
                      <m:e>
                        <m:r>
                          <m:rPr>
                            <m:sty m:val="bi"/>
                          </m:rPr>
                          <w:rPr>
                            <w:rFonts w:ascii="Cambria Math" w:hAnsi="Cambria Math" w:cs="Times New Roman"/>
                            <w:szCs w:val="24"/>
                          </w:rPr>
                          <m:t>L</m:t>
                        </m:r>
                      </m:e>
                      <m:sub>
                        <m:r>
                          <m:rPr>
                            <m:sty m:val="b"/>
                          </m:rPr>
                          <w:rPr>
                            <w:rFonts w:ascii="Cambria Math" w:hAnsi="Cambria Math" w:cs="Times New Roman"/>
                            <w:szCs w:val="24"/>
                          </w:rPr>
                          <m:t>0</m:t>
                        </m:r>
                      </m:sub>
                    </m:sSub>
                  </m:den>
                </m:f>
              </m:oMath>
            </m:oMathPara>
          </w:p>
        </w:tc>
        <w:tc>
          <w:tcPr>
            <w:tcW w:w="836" w:type="pct"/>
            <w:vAlign w:val="center"/>
          </w:tcPr>
          <w:p w14:paraId="63410976" w14:textId="77777777" w:rsidR="00C375E3" w:rsidRPr="00C375E3" w:rsidRDefault="00C375E3" w:rsidP="005F6831">
            <w:pPr>
              <w:jc w:val="right"/>
              <w:rPr>
                <w:rFonts w:cs="Times New Roman"/>
                <w:szCs w:val="24"/>
              </w:rPr>
            </w:pPr>
            <w:r w:rsidRPr="00DD15C3">
              <w:rPr>
                <w:rFonts w:cs="Times New Roman"/>
                <w:szCs w:val="24"/>
              </w:rPr>
              <w:t>Equation 3</w:t>
            </w:r>
          </w:p>
        </w:tc>
      </w:tr>
      <w:tr w:rsidR="00C375E3" w:rsidRPr="00C375E3" w14:paraId="4B9F6C3C" w14:textId="77777777" w:rsidTr="0084784B">
        <w:tc>
          <w:tcPr>
            <w:tcW w:w="5000" w:type="pct"/>
            <w:gridSpan w:val="3"/>
            <w:vAlign w:val="center"/>
          </w:tcPr>
          <w:p w14:paraId="2A8857DC" w14:textId="421158EE" w:rsidR="00C375E3" w:rsidRPr="00DD15C3" w:rsidRDefault="00C375E3" w:rsidP="00C375E3">
            <w:pPr>
              <w:rPr>
                <w:rFonts w:cs="Times New Roman"/>
                <w:szCs w:val="24"/>
              </w:rPr>
            </w:pPr>
            <w:r w:rsidRPr="00DD15C3">
              <w:rPr>
                <w:rFonts w:cs="Times New Roman"/>
                <w:szCs w:val="24"/>
              </w:rPr>
              <w:t xml:space="preserve">where </w:t>
            </w:r>
            <m:oMath>
              <m:r>
                <w:rPr>
                  <w:rFonts w:ascii="Cambria Math" w:hAnsi="Cambria Math" w:cs="Times New Roman"/>
                  <w:szCs w:val="24"/>
                </w:rPr>
                <m:t>ε</m:t>
              </m:r>
            </m:oMath>
            <w:r w:rsidRPr="00DD15C3">
              <w:rPr>
                <w:rFonts w:cs="Times New Roman"/>
                <w:szCs w:val="24"/>
              </w:rPr>
              <w:t xml:space="preserve"> is strain, </w:t>
            </w:r>
            <m:oMath>
              <m:r>
                <m:rPr>
                  <m:sty m:val="p"/>
                </m:rPr>
                <w:rPr>
                  <w:rFonts w:ascii="Cambria Math" w:hAnsi="Cambria Math" w:cs="Times New Roman"/>
                  <w:szCs w:val="24"/>
                </w:rPr>
                <m:t>∆</m:t>
              </m:r>
              <m:r>
                <w:rPr>
                  <w:rFonts w:ascii="Cambria Math" w:hAnsi="Cambria Math" w:cs="Times New Roman"/>
                  <w:szCs w:val="24"/>
                </w:rPr>
                <m:t>L</m:t>
              </m:r>
            </m:oMath>
            <w:r w:rsidRPr="00DD15C3">
              <w:rPr>
                <w:rFonts w:cs="Times New Roman"/>
                <w:szCs w:val="24"/>
              </w:rPr>
              <w:t xml:space="preserve"> is </w:t>
            </w:r>
            <w:r w:rsidR="000D2DE1">
              <w:rPr>
                <w:rFonts w:cs="Times New Roman"/>
                <w:szCs w:val="24"/>
              </w:rPr>
              <w:t xml:space="preserve">the </w:t>
            </w:r>
            <w:r w:rsidRPr="00DD15C3">
              <w:rPr>
                <w:rFonts w:cs="Times New Roman"/>
                <w:szCs w:val="24"/>
              </w:rPr>
              <w:t>change in length in mm (</w:t>
            </w:r>
            <m:oMath>
              <m:r>
                <m:rPr>
                  <m:sty m:val="p"/>
                </m:rPr>
                <w:rPr>
                  <w:rFonts w:ascii="Cambria Math" w:hAnsi="Cambria Math" w:cs="Times New Roman"/>
                  <w:szCs w:val="24"/>
                </w:rPr>
                <m:t>∆</m:t>
              </m:r>
              <m:r>
                <w:rPr>
                  <w:rFonts w:ascii="Cambria Math" w:hAnsi="Cambria Math" w:cs="Times New Roman"/>
                  <w:szCs w:val="24"/>
                </w:rPr>
                <m:t>L</m:t>
              </m:r>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L</m:t>
                  </m:r>
                </m:e>
                <m:sub>
                  <m:r>
                    <m:rPr>
                      <m:sty m:val="p"/>
                    </m:rPr>
                    <w:rPr>
                      <w:rFonts w:ascii="Cambria Math" w:hAnsi="Cambria Math" w:cs="Times New Roman"/>
                      <w:szCs w:val="24"/>
                    </w:rPr>
                    <m:t>1</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L</m:t>
                  </m:r>
                </m:e>
                <m:sub>
                  <m:r>
                    <m:rPr>
                      <m:sty m:val="p"/>
                    </m:rPr>
                    <w:rPr>
                      <w:rFonts w:ascii="Cambria Math" w:hAnsi="Cambria Math" w:cs="Times New Roman"/>
                      <w:szCs w:val="24"/>
                    </w:rPr>
                    <m:t>0</m:t>
                  </m:r>
                </m:sub>
              </m:sSub>
            </m:oMath>
            <w:r w:rsidRPr="00DD15C3">
              <w:rPr>
                <w:rFonts w:cs="Times New Roman"/>
                <w:szCs w:val="24"/>
              </w:rPr>
              <w:t>),</w:t>
            </w:r>
            <w:r w:rsidR="008E0084">
              <w:rPr>
                <w:rFonts w:cs="Times New Roman"/>
                <w:szCs w:val="24"/>
              </w:rPr>
              <w:t xml:space="preserve"> and</w:t>
            </w:r>
            <w:r w:rsidRPr="00DD15C3">
              <w:rPr>
                <w:rFonts w:cs="Times New Roman"/>
                <w:szCs w:val="24"/>
              </w:rPr>
              <w:t xml:space="preserve"> </w:t>
            </w:r>
            <m:oMath>
              <m:sSub>
                <m:sSubPr>
                  <m:ctrlPr>
                    <w:rPr>
                      <w:rFonts w:ascii="Cambria Math" w:hAnsi="Cambria Math" w:cs="Times New Roman"/>
                      <w:szCs w:val="24"/>
                    </w:rPr>
                  </m:ctrlPr>
                </m:sSubPr>
                <m:e>
                  <m:r>
                    <w:rPr>
                      <w:rFonts w:ascii="Cambria Math" w:hAnsi="Cambria Math" w:cs="Times New Roman"/>
                      <w:szCs w:val="24"/>
                    </w:rPr>
                    <m:t>L</m:t>
                  </m:r>
                </m:e>
                <m:sub>
                  <m:r>
                    <m:rPr>
                      <m:sty m:val="p"/>
                    </m:rPr>
                    <w:rPr>
                      <w:rFonts w:ascii="Cambria Math" w:hAnsi="Cambria Math" w:cs="Times New Roman"/>
                      <w:szCs w:val="24"/>
                    </w:rPr>
                    <m:t>0</m:t>
                  </m:r>
                </m:sub>
              </m:sSub>
            </m:oMath>
            <w:r w:rsidRPr="00DD15C3">
              <w:rPr>
                <w:rFonts w:cs="Times New Roman"/>
                <w:szCs w:val="24"/>
              </w:rPr>
              <w:t xml:space="preserve"> is initial length and </w:t>
            </w:r>
            <m:oMath>
              <m:sSub>
                <m:sSubPr>
                  <m:ctrlPr>
                    <w:rPr>
                      <w:rFonts w:ascii="Cambria Math" w:hAnsi="Cambria Math" w:cs="Times New Roman"/>
                      <w:szCs w:val="24"/>
                    </w:rPr>
                  </m:ctrlPr>
                </m:sSubPr>
                <m:e>
                  <m:r>
                    <w:rPr>
                      <w:rFonts w:ascii="Cambria Math" w:hAnsi="Cambria Math" w:cs="Times New Roman"/>
                      <w:szCs w:val="24"/>
                    </w:rPr>
                    <m:t>L</m:t>
                  </m:r>
                </m:e>
                <m:sub>
                  <m:r>
                    <m:rPr>
                      <m:sty m:val="p"/>
                    </m:rPr>
                    <w:rPr>
                      <w:rFonts w:ascii="Cambria Math" w:hAnsi="Cambria Math" w:cs="Times New Roman"/>
                      <w:szCs w:val="24"/>
                    </w:rPr>
                    <m:t>1</m:t>
                  </m:r>
                </m:sub>
              </m:sSub>
            </m:oMath>
            <w:r w:rsidRPr="00DD15C3">
              <w:rPr>
                <w:rFonts w:cs="Times New Roman"/>
                <w:szCs w:val="24"/>
              </w:rPr>
              <w:t xml:space="preserve"> is</w:t>
            </w:r>
            <w:r w:rsidR="000D2DE1">
              <w:rPr>
                <w:rFonts w:cs="Times New Roman"/>
                <w:szCs w:val="24"/>
              </w:rPr>
              <w:t xml:space="preserve"> the</w:t>
            </w:r>
            <w:r w:rsidRPr="00DD15C3">
              <w:rPr>
                <w:rFonts w:cs="Times New Roman"/>
                <w:szCs w:val="24"/>
              </w:rPr>
              <w:t xml:space="preserve"> deformed length of the </w:t>
            </w:r>
            <w:r w:rsidR="005C411A">
              <w:rPr>
                <w:rFonts w:cs="Times New Roman"/>
                <w:szCs w:val="24"/>
              </w:rPr>
              <w:t>CCL</w:t>
            </w:r>
            <w:r w:rsidRPr="00DD15C3">
              <w:rPr>
                <w:rFonts w:cs="Times New Roman"/>
                <w:szCs w:val="24"/>
              </w:rPr>
              <w:t xml:space="preserve"> in mm.</w:t>
            </w:r>
          </w:p>
        </w:tc>
      </w:tr>
      <w:tr w:rsidR="00C375E3" w:rsidRPr="00C375E3" w14:paraId="0EE581FE" w14:textId="77777777" w:rsidTr="0084784B">
        <w:trPr>
          <w:trHeight w:val="784"/>
        </w:trPr>
        <w:tc>
          <w:tcPr>
            <w:tcW w:w="4164" w:type="pct"/>
            <w:gridSpan w:val="2"/>
            <w:vAlign w:val="center"/>
          </w:tcPr>
          <w:p w14:paraId="3E08276B" w14:textId="3F2708E0" w:rsidR="00C375E3" w:rsidRPr="00985AEA" w:rsidRDefault="00D93D4C" w:rsidP="00C375E3">
            <w:pPr>
              <w:rPr>
                <w:rFonts w:cs="Times New Roman"/>
                <w:b/>
                <w:bCs/>
                <w:szCs w:val="24"/>
              </w:rPr>
            </w:pPr>
            <m:oMathPara>
              <m:oMathParaPr>
                <m:jc m:val="left"/>
              </m:oMathParaPr>
              <m:oMath>
                <m:sSub>
                  <m:sSubPr>
                    <m:ctrlPr>
                      <w:rPr>
                        <w:rFonts w:ascii="Cambria Math" w:hAnsi="Cambria Math" w:cs="Times New Roman"/>
                        <w:b/>
                        <w:bCs/>
                        <w:szCs w:val="24"/>
                      </w:rPr>
                    </m:ctrlPr>
                  </m:sSubPr>
                  <m:e>
                    <m:r>
                      <m:rPr>
                        <m:sty m:val="bi"/>
                      </m:rPr>
                      <w:rPr>
                        <w:rFonts w:ascii="Cambria Math" w:hAnsi="Cambria Math" w:cs="Times New Roman"/>
                        <w:szCs w:val="24"/>
                      </w:rPr>
                      <m:t>E</m:t>
                    </m:r>
                  </m:e>
                  <m:sub>
                    <m:r>
                      <m:rPr>
                        <m:sty m:val="bi"/>
                      </m:rPr>
                      <w:rPr>
                        <w:rFonts w:ascii="Cambria Math" w:hAnsi="Cambria Math" w:cs="Times New Roman"/>
                        <w:szCs w:val="24"/>
                      </w:rPr>
                      <m:t>secant</m:t>
                    </m:r>
                  </m:sub>
                </m:sSub>
                <m:r>
                  <m:rPr>
                    <m:sty m:val="b"/>
                  </m:rPr>
                  <w:rPr>
                    <w:rFonts w:ascii="Cambria Math" w:hAnsi="Cambria Math" w:cs="Times New Roman"/>
                    <w:szCs w:val="24"/>
                  </w:rPr>
                  <m:t xml:space="preserve">= </m:t>
                </m:r>
                <m:f>
                  <m:fPr>
                    <m:ctrlPr>
                      <w:rPr>
                        <w:rFonts w:ascii="Cambria Math" w:hAnsi="Cambria Math" w:cs="Times New Roman"/>
                        <w:b/>
                        <w:bCs/>
                        <w:szCs w:val="24"/>
                      </w:rPr>
                    </m:ctrlPr>
                  </m:fPr>
                  <m:num>
                    <m:sSub>
                      <m:sSubPr>
                        <m:ctrlPr>
                          <w:rPr>
                            <w:rFonts w:ascii="Cambria Math" w:hAnsi="Cambria Math" w:cs="Times New Roman"/>
                            <w:b/>
                            <w:i/>
                            <w:szCs w:val="24"/>
                          </w:rPr>
                        </m:ctrlPr>
                      </m:sSubPr>
                      <m:e>
                        <m:r>
                          <m:rPr>
                            <m:sty m:val="bi"/>
                          </m:rPr>
                          <w:rPr>
                            <w:rFonts w:ascii="Cambria Math" w:hAnsi="Cambria Math" w:cs="Times New Roman"/>
                            <w:szCs w:val="24"/>
                          </w:rPr>
                          <m:t>σ</m:t>
                        </m:r>
                      </m:e>
                      <m:sub>
                        <m:r>
                          <m:rPr>
                            <m:sty m:val="bi"/>
                          </m:rPr>
                          <w:rPr>
                            <w:rFonts w:ascii="Cambria Math" w:hAnsi="Cambria Math" w:cs="Times New Roman"/>
                            <w:szCs w:val="24"/>
                          </w:rPr>
                          <m:t>max</m:t>
                        </m:r>
                      </m:sub>
                    </m:sSub>
                  </m:num>
                  <m:den>
                    <m:sSub>
                      <m:sSubPr>
                        <m:ctrlPr>
                          <w:rPr>
                            <w:rFonts w:ascii="Cambria Math" w:hAnsi="Cambria Math" w:cs="Times New Roman"/>
                            <w:b/>
                            <w:i/>
                            <w:szCs w:val="24"/>
                          </w:rPr>
                        </m:ctrlPr>
                      </m:sSubPr>
                      <m:e>
                        <m:r>
                          <m:rPr>
                            <m:sty m:val="bi"/>
                          </m:rPr>
                          <w:rPr>
                            <w:rFonts w:ascii="Cambria Math" w:hAnsi="Cambria Math" w:cs="Times New Roman"/>
                            <w:szCs w:val="24"/>
                          </w:rPr>
                          <m:t>ε</m:t>
                        </m:r>
                      </m:e>
                      <m:sub>
                        <m:r>
                          <m:rPr>
                            <m:sty m:val="bi"/>
                          </m:rPr>
                          <w:rPr>
                            <w:rFonts w:ascii="Cambria Math" w:hAnsi="Cambria Math" w:cs="Times New Roman"/>
                            <w:szCs w:val="24"/>
                          </w:rPr>
                          <m:t>max</m:t>
                        </m:r>
                      </m:sub>
                    </m:sSub>
                  </m:den>
                </m:f>
              </m:oMath>
            </m:oMathPara>
          </w:p>
        </w:tc>
        <w:tc>
          <w:tcPr>
            <w:tcW w:w="836" w:type="pct"/>
            <w:vAlign w:val="center"/>
          </w:tcPr>
          <w:p w14:paraId="59DD03BE" w14:textId="77777777" w:rsidR="00C375E3" w:rsidRPr="00C375E3" w:rsidRDefault="00C375E3" w:rsidP="005F6831">
            <w:pPr>
              <w:jc w:val="right"/>
              <w:rPr>
                <w:rFonts w:cs="Times New Roman"/>
                <w:szCs w:val="24"/>
              </w:rPr>
            </w:pPr>
            <w:r w:rsidRPr="00DD15C3">
              <w:rPr>
                <w:rFonts w:cs="Times New Roman"/>
                <w:szCs w:val="24"/>
              </w:rPr>
              <w:t>Equation 4</w:t>
            </w:r>
          </w:p>
        </w:tc>
      </w:tr>
      <w:tr w:rsidR="00C375E3" w:rsidRPr="00C375E3" w14:paraId="6891052F" w14:textId="77777777" w:rsidTr="0084784B">
        <w:tc>
          <w:tcPr>
            <w:tcW w:w="5000" w:type="pct"/>
            <w:gridSpan w:val="3"/>
            <w:vAlign w:val="center"/>
          </w:tcPr>
          <w:p w14:paraId="15B8AB51" w14:textId="68A49E9B" w:rsidR="00C375E3" w:rsidRPr="00DD15C3" w:rsidRDefault="00C375E3" w:rsidP="00C375E3">
            <w:pPr>
              <w:rPr>
                <w:rFonts w:cs="Times New Roman"/>
                <w:szCs w:val="24"/>
              </w:rPr>
            </w:pPr>
            <w:r w:rsidRPr="00DD15C3">
              <w:rPr>
                <w:rFonts w:cs="Times New Roman"/>
                <w:szCs w:val="24"/>
              </w:rPr>
              <w:t xml:space="preserve">where </w:t>
            </w:r>
            <m:oMath>
              <m:sSub>
                <m:sSubPr>
                  <m:ctrlPr>
                    <w:rPr>
                      <w:rFonts w:ascii="Cambria Math" w:hAnsi="Cambria Math" w:cs="Times New Roman"/>
                      <w:szCs w:val="24"/>
                    </w:rPr>
                  </m:ctrlPr>
                </m:sSubPr>
                <m:e>
                  <m:r>
                    <w:rPr>
                      <w:rFonts w:ascii="Cambria Math" w:hAnsi="Cambria Math" w:cs="Times New Roman"/>
                      <w:szCs w:val="24"/>
                    </w:rPr>
                    <m:t>E</m:t>
                  </m:r>
                </m:e>
                <m:sub>
                  <m:r>
                    <w:rPr>
                      <w:rFonts w:ascii="Cambria Math" w:hAnsi="Cambria Math" w:cs="Times New Roman"/>
                      <w:szCs w:val="24"/>
                    </w:rPr>
                    <m:t>secant</m:t>
                  </m:r>
                </m:sub>
              </m:sSub>
            </m:oMath>
            <w:r w:rsidRPr="00DD15C3">
              <w:rPr>
                <w:rFonts w:cs="Times New Roman"/>
                <w:szCs w:val="24"/>
              </w:rPr>
              <w:t xml:space="preserve"> is </w:t>
            </w:r>
            <w:r w:rsidR="00135D06">
              <w:rPr>
                <w:rFonts w:cs="Times New Roman"/>
                <w:szCs w:val="24"/>
              </w:rPr>
              <w:t>secant</w:t>
            </w:r>
            <w:r w:rsidRPr="00DD15C3">
              <w:rPr>
                <w:rFonts w:cs="Times New Roman"/>
                <w:szCs w:val="24"/>
              </w:rPr>
              <w:t xml:space="preserve"> modulus in MPa</w:t>
            </w:r>
            <w:r w:rsidR="008E0084">
              <w:rPr>
                <w:rFonts w:cs="Times New Roman"/>
                <w:szCs w:val="24"/>
              </w:rPr>
              <w:t xml:space="preserve">, and </w:t>
            </w:r>
            <m:oMath>
              <m:sSub>
                <m:sSubPr>
                  <m:ctrlPr>
                    <w:rPr>
                      <w:rFonts w:ascii="Cambria Math" w:hAnsi="Cambria Math" w:cs="Times New Roman"/>
                      <w:bCs/>
                      <w:i/>
                      <w:szCs w:val="24"/>
                    </w:rPr>
                  </m:ctrlPr>
                </m:sSubPr>
                <m:e>
                  <m:r>
                    <w:rPr>
                      <w:rFonts w:ascii="Cambria Math" w:hAnsi="Cambria Math" w:cs="Times New Roman"/>
                      <w:szCs w:val="24"/>
                    </w:rPr>
                    <m:t>σ</m:t>
                  </m:r>
                </m:e>
                <m:sub>
                  <m:r>
                    <w:rPr>
                      <w:rFonts w:ascii="Cambria Math" w:hAnsi="Cambria Math" w:cs="Times New Roman"/>
                      <w:szCs w:val="24"/>
                    </w:rPr>
                    <m:t>max</m:t>
                  </m:r>
                </m:sub>
              </m:sSub>
            </m:oMath>
            <w:r w:rsidR="008E0084">
              <w:rPr>
                <w:rFonts w:cs="Times New Roman"/>
                <w:szCs w:val="24"/>
              </w:rPr>
              <w:t xml:space="preserve"> and </w:t>
            </w:r>
            <m:oMath>
              <m:sSub>
                <m:sSubPr>
                  <m:ctrlPr>
                    <w:rPr>
                      <w:rFonts w:ascii="Cambria Math" w:hAnsi="Cambria Math" w:cs="Times New Roman"/>
                      <w:bCs/>
                      <w:i/>
                      <w:szCs w:val="24"/>
                    </w:rPr>
                  </m:ctrlPr>
                </m:sSubPr>
                <m:e>
                  <m:r>
                    <w:rPr>
                      <w:rFonts w:ascii="Cambria Math" w:hAnsi="Cambria Math" w:cs="Times New Roman"/>
                      <w:szCs w:val="24"/>
                    </w:rPr>
                    <m:t>ε</m:t>
                  </m:r>
                </m:e>
                <m:sub>
                  <m:r>
                    <w:rPr>
                      <w:rFonts w:ascii="Cambria Math" w:hAnsi="Cambria Math" w:cs="Times New Roman"/>
                      <w:szCs w:val="24"/>
                    </w:rPr>
                    <m:t>max</m:t>
                  </m:r>
                </m:sub>
              </m:sSub>
            </m:oMath>
            <w:r w:rsidR="008E0084">
              <w:rPr>
                <w:rFonts w:cs="Times New Roman"/>
                <w:szCs w:val="24"/>
              </w:rPr>
              <w:t xml:space="preserve"> are the maximum stress and strain values of the load cycle. </w:t>
            </w:r>
          </w:p>
        </w:tc>
      </w:tr>
      <w:tr w:rsidR="00C375E3" w:rsidRPr="00C375E3" w14:paraId="43536A7A" w14:textId="77777777" w:rsidTr="0084784B">
        <w:tc>
          <w:tcPr>
            <w:tcW w:w="4164" w:type="pct"/>
            <w:gridSpan w:val="2"/>
            <w:vAlign w:val="center"/>
          </w:tcPr>
          <w:p w14:paraId="1E80D636" w14:textId="7362AFB7" w:rsidR="00C375E3" w:rsidRPr="00985AEA" w:rsidRDefault="00985AEA" w:rsidP="00C375E3">
            <w:pPr>
              <w:rPr>
                <w:rFonts w:cs="Times New Roman"/>
                <w:b/>
                <w:bCs/>
                <w:szCs w:val="24"/>
              </w:rPr>
            </w:pPr>
            <w:bookmarkStart w:id="10" w:name="_Hlk54556303"/>
            <m:oMathPara>
              <m:oMathParaPr>
                <m:jc m:val="left"/>
              </m:oMathParaPr>
              <m:oMath>
                <m:r>
                  <m:rPr>
                    <m:sty m:val="bi"/>
                  </m:rPr>
                  <w:rPr>
                    <w:rFonts w:ascii="Cambria Math" w:hAnsi="Cambria Math" w:cs="Times New Roman"/>
                    <w:szCs w:val="24"/>
                  </w:rPr>
                  <m:t>U</m:t>
                </m:r>
                <m:r>
                  <m:rPr>
                    <m:sty m:val="b"/>
                  </m:rPr>
                  <w:rPr>
                    <w:rFonts w:ascii="Cambria Math" w:hAnsi="Cambria Math" w:cs="Times New Roman"/>
                    <w:szCs w:val="24"/>
                  </w:rPr>
                  <m:t xml:space="preserve"> = </m:t>
                </m:r>
                <m:nary>
                  <m:naryPr>
                    <m:chr m:val="∑"/>
                    <m:limLoc m:val="undOvr"/>
                    <m:ctrlPr>
                      <w:rPr>
                        <w:rFonts w:ascii="Cambria Math" w:hAnsi="Cambria Math" w:cs="Times New Roman"/>
                        <w:b/>
                        <w:bCs/>
                        <w:szCs w:val="24"/>
                      </w:rPr>
                    </m:ctrlPr>
                  </m:naryPr>
                  <m:sub>
                    <m:r>
                      <m:rPr>
                        <m:sty m:val="bi"/>
                      </m:rPr>
                      <w:rPr>
                        <w:rFonts w:ascii="Cambria Math" w:hAnsi="Cambria Math" w:cs="Times New Roman"/>
                        <w:szCs w:val="24"/>
                      </w:rPr>
                      <m:t>k</m:t>
                    </m:r>
                    <m:r>
                      <m:rPr>
                        <m:sty m:val="b"/>
                      </m:rPr>
                      <w:rPr>
                        <w:rFonts w:ascii="Cambria Math" w:hAnsi="Cambria Math" w:cs="Times New Roman"/>
                        <w:szCs w:val="24"/>
                      </w:rPr>
                      <m:t>=1</m:t>
                    </m:r>
                  </m:sub>
                  <m:sup>
                    <m:r>
                      <m:rPr>
                        <m:sty m:val="bi"/>
                      </m:rPr>
                      <w:rPr>
                        <w:rFonts w:ascii="Cambria Math" w:hAnsi="Cambria Math" w:cs="Times New Roman"/>
                        <w:szCs w:val="24"/>
                      </w:rPr>
                      <m:t>N</m:t>
                    </m:r>
                  </m:sup>
                  <m:e>
                    <m:f>
                      <m:fPr>
                        <m:ctrlPr>
                          <w:rPr>
                            <w:rFonts w:ascii="Cambria Math" w:hAnsi="Cambria Math" w:cs="Times New Roman"/>
                            <w:b/>
                            <w:bCs/>
                            <w:szCs w:val="24"/>
                          </w:rPr>
                        </m:ctrlPr>
                      </m:fPr>
                      <m:num>
                        <m:r>
                          <m:rPr>
                            <m:sty m:val="b"/>
                          </m:rPr>
                          <w:rPr>
                            <w:rFonts w:ascii="Cambria Math" w:hAnsi="Cambria Math" w:cs="Times New Roman"/>
                            <w:szCs w:val="24"/>
                          </w:rPr>
                          <m:t>1</m:t>
                        </m:r>
                      </m:num>
                      <m:den>
                        <m:r>
                          <m:rPr>
                            <m:sty m:val="b"/>
                          </m:rPr>
                          <w:rPr>
                            <w:rFonts w:ascii="Cambria Math" w:hAnsi="Cambria Math" w:cs="Times New Roman"/>
                            <w:szCs w:val="24"/>
                          </w:rPr>
                          <m:t>2</m:t>
                        </m:r>
                      </m:den>
                    </m:f>
                  </m:e>
                </m:nary>
                <m:r>
                  <m:rPr>
                    <m:sty m:val="b"/>
                  </m:rPr>
                  <w:rPr>
                    <w:rFonts w:ascii="Cambria Math" w:hAnsi="Cambria Math" w:cs="Times New Roman"/>
                    <w:szCs w:val="24"/>
                  </w:rPr>
                  <m:t>×(</m:t>
                </m:r>
                <m:sSub>
                  <m:sSubPr>
                    <m:ctrlPr>
                      <w:rPr>
                        <w:rFonts w:ascii="Cambria Math" w:hAnsi="Cambria Math" w:cs="Times New Roman"/>
                        <w:b/>
                        <w:bCs/>
                        <w:szCs w:val="24"/>
                      </w:rPr>
                    </m:ctrlPr>
                  </m:sSubPr>
                  <m:e>
                    <m:r>
                      <m:rPr>
                        <m:sty m:val="bi"/>
                      </m:rPr>
                      <w:rPr>
                        <w:rFonts w:ascii="Cambria Math" w:hAnsi="Cambria Math" w:cs="Times New Roman"/>
                        <w:szCs w:val="24"/>
                      </w:rPr>
                      <m:t>σ</m:t>
                    </m:r>
                  </m:e>
                  <m:sub>
                    <m:r>
                      <m:rPr>
                        <m:sty m:val="bi"/>
                      </m:rPr>
                      <w:rPr>
                        <w:rFonts w:ascii="Cambria Math" w:hAnsi="Cambria Math" w:cs="Times New Roman"/>
                        <w:szCs w:val="24"/>
                      </w:rPr>
                      <m:t>k</m:t>
                    </m:r>
                    <m:r>
                      <m:rPr>
                        <m:sty m:val="b"/>
                      </m:rPr>
                      <w:rPr>
                        <w:rFonts w:ascii="Cambria Math" w:hAnsi="Cambria Math" w:cs="Times New Roman"/>
                        <w:szCs w:val="24"/>
                      </w:rPr>
                      <m:t>-1</m:t>
                    </m:r>
                  </m:sub>
                </m:sSub>
                <m:r>
                  <m:rPr>
                    <m:sty m:val="b"/>
                  </m:rPr>
                  <w:rPr>
                    <w:rFonts w:ascii="Cambria Math" w:hAnsi="Cambria Math" w:cs="Times New Roman"/>
                    <w:szCs w:val="24"/>
                  </w:rPr>
                  <m:t>+</m:t>
                </m:r>
                <m:sSub>
                  <m:sSubPr>
                    <m:ctrlPr>
                      <w:rPr>
                        <w:rFonts w:ascii="Cambria Math" w:hAnsi="Cambria Math" w:cs="Times New Roman"/>
                        <w:b/>
                        <w:bCs/>
                        <w:szCs w:val="24"/>
                      </w:rPr>
                    </m:ctrlPr>
                  </m:sSubPr>
                  <m:e>
                    <m:r>
                      <m:rPr>
                        <m:sty m:val="bi"/>
                      </m:rPr>
                      <w:rPr>
                        <w:rFonts w:ascii="Cambria Math" w:hAnsi="Cambria Math" w:cs="Times New Roman"/>
                        <w:szCs w:val="24"/>
                      </w:rPr>
                      <m:t>σ</m:t>
                    </m:r>
                  </m:e>
                  <m:sub>
                    <m:r>
                      <m:rPr>
                        <m:sty m:val="bi"/>
                      </m:rPr>
                      <w:rPr>
                        <w:rFonts w:ascii="Cambria Math" w:hAnsi="Cambria Math" w:cs="Times New Roman"/>
                        <w:szCs w:val="24"/>
                      </w:rPr>
                      <m:t>k</m:t>
                    </m:r>
                  </m:sub>
                </m:sSub>
                <m:r>
                  <m:rPr>
                    <m:sty m:val="b"/>
                  </m:rPr>
                  <w:rPr>
                    <w:rFonts w:ascii="Cambria Math" w:hAnsi="Cambria Math" w:cs="Times New Roman"/>
                    <w:szCs w:val="24"/>
                  </w:rPr>
                  <m:t>)×∆</m:t>
                </m:r>
                <m:sSub>
                  <m:sSubPr>
                    <m:ctrlPr>
                      <w:rPr>
                        <w:rFonts w:ascii="Cambria Math" w:hAnsi="Cambria Math" w:cs="Times New Roman"/>
                        <w:b/>
                        <w:bCs/>
                        <w:szCs w:val="24"/>
                      </w:rPr>
                    </m:ctrlPr>
                  </m:sSubPr>
                  <m:e>
                    <m:r>
                      <m:rPr>
                        <m:sty m:val="bi"/>
                      </m:rPr>
                      <w:rPr>
                        <w:rFonts w:ascii="Cambria Math" w:hAnsi="Cambria Math" w:cs="Times New Roman"/>
                        <w:szCs w:val="24"/>
                      </w:rPr>
                      <m:t>ε</m:t>
                    </m:r>
                  </m:e>
                  <m:sub>
                    <m:r>
                      <m:rPr>
                        <m:sty m:val="bi"/>
                      </m:rPr>
                      <w:rPr>
                        <w:rFonts w:ascii="Cambria Math" w:hAnsi="Cambria Math" w:cs="Times New Roman"/>
                        <w:szCs w:val="24"/>
                      </w:rPr>
                      <m:t>k</m:t>
                    </m:r>
                  </m:sub>
                </m:sSub>
              </m:oMath>
            </m:oMathPara>
          </w:p>
        </w:tc>
        <w:tc>
          <w:tcPr>
            <w:tcW w:w="836" w:type="pct"/>
            <w:vAlign w:val="center"/>
          </w:tcPr>
          <w:p w14:paraId="4FA68BF1" w14:textId="77777777" w:rsidR="00C375E3" w:rsidRPr="00C375E3" w:rsidRDefault="00C375E3" w:rsidP="005F6831">
            <w:pPr>
              <w:jc w:val="right"/>
              <w:rPr>
                <w:rFonts w:cs="Times New Roman"/>
                <w:szCs w:val="24"/>
              </w:rPr>
            </w:pPr>
            <w:r w:rsidRPr="00DD15C3">
              <w:rPr>
                <w:rFonts w:cs="Times New Roman"/>
                <w:szCs w:val="24"/>
              </w:rPr>
              <w:t>Equation 5</w:t>
            </w:r>
          </w:p>
        </w:tc>
      </w:tr>
      <w:tr w:rsidR="00C375E3" w:rsidRPr="00C375E3" w14:paraId="1BA490C7" w14:textId="77777777" w:rsidTr="0084784B">
        <w:tc>
          <w:tcPr>
            <w:tcW w:w="5000" w:type="pct"/>
            <w:gridSpan w:val="3"/>
            <w:vAlign w:val="center"/>
          </w:tcPr>
          <w:p w14:paraId="7228A08F" w14:textId="77777777" w:rsidR="00C375E3" w:rsidRPr="00DD15C3" w:rsidRDefault="00C375E3" w:rsidP="00C375E3">
            <w:pPr>
              <w:rPr>
                <w:rFonts w:cs="Times New Roman"/>
                <w:szCs w:val="24"/>
              </w:rPr>
            </w:pPr>
            <w:r w:rsidRPr="00C375E3">
              <w:rPr>
                <w:rFonts w:cs="Times New Roman"/>
                <w:szCs w:val="24"/>
              </w:rPr>
              <w:t xml:space="preserve">where </w:t>
            </w:r>
            <m:oMath>
              <m:r>
                <w:rPr>
                  <w:rFonts w:ascii="Cambria Math" w:hAnsi="Cambria Math" w:cs="Times New Roman"/>
                  <w:szCs w:val="24"/>
                </w:rPr>
                <m:t>U</m:t>
              </m:r>
            </m:oMath>
            <w:r w:rsidRPr="00C375E3">
              <w:rPr>
                <w:rFonts w:cs="Times New Roman"/>
                <w:szCs w:val="24"/>
              </w:rPr>
              <w:t xml:space="preserve"> is the stored energy in MPa, </w:t>
            </w:r>
            <m:oMath>
              <m:r>
                <w:rPr>
                  <w:rFonts w:ascii="Cambria Math" w:hAnsi="Cambria Math" w:cs="Times New Roman"/>
                  <w:szCs w:val="24"/>
                </w:rPr>
                <m:t>N</m:t>
              </m:r>
            </m:oMath>
            <w:r w:rsidRPr="00C375E3">
              <w:rPr>
                <w:rFonts w:cs="Times New Roman"/>
                <w:szCs w:val="24"/>
              </w:rPr>
              <w:t xml:space="preserve"> is the resolution of the trapezoidal partition, and </w:t>
            </w:r>
            <m:oMath>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ε</m:t>
                  </m:r>
                </m:e>
                <m:sub>
                  <m:r>
                    <w:rPr>
                      <w:rFonts w:ascii="Cambria Math" w:hAnsi="Cambria Math" w:cs="Times New Roman"/>
                      <w:szCs w:val="24"/>
                    </w:rPr>
                    <m:t>k</m:t>
                  </m:r>
                </m:sub>
              </m:sSub>
            </m:oMath>
            <w:r w:rsidRPr="00C375E3">
              <w:rPr>
                <w:rFonts w:cs="Times New Roman"/>
                <w:szCs w:val="24"/>
              </w:rPr>
              <w:t xml:space="preserve">is the length of the </w:t>
            </w:r>
            <m:oMath>
              <m:sSup>
                <m:sSupPr>
                  <m:ctrlPr>
                    <w:rPr>
                      <w:rFonts w:ascii="Cambria Math" w:hAnsi="Cambria Math" w:cs="Times New Roman"/>
                      <w:szCs w:val="24"/>
                    </w:rPr>
                  </m:ctrlPr>
                </m:sSupPr>
                <m:e>
                  <m:r>
                    <w:rPr>
                      <w:rFonts w:ascii="Cambria Math" w:hAnsi="Cambria Math" w:cs="Times New Roman"/>
                      <w:szCs w:val="24"/>
                    </w:rPr>
                    <m:t>k</m:t>
                  </m:r>
                </m:e>
                <m:sup>
                  <m:r>
                    <w:rPr>
                      <w:rFonts w:ascii="Cambria Math" w:hAnsi="Cambria Math" w:cs="Times New Roman"/>
                      <w:szCs w:val="24"/>
                    </w:rPr>
                    <m:t>th</m:t>
                  </m:r>
                </m:sup>
              </m:sSup>
            </m:oMath>
            <w:r w:rsidRPr="00C375E3">
              <w:rPr>
                <w:rFonts w:cs="Times New Roman"/>
                <w:szCs w:val="24"/>
              </w:rPr>
              <w:t xml:space="preserve"> interval (</w:t>
            </w:r>
            <m:oMath>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ε</m:t>
                  </m:r>
                </m:e>
                <m:sub>
                  <m:r>
                    <w:rPr>
                      <w:rFonts w:ascii="Cambria Math" w:hAnsi="Cambria Math" w:cs="Times New Roman"/>
                      <w:szCs w:val="24"/>
                    </w:rPr>
                    <m:t>k</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ε</m:t>
                  </m:r>
                </m:e>
                <m:sub>
                  <m:r>
                    <w:rPr>
                      <w:rFonts w:ascii="Cambria Math" w:hAnsi="Cambria Math" w:cs="Times New Roman"/>
                      <w:szCs w:val="24"/>
                    </w:rPr>
                    <m:t>k</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ε</m:t>
                  </m:r>
                </m:e>
                <m:sub>
                  <m:r>
                    <w:rPr>
                      <w:rFonts w:ascii="Cambria Math" w:hAnsi="Cambria Math" w:cs="Times New Roman"/>
                      <w:szCs w:val="24"/>
                    </w:rPr>
                    <m:t>k</m:t>
                  </m:r>
                  <m:r>
                    <m:rPr>
                      <m:sty m:val="p"/>
                    </m:rPr>
                    <w:rPr>
                      <w:rFonts w:ascii="Cambria Math" w:hAnsi="Cambria Math" w:cs="Times New Roman"/>
                      <w:szCs w:val="24"/>
                    </w:rPr>
                    <m:t>-1</m:t>
                  </m:r>
                </m:sub>
              </m:sSub>
            </m:oMath>
            <w:r w:rsidRPr="00C375E3">
              <w:rPr>
                <w:rFonts w:cs="Times New Roman"/>
                <w:szCs w:val="24"/>
              </w:rPr>
              <w:t xml:space="preserve">). </w:t>
            </w:r>
          </w:p>
        </w:tc>
      </w:tr>
      <w:tr w:rsidR="00C375E3" w:rsidRPr="00C375E3" w14:paraId="3D93453E" w14:textId="77777777" w:rsidTr="0084784B">
        <w:tc>
          <w:tcPr>
            <w:tcW w:w="4164" w:type="pct"/>
            <w:gridSpan w:val="2"/>
            <w:vAlign w:val="center"/>
          </w:tcPr>
          <w:p w14:paraId="1352DB77" w14:textId="410F2BD8" w:rsidR="00C375E3" w:rsidRPr="005F6831" w:rsidRDefault="005F6831" w:rsidP="00C375E3">
            <w:pPr>
              <w:rPr>
                <w:rFonts w:cs="Times New Roman"/>
                <w:b/>
                <w:bCs/>
                <w:szCs w:val="24"/>
              </w:rPr>
            </w:pPr>
            <m:oMathPara>
              <m:oMathParaPr>
                <m:jc m:val="left"/>
              </m:oMathParaPr>
              <m:oMath>
                <m:r>
                  <m:rPr>
                    <m:sty m:val="bi"/>
                  </m:rPr>
                  <w:rPr>
                    <w:rFonts w:ascii="Cambria Math" w:hAnsi="Cambria Math" w:cs="Times New Roman"/>
                    <w:szCs w:val="24"/>
                  </w:rPr>
                  <m:t>Hysteresis</m:t>
                </m:r>
                <m:r>
                  <m:rPr>
                    <m:sty m:val="b"/>
                  </m:rPr>
                  <w:rPr>
                    <w:rFonts w:ascii="Cambria Math" w:hAnsi="Cambria Math" w:cs="Times New Roman"/>
                    <w:szCs w:val="24"/>
                  </w:rPr>
                  <m:t xml:space="preserve">= </m:t>
                </m:r>
                <m:sSub>
                  <m:sSubPr>
                    <m:ctrlPr>
                      <w:rPr>
                        <w:rFonts w:ascii="Cambria Math" w:hAnsi="Cambria Math" w:cs="Times New Roman"/>
                        <w:b/>
                        <w:bCs/>
                        <w:szCs w:val="24"/>
                      </w:rPr>
                    </m:ctrlPr>
                  </m:sSubPr>
                  <m:e>
                    <m:r>
                      <m:rPr>
                        <m:sty m:val="bi"/>
                      </m:rPr>
                      <w:rPr>
                        <w:rFonts w:ascii="Cambria Math" w:hAnsi="Cambria Math" w:cs="Times New Roman"/>
                        <w:szCs w:val="24"/>
                      </w:rPr>
                      <m:t>U</m:t>
                    </m:r>
                  </m:e>
                  <m:sub>
                    <m:r>
                      <m:rPr>
                        <m:sty m:val="bi"/>
                      </m:rPr>
                      <w:rPr>
                        <w:rFonts w:ascii="Cambria Math" w:hAnsi="Cambria Math" w:cs="Times New Roman"/>
                        <w:szCs w:val="24"/>
                      </w:rPr>
                      <m:t>Loading</m:t>
                    </m:r>
                  </m:sub>
                </m:sSub>
                <m:r>
                  <m:rPr>
                    <m:sty m:val="b"/>
                  </m:rPr>
                  <w:rPr>
                    <w:rFonts w:ascii="Cambria Math" w:hAnsi="Cambria Math" w:cs="Times New Roman"/>
                    <w:szCs w:val="24"/>
                  </w:rPr>
                  <m:t>-</m:t>
                </m:r>
                <m:sSub>
                  <m:sSubPr>
                    <m:ctrlPr>
                      <w:rPr>
                        <w:rFonts w:ascii="Cambria Math" w:hAnsi="Cambria Math" w:cs="Times New Roman"/>
                        <w:b/>
                        <w:bCs/>
                        <w:szCs w:val="24"/>
                      </w:rPr>
                    </m:ctrlPr>
                  </m:sSubPr>
                  <m:e>
                    <m:r>
                      <m:rPr>
                        <m:sty m:val="bi"/>
                      </m:rPr>
                      <w:rPr>
                        <w:rFonts w:ascii="Cambria Math" w:hAnsi="Cambria Math" w:cs="Times New Roman"/>
                        <w:szCs w:val="24"/>
                      </w:rPr>
                      <m:t>U</m:t>
                    </m:r>
                  </m:e>
                  <m:sub>
                    <m:r>
                      <m:rPr>
                        <m:sty m:val="bi"/>
                      </m:rPr>
                      <w:rPr>
                        <w:rFonts w:ascii="Cambria Math" w:hAnsi="Cambria Math" w:cs="Times New Roman"/>
                        <w:szCs w:val="24"/>
                      </w:rPr>
                      <m:t>Unloading</m:t>
                    </m:r>
                  </m:sub>
                </m:sSub>
              </m:oMath>
            </m:oMathPara>
          </w:p>
        </w:tc>
        <w:tc>
          <w:tcPr>
            <w:tcW w:w="836" w:type="pct"/>
            <w:vAlign w:val="center"/>
          </w:tcPr>
          <w:p w14:paraId="6CBA2E68" w14:textId="77777777" w:rsidR="00C375E3" w:rsidRPr="00DD15C3" w:rsidRDefault="00C375E3" w:rsidP="005F6831">
            <w:pPr>
              <w:jc w:val="right"/>
              <w:rPr>
                <w:rFonts w:cs="Times New Roman"/>
                <w:szCs w:val="24"/>
              </w:rPr>
            </w:pPr>
            <w:r w:rsidRPr="00DD15C3">
              <w:rPr>
                <w:rFonts w:cs="Times New Roman"/>
                <w:szCs w:val="24"/>
              </w:rPr>
              <w:t>Equation 6</w:t>
            </w:r>
          </w:p>
        </w:tc>
      </w:tr>
      <w:tr w:rsidR="00C375E3" w:rsidRPr="00C375E3" w14:paraId="45D9E772" w14:textId="77777777" w:rsidTr="0084784B">
        <w:tc>
          <w:tcPr>
            <w:tcW w:w="5000" w:type="pct"/>
            <w:gridSpan w:val="3"/>
            <w:vAlign w:val="center"/>
          </w:tcPr>
          <w:p w14:paraId="55D41FEF" w14:textId="7123F0AE" w:rsidR="005F6831" w:rsidRPr="00DD15C3" w:rsidRDefault="00C375E3" w:rsidP="00C375E3">
            <w:pPr>
              <w:rPr>
                <w:rFonts w:cs="Times New Roman"/>
                <w:szCs w:val="24"/>
              </w:rPr>
            </w:pPr>
            <w:r w:rsidRPr="00C375E3">
              <w:rPr>
                <w:rFonts w:cs="Times New Roman"/>
                <w:szCs w:val="24"/>
              </w:rPr>
              <w:t xml:space="preserve">where </w:t>
            </w: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Loading</m:t>
                  </m:r>
                </m:sub>
              </m:sSub>
            </m:oMath>
            <w:r w:rsidRPr="00C375E3">
              <w:rPr>
                <w:rFonts w:cs="Times New Roman"/>
                <w:szCs w:val="24"/>
              </w:rPr>
              <w:t xml:space="preserve"> and </w:t>
            </w: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Loading</m:t>
                  </m:r>
                </m:sub>
              </m:sSub>
            </m:oMath>
            <w:r w:rsidRPr="00C375E3">
              <w:rPr>
                <w:rFonts w:cs="Times New Roman"/>
                <w:szCs w:val="24"/>
              </w:rPr>
              <w:t xml:space="preserve"> represent the stored energy during the loading and unloading of the ligaments, respectively, in MPa.</w:t>
            </w:r>
          </w:p>
        </w:tc>
      </w:tr>
      <w:tr w:rsidR="005F6831" w:rsidRPr="00C375E3" w14:paraId="4722D63D" w14:textId="5B88A93F" w:rsidTr="0084784B">
        <w:tc>
          <w:tcPr>
            <w:tcW w:w="4140" w:type="pct"/>
            <w:vAlign w:val="center"/>
          </w:tcPr>
          <w:p w14:paraId="2F9A224E" w14:textId="5C68386D" w:rsidR="005F6831" w:rsidRPr="005F6831" w:rsidRDefault="005F6831" w:rsidP="00C375E3">
            <w:pPr>
              <w:rPr>
                <w:rFonts w:cs="Times New Roman"/>
                <w:szCs w:val="24"/>
              </w:rPr>
            </w:pPr>
            <m:oMathPara>
              <m:oMathParaPr>
                <m:jc m:val="left"/>
              </m:oMathParaPr>
              <m:oMath>
                <m:r>
                  <m:rPr>
                    <m:sty m:val="bi"/>
                  </m:rPr>
                  <w:rPr>
                    <w:rFonts w:ascii="Cambria Math" w:hAnsi="Cambria Math" w:cs="Times New Roman"/>
                    <w:szCs w:val="24"/>
                  </w:rPr>
                  <m:t>J(t)</m:t>
                </m:r>
                <m:r>
                  <m:rPr>
                    <m:sty m:val="b"/>
                  </m:rPr>
                  <w:rPr>
                    <w:rFonts w:ascii="Cambria Math" w:hAnsi="Cambria Math" w:cs="Times New Roman"/>
                    <w:szCs w:val="24"/>
                  </w:rPr>
                  <m:t>=</m:t>
                </m:r>
                <m:f>
                  <m:fPr>
                    <m:ctrlPr>
                      <w:rPr>
                        <w:rFonts w:ascii="Cambria Math" w:hAnsi="Cambria Math" w:cs="Times New Roman"/>
                        <w:b/>
                        <w:bCs/>
                        <w:szCs w:val="24"/>
                      </w:rPr>
                    </m:ctrlPr>
                  </m:fPr>
                  <m:num>
                    <m:r>
                      <m:rPr>
                        <m:sty m:val="bi"/>
                      </m:rPr>
                      <w:rPr>
                        <w:rFonts w:ascii="Cambria Math" w:hAnsi="Cambria Math" w:cs="Times New Roman"/>
                        <w:szCs w:val="24"/>
                      </w:rPr>
                      <m:t>ε(t)</m:t>
                    </m:r>
                  </m:num>
                  <m:den>
                    <m:sSub>
                      <m:sSubPr>
                        <m:ctrlPr>
                          <w:rPr>
                            <w:rFonts w:ascii="Cambria Math" w:hAnsi="Cambria Math" w:cs="Times New Roman"/>
                            <w:b/>
                            <w:bCs/>
                            <w:i/>
                            <w:szCs w:val="24"/>
                          </w:rPr>
                        </m:ctrlPr>
                      </m:sSubPr>
                      <m:e>
                        <m:r>
                          <m:rPr>
                            <m:sty m:val="bi"/>
                          </m:rPr>
                          <w:rPr>
                            <w:rFonts w:ascii="Cambria Math" w:hAnsi="Cambria Math" w:cs="Times New Roman"/>
                            <w:szCs w:val="24"/>
                          </w:rPr>
                          <m:t>σ</m:t>
                        </m:r>
                      </m:e>
                      <m:sub>
                        <m:r>
                          <m:rPr>
                            <m:sty m:val="bi"/>
                          </m:rPr>
                          <w:rPr>
                            <w:rFonts w:ascii="Cambria Math" w:hAnsi="Cambria Math" w:cs="Times New Roman"/>
                            <w:szCs w:val="24"/>
                          </w:rPr>
                          <m:t>0</m:t>
                        </m:r>
                      </m:sub>
                    </m:sSub>
                  </m:den>
                </m:f>
              </m:oMath>
            </m:oMathPara>
          </w:p>
        </w:tc>
        <w:tc>
          <w:tcPr>
            <w:tcW w:w="860" w:type="pct"/>
            <w:gridSpan w:val="2"/>
            <w:vAlign w:val="center"/>
          </w:tcPr>
          <w:p w14:paraId="24D1B98B" w14:textId="5E33E47F" w:rsidR="005F6831" w:rsidRPr="00C375E3" w:rsidRDefault="005F6831" w:rsidP="005F6831">
            <w:pPr>
              <w:jc w:val="right"/>
              <w:rPr>
                <w:rFonts w:cs="Times New Roman"/>
                <w:szCs w:val="24"/>
              </w:rPr>
            </w:pPr>
            <w:r>
              <w:rPr>
                <w:rFonts w:cs="Times New Roman"/>
                <w:szCs w:val="24"/>
              </w:rPr>
              <w:t>Equation 7</w:t>
            </w:r>
          </w:p>
        </w:tc>
      </w:tr>
      <w:tr w:rsidR="005F6831" w:rsidRPr="00C375E3" w14:paraId="7815776E" w14:textId="77777777" w:rsidTr="0084784B">
        <w:tc>
          <w:tcPr>
            <w:tcW w:w="5000" w:type="pct"/>
            <w:gridSpan w:val="3"/>
            <w:vAlign w:val="center"/>
          </w:tcPr>
          <w:p w14:paraId="4241F9B5" w14:textId="2794DB61" w:rsidR="005F6831" w:rsidRDefault="005F6831" w:rsidP="005F6831">
            <w:pPr>
              <w:rPr>
                <w:rFonts w:cs="Times New Roman"/>
                <w:szCs w:val="24"/>
              </w:rPr>
            </w:pPr>
            <w:r>
              <w:rPr>
                <w:rFonts w:cs="Times New Roman"/>
                <w:szCs w:val="24"/>
              </w:rPr>
              <w:t xml:space="preserve">where </w:t>
            </w:r>
            <m:oMath>
              <m:r>
                <w:rPr>
                  <w:rFonts w:ascii="Cambria Math" w:hAnsi="Cambria Math" w:cs="Times New Roman"/>
                  <w:szCs w:val="24"/>
                </w:rPr>
                <m:t>J(t)</m:t>
              </m:r>
            </m:oMath>
            <w:r>
              <w:rPr>
                <w:rFonts w:cs="Times New Roman"/>
                <w:szCs w:val="24"/>
              </w:rPr>
              <w:t xml:space="preserve"> is the creep compliance function</w:t>
            </w:r>
            <w:r w:rsidR="00135D06">
              <w:rPr>
                <w:rFonts w:cs="Times New Roman"/>
                <w:szCs w:val="24"/>
              </w:rPr>
              <w:t xml:space="preserve"> in MPa</w:t>
            </w:r>
            <w:r w:rsidR="00135D06" w:rsidRPr="00135D06">
              <w:rPr>
                <w:rFonts w:cs="Times New Roman"/>
                <w:szCs w:val="24"/>
                <w:vertAlign w:val="superscript"/>
              </w:rPr>
              <w:t>-1</w:t>
            </w:r>
            <w:r>
              <w:rPr>
                <w:rFonts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σ</m:t>
                  </m:r>
                </m:e>
                <m:sub>
                  <m:r>
                    <w:rPr>
                      <w:rFonts w:ascii="Cambria Math" w:hAnsi="Cambria Math" w:cs="Times New Roman"/>
                      <w:szCs w:val="24"/>
                    </w:rPr>
                    <m:t>0</m:t>
                  </m:r>
                </m:sub>
              </m:sSub>
            </m:oMath>
            <w:r>
              <w:rPr>
                <w:rFonts w:cs="Times New Roman"/>
                <w:szCs w:val="24"/>
              </w:rPr>
              <w:t xml:space="preserve"> is the initial applied </w:t>
            </w:r>
            <w:proofErr w:type="gramStart"/>
            <w:r>
              <w:rPr>
                <w:rFonts w:cs="Times New Roman"/>
                <w:szCs w:val="24"/>
              </w:rPr>
              <w:t>stress.</w:t>
            </w:r>
            <w:proofErr w:type="gramEnd"/>
          </w:p>
        </w:tc>
      </w:tr>
      <w:tr w:rsidR="005F6831" w:rsidRPr="00C375E3" w14:paraId="11455674" w14:textId="77777777" w:rsidTr="0084784B">
        <w:tc>
          <w:tcPr>
            <w:tcW w:w="4140" w:type="pct"/>
            <w:vAlign w:val="center"/>
          </w:tcPr>
          <w:p w14:paraId="0DC96449" w14:textId="775991EC" w:rsidR="005F6831" w:rsidRPr="005F6831" w:rsidRDefault="005F6831" w:rsidP="00C375E3">
            <w:pPr>
              <w:rPr>
                <w:rFonts w:eastAsia="Calibri" w:cs="Times New Roman"/>
                <w:b/>
                <w:bCs/>
                <w:szCs w:val="24"/>
              </w:rPr>
            </w:pPr>
            <m:oMathPara>
              <m:oMathParaPr>
                <m:jc m:val="left"/>
              </m:oMathParaPr>
              <m:oMath>
                <m:r>
                  <m:rPr>
                    <m:sty m:val="bi"/>
                  </m:rPr>
                  <w:rPr>
                    <w:rFonts w:ascii="Cambria Math" w:hAnsi="Cambria Math" w:cs="Times New Roman"/>
                    <w:szCs w:val="24"/>
                  </w:rPr>
                  <m:t>G(t)</m:t>
                </m:r>
                <m:r>
                  <m:rPr>
                    <m:sty m:val="b"/>
                  </m:rPr>
                  <w:rPr>
                    <w:rFonts w:ascii="Cambria Math" w:hAnsi="Cambria Math" w:cs="Times New Roman"/>
                    <w:szCs w:val="24"/>
                  </w:rPr>
                  <m:t>=</m:t>
                </m:r>
                <m:f>
                  <m:fPr>
                    <m:ctrlPr>
                      <w:rPr>
                        <w:rFonts w:ascii="Cambria Math" w:hAnsi="Cambria Math" w:cs="Times New Roman"/>
                        <w:b/>
                        <w:bCs/>
                        <w:szCs w:val="24"/>
                      </w:rPr>
                    </m:ctrlPr>
                  </m:fPr>
                  <m:num>
                    <m:r>
                      <m:rPr>
                        <m:sty m:val="bi"/>
                      </m:rPr>
                      <w:rPr>
                        <w:rFonts w:ascii="Cambria Math" w:hAnsi="Cambria Math" w:cs="Times New Roman"/>
                        <w:szCs w:val="24"/>
                      </w:rPr>
                      <m:t>σ(t)</m:t>
                    </m:r>
                  </m:num>
                  <m:den>
                    <m:sSub>
                      <m:sSubPr>
                        <m:ctrlPr>
                          <w:rPr>
                            <w:rFonts w:ascii="Cambria Math" w:hAnsi="Cambria Math" w:cs="Times New Roman"/>
                            <w:b/>
                            <w:bCs/>
                            <w:i/>
                            <w:szCs w:val="24"/>
                          </w:rPr>
                        </m:ctrlPr>
                      </m:sSubPr>
                      <m:e>
                        <m:r>
                          <m:rPr>
                            <m:sty m:val="bi"/>
                          </m:rPr>
                          <w:rPr>
                            <w:rFonts w:ascii="Cambria Math" w:hAnsi="Cambria Math" w:cs="Times New Roman"/>
                            <w:szCs w:val="24"/>
                          </w:rPr>
                          <m:t>ε</m:t>
                        </m:r>
                      </m:e>
                      <m:sub>
                        <m:r>
                          <m:rPr>
                            <m:sty m:val="bi"/>
                          </m:rPr>
                          <w:rPr>
                            <w:rFonts w:ascii="Cambria Math" w:hAnsi="Cambria Math" w:cs="Times New Roman"/>
                            <w:szCs w:val="24"/>
                          </w:rPr>
                          <m:t>0</m:t>
                        </m:r>
                      </m:sub>
                    </m:sSub>
                  </m:den>
                </m:f>
              </m:oMath>
            </m:oMathPara>
          </w:p>
        </w:tc>
        <w:tc>
          <w:tcPr>
            <w:tcW w:w="860" w:type="pct"/>
            <w:gridSpan w:val="2"/>
            <w:vAlign w:val="center"/>
          </w:tcPr>
          <w:p w14:paraId="0218ECE9" w14:textId="20B8D3EF" w:rsidR="005F6831" w:rsidRDefault="005F6831" w:rsidP="005F6831">
            <w:pPr>
              <w:jc w:val="right"/>
              <w:rPr>
                <w:rFonts w:cs="Times New Roman"/>
                <w:szCs w:val="24"/>
              </w:rPr>
            </w:pPr>
            <w:r>
              <w:rPr>
                <w:rFonts w:cs="Times New Roman"/>
                <w:szCs w:val="24"/>
              </w:rPr>
              <w:t>Equation 8</w:t>
            </w:r>
          </w:p>
        </w:tc>
      </w:tr>
      <w:tr w:rsidR="005F6831" w:rsidRPr="00C375E3" w14:paraId="47DB6259" w14:textId="77777777" w:rsidTr="0084784B">
        <w:tc>
          <w:tcPr>
            <w:tcW w:w="5000" w:type="pct"/>
            <w:gridSpan w:val="3"/>
            <w:vAlign w:val="center"/>
          </w:tcPr>
          <w:p w14:paraId="6160564B" w14:textId="000E4670" w:rsidR="005F6831" w:rsidRDefault="005F6831" w:rsidP="00C375E3">
            <w:pPr>
              <w:rPr>
                <w:rFonts w:cs="Times New Roman"/>
                <w:szCs w:val="24"/>
              </w:rPr>
            </w:pPr>
            <w:r>
              <w:rPr>
                <w:rFonts w:cs="Times New Roman"/>
                <w:szCs w:val="24"/>
              </w:rPr>
              <w:t xml:space="preserve">where </w:t>
            </w:r>
            <m:oMath>
              <m:r>
                <w:rPr>
                  <w:rFonts w:ascii="Cambria Math" w:hAnsi="Cambria Math" w:cs="Times New Roman"/>
                  <w:szCs w:val="24"/>
                </w:rPr>
                <m:t>G(t)</m:t>
              </m:r>
            </m:oMath>
            <w:r>
              <w:rPr>
                <w:rFonts w:cs="Times New Roman"/>
                <w:szCs w:val="24"/>
              </w:rPr>
              <w:t xml:space="preserve"> is the relaxation modulus function</w:t>
            </w:r>
            <w:r w:rsidR="00135D06">
              <w:rPr>
                <w:rFonts w:cs="Times New Roman"/>
                <w:szCs w:val="24"/>
              </w:rPr>
              <w:t xml:space="preserve"> in MPa</w:t>
            </w:r>
            <w:r>
              <w:rPr>
                <w:rFonts w:cs="Times New Roman"/>
                <w:szCs w:val="24"/>
              </w:rPr>
              <w:t xml:space="preserve">, and </w:t>
            </w:r>
            <m:oMath>
              <m:sSub>
                <m:sSubPr>
                  <m:ctrlPr>
                    <w:rPr>
                      <w:rFonts w:ascii="Cambria Math" w:hAnsi="Cambria Math" w:cs="Times New Roman"/>
                      <w:i/>
                      <w:szCs w:val="24"/>
                    </w:rPr>
                  </m:ctrlPr>
                </m:sSubPr>
                <m:e>
                  <m:r>
                    <w:rPr>
                      <w:rFonts w:ascii="Cambria Math" w:hAnsi="Cambria Math" w:cs="Times New Roman"/>
                      <w:szCs w:val="24"/>
                    </w:rPr>
                    <m:t>ε</m:t>
                  </m:r>
                </m:e>
                <m:sub>
                  <m:r>
                    <w:rPr>
                      <w:rFonts w:ascii="Cambria Math" w:hAnsi="Cambria Math" w:cs="Times New Roman"/>
                      <w:szCs w:val="24"/>
                    </w:rPr>
                    <m:t>0</m:t>
                  </m:r>
                </m:sub>
              </m:sSub>
            </m:oMath>
            <w:r>
              <w:rPr>
                <w:rFonts w:cs="Times New Roman"/>
                <w:szCs w:val="24"/>
              </w:rPr>
              <w:t xml:space="preserve"> is the initial applied </w:t>
            </w:r>
            <w:proofErr w:type="gramStart"/>
            <w:r>
              <w:rPr>
                <w:rFonts w:cs="Times New Roman"/>
                <w:szCs w:val="24"/>
              </w:rPr>
              <w:t>strain.</w:t>
            </w:r>
            <w:proofErr w:type="gramEnd"/>
          </w:p>
        </w:tc>
      </w:tr>
      <w:bookmarkEnd w:id="10"/>
    </w:tbl>
    <w:p w14:paraId="694B038C" w14:textId="3A7DD4E7" w:rsidR="005F6831" w:rsidRPr="005F6831" w:rsidRDefault="005F6831" w:rsidP="005F6831">
      <w:pPr>
        <w:rPr>
          <w:rFonts w:cs="Times New Roman"/>
          <w:szCs w:val="24"/>
        </w:rPr>
      </w:pPr>
    </w:p>
    <w:p w14:paraId="4D0D0206" w14:textId="77777777" w:rsidR="00C375E3" w:rsidRPr="00DD15C3" w:rsidRDefault="00C375E3" w:rsidP="00B62277">
      <w:pPr>
        <w:pStyle w:val="Heading1"/>
      </w:pPr>
      <w:r w:rsidRPr="00DD15C3">
        <w:t>Results</w:t>
      </w:r>
    </w:p>
    <w:p w14:paraId="07137AEC" w14:textId="77777777" w:rsidR="00C375E3" w:rsidRPr="00DD15C3" w:rsidRDefault="00C375E3" w:rsidP="00B62277">
      <w:pPr>
        <w:pStyle w:val="Heading2"/>
      </w:pPr>
      <w:r w:rsidRPr="00DD15C3">
        <w:t>Specimen characteristics</w:t>
      </w:r>
    </w:p>
    <w:p w14:paraId="133D027E" w14:textId="7B1FD0BF" w:rsidR="00C375E3" w:rsidRDefault="00C375E3" w:rsidP="00C375E3">
      <w:pPr>
        <w:rPr>
          <w:rFonts w:cs="Times New Roman"/>
          <w:szCs w:val="24"/>
        </w:rPr>
      </w:pPr>
      <w:r w:rsidRPr="00DD15C3">
        <w:rPr>
          <w:rFonts w:cs="Times New Roman"/>
          <w:szCs w:val="24"/>
        </w:rPr>
        <w:t xml:space="preserve">The </w:t>
      </w:r>
      <w:r w:rsidR="005C411A">
        <w:rPr>
          <w:rFonts w:cs="Times New Roman"/>
          <w:szCs w:val="24"/>
        </w:rPr>
        <w:t>CCL</w:t>
      </w:r>
      <w:r w:rsidRPr="00DD15C3">
        <w:rPr>
          <w:rFonts w:cs="Times New Roman"/>
          <w:szCs w:val="24"/>
        </w:rPr>
        <w:t xml:space="preserve"> specimens (n=6 paired knee joints) were of mixed gender (female = 1 and male = 5)</w:t>
      </w:r>
      <w:r w:rsidR="000D2DE1">
        <w:rPr>
          <w:rFonts w:cs="Times New Roman"/>
          <w:szCs w:val="24"/>
        </w:rPr>
        <w:t>,</w:t>
      </w:r>
      <w:r w:rsidRPr="00DD15C3">
        <w:rPr>
          <w:rFonts w:cs="Times New Roman"/>
          <w:szCs w:val="24"/>
        </w:rPr>
        <w:t xml:space="preserve"> and the bodyweight of the cadavers was in the range of 21.5 to 29.4 kg (mean ± standard deviation: 25.76 ± 3.12 kg).</w:t>
      </w:r>
    </w:p>
    <w:p w14:paraId="0E98391C" w14:textId="77777777" w:rsidR="00A67C97" w:rsidRPr="00DD15C3" w:rsidRDefault="00A67C97" w:rsidP="00C375E3">
      <w:pPr>
        <w:rPr>
          <w:rFonts w:cs="Times New Roman"/>
          <w:szCs w:val="24"/>
        </w:rPr>
      </w:pPr>
    </w:p>
    <w:p w14:paraId="26954822" w14:textId="77777777" w:rsidR="00C375E3" w:rsidRPr="00DD15C3" w:rsidRDefault="00C375E3" w:rsidP="00B62277">
      <w:pPr>
        <w:pStyle w:val="Heading2"/>
      </w:pPr>
      <w:r w:rsidRPr="00DD15C3">
        <w:t>Specimen length and cross-sectional area</w:t>
      </w:r>
    </w:p>
    <w:p w14:paraId="5130BA83" w14:textId="5DB61860" w:rsidR="00C375E3" w:rsidRDefault="00C375E3" w:rsidP="00C375E3">
      <w:pPr>
        <w:rPr>
          <w:rFonts w:cs="Times New Roman"/>
          <w:szCs w:val="24"/>
        </w:rPr>
      </w:pPr>
      <w:r w:rsidRPr="00DD15C3">
        <w:rPr>
          <w:rFonts w:cs="Times New Roman"/>
          <w:szCs w:val="24"/>
        </w:rPr>
        <w:t xml:space="preserve">The </w:t>
      </w:r>
      <w:r w:rsidR="005C411A">
        <w:rPr>
          <w:rFonts w:cs="Times New Roman"/>
          <w:szCs w:val="24"/>
        </w:rPr>
        <w:t>CCL</w:t>
      </w:r>
      <w:r w:rsidRPr="00DD15C3">
        <w:rPr>
          <w:rFonts w:cs="Times New Roman"/>
          <w:szCs w:val="24"/>
        </w:rPr>
        <w:t>s’ mean lengths and CSA ranged from 14.58 to 19.25 mm (mean ± standard deviation: 16.42 ± 1.33 mm) and from 16.07 to 31.57 mm</w:t>
      </w:r>
      <w:r w:rsidRPr="00225C28">
        <w:rPr>
          <w:rFonts w:cs="Times New Roman"/>
          <w:szCs w:val="24"/>
          <w:vertAlign w:val="superscript"/>
        </w:rPr>
        <w:t>2</w:t>
      </w:r>
      <w:r w:rsidRPr="00DD15C3">
        <w:rPr>
          <w:rFonts w:cs="Times New Roman"/>
          <w:szCs w:val="24"/>
        </w:rPr>
        <w:t xml:space="preserve"> (mean ± standard deviation: 23.79 ± 5.08 mm</w:t>
      </w:r>
      <w:r w:rsidRPr="00225C28">
        <w:rPr>
          <w:rFonts w:cs="Times New Roman"/>
          <w:szCs w:val="24"/>
          <w:vertAlign w:val="superscript"/>
        </w:rPr>
        <w:t>2</w:t>
      </w:r>
      <w:r w:rsidRPr="00DD15C3">
        <w:rPr>
          <w:rFonts w:cs="Times New Roman"/>
          <w:szCs w:val="24"/>
        </w:rPr>
        <w:t xml:space="preserve">), respectively. The length and CSA of each </w:t>
      </w:r>
      <w:r w:rsidR="005C411A">
        <w:rPr>
          <w:rFonts w:cs="Times New Roman"/>
          <w:szCs w:val="24"/>
        </w:rPr>
        <w:t>CCL</w:t>
      </w:r>
      <w:r w:rsidRPr="00DD15C3">
        <w:rPr>
          <w:rFonts w:cs="Times New Roman"/>
          <w:szCs w:val="24"/>
        </w:rPr>
        <w:t xml:space="preserve"> can be found in the Supplementary Materials (Table S2 and Table S3).</w:t>
      </w:r>
    </w:p>
    <w:p w14:paraId="2DD20CC4" w14:textId="77777777" w:rsidR="00A67C97" w:rsidRPr="00DD15C3" w:rsidRDefault="00A67C97" w:rsidP="00C375E3">
      <w:pPr>
        <w:rPr>
          <w:rFonts w:cs="Times New Roman"/>
          <w:szCs w:val="24"/>
        </w:rPr>
      </w:pPr>
    </w:p>
    <w:p w14:paraId="55700496" w14:textId="77777777" w:rsidR="00C375E3" w:rsidRPr="00DD15C3" w:rsidRDefault="00C375E3" w:rsidP="00B62277">
      <w:pPr>
        <w:pStyle w:val="Heading2"/>
      </w:pPr>
      <w:r w:rsidRPr="00DD15C3">
        <w:t>Biochemical assays</w:t>
      </w:r>
    </w:p>
    <w:p w14:paraId="456CD5E5" w14:textId="77777777" w:rsidR="00C375E3" w:rsidRPr="00C375E3" w:rsidRDefault="00C375E3" w:rsidP="00B62277">
      <w:pPr>
        <w:pStyle w:val="Heading3"/>
        <w:rPr>
          <w:rFonts w:eastAsia="Times New Roman"/>
          <w:lang w:eastAsia="en-GB"/>
        </w:rPr>
      </w:pPr>
      <w:r w:rsidRPr="00C375E3">
        <w:rPr>
          <w:rFonts w:eastAsia="Times New Roman"/>
          <w:lang w:eastAsia="en-GB"/>
        </w:rPr>
        <w:t>sGAG content</w:t>
      </w:r>
    </w:p>
    <w:p w14:paraId="405876D3" w14:textId="41DC563B" w:rsidR="00C375E3" w:rsidRPr="00DD15C3" w:rsidRDefault="00C375E3" w:rsidP="00C375E3">
      <w:pPr>
        <w:rPr>
          <w:rFonts w:cs="Times New Roman"/>
          <w:szCs w:val="24"/>
        </w:rPr>
      </w:pPr>
      <w:r w:rsidRPr="00DD15C3">
        <w:rPr>
          <w:rFonts w:cs="Times New Roman"/>
          <w:szCs w:val="24"/>
        </w:rPr>
        <w:t xml:space="preserve">The depletion process reduced sGAGs by approximately 19% in the </w:t>
      </w:r>
      <w:r w:rsidR="00A13A42">
        <w:rPr>
          <w:rFonts w:cs="Times New Roman"/>
          <w:szCs w:val="24"/>
        </w:rPr>
        <w:t>t</w:t>
      </w:r>
      <w:r w:rsidR="003E0E6F">
        <w:rPr>
          <w:rFonts w:cs="Times New Roman"/>
          <w:szCs w:val="24"/>
        </w:rPr>
        <w:t>reated</w:t>
      </w:r>
      <w:r w:rsidRPr="00DD15C3">
        <w:rPr>
          <w:rFonts w:cs="Times New Roman"/>
          <w:szCs w:val="24"/>
        </w:rPr>
        <w:t xml:space="preserve"> group (Table 1). The sGAG content of the </w:t>
      </w:r>
      <w:r w:rsidR="005C411A">
        <w:rPr>
          <w:rFonts w:cs="Times New Roman"/>
          <w:szCs w:val="24"/>
        </w:rPr>
        <w:t>CCL</w:t>
      </w:r>
      <w:r w:rsidRPr="00DD15C3">
        <w:rPr>
          <w:rFonts w:cs="Times New Roman"/>
          <w:szCs w:val="24"/>
        </w:rPr>
        <w:t xml:space="preserve">s in the </w:t>
      </w:r>
      <w:r w:rsidR="00A13A42">
        <w:rPr>
          <w:rFonts w:cs="Times New Roman"/>
          <w:szCs w:val="24"/>
        </w:rPr>
        <w:t>t</w:t>
      </w:r>
      <w:r w:rsidR="003E0E6F">
        <w:rPr>
          <w:rFonts w:cs="Times New Roman"/>
          <w:szCs w:val="24"/>
        </w:rPr>
        <w:t>reated</w:t>
      </w:r>
      <w:r w:rsidRPr="00DD15C3">
        <w:rPr>
          <w:rFonts w:cs="Times New Roman"/>
          <w:szCs w:val="24"/>
        </w:rPr>
        <w:t xml:space="preserve"> group ranged from 1.7 to 4.7% (mean ± standard deviation: 3.1 ± 1.1%) as a percentage of dry weight, whereas the range was 2.2 to 6.6% (mean ± standard deviation: 3.8 ± 1.6%) in the control group. </w:t>
      </w:r>
    </w:p>
    <w:p w14:paraId="1CD3421D" w14:textId="77777777" w:rsidR="00C375E3" w:rsidRPr="00C375E3" w:rsidRDefault="00C375E3" w:rsidP="00B62277">
      <w:pPr>
        <w:pStyle w:val="Heading3"/>
        <w:rPr>
          <w:rFonts w:eastAsia="Times New Roman"/>
          <w:lang w:eastAsia="en-GB"/>
        </w:rPr>
      </w:pPr>
      <w:r w:rsidRPr="00C375E3">
        <w:rPr>
          <w:rFonts w:eastAsia="Times New Roman"/>
          <w:lang w:eastAsia="en-GB"/>
        </w:rPr>
        <w:t>Water content</w:t>
      </w:r>
    </w:p>
    <w:p w14:paraId="51CFF98B" w14:textId="76CCAA9C" w:rsidR="00C375E3" w:rsidRDefault="00C375E3" w:rsidP="00C375E3">
      <w:pPr>
        <w:rPr>
          <w:rFonts w:cs="Times New Roman"/>
          <w:szCs w:val="24"/>
        </w:rPr>
      </w:pPr>
      <w:r w:rsidRPr="00DD15C3">
        <w:rPr>
          <w:rFonts w:cs="Times New Roman"/>
          <w:szCs w:val="24"/>
        </w:rPr>
        <w:t xml:space="preserve">The depletion process reduced water content by approximately 4% in the </w:t>
      </w:r>
      <w:r w:rsidR="00A13A42">
        <w:rPr>
          <w:rFonts w:cs="Times New Roman"/>
          <w:szCs w:val="24"/>
        </w:rPr>
        <w:t>t</w:t>
      </w:r>
      <w:r w:rsidR="003E0E6F">
        <w:rPr>
          <w:rFonts w:cs="Times New Roman"/>
          <w:szCs w:val="24"/>
        </w:rPr>
        <w:t>reated</w:t>
      </w:r>
      <w:r w:rsidRPr="00DD15C3">
        <w:rPr>
          <w:rFonts w:cs="Times New Roman"/>
          <w:szCs w:val="24"/>
        </w:rPr>
        <w:t xml:space="preserve"> group (Table 2). The water content of the </w:t>
      </w:r>
      <w:r w:rsidR="005C411A">
        <w:rPr>
          <w:rFonts w:cs="Times New Roman"/>
          <w:szCs w:val="24"/>
        </w:rPr>
        <w:t>CCL</w:t>
      </w:r>
      <w:r w:rsidRPr="00DD15C3">
        <w:rPr>
          <w:rFonts w:cs="Times New Roman"/>
          <w:szCs w:val="24"/>
        </w:rPr>
        <w:t xml:space="preserve">s in the </w:t>
      </w:r>
      <w:r w:rsidR="00A13A42">
        <w:rPr>
          <w:rFonts w:cs="Times New Roman"/>
          <w:szCs w:val="24"/>
        </w:rPr>
        <w:t>t</w:t>
      </w:r>
      <w:r w:rsidR="003E0E6F">
        <w:rPr>
          <w:rFonts w:cs="Times New Roman"/>
          <w:szCs w:val="24"/>
        </w:rPr>
        <w:t>reated</w:t>
      </w:r>
      <w:r w:rsidRPr="00DD15C3">
        <w:rPr>
          <w:rFonts w:cs="Times New Roman"/>
          <w:szCs w:val="24"/>
        </w:rPr>
        <w:t xml:space="preserve"> group ranged from 65.7 to 73.3% (mean ± standard deviation: 69.4 ± 3.0%), whereas the range was 64.7 to 77.4% (mean ± standard deviation: 72.3 ± 4.2%) in the control group. </w:t>
      </w:r>
      <w:r w:rsidR="00225C28">
        <w:rPr>
          <w:rFonts w:cs="Times New Roman"/>
          <w:szCs w:val="24"/>
        </w:rPr>
        <w:t xml:space="preserve"> </w:t>
      </w:r>
    </w:p>
    <w:p w14:paraId="028A16B7" w14:textId="77777777" w:rsidR="00A67C97" w:rsidRPr="00DD15C3" w:rsidRDefault="00A67C97" w:rsidP="00C375E3">
      <w:pPr>
        <w:rPr>
          <w:rFonts w:cs="Times New Roman"/>
          <w:szCs w:val="24"/>
        </w:rPr>
      </w:pPr>
    </w:p>
    <w:p w14:paraId="32A524FC" w14:textId="77777777" w:rsidR="00C375E3" w:rsidRPr="00DD15C3" w:rsidRDefault="00C375E3" w:rsidP="00B62277">
      <w:pPr>
        <w:pStyle w:val="Heading2"/>
      </w:pPr>
      <w:r w:rsidRPr="00DD15C3">
        <w:t>Mechanical properties</w:t>
      </w:r>
    </w:p>
    <w:p w14:paraId="0488A913" w14:textId="77777777" w:rsidR="00C375E3" w:rsidRPr="00C375E3" w:rsidRDefault="00C375E3" w:rsidP="00B62277">
      <w:pPr>
        <w:pStyle w:val="Heading3"/>
        <w:rPr>
          <w:rFonts w:eastAsia="Times New Roman"/>
          <w:lang w:eastAsia="en-GB"/>
        </w:rPr>
      </w:pPr>
      <w:r w:rsidRPr="00C375E3">
        <w:rPr>
          <w:rFonts w:eastAsia="Times New Roman"/>
          <w:lang w:eastAsia="en-GB"/>
        </w:rPr>
        <w:t>Stress-strain</w:t>
      </w:r>
    </w:p>
    <w:p w14:paraId="09CAE2FF" w14:textId="464EAAA8" w:rsidR="00C375E3" w:rsidRPr="00DD15C3" w:rsidRDefault="00C375E3" w:rsidP="00C375E3">
      <w:pPr>
        <w:rPr>
          <w:rFonts w:cs="Times New Roman"/>
          <w:szCs w:val="24"/>
        </w:rPr>
      </w:pPr>
      <w:r w:rsidRPr="00DD15C3">
        <w:rPr>
          <w:rFonts w:cs="Times New Roman"/>
          <w:szCs w:val="24"/>
        </w:rPr>
        <w:t xml:space="preserve">The experimental setup was designed to focus on the toe-region of the stress-strain curves where the extracellular matrix, including the PGs, is expected to affect the </w:t>
      </w:r>
      <w:r w:rsidR="005C411A">
        <w:rPr>
          <w:rFonts w:cs="Times New Roman"/>
          <w:szCs w:val="24"/>
        </w:rPr>
        <w:t>CCL</w:t>
      </w:r>
      <w:r w:rsidRPr="00DD15C3">
        <w:rPr>
          <w:rFonts w:cs="Times New Roman"/>
          <w:szCs w:val="24"/>
        </w:rPr>
        <w:t xml:space="preserve"> mechanics  </w:t>
      </w:r>
      <w:r w:rsidRPr="00DD15C3">
        <w:rPr>
          <w:rFonts w:cs="Times New Roman"/>
          <w:szCs w:val="24"/>
        </w:rPr>
        <w:fldChar w:fldCharType="begin"/>
      </w:r>
      <w:r w:rsidR="0097525F">
        <w:rPr>
          <w:rFonts w:cs="Times New Roman"/>
          <w:szCs w:val="24"/>
        </w:rPr>
        <w:instrText xml:space="preserve"> ADDIN ZOTERO_ITEM CSL_CITATION {"citationID":"CwuORc04","properties":{"formattedCitation":"(Eshel and Lanir, 2001; Lujan et al., 2009; Henninger et al., 2010; Eckert et al., 2013)","plainCitation":"(Eshel and Lanir, 2001; Lujan et al., 2009; Henninger et al., 2010; Eckert et al., 2013)","noteIndex":0},"citationItems":[{"id":2966,"uris":["http://zotero.org/users/5692498/items/QCW39JZN"],"itemData":{"id":2966,"type":"article-journal","abstract":"Dermatan and chondroitin sulfate glycosaminoglycans (GAGs) comprise over 90% of the GAG content in ligament. Studies of their mechanical contribution to soft tissues have reported conflicting results. Measuring the transient compressive response and biphasic material parameters of the tissue may elucidate the contributions of GAGs to the viscoelastic response to deformation. The hypotheses of the current study were that digestion of sulfated GAGs would decrease compressive stress and aggregate modulus while increasing the permeability of porcine medial collateral ligament (MCL). Confined compression stress relaxation experiments were carried out on porcine MCL and tissue treated with chondroitinase ABC (ChABC). Results were fit to a biphasic constitutive model to derive permeability and aggregate modulus. Bovine articular cartilage was used as a benchmark tissue to verify that the apparatus provided reliable results. GAG digestion removed up to 88% of sulfated GAGs from the ligament. Removal of sulfated GAGs increased the permeability of porcine MCL nearly 6-fold versus control tissues. Peak stress decreased significantly. Bovine articular cartilage exhibited the typical reduction of GAG content and resultant decreases in stress and modulus and increases in permeability with ChABC digestion. Given the relatively small amount of GAG in ligament (&lt;1% of tissue dry weight) and the significant change in peak stress and permeability upon removal of GAGs, sulfated GAGs may play a significant role in maintaining the apposition of collagen fibrils in the transverse direction, thus supporting dynamic compressive loads experienced by the ligament during complex joint motion.","container-title":"Journal of Biomechanics","DOI":"10.1016/j.jbiomech.2010.05.012","ISSN":"0021-9290","issue":"13","journalAbbreviation":"Journal of Biomechanics","language":"en","page":"2567-2573","source":"ScienceDirect","title":"Effect of sulfated glycosaminoglycan digestion on the transverse permeability of medial collateral ligament","volume":"43","author":[{"family":"Henninger","given":"Heath B."},{"family":"Underwood","given":"Clayton J."},{"family":"Ateshian","given":"Gerard A."},{"family":"Weiss","given":"Jeffrey A."}],"issued":{"date-parts":[["2010",9,17]]}}},{"id":2963,"uris":["http://zotero.org/users/5692498/items/C59ACT4I"],"itemData":{"id":2963,"type":"article-journal","abstract":"The viscoelastic properties of human ligament potentially guard against structural failure, yet the microstructural origins of these transient behaviors are unknown. Glycosaminoglycans (GAGs) are widely suspected to affect ligament viscoelasticity by forming molecular bridges between neighboring collagen fibrils. This study investigated whether GAGs directly affect viscoelastic material behavior in human medial collateral ligament (MCL) by using nondestructive tensile tests before and after degradation of GAGs with chondroitinase ABC (ChABC). Control and ChABC treatment (83% GAG removal) produced similar alterations to ligament viscoelasticity. This finding was consistent at different levels of collagen fiber stretch and tissue hydration. On average, stress relaxation increased after incubation by 2.2% (control) and 2.1% (ChABC), dynamic modulus increased after incubation by 3.6% (control) and 3.8% (ChABC), and phase shift increased after incubation by 8.5% (control) and 8.4% (ChABC). The changes in viscoelastic behavior after treatment were significantly more pronounced at lower clamp-to-clamp strain levels. A 10% difference in the water content of tested specimens had minor influence on ligament viscoelastic properties. The major finding of this study is that mechanical interactions between collagen fibrils and GAGs are unrelated to tissue-level viscoelastic mechanics in mature human MCL. These findings narrow the possible number of extracellular matrix molecules that have a direct contribution to ligament viscoelasticity.","container-title":"Journal of Applied Physiology","DOI":"10.1152/japplphysiol.90748.2008","ISSN":"8750-7587","issue":"2","note":"publisher: American Physiological Society","page":"423-431","source":"journals.physiology.org (Atypon)","title":"Contribution of glycosaminoglycans to viscoelastic tensile behavior of human ligament","volume":"106","author":[{"family":"Lujan","given":"Trevor J."},{"family":"Underwood","given":"Clayton J."},{"family":"Jacobs","given":"Nathan T."},{"family":"Weiss","given":"Jeffrey A."}],"issued":{"date-parts":[["2009",2,1]]}}},{"id":3188,"uris":["http://zotero.org/users/5692498/items/AWUIYQWE"],"itemData":{"id":3188,"type":"article-journal","abstract":"The mechanical response of rat dorsal skin was experimentally studied under cyclic uniaxial ramp stretches to various strain levels. Special emphasis was paid to the effects of the preconditioning protocol on the stress-strain relationship, and to the effects of ramp strain level and proteoglycan (PG) depletion, on viscoelasticity and preconditioning responses. The results show that preconditioning significantly reduced both the slope of the low strain stress-strain relationship, and the stress levels at consecutive stretch cycles. Following a short rest there was a significant partial recovery. Stress decay due to preconditioning was significant at all strain levels, and increased with strain. Stress relaxation was significant at all strain levels, but varied little with strain. Recovery following a 10 min rest was minor at all strain levels and varied little with strain. PG-depleted samples manifested similar response patterns. These results are consistent with the following notion: (1) skin consists of three mechanical components: elastin and proteoglycan which dominate the low strain response and are effected by preconditioning and (PG) depletion, and collagen which dominates the high strain response and is unaffected by preconditioning and PG depletion; (2) that the viscoelasticity of elastin and PG vs that of collagen are similar, so that rat dorsal skin can be regarded quasilinear viscoelastic.","container-title":"Annals of Biomedical Engineering","DOI":"10.1114/1.1349697","ISSN":"0090-6964","issue":"2","journalAbbreviation":"Ann Biomed Eng","language":"eng","note":"PMID: 11284671","page":"164-172","source":"PubMed","title":"Effects of strain level and proteoglycan depletion on preconditioning and viscoelastic responses of rat dorsal skin","volume":"29","author":[{"family":"Eshel","given":"H."},{"family":"Lanir","given":"Y."}],"issued":{"date-parts":[["2001",2]]}}},{"id":913,"uris":["http://zotero.org/users/5692498/items/BE8DU7UF"],"itemData":{"id":913,"type":"article-journal","container-title":"Acta Biomaterialia","DOI":"10.1016/j.actbio.2012.09.031","ISSN":"1878-7568 (Electronic) 1742-7061 (Linking)","issue":"1","note":"type: Journal Article\nCitation Key: RN1445","page":"4653-4660","title":"On the biomechanical role of glycosaminoglycans in the aortic heart valve leaflet","volume":"9","author":[{"family":"Eckert","given":"C E"},{"family":"Fan","given":"R"},{"family":"Mikulis","given":"B"},{"family":"Barron","given":"M"},{"family":"Carruthers","given":"C A"},{"family":"Friebe","given":"V M"},{"family":"Vyavahare","given":"N R"},{"family":"Sacks","given":"M S"}],"issued":{"date-parts":[["2013"]]}}}],"schema":"https://github.com/citation-style-language/schema/raw/master/csl-citation.json"} </w:instrText>
      </w:r>
      <w:r w:rsidRPr="00DD15C3">
        <w:rPr>
          <w:rFonts w:cs="Times New Roman"/>
          <w:szCs w:val="24"/>
        </w:rPr>
        <w:fldChar w:fldCharType="separate"/>
      </w:r>
      <w:r w:rsidR="0097525F" w:rsidRPr="0097525F">
        <w:rPr>
          <w:rFonts w:cs="Times New Roman"/>
        </w:rPr>
        <w:t>(Eshel and Lanir, 2001; Lujan et al., 2009; Henninger et al., 2010; Eckert et al., 2013)</w:t>
      </w:r>
      <w:r w:rsidRPr="00DD15C3">
        <w:rPr>
          <w:rFonts w:cs="Times New Roman"/>
          <w:szCs w:val="24"/>
        </w:rPr>
        <w:fldChar w:fldCharType="end"/>
      </w:r>
      <w:r w:rsidRPr="00DD15C3">
        <w:rPr>
          <w:rFonts w:cs="Times New Roman"/>
          <w:szCs w:val="24"/>
        </w:rPr>
        <w:t xml:space="preserve">. The stress-strain </w:t>
      </w:r>
      <w:r w:rsidR="00AB5D1F">
        <w:rPr>
          <w:rFonts w:cs="Times New Roman"/>
          <w:szCs w:val="24"/>
        </w:rPr>
        <w:t>behaviour</w:t>
      </w:r>
      <w:r w:rsidRPr="00DD15C3">
        <w:rPr>
          <w:rFonts w:cs="Times New Roman"/>
          <w:szCs w:val="24"/>
        </w:rPr>
        <w:t xml:space="preserve"> of the </w:t>
      </w:r>
      <w:r w:rsidR="005C411A">
        <w:rPr>
          <w:rFonts w:cs="Times New Roman"/>
          <w:szCs w:val="24"/>
        </w:rPr>
        <w:t>CCL</w:t>
      </w:r>
      <w:r w:rsidRPr="00DD15C3">
        <w:rPr>
          <w:rFonts w:cs="Times New Roman"/>
          <w:szCs w:val="24"/>
        </w:rPr>
        <w:t xml:space="preserve">s in control and </w:t>
      </w:r>
      <w:r w:rsidR="00A13A42">
        <w:rPr>
          <w:rFonts w:cs="Times New Roman"/>
          <w:szCs w:val="24"/>
        </w:rPr>
        <w:t>t</w:t>
      </w:r>
      <w:r w:rsidR="003E0E6F">
        <w:rPr>
          <w:rFonts w:cs="Times New Roman"/>
          <w:szCs w:val="24"/>
        </w:rPr>
        <w:t>reated</w:t>
      </w:r>
      <w:r w:rsidRPr="00DD15C3">
        <w:rPr>
          <w:rFonts w:cs="Times New Roman"/>
          <w:szCs w:val="24"/>
        </w:rPr>
        <w:t xml:space="preserve"> groups followed a similar pattern</w:t>
      </w:r>
      <w:r w:rsidR="00AB5D1F">
        <w:rPr>
          <w:rFonts w:cs="Times New Roman"/>
          <w:szCs w:val="24"/>
        </w:rPr>
        <w:t xml:space="preserve">, showing strain rate dependencies </w:t>
      </w:r>
      <w:r w:rsidRPr="00DD15C3">
        <w:rPr>
          <w:rFonts w:cs="Times New Roman"/>
          <w:szCs w:val="24"/>
        </w:rPr>
        <w:t>(</w:t>
      </w:r>
      <w:r w:rsidR="00AB5D1F">
        <w:rPr>
          <w:rFonts w:cs="Times New Roman"/>
          <w:szCs w:val="24"/>
        </w:rPr>
        <w:t>Figure</w:t>
      </w:r>
      <w:r w:rsidRPr="00DD15C3">
        <w:rPr>
          <w:rFonts w:cs="Times New Roman"/>
          <w:szCs w:val="24"/>
        </w:rPr>
        <w:t xml:space="preserve"> 1</w:t>
      </w:r>
      <w:r w:rsidR="00AB5D1F">
        <w:rPr>
          <w:rFonts w:cs="Times New Roman"/>
          <w:szCs w:val="24"/>
        </w:rPr>
        <w:t>a, b and c</w:t>
      </w:r>
      <w:r w:rsidRPr="00DD15C3">
        <w:rPr>
          <w:rFonts w:cs="Times New Roman"/>
          <w:szCs w:val="24"/>
        </w:rPr>
        <w:t>)</w:t>
      </w:r>
      <w:r w:rsidR="00AB5D1F">
        <w:rPr>
          <w:rFonts w:cs="Times New Roman"/>
          <w:szCs w:val="24"/>
        </w:rPr>
        <w:t xml:space="preserve">. For example, </w:t>
      </w:r>
      <w:r w:rsidR="005B5FEE">
        <w:rPr>
          <w:rFonts w:cs="Times New Roman"/>
          <w:szCs w:val="24"/>
        </w:rPr>
        <w:t xml:space="preserve">the </w:t>
      </w:r>
      <w:r w:rsidR="00AB5D1F">
        <w:rPr>
          <w:rFonts w:cs="Times New Roman"/>
          <w:szCs w:val="24"/>
        </w:rPr>
        <w:t>stress-strain behaviour of specimens in both groups showed an increase in stiffness with increasing strain rates from 0.1 to 1 and then to 10%/min</w:t>
      </w:r>
      <w:r w:rsidRPr="00DD15C3">
        <w:rPr>
          <w:rFonts w:cs="Times New Roman"/>
          <w:szCs w:val="24"/>
        </w:rPr>
        <w:t xml:space="preserve">. </w:t>
      </w:r>
    </w:p>
    <w:p w14:paraId="477300BE" w14:textId="66DA78DD" w:rsidR="00C375E3" w:rsidRPr="00DD15C3" w:rsidRDefault="00C375E3" w:rsidP="00C375E3">
      <w:pPr>
        <w:rPr>
          <w:rFonts w:cs="Times New Roman"/>
          <w:szCs w:val="24"/>
        </w:rPr>
      </w:pPr>
      <w:r w:rsidRPr="00DD15C3">
        <w:rPr>
          <w:rFonts w:cs="Times New Roman"/>
          <w:szCs w:val="24"/>
        </w:rPr>
        <w:t xml:space="preserve">The </w:t>
      </w:r>
      <w:r w:rsidR="005C411A">
        <w:rPr>
          <w:rFonts w:cs="Times New Roman"/>
          <w:szCs w:val="24"/>
        </w:rPr>
        <w:t>CCL</w:t>
      </w:r>
      <w:r w:rsidRPr="00DD15C3">
        <w:rPr>
          <w:rFonts w:cs="Times New Roman"/>
          <w:szCs w:val="24"/>
        </w:rPr>
        <w:t xml:space="preserve">s in the </w:t>
      </w:r>
      <w:r w:rsidR="00A13A42">
        <w:rPr>
          <w:rFonts w:cs="Times New Roman"/>
          <w:szCs w:val="24"/>
        </w:rPr>
        <w:t>t</w:t>
      </w:r>
      <w:r w:rsidR="003E0E6F">
        <w:rPr>
          <w:rFonts w:cs="Times New Roman"/>
          <w:szCs w:val="24"/>
        </w:rPr>
        <w:t>reated</w:t>
      </w:r>
      <w:r w:rsidRPr="00DD15C3">
        <w:rPr>
          <w:rFonts w:cs="Times New Roman"/>
          <w:szCs w:val="24"/>
        </w:rPr>
        <w:t xml:space="preserve"> group </w:t>
      </w:r>
      <w:r w:rsidR="00AB5D1F">
        <w:rPr>
          <w:rFonts w:cs="Times New Roman"/>
          <w:szCs w:val="24"/>
        </w:rPr>
        <w:t>illustrate</w:t>
      </w:r>
      <w:r w:rsidRPr="00DD15C3">
        <w:rPr>
          <w:rFonts w:cs="Times New Roman"/>
          <w:szCs w:val="24"/>
        </w:rPr>
        <w:t xml:space="preserve"> higher stress </w:t>
      </w:r>
      <w:r w:rsidR="00AB5D1F">
        <w:rPr>
          <w:rFonts w:cs="Times New Roman"/>
          <w:szCs w:val="24"/>
        </w:rPr>
        <w:t xml:space="preserve">values </w:t>
      </w:r>
      <w:r w:rsidRPr="00DD15C3">
        <w:rPr>
          <w:rFonts w:cs="Times New Roman"/>
          <w:szCs w:val="24"/>
        </w:rPr>
        <w:t>than</w:t>
      </w:r>
      <w:r w:rsidR="00AB5D1F">
        <w:rPr>
          <w:rFonts w:cs="Times New Roman"/>
          <w:szCs w:val="24"/>
        </w:rPr>
        <w:t xml:space="preserve"> those in</w:t>
      </w:r>
      <w:r w:rsidRPr="00DD15C3">
        <w:rPr>
          <w:rFonts w:cs="Times New Roman"/>
          <w:szCs w:val="24"/>
        </w:rPr>
        <w:t xml:space="preserve"> the control group.</w:t>
      </w:r>
      <w:r w:rsidR="00AB5D1F">
        <w:rPr>
          <w:rFonts w:cs="Times New Roman"/>
          <w:szCs w:val="24"/>
        </w:rPr>
        <w:t xml:space="preserve"> </w:t>
      </w:r>
      <w:r w:rsidRPr="00DD15C3">
        <w:rPr>
          <w:rFonts w:cs="Times New Roman"/>
          <w:szCs w:val="24"/>
        </w:rPr>
        <w:t xml:space="preserve">During loading at 0.1 %/min </w:t>
      </w:r>
      <w:r>
        <w:rPr>
          <w:rFonts w:cs="Times New Roman"/>
          <w:szCs w:val="24"/>
        </w:rPr>
        <w:t>strain</w:t>
      </w:r>
      <w:r w:rsidR="000D2DE1">
        <w:rPr>
          <w:rFonts w:cs="Times New Roman"/>
          <w:szCs w:val="24"/>
        </w:rPr>
        <w:t xml:space="preserve"> </w:t>
      </w:r>
      <w:r>
        <w:rPr>
          <w:rFonts w:cs="Times New Roman"/>
          <w:szCs w:val="24"/>
        </w:rPr>
        <w:t>rate</w:t>
      </w:r>
      <w:r w:rsidRPr="00DD15C3">
        <w:rPr>
          <w:rFonts w:cs="Times New Roman"/>
          <w:szCs w:val="24"/>
        </w:rPr>
        <w:t xml:space="preserve">, </w:t>
      </w:r>
      <w:r w:rsidR="00AB5D1F">
        <w:rPr>
          <w:rFonts w:cs="Times New Roman"/>
          <w:szCs w:val="24"/>
        </w:rPr>
        <w:t xml:space="preserve">the mean stress </w:t>
      </w:r>
      <w:r w:rsidRPr="00DD15C3">
        <w:rPr>
          <w:rFonts w:cs="Times New Roman"/>
          <w:szCs w:val="24"/>
        </w:rPr>
        <w:t>at</w:t>
      </w:r>
      <w:r w:rsidR="00AB5D1F">
        <w:rPr>
          <w:rFonts w:cs="Times New Roman"/>
          <w:szCs w:val="24"/>
        </w:rPr>
        <w:t xml:space="preserve"> 5</w:t>
      </w:r>
      <w:r w:rsidRPr="00DD15C3">
        <w:rPr>
          <w:rFonts w:cs="Times New Roman"/>
          <w:szCs w:val="24"/>
        </w:rPr>
        <w:t xml:space="preserve">% strain </w:t>
      </w:r>
      <w:r w:rsidR="00AB5D1F">
        <w:rPr>
          <w:rFonts w:cs="Times New Roman"/>
          <w:szCs w:val="24"/>
        </w:rPr>
        <w:t>was</w:t>
      </w:r>
      <w:r w:rsidRPr="00DD15C3">
        <w:rPr>
          <w:rFonts w:cs="Times New Roman"/>
          <w:szCs w:val="24"/>
        </w:rPr>
        <w:t xml:space="preserve"> </w:t>
      </w:r>
      <w:r w:rsidR="00AB5D1F">
        <w:rPr>
          <w:rFonts w:cs="Times New Roman"/>
          <w:szCs w:val="24"/>
        </w:rPr>
        <w:t>0.5</w:t>
      </w:r>
      <w:r w:rsidRPr="00DD15C3">
        <w:rPr>
          <w:rFonts w:cs="Times New Roman"/>
          <w:szCs w:val="24"/>
        </w:rPr>
        <w:t xml:space="preserve"> </w:t>
      </w:r>
      <w:r w:rsidR="00AB5D1F">
        <w:rPr>
          <w:rFonts w:cs="Times New Roman"/>
          <w:szCs w:val="24"/>
        </w:rPr>
        <w:t xml:space="preserve">MPa </w:t>
      </w:r>
      <w:r w:rsidRPr="00DD15C3">
        <w:rPr>
          <w:rFonts w:cs="Times New Roman"/>
          <w:szCs w:val="24"/>
        </w:rPr>
        <w:t xml:space="preserve">in </w:t>
      </w:r>
      <w:r w:rsidR="005B5FEE">
        <w:rPr>
          <w:rFonts w:cs="Times New Roman"/>
          <w:szCs w:val="24"/>
        </w:rPr>
        <w:t xml:space="preserve">the </w:t>
      </w:r>
      <w:r w:rsidRPr="00DD15C3">
        <w:rPr>
          <w:rFonts w:cs="Times New Roman"/>
          <w:szCs w:val="24"/>
        </w:rPr>
        <w:t xml:space="preserve">control and </w:t>
      </w:r>
      <w:r w:rsidR="00AB5D1F">
        <w:rPr>
          <w:rFonts w:cs="Times New Roman"/>
          <w:szCs w:val="24"/>
        </w:rPr>
        <w:t>0.65</w:t>
      </w:r>
      <w:r w:rsidRPr="00DD15C3">
        <w:rPr>
          <w:rFonts w:cs="Times New Roman"/>
          <w:szCs w:val="24"/>
        </w:rPr>
        <w:t xml:space="preserve"> MPa in the </w:t>
      </w:r>
      <w:r w:rsidR="00A13A42">
        <w:rPr>
          <w:rFonts w:cs="Times New Roman"/>
          <w:szCs w:val="24"/>
        </w:rPr>
        <w:t>t</w:t>
      </w:r>
      <w:r w:rsidR="003E0E6F">
        <w:rPr>
          <w:rFonts w:cs="Times New Roman"/>
          <w:szCs w:val="24"/>
        </w:rPr>
        <w:t>reated</w:t>
      </w:r>
      <w:r w:rsidRPr="00DD15C3">
        <w:rPr>
          <w:rFonts w:cs="Times New Roman"/>
          <w:szCs w:val="24"/>
        </w:rPr>
        <w:t xml:space="preserve"> groups</w:t>
      </w:r>
      <w:r w:rsidR="00AB5D1F">
        <w:rPr>
          <w:rFonts w:cs="Times New Roman"/>
          <w:szCs w:val="24"/>
        </w:rPr>
        <w:t xml:space="preserve"> (Figure 1a)</w:t>
      </w:r>
      <w:r w:rsidRPr="00DD15C3">
        <w:rPr>
          <w:rFonts w:cs="Times New Roman"/>
          <w:szCs w:val="24"/>
        </w:rPr>
        <w:t xml:space="preserve">. Similar patterns were found during loading at 1 and 10%/min </w:t>
      </w:r>
      <w:r>
        <w:rPr>
          <w:rFonts w:cs="Times New Roman"/>
          <w:szCs w:val="24"/>
        </w:rPr>
        <w:t>strain</w:t>
      </w:r>
      <w:r w:rsidR="00AB5D1F">
        <w:rPr>
          <w:rFonts w:cs="Times New Roman"/>
          <w:szCs w:val="24"/>
        </w:rPr>
        <w:t xml:space="preserve"> </w:t>
      </w:r>
      <w:r>
        <w:rPr>
          <w:rFonts w:cs="Times New Roman"/>
          <w:szCs w:val="24"/>
        </w:rPr>
        <w:t>rate</w:t>
      </w:r>
      <w:r w:rsidRPr="00DD15C3">
        <w:rPr>
          <w:rFonts w:cs="Times New Roman"/>
          <w:szCs w:val="24"/>
        </w:rPr>
        <w:t>s</w:t>
      </w:r>
      <w:r w:rsidR="00AB5D1F">
        <w:rPr>
          <w:rFonts w:cs="Times New Roman"/>
          <w:szCs w:val="24"/>
        </w:rPr>
        <w:t xml:space="preserve">. During 1%/min strain rate, the mean stress at 5% strain was </w:t>
      </w:r>
      <w:r w:rsidR="005031D5">
        <w:rPr>
          <w:rFonts w:cs="Times New Roman"/>
          <w:szCs w:val="24"/>
        </w:rPr>
        <w:t>0.71</w:t>
      </w:r>
      <w:r w:rsidR="00AB5D1F">
        <w:rPr>
          <w:rFonts w:cs="Times New Roman"/>
          <w:szCs w:val="24"/>
        </w:rPr>
        <w:t xml:space="preserve"> MPa in the control and </w:t>
      </w:r>
      <w:r w:rsidR="005031D5">
        <w:rPr>
          <w:rFonts w:cs="Times New Roman"/>
          <w:szCs w:val="24"/>
        </w:rPr>
        <w:t>0.77</w:t>
      </w:r>
      <w:r w:rsidR="00AB5D1F">
        <w:rPr>
          <w:rFonts w:cs="Times New Roman"/>
          <w:szCs w:val="24"/>
        </w:rPr>
        <w:t xml:space="preserve"> MPa in the treated groups (Figure 1b); and during 10%/min strain rate, the mean stress at 5% strain was </w:t>
      </w:r>
      <w:r w:rsidR="005031D5">
        <w:rPr>
          <w:rFonts w:cs="Times New Roman"/>
          <w:szCs w:val="24"/>
        </w:rPr>
        <w:t>0.75</w:t>
      </w:r>
      <w:r w:rsidR="00AB5D1F">
        <w:rPr>
          <w:rFonts w:cs="Times New Roman"/>
          <w:szCs w:val="24"/>
        </w:rPr>
        <w:t xml:space="preserve"> MPa in the control and </w:t>
      </w:r>
      <w:r w:rsidR="005031D5">
        <w:rPr>
          <w:rFonts w:cs="Times New Roman"/>
          <w:szCs w:val="24"/>
        </w:rPr>
        <w:t>0.83</w:t>
      </w:r>
      <w:r w:rsidR="00AB5D1F">
        <w:rPr>
          <w:rFonts w:cs="Times New Roman"/>
          <w:szCs w:val="24"/>
        </w:rPr>
        <w:t xml:space="preserve"> MPa in the treated groups (Figure 1c). </w:t>
      </w:r>
    </w:p>
    <w:p w14:paraId="5BBC79C4" w14:textId="52D656CC" w:rsidR="00C375E3" w:rsidRPr="00C375E3" w:rsidRDefault="000E44FE" w:rsidP="00B62277">
      <w:pPr>
        <w:pStyle w:val="Heading3"/>
        <w:rPr>
          <w:rFonts w:eastAsia="Times New Roman"/>
          <w:lang w:eastAsia="en-GB"/>
        </w:rPr>
      </w:pPr>
      <w:bookmarkStart w:id="11" w:name="_Toc483639881"/>
      <w:r>
        <w:rPr>
          <w:rFonts w:eastAsia="Times New Roman"/>
          <w:lang w:eastAsia="en-GB"/>
        </w:rPr>
        <w:t>Secant</w:t>
      </w:r>
      <w:r w:rsidR="00C375E3" w:rsidRPr="00C375E3">
        <w:rPr>
          <w:rFonts w:eastAsia="Times New Roman"/>
          <w:lang w:eastAsia="en-GB"/>
        </w:rPr>
        <w:t xml:space="preserve"> modulus</w:t>
      </w:r>
      <w:bookmarkEnd w:id="11"/>
    </w:p>
    <w:p w14:paraId="35D13821" w14:textId="298DE983" w:rsidR="00C375E3" w:rsidRPr="00DD15C3" w:rsidRDefault="00C375E3" w:rsidP="00C375E3">
      <w:pPr>
        <w:rPr>
          <w:rFonts w:cs="Times New Roman"/>
          <w:szCs w:val="24"/>
        </w:rPr>
      </w:pPr>
      <w:r>
        <w:rPr>
          <w:rFonts w:cs="Times New Roman"/>
          <w:szCs w:val="24"/>
        </w:rPr>
        <w:t xml:space="preserve">The </w:t>
      </w:r>
      <w:r w:rsidR="005031D5">
        <w:rPr>
          <w:rFonts w:cs="Times New Roman"/>
          <w:szCs w:val="24"/>
        </w:rPr>
        <w:t>secant</w:t>
      </w:r>
      <w:r w:rsidRPr="00DD15C3">
        <w:rPr>
          <w:rFonts w:cs="Times New Roman"/>
          <w:szCs w:val="24"/>
        </w:rPr>
        <w:t xml:space="preserve"> modul</w:t>
      </w:r>
      <w:r w:rsidR="00846BEA">
        <w:rPr>
          <w:rFonts w:cs="Times New Roman"/>
          <w:szCs w:val="24"/>
        </w:rPr>
        <w:t>i</w:t>
      </w:r>
      <w:r w:rsidRPr="00DD15C3">
        <w:rPr>
          <w:rFonts w:cs="Times New Roman"/>
          <w:szCs w:val="24"/>
        </w:rPr>
        <w:t xml:space="preserve"> </w:t>
      </w:r>
      <w:r w:rsidR="005031D5">
        <w:rPr>
          <w:rFonts w:cs="Times New Roman"/>
          <w:szCs w:val="24"/>
        </w:rPr>
        <w:t xml:space="preserve">for the maximum applied stress </w:t>
      </w:r>
      <w:r w:rsidRPr="00DD15C3">
        <w:rPr>
          <w:rFonts w:cs="Times New Roman"/>
          <w:szCs w:val="24"/>
        </w:rPr>
        <w:t xml:space="preserve">of the </w:t>
      </w:r>
      <w:r w:rsidR="005C411A">
        <w:rPr>
          <w:rFonts w:cs="Times New Roman"/>
          <w:szCs w:val="24"/>
        </w:rPr>
        <w:t>CCL</w:t>
      </w:r>
      <w:r w:rsidRPr="00DD15C3">
        <w:rPr>
          <w:rFonts w:cs="Times New Roman"/>
          <w:szCs w:val="24"/>
        </w:rPr>
        <w:t xml:space="preserve">s increased with increasing </w:t>
      </w:r>
      <w:r w:rsidR="005031D5">
        <w:rPr>
          <w:rFonts w:cs="Times New Roman"/>
          <w:szCs w:val="24"/>
        </w:rPr>
        <w:t>strain rate</w:t>
      </w:r>
      <w:r w:rsidRPr="00DD15C3">
        <w:rPr>
          <w:rFonts w:cs="Times New Roman"/>
          <w:szCs w:val="24"/>
        </w:rPr>
        <w:t xml:space="preserve"> in both groups (</w:t>
      </w:r>
      <w:r w:rsidR="005031D5">
        <w:rPr>
          <w:rFonts w:cs="Times New Roman"/>
          <w:szCs w:val="24"/>
        </w:rPr>
        <w:t>Figure 2</w:t>
      </w:r>
      <w:r w:rsidRPr="00DD15C3">
        <w:rPr>
          <w:rFonts w:cs="Times New Roman"/>
          <w:szCs w:val="24"/>
        </w:rPr>
        <w:t>)</w:t>
      </w:r>
      <w:r w:rsidR="005031D5">
        <w:rPr>
          <w:rFonts w:cs="Times New Roman"/>
          <w:szCs w:val="24"/>
        </w:rPr>
        <w:t xml:space="preserve">. </w:t>
      </w:r>
      <w:proofErr w:type="gramStart"/>
      <w:r w:rsidR="00DD55D9">
        <w:rPr>
          <w:rFonts w:cs="Times New Roman"/>
          <w:szCs w:val="24"/>
        </w:rPr>
        <w:t>Similar to</w:t>
      </w:r>
      <w:proofErr w:type="gramEnd"/>
      <w:r w:rsidR="00DD55D9">
        <w:rPr>
          <w:rFonts w:cs="Times New Roman"/>
          <w:szCs w:val="24"/>
        </w:rPr>
        <w:t xml:space="preserve"> the patterns observed in the stress-strain behaviour, the mean secant moduli were higher in the treated than in the control groups. </w:t>
      </w:r>
      <w:r w:rsidRPr="00DD15C3">
        <w:rPr>
          <w:rFonts w:cs="Times New Roman"/>
          <w:szCs w:val="24"/>
        </w:rPr>
        <w:t xml:space="preserve">At 0.1%/min </w:t>
      </w:r>
      <w:r>
        <w:rPr>
          <w:rFonts w:cs="Times New Roman"/>
          <w:szCs w:val="24"/>
        </w:rPr>
        <w:t>strain</w:t>
      </w:r>
      <w:r w:rsidR="000D2DE1">
        <w:rPr>
          <w:rFonts w:cs="Times New Roman"/>
          <w:szCs w:val="24"/>
        </w:rPr>
        <w:t xml:space="preserve"> </w:t>
      </w:r>
      <w:r>
        <w:rPr>
          <w:rFonts w:cs="Times New Roman"/>
          <w:szCs w:val="24"/>
        </w:rPr>
        <w:t>rate</w:t>
      </w:r>
      <w:r w:rsidRPr="00DD15C3">
        <w:rPr>
          <w:rFonts w:cs="Times New Roman"/>
          <w:szCs w:val="24"/>
        </w:rPr>
        <w:t xml:space="preserve">, the </w:t>
      </w:r>
      <w:r w:rsidR="00670548">
        <w:rPr>
          <w:rFonts w:cs="Times New Roman"/>
          <w:szCs w:val="24"/>
        </w:rPr>
        <w:t>mean secant</w:t>
      </w:r>
      <w:r w:rsidRPr="00DD15C3">
        <w:rPr>
          <w:rFonts w:cs="Times New Roman"/>
          <w:szCs w:val="24"/>
        </w:rPr>
        <w:t xml:space="preserve"> modul</w:t>
      </w:r>
      <w:r w:rsidR="00670548">
        <w:rPr>
          <w:rFonts w:cs="Times New Roman"/>
          <w:szCs w:val="24"/>
        </w:rPr>
        <w:t xml:space="preserve">i </w:t>
      </w:r>
      <w:r w:rsidRPr="00DD15C3">
        <w:rPr>
          <w:rFonts w:cs="Times New Roman"/>
          <w:szCs w:val="24"/>
        </w:rPr>
        <w:t xml:space="preserve">were </w:t>
      </w:r>
      <w:r w:rsidR="00D51FDE">
        <w:rPr>
          <w:rFonts w:cs="Times New Roman"/>
          <w:szCs w:val="24"/>
        </w:rPr>
        <w:t>9.6</w:t>
      </w:r>
      <w:r w:rsidR="00670548">
        <w:rPr>
          <w:rFonts w:cs="Times New Roman"/>
          <w:szCs w:val="24"/>
        </w:rPr>
        <w:t xml:space="preserve"> MPa in the control and </w:t>
      </w:r>
      <w:r w:rsidR="00D51FDE">
        <w:rPr>
          <w:rFonts w:cs="Times New Roman"/>
          <w:szCs w:val="24"/>
        </w:rPr>
        <w:t>11</w:t>
      </w:r>
      <w:r w:rsidR="00670548">
        <w:rPr>
          <w:rFonts w:cs="Times New Roman"/>
          <w:szCs w:val="24"/>
        </w:rPr>
        <w:t xml:space="preserve"> MPa in the treated groups.</w:t>
      </w:r>
      <w:r w:rsidRPr="00DD15C3">
        <w:rPr>
          <w:rFonts w:cs="Times New Roman"/>
          <w:szCs w:val="24"/>
        </w:rPr>
        <w:t xml:space="preserve"> Similar patterns were </w:t>
      </w:r>
      <w:r w:rsidRPr="00DD15C3">
        <w:rPr>
          <w:rFonts w:cs="Times New Roman"/>
          <w:szCs w:val="24"/>
        </w:rPr>
        <w:lastRenderedPageBreak/>
        <w:t xml:space="preserve">found during loading at 1 and 10%/min </w:t>
      </w:r>
      <w:r>
        <w:rPr>
          <w:rFonts w:cs="Times New Roman"/>
          <w:szCs w:val="24"/>
        </w:rPr>
        <w:t>strain</w:t>
      </w:r>
      <w:r w:rsidR="000D2DE1">
        <w:rPr>
          <w:rFonts w:cs="Times New Roman"/>
          <w:szCs w:val="24"/>
        </w:rPr>
        <w:t xml:space="preserve"> </w:t>
      </w:r>
      <w:r>
        <w:rPr>
          <w:rFonts w:cs="Times New Roman"/>
          <w:szCs w:val="24"/>
        </w:rPr>
        <w:t>rate</w:t>
      </w:r>
      <w:r w:rsidRPr="00DD15C3">
        <w:rPr>
          <w:rFonts w:cs="Times New Roman"/>
          <w:szCs w:val="24"/>
        </w:rPr>
        <w:t>s.</w:t>
      </w:r>
      <w:r w:rsidR="00D51FDE" w:rsidRPr="00D51FDE">
        <w:rPr>
          <w:rFonts w:cs="Times New Roman"/>
          <w:szCs w:val="24"/>
        </w:rPr>
        <w:t xml:space="preserve"> </w:t>
      </w:r>
      <w:r w:rsidR="00D51FDE" w:rsidRPr="00DD15C3">
        <w:rPr>
          <w:rFonts w:cs="Times New Roman"/>
          <w:szCs w:val="24"/>
        </w:rPr>
        <w:t xml:space="preserve">At 1%/min </w:t>
      </w:r>
      <w:r w:rsidR="00D51FDE">
        <w:rPr>
          <w:rFonts w:cs="Times New Roman"/>
          <w:szCs w:val="24"/>
        </w:rPr>
        <w:t>strain rate</w:t>
      </w:r>
      <w:r w:rsidR="00D51FDE" w:rsidRPr="00DD15C3">
        <w:rPr>
          <w:rFonts w:cs="Times New Roman"/>
          <w:szCs w:val="24"/>
        </w:rPr>
        <w:t xml:space="preserve">, the </w:t>
      </w:r>
      <w:r w:rsidR="00D51FDE">
        <w:rPr>
          <w:rFonts w:cs="Times New Roman"/>
          <w:szCs w:val="24"/>
        </w:rPr>
        <w:t>mean secant</w:t>
      </w:r>
      <w:r w:rsidR="00D51FDE" w:rsidRPr="00DD15C3">
        <w:rPr>
          <w:rFonts w:cs="Times New Roman"/>
          <w:szCs w:val="24"/>
        </w:rPr>
        <w:t xml:space="preserve"> modul</w:t>
      </w:r>
      <w:r w:rsidR="00D51FDE">
        <w:rPr>
          <w:rFonts w:cs="Times New Roman"/>
          <w:szCs w:val="24"/>
        </w:rPr>
        <w:t xml:space="preserve">i </w:t>
      </w:r>
      <w:r w:rsidR="00D51FDE" w:rsidRPr="00DD15C3">
        <w:rPr>
          <w:rFonts w:cs="Times New Roman"/>
          <w:szCs w:val="24"/>
        </w:rPr>
        <w:t xml:space="preserve">were </w:t>
      </w:r>
      <w:r w:rsidR="00D51FDE">
        <w:rPr>
          <w:rFonts w:cs="Times New Roman"/>
          <w:szCs w:val="24"/>
        </w:rPr>
        <w:t xml:space="preserve">11.5 MPa in the control and 12.2 MPa in the treated groups, while at 10%/min strain rate, </w:t>
      </w:r>
      <w:r w:rsidR="00D51FDE" w:rsidRPr="00DD15C3">
        <w:rPr>
          <w:rFonts w:cs="Times New Roman"/>
          <w:szCs w:val="24"/>
        </w:rPr>
        <w:t xml:space="preserve">the </w:t>
      </w:r>
      <w:r w:rsidR="00D51FDE">
        <w:rPr>
          <w:rFonts w:cs="Times New Roman"/>
          <w:szCs w:val="24"/>
        </w:rPr>
        <w:t>mean secant</w:t>
      </w:r>
      <w:r w:rsidR="00D51FDE" w:rsidRPr="00DD15C3">
        <w:rPr>
          <w:rFonts w:cs="Times New Roman"/>
          <w:szCs w:val="24"/>
        </w:rPr>
        <w:t xml:space="preserve"> modul</w:t>
      </w:r>
      <w:r w:rsidR="00D51FDE">
        <w:rPr>
          <w:rFonts w:cs="Times New Roman"/>
          <w:szCs w:val="24"/>
        </w:rPr>
        <w:t xml:space="preserve">i </w:t>
      </w:r>
      <w:r w:rsidR="00D51FDE" w:rsidRPr="00DD15C3">
        <w:rPr>
          <w:rFonts w:cs="Times New Roman"/>
          <w:szCs w:val="24"/>
        </w:rPr>
        <w:t xml:space="preserve">were </w:t>
      </w:r>
      <w:r w:rsidR="00D51FDE">
        <w:rPr>
          <w:rFonts w:cs="Times New Roman"/>
          <w:szCs w:val="24"/>
        </w:rPr>
        <w:t>12.1 MPa in the control and 12.4 MPa in the treated groups</w:t>
      </w:r>
      <w:r w:rsidR="00463AE8">
        <w:rPr>
          <w:rFonts w:cs="Times New Roman"/>
          <w:szCs w:val="24"/>
        </w:rPr>
        <w:t>.</w:t>
      </w:r>
    </w:p>
    <w:p w14:paraId="3663113F" w14:textId="77777777" w:rsidR="00C375E3" w:rsidRPr="00C375E3" w:rsidRDefault="00C375E3" w:rsidP="00B62277">
      <w:pPr>
        <w:pStyle w:val="Heading3"/>
        <w:rPr>
          <w:rFonts w:eastAsia="Times New Roman"/>
          <w:lang w:eastAsia="en-GB"/>
        </w:rPr>
      </w:pPr>
      <w:bookmarkStart w:id="12" w:name="_Toc483639882"/>
      <w:r w:rsidRPr="00C375E3">
        <w:rPr>
          <w:rFonts w:eastAsia="Times New Roman"/>
          <w:lang w:eastAsia="en-GB"/>
        </w:rPr>
        <w:t>Hysteresis</w:t>
      </w:r>
      <w:bookmarkEnd w:id="12"/>
      <w:r w:rsidRPr="00C375E3">
        <w:rPr>
          <w:rFonts w:eastAsia="Times New Roman"/>
          <w:lang w:eastAsia="en-GB"/>
        </w:rPr>
        <w:t xml:space="preserve"> </w:t>
      </w:r>
    </w:p>
    <w:p w14:paraId="1FE8DC75" w14:textId="61BF667E" w:rsidR="00C375E3" w:rsidRPr="00DD15C3" w:rsidRDefault="00846BEA" w:rsidP="00FA4ED2">
      <w:pPr>
        <w:rPr>
          <w:rFonts w:cs="Times New Roman"/>
          <w:szCs w:val="24"/>
        </w:rPr>
      </w:pPr>
      <w:r>
        <w:rPr>
          <w:rFonts w:cs="Times New Roman"/>
          <w:szCs w:val="24"/>
        </w:rPr>
        <w:t>The hysteresis decreased with increasing strain rates, suggesting strain rate dependencies</w:t>
      </w:r>
      <w:r w:rsidRPr="00846BEA">
        <w:rPr>
          <w:rFonts w:cs="Times New Roman"/>
          <w:szCs w:val="24"/>
        </w:rPr>
        <w:t xml:space="preserve"> </w:t>
      </w:r>
      <w:r>
        <w:rPr>
          <w:rFonts w:cs="Times New Roman"/>
          <w:szCs w:val="24"/>
        </w:rPr>
        <w:t>of the CCLs in both groups</w:t>
      </w:r>
      <w:r w:rsidRPr="00DD15C3">
        <w:rPr>
          <w:rFonts w:cs="Times New Roman"/>
          <w:szCs w:val="24"/>
        </w:rPr>
        <w:t xml:space="preserve"> (</w:t>
      </w:r>
      <w:r>
        <w:rPr>
          <w:rFonts w:cs="Times New Roman"/>
          <w:szCs w:val="24"/>
        </w:rPr>
        <w:t>Figure 3</w:t>
      </w:r>
      <w:r w:rsidRPr="00DD15C3">
        <w:rPr>
          <w:rFonts w:cs="Times New Roman"/>
          <w:szCs w:val="24"/>
        </w:rPr>
        <w:t>)</w:t>
      </w:r>
      <w:r>
        <w:rPr>
          <w:rFonts w:cs="Times New Roman"/>
          <w:szCs w:val="24"/>
        </w:rPr>
        <w:t>.</w:t>
      </w:r>
      <w:r w:rsidR="00CB56E9">
        <w:rPr>
          <w:rFonts w:cs="Times New Roman"/>
          <w:szCs w:val="24"/>
        </w:rPr>
        <w:t xml:space="preserve"> Hysteresis </w:t>
      </w:r>
      <w:r w:rsidR="00486CAE">
        <w:rPr>
          <w:rFonts w:cs="Times New Roman"/>
          <w:szCs w:val="24"/>
        </w:rPr>
        <w:t>was</w:t>
      </w:r>
      <w:r w:rsidR="00CB56E9">
        <w:rPr>
          <w:rFonts w:cs="Times New Roman"/>
          <w:szCs w:val="24"/>
        </w:rPr>
        <w:t xml:space="preserve"> consistently higher in the control </w:t>
      </w:r>
      <w:r w:rsidR="00486CAE">
        <w:rPr>
          <w:rFonts w:cs="Times New Roman"/>
          <w:szCs w:val="24"/>
        </w:rPr>
        <w:t xml:space="preserve">than in the treated group across all three strain rates. </w:t>
      </w:r>
      <w:r w:rsidR="009F67C4">
        <w:rPr>
          <w:rFonts w:cs="Times New Roman"/>
          <w:szCs w:val="24"/>
        </w:rPr>
        <w:t>The mean hysteresis at 0.1, 1</w:t>
      </w:r>
      <w:r w:rsidR="005B5FEE">
        <w:rPr>
          <w:rFonts w:cs="Times New Roman"/>
          <w:szCs w:val="24"/>
        </w:rPr>
        <w:t>,</w:t>
      </w:r>
      <w:r w:rsidR="009F67C4">
        <w:rPr>
          <w:rFonts w:cs="Times New Roman"/>
          <w:szCs w:val="24"/>
        </w:rPr>
        <w:t xml:space="preserve"> and 10%/min were 3.4, </w:t>
      </w:r>
      <w:r w:rsidR="007234C9">
        <w:rPr>
          <w:rFonts w:cs="Times New Roman"/>
          <w:szCs w:val="24"/>
        </w:rPr>
        <w:t>1.8</w:t>
      </w:r>
      <w:r w:rsidR="009F67C4">
        <w:rPr>
          <w:rFonts w:cs="Times New Roman"/>
          <w:szCs w:val="24"/>
        </w:rPr>
        <w:t xml:space="preserve">, and </w:t>
      </w:r>
      <w:r w:rsidR="00FA4ED2">
        <w:rPr>
          <w:rFonts w:cs="Times New Roman"/>
          <w:szCs w:val="24"/>
        </w:rPr>
        <w:t>1.2</w:t>
      </w:r>
      <w:r w:rsidR="009F67C4">
        <w:rPr>
          <w:rFonts w:cs="Times New Roman"/>
          <w:szCs w:val="24"/>
        </w:rPr>
        <w:t xml:space="preserve"> MPa in the control and </w:t>
      </w:r>
      <w:r w:rsidR="007234C9">
        <w:rPr>
          <w:rFonts w:cs="Times New Roman"/>
          <w:szCs w:val="24"/>
        </w:rPr>
        <w:t>1.8</w:t>
      </w:r>
      <w:r w:rsidR="009F67C4">
        <w:rPr>
          <w:rFonts w:cs="Times New Roman"/>
          <w:szCs w:val="24"/>
        </w:rPr>
        <w:t xml:space="preserve">, </w:t>
      </w:r>
      <w:r w:rsidR="00FA4ED2">
        <w:rPr>
          <w:rFonts w:cs="Times New Roman"/>
          <w:szCs w:val="24"/>
        </w:rPr>
        <w:t>1.2</w:t>
      </w:r>
      <w:r w:rsidR="009F67C4">
        <w:rPr>
          <w:rFonts w:cs="Times New Roman"/>
          <w:szCs w:val="24"/>
        </w:rPr>
        <w:t xml:space="preserve"> and </w:t>
      </w:r>
      <w:r w:rsidR="00FA4ED2">
        <w:rPr>
          <w:rFonts w:cs="Times New Roman"/>
          <w:szCs w:val="24"/>
        </w:rPr>
        <w:t>0.8</w:t>
      </w:r>
      <w:r w:rsidR="009F67C4">
        <w:rPr>
          <w:rFonts w:cs="Times New Roman"/>
          <w:szCs w:val="24"/>
        </w:rPr>
        <w:t xml:space="preserve"> MPa in the treated</w:t>
      </w:r>
      <w:r w:rsidR="00231F78">
        <w:rPr>
          <w:rFonts w:cs="Times New Roman"/>
          <w:szCs w:val="24"/>
        </w:rPr>
        <w:t xml:space="preserve"> groups</w:t>
      </w:r>
      <w:r w:rsidR="009F67C4">
        <w:rPr>
          <w:rFonts w:cs="Times New Roman"/>
          <w:szCs w:val="24"/>
        </w:rPr>
        <w:t xml:space="preserve">. </w:t>
      </w:r>
    </w:p>
    <w:p w14:paraId="4F548EE4" w14:textId="3698AB3C" w:rsidR="00C375E3" w:rsidRPr="00C375E3" w:rsidRDefault="00C375E3" w:rsidP="00B62277">
      <w:pPr>
        <w:pStyle w:val="Heading3"/>
        <w:rPr>
          <w:rFonts w:eastAsia="Times New Roman"/>
          <w:lang w:eastAsia="en-GB"/>
        </w:rPr>
      </w:pPr>
      <w:bookmarkStart w:id="13" w:name="_Toc483639883"/>
      <w:r w:rsidRPr="00C375E3">
        <w:rPr>
          <w:rFonts w:eastAsia="Times New Roman"/>
          <w:lang w:eastAsia="en-GB"/>
        </w:rPr>
        <w:t>Creep</w:t>
      </w:r>
      <w:bookmarkEnd w:id="13"/>
    </w:p>
    <w:p w14:paraId="276BE458" w14:textId="14D26B6E" w:rsidR="0047301E" w:rsidRDefault="0047301E" w:rsidP="00C375E3">
      <w:pPr>
        <w:rPr>
          <w:rFonts w:cs="Times New Roman"/>
          <w:szCs w:val="24"/>
        </w:rPr>
      </w:pPr>
      <w:r w:rsidRPr="00DD15C3">
        <w:rPr>
          <w:rFonts w:cs="Times New Roman"/>
          <w:szCs w:val="24"/>
        </w:rPr>
        <w:t xml:space="preserve">The </w:t>
      </w:r>
      <w:r>
        <w:rPr>
          <w:rFonts w:cs="Times New Roman"/>
          <w:szCs w:val="24"/>
        </w:rPr>
        <w:t xml:space="preserve">creep </w:t>
      </w:r>
      <w:r w:rsidRPr="00DD15C3">
        <w:rPr>
          <w:rFonts w:cs="Times New Roman"/>
          <w:szCs w:val="24"/>
        </w:rPr>
        <w:t xml:space="preserve">strain-time curves showed </w:t>
      </w:r>
      <w:r>
        <w:rPr>
          <w:rFonts w:cs="Times New Roman"/>
          <w:szCs w:val="24"/>
        </w:rPr>
        <w:t>increased</w:t>
      </w:r>
      <w:r w:rsidRPr="00DD15C3">
        <w:rPr>
          <w:rFonts w:cs="Times New Roman"/>
          <w:szCs w:val="24"/>
        </w:rPr>
        <w:t xml:space="preserve"> strain with time in both control and </w:t>
      </w:r>
      <w:r>
        <w:rPr>
          <w:rFonts w:cs="Times New Roman"/>
          <w:szCs w:val="24"/>
        </w:rPr>
        <w:t>treated</w:t>
      </w:r>
      <w:r w:rsidRPr="00DD15C3">
        <w:rPr>
          <w:rFonts w:cs="Times New Roman"/>
          <w:szCs w:val="24"/>
        </w:rPr>
        <w:t xml:space="preserve"> groups (</w:t>
      </w:r>
      <w:r w:rsidR="00477953">
        <w:rPr>
          <w:rFonts w:cs="Times New Roman"/>
          <w:szCs w:val="24"/>
        </w:rPr>
        <w:t>Figure 4a and b</w:t>
      </w:r>
      <w:r w:rsidRPr="00DD15C3">
        <w:rPr>
          <w:rFonts w:cs="Times New Roman"/>
          <w:szCs w:val="24"/>
        </w:rPr>
        <w:t>).</w:t>
      </w:r>
      <w:r w:rsidR="00477953">
        <w:rPr>
          <w:rFonts w:cs="Times New Roman"/>
          <w:szCs w:val="24"/>
        </w:rPr>
        <w:t xml:space="preserve"> The creep strains were higher in the control than </w:t>
      </w:r>
      <w:r w:rsidR="005B5FEE">
        <w:rPr>
          <w:rFonts w:cs="Times New Roman"/>
          <w:szCs w:val="24"/>
        </w:rPr>
        <w:t xml:space="preserve">in </w:t>
      </w:r>
      <w:r w:rsidR="00477953">
        <w:rPr>
          <w:rFonts w:cs="Times New Roman"/>
          <w:szCs w:val="24"/>
        </w:rPr>
        <w:t>the treated groups during creep load</w:t>
      </w:r>
      <w:r w:rsidR="005B5FEE">
        <w:rPr>
          <w:rFonts w:cs="Times New Roman"/>
          <w:szCs w:val="24"/>
        </w:rPr>
        <w:t>s</w:t>
      </w:r>
      <w:r w:rsidR="00477953">
        <w:rPr>
          <w:rFonts w:cs="Times New Roman"/>
          <w:szCs w:val="24"/>
        </w:rPr>
        <w:t xml:space="preserve"> of 4.9 and 9.9 N. For example, after 15 minutes of 4.9 N creep load, the mean creep strain was recorded </w:t>
      </w:r>
      <w:r w:rsidR="005B5FEE">
        <w:rPr>
          <w:rFonts w:cs="Times New Roman"/>
          <w:szCs w:val="24"/>
        </w:rPr>
        <w:t xml:space="preserve">at </w:t>
      </w:r>
      <w:r w:rsidR="00477953">
        <w:rPr>
          <w:rFonts w:cs="Times New Roman"/>
          <w:szCs w:val="24"/>
        </w:rPr>
        <w:t>0.32% in the control and 0.2% in the treated groups.</w:t>
      </w:r>
    </w:p>
    <w:p w14:paraId="2C0D142D" w14:textId="095A638E" w:rsidR="003C052C" w:rsidRDefault="003C052C" w:rsidP="00C375E3">
      <w:pPr>
        <w:rPr>
          <w:rFonts w:cs="Times New Roman"/>
          <w:szCs w:val="24"/>
        </w:rPr>
      </w:pPr>
      <w:r>
        <w:rPr>
          <w:rFonts w:cs="Times New Roman"/>
          <w:szCs w:val="24"/>
        </w:rPr>
        <w:t xml:space="preserve">Creep compliance, indicating strain per unit stress, </w:t>
      </w:r>
      <w:r w:rsidR="005B5FEE">
        <w:rPr>
          <w:rFonts w:cs="Times New Roman"/>
          <w:szCs w:val="24"/>
        </w:rPr>
        <w:t>was higher in both groups when the CCLs were subjected to a constant creep load of 4.9 N than 9.9 N (Figure</w:t>
      </w:r>
      <w:r w:rsidR="0084713D">
        <w:rPr>
          <w:rFonts w:cs="Times New Roman"/>
          <w:szCs w:val="24"/>
        </w:rPr>
        <w:t xml:space="preserve"> 4c and d). The</w:t>
      </w:r>
      <w:r w:rsidR="0084333E">
        <w:rPr>
          <w:rFonts w:cs="Times New Roman"/>
          <w:szCs w:val="24"/>
        </w:rPr>
        <w:t xml:space="preserve"> CCLs in the </w:t>
      </w:r>
      <w:r w:rsidR="0084713D">
        <w:rPr>
          <w:rFonts w:cs="Times New Roman"/>
          <w:szCs w:val="24"/>
        </w:rPr>
        <w:t xml:space="preserve">control </w:t>
      </w:r>
      <w:r w:rsidR="0084333E">
        <w:rPr>
          <w:rFonts w:cs="Times New Roman"/>
          <w:szCs w:val="24"/>
        </w:rPr>
        <w:t xml:space="preserve">showed higher creep compliance than the treated group during loading at 4.9 and 9.9 N. </w:t>
      </w:r>
    </w:p>
    <w:p w14:paraId="6C3C289C" w14:textId="0014F604" w:rsidR="00FF5DE4" w:rsidRDefault="00FF5DE4" w:rsidP="00C375E3">
      <w:pPr>
        <w:rPr>
          <w:rFonts w:cs="Times New Roman"/>
          <w:szCs w:val="24"/>
        </w:rPr>
      </w:pPr>
      <w:r>
        <w:rPr>
          <w:rFonts w:cs="Times New Roman"/>
          <w:szCs w:val="24"/>
        </w:rPr>
        <w:t xml:space="preserve">The </w:t>
      </w:r>
      <w:r w:rsidR="005B5FEE">
        <w:rPr>
          <w:rFonts w:cs="Times New Roman"/>
          <w:szCs w:val="24"/>
        </w:rPr>
        <w:t>creep strain rate increased when the load was increased from 4.9 to 9.9 N;</w:t>
      </w:r>
      <w:r w:rsidR="00472AC2">
        <w:rPr>
          <w:rFonts w:cs="Times New Roman"/>
          <w:szCs w:val="24"/>
        </w:rPr>
        <w:t xml:space="preserve"> this was evident in both groups (Figure 5). </w:t>
      </w:r>
      <w:r w:rsidR="003D0300">
        <w:rPr>
          <w:rFonts w:cs="Times New Roman"/>
          <w:szCs w:val="24"/>
        </w:rPr>
        <w:t>Creep</w:t>
      </w:r>
      <w:r w:rsidR="00472AC2">
        <w:rPr>
          <w:rFonts w:cs="Times New Roman"/>
          <w:szCs w:val="24"/>
        </w:rPr>
        <w:t xml:space="preserve"> strain rate</w:t>
      </w:r>
      <w:r w:rsidR="003D0300">
        <w:rPr>
          <w:rFonts w:cs="Times New Roman"/>
          <w:szCs w:val="24"/>
        </w:rPr>
        <w:t xml:space="preserve">s were </w:t>
      </w:r>
      <w:r w:rsidR="00472AC2">
        <w:rPr>
          <w:rFonts w:cs="Times New Roman"/>
          <w:szCs w:val="24"/>
        </w:rPr>
        <w:t xml:space="preserve">higher in the control than </w:t>
      </w:r>
      <w:r w:rsidR="005B5FEE">
        <w:rPr>
          <w:rFonts w:cs="Times New Roman"/>
          <w:szCs w:val="24"/>
        </w:rPr>
        <w:t xml:space="preserve">in </w:t>
      </w:r>
      <w:r w:rsidR="00472AC2">
        <w:rPr>
          <w:rFonts w:cs="Times New Roman"/>
          <w:szCs w:val="24"/>
        </w:rPr>
        <w:t xml:space="preserve">the treated groups. </w:t>
      </w:r>
      <w:r w:rsidR="003D0300">
        <w:rPr>
          <w:rFonts w:cs="Times New Roman"/>
          <w:szCs w:val="24"/>
        </w:rPr>
        <w:t>During constant loads of</w:t>
      </w:r>
      <w:r w:rsidR="00472AC2">
        <w:rPr>
          <w:rFonts w:cs="Times New Roman"/>
          <w:szCs w:val="24"/>
        </w:rPr>
        <w:t xml:space="preserve"> 4.9 and 9.9 N, </w:t>
      </w:r>
      <w:r w:rsidR="004F0791">
        <w:rPr>
          <w:rFonts w:cs="Times New Roman"/>
          <w:szCs w:val="24"/>
        </w:rPr>
        <w:t xml:space="preserve">mean </w:t>
      </w:r>
      <w:r w:rsidR="00472AC2">
        <w:rPr>
          <w:rFonts w:cs="Times New Roman"/>
          <w:szCs w:val="24"/>
        </w:rPr>
        <w:t xml:space="preserve">creep rates were </w:t>
      </w:r>
      <w:r w:rsidR="003D0300">
        <w:rPr>
          <w:rFonts w:cs="Times New Roman"/>
          <w:szCs w:val="24"/>
        </w:rPr>
        <w:t>0.36×10</w:t>
      </w:r>
      <w:r w:rsidR="003D0300" w:rsidRPr="003D0300">
        <w:rPr>
          <w:rFonts w:cs="Times New Roman"/>
          <w:szCs w:val="24"/>
          <w:vertAlign w:val="superscript"/>
        </w:rPr>
        <w:t>-3</w:t>
      </w:r>
      <w:r w:rsidR="00472AC2">
        <w:rPr>
          <w:rFonts w:cs="Times New Roman"/>
          <w:szCs w:val="24"/>
        </w:rPr>
        <w:t xml:space="preserve"> and </w:t>
      </w:r>
      <w:r w:rsidR="003D0300">
        <w:rPr>
          <w:rFonts w:cs="Times New Roman"/>
          <w:szCs w:val="24"/>
        </w:rPr>
        <w:t>0.5×10</w:t>
      </w:r>
      <w:r w:rsidR="003D0300" w:rsidRPr="003D0300">
        <w:rPr>
          <w:rFonts w:cs="Times New Roman"/>
          <w:szCs w:val="24"/>
          <w:vertAlign w:val="superscript"/>
        </w:rPr>
        <w:t>-3</w:t>
      </w:r>
      <w:r w:rsidR="003D0300">
        <w:rPr>
          <w:rFonts w:cs="Times New Roman"/>
          <w:szCs w:val="24"/>
        </w:rPr>
        <w:t xml:space="preserve">% </w:t>
      </w:r>
      <w:r w:rsidR="00472AC2">
        <w:rPr>
          <w:rFonts w:cs="Times New Roman"/>
          <w:szCs w:val="24"/>
        </w:rPr>
        <w:t xml:space="preserve">in the control and </w:t>
      </w:r>
      <w:r w:rsidR="003D0300">
        <w:rPr>
          <w:rFonts w:cs="Times New Roman"/>
          <w:szCs w:val="24"/>
        </w:rPr>
        <w:t>0.22×10</w:t>
      </w:r>
      <w:r w:rsidR="003D0300" w:rsidRPr="003D0300">
        <w:rPr>
          <w:rFonts w:cs="Times New Roman"/>
          <w:szCs w:val="24"/>
          <w:vertAlign w:val="superscript"/>
        </w:rPr>
        <w:t>-3</w:t>
      </w:r>
      <w:r w:rsidR="003D0300">
        <w:rPr>
          <w:rFonts w:cs="Times New Roman"/>
          <w:szCs w:val="24"/>
        </w:rPr>
        <w:t xml:space="preserve"> </w:t>
      </w:r>
      <w:r w:rsidR="00472AC2">
        <w:rPr>
          <w:rFonts w:cs="Times New Roman"/>
          <w:szCs w:val="24"/>
        </w:rPr>
        <w:t xml:space="preserve">and </w:t>
      </w:r>
      <w:r w:rsidR="003D0300">
        <w:rPr>
          <w:rFonts w:cs="Times New Roman"/>
          <w:szCs w:val="24"/>
        </w:rPr>
        <w:t>0.3×10</w:t>
      </w:r>
      <w:r w:rsidR="003D0300" w:rsidRPr="003D0300">
        <w:rPr>
          <w:rFonts w:cs="Times New Roman"/>
          <w:szCs w:val="24"/>
          <w:vertAlign w:val="superscript"/>
        </w:rPr>
        <w:t>-3</w:t>
      </w:r>
      <w:r w:rsidR="003D0300">
        <w:rPr>
          <w:rFonts w:cs="Times New Roman"/>
          <w:szCs w:val="24"/>
        </w:rPr>
        <w:t xml:space="preserve">% </w:t>
      </w:r>
      <w:r w:rsidR="00472AC2">
        <w:rPr>
          <w:rFonts w:cs="Times New Roman"/>
          <w:szCs w:val="24"/>
        </w:rPr>
        <w:t xml:space="preserve">in the </w:t>
      </w:r>
      <w:r w:rsidR="003D0300">
        <w:rPr>
          <w:rFonts w:cs="Times New Roman"/>
          <w:szCs w:val="24"/>
        </w:rPr>
        <w:t>treated groups.</w:t>
      </w:r>
    </w:p>
    <w:p w14:paraId="734AAFE8" w14:textId="67D083E7" w:rsidR="00C375E3" w:rsidRPr="00C375E3" w:rsidRDefault="00C375E3" w:rsidP="00B62277">
      <w:pPr>
        <w:pStyle w:val="Heading3"/>
        <w:rPr>
          <w:rFonts w:eastAsia="Times New Roman"/>
          <w:lang w:eastAsia="en-GB"/>
        </w:rPr>
      </w:pPr>
      <w:r w:rsidRPr="00C375E3">
        <w:rPr>
          <w:rFonts w:eastAsia="Times New Roman"/>
          <w:lang w:eastAsia="en-GB"/>
        </w:rPr>
        <w:t>Stress</w:t>
      </w:r>
      <w:r w:rsidR="00515404">
        <w:rPr>
          <w:rFonts w:eastAsia="Times New Roman"/>
          <w:lang w:eastAsia="en-GB"/>
        </w:rPr>
        <w:t xml:space="preserve"> </w:t>
      </w:r>
      <w:r w:rsidRPr="00C375E3">
        <w:rPr>
          <w:rFonts w:eastAsia="Times New Roman"/>
          <w:lang w:eastAsia="en-GB"/>
        </w:rPr>
        <w:t>relaxation</w:t>
      </w:r>
    </w:p>
    <w:p w14:paraId="13337749" w14:textId="1D1FBD95" w:rsidR="00DE7079" w:rsidRDefault="00DE7079" w:rsidP="00C375E3">
      <w:pPr>
        <w:rPr>
          <w:szCs w:val="24"/>
        </w:rPr>
      </w:pPr>
      <w:r>
        <w:rPr>
          <w:szCs w:val="24"/>
        </w:rPr>
        <w:t xml:space="preserve">The normalised stress relaxation-time curves illustrate </w:t>
      </w:r>
      <w:r w:rsidR="00EF35CB">
        <w:rPr>
          <w:szCs w:val="24"/>
        </w:rPr>
        <w:t>greater</w:t>
      </w:r>
      <w:r>
        <w:rPr>
          <w:szCs w:val="24"/>
        </w:rPr>
        <w:t xml:space="preserve"> stress relaxation in the control </w:t>
      </w:r>
      <w:r w:rsidR="005B5FEE">
        <w:rPr>
          <w:szCs w:val="24"/>
        </w:rPr>
        <w:t>group than i</w:t>
      </w:r>
      <w:r>
        <w:rPr>
          <w:szCs w:val="24"/>
        </w:rPr>
        <w:t xml:space="preserve">n the treated groups (Figure 6a). </w:t>
      </w:r>
      <w:r w:rsidR="00EF35CB">
        <w:rPr>
          <w:szCs w:val="24"/>
        </w:rPr>
        <w:t>For example, a</w:t>
      </w:r>
      <w:r>
        <w:rPr>
          <w:szCs w:val="24"/>
        </w:rPr>
        <w:t>t 15 minutes</w:t>
      </w:r>
      <w:r w:rsidR="00EF35CB">
        <w:rPr>
          <w:szCs w:val="24"/>
        </w:rPr>
        <w:t xml:space="preserve"> of relaxation</w:t>
      </w:r>
      <w:r>
        <w:rPr>
          <w:szCs w:val="24"/>
        </w:rPr>
        <w:t xml:space="preserve">, the </w:t>
      </w:r>
      <w:r w:rsidR="00EF35CB">
        <w:rPr>
          <w:szCs w:val="24"/>
        </w:rPr>
        <w:t xml:space="preserve">mean values for </w:t>
      </w:r>
      <w:r>
        <w:rPr>
          <w:szCs w:val="24"/>
        </w:rPr>
        <w:t>normalised stress</w:t>
      </w:r>
      <w:r w:rsidR="00EF35CB">
        <w:rPr>
          <w:szCs w:val="24"/>
        </w:rPr>
        <w:t xml:space="preserve"> relaxation</w:t>
      </w:r>
      <w:r>
        <w:rPr>
          <w:szCs w:val="24"/>
        </w:rPr>
        <w:t xml:space="preserve"> were </w:t>
      </w:r>
      <w:r w:rsidR="00EF35CB">
        <w:rPr>
          <w:szCs w:val="24"/>
        </w:rPr>
        <w:t>84</w:t>
      </w:r>
      <w:r>
        <w:rPr>
          <w:szCs w:val="24"/>
        </w:rPr>
        <w:t xml:space="preserve">% in </w:t>
      </w:r>
      <w:r w:rsidR="005B5FEE">
        <w:rPr>
          <w:szCs w:val="24"/>
        </w:rPr>
        <w:t xml:space="preserve">the </w:t>
      </w:r>
      <w:r>
        <w:rPr>
          <w:szCs w:val="24"/>
        </w:rPr>
        <w:t xml:space="preserve">control and </w:t>
      </w:r>
      <w:r w:rsidR="00EF35CB">
        <w:rPr>
          <w:szCs w:val="24"/>
        </w:rPr>
        <w:t>89</w:t>
      </w:r>
      <w:r>
        <w:rPr>
          <w:szCs w:val="24"/>
        </w:rPr>
        <w:t>% in the treated groups.</w:t>
      </w:r>
      <w:r w:rsidR="00EF35CB">
        <w:rPr>
          <w:szCs w:val="24"/>
        </w:rPr>
        <w:t xml:space="preserve"> </w:t>
      </w:r>
      <w:r w:rsidR="00747356">
        <w:rPr>
          <w:szCs w:val="24"/>
        </w:rPr>
        <w:t xml:space="preserve">However, the </w:t>
      </w:r>
      <w:r w:rsidR="005B5FEE">
        <w:rPr>
          <w:szCs w:val="24"/>
        </w:rPr>
        <w:t>stress relaxation rate was slightly lower in the control than i</w:t>
      </w:r>
      <w:r w:rsidR="00747356">
        <w:rPr>
          <w:szCs w:val="24"/>
        </w:rPr>
        <w:t>n the treated groups, with the mean values being 0.41</w:t>
      </w:r>
      <w:r w:rsidR="00747356">
        <w:rPr>
          <w:rFonts w:cs="Times New Roman"/>
          <w:szCs w:val="24"/>
        </w:rPr>
        <w:t>×</w:t>
      </w:r>
      <w:r w:rsidR="00747356">
        <w:rPr>
          <w:szCs w:val="24"/>
        </w:rPr>
        <w:t>10</w:t>
      </w:r>
      <w:r w:rsidR="00747356" w:rsidRPr="00747356">
        <w:rPr>
          <w:szCs w:val="24"/>
          <w:vertAlign w:val="superscript"/>
        </w:rPr>
        <w:t>-3</w:t>
      </w:r>
      <w:r w:rsidR="00747356">
        <w:rPr>
          <w:szCs w:val="24"/>
        </w:rPr>
        <w:t xml:space="preserve"> MPa/s in the control and 0.42</w:t>
      </w:r>
      <w:r w:rsidR="00747356">
        <w:rPr>
          <w:rFonts w:cs="Times New Roman"/>
          <w:szCs w:val="24"/>
        </w:rPr>
        <w:t>×</w:t>
      </w:r>
      <w:r w:rsidR="00747356">
        <w:rPr>
          <w:szCs w:val="24"/>
        </w:rPr>
        <w:t>10</w:t>
      </w:r>
      <w:r w:rsidR="00747356" w:rsidRPr="00747356">
        <w:rPr>
          <w:szCs w:val="24"/>
          <w:vertAlign w:val="superscript"/>
        </w:rPr>
        <w:t>-3</w:t>
      </w:r>
      <w:r w:rsidR="00747356">
        <w:rPr>
          <w:szCs w:val="24"/>
        </w:rPr>
        <w:t xml:space="preserve"> MPa/s in the treated groups</w:t>
      </w:r>
      <w:r w:rsidR="002C02B6">
        <w:rPr>
          <w:szCs w:val="24"/>
        </w:rPr>
        <w:t xml:space="preserve"> (Figure 6b).</w:t>
      </w:r>
    </w:p>
    <w:p w14:paraId="0DCFF8FD" w14:textId="6400EFEE" w:rsidR="00BF38B2" w:rsidRDefault="0065675B" w:rsidP="00C375E3">
      <w:pPr>
        <w:rPr>
          <w:szCs w:val="24"/>
        </w:rPr>
      </w:pPr>
      <w:r>
        <w:rPr>
          <w:szCs w:val="24"/>
        </w:rPr>
        <w:t>The stress relaxation modu</w:t>
      </w:r>
      <w:r w:rsidR="00870E03">
        <w:rPr>
          <w:szCs w:val="24"/>
        </w:rPr>
        <w:t>lus</w:t>
      </w:r>
      <w:r>
        <w:rPr>
          <w:szCs w:val="24"/>
        </w:rPr>
        <w:t xml:space="preserve">, </w:t>
      </w:r>
      <w:r w:rsidR="00606B6B">
        <w:rPr>
          <w:szCs w:val="24"/>
        </w:rPr>
        <w:t xml:space="preserve">indicating stress variations under </w:t>
      </w:r>
      <w:r w:rsidR="005B37B2">
        <w:rPr>
          <w:szCs w:val="24"/>
        </w:rPr>
        <w:t>the imposed</w:t>
      </w:r>
      <w:r w:rsidR="00606B6B">
        <w:rPr>
          <w:szCs w:val="24"/>
        </w:rPr>
        <w:t xml:space="preserve"> constant unit strain, </w:t>
      </w:r>
      <w:r w:rsidR="00870E03">
        <w:rPr>
          <w:szCs w:val="24"/>
        </w:rPr>
        <w:t>was</w:t>
      </w:r>
      <w:r w:rsidR="00606B6B">
        <w:rPr>
          <w:szCs w:val="24"/>
        </w:rPr>
        <w:t xml:space="preserve"> higher in the treated </w:t>
      </w:r>
      <w:r w:rsidR="005B37B2">
        <w:rPr>
          <w:szCs w:val="24"/>
        </w:rPr>
        <w:t>than control group</w:t>
      </w:r>
      <w:r w:rsidR="005B5FEE">
        <w:rPr>
          <w:szCs w:val="24"/>
        </w:rPr>
        <w:t>s</w:t>
      </w:r>
      <w:r w:rsidR="00870E03">
        <w:rPr>
          <w:szCs w:val="24"/>
        </w:rPr>
        <w:t xml:space="preserve"> (Figure 6c). </w:t>
      </w:r>
      <w:r w:rsidR="00731335">
        <w:rPr>
          <w:szCs w:val="24"/>
        </w:rPr>
        <w:t xml:space="preserve">The </w:t>
      </w:r>
      <w:r w:rsidR="00BF38B2">
        <w:rPr>
          <w:szCs w:val="24"/>
        </w:rPr>
        <w:t xml:space="preserve">mean values for the </w:t>
      </w:r>
      <w:r w:rsidR="00731335">
        <w:rPr>
          <w:szCs w:val="24"/>
        </w:rPr>
        <w:t>relaxation modul</w:t>
      </w:r>
      <w:r w:rsidR="00650B45">
        <w:rPr>
          <w:szCs w:val="24"/>
        </w:rPr>
        <w:t>us</w:t>
      </w:r>
      <w:r w:rsidR="00731335">
        <w:rPr>
          <w:szCs w:val="24"/>
        </w:rPr>
        <w:t xml:space="preserve"> at t=0 </w:t>
      </w:r>
      <w:proofErr w:type="gramStart"/>
      <w:r w:rsidR="00650B45">
        <w:rPr>
          <w:szCs w:val="24"/>
        </w:rPr>
        <w:t>w</w:t>
      </w:r>
      <w:r w:rsidR="005B5FEE">
        <w:rPr>
          <w:szCs w:val="24"/>
        </w:rPr>
        <w:t>ere</w:t>
      </w:r>
      <w:proofErr w:type="gramEnd"/>
      <w:r w:rsidR="00BF38B2">
        <w:rPr>
          <w:szCs w:val="24"/>
        </w:rPr>
        <w:t xml:space="preserve"> 0.12 MPa in the control and</w:t>
      </w:r>
      <w:r w:rsidR="00731335">
        <w:rPr>
          <w:szCs w:val="24"/>
        </w:rPr>
        <w:t xml:space="preserve"> 0.18 MPa </w:t>
      </w:r>
      <w:r w:rsidR="00BF38B2">
        <w:rPr>
          <w:szCs w:val="24"/>
        </w:rPr>
        <w:t>in the treated groups</w:t>
      </w:r>
      <w:r w:rsidR="00C375E3" w:rsidRPr="00C375E3">
        <w:rPr>
          <w:szCs w:val="24"/>
        </w:rPr>
        <w:t>.</w:t>
      </w:r>
    </w:p>
    <w:p w14:paraId="493C1A16" w14:textId="77777777" w:rsidR="00A67C97" w:rsidRPr="00731335" w:rsidRDefault="00A67C97" w:rsidP="00C375E3">
      <w:pPr>
        <w:rPr>
          <w:szCs w:val="24"/>
        </w:rPr>
      </w:pPr>
    </w:p>
    <w:p w14:paraId="2C480F98" w14:textId="77777777" w:rsidR="00C375E3" w:rsidRPr="00DD15C3" w:rsidRDefault="00C375E3" w:rsidP="00B62277">
      <w:pPr>
        <w:pStyle w:val="Heading1"/>
      </w:pPr>
      <w:r w:rsidRPr="00DD15C3">
        <w:t>Discussion</w:t>
      </w:r>
    </w:p>
    <w:p w14:paraId="638AF389" w14:textId="7C30383D" w:rsidR="00C375E3" w:rsidRPr="00C375E3" w:rsidRDefault="00E7490A" w:rsidP="00C375E3">
      <w:pPr>
        <w:rPr>
          <w:szCs w:val="24"/>
        </w:rPr>
      </w:pPr>
      <w:r>
        <w:rPr>
          <w:szCs w:val="24"/>
        </w:rPr>
        <w:t xml:space="preserve">This study focused on qualitatively </w:t>
      </w:r>
      <w:r w:rsidR="00013EEF">
        <w:rPr>
          <w:szCs w:val="24"/>
        </w:rPr>
        <w:t xml:space="preserve">observing and </w:t>
      </w:r>
      <w:r>
        <w:rPr>
          <w:szCs w:val="24"/>
        </w:rPr>
        <w:t xml:space="preserve">describing changes in the viscoelastic characteristics of the CCLs </w:t>
      </w:r>
      <w:r w:rsidR="00A9457F">
        <w:rPr>
          <w:szCs w:val="24"/>
        </w:rPr>
        <w:t>due to</w:t>
      </w:r>
      <w:r w:rsidR="00CE30E7">
        <w:rPr>
          <w:szCs w:val="24"/>
        </w:rPr>
        <w:t xml:space="preserve"> changes in the</w:t>
      </w:r>
      <w:r>
        <w:rPr>
          <w:szCs w:val="24"/>
        </w:rPr>
        <w:t xml:space="preserve"> </w:t>
      </w:r>
      <w:r w:rsidR="00013EEF">
        <w:rPr>
          <w:szCs w:val="24"/>
        </w:rPr>
        <w:t xml:space="preserve">PG content. </w:t>
      </w:r>
      <w:r w:rsidR="00CE30E7">
        <w:rPr>
          <w:szCs w:val="24"/>
        </w:rPr>
        <w:t>We hypothesised</w:t>
      </w:r>
      <w:r w:rsidR="00CE30E7" w:rsidRPr="00C375E3">
        <w:rPr>
          <w:szCs w:val="24"/>
        </w:rPr>
        <w:t xml:space="preserve"> that </w:t>
      </w:r>
      <w:r w:rsidR="00CE30E7">
        <w:rPr>
          <w:szCs w:val="24"/>
        </w:rPr>
        <w:t>altering</w:t>
      </w:r>
      <w:r w:rsidR="00CE30E7" w:rsidRPr="00C375E3">
        <w:rPr>
          <w:szCs w:val="24"/>
        </w:rPr>
        <w:t xml:space="preserve"> PGs content in the </w:t>
      </w:r>
      <w:r w:rsidR="00CE30E7">
        <w:rPr>
          <w:szCs w:val="24"/>
        </w:rPr>
        <w:t>CCL</w:t>
      </w:r>
      <w:r w:rsidR="00CE30E7" w:rsidRPr="00C375E3">
        <w:rPr>
          <w:szCs w:val="24"/>
        </w:rPr>
        <w:t xml:space="preserve">s, which changes the composition of the ligaments, might affect the </w:t>
      </w:r>
      <w:r w:rsidR="0070532E">
        <w:rPr>
          <w:szCs w:val="24"/>
        </w:rPr>
        <w:t>viscoelastic</w:t>
      </w:r>
      <w:r w:rsidR="00CE30E7">
        <w:rPr>
          <w:szCs w:val="24"/>
        </w:rPr>
        <w:t xml:space="preserve"> characteristics</w:t>
      </w:r>
      <w:r w:rsidR="00CE30E7" w:rsidRPr="00C375E3">
        <w:rPr>
          <w:szCs w:val="24"/>
        </w:rPr>
        <w:t xml:space="preserve"> of the </w:t>
      </w:r>
      <w:r w:rsidR="00CE30E7">
        <w:rPr>
          <w:szCs w:val="24"/>
        </w:rPr>
        <w:t>CCL</w:t>
      </w:r>
      <w:r w:rsidR="00CE30E7" w:rsidRPr="00C375E3">
        <w:rPr>
          <w:szCs w:val="24"/>
        </w:rPr>
        <w:t>.</w:t>
      </w:r>
      <w:r w:rsidR="00CE30E7">
        <w:rPr>
          <w:szCs w:val="24"/>
        </w:rPr>
        <w:t xml:space="preserve"> </w:t>
      </w:r>
      <w:r w:rsidR="00C375E3" w:rsidRPr="00C375E3">
        <w:rPr>
          <w:szCs w:val="24"/>
        </w:rPr>
        <w:t xml:space="preserve">This compositional change is clinically </w:t>
      </w:r>
      <w:r w:rsidR="000D2DE1">
        <w:rPr>
          <w:szCs w:val="24"/>
        </w:rPr>
        <w:t>signific</w:t>
      </w:r>
      <w:r w:rsidR="00C375E3" w:rsidRPr="00C375E3">
        <w:rPr>
          <w:szCs w:val="24"/>
        </w:rPr>
        <w:t xml:space="preserve">ant because it can </w:t>
      </w:r>
      <w:r w:rsidR="00CE30E7">
        <w:rPr>
          <w:szCs w:val="24"/>
        </w:rPr>
        <w:t xml:space="preserve">affect </w:t>
      </w:r>
      <w:r w:rsidR="00C375E3" w:rsidRPr="00C375E3">
        <w:rPr>
          <w:szCs w:val="24"/>
        </w:rPr>
        <w:t xml:space="preserve">ligament mechanics, possibly predisposing to </w:t>
      </w:r>
      <w:r w:rsidR="000D2DE1">
        <w:rPr>
          <w:szCs w:val="24"/>
        </w:rPr>
        <w:t xml:space="preserve">a </w:t>
      </w:r>
      <w:r w:rsidR="005C411A">
        <w:rPr>
          <w:szCs w:val="24"/>
        </w:rPr>
        <w:t>CCL</w:t>
      </w:r>
      <w:r w:rsidR="00C375E3" w:rsidRPr="00C375E3">
        <w:rPr>
          <w:szCs w:val="24"/>
        </w:rPr>
        <w:t xml:space="preserve"> injury and knee joint osteoarthritis </w:t>
      </w:r>
      <w:r w:rsidR="00C375E3" w:rsidRPr="00C375E3">
        <w:rPr>
          <w:szCs w:val="24"/>
        </w:rPr>
        <w:fldChar w:fldCharType="begin"/>
      </w:r>
      <w:r w:rsidR="008D4B27">
        <w:rPr>
          <w:szCs w:val="24"/>
        </w:rPr>
        <w:instrText xml:space="preserve"> ADDIN ZOTERO_ITEM CSL_CITATION {"citationID":"uLXesSEI","properties":{"formattedCitation":"(Quasnichka et al., 2005)","plainCitation":"(Quasnichka et al., 2005)","noteIndex":0},"citationItems":[{"id":3177,"uris":["http://zotero.org/users/5692498/items/YB8X266H"],"itemData":{"id":3177,"type":"article-journal","abstract":"Objective The influence of the cruciate ligaments in spontaneous osteoarthritis (OA) is not understood, although ligament rupture is known to cause secondary OA. Additionally, femoral notch narrowing at the anterior cruciate ligament (ACL) insertion site is associated with disease severity, but it is unknown whether ligament deterioration precedes or follows osteophyte formation. We examined cruciate ligament mechanics and metabolism and the intercondylar notch width in OA-prone Dunkin-Hartley (DH) guinea pigs at ages up to and including the age at OA onset (24 weeks), and compared the data with those in age-matched controls (Bristol strain 2 [BS2] guinea pigs). Methods Guinea pigs were assessed at 3, 6, 9, 12, 16, 20, 24, and 36 weeks of age. ACLs were mechanically tested, and the intercondylar notch width index (NWI) was determined. Cruciate ligament metabolism was determined by measuring the following markers of collagen turnover: matrix metalloproteinase 2 (MMP-2), tissue inhibitor of metalloproteinases 2, C-terminal type I procollagen propeptide (PICP), and the immature collagen-derived crosslink dihydroxylysinonorleucine (DHLNL). Results DH guinea pigs had significantly laxer ACLs than did BS2 guinea pigs, at 12, 16, and 24 weeks. We observed elevated levels of pro and active MMP-2, PICP, and DHLNL in the cruciate ligaments of DH animals at most ages, compared with BS2 guinea pigs. The NWI in DH animals was significantly lower than that in BS2 guinea pigs at 24 and 36 weeks. Conclusion In DH guinea pigs, laxer ACLs, which are associated with increased collagen turnover, may cause joint instability and predispose these animals to the early onset of OA. Decreased intercondylar notch width in the DH animals indicates that bone remodeling at the ACL insertion site is a response to elevated ACL laxity.","container-title":"Arthritis &amp; Rheumatism","DOI":"10.1002/art.21340","ISSN":"1529-0131","issue":"10","language":"en","license":"Copyright © 2005 by the American College of Rheumatology","note":"_eprint: https://onlinelibrary.wiley.com/doi/pdf/10.1002/art.21340","page":"3100-3109","source":"Wiley Online Library","title":"Cruciate ligament laxity and femoral intercondylar notch narrowing in early-stage knee osteoarthritis","volume":"52","author":[{"family":"Quasnichka","given":"Helen L."},{"family":"Anderson‐MacKenzie","given":"Janet M."},{"family":"Tarlton","given":"John F."},{"family":"Sims","given":"Trevor J."},{"family":"Billingham","given":"Michael E. J."},{"family":"Bailey","given":"Allen J."}],"issued":{"date-parts":[["2005"]]}}}],"schema":"https://github.com/citation-style-language/schema/raw/master/csl-citation.json"} </w:instrText>
      </w:r>
      <w:r w:rsidR="00C375E3" w:rsidRPr="00C375E3">
        <w:rPr>
          <w:szCs w:val="24"/>
        </w:rPr>
        <w:fldChar w:fldCharType="separate"/>
      </w:r>
      <w:r w:rsidR="0097525F" w:rsidRPr="0097525F">
        <w:rPr>
          <w:rFonts w:cs="Times New Roman"/>
        </w:rPr>
        <w:t>(Quasnichka et al., 2005)</w:t>
      </w:r>
      <w:r w:rsidR="00C375E3" w:rsidRPr="00C375E3">
        <w:rPr>
          <w:szCs w:val="24"/>
        </w:rPr>
        <w:fldChar w:fldCharType="end"/>
      </w:r>
      <w:r w:rsidR="00C375E3" w:rsidRPr="00C375E3">
        <w:rPr>
          <w:szCs w:val="24"/>
        </w:rPr>
        <w:t xml:space="preserve">. Therefore, </w:t>
      </w:r>
      <w:r w:rsidR="00CE30E7">
        <w:rPr>
          <w:szCs w:val="24"/>
        </w:rPr>
        <w:t>this study</w:t>
      </w:r>
      <w:r w:rsidR="00C375E3" w:rsidRPr="00C375E3">
        <w:rPr>
          <w:szCs w:val="24"/>
        </w:rPr>
        <w:t xml:space="preserve"> </w:t>
      </w:r>
      <w:r w:rsidR="00CE30E7">
        <w:rPr>
          <w:szCs w:val="24"/>
        </w:rPr>
        <w:t xml:space="preserve">qualitatively analysed </w:t>
      </w:r>
      <w:r w:rsidR="00C375E3" w:rsidRPr="00C375E3">
        <w:rPr>
          <w:szCs w:val="24"/>
        </w:rPr>
        <w:t>the contribution of PGs to the viscoelastic behaviour of intact femur-</w:t>
      </w:r>
      <w:r w:rsidR="005C411A">
        <w:rPr>
          <w:szCs w:val="24"/>
        </w:rPr>
        <w:t>CCL</w:t>
      </w:r>
      <w:r w:rsidR="00C375E3" w:rsidRPr="00C375E3">
        <w:rPr>
          <w:szCs w:val="24"/>
        </w:rPr>
        <w:t xml:space="preserve">-tibia, </w:t>
      </w:r>
      <w:r w:rsidR="000D2DE1">
        <w:rPr>
          <w:szCs w:val="24"/>
        </w:rPr>
        <w:t>particularly</w:t>
      </w:r>
      <w:r w:rsidR="00C375E3" w:rsidRPr="00C375E3">
        <w:rPr>
          <w:szCs w:val="24"/>
        </w:rPr>
        <w:t xml:space="preserve"> the role of PGs </w:t>
      </w:r>
      <w:r w:rsidR="000D2DE1">
        <w:rPr>
          <w:szCs w:val="24"/>
        </w:rPr>
        <w:t>in</w:t>
      </w:r>
      <w:r w:rsidR="00C375E3" w:rsidRPr="00C375E3">
        <w:rPr>
          <w:szCs w:val="24"/>
        </w:rPr>
        <w:t xml:space="preserve"> the strain</w:t>
      </w:r>
      <w:r w:rsidR="00515404">
        <w:rPr>
          <w:szCs w:val="24"/>
        </w:rPr>
        <w:t xml:space="preserve"> </w:t>
      </w:r>
      <w:r w:rsidR="00C375E3" w:rsidRPr="00C375E3">
        <w:rPr>
          <w:szCs w:val="24"/>
        </w:rPr>
        <w:t>rate dependency</w:t>
      </w:r>
      <w:r w:rsidR="00A02743">
        <w:rPr>
          <w:szCs w:val="24"/>
        </w:rPr>
        <w:t xml:space="preserve">, </w:t>
      </w:r>
      <w:r w:rsidR="00C375E3" w:rsidRPr="00C375E3">
        <w:rPr>
          <w:szCs w:val="24"/>
        </w:rPr>
        <w:t>hysteresis, creep, and stress</w:t>
      </w:r>
      <w:r w:rsidR="00515404">
        <w:rPr>
          <w:szCs w:val="24"/>
        </w:rPr>
        <w:t xml:space="preserve"> </w:t>
      </w:r>
      <w:r w:rsidR="00C375E3" w:rsidRPr="00C375E3">
        <w:rPr>
          <w:szCs w:val="24"/>
        </w:rPr>
        <w:t xml:space="preserve">relaxation of the </w:t>
      </w:r>
      <w:r w:rsidR="005C411A">
        <w:rPr>
          <w:szCs w:val="24"/>
        </w:rPr>
        <w:t>CCL</w:t>
      </w:r>
      <w:r w:rsidR="00C375E3" w:rsidRPr="00C375E3">
        <w:rPr>
          <w:szCs w:val="24"/>
        </w:rPr>
        <w:t>s. Here, we found alterations in the</w:t>
      </w:r>
      <w:r w:rsidR="0070532E">
        <w:rPr>
          <w:szCs w:val="24"/>
        </w:rPr>
        <w:t xml:space="preserve"> </w:t>
      </w:r>
      <w:r w:rsidR="00C375E3" w:rsidRPr="00C375E3">
        <w:rPr>
          <w:szCs w:val="24"/>
        </w:rPr>
        <w:t xml:space="preserve">viscoelastic characteristics of the </w:t>
      </w:r>
      <w:r w:rsidR="005C411A">
        <w:rPr>
          <w:szCs w:val="24"/>
        </w:rPr>
        <w:t>CCL</w:t>
      </w:r>
      <w:r w:rsidR="00C375E3" w:rsidRPr="00C375E3">
        <w:rPr>
          <w:szCs w:val="24"/>
        </w:rPr>
        <w:t xml:space="preserve">s </w:t>
      </w:r>
      <w:r w:rsidR="00A9457F">
        <w:rPr>
          <w:szCs w:val="24"/>
        </w:rPr>
        <w:t>due to</w:t>
      </w:r>
      <w:r w:rsidR="00C375E3" w:rsidRPr="00C375E3">
        <w:rPr>
          <w:szCs w:val="24"/>
        </w:rPr>
        <w:t xml:space="preserve"> PGs reduction</w:t>
      </w:r>
      <w:r w:rsidR="000D2DE1">
        <w:rPr>
          <w:szCs w:val="24"/>
        </w:rPr>
        <w:t xml:space="preserve">. </w:t>
      </w:r>
      <w:r w:rsidR="00280368">
        <w:rPr>
          <w:szCs w:val="24"/>
        </w:rPr>
        <w:t>C</w:t>
      </w:r>
      <w:r w:rsidR="00C375E3" w:rsidRPr="00C375E3">
        <w:rPr>
          <w:szCs w:val="24"/>
        </w:rPr>
        <w:t xml:space="preserve">hanges were </w:t>
      </w:r>
      <w:r w:rsidR="00280368">
        <w:rPr>
          <w:szCs w:val="24"/>
        </w:rPr>
        <w:t>observed</w:t>
      </w:r>
      <w:r w:rsidR="00C375E3" w:rsidRPr="00C375E3">
        <w:rPr>
          <w:szCs w:val="24"/>
        </w:rPr>
        <w:t xml:space="preserve"> in tissue </w:t>
      </w:r>
      <w:r w:rsidR="00280368">
        <w:rPr>
          <w:szCs w:val="24"/>
        </w:rPr>
        <w:t>stiffness</w:t>
      </w:r>
      <w:r w:rsidR="00C375E3" w:rsidRPr="00C375E3">
        <w:rPr>
          <w:szCs w:val="24"/>
        </w:rPr>
        <w:t xml:space="preserve">, </w:t>
      </w:r>
      <w:r w:rsidR="00280368">
        <w:rPr>
          <w:szCs w:val="24"/>
        </w:rPr>
        <w:lastRenderedPageBreak/>
        <w:t xml:space="preserve">hysteresis, </w:t>
      </w:r>
      <w:r w:rsidR="00C375E3" w:rsidRPr="00C375E3">
        <w:rPr>
          <w:szCs w:val="24"/>
        </w:rPr>
        <w:t>stress</w:t>
      </w:r>
      <w:r w:rsidR="000D2DE1">
        <w:rPr>
          <w:szCs w:val="24"/>
        </w:rPr>
        <w:t xml:space="preserve"> </w:t>
      </w:r>
      <w:r w:rsidR="00C375E3" w:rsidRPr="00C375E3">
        <w:rPr>
          <w:szCs w:val="24"/>
        </w:rPr>
        <w:t xml:space="preserve">relaxation and creep. However, </w:t>
      </w:r>
      <w:r w:rsidR="00280368">
        <w:rPr>
          <w:szCs w:val="24"/>
        </w:rPr>
        <w:t xml:space="preserve">strain rates and the increase in creep load </w:t>
      </w:r>
      <w:r w:rsidR="00C375E3" w:rsidRPr="00C375E3">
        <w:rPr>
          <w:szCs w:val="24"/>
        </w:rPr>
        <w:t xml:space="preserve">were unaffected by the </w:t>
      </w:r>
      <w:r w:rsidR="000D2DE1">
        <w:rPr>
          <w:szCs w:val="24"/>
        </w:rPr>
        <w:t>PG content reduction</w:t>
      </w:r>
      <w:r w:rsidR="00C375E3" w:rsidRPr="00C375E3">
        <w:rPr>
          <w:szCs w:val="24"/>
        </w:rPr>
        <w:t>.</w:t>
      </w:r>
    </w:p>
    <w:p w14:paraId="64ADCD3F" w14:textId="15EA940E" w:rsidR="00C375E3" w:rsidRPr="00C375E3" w:rsidRDefault="00C375E3" w:rsidP="00C375E3">
      <w:pPr>
        <w:rPr>
          <w:szCs w:val="24"/>
        </w:rPr>
      </w:pPr>
      <w:r w:rsidRPr="00C375E3">
        <w:rPr>
          <w:szCs w:val="24"/>
        </w:rPr>
        <w:t xml:space="preserve">The design of experiments and mechanical tests were performed based on our previous work </w:t>
      </w:r>
      <w:r w:rsidRPr="00C375E3">
        <w:rPr>
          <w:szCs w:val="24"/>
        </w:rPr>
        <w:fldChar w:fldCharType="begin"/>
      </w:r>
      <w:r w:rsidR="0097525F">
        <w:rPr>
          <w:szCs w:val="24"/>
        </w:rPr>
        <w:instrText xml:space="preserve"> ADDIN ZOTERO_ITEM CSL_CITATION {"citationID":"9eqvj90A","properties":{"formattedCitation":"(Readioff et al., 2020a, 2020b)","plainCitation":"(Readioff et al., 2020a, 2020b)","noteIndex":0},"citationItems":[{"id":2584,"uris":["http://zotero.org/users/5692498/items/58ARLL83"],"itemData":{"id":2584,"type":"article-journal","abstract":"It is limiting to use conventional methods when characterising material properties of complex biological tissues with inhomogeneous and anisotropic structure, such as the anterior cruciate ligament (ACL) in the knee joint. This study aims to develop and utilise a three-dimensional digital image correlation method (3D DIC) for the purpose of determining material properties of femur-ACL-tibia complex across the surface without any contact between the tissue and the loading equipment. A full-field (360° view) 3D DIC test setup consisting of six digital single-lens reflex cameras was developed and ACL specimens from skeletally mature dog knee joints were tested. The six cameras were arranged into three pairs and the cameras within each pair were positioned with 25° in between to obtain the desired stereovision output. The test setup was calibrated twice: first to obtain the intrinsic and extrinsic parameters within camera pairs, and second to align the 3D surfaces from each camera pair in order to generate the full view of the ACLs. Using the undeformed 3D surfaces of the ligaments, ACL-specific finite element models were generated. Longitudinal deformation of ligaments under tensile loads obtained from the 3D DIC, and this was analysed to serve as input for the inverse finite element analysis. As a result, hyperelastic coefficients from the first-order Ogden model that characterise ACL behaviour were determined with a marginal error of &lt;1.5%. This test setup and methodology provides a means to accurately determine inhomogeneous and anisotropic material properties of ACL. The methodology described in this study could be adopted to investigate other biological and cultured tissues with complex structure.\nStatement of Significance\nDetermining the material properties of soft tissues with complex anatomical structure, such as the anterior cruciate ligament (ACL), is important to better understand their contribution to musculoskeletal biomechanics. Current conventional methods for characterising material properties of the ACL are often limited to a contact measurement approach, however an improved understanding of the mechanics of this complex tissue is vital in terms of preventing injury and developing novel therapies. This article reports the development and utilisation of non-contact optical methodology involving full-field three-dimensional digital image correlation and finite element analysis to accurately investigate material properties of the ACL, in a controlled environment. This technique reduces inaccuracies due to specimen clamping and more importantly considers the inhomogeneous nature of the examined tissue.","container-title":"Acta Biomaterialia","DOI":"10.1016/j.actbio.2020.07.003","ISSN":"1742-7061","journalAbbreviation":"Acta Biomaterialia","language":"en","page":"417-428","source":"ScienceDirect","title":"A full-field 3D digital image correlation and modelling technique to characterise anterior cruciate ligament mechanics ex vivo","volume":"113","author":[{"family":"Readioff","given":"Rosti"},{"family":"Geraghty","given":"Brendan"},{"family":"Comerford","given":"Eithne"},{"family":"Elsheikh","given":"Ahmed"}],"issued":{"date-parts":[["2020",9,1]]}}},{"id":3168,"uris":["http://zotero.org/users/5692498/items/GYIP8SXX"],"itemData":{"id":3168,"type":"article-journal","abstract":"Ligaments including the cruciate ligaments support and transfer loads between bones applied to the knee joint organ. The functions of these ligaments can get compromised due to changes to their viscoelastic material properties. Currently there are discrepancies in the literature on the viscoelastic characteristics of knee ligaments which are thought to be due to tissue variability and different testing protocols. The aim of this study was to characterise the viscoelastic properties of healthy cranial cruciate ligaments (CCLs), from the canine knee (stifle) joint, with a focus on the toe region of the stress-strain properties where any alterations in the extracellular matrix which would affect viscoelastic properties would be seen. Six paired CCLs, from skeletally mature and disease-free Staffordshire bull terrier stifle joints were retrieved as a femur-CCL-tibia complex and mechanically tested under uniaxial cyclic loading up to 10 N at three strain rates, namely 0.1%, 1% and 10%/min, to assess the viscoelastic property of strain rate dependency. The effect of strain history was also investigated by subjecting contralateral CCLs to an ascending (0.1%, 1% and 10%/min) or descending (10%, 1% and 0.1%/min) strain rate protocol. The differences between strain rates were not statistically significant. However, hysteresis and recovery of ligament lengths showed some dependency on strain rate. Only hysteresis was affected by the test protocol and lower strain rates resulted in higher hysteresis and lower recovery. These findings could be explained by the slow process of uncrimping of collagen fibres and the contribution of proteoglycans in the ligament extracellular matrix to intra-fibrillar gliding, which results in more tissue elongations and higher energy dissipation. This study further expands our understanding of canine CCL behaviour, providing data for material models of femur-CCL-tibia complexes, and demonstrating the challenges for engineering complex biomaterials such as knee joint ligaments.","container-title":"PeerJ","DOI":"10.7717/peerj.10635","ISSN":"2167-8359","journalAbbreviation":"PeerJ","language":"en","note":"publisher: PeerJ Inc.","page":"e10635","source":"peerj.com","title":"Viscoelastic characteristics of the canine cranial cruciate ligament complex at slow strain rates","volume":"8","author":[{"family":"Readioff","given":"Rosti"},{"family":"Geraghty","given":"Brendan"},{"family":"Elsheikh","given":"Ahmed"},{"family":"Comerford","given":"Eithne"}],"issued":{"date-parts":[["2020",12,22]]}}}],"schema":"https://github.com/citation-style-language/schema/raw/master/csl-citation.json"} </w:instrText>
      </w:r>
      <w:r w:rsidRPr="00C375E3">
        <w:rPr>
          <w:szCs w:val="24"/>
        </w:rPr>
        <w:fldChar w:fldCharType="separate"/>
      </w:r>
      <w:r w:rsidR="0097525F" w:rsidRPr="0097525F">
        <w:rPr>
          <w:rFonts w:cs="Times New Roman"/>
        </w:rPr>
        <w:t>(Readioff et al., 2020a, 2020b)</w:t>
      </w:r>
      <w:r w:rsidRPr="00C375E3">
        <w:rPr>
          <w:szCs w:val="24"/>
        </w:rPr>
        <w:fldChar w:fldCharType="end"/>
      </w:r>
      <w:r w:rsidRPr="00C375E3">
        <w:rPr>
          <w:szCs w:val="24"/>
        </w:rPr>
        <w:t xml:space="preserve"> and preliminary investigations </w:t>
      </w:r>
      <w:r w:rsidRPr="00C375E3">
        <w:rPr>
          <w:szCs w:val="24"/>
        </w:rPr>
        <w:fldChar w:fldCharType="begin"/>
      </w:r>
      <w:r w:rsidR="0097525F">
        <w:rPr>
          <w:szCs w:val="24"/>
        </w:rPr>
        <w:instrText xml:space="preserve"> ADDIN ZOTERO_ITEM CSL_CITATION {"citationID":"By6mrfJ0","properties":{"formattedCitation":"(Comerford et al., 2014)","plainCitation":"(Comerford et al., 2014)","noteIndex":0},"citationItems":[{"id":3201,"uris":["http://zotero.org/users/5692498/items/3QUGVGJC"],"itemData":{"id":3201,"type":"paper-conference","abstract":"Purpose: Proteoglycans (PGs) are minor extracellular matrix proteins, which may play\nan important role in normal ligament mechanobiology. The contribution of PGs to the\nmechanobiology of complex ligaments such as the anterior cruciate ligament (ACL) has\nnot been determined to date. Recently we have shown that PGs may have a pathological\nrole in the canine ACL complex of the knee joint as a result of altered mechanical\nloads. Rupture of the ACL has profound implications for joint stability, and affected\njoints (in both human and other species such as the dog) develop progressive osteoarthritis.","container-title":"Osteoarthritis and Cartilage","DOI":"10.1016/j.joca.2014.02.579","language":"English","note":"PMID: 24333297","page":"S313","publisher":"Elsevier","source":"www.oarsijournal.com","title":"The contribution of proteoglycans to the viscoelasticity of the canine anterior cruciate ligament","URL":"https://www.oarsijournal.com/article/S1063-4584(14)00619-0/abstract","volume":"22","author":[{"family":"Comerford","given":"E. J."},{"family":"Geraghty","given":"B."},{"family":"Hamarashid","given":"R."},{"family":"Elsheikh","given":"A."}],"accessed":{"date-parts":[["2020",12,30]]},"issued":{"date-parts":[["2014",4,1]]}}}],"schema":"https://github.com/citation-style-language/schema/raw/master/csl-citation.json"} </w:instrText>
      </w:r>
      <w:r w:rsidRPr="00C375E3">
        <w:rPr>
          <w:szCs w:val="24"/>
        </w:rPr>
        <w:fldChar w:fldCharType="separate"/>
      </w:r>
      <w:r w:rsidR="0097525F" w:rsidRPr="0097525F">
        <w:rPr>
          <w:rFonts w:cs="Times New Roman"/>
        </w:rPr>
        <w:t>(Comerford et al., 2014)</w:t>
      </w:r>
      <w:r w:rsidRPr="00C375E3">
        <w:rPr>
          <w:szCs w:val="24"/>
        </w:rPr>
        <w:fldChar w:fldCharType="end"/>
      </w:r>
      <w:r w:rsidRPr="00C375E3">
        <w:rPr>
          <w:szCs w:val="24"/>
        </w:rPr>
        <w:t>. The mechanical tests focused on investigating the toe-region of the stress-strain curves, where the collagen fibres are crimped</w:t>
      </w:r>
      <w:r w:rsidR="000D2DE1">
        <w:rPr>
          <w:szCs w:val="24"/>
        </w:rPr>
        <w:t>,</w:t>
      </w:r>
      <w:r w:rsidRPr="00C375E3">
        <w:rPr>
          <w:szCs w:val="24"/>
        </w:rPr>
        <w:t xml:space="preserve"> and sGAG chains are believed to have </w:t>
      </w:r>
      <w:r w:rsidR="000D2DE1">
        <w:rPr>
          <w:szCs w:val="24"/>
        </w:rPr>
        <w:t>a</w:t>
      </w:r>
      <w:r w:rsidR="00AD2F7B">
        <w:rPr>
          <w:szCs w:val="24"/>
        </w:rPr>
        <w:t xml:space="preserve"> significant</w:t>
      </w:r>
      <w:r w:rsidR="000D2DE1">
        <w:rPr>
          <w:szCs w:val="24"/>
        </w:rPr>
        <w:t xml:space="preserve"> </w:t>
      </w:r>
      <w:r w:rsidRPr="00C375E3">
        <w:rPr>
          <w:szCs w:val="24"/>
        </w:rPr>
        <w:t xml:space="preserve">mechanical contribution to tissues </w:t>
      </w:r>
      <w:r w:rsidRPr="00C375E3">
        <w:rPr>
          <w:szCs w:val="24"/>
        </w:rPr>
        <w:fldChar w:fldCharType="begin"/>
      </w:r>
      <w:r w:rsidR="0097525F">
        <w:rPr>
          <w:szCs w:val="24"/>
        </w:rPr>
        <w:instrText xml:space="preserve"> ADDIN ZOTERO_ITEM CSL_CITATION {"citationID":"pgDktkOd","properties":{"formattedCitation":"(Eshel and Lanir, 2001; Lujan et al., 2009; Eckert et al., 2013)","plainCitation":"(Eshel and Lanir, 2001; Lujan et al., 2009; Eckert et al., 2013)","noteIndex":0},"citationItems":[{"id":3188,"uris":["http://zotero.org/users/5692498/items/AWUIYQWE"],"itemData":{"id":3188,"type":"article-journal","abstract":"The mechanical response of rat dorsal skin was experimentally studied under cyclic uniaxial ramp stretches to various strain levels. Special emphasis was paid to the effects of the preconditioning protocol on the stress-strain relationship, and to the effects of ramp strain level and proteoglycan (PG) depletion, on viscoelasticity and preconditioning responses. The results show that preconditioning significantly reduced both the slope of the low strain stress-strain relationship, and the stress levels at consecutive stretch cycles. Following a short rest there was a significant partial recovery. Stress decay due to preconditioning was significant at all strain levels, and increased with strain. Stress relaxation was significant at all strain levels, but varied little with strain. Recovery following a 10 min rest was minor at all strain levels and varied little with strain. PG-depleted samples manifested similar response patterns. These results are consistent with the following notion: (1) skin consists of three mechanical components: elastin and proteoglycan which dominate the low strain response and are effected by preconditioning and (PG) depletion, and collagen which dominates the high strain response and is unaffected by preconditioning and PG depletion; (2) that the viscoelasticity of elastin and PG vs that of collagen are similar, so that rat dorsal skin can be regarded quasilinear viscoelastic.","container-title":"Annals of Biomedical Engineering","DOI":"10.1114/1.1349697","ISSN":"0090-6964","issue":"2","journalAbbreviation":"Ann Biomed Eng","language":"eng","note":"PMID: 11284671","page":"164-172","source":"PubMed","title":"Effects of strain level and proteoglycan depletion on preconditioning and viscoelastic responses of rat dorsal skin","volume":"29","author":[{"family":"Eshel","given":"H."},{"family":"Lanir","given":"Y."}],"issued":{"date-parts":[["2001",2]]}}},{"id":913,"uris":["http://zotero.org/users/5692498/items/BE8DU7UF"],"itemData":{"id":913,"type":"article-journal","container-title":"Acta Biomaterialia","DOI":"10.1016/j.actbio.2012.09.031","ISSN":"1878-7568 (Electronic) 1742-7061 (Linking)","issue":"1","note":"type: Journal Article\nCitation Key: RN1445","page":"4653-4660","title":"On the biomechanical role of glycosaminoglycans in the aortic heart valve leaflet","volume":"9","author":[{"family":"Eckert","given":"C E"},{"family":"Fan","given":"R"},{"family":"Mikulis","given":"B"},{"family":"Barron","given":"M"},{"family":"Carruthers","given":"C A"},{"family":"Friebe","given":"V M"},{"family":"Vyavahare","given":"N R"},{"family":"Sacks","given":"M S"}],"issued":{"date-parts":[["2013"]]}}},{"id":2963,"uris":["http://zotero.org/users/5692498/items/C59ACT4I"],"itemData":{"id":2963,"type":"article-journal","abstract":"The viscoelastic properties of human ligament potentially guard against structural failure, yet the microstructural origins of these transient behaviors are unknown. Glycosaminoglycans (GAGs) are widely suspected to affect ligament viscoelasticity by forming molecular bridges between neighboring collagen fibrils. This study investigated whether GAGs directly affect viscoelastic material behavior in human medial collateral ligament (MCL) by using nondestructive tensile tests before and after degradation of GAGs with chondroitinase ABC (ChABC). Control and ChABC treatment (83% GAG removal) produced similar alterations to ligament viscoelasticity. This finding was consistent at different levels of collagen fiber stretch and tissue hydration. On average, stress relaxation increased after incubation by 2.2% (control) and 2.1% (ChABC), dynamic modulus increased after incubation by 3.6% (control) and 3.8% (ChABC), and phase shift increased after incubation by 8.5% (control) and 8.4% (ChABC). The changes in viscoelastic behavior after treatment were significantly more pronounced at lower clamp-to-clamp strain levels. A 10% difference in the water content of tested specimens had minor influence on ligament viscoelastic properties. The major finding of this study is that mechanical interactions between collagen fibrils and GAGs are unrelated to tissue-level viscoelastic mechanics in mature human MCL. These findings narrow the possible number of extracellular matrix molecules that have a direct contribution to ligament viscoelasticity.","container-title":"Journal of Applied Physiology","DOI":"10.1152/japplphysiol.90748.2008","ISSN":"8750-7587","issue":"2","note":"publisher: American Physiological Society","page":"423-431","source":"journals.physiology.org (Atypon)","title":"Contribution of glycosaminoglycans to viscoelastic tensile behavior of human ligament","volume":"106","author":[{"family":"Lujan","given":"Trevor J."},{"family":"Underwood","given":"Clayton J."},{"family":"Jacobs","given":"Nathan T."},{"family":"Weiss","given":"Jeffrey A."}],"issued":{"date-parts":[["2009",2,1]]}}}],"schema":"https://github.com/citation-style-language/schema/raw/master/csl-citation.json"} </w:instrText>
      </w:r>
      <w:r w:rsidRPr="00C375E3">
        <w:rPr>
          <w:szCs w:val="24"/>
        </w:rPr>
        <w:fldChar w:fldCharType="separate"/>
      </w:r>
      <w:r w:rsidR="0097525F" w:rsidRPr="0097525F">
        <w:rPr>
          <w:rFonts w:cs="Times New Roman"/>
        </w:rPr>
        <w:t>(Eshel and Lanir, 2001; Lujan et al., 2009; Eckert et al., 2013)</w:t>
      </w:r>
      <w:r w:rsidRPr="00C375E3">
        <w:rPr>
          <w:szCs w:val="24"/>
        </w:rPr>
        <w:fldChar w:fldCharType="end"/>
      </w:r>
      <w:r w:rsidRPr="00C375E3">
        <w:rPr>
          <w:szCs w:val="24"/>
        </w:rPr>
        <w:t>, hence in this study</w:t>
      </w:r>
      <w:r w:rsidR="000D2DE1">
        <w:rPr>
          <w:szCs w:val="24"/>
        </w:rPr>
        <w:t>,</w:t>
      </w:r>
      <w:r w:rsidRPr="00C375E3">
        <w:rPr>
          <w:szCs w:val="24"/>
        </w:rPr>
        <w:t xml:space="preserve"> we examined loads up to 10 N at three slow strain</w:t>
      </w:r>
      <w:r w:rsidR="00515404">
        <w:rPr>
          <w:szCs w:val="24"/>
        </w:rPr>
        <w:t xml:space="preserve"> </w:t>
      </w:r>
      <w:r w:rsidRPr="00C375E3">
        <w:rPr>
          <w:szCs w:val="24"/>
        </w:rPr>
        <w:t xml:space="preserve">rates </w:t>
      </w:r>
      <w:r w:rsidRPr="00C375E3">
        <w:rPr>
          <w:szCs w:val="24"/>
        </w:rPr>
        <w:fldChar w:fldCharType="begin"/>
      </w:r>
      <w:r w:rsidR="008D4B27">
        <w:rPr>
          <w:szCs w:val="24"/>
        </w:rPr>
        <w:instrText xml:space="preserve"> ADDIN ZOTERO_ITEM CSL_CITATION {"citationID":"YAaJwjOM","properties":{"formattedCitation":"(Haut and Little, 1969; Readioff et al., 2020b)","plainCitation":"(Haut and Little, 1969; Readioff et al., 2020b)","noteIndex":0},"citationItems":[{"id":3168,"uris":["http://zotero.org/users/5692498/items/GYIP8SXX"],"itemData":{"id":3168,"type":"article-journal","abstract":"Ligaments including the cruciate ligaments support and transfer loads between bones applied to the knee joint organ. The functions of these ligaments can get compromised due to changes to their viscoelastic material properties. Currently there are discrepancies in the literature on the viscoelastic characteristics of knee ligaments which are thought to be due to tissue variability and different testing protocols. The aim of this study was to characterise the viscoelastic properties of healthy cranial cruciate ligaments (CCLs), from the canine knee (stifle) joint, with a focus on the toe region of the stress-strain properties where any alterations in the extracellular matrix which would affect viscoelastic properties would be seen. Six paired CCLs, from skeletally mature and disease-free Staffordshire bull terrier stifle joints were retrieved as a femur-CCL-tibia complex and mechanically tested under uniaxial cyclic loading up to 10 N at three strain rates, namely 0.1%, 1% and 10%/min, to assess the viscoelastic property of strain rate dependency. The effect of strain history was also investigated by subjecting contralateral CCLs to an ascending (0.1%, 1% and 10%/min) or descending (10%, 1% and 0.1%/min) strain rate protocol. The differences between strain rates were not statistically significant. However, hysteresis and recovery of ligament lengths showed some dependency on strain rate. Only hysteresis was affected by the test protocol and lower strain rates resulted in higher hysteresis and lower recovery. These findings could be explained by the slow process of uncrimping of collagen fibres and the contribution of proteoglycans in the ligament extracellular matrix to intra-fibrillar gliding, which results in more tissue elongations and higher energy dissipation. This study further expands our understanding of canine CCL behaviour, providing data for material models of femur-CCL-tibia complexes, and demonstrating the challenges for engineering complex biomaterials such as knee joint ligaments.","container-title":"PeerJ","DOI":"10.7717/peerj.10635","ISSN":"2167-8359","journalAbbreviation":"PeerJ","language":"en","note":"publisher: PeerJ Inc.","page":"e10635","source":"peerj.com","title":"Viscoelastic characteristics of the canine cranial cruciate ligament complex at slow strain rates","volume":"8","author":[{"family":"Readioff","given":"Rosti"},{"family":"Geraghty","given":"Brendan"},{"family":"Elsheikh","given":"Ahmed"},{"family":"Comerford","given":"Eithne"}],"issued":{"date-parts":[["2020",12,22]]}}},{"id":"hIRZaDaU/mtzWGjFp","uris":["http://www.mendeley.com/documents/?uuid=2d9e4182-df4a-42e8-a272-7b54c5817fea"],"itemData":{"DOI":"Doi 10.1016/0021-9290(69)90085-2","ISSN":"0021-9290","author":[{"dropping-particle":"","family":"Haut","given":"R C","non-dropping-particle":"","parse-names":false,"suffix":""},{"dropping-particle":"","family":"Little","given":"R W","non-dropping-particle":"","parse-names":false,"suffix":""}],"container-title":"Journal of Biomechanics","id":"ShowJzWc/FEvt4FBU","issue":"3","issued":{"date-parts":[["1969"]]},"page":"289-298","title":"Rheological properties of canine anterior cruciate ligaments","type":"article-journal","volume":"2"}}],"schema":"https://github.com/citation-style-language/schema/raw/master/csl-citation.json"} </w:instrText>
      </w:r>
      <w:r w:rsidRPr="00C375E3">
        <w:rPr>
          <w:szCs w:val="24"/>
        </w:rPr>
        <w:fldChar w:fldCharType="separate"/>
      </w:r>
      <w:r w:rsidR="0097525F" w:rsidRPr="0097525F">
        <w:rPr>
          <w:rFonts w:cs="Times New Roman"/>
        </w:rPr>
        <w:t>(Haut and Little, 1969; Readioff et al., 2020b)</w:t>
      </w:r>
      <w:r w:rsidRPr="00C375E3">
        <w:rPr>
          <w:szCs w:val="24"/>
        </w:rPr>
        <w:fldChar w:fldCharType="end"/>
      </w:r>
      <w:r w:rsidRPr="00C375E3">
        <w:rPr>
          <w:szCs w:val="24"/>
        </w:rPr>
        <w:t>.</w:t>
      </w:r>
      <w:r w:rsidR="0010669C">
        <w:rPr>
          <w:szCs w:val="24"/>
        </w:rPr>
        <w:t xml:space="preserve"> </w:t>
      </w:r>
      <w:bookmarkStart w:id="14" w:name="_Hlk114324270"/>
      <w:r w:rsidR="0010669C">
        <w:rPr>
          <w:szCs w:val="24"/>
        </w:rPr>
        <w:t>The ligaments were not loaded to failure as th</w:t>
      </w:r>
      <w:r w:rsidR="00013704">
        <w:rPr>
          <w:szCs w:val="24"/>
        </w:rPr>
        <w:t>is study focused on</w:t>
      </w:r>
      <w:r w:rsidR="0010669C">
        <w:rPr>
          <w:szCs w:val="24"/>
        </w:rPr>
        <w:t xml:space="preserve"> the toe-region of the stress-strain curves. Additionally, the loading protocol </w:t>
      </w:r>
      <w:r w:rsidR="00013704">
        <w:rPr>
          <w:szCs w:val="24"/>
        </w:rPr>
        <w:t>optimised</w:t>
      </w:r>
      <w:r w:rsidR="0010669C">
        <w:rPr>
          <w:szCs w:val="24"/>
        </w:rPr>
        <w:t xml:space="preserve"> the use of specimens for multiple studies, including </w:t>
      </w:r>
      <w:r w:rsidR="00013704">
        <w:rPr>
          <w:szCs w:val="24"/>
        </w:rPr>
        <w:t xml:space="preserve">the </w:t>
      </w:r>
      <w:r w:rsidR="0010669C">
        <w:rPr>
          <w:szCs w:val="24"/>
        </w:rPr>
        <w:t xml:space="preserve">regional distribution of PGs across the ligament </w:t>
      </w:r>
      <w:r w:rsidR="0010669C">
        <w:rPr>
          <w:szCs w:val="24"/>
        </w:rPr>
        <w:fldChar w:fldCharType="begin"/>
      </w:r>
      <w:r w:rsidR="0010669C">
        <w:rPr>
          <w:szCs w:val="24"/>
        </w:rPr>
        <w:instrText xml:space="preserve"> ADDIN ZOTERO_ITEM CSL_CITATION {"citationID":"RVp1bmug","properties":{"formattedCitation":"(Kharaz et al., 2018)","plainCitation":"(Kharaz et al., 2018)","noteIndex":0},"citationItems":[{"id":3023,"uris":["http://zotero.org/users/5692498/items/FBH69HV4"],"itemData":{"id":3023,"type":"article-journal","abstract":"Tendons and ligaments play key roles in the musculoskeletal system in both man and animals. Both tissues can undergo traumatic injury, age-related degeneration and chronic disease, causing discomfort, pain and increased susceptibility to wider degenerative joint disease. To date, tendon and ligament ultrastructural biology is relatively under-studied in healthy, non-diseased tissues. This information is essential to understand the pathology of these tissues with regard to function-related injury and to assist with the future development of tissue-engineered tendon and ligament structures. This study investigated the morphological, compositional and extracellular matrix protein distribution differences between tendons and ligaments around the non-diseased canine stifle joint. The morphological, structural characteristics of different regions of the periarticular tendons and ligaments (the intra-articular anterior cruciate ligament, the extra-articular medial collateral ligament, the positional long digital extensor tendon and energy-storing superficial digital flexor tendons) were identified using a novel semi-objective histological scoring analysis and by determining their biochemical composition. Protein distribution of extracellular matrix collagens, proteoglycans and elastic fibre proteins in anterior cruciate ligament and long digital extensor tendon were also determined using immunostaining techniques. The anterior cruciate ligament was found to have significant morphological differences in comparison with the other three tissues, including less compact collagen architecture, differences in cell nuclei phenotype and increased glycosaminoglycan and elastin content. Intra- and interobserver differences of histology scoring resulted in an average score 0.7, indicative of good agreement between observers. Statistically significant differences were also found in the extracellular matrix composition in terms of glycosaminoglycan and elastin content, being more prominent in the anterior cruciate ligament than in the other three tissues. A different distribution of several extracellular matrix proteins was also found between long digital extensor tendon and anterior cruciate ligament, with a significantly increased immunostaining of aggrecan and versican in the anterior cruciate ligament. These findings directly relate to the different functions of tendon and ligament and indicate that the intra-articular anterior cruciate ligament is subjected to more compressive forces, reflecting an adaptive response to normal or increased loads and resulting in different extracellular matrix composition and arrangement to protect the tissue from damage.","container-title":"Journal of Anatomy","DOI":"10.1111/joa.12802","ISSN":"1469-7580","issue":"6","language":"en","license":"© 2018 The Authors. Journal of Anatomy published by John Wiley &amp; Sons Ltd on behalf of Anatomical Society.","note":"_eprint: https://onlinelibrary.wiley.com/doi/pdf/10.1111/joa.12802","page":"943-955","source":"Wiley Online Library","title":"Variations in internal structure, composition and protein distribution between intra- and extra-articular knee ligaments and tendons","volume":"232","author":[{"family":"Kharaz","given":"Yalda A."},{"family":"Canty‐Laird","given":"Elizabeth G."},{"family":"Tew","given":"Simon R."},{"family":"Comerford","given":"Eithne J."}],"issued":{"date-parts":[["2018"]]}}}],"schema":"https://github.com/citation-style-language/schema/raw/master/csl-citation.json"} </w:instrText>
      </w:r>
      <w:r w:rsidR="0010669C">
        <w:rPr>
          <w:szCs w:val="24"/>
        </w:rPr>
        <w:fldChar w:fldCharType="separate"/>
      </w:r>
      <w:r w:rsidR="0010669C" w:rsidRPr="0010669C">
        <w:rPr>
          <w:rFonts w:cs="Times New Roman"/>
        </w:rPr>
        <w:t>(Kharaz et al., 2018)</w:t>
      </w:r>
      <w:r w:rsidR="0010669C">
        <w:rPr>
          <w:szCs w:val="24"/>
        </w:rPr>
        <w:fldChar w:fldCharType="end"/>
      </w:r>
      <w:r w:rsidR="0010669C">
        <w:rPr>
          <w:szCs w:val="24"/>
        </w:rPr>
        <w:t xml:space="preserve">. Future studies could explicitly investigate the </w:t>
      </w:r>
      <w:r w:rsidR="002C7A27">
        <w:rPr>
          <w:szCs w:val="24"/>
        </w:rPr>
        <w:t xml:space="preserve">sensitivity of </w:t>
      </w:r>
      <w:r w:rsidR="0010669C">
        <w:rPr>
          <w:szCs w:val="24"/>
        </w:rPr>
        <w:t>PGs</w:t>
      </w:r>
      <w:r w:rsidR="002C7A27">
        <w:rPr>
          <w:szCs w:val="24"/>
        </w:rPr>
        <w:t xml:space="preserve"> content to the mechanics of the ligaments during higher loading conditions, including failure loads</w:t>
      </w:r>
      <w:r w:rsidR="0010669C">
        <w:rPr>
          <w:szCs w:val="24"/>
        </w:rPr>
        <w:t>.</w:t>
      </w:r>
      <w:bookmarkEnd w:id="14"/>
    </w:p>
    <w:p w14:paraId="7AA7DB1A" w14:textId="4687F07B" w:rsidR="00C375E3" w:rsidRPr="00C375E3" w:rsidRDefault="00C375E3" w:rsidP="00C375E3">
      <w:pPr>
        <w:rPr>
          <w:szCs w:val="24"/>
        </w:rPr>
      </w:pPr>
      <w:r w:rsidRPr="00C375E3">
        <w:rPr>
          <w:szCs w:val="24"/>
        </w:rPr>
        <w:t xml:space="preserve">The </w:t>
      </w:r>
      <w:r w:rsidR="005C411A">
        <w:rPr>
          <w:szCs w:val="24"/>
        </w:rPr>
        <w:t>CCL</w:t>
      </w:r>
      <w:r w:rsidRPr="00C375E3">
        <w:rPr>
          <w:szCs w:val="24"/>
        </w:rPr>
        <w:t xml:space="preserve"> properties such as length and the cross-sectional area in the mid-ligament regions were determined and used in the calculations of engineering stress and strain values</w:t>
      </w:r>
      <w:r w:rsidR="00013704">
        <w:rPr>
          <w:szCs w:val="24"/>
        </w:rPr>
        <w:t>,</w:t>
      </w:r>
      <w:r w:rsidRPr="00C375E3">
        <w:rPr>
          <w:szCs w:val="24"/>
        </w:rPr>
        <w:t xml:space="preserve"> and these properties were in a range similar to those previously reported for canine </w:t>
      </w:r>
      <w:r w:rsidR="005C411A">
        <w:rPr>
          <w:szCs w:val="24"/>
        </w:rPr>
        <w:t>CCL</w:t>
      </w:r>
      <w:r w:rsidRPr="00C375E3">
        <w:rPr>
          <w:szCs w:val="24"/>
        </w:rPr>
        <w:t xml:space="preserve">s </w:t>
      </w:r>
      <w:r w:rsidRPr="00C375E3">
        <w:rPr>
          <w:szCs w:val="24"/>
        </w:rPr>
        <w:fldChar w:fldCharType="begin"/>
      </w:r>
      <w:r w:rsidR="00872213">
        <w:rPr>
          <w:szCs w:val="24"/>
        </w:rPr>
        <w:instrText xml:space="preserve"> ADDIN ZOTERO_ITEM CSL_CITATION {"citationID":"9g7DXsSD","properties":{"formattedCitation":"(Butler et al., 1983; Comerford et al., 2005b)","plainCitation":"(Butler et al., 1983; Comerford et al., 2005b)","noteIndex":0},"citationItems":[{"id":4353,"uris":["http://zotero.org/users/5692498/items/IPC7CP58"],"itemData":{"id":4353,"type":"article-journal","abstract":"A biomechanical analysis of the results of an over-the-top procedure for replacement of the cranial cruciate ligament (CCL) in the dog is presented. Using 15 adult mongrel dogs, the CCL in one stifle joint was reconstructed using fascia lata and the lateral one-third of the patellar ligament. The opposite CCL served as the control. Animals were sacrificed at 0, 4, 12 and 26 weeks postoperation and axial failure tests were performed. Stiffness, maximum load, and elastic modulus of the replacement increased over time, while elongation to maximum load continually decreased as compared to controls. Other parameters showed less consistent trends. The results are encouraging given the reduction in joint laxity and the increases in tissue stiffness and strength. However, the ligament substitute was still unable to replicate the mechanical properties of the normal cruciate ligament. Longer studies therefore are required to determine if this replacement is capable of completely restoring joint stability and normal function.","container-title":"Veterinary Surgery","DOI":"10.1111/j.1532-950X.1983.tb00721.x","ISSN":"1532-950X","issue":"3","language":"en","note":"_eprint: https://onlinelibrary.wiley.com/doi/pdf/10.1111/j.1532-950X.1983.tb00721.x","page":"113-118","source":"Wiley Online Library","title":"Biomechanics of Cranial Cruciate Ligament Reconstruction in the Dog II. Mechanical Properties","volume":"12","author":[{"family":"Butler","given":"David L."},{"family":"Hulse","given":"Donald A."},{"family":"Kay","given":"Matthew D."},{"family":"Grood","given":"Edward S."},{"family":"Shires","given":"Peter K."},{"family":"D'ambrosia","given":"Robert"},{"family":"Shoji","given":"Hiromu"}],"issued":{"date-parts":[["1983"]]}},"label":"page"},{"id":3138,"uris":["http://zotero.org/users/5692498/items/IJ8HQAJS"],"itemData":{"id":3138,"type":"article-journal","abstract":"Purpose: The objective of this study was to determine whether differences in the composition and metabolism of the extracellular matrix (ECM) in canine anterior cruciate ligaments (ACLs) might relate to mechanical properties of the canine knee. Variations in ACL biochemistry and knee mechanics could account for divergent predispositions to ligament rupture. Methods: Eleven knee joints were obtained from both cadaveric Labrador Retrievers (rupture predisposed) and ex-racing Greyhounds (non-rupture predisposed). Anterioposterior laxity and tensile testing determined mechanical properties of the knee joints and ACL samples respectively. The thermal properties of the collagenous matrix were determined by differential scanning calorimetry (DSC) and the biochemical properties by measuring collagen content, collagen cross-links, glycosaminoglycan (GAG) levels, matrix metalloproteinase-2 (MMP-2), tissue inhibitors of metalloproteinase (TIMP). Results: The anterioposterior laxity was significantly greater (p = 0.04) in the Labrador Retriever knee joints, and their ACLs tended to be weaker (p = 0.06). Greater collagen turnover was demonstrated by significantly higher (p = 0.02) concentrations of pro-MMP-2, and lower enthalpy of denaturation (p = 0.05) in Labrador Retriever ACLs. Conclusions: The different metabolism of the collagenous matrix in the ACLs of dogs predisposed to rupture was related to greater knee joint laxity and lower ligament material properties (ultimate tensile stress). This may be suggestive of a link between ligament rupture and eventual knee osteoarthritis in both dogs and humans. © 2004 Orthopaedic Research Society. Published by Elsevier Ltd. All rights reserved.","container-title":"Journal of Orthopaedic Research","DOI":"10.1016/j.orthres.2004.05.016","ISSN":"1554-527X","issue":"1","language":"en","license":"Copyright © 2005 Orthopaedic Research Society","note":"_eprint: https://onlinelibrary.wiley.com/doi/pdf/10.1016/j.orthres.2004.05.016","page":"61-66","source":"Wiley Online Library","title":"Metabolism and composition of the canine anterior cruciate ligament relate to differences in knee joint mechanics and predisposition to ligament rupture","volume":"23","author":[{"family":"Comerford","given":"Eithne J."},{"family":"Tarlton","given":"John F."},{"family":"Innes","given":"John F."},{"family":"Johnson","given":"Kenneth A."},{"family":"Amis","given":"Andrew A."},{"family":"Bailey","given":"Allen J."}],"issued":{"date-parts":[["2005"]]}},"label":"page"}],"schema":"https://github.com/citation-style-language/schema/raw/master/csl-citation.json"} </w:instrText>
      </w:r>
      <w:r w:rsidRPr="00C375E3">
        <w:rPr>
          <w:szCs w:val="24"/>
        </w:rPr>
        <w:fldChar w:fldCharType="separate"/>
      </w:r>
      <w:r w:rsidR="00872213" w:rsidRPr="00872213">
        <w:rPr>
          <w:rFonts w:cs="Times New Roman"/>
        </w:rPr>
        <w:t>(Butler et al., 1983; Comerford et al., 2005b)</w:t>
      </w:r>
      <w:r w:rsidRPr="00C375E3">
        <w:rPr>
          <w:szCs w:val="24"/>
        </w:rPr>
        <w:fldChar w:fldCharType="end"/>
      </w:r>
      <w:r w:rsidRPr="00C375E3">
        <w:rPr>
          <w:szCs w:val="24"/>
        </w:rPr>
        <w:t xml:space="preserve">. </w:t>
      </w:r>
    </w:p>
    <w:p w14:paraId="148D5FE5" w14:textId="2286DD4F" w:rsidR="00C375E3" w:rsidRPr="00C375E3" w:rsidRDefault="00C375E3" w:rsidP="00C375E3">
      <w:pPr>
        <w:rPr>
          <w:szCs w:val="24"/>
        </w:rPr>
      </w:pPr>
      <w:r w:rsidRPr="00C375E3">
        <w:rPr>
          <w:szCs w:val="24"/>
        </w:rPr>
        <w:t xml:space="preserve">When determining the incubation process of the </w:t>
      </w:r>
      <w:r w:rsidR="005C411A">
        <w:rPr>
          <w:szCs w:val="24"/>
        </w:rPr>
        <w:t>CCL</w:t>
      </w:r>
      <w:r w:rsidRPr="00C375E3">
        <w:rPr>
          <w:szCs w:val="24"/>
        </w:rPr>
        <w:t>s in chondroitinase ABC (ChABC), our preliminary time-course study showed that after three hours of incubation in 0.25 IU/ml ChABC, sGAG content was significantly reduced by approximately 82.3% (Supplementary Materials (Fig</w:t>
      </w:r>
      <w:r w:rsidR="003F4869">
        <w:rPr>
          <w:szCs w:val="24"/>
        </w:rPr>
        <w:t xml:space="preserve">ure </w:t>
      </w:r>
      <w:r w:rsidRPr="00C375E3">
        <w:rPr>
          <w:szCs w:val="24"/>
        </w:rPr>
        <w:t xml:space="preserve">S1)) similar to previous studies </w:t>
      </w:r>
      <w:r w:rsidRPr="00C375E3">
        <w:rPr>
          <w:szCs w:val="24"/>
        </w:rPr>
        <w:fldChar w:fldCharType="begin"/>
      </w:r>
      <w:r w:rsidR="008D4B27">
        <w:rPr>
          <w:szCs w:val="24"/>
        </w:rPr>
        <w:instrText xml:space="preserve"> ADDIN ZOTERO_ITEM CSL_CITATION {"citationID":"rs1w3Hqg","properties":{"formattedCitation":"(Lujan et al., 2007, 2009; Henninger et al., 2010)","plainCitation":"(Lujan et al., 2007, 2009; Henninger et al., 2010)","noteIndex":0},"citationItems":[{"id":2966,"uris":["http://zotero.org/users/5692498/items/QCW39JZN"],"itemData":{"id":2966,"type":"article-journal","abstract":"Dermatan and chondroitin sulfate glycosaminoglycans (GAGs) comprise over 90% of the GAG content in ligament. Studies of their mechanical contribution to soft tissues have reported conflicting results. Measuring the transient compressive response and biphasic material parameters of the tissue may elucidate the contributions of GAGs to the viscoelastic response to deformation. The hypotheses of the current study were that digestion of sulfated GAGs would decrease compressive stress and aggregate modulus while increasing the permeability of porcine medial collateral ligament (MCL). Confined compression stress relaxation experiments were carried out on porcine MCL and tissue treated with chondroitinase ABC (ChABC). Results were fit to a biphasic constitutive model to derive permeability and aggregate modulus. Bovine articular cartilage was used as a benchmark tissue to verify that the apparatus provided reliable results. GAG digestion removed up to 88% of sulfated GAGs from the ligament. Removal of sulfated GAGs increased the permeability of porcine MCL nearly 6-fold versus control tissues. Peak stress decreased significantly. Bovine articular cartilage exhibited the typical reduction of GAG content and resultant decreases in stress and modulus and increases in permeability with ChABC digestion. Given the relatively small amount of GAG in ligament (&lt;1% of tissue dry weight) and the significant change in peak stress and permeability upon removal of GAGs, sulfated GAGs may play a significant role in maintaining the apposition of collagen fibrils in the transverse direction, thus supporting dynamic compressive loads experienced by the ligament during complex joint motion.","container-title":"Journal of Biomechanics","DOI":"10.1016/j.jbiomech.2010.05.012","ISSN":"0021-9290","issue":"13","journalAbbreviation":"Journal of Biomechanics","language":"en","page":"2567-2573","source":"ScienceDirect","title":"Effect of sulfated glycosaminoglycan digestion on the transverse permeability of medial collateral ligament","volume":"43","author":[{"family":"Henninger","given":"Heath B."},{"family":"Underwood","given":"Clayton J."},{"family":"Ateshian","given":"Gerard A."},{"family":"Weiss","given":"Jeffrey A."}],"issued":{"date-parts":[["2010",9,17]]}}},{"id":2969,"uris":["http://zotero.org/users/5692498/items/D8HR2IBK"],"itemData":{"id":2969,"type":"article-journal","abstract":"The glycosaminoglycan of decorin, dermatan sulfate (DS), has been suggested to contribute to the mechanical properties of soft connective tissues such as ligaments and tendons. This study investigated the mechanical function of DS in human medial collateral ligaments (MCL) using nondestructive shear and tensile material tests performed before and after targeted removal of DS with chondroitinase B (ChB). The quasi-static elastic material properties of human MCL were unchanged after DS removal. At peak deformation, tensile and shear stresses in ChB treated tissue were within 0.5% (p &gt; 0.70) and 2.0% (p &gt; 0.30) of pre-treatment values, respectively. From pre- to post-ChB treatment under tensile loading, the tensile tangent modulus went from 242 ± 64 to 233 ± 57 MPa (p = 0.44), and tissue strain at peak deformation went from 4.3 ± 0.3% to 4.4 ± 0.3% (p = 0.54). Tissue hysteresis was unaffected by DS removal for both tensile and shear loading. Biochemical analysis confirmed that 90% of DS was removed by ChB treatment when compared to control samples, and transmission electron microscopy (TEM) imaging further verified the degradation of DS by showing an 88% reduction (p &lt; .001) of sulfated glycosaminoglycans in ChB treated tissue. These results demonstrate that DS in mature knee MCL tissue does not resist tensile or shear deformation under quasi-static loading conditions, challenging the theory that decorin proteoglycans contribute to the elastic material behavior of ligament. © 2007 Orthopaedic Research Society. Published by Wiley Periodicals, Inc. J Orthop Res 25:894–903, 2007","container-title":"Journal of Orthopaedic Research","DOI":"10.1002/jor.20351","ISSN":"1554-527X","issue":"7","language":"en","license":"Copyright © 2007 Orthopaedic Research Society","note":"_eprint: https://onlinelibrary.wiley.com/doi/pdf/10.1002/jor.20351","page":"894-903","source":"Wiley Online Library","title":"Effect of dermatan sulfate glycosaminoglycans on the quasi-static material properties of the human medial collateral ligament","volume":"25","author":[{"family":"Lujan","given":"Trevor J."},{"family":"Underwood","given":"Clayton J."},{"family":"Henninger","given":"Heath B."},{"family":"Thompson","given":"Brent M."},{"family":"Weiss","given":"Jeffrey A."}],"issued":{"date-parts":[["2007"]]}}},{"id":2963,"uris":["http://zotero.org/users/5692498/items/C59ACT4I"],"itemData":{"id":2963,"type":"article-journal","abstract":"The viscoelastic properties of human ligament potentially guard against structural failure, yet the microstructural origins of these transient behaviors are unknown. Glycosaminoglycans (GAGs) are widely suspected to affect ligament viscoelasticity by forming molecular bridges between neighboring collagen fibrils. This study investigated whether GAGs directly affect viscoelastic material behavior in human medial collateral ligament (MCL) by using nondestructive tensile tests before and after degradation of GAGs with chondroitinase ABC (ChABC). Control and ChABC treatment (83% GAG removal) produced similar alterations to ligament viscoelasticity. This finding was consistent at different levels of collagen fiber stretch and tissue hydration. On average, stress relaxation increased after incubation by 2.2% (control) and 2.1% (ChABC), dynamic modulus increased after incubation by 3.6% (control) and 3.8% (ChABC), and phase shift increased after incubation by 8.5% (control) and 8.4% (ChABC). The changes in viscoelastic behavior after treatment were significantly more pronounced at lower clamp-to-clamp strain levels. A 10% difference in the water content of tested specimens had minor influence on ligament viscoelastic properties. The major finding of this study is that mechanical interactions between collagen fibrils and GAGs are unrelated to tissue-level viscoelastic mechanics in mature human MCL. These findings narrow the possible number of extracellular matrix molecules that have a direct contribution to ligament viscoelasticity.","container-title":"Journal of Applied Physiology","DOI":"10.1152/japplphysiol.90748.2008","ISSN":"8750-7587","issue":"2","note":"publisher: American Physiological Society","page":"423-431","source":"journals.physiology.org (Atypon)","title":"Contribution of glycosaminoglycans to viscoelastic tensile behavior of human ligament","volume":"106","author":[{"family":"Lujan","given":"Trevor J."},{"family":"Underwood","given":"Clayton J."},{"family":"Jacobs","given":"Nathan T."},{"family":"Weiss","given":"Jeffrey A."}],"issued":{"date-parts":[["2009",2,1]]}}}],"schema":"https://github.com/citation-style-language/schema/raw/master/csl-citation.json"} </w:instrText>
      </w:r>
      <w:r w:rsidRPr="00C375E3">
        <w:rPr>
          <w:szCs w:val="24"/>
        </w:rPr>
        <w:fldChar w:fldCharType="separate"/>
      </w:r>
      <w:r w:rsidR="0097525F" w:rsidRPr="0097525F">
        <w:rPr>
          <w:rFonts w:cs="Times New Roman"/>
        </w:rPr>
        <w:t>(Lujan et al., 2007, 2009; Henninger et al., 2010)</w:t>
      </w:r>
      <w:r w:rsidRPr="00C375E3">
        <w:rPr>
          <w:szCs w:val="24"/>
        </w:rPr>
        <w:fldChar w:fldCharType="end"/>
      </w:r>
      <w:r w:rsidRPr="00C375E3">
        <w:rPr>
          <w:szCs w:val="24"/>
        </w:rPr>
        <w:t>. However, unlike the current study</w:t>
      </w:r>
      <w:r w:rsidR="00A9457F">
        <w:rPr>
          <w:szCs w:val="24"/>
        </w:rPr>
        <w:t>,</w:t>
      </w:r>
      <w:r w:rsidR="001F55B4">
        <w:rPr>
          <w:szCs w:val="24"/>
        </w:rPr>
        <w:t xml:space="preserve"> where </w:t>
      </w:r>
      <w:r w:rsidR="001F55B4" w:rsidRPr="00C375E3">
        <w:rPr>
          <w:szCs w:val="24"/>
        </w:rPr>
        <w:t>intact femur-</w:t>
      </w:r>
      <w:r w:rsidR="001F55B4">
        <w:rPr>
          <w:szCs w:val="24"/>
        </w:rPr>
        <w:t>CCL</w:t>
      </w:r>
      <w:r w:rsidR="001F55B4" w:rsidRPr="00C375E3">
        <w:rPr>
          <w:szCs w:val="24"/>
        </w:rPr>
        <w:t>-tibia complex</w:t>
      </w:r>
      <w:r w:rsidR="001F55B4">
        <w:rPr>
          <w:szCs w:val="24"/>
        </w:rPr>
        <w:t>es were used</w:t>
      </w:r>
      <w:r w:rsidRPr="00C375E3">
        <w:rPr>
          <w:szCs w:val="24"/>
        </w:rPr>
        <w:t xml:space="preserve">, the preliminary investigation was carried out on </w:t>
      </w:r>
      <w:r w:rsidR="005C411A">
        <w:rPr>
          <w:szCs w:val="24"/>
        </w:rPr>
        <w:t>CCL</w:t>
      </w:r>
      <w:r w:rsidRPr="00C375E3">
        <w:rPr>
          <w:szCs w:val="24"/>
        </w:rPr>
        <w:t xml:space="preserve">s that were transversely cut to extract their middle sections. The transverse cut of the </w:t>
      </w:r>
      <w:r w:rsidR="005C411A">
        <w:rPr>
          <w:szCs w:val="24"/>
        </w:rPr>
        <w:t>CCL</w:t>
      </w:r>
      <w:r w:rsidRPr="00C375E3">
        <w:rPr>
          <w:szCs w:val="24"/>
        </w:rPr>
        <w:t>s in the preliminary investigation might have disrupted the synovial sheath allowing better infiltration of the enzyme</w:t>
      </w:r>
      <w:r w:rsidR="000D2DE1">
        <w:rPr>
          <w:szCs w:val="24"/>
        </w:rPr>
        <w:t xml:space="preserve"> and reducing</w:t>
      </w:r>
      <w:r w:rsidRPr="00C375E3">
        <w:rPr>
          <w:szCs w:val="24"/>
        </w:rPr>
        <w:t xml:space="preserve"> the sGAG content. The </w:t>
      </w:r>
      <w:r w:rsidR="005C411A">
        <w:rPr>
          <w:szCs w:val="24"/>
        </w:rPr>
        <w:t>CCL</w:t>
      </w:r>
      <w:r w:rsidRPr="00C375E3">
        <w:rPr>
          <w:szCs w:val="24"/>
        </w:rPr>
        <w:t xml:space="preserve"> is surrounded by vascularised synovial tissue (synovial sheath)</w:t>
      </w:r>
      <w:r w:rsidR="000D2DE1">
        <w:rPr>
          <w:szCs w:val="24"/>
        </w:rPr>
        <w:t>,</w:t>
      </w:r>
      <w:r w:rsidRPr="00C375E3">
        <w:rPr>
          <w:szCs w:val="24"/>
        </w:rPr>
        <w:t xml:space="preserve"> which protects the ligament’s core tissue from exposure to synovial fluid and hence degradation </w:t>
      </w:r>
      <w:r w:rsidRPr="00C375E3">
        <w:rPr>
          <w:szCs w:val="24"/>
        </w:rPr>
        <w:fldChar w:fldCharType="begin"/>
      </w:r>
      <w:r w:rsidR="008D4B27">
        <w:rPr>
          <w:szCs w:val="24"/>
        </w:rPr>
        <w:instrText xml:space="preserve"> ADDIN ZOTERO_ITEM CSL_CITATION {"citationID":"itGiCtPr","properties":{"formattedCitation":"(Amiel, 1990; Petersen and Tillmann, 1999; Chen et al., 2019)","plainCitation":"(Amiel, 1990; Petersen and Tillmann, 1999; Chen et al., 2019)","noteIndex":0},"citationItems":[{"id":52,"uris":["http://zotero.org/users/5692498/items/DHTLHH69"],"itemData":{"id":52,"type":"chapter","container-title":"Knee ligaments: structure, function, injury and repair","event-place":"New York","ISBN":"0-88167-605-5","note":"type: Book Section\nCitation Key: RN1448","page":"77-91","publisher":"Raven Press","publisher-place":"New York","title":"Ligament structure, chemistry, and physiology","author":[{"family":"Amiel","given":"D"}],"editor":[{"family":"O'Connor","given":"John Joseph"},{"family":"Daniel","given":"Dale M"},{"family":"Akeson","given":"Wayne H"}],"issued":{"date-parts":[["1990"]]}}},{"id":697,"uris":["http://zotero.org/users/5692498/items/79G77LFE"],"itemData":{"id":697,"type":"article-journal","container-title":"Anat Embryol (Berl)","ISSN":"0340-2061 (Print) 0340-2061 (Linking)","issue":"3","note":"type: Journal Article\nCitation Key: RN1385","page":"325-334","title":"Structure and vascularization of the cruciate ligaments of the human knee joint","volume":"200","author":[{"family":"Petersen","given":"W"},{"family":"Tillmann","given":"B"}],"issued":{"date-parts":[["1999"]]}}},{"id":3161,"uris":["http://zotero.org/users/5692498/items/ELNGWZXQ"],"itemData":{"id":3161,"type":"article-journal","abstract":"Background It is known that anterior cruciate ligament (ACL) of the knee joint is prone to injuries with poor healing potential. The healing capacity of a tissue-like ACL is dependent on its structural components and the properties of the stem cells (SCs). Therefore, this study aimed to characterize the structure of ACL tissue and the properties of the SCs derived from the tissue components. Methods The tissue structure of rabbit ACL was determined using a scanning electron microscope, hematoxylin and eosin, and immunohistochemical staining. The biological properties of SCs derived from the structural components of ACL were studied by colony formation, cell proliferation assay, SC marker expression and collagen exhibition, and multidifferentiation potential. Results The two distinct components of ACL are classified as sheath and core, which possess differential properties in terms of collagen type, organization, and presence of blood vessels. The sheath tissue contains vascular SCs and the core tissue contains ligamentous SCs, respectively. The two types of SCs differ in clonogenicity, proliferation, and multidifferentiation potential. Conclusion This study shows that ACL consists of sheath and core tissues, which contain sheath and core SCs with distinctive biological properties. These findings highlight the need for use of both sheath and core SCs to promote the repair of the complex structure of injured ACL.","container-title":"Journal of Cellular Biochemistry","DOI":"10.1002/jcb.28019","ISSN":"1097-4644","issue":"5","language":"en","license":"© 2018 Wiley Periodicals, Inc.","note":"_eprint: https://onlinelibrary.wiley.com/doi/pdf/10.1002/jcb.28019","page":"7446-7457","source":"Wiley Online Library","title":"Characterization of the structure of rabbit anterior cruciate ligament and its stem/progenitor cells","volume":"120","author":[{"family":"Chen","given":"Biao"},{"family":"Zhang","given":"Jianying"},{"family":"Nie","given":"Daibang"},{"family":"Zhao","given":"Guangyi"},{"family":"Fu","given":"Freddie H."},{"family":"Wang","given":"James H.-C."}],"issued":{"date-parts":[["2019"]]}}}],"schema":"https://github.com/citation-style-language/schema/raw/master/csl-citation.json"} </w:instrText>
      </w:r>
      <w:r w:rsidRPr="00C375E3">
        <w:rPr>
          <w:szCs w:val="24"/>
        </w:rPr>
        <w:fldChar w:fldCharType="separate"/>
      </w:r>
      <w:r w:rsidR="0097525F" w:rsidRPr="0097525F">
        <w:rPr>
          <w:rFonts w:cs="Times New Roman"/>
        </w:rPr>
        <w:t>(Amiel, 1990; Petersen and Tillmann, 1999; Chen et al., 2019)</w:t>
      </w:r>
      <w:r w:rsidRPr="00C375E3">
        <w:rPr>
          <w:szCs w:val="24"/>
        </w:rPr>
        <w:fldChar w:fldCharType="end"/>
      </w:r>
      <w:r w:rsidRPr="00C375E3">
        <w:rPr>
          <w:szCs w:val="24"/>
        </w:rPr>
        <w:t xml:space="preserve">. The </w:t>
      </w:r>
      <w:r w:rsidR="005C411A">
        <w:rPr>
          <w:szCs w:val="24"/>
        </w:rPr>
        <w:t>CCL</w:t>
      </w:r>
      <w:r w:rsidRPr="00C375E3">
        <w:rPr>
          <w:szCs w:val="24"/>
        </w:rPr>
        <w:t>s can be described as fibre-reinforced matri</w:t>
      </w:r>
      <w:r w:rsidR="000D2DE1">
        <w:rPr>
          <w:szCs w:val="24"/>
        </w:rPr>
        <w:t>ces,</w:t>
      </w:r>
      <w:r w:rsidRPr="00C375E3">
        <w:rPr>
          <w:szCs w:val="24"/>
        </w:rPr>
        <w:t xml:space="preserve"> and approximately 70% of the </w:t>
      </w:r>
      <w:r w:rsidR="005C411A">
        <w:rPr>
          <w:szCs w:val="24"/>
        </w:rPr>
        <w:t>CCL</w:t>
      </w:r>
      <w:r w:rsidRPr="00C375E3">
        <w:rPr>
          <w:szCs w:val="24"/>
        </w:rPr>
        <w:t xml:space="preserve">s are water. The water content in the </w:t>
      </w:r>
      <w:r w:rsidR="005C411A">
        <w:rPr>
          <w:szCs w:val="24"/>
        </w:rPr>
        <w:t>CCL</w:t>
      </w:r>
      <w:r w:rsidRPr="00C375E3">
        <w:rPr>
          <w:szCs w:val="24"/>
        </w:rPr>
        <w:t>s is associated with sGAG chains</w:t>
      </w:r>
      <w:r w:rsidR="000D2DE1">
        <w:rPr>
          <w:szCs w:val="24"/>
        </w:rPr>
        <w:t>,</w:t>
      </w:r>
      <w:r w:rsidRPr="00C375E3">
        <w:rPr>
          <w:szCs w:val="24"/>
        </w:rPr>
        <w:t xml:space="preserve"> and these chains bind with water molecules because of their highly negative charges </w:t>
      </w:r>
      <w:r w:rsidRPr="00C375E3">
        <w:rPr>
          <w:szCs w:val="24"/>
        </w:rPr>
        <w:fldChar w:fldCharType="begin"/>
      </w:r>
      <w:r w:rsidR="0097525F">
        <w:rPr>
          <w:szCs w:val="24"/>
        </w:rPr>
        <w:instrText xml:space="preserve"> ADDIN ZOTERO_ITEM CSL_CITATION {"citationID":"yZpHJCyC","properties":{"formattedCitation":"(Amiel et al., 1995; Thornton et al., 2001; Murienne et al., 2015)","plainCitation":"(Amiel et al., 1995; Thornton et al., 2001; Murienne et al., 2015)","noteIndex":0},"citationItems":[{"id":577,"uris":["http://zotero.org/users/5692498/items/J6MVQ3QR"],"itemData":{"id":577,"type":"chapter","container-title":"Repetitive Motion Disorders of the Upper Extremity","edition":"1st","event-place":"Rosemont, IL","page":"217-230","publisher":"Rosemont","publisher-place":"Rosemont, IL","title":"Effect of loading on metabolism and repair of tendons and ligaments","author":[{"family":"Amiel","given":"D"},{"family":"Chu","given":"C R"},{"family":"Lee","given":"J"}],"issued":{"date-parts":[["1995"]]}}},{"id":194,"uris":["http://zotero.org/users/5692498/items/B53XXHHT"],"itemData":{"id":194,"type":"article-journal","container-title":"Acta Biomaterialia","DOI":"10.1016/j.actbio.2014.10.033","ISSN":"1878-7568 (Electronic) 1742-7061 (Linking)","note":"type: Journal Article\nCitation Key: RN1279","page":"195-206","title":"The effects of glycosaminoglycan degradation on the mechanical behavior of the posterior porcine sclera","volume":"12","author":[{"family":"Murienne","given":"B J"},{"family":"Jefferys","given":"J L"},{"family":"Quigley","given":"H A"},{"family":"Nguyen","given":"T D"}],"issued":{"date-parts":[["2015"]]}}},{"id":3119,"uris":["http://zotero.org/users/5692498/items/ZQVAB6LJ"],"itemData":{"id":3119,"type":"article-journal","abstract":"The water content of a ligament can be altered by injury and surgical intervention in vivo, and inadvertently or purposely during in vitro tests. We investigated how altering the water content of the rabbit medial collateral ligament (MCL) affected its resulting creep behaviour (defined as an increase in strain from sequential cyclic and static creep tests). The water content of normal MCLs (n=4) was compared to that of MCLs soaked for 1 h in a sucrose solution (n=4) or phosphate buffered saline (PBS; n=8). Sucrose exposure decreased hydration and PBS exposure increased hydration. In addition, soaking in PBS caused a shift in “ligament zero” (the position where there was 0.1 N of tension on the ligament). Following the same single solution treatment, additional MCLs were creep tested at 4.1 MPa using a load based on the ligament cross-sectional area measured before solution treatment: sucrose (n=4), PBS new “ligament zero” (n=5), and PBS old “ligament zero” (n=6). Normal MCLs were also tested at 4.1 MPa (n=7) in a humidity chamber that maintained normal ligament water content. Additional MCLs were treated with both solutions in series (n=12) to examine the reversibility of the mechanical changes caused by single solution treatment. This was the first investigation to show that ligament creep behaviour was clearly affected by the initial state of hydration: creep decreased with decreased hydration and creep increased with increased hydration. Another unique finding was that ligaments with increased hydration had decreased ligament functional length and increased ligament pre-stress. The creep behaviour of these ligaments was decreased if they were loaded from the pre-stressed state compared to the unloaded state. These results suggest that maintenance of physiological water content is important for in vitro mechanical testing of ligaments and controlling the low-load stress state of ligaments in situ.","container-title":"Journal of Orthopaedic Research","DOI":"10.1016/S0736-0266(01)00005-5","ISSN":"0736-0266","issue":"5","journalAbbreviation":"Journal of Orthopaedic Research","language":"en","page":"845-851","source":"ScienceDirect","title":"Altering ligament water content affects ligament pre-stress and creep behaviour","volume":"19","author":[{"family":"Thornton","given":"G. M"},{"family":"Shrive","given":"N. G"},{"family":"Frank","given":"C. B"}],"issued":{"date-parts":[["2001",9,1]]}}}],"schema":"https://github.com/citation-style-language/schema/raw/master/csl-citation.json"} </w:instrText>
      </w:r>
      <w:r w:rsidRPr="00C375E3">
        <w:rPr>
          <w:szCs w:val="24"/>
        </w:rPr>
        <w:fldChar w:fldCharType="separate"/>
      </w:r>
      <w:r w:rsidR="0097525F" w:rsidRPr="0097525F">
        <w:rPr>
          <w:rFonts w:cs="Times New Roman"/>
        </w:rPr>
        <w:t>(Amiel et al., 1995; Thornton et al., 2001; Murienne et al., 2015)</w:t>
      </w:r>
      <w:r w:rsidRPr="00C375E3">
        <w:rPr>
          <w:szCs w:val="24"/>
        </w:rPr>
        <w:fldChar w:fldCharType="end"/>
      </w:r>
      <w:r w:rsidRPr="00C375E3">
        <w:rPr>
          <w:szCs w:val="24"/>
        </w:rPr>
        <w:t xml:space="preserve">. In this study, reducing PG content </w:t>
      </w:r>
      <w:r w:rsidR="000D2DE1">
        <w:rPr>
          <w:szCs w:val="24"/>
        </w:rPr>
        <w:t>reduced</w:t>
      </w:r>
      <w:r w:rsidRPr="00C375E3">
        <w:rPr>
          <w:szCs w:val="24"/>
        </w:rPr>
        <w:t xml:space="preserve"> water content by approximately 4%. </w:t>
      </w:r>
      <w:r w:rsidR="00CF2CBD">
        <w:rPr>
          <w:szCs w:val="24"/>
        </w:rPr>
        <w:t>T</w:t>
      </w:r>
      <w:r w:rsidR="000D2DE1">
        <w:rPr>
          <w:szCs w:val="24"/>
        </w:rPr>
        <w:t>he</w:t>
      </w:r>
      <w:r w:rsidRPr="00C375E3">
        <w:rPr>
          <w:szCs w:val="24"/>
        </w:rPr>
        <w:t xml:space="preserve"> change in water content may indicate that when the sGAG chains </w:t>
      </w:r>
      <w:r w:rsidR="000D2DE1">
        <w:rPr>
          <w:szCs w:val="24"/>
        </w:rPr>
        <w:t>were</w:t>
      </w:r>
      <w:r w:rsidRPr="00C375E3">
        <w:rPr>
          <w:szCs w:val="24"/>
        </w:rPr>
        <w:t xml:space="preserve"> reduced, the matrix lost water-binding sites</w:t>
      </w:r>
      <w:r w:rsidR="000D2DE1">
        <w:rPr>
          <w:szCs w:val="24"/>
        </w:rPr>
        <w:t>,</w:t>
      </w:r>
      <w:r w:rsidRPr="00C375E3">
        <w:rPr>
          <w:szCs w:val="24"/>
        </w:rPr>
        <w:t xml:space="preserve"> </w:t>
      </w:r>
      <w:r w:rsidR="000D2DE1">
        <w:rPr>
          <w:szCs w:val="24"/>
        </w:rPr>
        <w:t xml:space="preserve">reducing </w:t>
      </w:r>
      <w:r w:rsidR="005C411A">
        <w:rPr>
          <w:szCs w:val="24"/>
        </w:rPr>
        <w:t>CCL</w:t>
      </w:r>
      <w:r w:rsidR="000D2DE1">
        <w:rPr>
          <w:szCs w:val="24"/>
        </w:rPr>
        <w:t>’s water-retaining capacity.</w:t>
      </w:r>
    </w:p>
    <w:p w14:paraId="7C8607DD" w14:textId="798E2C02" w:rsidR="0009268D" w:rsidRDefault="00C375E3" w:rsidP="006048D0">
      <w:pPr>
        <w:rPr>
          <w:szCs w:val="24"/>
        </w:rPr>
      </w:pPr>
      <w:r w:rsidRPr="00C375E3">
        <w:rPr>
          <w:szCs w:val="24"/>
        </w:rPr>
        <w:t xml:space="preserve">The stress-strain behaviour of the </w:t>
      </w:r>
      <w:r w:rsidR="005C411A">
        <w:rPr>
          <w:szCs w:val="24"/>
        </w:rPr>
        <w:t>CCL</w:t>
      </w:r>
      <w:r w:rsidRPr="00C375E3">
        <w:rPr>
          <w:szCs w:val="24"/>
        </w:rPr>
        <w:t>s was unaffected by the reduction of the PGs content (</w:t>
      </w:r>
      <w:r w:rsidR="00CF2CBD">
        <w:rPr>
          <w:szCs w:val="24"/>
        </w:rPr>
        <w:t>Figure 1</w:t>
      </w:r>
      <w:r w:rsidRPr="00C375E3">
        <w:rPr>
          <w:szCs w:val="24"/>
        </w:rPr>
        <w:t>)</w:t>
      </w:r>
      <w:r w:rsidR="0024060F">
        <w:rPr>
          <w:szCs w:val="24"/>
        </w:rPr>
        <w:t>, including strain rate dependency.</w:t>
      </w:r>
      <w:r w:rsidRPr="00C375E3">
        <w:rPr>
          <w:szCs w:val="24"/>
        </w:rPr>
        <w:t xml:space="preserve"> This outcome agrees with the human medial collateral ligament study</w:t>
      </w:r>
      <w:r w:rsidR="000D2DE1">
        <w:rPr>
          <w:szCs w:val="24"/>
        </w:rPr>
        <w:t>,</w:t>
      </w:r>
      <w:r w:rsidRPr="00C375E3">
        <w:rPr>
          <w:szCs w:val="24"/>
        </w:rPr>
        <w:t xml:space="preserve"> where the removal of dermatan sulphate showed no effect on </w:t>
      </w:r>
      <w:r w:rsidR="000D2DE1">
        <w:rPr>
          <w:szCs w:val="24"/>
        </w:rPr>
        <w:t xml:space="preserve">the </w:t>
      </w:r>
      <w:r w:rsidRPr="00C375E3">
        <w:rPr>
          <w:szCs w:val="24"/>
        </w:rPr>
        <w:t xml:space="preserve">quasi-static tensile property </w:t>
      </w:r>
      <w:r w:rsidRPr="00C375E3">
        <w:rPr>
          <w:szCs w:val="24"/>
        </w:rPr>
        <w:fldChar w:fldCharType="begin"/>
      </w:r>
      <w:r w:rsidR="008D4B27">
        <w:rPr>
          <w:szCs w:val="24"/>
        </w:rPr>
        <w:instrText xml:space="preserve"> ADDIN ZOTERO_ITEM CSL_CITATION {"citationID":"aLde8Iga","properties":{"formattedCitation":"(Lujan et al., 2007)","plainCitation":"(Lujan et al., 2007)","noteIndex":0},"citationItems":[{"id":2969,"uris":["http://zotero.org/users/5692498/items/D8HR2IBK"],"itemData":{"id":2969,"type":"article-journal","abstract":"The glycosaminoglycan of decorin, dermatan sulfate (DS), has been suggested to contribute to the mechanical properties of soft connective tissues such as ligaments and tendons. This study investigated the mechanical function of DS in human medial collateral ligaments (MCL) using nondestructive shear and tensile material tests performed before and after targeted removal of DS with chondroitinase B (ChB). The quasi-static elastic material properties of human MCL were unchanged after DS removal. At peak deformation, tensile and shear stresses in ChB treated tissue were within 0.5% (p &gt; 0.70) and 2.0% (p &gt; 0.30) of pre-treatment values, respectively. From pre- to post-ChB treatment under tensile loading, the tensile tangent modulus went from 242 ± 64 to 233 ± 57 MPa (p = 0.44), and tissue strain at peak deformation went from 4.3 ± 0.3% to 4.4 ± 0.3% (p = 0.54). Tissue hysteresis was unaffected by DS removal for both tensile and shear loading. Biochemical analysis confirmed that 90% of DS was removed by ChB treatment when compared to control samples, and transmission electron microscopy (TEM) imaging further verified the degradation of DS by showing an 88% reduction (p &lt; .001) of sulfated glycosaminoglycans in ChB treated tissue. These results demonstrate that DS in mature knee MCL tissue does not resist tensile or shear deformation under quasi-static loading conditions, challenging the theory that decorin proteoglycans contribute to the elastic material behavior of ligament. © 2007 Orthopaedic Research Society. Published by Wiley Periodicals, Inc. J Orthop Res 25:894–903, 2007","container-title":"Journal of Orthopaedic Research","DOI":"10.1002/jor.20351","ISSN":"1554-527X","issue":"7","language":"en","license":"Copyright © 2007 Orthopaedic Research Society","note":"_eprint: https://onlinelibrary.wiley.com/doi/pdf/10.1002/jor.20351","page":"894-903","source":"Wiley Online Library","title":"Effect of dermatan sulfate glycosaminoglycans on the quasi-static material properties of the human medial collateral ligament","volume":"25","author":[{"family":"Lujan","given":"Trevor J."},{"family":"Underwood","given":"Clayton J."},{"family":"Henninger","given":"Heath B."},{"family":"Thompson","given":"Brent M."},{"family":"Weiss","given":"Jeffrey A."}],"issued":{"date-parts":[["2007"]]}}}],"schema":"https://github.com/citation-style-language/schema/raw/master/csl-citation.json"} </w:instrText>
      </w:r>
      <w:r w:rsidRPr="00C375E3">
        <w:rPr>
          <w:szCs w:val="24"/>
        </w:rPr>
        <w:fldChar w:fldCharType="separate"/>
      </w:r>
      <w:r w:rsidR="0097525F" w:rsidRPr="0097525F">
        <w:rPr>
          <w:rFonts w:cs="Times New Roman"/>
        </w:rPr>
        <w:t>(Lujan et al., 2007)</w:t>
      </w:r>
      <w:r w:rsidRPr="00C375E3">
        <w:rPr>
          <w:szCs w:val="24"/>
        </w:rPr>
        <w:fldChar w:fldCharType="end"/>
      </w:r>
      <w:r w:rsidRPr="00C375E3">
        <w:rPr>
          <w:szCs w:val="24"/>
        </w:rPr>
        <w:t xml:space="preserve">. </w:t>
      </w:r>
      <w:r w:rsidR="006048D0">
        <w:rPr>
          <w:szCs w:val="24"/>
        </w:rPr>
        <w:t>Previous studies reported stress</w:t>
      </w:r>
      <w:r w:rsidR="002A1E57">
        <w:rPr>
          <w:szCs w:val="24"/>
        </w:rPr>
        <w:t xml:space="preserve">-strain behaviour of untreated CCLs under strain rates ranging from 0.1 to 36.8 %/min </w:t>
      </w:r>
      <w:r w:rsidR="002A1E57">
        <w:rPr>
          <w:szCs w:val="24"/>
        </w:rPr>
        <w:fldChar w:fldCharType="begin"/>
      </w:r>
      <w:r w:rsidR="002A1E57">
        <w:rPr>
          <w:szCs w:val="24"/>
        </w:rPr>
        <w:instrText xml:space="preserve"> ADDIN ZOTERO_ITEM CSL_CITATION {"citationID":"YBfEjZsr","properties":{"formattedCitation":"(Haut and Little, 1969; Readioff et al., 2020b)","plainCitation":"(Haut and Little, 1969; Readioff et al., 2020b)","noteIndex":0},"citationItems":[{"id":"hIRZaDaU/mtzWGjFp","uris":["http://www.mendeley.com/documents/?uuid=2d9e4182-df4a-42e8-a272-7b54c5817fea"],"itemData":{"DOI":"Doi 10.1016/0021-9290(69)90085-2","ISSN":"0021-9290","author":[{"dropping-particle":"","family":"Haut","given":"R C","non-dropping-particle":"","parse-names":false,"suffix":""},{"dropping-particle":"","family":"Little","given":"R W","non-dropping-particle":"","parse-names":false,"suffix":""}],"container-title":"Journal of Biomechanics","id":"hIRZaDaU/mtzWGjFp","issue":"3","issued":{"date-parts":[["1969"]]},"page":"289-298","title":"Rheological properties of canine anterior cruciate ligaments","type":"article-journal","volume":"2"}},{"id":3168,"uris":["http://zotero.org/users/5692498/items/GYIP8SXX"],"itemData":{"id":3168,"type":"article-journal","abstract":"Ligaments including the cruciate ligaments support and transfer loads between bones applied to the knee joint organ. The functions of these ligaments can get compromised due to changes to their viscoelastic material properties. Currently there are discrepancies in the literature on the viscoelastic characteristics of knee ligaments which are thought to be due to tissue variability and different testing protocols. The aim of this study was to characterise the viscoelastic properties of healthy cranial cruciate ligaments (CCLs), from the canine knee (stifle) joint, with a focus on the toe region of the stress-strain properties where any alterations in the extracellular matrix which would affect viscoelastic properties would be seen. Six paired CCLs, from skeletally mature and disease-free Staffordshire bull terrier stifle joints were retrieved as a femur-CCL-tibia complex and mechanically tested under uniaxial cyclic loading up to 10 N at three strain rates, namely 0.1%, 1% and 10%/min, to assess the viscoelastic property of strain rate dependency. The effect of strain history was also investigated by subjecting contralateral CCLs to an ascending (0.1%, 1% and 10%/min) or descending (10%, 1% and 0.1%/min) strain rate protocol. The differences between strain rates were not statistically significant. However, hysteresis and recovery of ligament lengths showed some dependency on strain rate. Only hysteresis was affected by the test protocol and lower strain rates resulted in higher hysteresis and lower recovery. These findings could be explained by the slow process of uncrimping of collagen fibres and the contribution of proteoglycans in the ligament extracellular matrix to intra-fibrillar gliding, which results in more tissue elongations and higher energy dissipation. This study further expands our understanding of canine CCL behaviour, providing data for material models of femur-CCL-tibia complexes, and demonstrating the challenges for engineering complex biomaterials such as knee joint ligaments.","container-title":"PeerJ","DOI":"10.7717/peerj.10635","ISSN":"2167-8359","journalAbbreviation":"PeerJ","language":"en","note":"publisher: PeerJ Inc.","page":"e10635","source":"peerj.com","title":"Viscoelastic characteristics of the canine cranial cruciate ligament complex at slow strain rates","volume":"8","author":[{"family":"Readioff","given":"Rosti"},{"family":"Geraghty","given":"Brendan"},{"family":"Elsheikh","given":"Ahmed"},{"family":"Comerford","given":"Eithne"}],"issued":{"date-parts":[["2020",12,22]]}}}],"schema":"https://github.com/citation-style-language/schema/raw/master/csl-citation.json"} </w:instrText>
      </w:r>
      <w:r w:rsidR="002A1E57">
        <w:rPr>
          <w:szCs w:val="24"/>
        </w:rPr>
        <w:fldChar w:fldCharType="separate"/>
      </w:r>
      <w:r w:rsidR="002A1E57" w:rsidRPr="002A1E57">
        <w:rPr>
          <w:rFonts w:cs="Times New Roman"/>
        </w:rPr>
        <w:t>(Haut and Little, 1969; Readioff et al., 2020b)</w:t>
      </w:r>
      <w:r w:rsidR="002A1E57">
        <w:rPr>
          <w:szCs w:val="24"/>
        </w:rPr>
        <w:fldChar w:fldCharType="end"/>
      </w:r>
      <w:r w:rsidR="002A1E57">
        <w:rPr>
          <w:szCs w:val="24"/>
        </w:rPr>
        <w:t>. Stress</w:t>
      </w:r>
      <w:r w:rsidR="009A0615">
        <w:rPr>
          <w:szCs w:val="24"/>
        </w:rPr>
        <w:t>es</w:t>
      </w:r>
      <w:r w:rsidR="002A1E57">
        <w:rPr>
          <w:szCs w:val="24"/>
        </w:rPr>
        <w:t xml:space="preserve"> at 5% strain </w:t>
      </w:r>
      <w:r w:rsidR="009A0615">
        <w:rPr>
          <w:szCs w:val="24"/>
        </w:rPr>
        <w:t xml:space="preserve">were </w:t>
      </w:r>
      <w:r w:rsidR="00B13BD5">
        <w:rPr>
          <w:szCs w:val="24"/>
        </w:rPr>
        <w:t>2.1 MPa at 1.7%/min, 2.5 MPa at 2.6%/min, and 3.5 MPa at 10.8%/min</w:t>
      </w:r>
      <w:r w:rsidR="009A0615">
        <w:rPr>
          <w:szCs w:val="24"/>
        </w:rPr>
        <w:t xml:space="preserve"> </w:t>
      </w:r>
      <w:r w:rsidR="009A0615">
        <w:rPr>
          <w:szCs w:val="24"/>
        </w:rPr>
        <w:fldChar w:fldCharType="begin"/>
      </w:r>
      <w:r w:rsidR="009A0615">
        <w:rPr>
          <w:szCs w:val="24"/>
        </w:rPr>
        <w:instrText xml:space="preserve"> ADDIN ZOTERO_ITEM CSL_CITATION {"citationID":"S26vMU2M","properties":{"formattedCitation":"(Haut and Little, 1969)","plainCitation":"(Haut and Little, 1969)","noteIndex":0},"citationItems":[{"id":"hIRZaDaU/mtzWGjFp","uris":["http://www.mendeley.com/documents/?uuid=2d9e4182-df4a-42e8-a272-7b54c5817fea"],"itemData":{"DOI":"Doi 10.1016/0021-9290(69)90085-2","ISSN":"0021-9290","author":[{"dropping-particle":"","family":"Haut","given":"R C","non-dropping-particle":"","parse-names":false,"suffix":""},{"dropping-particle":"","family":"Little","given":"R W","non-dropping-particle":"","parse-names":false,"suffix":""}],"container-title":"Journal of Biomechanics","id":"hIRZaDaU/mtzWGjFp","issue":"3","issued":{"date-parts":[["1969"]]},"page":"289-298","title":"Rheological properties of canine anterior cruciate ligaments","type":"article-journal","volume":"2"}}],"schema":"https://github.com/citation-style-language/schema/raw/master/csl-citation.json"} </w:instrText>
      </w:r>
      <w:r w:rsidR="009A0615">
        <w:rPr>
          <w:szCs w:val="24"/>
        </w:rPr>
        <w:fldChar w:fldCharType="separate"/>
      </w:r>
      <w:r w:rsidR="009A0615" w:rsidRPr="009A0615">
        <w:rPr>
          <w:rFonts w:cs="Times New Roman"/>
        </w:rPr>
        <w:t>(Haut and Little, 1969)</w:t>
      </w:r>
      <w:r w:rsidR="009A0615">
        <w:rPr>
          <w:szCs w:val="24"/>
        </w:rPr>
        <w:fldChar w:fldCharType="end"/>
      </w:r>
      <w:r w:rsidR="00B02553">
        <w:rPr>
          <w:szCs w:val="24"/>
        </w:rPr>
        <w:t>, and they were higher than the results reported in this study. For example, s</w:t>
      </w:r>
      <w:r w:rsidR="00B02553" w:rsidRPr="00B02553">
        <w:rPr>
          <w:szCs w:val="24"/>
        </w:rPr>
        <w:t>tress</w:t>
      </w:r>
      <w:r w:rsidR="00B02553">
        <w:rPr>
          <w:szCs w:val="24"/>
        </w:rPr>
        <w:t xml:space="preserve">es </w:t>
      </w:r>
      <w:r w:rsidR="00B02553" w:rsidRPr="00B02553">
        <w:rPr>
          <w:szCs w:val="24"/>
        </w:rPr>
        <w:t>of the CCLs in the control group at 5% strain ranged between 0.5 to 0.75 MPa at strain rates up to 10%/min.</w:t>
      </w:r>
      <w:r w:rsidR="00B02553">
        <w:rPr>
          <w:szCs w:val="24"/>
        </w:rPr>
        <w:t xml:space="preserve"> However, stresses in human ACLs at 5% strain was approximately 0.05 MPa in an old osteoarthritic knee when mechanically tested at 1400%/min </w:t>
      </w:r>
      <w:r w:rsidR="00B02553">
        <w:rPr>
          <w:szCs w:val="24"/>
        </w:rPr>
        <w:fldChar w:fldCharType="begin"/>
      </w:r>
      <w:r w:rsidR="00B02553">
        <w:rPr>
          <w:szCs w:val="24"/>
        </w:rPr>
        <w:instrText xml:space="preserve"> ADDIN ZOTERO_ITEM CSL_CITATION {"citationID":"YFezXLTz","properties":{"formattedCitation":"(Peters et al., 2022)","plainCitation":"(Peters et al., 2022)","noteIndex":0},"citationItems":[{"id":4341,"uris":["http://zotero.org/users/5692498/items/NWHKSGNQ"],"itemData":{"id":4341,"type":"article-journal","abstract":"Knee joint ligaments provide stability to the joint by preventing excessive movement. There has been no systematic effort to study the effect of OA and ageing on the mechanical properties of the four major human knee ligaments. This study aims to collate data on the material properties of the anterior (ACL) and posterior (PCL) cruciate ligaments, medial (MCL) and lateral (LCL) collateral ligaments. Bone-ligament-bone specimens from twelve cadaveric human knee joints were extracted for this study. The cadaveric knee joints were previously collected to study ageing and OA on bone and cartilage material properties; therefore, combining our previous bone and cartilage data with the new ligament data from this study will facilitate subject-specific whole-joint modelling studies. The bone-ligament-bone specimens were tested under tensile loading to failure, determining material parameters including yield and ultimate (failure) stress and strain, secant modulus, tangent modulus, and stiffness. There were significant negative correlations between age and ACL yield stress (p = 0.03), ACL failure stress (p = 0.02), PCL secant (p = 0.02) and tangent (p = 0.02) modulus, and LCL stiffness (p = 0.046). Significant negative correlations were also found between OA grades and ACL yield stress (p = 0.02) and strain (p = 0.03), and LCL failure stress (p = 0.048). However, changes in age or OA grade did not show a statistically significant correlation with the MCL tensile parameters. Due to the small sample size, the combined effect of age and the presence of OA could not be statistically derived. This research is the first to report tensile properties of the four major human knee ligaments from a diverse demographic. When combined with our previous findings on bone and cartilage for the same twelve knee cadavers, the current ligament study supports the conceptualisation of OA as a whole-joint disease that impairs the integrity of many peri-articular tissues within the knee. The subject-specific data pool consisting of the material properties of the four major knee ligaments, subchondral and trabecular bones and articular cartilage will advance knee joint finite element models.","container-title":"Frontiers in Bioengineering and Biotechnology","ISSN":"2296-4185","source":"Frontiers","title":"Ligament mechanics of ageing and osteoarthritic human knees","URL":"https://www.frontiersin.org/articles/10.3389/fbioe.2022.954837","volume":"10","author":[{"family":"Peters","given":"Abby E."},{"family":"Geraghty","given":"Brendan"},{"family":"Bates","given":"Karl T."},{"family":"Akhtar","given":"Riaz"},{"family":"Readioff","given":"Rosti"},{"family":"Comerford","given":"Eithne"}],"accessed":{"date-parts":[["2022",8,28]]},"issued":{"date-parts":[["2022"]]}}}],"schema":"https://github.com/citation-style-language/schema/raw/master/csl-citation.json"} </w:instrText>
      </w:r>
      <w:r w:rsidR="00B02553">
        <w:rPr>
          <w:szCs w:val="24"/>
        </w:rPr>
        <w:fldChar w:fldCharType="separate"/>
      </w:r>
      <w:r w:rsidR="00B02553" w:rsidRPr="001B6D59">
        <w:rPr>
          <w:rFonts w:cs="Times New Roman"/>
        </w:rPr>
        <w:t>(Peters et al., 2022)</w:t>
      </w:r>
      <w:r w:rsidR="00B02553">
        <w:rPr>
          <w:szCs w:val="24"/>
        </w:rPr>
        <w:fldChar w:fldCharType="end"/>
      </w:r>
      <w:r w:rsidR="00B02553">
        <w:rPr>
          <w:szCs w:val="24"/>
        </w:rPr>
        <w:t xml:space="preserve">, </w:t>
      </w:r>
      <w:r w:rsidR="0009268D">
        <w:rPr>
          <w:szCs w:val="24"/>
        </w:rPr>
        <w:t>and it</w:t>
      </w:r>
      <w:r w:rsidR="00B02553">
        <w:rPr>
          <w:szCs w:val="24"/>
        </w:rPr>
        <w:t xml:space="preserve"> is lower than reported </w:t>
      </w:r>
      <w:r w:rsidR="0009268D">
        <w:rPr>
          <w:szCs w:val="24"/>
        </w:rPr>
        <w:t xml:space="preserve">values </w:t>
      </w:r>
      <w:r w:rsidR="00B02553">
        <w:rPr>
          <w:szCs w:val="24"/>
        </w:rPr>
        <w:t>in this study</w:t>
      </w:r>
      <w:r w:rsidR="00013704">
        <w:rPr>
          <w:szCs w:val="24"/>
        </w:rPr>
        <w:t>,</w:t>
      </w:r>
      <w:r w:rsidR="0009268D">
        <w:rPr>
          <w:szCs w:val="24"/>
        </w:rPr>
        <w:t xml:space="preserve"> possibly due to the joint degeneration effect on the ligaments. </w:t>
      </w:r>
    </w:p>
    <w:p w14:paraId="142B790C" w14:textId="16CC7BB3" w:rsidR="000D2DE1" w:rsidRDefault="0009268D" w:rsidP="006048D0">
      <w:pPr>
        <w:rPr>
          <w:szCs w:val="24"/>
        </w:rPr>
      </w:pPr>
      <w:r>
        <w:rPr>
          <w:szCs w:val="24"/>
        </w:rPr>
        <w:lastRenderedPageBreak/>
        <w:t>The</w:t>
      </w:r>
      <w:r w:rsidR="0024060F">
        <w:rPr>
          <w:szCs w:val="24"/>
        </w:rPr>
        <w:t xml:space="preserve"> </w:t>
      </w:r>
      <w:r w:rsidR="008B5C98">
        <w:rPr>
          <w:szCs w:val="24"/>
        </w:rPr>
        <w:t>secant modulus</w:t>
      </w:r>
      <w:r w:rsidR="0024060F">
        <w:rPr>
          <w:szCs w:val="24"/>
        </w:rPr>
        <w:t xml:space="preserve">, </w:t>
      </w:r>
      <w:r w:rsidR="008B5C98">
        <w:rPr>
          <w:szCs w:val="24"/>
        </w:rPr>
        <w:t>showing CCL stiffness</w:t>
      </w:r>
      <w:r w:rsidR="0024060F">
        <w:rPr>
          <w:szCs w:val="24"/>
        </w:rPr>
        <w:t>, was higher in the treated than control group</w:t>
      </w:r>
      <w:r w:rsidR="00A9457F">
        <w:rPr>
          <w:szCs w:val="24"/>
        </w:rPr>
        <w:t>s</w:t>
      </w:r>
      <w:r w:rsidR="0024060F">
        <w:rPr>
          <w:szCs w:val="24"/>
        </w:rPr>
        <w:t xml:space="preserve"> (Figure 2). </w:t>
      </w:r>
      <w:r w:rsidR="007B4FDA" w:rsidRPr="00C375E3">
        <w:rPr>
          <w:szCs w:val="24"/>
        </w:rPr>
        <w:t xml:space="preserve">The </w:t>
      </w:r>
      <w:r w:rsidR="007B4FDA">
        <w:rPr>
          <w:szCs w:val="24"/>
        </w:rPr>
        <w:t>increase</w:t>
      </w:r>
      <w:r w:rsidR="007B4FDA" w:rsidRPr="00C375E3">
        <w:rPr>
          <w:szCs w:val="24"/>
        </w:rPr>
        <w:t xml:space="preserve"> in </w:t>
      </w:r>
      <w:r w:rsidR="007B4FDA">
        <w:rPr>
          <w:szCs w:val="24"/>
        </w:rPr>
        <w:t>secant modulus</w:t>
      </w:r>
      <w:r w:rsidR="007B4FDA" w:rsidRPr="00C375E3">
        <w:rPr>
          <w:szCs w:val="24"/>
        </w:rPr>
        <w:t xml:space="preserve"> may be linked with the decrease in water </w:t>
      </w:r>
      <w:r w:rsidR="0070532E">
        <w:rPr>
          <w:szCs w:val="24"/>
        </w:rPr>
        <w:t>content</w:t>
      </w:r>
      <w:r w:rsidR="007B4FDA" w:rsidRPr="00C375E3">
        <w:rPr>
          <w:szCs w:val="24"/>
        </w:rPr>
        <w:t xml:space="preserve"> </w:t>
      </w:r>
      <w:r w:rsidR="007B4FDA">
        <w:rPr>
          <w:szCs w:val="24"/>
        </w:rPr>
        <w:t>due to</w:t>
      </w:r>
      <w:r w:rsidR="007B4FDA" w:rsidRPr="00C375E3">
        <w:rPr>
          <w:szCs w:val="24"/>
        </w:rPr>
        <w:t xml:space="preserve"> changes in the sGAG chains.</w:t>
      </w:r>
      <w:r w:rsidR="0070532E">
        <w:rPr>
          <w:szCs w:val="24"/>
        </w:rPr>
        <w:t xml:space="preserve"> </w:t>
      </w:r>
      <w:r w:rsidR="00D542C6">
        <w:rPr>
          <w:szCs w:val="24"/>
        </w:rPr>
        <w:t>T</w:t>
      </w:r>
      <w:r w:rsidR="0070532E">
        <w:rPr>
          <w:szCs w:val="24"/>
        </w:rPr>
        <w:t>he decrease in sGAG chains reduces the water-binding sites, reducing water molecule</w:t>
      </w:r>
      <w:r w:rsidR="00A9457F">
        <w:rPr>
          <w:szCs w:val="24"/>
        </w:rPr>
        <w:t>s</w:t>
      </w:r>
      <w:r w:rsidR="0070532E">
        <w:rPr>
          <w:szCs w:val="24"/>
        </w:rPr>
        <w:t xml:space="preserve"> and means for </w:t>
      </w:r>
      <w:r w:rsidR="00D542C6">
        <w:rPr>
          <w:szCs w:val="24"/>
        </w:rPr>
        <w:t>tissue lubrication, increasing internal friction and tissue stiffness</w:t>
      </w:r>
      <w:r w:rsidR="003D122E">
        <w:rPr>
          <w:szCs w:val="24"/>
        </w:rPr>
        <w:t xml:space="preserve"> </w:t>
      </w:r>
      <w:r w:rsidR="003D122E" w:rsidRPr="00C375E3">
        <w:rPr>
          <w:szCs w:val="24"/>
        </w:rPr>
        <w:fldChar w:fldCharType="begin"/>
      </w:r>
      <w:r w:rsidR="003D122E">
        <w:rPr>
          <w:szCs w:val="24"/>
        </w:rPr>
        <w:instrText xml:space="preserve"> ADDIN ZOTERO_ITEM CSL_CITATION {"citationID":"wyfM2gZR","properties":{"formattedCitation":"(Puxkandl et al., 2002; Scott, 2003; Legerlotz et al., 2013)","plainCitation":"(Puxkandl et al., 2002; Scott, 2003; Legerlotz et al., 2013)","noteIndex":0},"citationItems":[{"id":3111,"uris":["http://zotero.org/users/5692498/items/3JA535JN"],"itemData":{"id":3111,"type":"article-journal","abstract":"Collagen type I is the most abundant structural protein in tendon, skin and bone, and largely determines the mechanical behaviour of these connective tissues. To obtain a better understanding of the relationship between structure and mechanical properties, tensile tests and synchrotron X-ray scattering have been carried out simultaneously, correlating the mechanical behaviour with changes in the microstructure. Because intermolecular cross-links are thought to have a great influence on the mechanical behaviour of collagen, we also carried out experiments using cross-link-deficient tail-tendon collagen from rats fed with beta-APN, in addition to normal controls. The load-elongation curve of tendon collagen has a characteristic shape with, initially, an increasing slope, corresponding to an increasing stiffness, followed by yielding and then fracture. Cross-link-deficient collagen produces a quite different curve with a marked plateau appearing in some cases, where the length of the tendon increases at constant stress. With the use of in situ X-ray diffraction, it was possible to measure simultaneously the elongation of the collagen fibrils inside the tendon and of the tendon as a whole. The overall strain of the tendon was always larger than the strain in the individual fibrils, which demonstrates that some deformation is taking place in the matrix between fibrils. Moreover, the ratio of fibril strain to tendon strain was dependent on the applied strain rate. When the speed of deformation was increased, this ratio increased in normal collagen but generally decreased in cross-link-deficient collagen, correlating to the appearance of a plateau in the force-elongation curve indicating creep. We proposed a simple structural model, which describes the tendon at a hierarchical level, where fibrils and interfibrillar matrix act as coupled viscoelastic systems. All qualitative features of the strain-rate dependence of both normal and cross-link-deficient collagen can be reproduced within this model. This complements earlier models that considered the next smallest level of hierarchy, describing the deformation of collagen fibrils in terms of changes in their molecular packing.","container-title":"Philosophical Transactions of the Royal Society B: Biological Sciences","DOI":"10.1098/rstb.2001.1033","ISSN":"0962-8436","issue":"1418","journalAbbreviation":"Philos Trans R Soc Lond B Biol Sci","note":"PMID: 11911776\nPMCID: PMC1692933","page":"191-197","source":"PubMed Central","title":"Viscoelastic properties of collagen: synchrotron radiation investigations and structural model.","title-short":"Viscoelastic properties of collagen","volume":"357","author":[{"family":"Puxkandl","given":"R"},{"family":"Zizak","given":"I"},{"family":"Paris","given":"O"},{"family":"Keckes","given":"J"},{"family":"Tesch","given":"W"},{"family":"Bernstorff","given":"S"},{"family":"Purslow","given":"P"},{"family":"Fratzl","given":"P"}],"issued":{"date-parts":[["2002",2,28]]}}},{"id":3114,"uris":["http://zotero.org/users/5692498/items/VEHUR5YI"],"itemData":{"id":3114,"type":"article-journal","abstract":"Connective tissues (CTs), which define bodily shape, must respond quickly, robustly and reversibly to deformations caused by internal and external stresses. Fibrillar (elastin, collagen) elasticity under tension depends on molecular and supramolecular mechanisms. A second intra-/inter-molecular pair, involving proteoglycans (PGs), is proposed to cope with compressive stresses. PG interfibrillar bridges (‘shape modules’), supramolecular structures ubiquitously distributed throughout CT extracellular matrices (ECMs), are examined for potential elastic properties. l-iduronate residues in shape module decoran PGs are suggested to be molecular springs, cycling through alternative conformations. On a larger scale, anionic glycosaminoglycan (AGAG) interfibrillar bridges in shape modules are postulated to take part in a sliding filament (dashpot-like) process, which converts local compressions into disseminated tensile strains. The elasticity of fibrils and AGAGs, manifest at molecular and larger-scale levels, provides a graduated and smooth response to stresses of varying degrees. NMR and rheo NMR, computer modelling, electron histochemical, biophysical and chemical morphological evidence for the proposals is reviewed.","container-title":"The Journal of Physiology","DOI":"10.1113/jphysiol.2003.050179","ISSN":"0022-3751","issue":"Pt 2","journalAbbreviation":"J Physiol","note":"PMID: 12923209\nPMCID: PMC2343561","page":"335-343","source":"PubMed Central","title":"Elasticity in extracellular matrix ‘shape modules’ of tendon, cartilage, etc. A sliding proteoglycan-filament model","volume":"553","author":[{"family":"Scott","given":"J E"}],"issued":{"date-parts":[["2003",12,1]]}}},{"id":3079,"uris":["http://zotero.org/users/5692498/items/3XLERJKD"],"itemData":{"id":3079,"type":"article-journal","abstract":"Cyclic and static loading regimes are commonly used to study tenocyte metabolism in vitro and to improve our understanding of exercise-associated tendon pathologies. The aims of our study were to investigate if cyclic and static stress relaxation affected the mechanical properties of tendon fascicles differently, if this effect was reversible after a recovery period, and if the removal of glycosaminoglycans (GAGs) affected sample recovery. Tendon fascicles were dissected frombovine-foot extensors and subjected to 14% cyclic (1Hz) or static tensile strain for 30min. Additional fascicles were incubated overnight in buffer with 0.5U chondroitinase ABC or in buffer alone prior to the static stress-relaxation regime. To assess the effect of different stress-relaxation regimes, a quasi-static test to failure was carried out, either directly post loading or after a 2h recovery period, and compared with unloaded control fascicles. Both stress-relaxation regimes led to a significant reduction in fascicle failure stress and strain, but this was more pronounced in the cyclically loaded specimens. Removal of GAGs led to more stress relaxation and greater reductions in failure stress after static loading compared to controls. The reduction in mechanical properties was partially reversible in all samples, given a recovery period of 2h. This has implications for mechanical testing protocols, as a time delay between fatiguing specimens and characterization of mechanical properties will affect the results. GAGs appear to protect tendon fascicles from fatigue effects, possibly by enabling sample hydration.","container-title":"Acta Biomaterialia","DOI":"10.1016/j.actbio.2013.02.028","ISSN":"1742-7061","issue":"6","journalAbbreviation":"Acta Biomaterialia","language":"en","page":"6860-6866","source":"ScienceDirect","title":"GAG depletion increases the stress-relaxation response of tendon fascicles, but does not influence recovery","volume":"9","author":[{"family":"Legerlotz","given":"Kirsten"},{"family":"Riley","given":"Graham P."},{"family":"Screen","given":"Hazel R. C."}],"issued":{"date-parts":[["2013",6,1]]}}}],"schema":"https://github.com/citation-style-language/schema/raw/master/csl-citation.json"} </w:instrText>
      </w:r>
      <w:r w:rsidR="003D122E" w:rsidRPr="00C375E3">
        <w:rPr>
          <w:szCs w:val="24"/>
        </w:rPr>
        <w:fldChar w:fldCharType="separate"/>
      </w:r>
      <w:r w:rsidR="003D122E" w:rsidRPr="0097525F">
        <w:rPr>
          <w:rFonts w:cs="Times New Roman"/>
        </w:rPr>
        <w:t>(Puxkandl et al., 2002; Scott, 2003; Legerlotz et al., 2013)</w:t>
      </w:r>
      <w:r w:rsidR="003D122E" w:rsidRPr="00C375E3">
        <w:rPr>
          <w:szCs w:val="24"/>
        </w:rPr>
        <w:fldChar w:fldCharType="end"/>
      </w:r>
      <w:r w:rsidR="00D542C6">
        <w:rPr>
          <w:szCs w:val="24"/>
        </w:rPr>
        <w:t xml:space="preserve">. </w:t>
      </w:r>
      <w:r w:rsidR="00C0710A">
        <w:rPr>
          <w:szCs w:val="24"/>
        </w:rPr>
        <w:t xml:space="preserve">The modulus of untreated CCLs has been reported as approximately 260 MPa under failure load at </w:t>
      </w:r>
      <w:r w:rsidR="004A4EC3">
        <w:rPr>
          <w:szCs w:val="24"/>
        </w:rPr>
        <w:t>a 6000%/min strain rate</w:t>
      </w:r>
      <w:r w:rsidR="00C0710A">
        <w:rPr>
          <w:szCs w:val="24"/>
        </w:rPr>
        <w:t xml:space="preserve"> equivalent to 2.3 MPa at 0.5% of the applied stress</w:t>
      </w:r>
      <w:r w:rsidR="00F96F22">
        <w:rPr>
          <w:szCs w:val="24"/>
        </w:rPr>
        <w:t xml:space="preserve"> </w:t>
      </w:r>
      <w:r w:rsidR="00F96F22">
        <w:rPr>
          <w:szCs w:val="24"/>
        </w:rPr>
        <w:fldChar w:fldCharType="begin"/>
      </w:r>
      <w:r w:rsidR="00F96F22">
        <w:rPr>
          <w:szCs w:val="24"/>
        </w:rPr>
        <w:instrText xml:space="preserve"> ADDIN ZOTERO_ITEM CSL_CITATION {"citationID":"BWPqZIPu","properties":{"formattedCitation":"(Butler et al., 1983)","plainCitation":"(Butler et al., 1983)","noteIndex":0},"citationItems":[{"id":4353,"uris":["http://zotero.org/users/5692498/items/IPC7CP58"],"itemData":{"id":4353,"type":"article-journal","abstract":"A biomechanical analysis of the results of an over-the-top procedure for replacement of the cranial cruciate ligament (CCL) in the dog is presented. Using 15 adult mongrel dogs, the CCL in one stifle joint was reconstructed using fascia lata and the lateral one-third of the patellar ligament. The opposite CCL served as the control. Animals were sacrificed at 0, 4, 12 and 26 weeks postoperation and axial failure tests were performed. Stiffness, maximum load, and elastic modulus of the replacement increased over time, while elongation to maximum load continually decreased as compared to controls. Other parameters showed less consistent trends. The results are encouraging given the reduction in joint laxity and the increases in tissue stiffness and strength. However, the ligament substitute was still unable to replicate the mechanical properties of the normal cruciate ligament. Longer studies therefore are required to determine if this replacement is capable of completely restoring joint stability and normal function.","container-title":"Veterinary Surgery","DOI":"10.1111/j.1532-950X.1983.tb00721.x","ISSN":"1532-950X","issue":"3","language":"en","note":"_eprint: https://onlinelibrary.wiley.com/doi/pdf/10.1111/j.1532-950X.1983.tb00721.x","page":"113-118","source":"Wiley Online Library","title":"Biomechanics of Cranial Cruciate Ligament Reconstruction in the Dog II. Mechanical Properties","volume":"12","author":[{"family":"Butler","given":"David L."},{"family":"Hulse","given":"Donald A."},{"family":"Kay","given":"Matthew D."},{"family":"Grood","given":"Edward S."},{"family":"Shires","given":"Peter K."},{"family":"D'ambrosia","given":"Robert"},{"family":"Shoji","given":"Hiromu"}],"issued":{"date-parts":[["1983"]]}}}],"schema":"https://github.com/citation-style-language/schema/raw/master/csl-citation.json"} </w:instrText>
      </w:r>
      <w:r w:rsidR="00F96F22">
        <w:rPr>
          <w:szCs w:val="24"/>
        </w:rPr>
        <w:fldChar w:fldCharType="separate"/>
      </w:r>
      <w:r w:rsidR="00F96F22" w:rsidRPr="00F96F22">
        <w:rPr>
          <w:rFonts w:cs="Times New Roman"/>
        </w:rPr>
        <w:t>(Butler et al., 1983)</w:t>
      </w:r>
      <w:r w:rsidR="00F96F22">
        <w:rPr>
          <w:szCs w:val="24"/>
        </w:rPr>
        <w:fldChar w:fldCharType="end"/>
      </w:r>
      <w:r w:rsidR="00C0710A">
        <w:rPr>
          <w:szCs w:val="24"/>
        </w:rPr>
        <w:t>. The equivalent modul</w:t>
      </w:r>
      <w:r w:rsidR="004A4EC3">
        <w:rPr>
          <w:szCs w:val="24"/>
        </w:rPr>
        <w:t>us</w:t>
      </w:r>
      <w:r w:rsidR="00C0710A">
        <w:rPr>
          <w:szCs w:val="24"/>
        </w:rPr>
        <w:t xml:space="preserve"> is lower than the secant modul</w:t>
      </w:r>
      <w:r w:rsidR="004A4EC3">
        <w:rPr>
          <w:szCs w:val="24"/>
        </w:rPr>
        <w:t>i</w:t>
      </w:r>
      <w:r w:rsidR="00C0710A">
        <w:rPr>
          <w:szCs w:val="24"/>
        </w:rPr>
        <w:t xml:space="preserve"> </w:t>
      </w:r>
      <w:r w:rsidR="00F96F22">
        <w:rPr>
          <w:szCs w:val="24"/>
        </w:rPr>
        <w:t xml:space="preserve">reported in this paper for </w:t>
      </w:r>
      <w:r w:rsidR="00C0710A">
        <w:rPr>
          <w:szCs w:val="24"/>
        </w:rPr>
        <w:t>the CCLs in the control group</w:t>
      </w:r>
      <w:r w:rsidR="00F96F22">
        <w:rPr>
          <w:szCs w:val="24"/>
        </w:rPr>
        <w:t xml:space="preserve">, and they </w:t>
      </w:r>
      <w:r w:rsidR="00C0710A">
        <w:rPr>
          <w:szCs w:val="24"/>
        </w:rPr>
        <w:t>ranged between 10 to 12 MPa at strain rates up to 10%/min.</w:t>
      </w:r>
      <w:r w:rsidR="000C5AED">
        <w:rPr>
          <w:szCs w:val="24"/>
        </w:rPr>
        <w:t xml:space="preserve"> The</w:t>
      </w:r>
      <w:r w:rsidR="000C5AED" w:rsidRPr="000C5AED">
        <w:rPr>
          <w:szCs w:val="24"/>
        </w:rPr>
        <w:t xml:space="preserve"> marked variability in the reported values</w:t>
      </w:r>
      <w:r w:rsidR="000C5AED">
        <w:rPr>
          <w:szCs w:val="24"/>
        </w:rPr>
        <w:t xml:space="preserve"> is likely</w:t>
      </w:r>
      <w:r w:rsidR="000C5AED" w:rsidRPr="000C5AED">
        <w:rPr>
          <w:szCs w:val="24"/>
        </w:rPr>
        <w:t xml:space="preserve"> due to variations in testing techniques and </w:t>
      </w:r>
      <w:r w:rsidR="000C5AED">
        <w:rPr>
          <w:szCs w:val="24"/>
        </w:rPr>
        <w:t>specimen</w:t>
      </w:r>
      <w:r w:rsidR="000C5AED" w:rsidRPr="000C5AED">
        <w:rPr>
          <w:szCs w:val="24"/>
        </w:rPr>
        <w:t xml:space="preserve"> demographics, making it challenging to </w:t>
      </w:r>
      <w:r w:rsidR="000C5AED">
        <w:rPr>
          <w:szCs w:val="24"/>
        </w:rPr>
        <w:t xml:space="preserve">perform comprehensive comparisons. </w:t>
      </w:r>
    </w:p>
    <w:p w14:paraId="79080B0F" w14:textId="355372FA" w:rsidR="007B4FDA" w:rsidRDefault="00C375E3" w:rsidP="00C375E3">
      <w:pPr>
        <w:rPr>
          <w:szCs w:val="24"/>
        </w:rPr>
      </w:pPr>
      <w:r w:rsidRPr="00C375E3">
        <w:rPr>
          <w:szCs w:val="24"/>
        </w:rPr>
        <w:t xml:space="preserve">Hysteresis of the </w:t>
      </w:r>
      <w:r w:rsidR="005C411A">
        <w:rPr>
          <w:szCs w:val="24"/>
        </w:rPr>
        <w:t>CCL</w:t>
      </w:r>
      <w:r w:rsidRPr="00C375E3">
        <w:rPr>
          <w:szCs w:val="24"/>
        </w:rPr>
        <w:t xml:space="preserve">s in </w:t>
      </w:r>
      <w:r w:rsidR="007B4FDA">
        <w:rPr>
          <w:szCs w:val="24"/>
        </w:rPr>
        <w:t>both</w:t>
      </w:r>
      <w:r w:rsidRPr="00C375E3">
        <w:rPr>
          <w:szCs w:val="24"/>
        </w:rPr>
        <w:t xml:space="preserve"> group</w:t>
      </w:r>
      <w:r w:rsidR="007B4FDA">
        <w:rPr>
          <w:szCs w:val="24"/>
        </w:rPr>
        <w:t>s</w:t>
      </w:r>
      <w:r w:rsidRPr="00C375E3">
        <w:rPr>
          <w:szCs w:val="24"/>
        </w:rPr>
        <w:t xml:space="preserve"> was strain</w:t>
      </w:r>
      <w:r w:rsidR="00515404">
        <w:rPr>
          <w:szCs w:val="24"/>
        </w:rPr>
        <w:t xml:space="preserve"> </w:t>
      </w:r>
      <w:r w:rsidRPr="00C375E3">
        <w:rPr>
          <w:szCs w:val="24"/>
        </w:rPr>
        <w:t>rate dependent</w:t>
      </w:r>
      <w:r w:rsidR="000D2DE1">
        <w:rPr>
          <w:szCs w:val="24"/>
        </w:rPr>
        <w:t>,</w:t>
      </w:r>
      <w:r w:rsidRPr="00C375E3">
        <w:rPr>
          <w:szCs w:val="24"/>
        </w:rPr>
        <w:t xml:space="preserve"> and this characteristic did not change after PGs reduction</w:t>
      </w:r>
      <w:r w:rsidR="003D122E">
        <w:rPr>
          <w:szCs w:val="24"/>
        </w:rPr>
        <w:t xml:space="preserve"> </w:t>
      </w:r>
      <w:r w:rsidR="003D122E" w:rsidRPr="00C375E3">
        <w:rPr>
          <w:szCs w:val="24"/>
        </w:rPr>
        <w:fldChar w:fldCharType="begin"/>
      </w:r>
      <w:r w:rsidR="00193564">
        <w:rPr>
          <w:szCs w:val="24"/>
        </w:rPr>
        <w:instrText xml:space="preserve"> ADDIN ZOTERO_ITEM CSL_CITATION {"citationID":"L0TXrBau","properties":{"formattedCitation":"(Lujan et al., 2007; Readioff et al., 2020b)","plainCitation":"(Lujan et al., 2007; Readioff et al., 2020b)","noteIndex":0},"citationItems":[{"id":2969,"uris":["http://zotero.org/users/5692498/items/D8HR2IBK"],"itemData":{"id":2969,"type":"article-journal","abstract":"The glycosaminoglycan of decorin, dermatan sulfate (DS), has been suggested to contribute to the mechanical properties of soft connective tissues such as ligaments and tendons. This study investigated the mechanical function of DS in human medial collateral ligaments (MCL) using nondestructive shear and tensile material tests performed before and after targeted removal of DS with chondroitinase B (ChB). The quasi-static elastic material properties of human MCL were unchanged after DS removal. At peak deformation, tensile and shear stresses in ChB treated tissue were within 0.5% (p &gt; 0.70) and 2.0% (p &gt; 0.30) of pre-treatment values, respectively. From pre- to post-ChB treatment under tensile loading, the tensile tangent modulus went from 242 ± 64 to 233 ± 57 MPa (p = 0.44), and tissue strain at peak deformation went from 4.3 ± 0.3% to 4.4 ± 0.3% (p = 0.54). Tissue hysteresis was unaffected by DS removal for both tensile and shear loading. Biochemical analysis confirmed that 90% of DS was removed by ChB treatment when compared to control samples, and transmission electron microscopy (TEM) imaging further verified the degradation of DS by showing an 88% reduction (p &lt; .001) of sulfated glycosaminoglycans in ChB treated tissue. These results demonstrate that DS in mature knee MCL tissue does not resist tensile or shear deformation under quasi-static loading conditions, challenging the theory that decorin proteoglycans contribute to the elastic material behavior of ligament. © 2007 Orthopaedic Research Society. Published by Wiley Periodicals, Inc. J Orthop Res 25:894–903, 2007","container-title":"Journal of Orthopaedic Research","DOI":"10.1002/jor.20351","ISSN":"1554-527X","issue":"7","language":"en","license":"Copyright © 2007 Orthopaedic Research Society","note":"_eprint: https://onlinelibrary.wiley.com/doi/pdf/10.1002/jor.20351","page":"894-903","source":"Wiley Online Library","title":"Effect of dermatan sulfate glycosaminoglycans on the quasi-static material properties of the human medial collateral ligament","volume":"25","author":[{"family":"Lujan","given":"Trevor J."},{"family":"Underwood","given":"Clayton J."},{"family":"Henninger","given":"Heath B."},{"family":"Thompson","given":"Brent M."},{"family":"Weiss","given":"Jeffrey A."}],"issued":{"date-parts":[["2007"]]}}},{"id":3168,"uris":["http://zotero.org/users/5692498/items/GYIP8SXX"],"itemData":{"id":3168,"type":"article-journal","abstract":"Ligaments including the cruciate ligaments support and transfer loads between bones applied to the knee joint organ. The functions of these ligaments can get compromised due to changes to their viscoelastic material properties. Currently there are discrepancies in the literature on the viscoelastic characteristics of knee ligaments which are thought to be due to tissue variability and different testing protocols. The aim of this study was to characterise the viscoelastic properties of healthy cranial cruciate ligaments (CCLs), from the canine knee (stifle) joint, with a focus on the toe region of the stress-strain properties where any alterations in the extracellular matrix which would affect viscoelastic properties would be seen. Six paired CCLs, from skeletally mature and disease-free Staffordshire bull terrier stifle joints were retrieved as a femur-CCL-tibia complex and mechanically tested under uniaxial cyclic loading up to 10 N at three strain rates, namely 0.1%, 1% and 10%/min, to assess the viscoelastic property of strain rate dependency. The effect of strain history was also investigated by subjecting contralateral CCLs to an ascending (0.1%, 1% and 10%/min) or descending (10%, 1% and 0.1%/min) strain rate protocol. The differences between strain rates were not statistically significant. However, hysteresis and recovery of ligament lengths showed some dependency on strain rate. Only hysteresis was affected by the test protocol and lower strain rates resulted in higher hysteresis and lower recovery. These findings could be explained by the slow process of uncrimping of collagen fibres and the contribution of proteoglycans in the ligament extracellular matrix to intra-fibrillar gliding, which results in more tissue elongations and higher energy dissipation. This study further expands our understanding of canine CCL behaviour, providing data for material models of femur-CCL-tibia complexes, and demonstrating the challenges for engineering complex biomaterials such as knee joint ligaments.","container-title":"PeerJ","DOI":"10.7717/peerj.10635","ISSN":"2167-8359","journalAbbreviation":"PeerJ","language":"en","note":"publisher: PeerJ Inc.","page":"e10635","source":"peerj.com","title":"Viscoelastic characteristics of the canine cranial cruciate ligament complex at slow strain rates","volume":"8","author":[{"family":"Readioff","given":"Rosti"},{"family":"Geraghty","given":"Brendan"},{"family":"Elsheikh","given":"Ahmed"},{"family":"Comerford","given":"Eithne"}],"issued":{"date-parts":[["2020",12,22]]}}}],"schema":"https://github.com/citation-style-language/schema/raw/master/csl-citation.json"} </w:instrText>
      </w:r>
      <w:r w:rsidR="003D122E" w:rsidRPr="00C375E3">
        <w:rPr>
          <w:szCs w:val="24"/>
        </w:rPr>
        <w:fldChar w:fldCharType="separate"/>
      </w:r>
      <w:r w:rsidR="00193564" w:rsidRPr="00193564">
        <w:rPr>
          <w:rFonts w:cs="Times New Roman"/>
        </w:rPr>
        <w:t>(Lujan et al., 2007; Readioff et al., 2020b)</w:t>
      </w:r>
      <w:r w:rsidR="003D122E" w:rsidRPr="00C375E3">
        <w:rPr>
          <w:szCs w:val="24"/>
        </w:rPr>
        <w:fldChar w:fldCharType="end"/>
      </w:r>
      <w:r w:rsidRPr="00C375E3">
        <w:rPr>
          <w:szCs w:val="24"/>
        </w:rPr>
        <w:t>.</w:t>
      </w:r>
      <w:r w:rsidR="003D122E">
        <w:rPr>
          <w:szCs w:val="24"/>
        </w:rPr>
        <w:t xml:space="preserve"> The treated CCLs </w:t>
      </w:r>
      <w:r w:rsidR="00EC1428">
        <w:rPr>
          <w:szCs w:val="24"/>
        </w:rPr>
        <w:t>had lower hysteresis than those in the control</w:t>
      </w:r>
      <w:r w:rsidRPr="00C375E3">
        <w:rPr>
          <w:szCs w:val="24"/>
        </w:rPr>
        <w:t xml:space="preserve"> </w:t>
      </w:r>
      <w:r w:rsidR="00EC1428">
        <w:rPr>
          <w:szCs w:val="24"/>
        </w:rPr>
        <w:t>group</w:t>
      </w:r>
      <w:r w:rsidR="00A9457F">
        <w:rPr>
          <w:szCs w:val="24"/>
        </w:rPr>
        <w:t>,</w:t>
      </w:r>
      <w:r w:rsidR="00EC1428">
        <w:rPr>
          <w:szCs w:val="24"/>
        </w:rPr>
        <w:t xml:space="preserve"> suggesting that PG depletion has altered </w:t>
      </w:r>
      <w:r w:rsidR="00A9457F">
        <w:rPr>
          <w:szCs w:val="24"/>
        </w:rPr>
        <w:t xml:space="preserve">the </w:t>
      </w:r>
      <w:r w:rsidR="00EC1428">
        <w:rPr>
          <w:szCs w:val="24"/>
        </w:rPr>
        <w:t>microstructural organisation of the tissue affecting energy storage</w:t>
      </w:r>
      <w:r w:rsidR="008F3CFA">
        <w:rPr>
          <w:szCs w:val="24"/>
        </w:rPr>
        <w:t xml:space="preserve"> (Figure 3)</w:t>
      </w:r>
      <w:r w:rsidR="00EC1428">
        <w:rPr>
          <w:szCs w:val="24"/>
        </w:rPr>
        <w:t xml:space="preserve">. </w:t>
      </w:r>
      <w:r w:rsidR="009028A8">
        <w:rPr>
          <w:szCs w:val="24"/>
        </w:rPr>
        <w:t xml:space="preserve">The mean </w:t>
      </w:r>
      <w:proofErr w:type="spellStart"/>
      <w:r w:rsidR="009028A8">
        <w:rPr>
          <w:szCs w:val="24"/>
        </w:rPr>
        <w:t>hysteres</w:t>
      </w:r>
      <w:r w:rsidR="0067594F">
        <w:rPr>
          <w:szCs w:val="24"/>
        </w:rPr>
        <w:t>e</w:t>
      </w:r>
      <w:r w:rsidR="009028A8">
        <w:rPr>
          <w:szCs w:val="24"/>
        </w:rPr>
        <w:t>s</w:t>
      </w:r>
      <w:proofErr w:type="spellEnd"/>
      <w:r w:rsidR="009028A8">
        <w:rPr>
          <w:szCs w:val="24"/>
        </w:rPr>
        <w:t xml:space="preserve"> in the control group were approximately 3.5, 1.8, and 1.2 MPa at 0.1, 1 and 10%/min, and these values are comparable to the previously reported hysteresis</w:t>
      </w:r>
      <w:r w:rsidR="00FA397B">
        <w:rPr>
          <w:szCs w:val="24"/>
        </w:rPr>
        <w:t xml:space="preserve"> ranging from 3 to 1.5 MPa at strain rates up to 10%/min</w:t>
      </w:r>
      <w:r w:rsidR="009028A8">
        <w:rPr>
          <w:szCs w:val="24"/>
        </w:rPr>
        <w:t xml:space="preserve"> where similar test methodologies were adopted </w:t>
      </w:r>
      <w:r w:rsidR="009028A8">
        <w:rPr>
          <w:szCs w:val="24"/>
        </w:rPr>
        <w:fldChar w:fldCharType="begin"/>
      </w:r>
      <w:r w:rsidR="009028A8">
        <w:rPr>
          <w:szCs w:val="24"/>
        </w:rPr>
        <w:instrText xml:space="preserve"> ADDIN ZOTERO_ITEM CSL_CITATION {"citationID":"JKjKEnat","properties":{"formattedCitation":"(Readioff et al., 2020b)","plainCitation":"(Readioff et al., 2020b)","noteIndex":0},"citationItems":[{"id":3168,"uris":["http://zotero.org/users/5692498/items/GYIP8SXX"],"itemData":{"id":3168,"type":"article-journal","abstract":"Ligaments including the cruciate ligaments support and transfer loads between bones applied to the knee joint organ. The functions of these ligaments can get compromised due to changes to their viscoelastic material properties. Currently there are discrepancies in the literature on the viscoelastic characteristics of knee ligaments which are thought to be due to tissue variability and different testing protocols. The aim of this study was to characterise the viscoelastic properties of healthy cranial cruciate ligaments (CCLs), from the canine knee (stifle) joint, with a focus on the toe region of the stress-strain properties where any alterations in the extracellular matrix which would affect viscoelastic properties would be seen. Six paired CCLs, from skeletally mature and disease-free Staffordshire bull terrier stifle joints were retrieved as a femur-CCL-tibia complex and mechanically tested under uniaxial cyclic loading up to 10 N at three strain rates, namely 0.1%, 1% and 10%/min, to assess the viscoelastic property of strain rate dependency. The effect of strain history was also investigated by subjecting contralateral CCLs to an ascending (0.1%, 1% and 10%/min) or descending (10%, 1% and 0.1%/min) strain rate protocol. The differences between strain rates were not statistically significant. However, hysteresis and recovery of ligament lengths showed some dependency on strain rate. Only hysteresis was affected by the test protocol and lower strain rates resulted in higher hysteresis and lower recovery. These findings could be explained by the slow process of uncrimping of collagen fibres and the contribution of proteoglycans in the ligament extracellular matrix to intra-fibrillar gliding, which results in more tissue elongations and higher energy dissipation. This study further expands our understanding of canine CCL behaviour, providing data for material models of femur-CCL-tibia complexes, and demonstrating the challenges for engineering complex biomaterials such as knee joint ligaments.","container-title":"PeerJ","DOI":"10.7717/peerj.10635","ISSN":"2167-8359","journalAbbreviation":"PeerJ","language":"en","note":"publisher: PeerJ Inc.","page":"e10635","source":"peerj.com","title":"Viscoelastic characteristics of the canine cranial cruciate ligament complex at slow strain rates","volume":"8","author":[{"family":"Readioff","given":"Rosti"},{"family":"Geraghty","given":"Brendan"},{"family":"Elsheikh","given":"Ahmed"},{"family":"Comerford","given":"Eithne"}],"issued":{"date-parts":[["2020",12,22]]}}}],"schema":"https://github.com/citation-style-language/schema/raw/master/csl-citation.json"} </w:instrText>
      </w:r>
      <w:r w:rsidR="009028A8">
        <w:rPr>
          <w:szCs w:val="24"/>
        </w:rPr>
        <w:fldChar w:fldCharType="separate"/>
      </w:r>
      <w:r w:rsidR="009028A8" w:rsidRPr="009028A8">
        <w:rPr>
          <w:rFonts w:cs="Times New Roman"/>
        </w:rPr>
        <w:t>(Readioff et al., 2020b)</w:t>
      </w:r>
      <w:r w:rsidR="009028A8">
        <w:rPr>
          <w:szCs w:val="24"/>
        </w:rPr>
        <w:fldChar w:fldCharType="end"/>
      </w:r>
      <w:r w:rsidR="009028A8">
        <w:rPr>
          <w:szCs w:val="24"/>
        </w:rPr>
        <w:t>.</w:t>
      </w:r>
    </w:p>
    <w:p w14:paraId="0E15C93A" w14:textId="7FBB79BD" w:rsidR="00587F21" w:rsidRDefault="00C375E3" w:rsidP="00C375E3">
      <w:pPr>
        <w:rPr>
          <w:szCs w:val="24"/>
        </w:rPr>
      </w:pPr>
      <w:r w:rsidRPr="00C375E3">
        <w:rPr>
          <w:szCs w:val="24"/>
        </w:rPr>
        <w:t xml:space="preserve">The decrease in creep </w:t>
      </w:r>
      <w:r w:rsidR="00D107A2">
        <w:rPr>
          <w:szCs w:val="24"/>
        </w:rPr>
        <w:t xml:space="preserve">after PG reduction </w:t>
      </w:r>
      <w:r w:rsidRPr="00C375E3">
        <w:rPr>
          <w:szCs w:val="24"/>
        </w:rPr>
        <w:t>(</w:t>
      </w:r>
      <w:r w:rsidR="008F3CFA">
        <w:rPr>
          <w:szCs w:val="24"/>
        </w:rPr>
        <w:t>Figure</w:t>
      </w:r>
      <w:r w:rsidR="00A9457F">
        <w:rPr>
          <w:szCs w:val="24"/>
        </w:rPr>
        <w:t>s</w:t>
      </w:r>
      <w:r w:rsidRPr="00C375E3">
        <w:rPr>
          <w:szCs w:val="24"/>
        </w:rPr>
        <w:t xml:space="preserve"> </w:t>
      </w:r>
      <w:r w:rsidR="008F3CFA">
        <w:rPr>
          <w:szCs w:val="24"/>
        </w:rPr>
        <w:t>4 and 5</w:t>
      </w:r>
      <w:r w:rsidRPr="00C375E3">
        <w:rPr>
          <w:szCs w:val="24"/>
        </w:rPr>
        <w:t xml:space="preserve">) can </w:t>
      </w:r>
      <w:r w:rsidR="000D2DE1">
        <w:rPr>
          <w:szCs w:val="24"/>
        </w:rPr>
        <w:t>result from</w:t>
      </w:r>
      <w:r w:rsidRPr="00C375E3">
        <w:rPr>
          <w:szCs w:val="24"/>
        </w:rPr>
        <w:t xml:space="preserve"> decreased hydration </w:t>
      </w:r>
      <w:r w:rsidRPr="00C375E3">
        <w:rPr>
          <w:szCs w:val="24"/>
        </w:rPr>
        <w:fldChar w:fldCharType="begin"/>
      </w:r>
      <w:r w:rsidR="0097525F">
        <w:rPr>
          <w:szCs w:val="24"/>
        </w:rPr>
        <w:instrText xml:space="preserve"> ADDIN ZOTERO_ITEM CSL_CITATION {"citationID":"trxWxBzC","properties":{"formattedCitation":"(Thornton et al., 2001)","plainCitation":"(Thornton et al., 2001)","noteIndex":0},"citationItems":[{"id":3119,"uris":["http://zotero.org/users/5692498/items/ZQVAB6LJ"],"itemData":{"id":3119,"type":"article-journal","abstract":"The water content of a ligament can be altered by injury and surgical intervention in vivo, and inadvertently or purposely during in vitro tests. We investigated how altering the water content of the rabbit medial collateral ligament (MCL) affected its resulting creep behaviour (defined as an increase in strain from sequential cyclic and static creep tests). The water content of normal MCLs (n=4) was compared to that of MCLs soaked for 1 h in a sucrose solution (n=4) or phosphate buffered saline (PBS; n=8). Sucrose exposure decreased hydration and PBS exposure increased hydration. In addition, soaking in PBS caused a shift in “ligament zero” (the position where there was 0.1 N of tension on the ligament). Following the same single solution treatment, additional MCLs were creep tested at 4.1 MPa using a load based on the ligament cross-sectional area measured before solution treatment: sucrose (n=4), PBS new “ligament zero” (n=5), and PBS old “ligament zero” (n=6). Normal MCLs were also tested at 4.1 MPa (n=7) in a humidity chamber that maintained normal ligament water content. Additional MCLs were treated with both solutions in series (n=12) to examine the reversibility of the mechanical changes caused by single solution treatment. This was the first investigation to show that ligament creep behaviour was clearly affected by the initial state of hydration: creep decreased with decreased hydration and creep increased with increased hydration. Another unique finding was that ligaments with increased hydration had decreased ligament functional length and increased ligament pre-stress. The creep behaviour of these ligaments was decreased if they were loaded from the pre-stressed state compared to the unloaded state. These results suggest that maintenance of physiological water content is important for in vitro mechanical testing of ligaments and controlling the low-load stress state of ligaments in situ.","container-title":"Journal of Orthopaedic Research","DOI":"10.1016/S0736-0266(01)00005-5","ISSN":"0736-0266","issue":"5","journalAbbreviation":"Journal of Orthopaedic Research","language":"en","page":"845-851","source":"ScienceDirect","title":"Altering ligament water content affects ligament pre-stress and creep behaviour","volume":"19","author":[{"family":"Thornton","given":"G. M"},{"family":"Shrive","given":"N. G"},{"family":"Frank","given":"C. B"}],"issued":{"date-parts":[["2001",9,1]]}}}],"schema":"https://github.com/citation-style-language/schema/raw/master/csl-citation.json"} </w:instrText>
      </w:r>
      <w:r w:rsidRPr="00C375E3">
        <w:rPr>
          <w:szCs w:val="24"/>
        </w:rPr>
        <w:fldChar w:fldCharType="separate"/>
      </w:r>
      <w:r w:rsidR="0097525F" w:rsidRPr="0097525F">
        <w:rPr>
          <w:rFonts w:cs="Times New Roman"/>
        </w:rPr>
        <w:t>(Thornton et al., 2001)</w:t>
      </w:r>
      <w:r w:rsidRPr="00C375E3">
        <w:rPr>
          <w:szCs w:val="24"/>
        </w:rPr>
        <w:fldChar w:fldCharType="end"/>
      </w:r>
      <w:r w:rsidRPr="00C375E3">
        <w:rPr>
          <w:szCs w:val="24"/>
        </w:rPr>
        <w:t xml:space="preserve">. </w:t>
      </w:r>
      <w:r w:rsidR="00D107A2">
        <w:rPr>
          <w:szCs w:val="24"/>
        </w:rPr>
        <w:t>With higher</w:t>
      </w:r>
      <w:r w:rsidRPr="00C375E3">
        <w:rPr>
          <w:szCs w:val="24"/>
        </w:rPr>
        <w:t xml:space="preserve"> water molecules </w:t>
      </w:r>
      <w:r w:rsidR="00D107A2">
        <w:rPr>
          <w:szCs w:val="24"/>
        </w:rPr>
        <w:t>inside the tissue</w:t>
      </w:r>
      <w:r w:rsidR="000D2DE1">
        <w:rPr>
          <w:szCs w:val="24"/>
        </w:rPr>
        <w:t>,</w:t>
      </w:r>
      <w:r w:rsidRPr="00C375E3">
        <w:rPr>
          <w:szCs w:val="24"/>
        </w:rPr>
        <w:t xml:space="preserve"> the </w:t>
      </w:r>
      <w:r w:rsidR="00D107A2">
        <w:rPr>
          <w:szCs w:val="24"/>
        </w:rPr>
        <w:t>creep compliance</w:t>
      </w:r>
      <w:r w:rsidRPr="00C375E3">
        <w:rPr>
          <w:szCs w:val="24"/>
        </w:rPr>
        <w:t xml:space="preserve"> is </w:t>
      </w:r>
      <w:r w:rsidR="00D107A2">
        <w:rPr>
          <w:szCs w:val="24"/>
        </w:rPr>
        <w:t>increased</w:t>
      </w:r>
      <w:r w:rsidRPr="00C375E3">
        <w:rPr>
          <w:szCs w:val="24"/>
        </w:rPr>
        <w:t xml:space="preserve"> because water provides greater freedom for fibrillar movement </w:t>
      </w:r>
      <w:r w:rsidRPr="00C375E3">
        <w:rPr>
          <w:szCs w:val="24"/>
        </w:rPr>
        <w:fldChar w:fldCharType="begin"/>
      </w:r>
      <w:r w:rsidR="0097525F">
        <w:rPr>
          <w:szCs w:val="24"/>
        </w:rPr>
        <w:instrText xml:space="preserve"> ADDIN ZOTERO_ITEM CSL_CITATION {"citationID":"QK7DGTkg","properties":{"formattedCitation":"(Thornton et al., 2001)","plainCitation":"(Thornton et al., 2001)","noteIndex":0},"citationItems":[{"id":3119,"uris":["http://zotero.org/users/5692498/items/ZQVAB6LJ"],"itemData":{"id":3119,"type":"article-journal","abstract":"The water content of a ligament can be altered by injury and surgical intervention in vivo, and inadvertently or purposely during in vitro tests. We investigated how altering the water content of the rabbit medial collateral ligament (MCL) affected its resulting creep behaviour (defined as an increase in strain from sequential cyclic and static creep tests). The water content of normal MCLs (n=4) was compared to that of MCLs soaked for 1 h in a sucrose solution (n=4) or phosphate buffered saline (PBS; n=8). Sucrose exposure decreased hydration and PBS exposure increased hydration. In addition, soaking in PBS caused a shift in “ligament zero” (the position where there was 0.1 N of tension on the ligament). Following the same single solution treatment, additional MCLs were creep tested at 4.1 MPa using a load based on the ligament cross-sectional area measured before solution treatment: sucrose (n=4), PBS new “ligament zero” (n=5), and PBS old “ligament zero” (n=6). Normal MCLs were also tested at 4.1 MPa (n=7) in a humidity chamber that maintained normal ligament water content. Additional MCLs were treated with both solutions in series (n=12) to examine the reversibility of the mechanical changes caused by single solution treatment. This was the first investigation to show that ligament creep behaviour was clearly affected by the initial state of hydration: creep decreased with decreased hydration and creep increased with increased hydration. Another unique finding was that ligaments with increased hydration had decreased ligament functional length and increased ligament pre-stress. The creep behaviour of these ligaments was decreased if they were loaded from the pre-stressed state compared to the unloaded state. These results suggest that maintenance of physiological water content is important for in vitro mechanical testing of ligaments and controlling the low-load stress state of ligaments in situ.","container-title":"Journal of Orthopaedic Research","DOI":"10.1016/S0736-0266(01)00005-5","ISSN":"0736-0266","issue":"5","journalAbbreviation":"Journal of Orthopaedic Research","language":"en","page":"845-851","source":"ScienceDirect","title":"Altering ligament water content affects ligament pre-stress and creep behaviour","volume":"19","author":[{"family":"Thornton","given":"G. M"},{"family":"Shrive","given":"N. G"},{"family":"Frank","given":"C. B"}],"issued":{"date-parts":[["2001",9,1]]}}}],"schema":"https://github.com/citation-style-language/schema/raw/master/csl-citation.json"} </w:instrText>
      </w:r>
      <w:r w:rsidRPr="00C375E3">
        <w:rPr>
          <w:szCs w:val="24"/>
        </w:rPr>
        <w:fldChar w:fldCharType="separate"/>
      </w:r>
      <w:r w:rsidR="0097525F" w:rsidRPr="0097525F">
        <w:rPr>
          <w:rFonts w:cs="Times New Roman"/>
        </w:rPr>
        <w:t>(Thornton et al., 2001)</w:t>
      </w:r>
      <w:r w:rsidRPr="00C375E3">
        <w:rPr>
          <w:szCs w:val="24"/>
        </w:rPr>
        <w:fldChar w:fldCharType="end"/>
      </w:r>
      <w:r w:rsidRPr="00C375E3">
        <w:rPr>
          <w:szCs w:val="24"/>
        </w:rPr>
        <w:t xml:space="preserve">. Similarly, Murienne et al. associated the slower creep rate with increased interfibrillar friction with sGAG removal </w:t>
      </w:r>
      <w:r w:rsidRPr="00C375E3">
        <w:rPr>
          <w:szCs w:val="24"/>
        </w:rPr>
        <w:fldChar w:fldCharType="begin"/>
      </w:r>
      <w:r w:rsidR="0097525F">
        <w:rPr>
          <w:szCs w:val="24"/>
        </w:rPr>
        <w:instrText xml:space="preserve"> ADDIN ZOTERO_ITEM CSL_CITATION {"citationID":"6VxnmUDv","properties":{"formattedCitation":"(Murienne et al., 2015)","plainCitation":"(Murienne et al., 2015)","noteIndex":0},"citationItems":[{"id":194,"uris":["http://zotero.org/users/5692498/items/B53XXHHT"],"itemData":{"id":194,"type":"article-journal","container-title":"Acta Biomaterialia","DOI":"10.1016/j.actbio.2014.10.033","ISSN":"1878-7568 (Electronic) 1742-7061 (Linking)","note":"type: Journal Article\nCitation Key: RN1279","page":"195-206","title":"The effects of glycosaminoglycan degradation on the mechanical behavior of the posterior porcine sclera","volume":"12","author":[{"family":"Murienne","given":"B J"},{"family":"Jefferys","given":"J L"},{"family":"Quigley","given":"H A"},{"family":"Nguyen","given":"T D"}],"issued":{"date-parts":[["2015"]]}}}],"schema":"https://github.com/citation-style-language/schema/raw/master/csl-citation.json"} </w:instrText>
      </w:r>
      <w:r w:rsidRPr="00C375E3">
        <w:rPr>
          <w:szCs w:val="24"/>
        </w:rPr>
        <w:fldChar w:fldCharType="separate"/>
      </w:r>
      <w:r w:rsidR="0097525F" w:rsidRPr="0097525F">
        <w:rPr>
          <w:rFonts w:cs="Times New Roman"/>
        </w:rPr>
        <w:t>(Murienne et al., 2015)</w:t>
      </w:r>
      <w:r w:rsidRPr="00C375E3">
        <w:rPr>
          <w:szCs w:val="24"/>
        </w:rPr>
        <w:fldChar w:fldCharType="end"/>
      </w:r>
      <w:r w:rsidRPr="00C375E3">
        <w:rPr>
          <w:szCs w:val="24"/>
        </w:rPr>
        <w:t>.</w:t>
      </w:r>
    </w:p>
    <w:p w14:paraId="5BB2DD3C" w14:textId="67E8BA85" w:rsidR="00C375E3" w:rsidRDefault="00C375E3" w:rsidP="00C375E3">
      <w:pPr>
        <w:rPr>
          <w:szCs w:val="24"/>
        </w:rPr>
      </w:pPr>
      <w:r w:rsidRPr="00C375E3">
        <w:rPr>
          <w:szCs w:val="24"/>
        </w:rPr>
        <w:t xml:space="preserve">Reducing sGAG chains </w:t>
      </w:r>
      <w:r w:rsidR="00907B8D">
        <w:rPr>
          <w:szCs w:val="24"/>
        </w:rPr>
        <w:t>reduced</w:t>
      </w:r>
      <w:r w:rsidRPr="00C375E3">
        <w:rPr>
          <w:szCs w:val="24"/>
        </w:rPr>
        <w:t xml:space="preserve"> </w:t>
      </w:r>
      <w:r w:rsidR="00907B8D">
        <w:rPr>
          <w:szCs w:val="24"/>
        </w:rPr>
        <w:t xml:space="preserve">normalised </w:t>
      </w:r>
      <w:r w:rsidRPr="00C375E3">
        <w:rPr>
          <w:szCs w:val="24"/>
        </w:rPr>
        <w:t>stress</w:t>
      </w:r>
      <w:r w:rsidR="00515404">
        <w:rPr>
          <w:szCs w:val="24"/>
        </w:rPr>
        <w:t xml:space="preserve"> </w:t>
      </w:r>
      <w:r w:rsidRPr="00C375E3">
        <w:rPr>
          <w:szCs w:val="24"/>
        </w:rPr>
        <w:t>relaxation (</w:t>
      </w:r>
      <w:r w:rsidR="00907B8D">
        <w:rPr>
          <w:szCs w:val="24"/>
        </w:rPr>
        <w:t>Figure 6a</w:t>
      </w:r>
      <w:r w:rsidRPr="00C375E3">
        <w:rPr>
          <w:szCs w:val="24"/>
        </w:rPr>
        <w:t>)</w:t>
      </w:r>
      <w:r w:rsidR="000D2DE1">
        <w:rPr>
          <w:szCs w:val="24"/>
        </w:rPr>
        <w:t>,</w:t>
      </w:r>
      <w:r w:rsidRPr="00C375E3">
        <w:rPr>
          <w:szCs w:val="24"/>
        </w:rPr>
        <w:t xml:space="preserve"> and at the low strain level, stress</w:t>
      </w:r>
      <w:r w:rsidR="00515404">
        <w:rPr>
          <w:szCs w:val="24"/>
        </w:rPr>
        <w:t xml:space="preserve"> </w:t>
      </w:r>
      <w:r w:rsidRPr="00C375E3">
        <w:rPr>
          <w:szCs w:val="24"/>
        </w:rPr>
        <w:t xml:space="preserve">relaxation likely occurred through sliding between collagen fibres </w:t>
      </w:r>
      <w:r w:rsidRPr="00C375E3">
        <w:rPr>
          <w:szCs w:val="24"/>
        </w:rPr>
        <w:fldChar w:fldCharType="begin"/>
      </w:r>
      <w:r w:rsidR="0097525F">
        <w:rPr>
          <w:szCs w:val="24"/>
        </w:rPr>
        <w:instrText xml:space="preserve"> ADDIN ZOTERO_ITEM CSL_CITATION {"citationID":"cuIB7TTs","properties":{"formattedCitation":"(Screen et al., 2013)","plainCitation":"(Screen et al., 2013)","noteIndex":0},"citationItems":[{"id":3180,"uris":["http://zotero.org/users/5692498/items/B95NV3BF"],"itemData":{"id":3180,"type":"article-journal","abstract":"Tendons experience widely varying loading conditions in vivo. They may be categorised by their function as either positional tendons, which are used for intricate movements and experience lower stress, or as energy storage tendons which act as highly stressed springs during locomotion. Structural and compositional differences between tendons are thought to enable an optimisation of their properties to suit their functional environment. However, little is known about structure-function relationships in tendon. This study adopts porcine flexor and extensor tendon fascicles as examples of high stress and low stress tendons, comparing their mechanical behaviour at the micro-level in order to understand their stress relaxation response. Stress-relaxation was shown to occur predominantly through sliding between collagen fibres. However, in the more highly stressed flexor tendon fascicles, more fibre reorganisation was evident when the tissue was exposed to low strains. By contrast, the low load extensor tendon fascicles appears to have less capacity for fibre reorganisation or shearing than the energy storage tendon, relying more heavily on fibril level relaxation. The extensor fascicles were also unable to sustain loads without rapid and complete stress relaxation. These findings highlight the need to optimise tendon repair solutions for specific tendons, and match tendon properties when using grafts in tendon repairs.","container-title":"Medical Engineering &amp; Physics","DOI":"10.1016/j.medengphy.2012.04.004","ISSN":"1873-4030","issue":"1","journalAbbreviation":"Med Eng Phys","language":"eng","note":"PMID: 22652381","page":"96-102","source":"PubMed","title":"Microstructural stress relaxation mechanics in functionally different tendons","volume":"35","author":[{"family":"Screen","given":"H. R. C."},{"family":"Toorani","given":"S."},{"family":"Shelton","given":"J. C."}],"issued":{"date-parts":[["2013",1]]}}}],"schema":"https://github.com/citation-style-language/schema/raw/master/csl-citation.json"} </w:instrText>
      </w:r>
      <w:r w:rsidRPr="00C375E3">
        <w:rPr>
          <w:szCs w:val="24"/>
        </w:rPr>
        <w:fldChar w:fldCharType="separate"/>
      </w:r>
      <w:r w:rsidR="0097525F" w:rsidRPr="0097525F">
        <w:rPr>
          <w:rFonts w:cs="Times New Roman"/>
        </w:rPr>
        <w:t>(Screen et al., 2013)</w:t>
      </w:r>
      <w:r w:rsidRPr="00C375E3">
        <w:rPr>
          <w:szCs w:val="24"/>
        </w:rPr>
        <w:fldChar w:fldCharType="end"/>
      </w:r>
      <w:r w:rsidRPr="00C375E3">
        <w:rPr>
          <w:szCs w:val="24"/>
        </w:rPr>
        <w:t>.</w:t>
      </w:r>
      <w:r w:rsidR="00907B8D">
        <w:rPr>
          <w:szCs w:val="24"/>
        </w:rPr>
        <w:t xml:space="preserve"> The results </w:t>
      </w:r>
      <w:r w:rsidR="001938FC">
        <w:rPr>
          <w:szCs w:val="24"/>
        </w:rPr>
        <w:t xml:space="preserve">in this study </w:t>
      </w:r>
      <w:r w:rsidR="00907B8D">
        <w:rPr>
          <w:szCs w:val="24"/>
        </w:rPr>
        <w:t xml:space="preserve">support the notion that the higher water content in the control group </w:t>
      </w:r>
      <w:r w:rsidR="001938FC">
        <w:rPr>
          <w:szCs w:val="24"/>
        </w:rPr>
        <w:t xml:space="preserve">permits greater relative movement and, hence, greater relaxation of </w:t>
      </w:r>
      <w:r w:rsidR="00FE5D23">
        <w:rPr>
          <w:szCs w:val="24"/>
        </w:rPr>
        <w:t xml:space="preserve">the </w:t>
      </w:r>
      <w:r w:rsidR="001938FC">
        <w:rPr>
          <w:szCs w:val="24"/>
        </w:rPr>
        <w:t xml:space="preserve">microstructural component in the </w:t>
      </w:r>
      <w:r w:rsidR="00C62E5F">
        <w:rPr>
          <w:szCs w:val="24"/>
        </w:rPr>
        <w:t xml:space="preserve">ligaments </w:t>
      </w:r>
      <w:r w:rsidR="001938FC">
        <w:rPr>
          <w:szCs w:val="24"/>
        </w:rPr>
        <w:fldChar w:fldCharType="begin"/>
      </w:r>
      <w:r w:rsidR="001938FC">
        <w:rPr>
          <w:szCs w:val="24"/>
        </w:rPr>
        <w:instrText xml:space="preserve"> ADDIN ZOTERO_ITEM CSL_CITATION {"citationID":"uxjfht7D","properties":{"formattedCitation":"(Chimich et al., 1992)","plainCitation":"(Chimich et al., 1992)","noteIndex":0},"citationItems":[{"id":3117,"uris":["http://zotero.org/users/5692498/items/HC92LVXZ"],"itemData":{"id":3117,"type":"article-journal","abstract":"Testing environment is an important factor in the outcome of mechanical tests on connective tissue. The purpose of this investigation was to determine the effect of ligament water content on ligament mechanical behaviour by altering the test environment. Water content of medial collateral ligament (MCLs) from 19 three-month-old New Zealand White rabbits was varied in subsets of ligaments pairs by means of immersion in 2, 10 or 25% sucrose or 0.9% phosphate-buffered saline (PBS) solutions for 1 h. One knee joint was cycled 50 times in the designated solution (experimental), while the contralateral knee (uncycled control) was simultaneously soaked in the same tank. Following cycling, the water contents of both test and control ligaments were determined. Water contents of 22 normal MCLs were determined immediately post-sacrifice and served as 'normal water content' controls. Normalized peak cyclic load changes were used as a measure of the viscoelastic behaviour of each MCL. Results demonstrated that only ligaments soaked (but not cycled) in a 10% sucrose solution had water contents (60.5 +/- 2.5%) which were statistically similar to the 22 fresh normal MCLs (63.9 +/- 6.0%). Ligaments soaked in PBS (74.0 +/- 1.3%) or 2% sucrose (69.2 +/- 2.3%) had significantly higher water contents compared to fresh normal MCLs. Ligaments with higher water contents (e.g. soaked in PBS or 2% sucrose) demonstrated greater cyclic load relaxation compared to ligaments with lower contents (e.g. soaked in 25 or 10% sucrose). Different fluid test environments can significantly alter ligament water content and, in turn, significantly affect ligament viscoelastic behaviour.","container-title":"Journal of Biomechanics","DOI":"10.1016/0021-9290(92)90223-n","ISSN":"0021-9290","issue":"8","journalAbbreviation":"J Biomech","language":"eng","note":"PMID: 1639827","page":"831-837","source":"PubMed","title":"Water content alters viscoelastic behaviour of the normal adolescent rabbit medial collateral ligament","volume":"25","author":[{"family":"Chimich","given":"D."},{"family":"Shrive","given":"N."},{"family":"Frank","given":"C."},{"family":"Marchuk","given":"L."},{"family":"Bray","given":"R."}],"issued":{"date-parts":[["1992",8]]}}}],"schema":"https://github.com/citation-style-language/schema/raw/master/csl-citation.json"} </w:instrText>
      </w:r>
      <w:r w:rsidR="001938FC">
        <w:rPr>
          <w:szCs w:val="24"/>
        </w:rPr>
        <w:fldChar w:fldCharType="separate"/>
      </w:r>
      <w:r w:rsidR="001938FC" w:rsidRPr="001938FC">
        <w:rPr>
          <w:rFonts w:cs="Times New Roman"/>
        </w:rPr>
        <w:t>(Chimich et al., 1992)</w:t>
      </w:r>
      <w:r w:rsidR="001938FC">
        <w:rPr>
          <w:szCs w:val="24"/>
        </w:rPr>
        <w:fldChar w:fldCharType="end"/>
      </w:r>
      <w:r w:rsidR="001938FC">
        <w:rPr>
          <w:szCs w:val="24"/>
        </w:rPr>
        <w:t xml:space="preserve">. </w:t>
      </w:r>
      <w:r w:rsidR="006E6513">
        <w:rPr>
          <w:szCs w:val="24"/>
        </w:rPr>
        <w:t>Larger</w:t>
      </w:r>
      <w:r w:rsidRPr="00C375E3">
        <w:rPr>
          <w:szCs w:val="24"/>
        </w:rPr>
        <w:t xml:space="preserve"> and faster stress</w:t>
      </w:r>
      <w:r w:rsidR="00515404">
        <w:rPr>
          <w:szCs w:val="24"/>
        </w:rPr>
        <w:t xml:space="preserve"> </w:t>
      </w:r>
      <w:r w:rsidRPr="00C375E3">
        <w:rPr>
          <w:szCs w:val="24"/>
        </w:rPr>
        <w:t>relaxation</w:t>
      </w:r>
      <w:r w:rsidR="006E6513">
        <w:rPr>
          <w:szCs w:val="24"/>
        </w:rPr>
        <w:t xml:space="preserve"> w</w:t>
      </w:r>
      <w:r w:rsidR="00184F32">
        <w:rPr>
          <w:szCs w:val="24"/>
        </w:rPr>
        <w:t>as</w:t>
      </w:r>
      <w:r w:rsidR="006E6513">
        <w:rPr>
          <w:szCs w:val="24"/>
        </w:rPr>
        <w:t xml:space="preserve"> observed</w:t>
      </w:r>
      <w:r w:rsidRPr="00C375E3">
        <w:rPr>
          <w:szCs w:val="24"/>
        </w:rPr>
        <w:t xml:space="preserve"> in mouse tail tendon decorin knockout </w:t>
      </w:r>
      <w:r w:rsidRPr="00C375E3">
        <w:rPr>
          <w:szCs w:val="24"/>
        </w:rPr>
        <w:fldChar w:fldCharType="begin"/>
      </w:r>
      <w:r w:rsidR="0097525F">
        <w:rPr>
          <w:szCs w:val="24"/>
        </w:rPr>
        <w:instrText xml:space="preserve"> ADDIN ZOTERO_ITEM CSL_CITATION {"citationID":"APMSGHuq","properties":{"formattedCitation":"(Elliott et al., 2003)","plainCitation":"(Elliott et al., 2003)","noteIndex":0},"citationItems":[{"id":3073,"uris":["http://zotero.org/users/5692498/items/D755XEAI"],"itemData":{"id":3073,"type":"article-journal","abstract":"Tendons have complex mechanical behaviors that are viscoelastic, nonlinear, and anisotropic. It is widely held that these behaviors are provided for by the tissue's composition and structure. However, little data are available to quantify such structure-function relationships. This study quantified tendon mechanical behaviors, including viscoelasticity and nonlinearity, for groups of mice that were genetically engineered for altered extracellular matrix proteins. Uniaxial tensile stress-relaxation experiments were performed on tail tendon fascicles from the following groups: eight week old decorin knockout, eight week old reduced type I collagen, three week old control, and eight week old control. Data were fit using Fung's quasilinear viscoelastic model, where the model parameters represent the linear viscoelastic and nonlinear elastic response. The viscoelastic properties demonstrated a larger and faster stress relaxation for the decorin knockout and a smaller and slower stress relaxation for the three week control. The elastic parameter, A, in the eight week control group was significantly greater than in the collagen reduction and three week control groups. This study provides quantitative evidence for structure-function relationships in tendon, including the role of proteoglycan in viscoelasticity. Future studies should directly correlate composition and structure with tendon mechanics for the design and evaluation of tissue-engineered constructs or tendon repairs.","container-title":"Annals of Biomedical Engineering","DOI":"10.1114/1.1567282","ISSN":"0090-6964","issue":"5","journalAbbreviation":"Ann Biomed Eng","language":"eng","note":"PMID: 12757203","page":"599-605","source":"PubMed","title":"Effect of altered matrix proteins on quasilinear viscoelastic properties in transgenic mouse tail tendons","volume":"31","author":[{"family":"Elliott","given":"Dawn M."},{"family":"Robinson","given":"Paul S."},{"family":"Gimbel","given":"Jonathan A."},{"family":"Sarver","given":"Joseph J."},{"family":"Abboud","given":"Joseph A."},{"family":"Iozzo","given":"Renato V."},{"family":"Soslowsky","given":"Louis J."}],"issued":{"date-parts":[["2003",5]]}}}],"schema":"https://github.com/citation-style-language/schema/raw/master/csl-citation.json"} </w:instrText>
      </w:r>
      <w:r w:rsidRPr="00C375E3">
        <w:rPr>
          <w:szCs w:val="24"/>
        </w:rPr>
        <w:fldChar w:fldCharType="separate"/>
      </w:r>
      <w:r w:rsidR="0097525F" w:rsidRPr="0097525F">
        <w:rPr>
          <w:rFonts w:cs="Times New Roman"/>
        </w:rPr>
        <w:t>(Elliott et al., 2003)</w:t>
      </w:r>
      <w:r w:rsidRPr="00C375E3">
        <w:rPr>
          <w:szCs w:val="24"/>
        </w:rPr>
        <w:fldChar w:fldCharType="end"/>
      </w:r>
      <w:r w:rsidR="000D2DE1">
        <w:rPr>
          <w:szCs w:val="24"/>
        </w:rPr>
        <w:t xml:space="preserve"> and</w:t>
      </w:r>
      <w:r w:rsidRPr="00C375E3">
        <w:rPr>
          <w:szCs w:val="24"/>
        </w:rPr>
        <w:t xml:space="preserve"> mice tendon fascicles </w:t>
      </w:r>
      <w:r w:rsidRPr="00C375E3">
        <w:rPr>
          <w:szCs w:val="24"/>
        </w:rPr>
        <w:fldChar w:fldCharType="begin"/>
      </w:r>
      <w:r w:rsidR="0097525F">
        <w:rPr>
          <w:szCs w:val="24"/>
        </w:rPr>
        <w:instrText xml:space="preserve"> ADDIN ZOTERO_ITEM CSL_CITATION {"citationID":"RX7YxmBJ","properties":{"formattedCitation":"(Legerlotz et al., 2013)","plainCitation":"(Legerlotz et al., 2013)","noteIndex":0},"citationItems":[{"id":3079,"uris":["http://zotero.org/users/5692498/items/3XLERJKD"],"itemData":{"id":3079,"type":"article-journal","abstract":"Cyclic and static loading regimes are commonly used to study tenocyte metabolism in vitro and to improve our understanding of exercise-associated tendon pathologies. The aims of our study were to investigate if cyclic and static stress relaxation affected the mechanical properties of tendon fascicles differently, if this effect was reversible after a recovery period, and if the removal of glycosaminoglycans (GAGs) affected sample recovery. Tendon fascicles were dissected frombovine-foot extensors and subjected to 14% cyclic (1Hz) or static tensile strain for 30min. Additional fascicles were incubated overnight in buffer with 0.5U chondroitinase ABC or in buffer alone prior to the static stress-relaxation regime. To assess the effect of different stress-relaxation regimes, a quasi-static test to failure was carried out, either directly post loading or after a 2h recovery period, and compared with unloaded control fascicles. Both stress-relaxation regimes led to a significant reduction in fascicle failure stress and strain, but this was more pronounced in the cyclically loaded specimens. Removal of GAGs led to more stress relaxation and greater reductions in failure stress after static loading compared to controls. The reduction in mechanical properties was partially reversible in all samples, given a recovery period of 2h. This has implications for mechanical testing protocols, as a time delay between fatiguing specimens and characterization of mechanical properties will affect the results. GAGs appear to protect tendon fascicles from fatigue effects, possibly by enabling sample hydration.","container-title":"Acta Biomaterialia","DOI":"10.1016/j.actbio.2013.02.028","ISSN":"1742-7061","issue":"6","journalAbbreviation":"Acta Biomaterialia","language":"en","page":"6860-6866","source":"ScienceDirect","title":"GAG depletion increases the stress-relaxation response of tendon fascicles, but does not influence recovery","volume":"9","author":[{"family":"Legerlotz","given":"Kirsten"},{"family":"Riley","given":"Graham P."},{"family":"Screen","given":"Hazel R. C."}],"issued":{"date-parts":[["2013",6,1]]}}}],"schema":"https://github.com/citation-style-language/schema/raw/master/csl-citation.json"} </w:instrText>
      </w:r>
      <w:r w:rsidRPr="00C375E3">
        <w:rPr>
          <w:szCs w:val="24"/>
        </w:rPr>
        <w:fldChar w:fldCharType="separate"/>
      </w:r>
      <w:r w:rsidR="0097525F" w:rsidRPr="0097525F">
        <w:rPr>
          <w:rFonts w:cs="Times New Roman"/>
        </w:rPr>
        <w:t>(Legerlotz et al., 2013)</w:t>
      </w:r>
      <w:r w:rsidRPr="00C375E3">
        <w:rPr>
          <w:szCs w:val="24"/>
        </w:rPr>
        <w:fldChar w:fldCharType="end"/>
      </w:r>
      <w:r w:rsidRPr="00C375E3">
        <w:rPr>
          <w:szCs w:val="24"/>
        </w:rPr>
        <w:t>. However, Lujan et al. showed a small and negligible increase in stress</w:t>
      </w:r>
      <w:r w:rsidR="00515404">
        <w:rPr>
          <w:szCs w:val="24"/>
        </w:rPr>
        <w:t xml:space="preserve"> </w:t>
      </w:r>
      <w:r w:rsidRPr="00C375E3">
        <w:rPr>
          <w:szCs w:val="24"/>
        </w:rPr>
        <w:t xml:space="preserve">relaxation after reducing sGAG in </w:t>
      </w:r>
      <w:r w:rsidR="000D2DE1">
        <w:rPr>
          <w:szCs w:val="24"/>
        </w:rPr>
        <w:t xml:space="preserve">the </w:t>
      </w:r>
      <w:r w:rsidRPr="00C375E3">
        <w:rPr>
          <w:szCs w:val="24"/>
        </w:rPr>
        <w:t xml:space="preserve">human medial collateral ligament </w:t>
      </w:r>
      <w:r w:rsidRPr="00C375E3">
        <w:rPr>
          <w:szCs w:val="24"/>
        </w:rPr>
        <w:fldChar w:fldCharType="begin"/>
      </w:r>
      <w:r w:rsidR="00D822B6">
        <w:rPr>
          <w:szCs w:val="24"/>
        </w:rPr>
        <w:instrText xml:space="preserve"> ADDIN ZOTERO_ITEM CSL_CITATION {"citationID":"5khZJxIY","properties":{"formattedCitation":"(Lujan et al., 2009)","plainCitation":"(Lujan et al., 2009)","noteIndex":0},"citationItems":[{"id":2963,"uris":["http://zotero.org/users/5692498/items/C59ACT4I"],"itemData":{"id":2963,"type":"article-journal","abstract":"The viscoelastic properties of human ligament potentially guard against structural failure, yet the microstructural origins of these transient behaviors are unknown. Glycosaminoglycans (GAGs) are widely suspected to affect ligament viscoelasticity by forming molecular bridges between neighboring collagen fibrils. This study investigated whether GAGs directly affect viscoelastic material behavior in human medial collateral ligament (MCL) by using nondestructive tensile tests before and after degradation of GAGs with chondroitinase ABC (ChABC). Control and ChABC treatment (83% GAG removal) produced similar alterations to ligament viscoelasticity. This finding was consistent at different levels of collagen fiber stretch and tissue hydration. On average, stress relaxation increased after incubation by 2.2% (control) and 2.1% (ChABC), dynamic modulus increased after incubation by 3.6% (control) and 3.8% (ChABC), and phase shift increased after incubation by 8.5% (control) and 8.4% (ChABC). The changes in viscoelastic behavior after treatment were significantly more pronounced at lower clamp-to-clamp strain levels. A 10% difference in the water content of tested specimens had minor influence on ligament viscoelastic properties. The major finding of this study is that mechanical interactions between collagen fibrils and GAGs are unrelated to tissue-level viscoelastic mechanics in mature human MCL. These findings narrow the possible number of extracellular matrix molecules that have a direct contribution to ligament viscoelasticity.","container-title":"Journal of Applied Physiology","DOI":"10.1152/japplphysiol.90748.2008","ISSN":"8750-7587","issue":"2","note":"publisher: American Physiological Society","page":"423-431","source":"journals.physiology.org (Atypon)","title":"Contribution of glycosaminoglycans to viscoelastic tensile behavior of human ligament","volume":"106","author":[{"family":"Lujan","given":"Trevor J."},{"family":"Underwood","given":"Clayton J."},{"family":"Jacobs","given":"Nathan T."},{"family":"Weiss","given":"Jeffrey A."}],"issued":{"date-parts":[["2009",2,1]]}}}],"schema":"https://github.com/citation-style-language/schema/raw/master/csl-citation.json"} </w:instrText>
      </w:r>
      <w:r w:rsidRPr="00C375E3">
        <w:rPr>
          <w:szCs w:val="24"/>
        </w:rPr>
        <w:fldChar w:fldCharType="separate"/>
      </w:r>
      <w:r w:rsidR="0097525F" w:rsidRPr="0097525F">
        <w:rPr>
          <w:rFonts w:cs="Times New Roman"/>
        </w:rPr>
        <w:t>(Lujan et al., 2009)</w:t>
      </w:r>
      <w:r w:rsidRPr="00C375E3">
        <w:rPr>
          <w:szCs w:val="24"/>
        </w:rPr>
        <w:fldChar w:fldCharType="end"/>
      </w:r>
      <w:r w:rsidRPr="00C375E3">
        <w:rPr>
          <w:szCs w:val="24"/>
        </w:rPr>
        <w:t xml:space="preserve">. </w:t>
      </w:r>
      <w:r w:rsidR="001067D1">
        <w:rPr>
          <w:szCs w:val="24"/>
        </w:rPr>
        <w:t>In this study, the</w:t>
      </w:r>
      <w:r w:rsidR="00021A2C">
        <w:rPr>
          <w:szCs w:val="24"/>
        </w:rPr>
        <w:t xml:space="preserve"> </w:t>
      </w:r>
      <w:r w:rsidR="00E56BE5">
        <w:rPr>
          <w:szCs w:val="24"/>
        </w:rPr>
        <w:t xml:space="preserve">change in the relaxation behaviour </w:t>
      </w:r>
      <w:r w:rsidR="00021A2C">
        <w:rPr>
          <w:szCs w:val="24"/>
        </w:rPr>
        <w:t xml:space="preserve">after treatment </w:t>
      </w:r>
      <w:r w:rsidRPr="00C375E3">
        <w:rPr>
          <w:szCs w:val="24"/>
        </w:rPr>
        <w:t xml:space="preserve">can cause fatigue damage in the </w:t>
      </w:r>
      <w:r w:rsidR="005C411A">
        <w:rPr>
          <w:szCs w:val="24"/>
        </w:rPr>
        <w:t>CCL</w:t>
      </w:r>
      <w:r w:rsidRPr="00C375E3">
        <w:rPr>
          <w:szCs w:val="24"/>
        </w:rPr>
        <w:t>s</w:t>
      </w:r>
      <w:r w:rsidR="000D2DE1">
        <w:rPr>
          <w:szCs w:val="24"/>
        </w:rPr>
        <w:t>,</w:t>
      </w:r>
      <w:r w:rsidRPr="00C375E3">
        <w:rPr>
          <w:szCs w:val="24"/>
        </w:rPr>
        <w:t xml:space="preserve"> </w:t>
      </w:r>
      <w:r w:rsidR="000D2DE1">
        <w:rPr>
          <w:szCs w:val="24"/>
        </w:rPr>
        <w:t>highlighting</w:t>
      </w:r>
      <w:r w:rsidRPr="00C375E3">
        <w:rPr>
          <w:szCs w:val="24"/>
        </w:rPr>
        <w:t xml:space="preserve"> the </w:t>
      </w:r>
      <w:r w:rsidR="00FE5D23">
        <w:rPr>
          <w:szCs w:val="24"/>
        </w:rPr>
        <w:t>critical</w:t>
      </w:r>
      <w:r w:rsidRPr="00C375E3">
        <w:rPr>
          <w:szCs w:val="24"/>
        </w:rPr>
        <w:t xml:space="preserve"> role of sGAG in tissue mechanics</w:t>
      </w:r>
      <w:r w:rsidR="000D2DE1">
        <w:rPr>
          <w:szCs w:val="24"/>
        </w:rPr>
        <w:t>,</w:t>
      </w:r>
      <w:r w:rsidRPr="00C375E3">
        <w:rPr>
          <w:szCs w:val="24"/>
        </w:rPr>
        <w:t xml:space="preserve"> possibly by maintaining ligament hydration. </w:t>
      </w:r>
    </w:p>
    <w:p w14:paraId="1955A495" w14:textId="619D4752" w:rsidR="00300A8E" w:rsidRDefault="00184F32" w:rsidP="00C375E3">
      <w:pPr>
        <w:rPr>
          <w:szCs w:val="24"/>
        </w:rPr>
      </w:pPr>
      <w:r>
        <w:rPr>
          <w:szCs w:val="24"/>
        </w:rPr>
        <w:t>Our study had several limitations</w:t>
      </w:r>
      <w:r w:rsidR="000D2DE1">
        <w:rPr>
          <w:szCs w:val="24"/>
        </w:rPr>
        <w:t>,</w:t>
      </w:r>
      <w:r w:rsidR="00C375E3" w:rsidRPr="00C375E3">
        <w:rPr>
          <w:szCs w:val="24"/>
        </w:rPr>
        <w:t xml:space="preserve"> one of which was the small reduction in </w:t>
      </w:r>
      <w:r w:rsidR="00317C3C">
        <w:rPr>
          <w:szCs w:val="24"/>
        </w:rPr>
        <w:t>PGs</w:t>
      </w:r>
      <w:r w:rsidR="00C375E3" w:rsidRPr="00C375E3">
        <w:rPr>
          <w:szCs w:val="24"/>
        </w:rPr>
        <w:t xml:space="preserve"> </w:t>
      </w:r>
      <w:r w:rsidR="00317C3C">
        <w:rPr>
          <w:szCs w:val="24"/>
        </w:rPr>
        <w:t xml:space="preserve">in the intact </w:t>
      </w:r>
      <w:r w:rsidR="00C375E3" w:rsidRPr="00C375E3">
        <w:rPr>
          <w:szCs w:val="24"/>
        </w:rPr>
        <w:t>femur-</w:t>
      </w:r>
      <w:r w:rsidR="005C411A">
        <w:rPr>
          <w:szCs w:val="24"/>
        </w:rPr>
        <w:t>CCL</w:t>
      </w:r>
      <w:r w:rsidR="00C375E3" w:rsidRPr="00C375E3">
        <w:rPr>
          <w:szCs w:val="24"/>
        </w:rPr>
        <w:t>-tibia complexes</w:t>
      </w:r>
      <w:r w:rsidR="00206BF9">
        <w:rPr>
          <w:szCs w:val="24"/>
        </w:rPr>
        <w:t xml:space="preserve">. Future studies could </w:t>
      </w:r>
      <w:r>
        <w:rPr>
          <w:szCs w:val="24"/>
        </w:rPr>
        <w:t>overcome</w:t>
      </w:r>
      <w:r w:rsidR="00300A8E">
        <w:rPr>
          <w:szCs w:val="24"/>
        </w:rPr>
        <w:t xml:space="preserve"> this limitation by </w:t>
      </w:r>
      <w:r w:rsidR="00206BF9">
        <w:rPr>
          <w:szCs w:val="24"/>
        </w:rPr>
        <w:t xml:space="preserve">injecting the enzyme into </w:t>
      </w:r>
      <w:r w:rsidR="00300A8E">
        <w:rPr>
          <w:szCs w:val="24"/>
        </w:rPr>
        <w:t xml:space="preserve">the intact femur-CCL-tibia complexes to </w:t>
      </w:r>
      <w:r>
        <w:rPr>
          <w:szCs w:val="24"/>
        </w:rPr>
        <w:t>reduce PGs content further</w:t>
      </w:r>
      <w:r w:rsidR="00300A8E">
        <w:rPr>
          <w:szCs w:val="24"/>
        </w:rPr>
        <w:t>. This</w:t>
      </w:r>
      <w:r>
        <w:rPr>
          <w:szCs w:val="24"/>
        </w:rPr>
        <w:t xml:space="preserve"> process</w:t>
      </w:r>
      <w:r w:rsidR="00300A8E">
        <w:rPr>
          <w:szCs w:val="24"/>
        </w:rPr>
        <w:t xml:space="preserve"> </w:t>
      </w:r>
      <w:r>
        <w:rPr>
          <w:szCs w:val="24"/>
        </w:rPr>
        <w:t xml:space="preserve">could be adapted from </w:t>
      </w:r>
      <w:r w:rsidR="00300A8E">
        <w:rPr>
          <w:szCs w:val="24"/>
        </w:rPr>
        <w:t xml:space="preserve">the </w:t>
      </w:r>
      <w:r>
        <w:rPr>
          <w:szCs w:val="24"/>
        </w:rPr>
        <w:t>curr</w:t>
      </w:r>
      <w:r w:rsidR="000D04BA">
        <w:rPr>
          <w:szCs w:val="24"/>
        </w:rPr>
        <w:t xml:space="preserve">ent </w:t>
      </w:r>
      <w:r w:rsidR="00300A8E">
        <w:rPr>
          <w:szCs w:val="24"/>
        </w:rPr>
        <w:t>practice for reducing PGs in cadaveric articular cartilage</w:t>
      </w:r>
      <w:r w:rsidR="000D04BA">
        <w:rPr>
          <w:szCs w:val="24"/>
        </w:rPr>
        <w:t xml:space="preserve"> </w:t>
      </w:r>
      <w:r w:rsidR="000D04BA">
        <w:rPr>
          <w:szCs w:val="24"/>
        </w:rPr>
        <w:fldChar w:fldCharType="begin"/>
      </w:r>
      <w:r w:rsidR="007637D9">
        <w:rPr>
          <w:szCs w:val="24"/>
        </w:rPr>
        <w:instrText xml:space="preserve"> ADDIN ZOTERO_ITEM CSL_CITATION {"citationID":"TA9blujY","properties":{"formattedCitation":"(Dixon et al., 2021; Culbert et al., 2022)","plainCitation":"(Dixon et al., 2021; Culbert et al., 2022)","noteIndex":0},"citationItems":[{"id":4264,"uris":["http://zotero.org/users/5692498/items/AARKQR7K"],"itemData":{"id":4264,"type":"article-journal","abstract":"Many early stage interventions for intervertebral disc degeneration are under development involving injection of a biomaterial into the affected tissue. Due to the complex mechanical behaviour of the intervertebral disc, there are challenges in comprehensively evaluating the performance of these injectable biomaterials in vitro. The aim of this review was to examine the different methods that have been developed to mechanically test injectable intervertebral disc biomaterials in an in vitro disc model. Testing methods were examined with emphasis on overall protocol, artificial degeneration method, mechanical testing regimes and injection delivery. Specifically, the effects of these factors on the evaluation of different aspects of device performance was assessed. Broad testing protocols varied between studies and enabled evaluation of different aspects of an injectable treatment. Studies employed artificial degeneration methodologies which were either on a macro scale through mechanical means or on a microscale with biochemical means. Mechanical loading regimes differed greatly across studies, with load being either held constant, ramped to failure, or applied cyclically, with large variability on all loading parameters. Evaluation of the risk of herniation was possible by utilising ramped loading, whereas cyclic loading enabled the examination of the restoration of mechanical behaviour for initial screening of biomaterials and surgical technique optimisation studies. However, there are large variations in the duration or tests, and further work is needed to define an appropriate number of cycles to standardise this type of testing. Biomaterial delivery was controlled by set volume or haptic feedback, and future investigations should generate evidence applying physiological loading during injection and normalisation of injection parameters based on disc size. Based on the reviewed articles and considering clinical risks, a series of recommendations have been made for future intervertebral disc mechanical testing.","container-title":"Journal of the Mechanical Behavior of Biomedical Materials","DOI":"10.1016/j.jmbbm.2021.104703","ISSN":"1751-6161","journalAbbreviation":"Journal of the Mechanical Behavior of Biomedical Materials","language":"en","page":"104703","source":"ScienceDirect","title":"Review of in vitro mechanical testing for intervertebral disc injectable biomaterials","volume":"123","author":[{"family":"Dixon","given":"A. R."},{"family":"Warren","given":"J. P."},{"family":"Culbert","given":"M. P."},{"family":"Mengoni","given":"M."},{"family":"Wilcox","given":"R. K."}],"issued":{"date-parts":[["2021",11,1]]}}},{"id":4261,"uris":["http://zotero.org/users/5692498/items/KBL3TTRY"],"itemData":{"id":4261,"type":"article-journal","abstract":"Back pain affects a person's health and mobility as well as being associated with large health and social costs. Lower back pain is frequently caused by degeneration of the intervertebral disc. Current operative and non-operative treatments are often ineffective and expensive. Nucleus augmentation is designed to be a minimally invasive method of restoring the disc to its native healthy state by restoring the disc height, and mechanical and/or biological properties. The majority of the candidate materials for nucleus augmentation are injectable hydrogels. In this review, we examine the materials that are currently under investigation for nucleus augmentation, and compare their ability to meet the design requirements for this application. Specifically, the delivery of the material into the disc, the mechanical properties of the material and the biological compatibility are examined. Recommendations for future testing are also made.","container-title":"Biomaterials Science","DOI":"10.1039/D1BM01589C","ISSN":"2047-4849","issue":"4","journalAbbreviation":"Biomater. Sci.","language":"en","note":"publisher: The Royal Society of Chemistry","page":"874-891","source":"pubs.rsc.org","title":"Evaluation of injectable nucleus augmentation materials for the treatment of intervertebral disc degeneration","volume":"10","author":[{"family":"Culbert","given":"Matthew P."},{"family":"Warren","given":"James P."},{"family":"Dixon","given":"Andrew R."},{"family":"Fermor","given":"Hazel L."},{"family":"Beales","given":"Paul A."},{"family":"Wilcox","given":"Ruth K."}],"issued":{"date-parts":[["2022",2,15]]}}}],"schema":"https://github.com/citation-style-language/schema/raw/master/csl-citation.json"} </w:instrText>
      </w:r>
      <w:r w:rsidR="000D04BA">
        <w:rPr>
          <w:szCs w:val="24"/>
        </w:rPr>
        <w:fldChar w:fldCharType="separate"/>
      </w:r>
      <w:r w:rsidR="007637D9" w:rsidRPr="007637D9">
        <w:rPr>
          <w:rFonts w:cs="Times New Roman"/>
        </w:rPr>
        <w:t>(Dixon et al., 2021; Culbert et al., 2022)</w:t>
      </w:r>
      <w:r w:rsidR="000D04BA">
        <w:rPr>
          <w:szCs w:val="24"/>
        </w:rPr>
        <w:fldChar w:fldCharType="end"/>
      </w:r>
      <w:r w:rsidR="00300A8E">
        <w:rPr>
          <w:szCs w:val="24"/>
        </w:rPr>
        <w:t xml:space="preserve">. </w:t>
      </w:r>
      <w:bookmarkStart w:id="15" w:name="_Hlk114324446"/>
      <w:r w:rsidR="00587E98">
        <w:rPr>
          <w:szCs w:val="24"/>
        </w:rPr>
        <w:t xml:space="preserve">Future work could also image the pattern of collage-proteoglycan interaction in the ligaments using previously established methods </w:t>
      </w:r>
      <w:r w:rsidR="008D4B27">
        <w:rPr>
          <w:szCs w:val="24"/>
        </w:rPr>
        <w:fldChar w:fldCharType="begin"/>
      </w:r>
      <w:r w:rsidR="008D4B27">
        <w:rPr>
          <w:szCs w:val="24"/>
        </w:rPr>
        <w:instrText xml:space="preserve"> ADDIN ZOTERO_ITEM CSL_CITATION {"citationID":"PQlTNyDg","properties":{"formattedCitation":"(Scott, 1985; Raspanti et al., 2000)","plainCitation":"(Scott, 1985; Raspanti et al., 2000)","noteIndex":0},"citationItems":[{"id":4355,"uris":["http://zotero.org/users/5692498/items/FUMFBM2U"],"itemData":{"id":4355,"type":"article-journal","abstract":"The histochemistry of connective tissue proteoglycans (PGs) poses two major requirements, 1. for the specific demonstration of a given PG and, 2. at the ultrastructural level, for the examination of the shape of the PG, and its interactions with other molecules and tissue elements. Techniques for the localisation and identification of PGs are discussed, according to the principles behind their application. The strengths and weaknesses of antibody stains are compared with those of mini-molecular reagents, based on resolution, sensitivity, stoichiometry and tissue penetration. The concept of specificity is analysed in this context. The polyanionic characteristics of PGs are exploited to allow very sensitive detection and localisation by cationic probes, both macro- and mini-molecular. Complex formation by heavy metal cations, basic dyestuffs and polycations with PGs is a simple ion-exchange process (basophilia), which can be manipulated to give considerable specificity, e.g. using the critical electrolyte concentration (CEC) concept. The fundamental physical chemical unity of the phenomena of basophilia, CEC and biochemical fractionations of tissue polyanions by anion-exchange is discussed. This unity allows direct quantitative and qualitative comparisons to be made between histochemical and biochemical results at all levels from the tissue sample to the single molecule of PG in situ. The great value of the partnership between microscopy and analytical biochemistry is emphasised. The expanded solution domain of PGs collapses during formation and processing of the 'stained' complex, obscuring molecular detail and possibly resulting in translocation of the PG. Approaches aimed at restoring the initial situation, and their application to electron microscopy of PGs in tissues are outlined. Complexes of PG with ambient polycations may form, either as artefacts during processing or as an integral part of in vivo ultrastructure. Uptake of stain may be partly or totally blocked, in consequence. Ways of investigating, avoiding, or making use of this phenomenon are described. Application of integrated approaches to the study of PG--collagen and PG--elastin interactions in tissues are discussed. Specific interactions and stoichiometric relationship, particularly of dermatan sulphate proteoglycans with type I collagen have been observed, in skin, tendon, and other non-calcifying tissue, but not in bone.","container-title":"Collagen and Related Research","DOI":"10.1016/s0174-173x(85)80008-x","ISSN":"0174-173X","issue":"6","journalAbbreviation":"Coll Relat Res","language":"eng","note":"PMID: 2421971","page":"541-575","source":"PubMed","title":"Proteoglycan histochemistry--a valuable tool for connective tissue biochemists","volume":"5","author":[{"family":"Scott","given":"J. E."}],"issued":{"date-parts":[["1985",12]]}}},{"id":4357,"uris":["http://zotero.org/users/5692498/items/VHSMQDMQ"],"itemData":{"id":4357,"type":"article-journal","abstract":"The extracellular matrix of unfixed, unstained rat corneal stroma, visualized with high-resolution scanning electron microscopy and atomic force microscopy after minimal preliminary treatment, appears composed of straight, parallel, uniform collagen fibrils regularly spaced by a three-dimensional, irregular network of thin, delicate proteoglycan filaments. Rat tail tendon, observed under identical conditions, appears instead made of heterogeneous, closely packed fibrils interwoven with orthogonal proteoglycan filaments. Pre-treatment with cupromeronic blue just thickens the filaments without affecting their spatial layout. Digestion with chondroitinase ABC rids the tendon matrix of all its interconnecting filaments while the corneal stroma architecture remains virtually unaffected, its fibrils always being separated by an evident interfibrillar spacing which is never observed in tendon. Our observations indicate that matrix proteoglycans are responsible for both the highly regular interfibrillar spacing which is distinctive of corneal stroma, and the strong interfibrillar binding observed in tendon. These opposite interaction patterns appear to be distinctive of different proteoglycan species. The molecular details of proteoglycan interactions are still incompletely understood and are the subject of ongoing research.","container-title":"European journal of histochemistry: EJH","ISSN":"1121-760X","issue":"4","journalAbbreviation":"Eur J Histochem","language":"eng","note":"PMID: 11214858","page":"335-343","source":"PubMed","title":"Different patterns of collagen-proteoglycan interaction: a scanning electron microscopy and atomic force microscopy study","title-short":"Different patterns of collagen-proteoglycan interaction","volume":"44","author":[{"family":"Raspanti","given":"M."},{"family":"Congiu","given":"T."},{"family":"Alessandrini","given":"A."},{"family":"Gobbi","given":"P."},{"family":"Ruggeri","given":"A."}],"issued":{"date-parts":[["2000"]]}}}],"schema":"https://github.com/citation-style-language/schema/raw/master/csl-citation.json"} </w:instrText>
      </w:r>
      <w:r w:rsidR="008D4B27">
        <w:rPr>
          <w:szCs w:val="24"/>
        </w:rPr>
        <w:fldChar w:fldCharType="separate"/>
      </w:r>
      <w:r w:rsidR="008D4B27" w:rsidRPr="008D4B27">
        <w:rPr>
          <w:rFonts w:cs="Times New Roman"/>
        </w:rPr>
        <w:t>(Scott, 1985; Raspanti et al., 2000)</w:t>
      </w:r>
      <w:r w:rsidR="008D4B27">
        <w:rPr>
          <w:szCs w:val="24"/>
        </w:rPr>
        <w:fldChar w:fldCharType="end"/>
      </w:r>
      <w:r w:rsidR="00044058">
        <w:rPr>
          <w:szCs w:val="24"/>
        </w:rPr>
        <w:t xml:space="preserve"> </w:t>
      </w:r>
      <w:r w:rsidR="00587E98">
        <w:rPr>
          <w:szCs w:val="24"/>
        </w:rPr>
        <w:t xml:space="preserve">and focus on such interactions under dynamic loading conditions. </w:t>
      </w:r>
      <w:bookmarkEnd w:id="15"/>
    </w:p>
    <w:p w14:paraId="77DE3E74" w14:textId="1BC22581" w:rsidR="00C375E3" w:rsidRPr="00C375E3" w:rsidRDefault="000D04BA" w:rsidP="00C375E3">
      <w:pPr>
        <w:rPr>
          <w:szCs w:val="24"/>
        </w:rPr>
      </w:pPr>
      <w:r>
        <w:rPr>
          <w:szCs w:val="24"/>
        </w:rPr>
        <w:t>T</w:t>
      </w:r>
      <w:r w:rsidR="00C375E3" w:rsidRPr="00C375E3">
        <w:rPr>
          <w:szCs w:val="24"/>
        </w:rPr>
        <w:t xml:space="preserve">he approximation methods adopted to measure the cross-sectional area and length of the </w:t>
      </w:r>
      <w:r w:rsidR="005C411A">
        <w:rPr>
          <w:szCs w:val="24"/>
        </w:rPr>
        <w:t>CCL</w:t>
      </w:r>
      <w:r w:rsidR="00C375E3" w:rsidRPr="00C375E3">
        <w:rPr>
          <w:szCs w:val="24"/>
        </w:rPr>
        <w:t>s might be another limitation. However, these methods were selected because of their non-destructive approach. Further investigation with a large</w:t>
      </w:r>
      <w:r w:rsidR="00FE5D23">
        <w:rPr>
          <w:szCs w:val="24"/>
        </w:rPr>
        <w:t>r</w:t>
      </w:r>
      <w:r w:rsidR="00C375E3" w:rsidRPr="00C375E3">
        <w:rPr>
          <w:szCs w:val="24"/>
        </w:rPr>
        <w:t xml:space="preserve"> number of specimens</w:t>
      </w:r>
      <w:r w:rsidR="008A7BD1">
        <w:rPr>
          <w:szCs w:val="24"/>
        </w:rPr>
        <w:t xml:space="preserve"> </w:t>
      </w:r>
      <w:r>
        <w:rPr>
          <w:szCs w:val="24"/>
        </w:rPr>
        <w:t xml:space="preserve">will allow for </w:t>
      </w:r>
      <w:r w:rsidR="008A7BD1">
        <w:rPr>
          <w:szCs w:val="24"/>
        </w:rPr>
        <w:t>quantitative (statistical) measures</w:t>
      </w:r>
      <w:r>
        <w:rPr>
          <w:szCs w:val="24"/>
        </w:rPr>
        <w:t xml:space="preserve"> and </w:t>
      </w:r>
      <w:r w:rsidR="00184F32">
        <w:rPr>
          <w:szCs w:val="24"/>
        </w:rPr>
        <w:t xml:space="preserve">an </w:t>
      </w:r>
      <w:r>
        <w:rPr>
          <w:szCs w:val="24"/>
        </w:rPr>
        <w:t>improved understanding</w:t>
      </w:r>
      <w:r w:rsidR="00C375E3" w:rsidRPr="00C375E3">
        <w:rPr>
          <w:szCs w:val="24"/>
        </w:rPr>
        <w:t xml:space="preserve"> o</w:t>
      </w:r>
      <w:r w:rsidR="000D2DE1">
        <w:rPr>
          <w:szCs w:val="24"/>
        </w:rPr>
        <w:t>f</w:t>
      </w:r>
      <w:r w:rsidR="00C375E3" w:rsidRPr="00C375E3">
        <w:rPr>
          <w:szCs w:val="24"/>
        </w:rPr>
        <w:t xml:space="preserve"> the effect of cadaveric demography (i.e.</w:t>
      </w:r>
      <w:r w:rsidR="008A7BD1">
        <w:rPr>
          <w:szCs w:val="24"/>
        </w:rPr>
        <w:t>,</w:t>
      </w:r>
      <w:r w:rsidR="00C375E3" w:rsidRPr="00C375E3">
        <w:rPr>
          <w:szCs w:val="24"/>
        </w:rPr>
        <w:t xml:space="preserve"> age, </w:t>
      </w:r>
      <w:r w:rsidR="00C375E3" w:rsidRPr="00C375E3">
        <w:rPr>
          <w:szCs w:val="24"/>
        </w:rPr>
        <w:lastRenderedPageBreak/>
        <w:t>gender</w:t>
      </w:r>
      <w:r w:rsidR="008A7BD1">
        <w:rPr>
          <w:szCs w:val="24"/>
        </w:rPr>
        <w:t xml:space="preserve"> and</w:t>
      </w:r>
      <w:r w:rsidR="00C375E3" w:rsidRPr="00C375E3">
        <w:rPr>
          <w:szCs w:val="24"/>
        </w:rPr>
        <w:t xml:space="preserve"> body</w:t>
      </w:r>
      <w:r w:rsidR="000D2DE1">
        <w:rPr>
          <w:szCs w:val="24"/>
        </w:rPr>
        <w:t xml:space="preserve"> </w:t>
      </w:r>
      <w:r w:rsidR="00C375E3" w:rsidRPr="00C375E3">
        <w:rPr>
          <w:szCs w:val="24"/>
        </w:rPr>
        <w:t xml:space="preserve">weight) on the mechanical properties of </w:t>
      </w:r>
      <w:r w:rsidR="008A7BD1">
        <w:rPr>
          <w:szCs w:val="24"/>
        </w:rPr>
        <w:t>the CCLs</w:t>
      </w:r>
      <w:r w:rsidR="00C375E3" w:rsidRPr="00C375E3">
        <w:rPr>
          <w:szCs w:val="24"/>
        </w:rPr>
        <w:t xml:space="preserve"> </w:t>
      </w:r>
      <w:r w:rsidR="00C375E3" w:rsidRPr="00C375E3">
        <w:rPr>
          <w:szCs w:val="24"/>
        </w:rPr>
        <w:fldChar w:fldCharType="begin" w:fldLock="1"/>
      </w:r>
      <w:r w:rsidR="008D4B27">
        <w:rPr>
          <w:szCs w:val="24"/>
        </w:rPr>
        <w:instrText xml:space="preserve"> ADDIN ZOTERO_ITEM CSL_CITATION {"citationID":"xqak0H9x","properties":{"formattedCitation":"(Woo et al., 1990a, 1990b; Duval et al., 1999)","plainCitation":"(Woo et al., 1990a, 1990b; Duval et al., 1999)","noteIndex":0},"citationItems":[{"id":"hIRZaDaU/uKG9sIx5","uris":["http://www.mendeley.com/documents/?uuid=18f1c629-f137-4dd5-8ffc-5dd55876e505"],"itemData":{"ISSN":"0003-1488","author":[{"dropping-particle":"","family":"Duval","given":"J M","non-dropping-particle":"","parse-names":false,"suffix":""},{"dropping-particle":"","family":"Budsberg","given":"S C","non-dropping-particle":"","parse-names":false,"suffix":""},{"dropping-particle":"","family":"Flo","given":"G L","non-dropping-particle":"","parse-names":false,"suffix":""},{"dropping-particle":"","family":"Sammarco","given":"J L","non-dropping-particle":"","parse-names":false,"suffix":""}],"container-title":"Journal of the American Veterinary Medical Association","id":"ITEM-2","issue":"6","issued":{"date-parts":[["1999"]]},"page":"811-814","title":"Breed, sex, and body weight as risk factors for rupture of the cranial cruciate ligament in young dogs","type":"article-journal","volume":"215"}},{"id":"hIRZaDaU/7xwyMTVQ","uris":["http://www.mendeley.com/documents/?uuid=67ef586b-5296-4429-91be-6668fb477b40"],"itemData":{"ISSN":"0047-6374 (Print) 0047-6374 (Linking)","author":[{"dropping-particle":"","family":"Woo","given":"S L Y","non-dropping-particle":"","parse-names":false,"suffix":""},{"dropping-particle":"","family":"Ohland","given":"K J","non-dropping-particle":"","parse-names":false,"suffix":""},{"dropping-particle":"","family":"Weiss","given":"J A","non-dropping-particle":"","parse-names":false,"suffix":""}],"container-title":"Mechanisms of Ageing and Development","id":"ITEM-1","issue":"2","issued":{"date-parts":[["1990"]]},"page":"129-142","title":"Aging and sex-related changes in the biomechanical properties of the rabbit medial collateral ligament","type":"article-journal","volume":"56"}},{"id":"hIRZaDaU/hIUIt1ch","uris":["http://www.mendeley.com/documents/?uuid=1c1ad49a-9572-471f-8c28-65eaa3318e57"],"itemData":{"DOI":"10.1002/jor.1100080513","ISSN":"0736-0266 (Print) 0736-0266 (Linking)","author":[{"dropping-particle":"","family":"Woo","given":"S L Y","non-dropping-particle":"","parse-names":false,"suffix":""},{"dropping-particle":"","family":"Peterson","given":"R H","non-dropping-particle":"","parse-names":false,"suffix":""},{"dropping-particle":"","family":"Ohland","given":"K J","non-dropping-particle":"","parse-names":false,"suffix":""},{"dropping-particle":"","family":"Sites","given":"T J","non-dropping-particle":"","parse-names":false,"suffix":""},{"dropping-particle":"","family":"Danto","given":"M I","non-dropping-particle":"","parse-names":false,"suffix":""}],"container-title":"Journal of Orthopaedic Research","id":"64W7m4OT/cvUSJNqn","issue":"5","issued":{"date-parts":[["1990"]]},"page":"712-721","title":"The effects of strain rate on the properties of the medial collateral ligament in skeletally immature and mature rabbits: a biomechanical and histological study","type":"article-journal","volume":"8"}}],"schema":"https://github.com/citation-style-language/schema/raw/master/csl-citation.json"} </w:instrText>
      </w:r>
      <w:r w:rsidR="00C375E3" w:rsidRPr="00C375E3">
        <w:rPr>
          <w:szCs w:val="24"/>
        </w:rPr>
        <w:fldChar w:fldCharType="separate"/>
      </w:r>
      <w:r w:rsidR="0097525F" w:rsidRPr="0097525F">
        <w:rPr>
          <w:rFonts w:cs="Times New Roman"/>
        </w:rPr>
        <w:t>(Woo et al., 1990a, 1990b; Duval et al., 1999)</w:t>
      </w:r>
      <w:r w:rsidR="00C375E3" w:rsidRPr="00C375E3">
        <w:rPr>
          <w:szCs w:val="24"/>
        </w:rPr>
        <w:fldChar w:fldCharType="end"/>
      </w:r>
      <w:r w:rsidR="00C375E3" w:rsidRPr="00C375E3">
        <w:rPr>
          <w:szCs w:val="24"/>
        </w:rPr>
        <w:t xml:space="preserve">. </w:t>
      </w:r>
    </w:p>
    <w:p w14:paraId="11821805" w14:textId="01C58AE3" w:rsidR="00303DE6" w:rsidRDefault="00C375E3" w:rsidP="00303DE6">
      <w:pPr>
        <w:rPr>
          <w:szCs w:val="24"/>
        </w:rPr>
      </w:pPr>
      <w:r w:rsidRPr="00C375E3">
        <w:rPr>
          <w:szCs w:val="24"/>
        </w:rPr>
        <w:t>In conclusion, to the authors’ knowledge</w:t>
      </w:r>
      <w:r w:rsidR="000D2DE1">
        <w:rPr>
          <w:szCs w:val="24"/>
        </w:rPr>
        <w:t>,</w:t>
      </w:r>
      <w:r w:rsidRPr="00C375E3">
        <w:rPr>
          <w:szCs w:val="24"/>
        </w:rPr>
        <w:t xml:space="preserve"> this study is the first to</w:t>
      </w:r>
      <w:r w:rsidR="008A7BD1">
        <w:rPr>
          <w:szCs w:val="24"/>
        </w:rPr>
        <w:t xml:space="preserve"> qualitatively</w:t>
      </w:r>
      <w:r w:rsidRPr="00C375E3">
        <w:rPr>
          <w:szCs w:val="24"/>
        </w:rPr>
        <w:t xml:space="preserve"> </w:t>
      </w:r>
      <w:r w:rsidR="008A7BD1">
        <w:rPr>
          <w:szCs w:val="24"/>
        </w:rPr>
        <w:t>describe</w:t>
      </w:r>
      <w:r w:rsidRPr="00C375E3">
        <w:rPr>
          <w:szCs w:val="24"/>
        </w:rPr>
        <w:t xml:space="preserve"> </w:t>
      </w:r>
      <w:r w:rsidR="000D2DE1">
        <w:rPr>
          <w:szCs w:val="24"/>
        </w:rPr>
        <w:t xml:space="preserve">the </w:t>
      </w:r>
      <w:r w:rsidRPr="00C375E3">
        <w:rPr>
          <w:szCs w:val="24"/>
        </w:rPr>
        <w:t xml:space="preserve">contribution of PGs to key viscoelastic characteristics of the </w:t>
      </w:r>
      <w:r w:rsidR="008A7BD1">
        <w:rPr>
          <w:szCs w:val="24"/>
        </w:rPr>
        <w:t xml:space="preserve">intact </w:t>
      </w:r>
      <w:r w:rsidRPr="00C375E3">
        <w:rPr>
          <w:szCs w:val="24"/>
        </w:rPr>
        <w:t>femur-</w:t>
      </w:r>
      <w:r w:rsidR="005C411A">
        <w:rPr>
          <w:szCs w:val="24"/>
        </w:rPr>
        <w:t>CCL</w:t>
      </w:r>
      <w:r w:rsidRPr="00C375E3">
        <w:rPr>
          <w:szCs w:val="24"/>
        </w:rPr>
        <w:t xml:space="preserve">-tibia complex in </w:t>
      </w:r>
      <w:r w:rsidR="008A7BD1">
        <w:rPr>
          <w:szCs w:val="24"/>
        </w:rPr>
        <w:t>canine</w:t>
      </w:r>
      <w:r w:rsidRPr="00C375E3">
        <w:rPr>
          <w:szCs w:val="24"/>
        </w:rPr>
        <w:t xml:space="preserve"> knee joint</w:t>
      </w:r>
      <w:r w:rsidR="008A7BD1">
        <w:rPr>
          <w:szCs w:val="24"/>
        </w:rPr>
        <w:t>s</w:t>
      </w:r>
      <w:r w:rsidRPr="00C375E3">
        <w:rPr>
          <w:szCs w:val="24"/>
        </w:rPr>
        <w:t xml:space="preserve">. We have shown that reducing sGAG chains in the </w:t>
      </w:r>
      <w:r w:rsidR="00352129">
        <w:rPr>
          <w:szCs w:val="24"/>
        </w:rPr>
        <w:t>CCLs</w:t>
      </w:r>
      <w:r w:rsidRPr="00C375E3">
        <w:rPr>
          <w:szCs w:val="24"/>
        </w:rPr>
        <w:t xml:space="preserve"> increase</w:t>
      </w:r>
      <w:r w:rsidR="000D2DE1">
        <w:rPr>
          <w:szCs w:val="24"/>
        </w:rPr>
        <w:t>s</w:t>
      </w:r>
      <w:r w:rsidRPr="00C375E3">
        <w:rPr>
          <w:szCs w:val="24"/>
        </w:rPr>
        <w:t xml:space="preserve"> </w:t>
      </w:r>
      <w:r w:rsidR="00352129">
        <w:rPr>
          <w:szCs w:val="24"/>
        </w:rPr>
        <w:t>stiffness</w:t>
      </w:r>
      <w:r w:rsidR="002878D2">
        <w:rPr>
          <w:szCs w:val="24"/>
        </w:rPr>
        <w:t xml:space="preserve"> and stress relaxation modulus</w:t>
      </w:r>
      <w:r w:rsidR="00352129">
        <w:rPr>
          <w:szCs w:val="24"/>
        </w:rPr>
        <w:t xml:space="preserve"> and decreases </w:t>
      </w:r>
      <w:r w:rsidR="002878D2">
        <w:rPr>
          <w:szCs w:val="24"/>
        </w:rPr>
        <w:t xml:space="preserve">creep strain, creep compliance and creep rate. </w:t>
      </w:r>
      <w:r w:rsidR="002878D2" w:rsidRPr="00C375E3">
        <w:rPr>
          <w:szCs w:val="24"/>
        </w:rPr>
        <w:t xml:space="preserve">However, </w:t>
      </w:r>
      <w:r w:rsidR="002878D2">
        <w:rPr>
          <w:szCs w:val="24"/>
        </w:rPr>
        <w:t>strain rate sensitivity and the</w:t>
      </w:r>
      <w:r w:rsidR="000E2884">
        <w:rPr>
          <w:szCs w:val="24"/>
        </w:rPr>
        <w:t xml:space="preserve"> sensitivity to the</w:t>
      </w:r>
      <w:r w:rsidR="002878D2">
        <w:rPr>
          <w:szCs w:val="24"/>
        </w:rPr>
        <w:t xml:space="preserve"> increase in creep load were</w:t>
      </w:r>
      <w:r w:rsidR="002878D2" w:rsidRPr="00C375E3">
        <w:rPr>
          <w:szCs w:val="24"/>
        </w:rPr>
        <w:t xml:space="preserve"> unaffected by the </w:t>
      </w:r>
      <w:r w:rsidR="002878D2">
        <w:rPr>
          <w:szCs w:val="24"/>
        </w:rPr>
        <w:t>reduction of the sGAG chains</w:t>
      </w:r>
      <w:r w:rsidRPr="00C375E3">
        <w:rPr>
          <w:szCs w:val="24"/>
        </w:rPr>
        <w:t>.</w:t>
      </w:r>
      <w:r w:rsidR="00871BD1">
        <w:rPr>
          <w:szCs w:val="24"/>
        </w:rPr>
        <w:t xml:space="preserve"> This study lacks </w:t>
      </w:r>
      <w:r w:rsidR="00013704">
        <w:rPr>
          <w:szCs w:val="24"/>
        </w:rPr>
        <w:t xml:space="preserve">a </w:t>
      </w:r>
      <w:r w:rsidR="00871BD1">
        <w:rPr>
          <w:szCs w:val="24"/>
        </w:rPr>
        <w:t xml:space="preserve">sufficient sample size and, consequently, </w:t>
      </w:r>
      <w:r w:rsidR="00013704">
        <w:rPr>
          <w:szCs w:val="24"/>
        </w:rPr>
        <w:t>lacks</w:t>
      </w:r>
      <w:r w:rsidR="00871BD1">
        <w:rPr>
          <w:szCs w:val="24"/>
        </w:rPr>
        <w:t xml:space="preserve"> a statistical analysis to conclude the significance of the results. </w:t>
      </w:r>
      <w:r w:rsidRPr="00C375E3">
        <w:rPr>
          <w:szCs w:val="24"/>
        </w:rPr>
        <w:t xml:space="preserve">Our results suggest </w:t>
      </w:r>
      <w:r w:rsidR="000F6F68">
        <w:rPr>
          <w:szCs w:val="24"/>
        </w:rPr>
        <w:t xml:space="preserve">a tendency and not a significant behaviour </w:t>
      </w:r>
      <w:r w:rsidRPr="00C375E3">
        <w:rPr>
          <w:szCs w:val="24"/>
        </w:rPr>
        <w:t xml:space="preserve">that the role of sGAG is </w:t>
      </w:r>
      <w:r w:rsidR="000D2DE1">
        <w:rPr>
          <w:szCs w:val="24"/>
        </w:rPr>
        <w:t>essential</w:t>
      </w:r>
      <w:r w:rsidRPr="00C375E3">
        <w:rPr>
          <w:szCs w:val="24"/>
        </w:rPr>
        <w:t xml:space="preserve"> in maintaining</w:t>
      </w:r>
      <w:r w:rsidR="002878D2">
        <w:rPr>
          <w:szCs w:val="24"/>
        </w:rPr>
        <w:t xml:space="preserve"> microstructural organisation, including</w:t>
      </w:r>
      <w:r w:rsidRPr="00C375E3">
        <w:rPr>
          <w:szCs w:val="24"/>
        </w:rPr>
        <w:t xml:space="preserve"> water </w:t>
      </w:r>
      <w:r w:rsidR="00B311EA">
        <w:rPr>
          <w:szCs w:val="24"/>
        </w:rPr>
        <w:t>molecules</w:t>
      </w:r>
      <w:r w:rsidRPr="00C375E3">
        <w:rPr>
          <w:szCs w:val="24"/>
        </w:rPr>
        <w:t xml:space="preserve"> in the tissue, which in effect contributes to the viscoelasticity of the </w:t>
      </w:r>
      <w:r w:rsidR="005C411A">
        <w:rPr>
          <w:szCs w:val="24"/>
        </w:rPr>
        <w:t>CCL</w:t>
      </w:r>
      <w:r w:rsidRPr="00C375E3">
        <w:rPr>
          <w:szCs w:val="24"/>
        </w:rPr>
        <w:t>s and</w:t>
      </w:r>
      <w:r w:rsidR="000D2DE1">
        <w:rPr>
          <w:szCs w:val="24"/>
        </w:rPr>
        <w:t>,</w:t>
      </w:r>
      <w:r w:rsidRPr="00C375E3">
        <w:rPr>
          <w:szCs w:val="24"/>
        </w:rPr>
        <w:t xml:space="preserve"> ultimately</w:t>
      </w:r>
      <w:r w:rsidR="000D2DE1">
        <w:rPr>
          <w:szCs w:val="24"/>
        </w:rPr>
        <w:t>,</w:t>
      </w:r>
      <w:r w:rsidRPr="00C375E3">
        <w:rPr>
          <w:szCs w:val="24"/>
        </w:rPr>
        <w:t xml:space="preserve"> knee joint stability</w:t>
      </w:r>
      <w:r w:rsidR="00D537FA" w:rsidRPr="00376CC5">
        <w:rPr>
          <w:szCs w:val="24"/>
        </w:rPr>
        <w:t>.</w:t>
      </w:r>
    </w:p>
    <w:p w14:paraId="7419CFB7" w14:textId="77777777" w:rsidR="00A67C97" w:rsidRDefault="00A67C97" w:rsidP="00303DE6">
      <w:pPr>
        <w:rPr>
          <w:szCs w:val="24"/>
        </w:rPr>
      </w:pPr>
    </w:p>
    <w:p w14:paraId="4D7649F0" w14:textId="77777777" w:rsidR="00CB43D5" w:rsidRDefault="00CB43D5" w:rsidP="00CB43D5">
      <w:pPr>
        <w:pStyle w:val="Heading1"/>
      </w:pPr>
      <w:r>
        <w:t>Conflict of Interest</w:t>
      </w:r>
    </w:p>
    <w:p w14:paraId="57F5D7D1" w14:textId="5FA31F25" w:rsidR="00CB43D5" w:rsidRDefault="00CB43D5" w:rsidP="00CB43D5">
      <w:pPr>
        <w:rPr>
          <w:rFonts w:eastAsia="Times New Roman" w:cs="Times New Roman"/>
          <w:szCs w:val="24"/>
          <w:lang w:eastAsia="en-GB"/>
        </w:rPr>
      </w:pPr>
      <w:r w:rsidRPr="00A545C6">
        <w:rPr>
          <w:rFonts w:eastAsia="Times New Roman" w:cs="Times New Roman"/>
          <w:i/>
          <w:szCs w:val="24"/>
          <w:lang w:eastAsia="en-GB"/>
        </w:rPr>
        <w:t>The authors declare that the research was conducted in the absence of any commercial or financial relationships that could be construed as a potential conflict of interest</w:t>
      </w:r>
      <w:r w:rsidRPr="00CB43D5">
        <w:rPr>
          <w:rFonts w:eastAsia="Times New Roman" w:cs="Times New Roman"/>
          <w:szCs w:val="24"/>
          <w:lang w:eastAsia="en-GB"/>
        </w:rPr>
        <w:t>.</w:t>
      </w:r>
    </w:p>
    <w:p w14:paraId="0FEEAEF4" w14:textId="77777777" w:rsidR="00A67C97" w:rsidRPr="00CB43D5" w:rsidRDefault="00A67C97" w:rsidP="00CB43D5"/>
    <w:p w14:paraId="0D6553A8" w14:textId="77777777" w:rsidR="00045678" w:rsidRDefault="00045678" w:rsidP="00045678">
      <w:pPr>
        <w:pStyle w:val="Heading1"/>
      </w:pPr>
      <w:r>
        <w:t>Author Contributions</w:t>
      </w:r>
    </w:p>
    <w:p w14:paraId="71D9A6EE" w14:textId="6CC7784E" w:rsidR="001230F7" w:rsidRDefault="002D6F58" w:rsidP="001230F7">
      <w:pPr>
        <w:rPr>
          <w:szCs w:val="24"/>
        </w:rPr>
      </w:pPr>
      <w:r w:rsidRPr="002D6F58">
        <w:rPr>
          <w:szCs w:val="24"/>
        </w:rPr>
        <w:t>RR, EC and AE: conceived and designed the experiments. RR: performed the experiments, analysed the data, prepared figures and tables, and authored paper drafts. BG: analysed the data. YAK: performed biochemical assays. EC: conducted an extensive preliminary study. All authors reviewed and approved the final draft of the paper.</w:t>
      </w:r>
    </w:p>
    <w:p w14:paraId="3B5F4ADD" w14:textId="77777777" w:rsidR="00A67C97" w:rsidRPr="001230F7" w:rsidRDefault="00A67C97" w:rsidP="001230F7">
      <w:pPr>
        <w:rPr>
          <w:szCs w:val="24"/>
        </w:rPr>
      </w:pPr>
    </w:p>
    <w:p w14:paraId="5722F5F5" w14:textId="77777777" w:rsidR="00AC3EA3" w:rsidRPr="00376CC5" w:rsidRDefault="00AC3EA3" w:rsidP="00A53000">
      <w:pPr>
        <w:pStyle w:val="Heading1"/>
      </w:pPr>
      <w:r w:rsidRPr="00376CC5">
        <w:t>Funding</w:t>
      </w:r>
    </w:p>
    <w:p w14:paraId="7342A04E" w14:textId="3DEA56E1" w:rsidR="00AC3EA3" w:rsidRDefault="001230F7" w:rsidP="00AC3EA3">
      <w:pPr>
        <w:rPr>
          <w:szCs w:val="24"/>
        </w:rPr>
      </w:pPr>
      <w:r w:rsidRPr="001230F7">
        <w:rPr>
          <w:szCs w:val="24"/>
        </w:rPr>
        <w:t xml:space="preserve">This work was supported by the School of Engineering at the University of Liverpool, Liverpool, UK; the </w:t>
      </w:r>
      <w:proofErr w:type="spellStart"/>
      <w:r w:rsidRPr="001230F7">
        <w:rPr>
          <w:szCs w:val="24"/>
        </w:rPr>
        <w:t>Wellcome</w:t>
      </w:r>
      <w:proofErr w:type="spellEnd"/>
      <w:r w:rsidRPr="001230F7">
        <w:rPr>
          <w:szCs w:val="24"/>
        </w:rPr>
        <w:t xml:space="preserve"> Trust Institutional Strategic Support Fund, University of Liverpool [WT 204822/Z/16/Z]; and the National Institute for Health Research (NIHR) Biomedical Research Centre based at Moorfields Eye Hospital NHS Foundation Trust and the UCL Institute of Ophthalmology, London, UK</w:t>
      </w:r>
      <w:r w:rsidR="00AC3EA3" w:rsidRPr="00376CC5">
        <w:rPr>
          <w:szCs w:val="24"/>
        </w:rPr>
        <w:t>.</w:t>
      </w:r>
    </w:p>
    <w:p w14:paraId="6213D545" w14:textId="77777777" w:rsidR="00A67C97" w:rsidRPr="00376CC5" w:rsidRDefault="00A67C97" w:rsidP="00AC3EA3">
      <w:pPr>
        <w:rPr>
          <w:szCs w:val="24"/>
        </w:rPr>
      </w:pPr>
    </w:p>
    <w:p w14:paraId="5E0CBB2F" w14:textId="74925C97" w:rsidR="006B2D5B" w:rsidRPr="00376CC5" w:rsidRDefault="006B2D5B" w:rsidP="00A53000">
      <w:pPr>
        <w:pStyle w:val="Heading1"/>
      </w:pPr>
      <w:r w:rsidRPr="00376CC5">
        <w:t>Acknowledg</w:t>
      </w:r>
      <w:r w:rsidR="000D2DE1">
        <w:t>e</w:t>
      </w:r>
      <w:r w:rsidRPr="00376CC5">
        <w:t>ments</w:t>
      </w:r>
    </w:p>
    <w:p w14:paraId="2975D4D0" w14:textId="1F2B970C" w:rsidR="006D5B93" w:rsidRDefault="001230F7" w:rsidP="00A53000">
      <w:pPr>
        <w:rPr>
          <w:szCs w:val="24"/>
          <w:shd w:val="clear" w:color="auto" w:fill="FFFFFF"/>
        </w:rPr>
      </w:pPr>
      <w:r w:rsidRPr="001230F7">
        <w:rPr>
          <w:szCs w:val="24"/>
          <w:shd w:val="clear" w:color="auto" w:fill="FFFFFF"/>
        </w:rPr>
        <w:t xml:space="preserve">We thank Mr Lee Moore, Mr Ben Jones and the </w:t>
      </w:r>
      <w:r w:rsidR="000D2DE1">
        <w:rPr>
          <w:szCs w:val="24"/>
          <w:shd w:val="clear" w:color="auto" w:fill="FFFFFF"/>
        </w:rPr>
        <w:t>Veterinary Teaching Suite, School of Veterinary Science staff</w:t>
      </w:r>
      <w:r w:rsidRPr="001230F7">
        <w:rPr>
          <w:szCs w:val="24"/>
          <w:shd w:val="clear" w:color="auto" w:fill="FFFFFF"/>
        </w:rPr>
        <w:t xml:space="preserve"> for their assistance during sample collection. We also thank Mr John Curran at </w:t>
      </w:r>
      <w:r w:rsidR="000D2DE1">
        <w:rPr>
          <w:szCs w:val="24"/>
          <w:shd w:val="clear" w:color="auto" w:fill="FFFFFF"/>
        </w:rPr>
        <w:t xml:space="preserve">the </w:t>
      </w:r>
      <w:r w:rsidRPr="001230F7">
        <w:rPr>
          <w:szCs w:val="24"/>
          <w:shd w:val="clear" w:color="auto" w:fill="FFFFFF"/>
        </w:rPr>
        <w:t>School of Engineering, University of Liverpool, for their assistance during manufacturing parts of the experimental setup</w:t>
      </w:r>
      <w:r w:rsidR="006B2D5B" w:rsidRPr="00376CC5">
        <w:rPr>
          <w:szCs w:val="24"/>
          <w:shd w:val="clear" w:color="auto" w:fill="FFFFFF"/>
        </w:rPr>
        <w:t xml:space="preserve">. </w:t>
      </w:r>
    </w:p>
    <w:p w14:paraId="664E6699" w14:textId="77777777" w:rsidR="00A67C97" w:rsidRPr="00376CC5" w:rsidRDefault="00A67C97" w:rsidP="00A53000">
      <w:pPr>
        <w:rPr>
          <w:szCs w:val="24"/>
          <w:shd w:val="clear" w:color="auto" w:fill="FFFFFF"/>
        </w:rPr>
      </w:pPr>
    </w:p>
    <w:p w14:paraId="28720821" w14:textId="1CE3F831" w:rsidR="00AC3EA3" w:rsidRPr="00376CC5" w:rsidRDefault="00AC3EA3" w:rsidP="00AC3EA3">
      <w:pPr>
        <w:pStyle w:val="Heading1"/>
      </w:pPr>
      <w:r w:rsidRPr="00376CC5">
        <w:lastRenderedPageBreak/>
        <w:t>Reference</w:t>
      </w:r>
      <w:r w:rsidR="001230F7">
        <w:t>s</w:t>
      </w:r>
    </w:p>
    <w:p w14:paraId="4D283C01" w14:textId="77777777" w:rsidR="00900A97" w:rsidRDefault="0097525F" w:rsidP="00900A97">
      <w:pPr>
        <w:pStyle w:val="Bibliography"/>
      </w:pPr>
      <w:r>
        <w:fldChar w:fldCharType="begin"/>
      </w:r>
      <w:r w:rsidR="00900A97">
        <w:instrText xml:space="preserve"> ADDIN ZOTERO_BIBL {"uncited":[],"omitted":[],"custom":[]} CSL_BIBLIOGRAPHY </w:instrText>
      </w:r>
      <w:r>
        <w:fldChar w:fldCharType="separate"/>
      </w:r>
      <w:r w:rsidR="00900A97">
        <w:t xml:space="preserve">Amiel, D. (1990). Ligament structure, chemistry, and physiology. </w:t>
      </w:r>
      <w:r w:rsidR="00900A97">
        <w:rPr>
          <w:i/>
          <w:iCs/>
        </w:rPr>
        <w:t>Knee Ligaments Struct. Funct. Inj. Repair</w:t>
      </w:r>
      <w:r w:rsidR="00900A97">
        <w:t>, 77–91.</w:t>
      </w:r>
    </w:p>
    <w:p w14:paraId="1B92C17D" w14:textId="77777777" w:rsidR="00900A97" w:rsidRDefault="00900A97" w:rsidP="00900A97">
      <w:pPr>
        <w:pStyle w:val="Bibliography"/>
      </w:pPr>
      <w:r>
        <w:t xml:space="preserve">Amiel, D., Chu, C. R., and Lee, J. (1995). “Effect of loading on metabolism and repair of tendons and ligaments,” in </w:t>
      </w:r>
      <w:r>
        <w:rPr>
          <w:i/>
          <w:iCs/>
        </w:rPr>
        <w:t>Repetitive Motion Disorders of the Upper Extremity</w:t>
      </w:r>
      <w:r>
        <w:t xml:space="preserve"> (Rosemont, IL: Rosemont), 217–230.</w:t>
      </w:r>
    </w:p>
    <w:p w14:paraId="6815AB0E" w14:textId="77777777" w:rsidR="00900A97" w:rsidRDefault="00900A97" w:rsidP="00900A97">
      <w:pPr>
        <w:pStyle w:val="Bibliography"/>
      </w:pPr>
      <w:r>
        <w:t xml:space="preserve">Amiel, D., Frank, C. B., Harwood, F., Fronek, J., and Akeson, W. (1984). Tendons and ligaments: A morphological and biochemical comparison. </w:t>
      </w:r>
      <w:r>
        <w:rPr>
          <w:i/>
          <w:iCs/>
        </w:rPr>
        <w:t>J. Orthop. Res.</w:t>
      </w:r>
      <w:r>
        <w:t xml:space="preserve"> 1, 257–265. doi: 10.1002/jor.1100010305.</w:t>
      </w:r>
    </w:p>
    <w:p w14:paraId="22501F57" w14:textId="77777777" w:rsidR="00900A97" w:rsidRDefault="00900A97" w:rsidP="00900A97">
      <w:pPr>
        <w:pStyle w:val="Bibliography"/>
      </w:pPr>
      <w:r>
        <w:t xml:space="preserve">Arnoczky, S. P. (1983). Anatomy of the anterior cruciate ligament. </w:t>
      </w:r>
      <w:r>
        <w:rPr>
          <w:i/>
          <w:iCs/>
        </w:rPr>
        <w:t>Clin. Orthop.</w:t>
      </w:r>
      <w:r>
        <w:t>, 19–25.</w:t>
      </w:r>
    </w:p>
    <w:p w14:paraId="76CF0B9E" w14:textId="77777777" w:rsidR="00900A97" w:rsidRDefault="00900A97" w:rsidP="00900A97">
      <w:pPr>
        <w:pStyle w:val="Bibliography"/>
      </w:pPr>
      <w:r>
        <w:t xml:space="preserve">Butler, D. L., Grood, E. S., Noyes, F. R., and Zernicke, R. F. (1978a). Biomechanics of ligaments and tendons. </w:t>
      </w:r>
      <w:r>
        <w:rPr>
          <w:i/>
          <w:iCs/>
        </w:rPr>
        <w:t>Exerc. Sport Sci. Rev.</w:t>
      </w:r>
      <w:r>
        <w:t xml:space="preserve"> 6, 125–181.</w:t>
      </w:r>
    </w:p>
    <w:p w14:paraId="7FFDA362" w14:textId="77777777" w:rsidR="00900A97" w:rsidRDefault="00900A97" w:rsidP="00900A97">
      <w:pPr>
        <w:pStyle w:val="Bibliography"/>
      </w:pPr>
      <w:r>
        <w:t xml:space="preserve">Butler, D. L., Hulse, D. A., Kay, M. D., Grood, E. S., Shires, P. K., D’ambrosia, R., et al. (1983). Biomechanics of Cranial Cruciate Ligament Reconstruction in the Dog II. Mechanical Properties. </w:t>
      </w:r>
      <w:r>
        <w:rPr>
          <w:i/>
          <w:iCs/>
        </w:rPr>
        <w:t>Vet. Surg.</w:t>
      </w:r>
      <w:r>
        <w:t xml:space="preserve"> 12, 113–118. doi: 10.1111/j.1532-950X.1983.tb00721.x.</w:t>
      </w:r>
    </w:p>
    <w:p w14:paraId="4071D186" w14:textId="77777777" w:rsidR="00900A97" w:rsidRDefault="00900A97" w:rsidP="00900A97">
      <w:pPr>
        <w:pStyle w:val="Bibliography"/>
      </w:pPr>
      <w:r>
        <w:t xml:space="preserve">Butler, D. L., Noyes, F. R., and Grood, E. S. (1978b). “Measurement of the mechanical properties of ligaments,” in </w:t>
      </w:r>
      <w:r>
        <w:rPr>
          <w:i/>
          <w:iCs/>
        </w:rPr>
        <w:t>CRC handbook of engineering in medicine and biology section B: Instruments and measurements</w:t>
      </w:r>
      <w:r>
        <w:t xml:space="preserve"> (West Palm Beach: CRC Press Inc.), 279–314.</w:t>
      </w:r>
    </w:p>
    <w:p w14:paraId="697FE34F" w14:textId="77777777" w:rsidR="00900A97" w:rsidRDefault="00900A97" w:rsidP="00900A97">
      <w:pPr>
        <w:pStyle w:val="Bibliography"/>
      </w:pPr>
      <w:r>
        <w:t xml:space="preserve">Chen, B., Zhang, J., Nie, D., Zhao, G., Fu, F. H., and Wang, J. H.-C. (2019). Characterization of the structure of rabbit anterior cruciate ligament and its stem/progenitor cells. </w:t>
      </w:r>
      <w:r>
        <w:rPr>
          <w:i/>
          <w:iCs/>
        </w:rPr>
        <w:t>J. Cell. Biochem.</w:t>
      </w:r>
      <w:r>
        <w:t xml:space="preserve"> 120, 7446–7457. doi: 10.1002/jcb.28019.</w:t>
      </w:r>
    </w:p>
    <w:p w14:paraId="6A404189" w14:textId="77777777" w:rsidR="00900A97" w:rsidRDefault="00900A97" w:rsidP="00900A97">
      <w:pPr>
        <w:pStyle w:val="Bibliography"/>
      </w:pPr>
      <w:r>
        <w:t xml:space="preserve">Chimich, D., Shrive, N., Frank, C., Marchuk, L., and Bray, R. (1992). Water content alters viscoelastic behaviour of the normal adolescent rabbit medial collateral ligament. </w:t>
      </w:r>
      <w:r>
        <w:rPr>
          <w:i/>
          <w:iCs/>
        </w:rPr>
        <w:t>J. Biomech.</w:t>
      </w:r>
      <w:r>
        <w:t xml:space="preserve"> 25, 831–837. doi: 10.1016/0021-9290(92)90223-n.</w:t>
      </w:r>
    </w:p>
    <w:p w14:paraId="3E1F1DEE" w14:textId="77777777" w:rsidR="00900A97" w:rsidRDefault="00900A97" w:rsidP="00900A97">
      <w:pPr>
        <w:pStyle w:val="Bibliography"/>
      </w:pPr>
      <w:r>
        <w:t xml:space="preserve">Comerford, E. J., Geraghty, B., Hamarashid, R., and Elsheikh, A. (2014). The contribution of proteoglycans to the viscoelasticity of the canine anterior cruciate ligament. in </w:t>
      </w:r>
      <w:r>
        <w:rPr>
          <w:i/>
          <w:iCs/>
        </w:rPr>
        <w:t>Osteoarthritis and Cartilage</w:t>
      </w:r>
      <w:r>
        <w:t xml:space="preserve"> (Elsevier), S313. doi: 10.1016/j.joca.2014.02.579.</w:t>
      </w:r>
    </w:p>
    <w:p w14:paraId="4ACC0249" w14:textId="77777777" w:rsidR="00900A97" w:rsidRDefault="00900A97" w:rsidP="00900A97">
      <w:pPr>
        <w:pStyle w:val="Bibliography"/>
      </w:pPr>
      <w:r>
        <w:t xml:space="preserve">Comerford, E. J., Tarlton, J. F., Innes, J. F., Johnson, K. A., Amis, A. A., and Bailey, A. J. (2005a). Metabolism and composition of the canine anterior cruciate ligament relate to differences in knee joint mechanics and predisposition to ligament rupture. </w:t>
      </w:r>
      <w:r>
        <w:rPr>
          <w:i/>
          <w:iCs/>
        </w:rPr>
        <w:t>J. Orthop. Res.</w:t>
      </w:r>
      <w:r>
        <w:t xml:space="preserve"> 23, 61–66. doi: 10.1016/j.orthres.2004.05.016.</w:t>
      </w:r>
    </w:p>
    <w:p w14:paraId="0F8087A9" w14:textId="77777777" w:rsidR="00900A97" w:rsidRDefault="00900A97" w:rsidP="00900A97">
      <w:pPr>
        <w:pStyle w:val="Bibliography"/>
      </w:pPr>
      <w:r>
        <w:t xml:space="preserve">Comerford, E. J., Tarlton, J. F., Innes, J. F., Johnson, K. A., Amis, A. A., and Bailey, A. J. (2005b). Metabolism and composition of the canine anterior cruciate ligament relate to differences in knee joint mechanics and predisposition to ligament rupture. </w:t>
      </w:r>
      <w:r>
        <w:rPr>
          <w:i/>
          <w:iCs/>
        </w:rPr>
        <w:t>J. Orthop. Res.</w:t>
      </w:r>
      <w:r>
        <w:t xml:space="preserve"> 23, 61–66. doi: 10.1016/j.orthres.2004.05.016.</w:t>
      </w:r>
    </w:p>
    <w:p w14:paraId="50E10967" w14:textId="77777777" w:rsidR="00900A97" w:rsidRDefault="00900A97" w:rsidP="00900A97">
      <w:pPr>
        <w:pStyle w:val="Bibliography"/>
      </w:pPr>
      <w:r>
        <w:lastRenderedPageBreak/>
        <w:t xml:space="preserve">Connizzo, B. K., Sarver, J. J., Birk, D. E., Soslowsky, L. J., and Iozzo, R. V. (2013). Effect of age and proteoglycan deficiency on collagen fiber re-alignment and mechanical properties in mouse supraspinatus tendon. </w:t>
      </w:r>
      <w:r>
        <w:rPr>
          <w:i/>
          <w:iCs/>
        </w:rPr>
        <w:t>J. Biomech. Eng.</w:t>
      </w:r>
      <w:r>
        <w:t xml:space="preserve"> 135, 021019. doi: 10.1115/1.4023234.</w:t>
      </w:r>
    </w:p>
    <w:p w14:paraId="6432984C" w14:textId="77777777" w:rsidR="00900A97" w:rsidRDefault="00900A97" w:rsidP="00900A97">
      <w:pPr>
        <w:pStyle w:val="Bibliography"/>
      </w:pPr>
      <w:r>
        <w:t xml:space="preserve">Culbert, M. P., Warren, J. P., Dixon, A. R., Fermor, H. L., Beales, P. A., and Wilcox, R. K. (2022). Evaluation of injectable nucleus augmentation materials for the treatment of intervertebral disc degeneration. </w:t>
      </w:r>
      <w:r>
        <w:rPr>
          <w:i/>
          <w:iCs/>
        </w:rPr>
        <w:t>Biomater. Sci.</w:t>
      </w:r>
      <w:r>
        <w:t xml:space="preserve"> 10, 874–891. doi: 10.1039/D1BM01589C.</w:t>
      </w:r>
    </w:p>
    <w:p w14:paraId="04097A53" w14:textId="77777777" w:rsidR="00900A97" w:rsidRDefault="00900A97" w:rsidP="00900A97">
      <w:pPr>
        <w:pStyle w:val="Bibliography"/>
      </w:pPr>
      <w:r>
        <w:t xml:space="preserve">Danielson, K. G., Baribault, H., Holmes, D. F., Graham, H., Kadler, K. E., and Iozzo, R. V. (1997). Targeted disruption of decorin leads to abnormal collagen fibril morphology and skin fragility. </w:t>
      </w:r>
      <w:r>
        <w:rPr>
          <w:i/>
          <w:iCs/>
        </w:rPr>
        <w:t>J. Cell Biol.</w:t>
      </w:r>
      <w:r>
        <w:t xml:space="preserve"> 136, 729–743. doi: 10.1083/jcb.136.3.729.</w:t>
      </w:r>
    </w:p>
    <w:p w14:paraId="7AA6660A" w14:textId="77777777" w:rsidR="00900A97" w:rsidRDefault="00900A97" w:rsidP="00900A97">
      <w:pPr>
        <w:pStyle w:val="Bibliography"/>
      </w:pPr>
      <w:r>
        <w:t xml:space="preserve">Dixon, A. R., Warren, J. P., Culbert, M. P., Mengoni, M., and Wilcox, R. K. (2021). Review of in vitro mechanical testing for intervertebral disc injectable biomaterials. </w:t>
      </w:r>
      <w:r>
        <w:rPr>
          <w:i/>
          <w:iCs/>
        </w:rPr>
        <w:t>J. Mech. Behav. Biomed. Mater.</w:t>
      </w:r>
      <w:r>
        <w:t xml:space="preserve"> 123, 104703. doi: 10.1016/j.jmbbm.2021.104703.</w:t>
      </w:r>
    </w:p>
    <w:p w14:paraId="5CA58E0F" w14:textId="77777777" w:rsidR="00900A97" w:rsidRDefault="00900A97" w:rsidP="00900A97">
      <w:pPr>
        <w:pStyle w:val="Bibliography"/>
      </w:pPr>
      <w:r>
        <w:t xml:space="preserve">Duval, J. M., Budsberg, S. C., Flo, G. L., and Sammarco, J. L. (1999). Breed, sex, and body weight as risk factors for rupture of the cranial cruciate ligament in young dogs. </w:t>
      </w:r>
      <w:r>
        <w:rPr>
          <w:i/>
          <w:iCs/>
        </w:rPr>
        <w:t>J. Am. Vet. Med. Assoc.</w:t>
      </w:r>
      <w:r>
        <w:t xml:space="preserve"> 215, 811–814.</w:t>
      </w:r>
    </w:p>
    <w:p w14:paraId="5647BC2D" w14:textId="77777777" w:rsidR="00900A97" w:rsidRDefault="00900A97" w:rsidP="00900A97">
      <w:pPr>
        <w:pStyle w:val="Bibliography"/>
      </w:pPr>
      <w:r>
        <w:t xml:space="preserve">Eckert, C. E., Fan, R., Mikulis, B., Barron, M., Carruthers, C. A., Friebe, V. M., et al. (2013). On the biomechanical role of glycosaminoglycans in the aortic heart valve leaflet. </w:t>
      </w:r>
      <w:r>
        <w:rPr>
          <w:i/>
          <w:iCs/>
        </w:rPr>
        <w:t>Acta Biomater.</w:t>
      </w:r>
      <w:r>
        <w:t xml:space="preserve"> 9, 4653–4660. doi: 10.1016/j.actbio.2012.09.031.</w:t>
      </w:r>
    </w:p>
    <w:p w14:paraId="190AE550" w14:textId="77777777" w:rsidR="00900A97" w:rsidRDefault="00900A97" w:rsidP="00900A97">
      <w:pPr>
        <w:pStyle w:val="Bibliography"/>
      </w:pPr>
      <w:r>
        <w:t xml:space="preserve">Elliott, D. M., Robinson, P. S., Gimbel, J. A., Sarver, J. J., Abboud, J. A., Iozzo, R. V., et al. (2003). Effect of altered matrix proteins on quasilinear viscoelastic properties in transgenic mouse tail tendons. </w:t>
      </w:r>
      <w:r>
        <w:rPr>
          <w:i/>
          <w:iCs/>
        </w:rPr>
        <w:t>Ann. Biomed. Eng.</w:t>
      </w:r>
      <w:r>
        <w:t xml:space="preserve"> 31, 599–605. doi: 10.1114/1.1567282.</w:t>
      </w:r>
    </w:p>
    <w:p w14:paraId="520BF52B" w14:textId="77777777" w:rsidR="00900A97" w:rsidRDefault="00900A97" w:rsidP="00900A97">
      <w:pPr>
        <w:pStyle w:val="Bibliography"/>
      </w:pPr>
      <w:r>
        <w:t xml:space="preserve">Elmukashfi, E., Marchiori, G., Berni, M., Cassiolas, G., Lopomo, N. F., Rappel, H., et al. (2022). “Model selection and sensitivity analysis in the biomechanics of soft tissues: A case study on the human knee meniscus,” in </w:t>
      </w:r>
      <w:r>
        <w:rPr>
          <w:i/>
          <w:iCs/>
        </w:rPr>
        <w:t>Advances in Applied Mechanics</w:t>
      </w:r>
      <w:r>
        <w:t xml:space="preserve"> (Elsevier). doi: 10.1016/bs.aams.2022.05.001.</w:t>
      </w:r>
    </w:p>
    <w:p w14:paraId="2FC95AEC" w14:textId="77777777" w:rsidR="00900A97" w:rsidRDefault="00900A97" w:rsidP="00900A97">
      <w:pPr>
        <w:pStyle w:val="Bibliography"/>
      </w:pPr>
      <w:r>
        <w:t xml:space="preserve">Elsheikh, A., Wang, D., Rama, P., Campanelli, M., and Garway-Heath, D. (2008). Experimental assessment of human corneal hysteresis. </w:t>
      </w:r>
      <w:r>
        <w:rPr>
          <w:i/>
          <w:iCs/>
        </w:rPr>
        <w:t>Curr. Eye Res.</w:t>
      </w:r>
      <w:r>
        <w:t xml:space="preserve"> 33, 205–213. doi: 10.1080/02713680701882519.</w:t>
      </w:r>
    </w:p>
    <w:p w14:paraId="5AB1E394" w14:textId="77777777" w:rsidR="00900A97" w:rsidRDefault="00900A97" w:rsidP="00900A97">
      <w:pPr>
        <w:pStyle w:val="Bibliography"/>
      </w:pPr>
      <w:r>
        <w:t xml:space="preserve">Eshel, H., and Lanir, Y. (2001). Effects of strain level and proteoglycan depletion on preconditioning and viscoelastic responses of rat dorsal skin. </w:t>
      </w:r>
      <w:r>
        <w:rPr>
          <w:i/>
          <w:iCs/>
        </w:rPr>
        <w:t>Ann. Biomed. Eng.</w:t>
      </w:r>
      <w:r>
        <w:t xml:space="preserve"> 29, 164–172. doi: 10.1114/1.1349697.</w:t>
      </w:r>
    </w:p>
    <w:p w14:paraId="7574886B" w14:textId="77777777" w:rsidR="00900A97" w:rsidRDefault="00900A97" w:rsidP="00900A97">
      <w:pPr>
        <w:pStyle w:val="Bibliography"/>
      </w:pPr>
      <w:r>
        <w:t xml:space="preserve">Farndale, R. W., Buttle, D. J., and Barrett, A. J. (1986). Improved quantitation and discrimination of sulphated glycosaminoglycans by use of dimethylmethylene blue. </w:t>
      </w:r>
      <w:r>
        <w:rPr>
          <w:i/>
          <w:iCs/>
        </w:rPr>
        <w:t>Biochim. Biophys. Acta</w:t>
      </w:r>
      <w:r>
        <w:t xml:space="preserve"> 883, 173–177. doi: 10.1016/0304-4165(86)90306-5.</w:t>
      </w:r>
    </w:p>
    <w:p w14:paraId="12A2610B" w14:textId="77777777" w:rsidR="00900A97" w:rsidRDefault="00900A97" w:rsidP="00900A97">
      <w:pPr>
        <w:pStyle w:val="Bibliography"/>
      </w:pPr>
      <w:r>
        <w:t xml:space="preserve">Frank, C. B. (2004). Ligament structure, physiology and function. </w:t>
      </w:r>
      <w:r>
        <w:rPr>
          <w:i/>
          <w:iCs/>
        </w:rPr>
        <w:t>J. Musculoskelet. Neuronal Interact.</w:t>
      </w:r>
      <w:r>
        <w:t xml:space="preserve"> 4, 199–201.</w:t>
      </w:r>
    </w:p>
    <w:p w14:paraId="7A719352" w14:textId="77777777" w:rsidR="00900A97" w:rsidRDefault="00900A97" w:rsidP="00900A97">
      <w:pPr>
        <w:pStyle w:val="Bibliography"/>
      </w:pPr>
      <w:r>
        <w:t xml:space="preserve">Fung, Y. C. (1993). </w:t>
      </w:r>
      <w:r>
        <w:rPr>
          <w:i/>
          <w:iCs/>
        </w:rPr>
        <w:t>Biomechanics: Mechanical properties of living tissues</w:t>
      </w:r>
      <w:r>
        <w:t>. 2nd ed. New York: Springer.</w:t>
      </w:r>
    </w:p>
    <w:p w14:paraId="722DB70F" w14:textId="77777777" w:rsidR="00900A97" w:rsidRDefault="00900A97" w:rsidP="00900A97">
      <w:pPr>
        <w:pStyle w:val="Bibliography"/>
      </w:pPr>
      <w:r>
        <w:lastRenderedPageBreak/>
        <w:t xml:space="preserve">Gautieri, A., Pate, M. I., Vesentini, S., Redaelli, A., and Buehler, M. J. (2012). Hydration and distance dependence of intermolecular shearing between collagen molecules in a model microfibril. </w:t>
      </w:r>
      <w:r>
        <w:rPr>
          <w:i/>
          <w:iCs/>
        </w:rPr>
        <w:t>J. Biomech.</w:t>
      </w:r>
      <w:r>
        <w:t xml:space="preserve"> 45, 2079–2083. doi: 10.1016/j.jbiomech.2012.05.047.</w:t>
      </w:r>
    </w:p>
    <w:p w14:paraId="5ED4A778" w14:textId="77777777" w:rsidR="00900A97" w:rsidRDefault="00900A97" w:rsidP="00900A97">
      <w:pPr>
        <w:pStyle w:val="Bibliography"/>
      </w:pPr>
      <w:r>
        <w:t xml:space="preserve">Gillard, G. C., Merrilees, M. J., Bell-Booth, P. G., Reilly, H. C., and Flint, M. H. (1977). The proteoglycan content and the axial periodicity of collagen in tendon. </w:t>
      </w:r>
      <w:r>
        <w:rPr>
          <w:i/>
          <w:iCs/>
        </w:rPr>
        <w:t>Biochem. J.</w:t>
      </w:r>
      <w:r>
        <w:t xml:space="preserve"> 163, 145–151. doi: 10.1042/bj1630145.</w:t>
      </w:r>
    </w:p>
    <w:p w14:paraId="1F298B86" w14:textId="77777777" w:rsidR="00900A97" w:rsidRDefault="00900A97" w:rsidP="00900A97">
      <w:pPr>
        <w:pStyle w:val="Bibliography"/>
      </w:pPr>
      <w:r>
        <w:t xml:space="preserve">Girgis, F. G., Marshall, J. L., and Monajem, A. (1975). The cruciate ligaments of the knee joint. Anatomical, functional and experimental analysis. </w:t>
      </w:r>
      <w:r>
        <w:rPr>
          <w:i/>
          <w:iCs/>
        </w:rPr>
        <w:t>Clin. Orthop.</w:t>
      </w:r>
      <w:r>
        <w:t>, 216–231. doi: 10.1097/00003086-197501000-00033.</w:t>
      </w:r>
    </w:p>
    <w:p w14:paraId="17DA60DC" w14:textId="77777777" w:rsidR="00900A97" w:rsidRDefault="00900A97" w:rsidP="00900A97">
      <w:pPr>
        <w:pStyle w:val="Bibliography"/>
      </w:pPr>
      <w:r>
        <w:t xml:space="preserve">Goodship, A. E., and Birch, H. L. (2005). Cross sectional area measurement of tendon and ligament in vitro: a simple, rapid, non-destructive technique. </w:t>
      </w:r>
      <w:r>
        <w:rPr>
          <w:i/>
          <w:iCs/>
        </w:rPr>
        <w:t>J. Biomech.</w:t>
      </w:r>
      <w:r>
        <w:t xml:space="preserve"> 38, 605–608. doi: DOI 10.1016/j.jbiomech.2004.05.003.</w:t>
      </w:r>
    </w:p>
    <w:p w14:paraId="2FC28ED8" w14:textId="77777777" w:rsidR="00900A97" w:rsidRDefault="00900A97" w:rsidP="00900A97">
      <w:pPr>
        <w:pStyle w:val="Bibliography"/>
      </w:pPr>
      <w:r>
        <w:t xml:space="preserve">Haut, R. C., and Little, R. W. (1969). Rheological properties of canine anterior cruciate ligaments. </w:t>
      </w:r>
      <w:r>
        <w:rPr>
          <w:i/>
          <w:iCs/>
        </w:rPr>
        <w:t>J. Biomech.</w:t>
      </w:r>
      <w:r>
        <w:t xml:space="preserve"> 2, 289–298. doi: Doi 10.1016/0021-9290(69)90085-2.</w:t>
      </w:r>
    </w:p>
    <w:p w14:paraId="55EED3C7" w14:textId="77777777" w:rsidR="00900A97" w:rsidRDefault="00900A97" w:rsidP="00900A97">
      <w:pPr>
        <w:pStyle w:val="Bibliography"/>
      </w:pPr>
      <w:r>
        <w:t xml:space="preserve">Henninger, H. B., Underwood, C. J., Ateshian, G. A., and Weiss, J. A. (2010). Effect of sulfated glycosaminoglycan digestion on the transverse permeability of medial collateral ligament. </w:t>
      </w:r>
      <w:r>
        <w:rPr>
          <w:i/>
          <w:iCs/>
        </w:rPr>
        <w:t>J. Biomech.</w:t>
      </w:r>
      <w:r>
        <w:t xml:space="preserve"> 43, 2567–2573. doi: 10.1016/j.jbiomech.2010.05.012.</w:t>
      </w:r>
    </w:p>
    <w:p w14:paraId="463F54EE" w14:textId="77777777" w:rsidR="00900A97" w:rsidRDefault="00900A97" w:rsidP="00900A97">
      <w:pPr>
        <w:pStyle w:val="Bibliography"/>
      </w:pPr>
      <w:r>
        <w:t xml:space="preserve">Henninger, H. B., Underwood, C. J., Romney, S. J., Davis, G. L., and Weiss, J. A. (2013). Effect of elastin digestion on the quasi-static tensile response of medial collateral ligament. </w:t>
      </w:r>
      <w:r>
        <w:rPr>
          <w:i/>
          <w:iCs/>
        </w:rPr>
        <w:t>J. Orthop. Res.</w:t>
      </w:r>
      <w:r>
        <w:t xml:space="preserve"> 31, 1226–1233. doi: 10.1002/jor.22352.</w:t>
      </w:r>
    </w:p>
    <w:p w14:paraId="06AA0DEC" w14:textId="77777777" w:rsidR="00900A97" w:rsidRDefault="00900A97" w:rsidP="00900A97">
      <w:pPr>
        <w:pStyle w:val="Bibliography"/>
      </w:pPr>
      <w:r>
        <w:t xml:space="preserve">Hey, N. J., Handley, C. J., Ng, C. K., and Oakes, B. W. (1990). Characterization and synthesis of macromolecules by adult collateral ligament. </w:t>
      </w:r>
      <w:r>
        <w:rPr>
          <w:i/>
          <w:iCs/>
        </w:rPr>
        <w:t>Biochim. Biophys. Acta</w:t>
      </w:r>
      <w:r>
        <w:t xml:space="preserve"> 1034, 73–80. doi: 10.1016/0304-4165(90)90155-p.</w:t>
      </w:r>
    </w:p>
    <w:p w14:paraId="44E4D9F2" w14:textId="77777777" w:rsidR="00900A97" w:rsidRDefault="00900A97" w:rsidP="00900A97">
      <w:pPr>
        <w:pStyle w:val="Bibliography"/>
      </w:pPr>
      <w:r>
        <w:t xml:space="preserve">Ilic, M. Z., Carter, P., Tyndall, A., Dudhia, J., and Handley, C. J. (2005). Proteoglycans and catabolic products of proteoglycans present in ligament. </w:t>
      </w:r>
      <w:r>
        <w:rPr>
          <w:i/>
          <w:iCs/>
        </w:rPr>
        <w:t>Biochem. J.</w:t>
      </w:r>
      <w:r>
        <w:t xml:space="preserve"> 385, 381–388. doi: 10.1042/BJ20040844.</w:t>
      </w:r>
    </w:p>
    <w:p w14:paraId="1A89F022" w14:textId="77777777" w:rsidR="00900A97" w:rsidRDefault="00900A97" w:rsidP="00900A97">
      <w:pPr>
        <w:pStyle w:val="Bibliography"/>
      </w:pPr>
      <w:r>
        <w:t>Kharaz, Y. A. (2015). The molecular and cellular differences between tendons and ligaments. Available at: https://livrepository.liverpool.ac.uk/2048079/3/AshrafkharazYal_Mar2015_2048079.pdf.</w:t>
      </w:r>
    </w:p>
    <w:p w14:paraId="38CE0C50" w14:textId="77777777" w:rsidR="00900A97" w:rsidRDefault="00900A97" w:rsidP="00900A97">
      <w:pPr>
        <w:pStyle w:val="Bibliography"/>
      </w:pPr>
      <w:r>
        <w:t xml:space="preserve">Kharaz, Y. A., Canty‐Laird, E. G., Tew, S. R., and Comerford, E. J. (2018). Variations in internal structure, composition and protein distribution between intra- and extra-articular knee ligaments and tendons. </w:t>
      </w:r>
      <w:r>
        <w:rPr>
          <w:i/>
          <w:iCs/>
        </w:rPr>
        <w:t>J. Anat.</w:t>
      </w:r>
      <w:r>
        <w:t xml:space="preserve"> 232, 943–955. doi: 10.1111/joa.12802.</w:t>
      </w:r>
    </w:p>
    <w:p w14:paraId="53BB293C" w14:textId="77777777" w:rsidR="00900A97" w:rsidRDefault="00900A97" w:rsidP="00900A97">
      <w:pPr>
        <w:pStyle w:val="Bibliography"/>
      </w:pPr>
      <w:r>
        <w:t xml:space="preserve">Legerlotz, K., Riley, G. P., and Screen, H. R. C. (2013). GAG depletion increases the stress-relaxation response of tendon fascicles, but does not influence recovery. </w:t>
      </w:r>
      <w:r>
        <w:rPr>
          <w:i/>
          <w:iCs/>
        </w:rPr>
        <w:t>Acta Biomater.</w:t>
      </w:r>
      <w:r>
        <w:t xml:space="preserve"> 9, 6860–6866. doi: 10.1016/j.actbio.2013.02.028.</w:t>
      </w:r>
    </w:p>
    <w:p w14:paraId="4E29CA46" w14:textId="77777777" w:rsidR="00900A97" w:rsidRDefault="00900A97" w:rsidP="00900A97">
      <w:pPr>
        <w:pStyle w:val="Bibliography"/>
      </w:pPr>
      <w:r>
        <w:t xml:space="preserve">Lujan, T. J., Underwood, C. J., Henninger, H. B., Thompson, B. M., and Weiss, J. A. (2007). Effect of dermatan sulfate glycosaminoglycans on the quasi-static material properties of the human medial collateral ligament. </w:t>
      </w:r>
      <w:r>
        <w:rPr>
          <w:i/>
          <w:iCs/>
        </w:rPr>
        <w:t>J. Orthop. Res.</w:t>
      </w:r>
      <w:r>
        <w:t xml:space="preserve"> 25, 894–903. doi: 10.1002/jor.20351.</w:t>
      </w:r>
    </w:p>
    <w:p w14:paraId="3441B35A" w14:textId="77777777" w:rsidR="00900A97" w:rsidRDefault="00900A97" w:rsidP="00900A97">
      <w:pPr>
        <w:pStyle w:val="Bibliography"/>
      </w:pPr>
      <w:r>
        <w:lastRenderedPageBreak/>
        <w:t xml:space="preserve">Lujan, T. J., Underwood, C. J., Jacobs, N. T., and Weiss, J. A. (2009). Contribution of glycosaminoglycans to viscoelastic tensile behavior of human ligament. </w:t>
      </w:r>
      <w:r>
        <w:rPr>
          <w:i/>
          <w:iCs/>
        </w:rPr>
        <w:t>J. Appl. Physiol.</w:t>
      </w:r>
      <w:r>
        <w:t xml:space="preserve"> 106, 423–431. doi: 10.1152/japplphysiol.90748.2008.</w:t>
      </w:r>
    </w:p>
    <w:p w14:paraId="578A47F4" w14:textId="77777777" w:rsidR="00900A97" w:rsidRDefault="00900A97" w:rsidP="00900A97">
      <w:pPr>
        <w:pStyle w:val="Bibliography"/>
      </w:pPr>
      <w:r>
        <w:t xml:space="preserve">Mäkelä, J. T. A., Han, S.-K., Herzog, W., and Korhonen, R. K. (2015). Very early osteoarthritis changes sensitively fluid flow properties of articular cartilage. </w:t>
      </w:r>
      <w:r>
        <w:rPr>
          <w:i/>
          <w:iCs/>
        </w:rPr>
        <w:t>J. Biomech.</w:t>
      </w:r>
      <w:r>
        <w:t xml:space="preserve"> 48, 3369–3376. doi: 10.1016/j.jbiomech.2015.06.010.</w:t>
      </w:r>
    </w:p>
    <w:p w14:paraId="6EF747AF" w14:textId="77777777" w:rsidR="00900A97" w:rsidRDefault="00900A97" w:rsidP="00900A97">
      <w:pPr>
        <w:pStyle w:val="Bibliography"/>
      </w:pPr>
      <w:r>
        <w:t xml:space="preserve">Moses, B., Orchard, J., and Orchard, J. (2012). Systematic review: Annual incidence of ACL injury and surgery in various populations. </w:t>
      </w:r>
      <w:r>
        <w:rPr>
          <w:i/>
          <w:iCs/>
        </w:rPr>
        <w:t>Res. Sports Med. Print</w:t>
      </w:r>
      <w:r>
        <w:t xml:space="preserve"> 20, 157–179. doi: 10.1080/15438627.2012.680633.</w:t>
      </w:r>
    </w:p>
    <w:p w14:paraId="1F8601EE" w14:textId="77777777" w:rsidR="00900A97" w:rsidRDefault="00900A97" w:rsidP="00900A97">
      <w:pPr>
        <w:pStyle w:val="Bibliography"/>
      </w:pPr>
      <w:r>
        <w:t xml:space="preserve">Murienne, B. J., Jefferys, J. L., Quigley, H. A., and Nguyen, T. D. (2015). The effects of glycosaminoglycan degradation on the mechanical behavior of the posterior porcine sclera. </w:t>
      </w:r>
      <w:r>
        <w:rPr>
          <w:i/>
          <w:iCs/>
        </w:rPr>
        <w:t>Acta Biomater.</w:t>
      </w:r>
      <w:r>
        <w:t xml:space="preserve"> 12, 195–206. doi: 10.1016/j.actbio.2014.10.033.</w:t>
      </w:r>
    </w:p>
    <w:p w14:paraId="7304DCF4" w14:textId="77777777" w:rsidR="00900A97" w:rsidRDefault="00900A97" w:rsidP="00900A97">
      <w:pPr>
        <w:pStyle w:val="Bibliography"/>
      </w:pPr>
      <w:r>
        <w:t xml:space="preserve">Nissinen, M. T., Hänninen, N., Prakash, M., Mäkelä, J. T. A., Nissi, M. J., Töyräs, J., et al. (2021). Functional and structural properties of human patellar articular cartilage in osteoarthritis. </w:t>
      </w:r>
      <w:r>
        <w:rPr>
          <w:i/>
          <w:iCs/>
        </w:rPr>
        <w:t>J. Biomech.</w:t>
      </w:r>
      <w:r>
        <w:t xml:space="preserve"> 126, 110634. doi: 10.1016/j.jbiomech.2021.110634.</w:t>
      </w:r>
    </w:p>
    <w:p w14:paraId="1C9D6026" w14:textId="77777777" w:rsidR="00900A97" w:rsidRDefault="00900A97" w:rsidP="00900A97">
      <w:pPr>
        <w:pStyle w:val="Bibliography"/>
      </w:pPr>
      <w:r>
        <w:t xml:space="preserve">Peters, A. E., Geraghty, B., Bates, K. T., Akhtar, R., Readioff, R., and Comerford, E. (2022). Ligament mechanics of ageing and osteoarthritic human knees. </w:t>
      </w:r>
      <w:r>
        <w:rPr>
          <w:i/>
          <w:iCs/>
        </w:rPr>
        <w:t>Front. Bioeng. Biotechnol.</w:t>
      </w:r>
      <w:r>
        <w:t xml:space="preserve"> 10. Available at: https://www.frontiersin.org/articles/10.3389/fbioe.2022.954837 [Accessed August 28, 2022].</w:t>
      </w:r>
    </w:p>
    <w:p w14:paraId="5C7E4DAC" w14:textId="77777777" w:rsidR="00900A97" w:rsidRDefault="00900A97" w:rsidP="00900A97">
      <w:pPr>
        <w:pStyle w:val="Bibliography"/>
      </w:pPr>
      <w:r>
        <w:t xml:space="preserve">Petersen, W., and Tillmann, B. (1999). Structure and vascularization of the cruciate ligaments of the human knee joint. </w:t>
      </w:r>
      <w:r>
        <w:rPr>
          <w:i/>
          <w:iCs/>
        </w:rPr>
        <w:t>Anat Embryol Berl</w:t>
      </w:r>
      <w:r>
        <w:t xml:space="preserve"> 200, 325–334.</w:t>
      </w:r>
    </w:p>
    <w:p w14:paraId="74769E57" w14:textId="77777777" w:rsidR="00900A97" w:rsidRDefault="00900A97" w:rsidP="00900A97">
      <w:pPr>
        <w:pStyle w:val="Bibliography"/>
      </w:pPr>
      <w:r>
        <w:t xml:space="preserve">Pogány, G., Hernandez, D. J., and Vogel, K. G. (1994). The in vitro interaction of proteoglycans with type I collagen is modulated by phosphate. </w:t>
      </w:r>
      <w:r>
        <w:rPr>
          <w:i/>
          <w:iCs/>
        </w:rPr>
        <w:t>Arch. Biochem. Biophys.</w:t>
      </w:r>
      <w:r>
        <w:t xml:space="preserve"> 313, 102–111. doi: 10.1006/abbi.1994.1365.</w:t>
      </w:r>
    </w:p>
    <w:p w14:paraId="05A56E2A" w14:textId="77777777" w:rsidR="00900A97" w:rsidRDefault="00900A97" w:rsidP="00900A97">
      <w:pPr>
        <w:pStyle w:val="Bibliography"/>
      </w:pPr>
      <w:r>
        <w:t xml:space="preserve">Provenzano, P. P., Heisey, D., Hayashi, K., Lakes, R., and Vanderby R., Jr. (2002). Subfailure damage in ligament: A structural and cellular evaluation. </w:t>
      </w:r>
      <w:r>
        <w:rPr>
          <w:i/>
          <w:iCs/>
        </w:rPr>
        <w:t>J. Appl. Physiol.</w:t>
      </w:r>
      <w:r>
        <w:t xml:space="preserve"> 92, 362–371.</w:t>
      </w:r>
    </w:p>
    <w:p w14:paraId="367FECCB" w14:textId="77777777" w:rsidR="00900A97" w:rsidRDefault="00900A97" w:rsidP="00900A97">
      <w:pPr>
        <w:pStyle w:val="Bibliography"/>
      </w:pPr>
      <w:r>
        <w:t xml:space="preserve">Puxkandl, R., Zizak, I., Paris, O., Keckes, J., Tesch, W., Bernstorff, S., et al. (2002). Viscoelastic properties of collagen: synchrotron radiation investigations and structural model. </w:t>
      </w:r>
      <w:r>
        <w:rPr>
          <w:i/>
          <w:iCs/>
        </w:rPr>
        <w:t>Philos. Trans. R. Soc. B Biol. Sci.</w:t>
      </w:r>
      <w:r>
        <w:t xml:space="preserve"> 357, 191–197. doi: 10.1098/rstb.2001.1033.</w:t>
      </w:r>
    </w:p>
    <w:p w14:paraId="64ABEFAD" w14:textId="77777777" w:rsidR="00900A97" w:rsidRDefault="00900A97" w:rsidP="00900A97">
      <w:pPr>
        <w:pStyle w:val="Bibliography"/>
      </w:pPr>
      <w:r>
        <w:t xml:space="preserve">Quasnichka, H. L., Anderson‐MacKenzie, J. M., Tarlton, J. F., Sims, T. J., Billingham, M. E. J., and Bailey, A. J. (2005). Cruciate ligament laxity and femoral intercondylar notch narrowing in early-stage knee osteoarthritis. </w:t>
      </w:r>
      <w:r>
        <w:rPr>
          <w:i/>
          <w:iCs/>
        </w:rPr>
        <w:t>Arthritis Rheum.</w:t>
      </w:r>
      <w:r>
        <w:t xml:space="preserve"> 52, 3100–3109. doi: 10.1002/art.21340.</w:t>
      </w:r>
    </w:p>
    <w:p w14:paraId="3316A813" w14:textId="77777777" w:rsidR="00900A97" w:rsidRDefault="00900A97" w:rsidP="00900A97">
      <w:pPr>
        <w:pStyle w:val="Bibliography"/>
      </w:pPr>
      <w:r>
        <w:t xml:space="preserve">Raspanti, M., Congiu, T., Alessandrini, A., Gobbi, P., and Ruggeri, A. (2000). Different patterns of collagen-proteoglycan interaction: a scanning electron microscopy and atomic force microscopy study. </w:t>
      </w:r>
      <w:r>
        <w:rPr>
          <w:i/>
          <w:iCs/>
        </w:rPr>
        <w:t>Eur. J. Histochem. EJH</w:t>
      </w:r>
      <w:r>
        <w:t xml:space="preserve"> 44, 335–343.</w:t>
      </w:r>
    </w:p>
    <w:p w14:paraId="073AADC8" w14:textId="77777777" w:rsidR="00900A97" w:rsidRDefault="00900A97" w:rsidP="00900A97">
      <w:pPr>
        <w:pStyle w:val="Bibliography"/>
      </w:pPr>
      <w:r>
        <w:t>Readioff, R. (2017). Viscoelastic behaviour of the canine cranial cruciate ligament complex. Available at: http://livrepository.liverpool.ac.uk/id/eprint/3016657.</w:t>
      </w:r>
    </w:p>
    <w:p w14:paraId="71299311" w14:textId="77777777" w:rsidR="00900A97" w:rsidRDefault="00900A97" w:rsidP="00900A97">
      <w:pPr>
        <w:pStyle w:val="Bibliography"/>
      </w:pPr>
      <w:r>
        <w:lastRenderedPageBreak/>
        <w:t xml:space="preserve">Readioff, R., Geraghty, B., Comerford, E., and Elsheikh, A. (2020a). A full-field 3D digital image correlation and modelling technique to characterise anterior cruciate ligament mechanics ex vivo. </w:t>
      </w:r>
      <w:r>
        <w:rPr>
          <w:i/>
          <w:iCs/>
        </w:rPr>
        <w:t>Acta Biomater.</w:t>
      </w:r>
      <w:r>
        <w:t xml:space="preserve"> 113, 417–428. doi: 10.1016/j.actbio.2020.07.003.</w:t>
      </w:r>
    </w:p>
    <w:p w14:paraId="62FBE2F8" w14:textId="77777777" w:rsidR="00900A97" w:rsidRDefault="00900A97" w:rsidP="00900A97">
      <w:pPr>
        <w:pStyle w:val="Bibliography"/>
      </w:pPr>
      <w:r>
        <w:t xml:space="preserve">Readioff, R., Geraghty, B., Elsheikh, A., and Comerford, E. (2020b). Viscoelastic characteristics of the canine cranial cruciate ligament complex at slow strain rates. </w:t>
      </w:r>
      <w:r>
        <w:rPr>
          <w:i/>
          <w:iCs/>
        </w:rPr>
        <w:t>PeerJ</w:t>
      </w:r>
      <w:r>
        <w:t xml:space="preserve"> 8, e10635. doi: 10.7717/peerj.10635.</w:t>
      </w:r>
    </w:p>
    <w:p w14:paraId="743F1E3B" w14:textId="77777777" w:rsidR="00900A97" w:rsidRDefault="00900A97" w:rsidP="00900A97">
      <w:pPr>
        <w:pStyle w:val="Bibliography"/>
      </w:pPr>
      <w:r>
        <w:t xml:space="preserve">Reed, C. C., and Iozzo, R. V. (2002). The role of decorin in collagen fibrillogenesis and skin homeostasis. </w:t>
      </w:r>
      <w:r>
        <w:rPr>
          <w:i/>
          <w:iCs/>
        </w:rPr>
        <w:t>Glycoconj. J.</w:t>
      </w:r>
      <w:r>
        <w:t xml:space="preserve"> 19, 249–255. doi: 10.1023/A:1025383913444.</w:t>
      </w:r>
    </w:p>
    <w:p w14:paraId="3477AAFB" w14:textId="77777777" w:rsidR="00900A97" w:rsidRDefault="00900A97" w:rsidP="00900A97">
      <w:pPr>
        <w:pStyle w:val="Bibliography"/>
      </w:pPr>
      <w:r>
        <w:t xml:space="preserve">Robinson, K. A., Sun, M., Barnum, C. E., Weiss, S. N., Huegel, J., Shetye, S. S., et al. (2017). Decorin and biglycan are necessary for maintaining collagen fibril structure, fiber realignment, and mechanical properties of mature tendons. </w:t>
      </w:r>
      <w:r>
        <w:rPr>
          <w:i/>
          <w:iCs/>
        </w:rPr>
        <w:t>Matrix Biol.</w:t>
      </w:r>
      <w:r>
        <w:t xml:space="preserve"> 64, 81–93. doi: 10.1016/j.matbio.2017.08.004.</w:t>
      </w:r>
    </w:p>
    <w:p w14:paraId="6DE7283C" w14:textId="77777777" w:rsidR="00900A97" w:rsidRDefault="00900A97" w:rsidP="00900A97">
      <w:pPr>
        <w:pStyle w:val="Bibliography"/>
      </w:pPr>
      <w:r>
        <w:t xml:space="preserve">Robinson, P. S., Huang, T.-F., Kazam, E., Iozzo, R. V., Birk, D. E., and Soslowsky, L. J. (2005). Influence of decorin and biglycan on mechanical properties of multiple tendons in knockout mice. </w:t>
      </w:r>
      <w:r>
        <w:rPr>
          <w:i/>
          <w:iCs/>
        </w:rPr>
        <w:t>J. Biomech. Eng.</w:t>
      </w:r>
      <w:r>
        <w:t xml:space="preserve"> 127, 181–185. doi: 10.1115/1.1835363.</w:t>
      </w:r>
    </w:p>
    <w:p w14:paraId="57FF89D2" w14:textId="77777777" w:rsidR="00900A97" w:rsidRDefault="00900A97" w:rsidP="00900A97">
      <w:pPr>
        <w:pStyle w:val="Bibliography"/>
      </w:pPr>
      <w:r>
        <w:t xml:space="preserve">Rumian, A. P., Wallace, A. L., and Birch, H. L. (2007). Tendons and ligaments are anatomically distinct but overlap in molecular and morphological features--a comparative study in an ovine model. </w:t>
      </w:r>
      <w:r>
        <w:rPr>
          <w:i/>
          <w:iCs/>
        </w:rPr>
        <w:t>J. Orthop. Res. Off. Publ. Orthop. Res. Soc.</w:t>
      </w:r>
      <w:r>
        <w:t xml:space="preserve"> 25, 458–464. doi: 10.1002/jor.20218.</w:t>
      </w:r>
    </w:p>
    <w:p w14:paraId="0157193B" w14:textId="77777777" w:rsidR="00900A97" w:rsidRDefault="00900A97" w:rsidP="00900A97">
      <w:pPr>
        <w:pStyle w:val="Bibliography"/>
      </w:pPr>
      <w:r>
        <w:t xml:space="preserve">Savelberg, H. H., Kooloos, J. G., Huiskes, R., and Kauer, J. M. (1993). An indirect method to assess wrist ligament forces with particular regard to the effect of preconditioning. </w:t>
      </w:r>
      <w:r>
        <w:rPr>
          <w:i/>
          <w:iCs/>
        </w:rPr>
        <w:t>J. Biomech.</w:t>
      </w:r>
      <w:r>
        <w:t xml:space="preserve"> 26, 1347–1351. doi: 10.1016/0021-9290(93)90358-l.</w:t>
      </w:r>
    </w:p>
    <w:p w14:paraId="056F9B0B" w14:textId="77777777" w:rsidR="00900A97" w:rsidRDefault="00900A97" w:rsidP="00900A97">
      <w:pPr>
        <w:pStyle w:val="Bibliography"/>
      </w:pPr>
      <w:r>
        <w:t xml:space="preserve">Scott, J. E. (1985). Proteoglycan histochemistry--a valuable tool for connective tissue biochemists. </w:t>
      </w:r>
      <w:r>
        <w:rPr>
          <w:i/>
          <w:iCs/>
        </w:rPr>
        <w:t>Coll. Relat. Res.</w:t>
      </w:r>
      <w:r>
        <w:t xml:space="preserve"> 5, 541–575. doi: 10.1016/s0174-173x(85)80008-x.</w:t>
      </w:r>
    </w:p>
    <w:p w14:paraId="259BA7BA" w14:textId="77777777" w:rsidR="00900A97" w:rsidRDefault="00900A97" w:rsidP="00900A97">
      <w:pPr>
        <w:pStyle w:val="Bibliography"/>
      </w:pPr>
      <w:r>
        <w:t xml:space="preserve">Scott, J. E. (2003). Elasticity in extracellular matrix ‘shape modules’ of tendon, cartilage, etc. A sliding proteoglycan-filament model. </w:t>
      </w:r>
      <w:r>
        <w:rPr>
          <w:i/>
          <w:iCs/>
        </w:rPr>
        <w:t>J. Physiol.</w:t>
      </w:r>
      <w:r>
        <w:t xml:space="preserve"> 553, 335–343. doi: 10.1113/jphysiol.2003.050179.</w:t>
      </w:r>
    </w:p>
    <w:p w14:paraId="5F7E486B" w14:textId="77777777" w:rsidR="00900A97" w:rsidRDefault="00900A97" w:rsidP="00900A97">
      <w:pPr>
        <w:pStyle w:val="Bibliography"/>
      </w:pPr>
      <w:r>
        <w:t xml:space="preserve">Scott, J. E., and Thomlinson, A. M. (1998). The structure of interfibrillar proteoglycan bridges (‘shape modules’) in extracellular matrix of fibrous connective tissues and their stability in various chemical environments. </w:t>
      </w:r>
      <w:r>
        <w:rPr>
          <w:i/>
          <w:iCs/>
        </w:rPr>
        <w:t>J. Anat.</w:t>
      </w:r>
      <w:r>
        <w:t xml:space="preserve"> 192, 391–405. doi: 10.1046/j.1469-7580.1998.19230391.x.</w:t>
      </w:r>
    </w:p>
    <w:p w14:paraId="0AAD141E" w14:textId="77777777" w:rsidR="00900A97" w:rsidRDefault="00900A97" w:rsidP="00900A97">
      <w:pPr>
        <w:pStyle w:val="Bibliography"/>
      </w:pPr>
      <w:r>
        <w:t xml:space="preserve">Screen, H. R. C., Toorani, S., and Shelton, J. C. (2013). Microstructural stress relaxation mechanics in functionally different tendons. </w:t>
      </w:r>
      <w:r>
        <w:rPr>
          <w:i/>
          <w:iCs/>
        </w:rPr>
        <w:t>Med. Eng. Phys.</w:t>
      </w:r>
      <w:r>
        <w:t xml:space="preserve"> 35, 96–102. doi: 10.1016/j.medengphy.2012.04.004.</w:t>
      </w:r>
    </w:p>
    <w:p w14:paraId="2CE97999" w14:textId="77777777" w:rsidR="00900A97" w:rsidRDefault="00900A97" w:rsidP="00900A97">
      <w:pPr>
        <w:pStyle w:val="Bibliography"/>
      </w:pPr>
      <w:r>
        <w:t xml:space="preserve">Smith, K. D., Clegg, P. D., Innes, J. F., and Comerford, E. J. (2014). Elastin content is high in the canine cruciate ligament and is associated with degeneration. </w:t>
      </w:r>
      <w:r>
        <w:rPr>
          <w:i/>
          <w:iCs/>
        </w:rPr>
        <w:t>Vet. J.</w:t>
      </w:r>
      <w:r>
        <w:t xml:space="preserve"> 199, 169–174. doi: 10.1016/j.tvjl.2013.11.002.</w:t>
      </w:r>
    </w:p>
    <w:p w14:paraId="13EAACFD" w14:textId="77777777" w:rsidR="00900A97" w:rsidRDefault="00900A97" w:rsidP="00900A97">
      <w:pPr>
        <w:pStyle w:val="Bibliography"/>
      </w:pPr>
      <w:r>
        <w:t xml:space="preserve">Smith, K. D., Vaughan‐Thomas, A., Spiller, D. G., Innes, J. F., Clegg, P. D., and Comerford, E. J. (2011). The organisation of elastin and fibrillins 1 and 2 in the cruciate ligament complex. </w:t>
      </w:r>
      <w:r>
        <w:rPr>
          <w:i/>
          <w:iCs/>
        </w:rPr>
        <w:t>J. Anat.</w:t>
      </w:r>
      <w:r>
        <w:t xml:space="preserve"> 218, 600–607. doi: 10.1111/j.1469-7580.2011.01374.x.</w:t>
      </w:r>
    </w:p>
    <w:p w14:paraId="2CFB278D" w14:textId="77777777" w:rsidR="00900A97" w:rsidRDefault="00900A97" w:rsidP="00900A97">
      <w:pPr>
        <w:pStyle w:val="Bibliography"/>
      </w:pPr>
      <w:r>
        <w:lastRenderedPageBreak/>
        <w:t xml:space="preserve">Thornton, G. M., Shrive, N. G., and Frank, C. B. (2001). Altering ligament water content affects ligament pre-stress and creep behaviour. </w:t>
      </w:r>
      <w:r>
        <w:rPr>
          <w:i/>
          <w:iCs/>
        </w:rPr>
        <w:t>J. Orthop. Res.</w:t>
      </w:r>
      <w:r>
        <w:t xml:space="preserve"> 19, 845–851. doi: 10.1016/S0736-0266(01)00005-5.</w:t>
      </w:r>
    </w:p>
    <w:p w14:paraId="3A290432" w14:textId="77777777" w:rsidR="00900A97" w:rsidRDefault="00900A97" w:rsidP="00900A97">
      <w:pPr>
        <w:pStyle w:val="Bibliography"/>
      </w:pPr>
      <w:r>
        <w:t xml:space="preserve">Vasseur, P. B., Stevenson, S., Gregory, C. R., Rodrigo, J. J., Pauli, S., Heitter, D., et al. (1991). Anterior cruciate ligament allograft transplantation in dogs. </w:t>
      </w:r>
      <w:r>
        <w:rPr>
          <w:i/>
          <w:iCs/>
        </w:rPr>
        <w:t>Clin. Orthop.</w:t>
      </w:r>
      <w:r>
        <w:t>, 295–304.</w:t>
      </w:r>
    </w:p>
    <w:p w14:paraId="5292BFF0" w14:textId="77777777" w:rsidR="00900A97" w:rsidRDefault="00900A97" w:rsidP="00900A97">
      <w:pPr>
        <w:pStyle w:val="Bibliography"/>
      </w:pPr>
      <w:r>
        <w:t xml:space="preserve">Vogel, K. (1994). Glycosaminoglycans and proteoglycans. </w:t>
      </w:r>
      <w:r>
        <w:rPr>
          <w:i/>
          <w:iCs/>
        </w:rPr>
        <w:t>Extracell. Matrix Assem. Struct.</w:t>
      </w:r>
      <w:r>
        <w:t>, 243–273.</w:t>
      </w:r>
    </w:p>
    <w:p w14:paraId="62DA48DB" w14:textId="77777777" w:rsidR="00900A97" w:rsidRDefault="00900A97" w:rsidP="00900A97">
      <w:pPr>
        <w:pStyle w:val="Bibliography"/>
      </w:pPr>
      <w:r>
        <w:t xml:space="preserve">Woo, S. L. Y., Gomez, M. A., and Akeson, W. H. (1981). The time and history-dependent viscoelastic properties of the canine medical collateral ligament. </w:t>
      </w:r>
      <w:r>
        <w:rPr>
          <w:i/>
          <w:iCs/>
        </w:rPr>
        <w:t>J. Biomech. Eng.</w:t>
      </w:r>
      <w:r>
        <w:t xml:space="preserve"> 103, 293–298.</w:t>
      </w:r>
    </w:p>
    <w:p w14:paraId="6B29DE43" w14:textId="77777777" w:rsidR="00900A97" w:rsidRDefault="00900A97" w:rsidP="00900A97">
      <w:pPr>
        <w:pStyle w:val="Bibliography"/>
      </w:pPr>
      <w:r>
        <w:t xml:space="preserve">Woo, S. L. Y., Ohland, K. J., and Weiss, J. A. (1990a). Aging and sex-related changes in the biomechanical properties of the rabbit medial collateral ligament. </w:t>
      </w:r>
      <w:r>
        <w:rPr>
          <w:i/>
          <w:iCs/>
        </w:rPr>
        <w:t>Mech. Ageing Dev.</w:t>
      </w:r>
      <w:r>
        <w:t xml:space="preserve"> 56, 129–142.</w:t>
      </w:r>
    </w:p>
    <w:p w14:paraId="40408EF9" w14:textId="77777777" w:rsidR="00900A97" w:rsidRDefault="00900A97" w:rsidP="00900A97">
      <w:pPr>
        <w:pStyle w:val="Bibliography"/>
      </w:pPr>
      <w:r>
        <w:t xml:space="preserve">Woo, S. L. Y., Peterson, R. H., Ohland, K. J., Sites, T. J., and Danto, M. I. (1990b). The effects of strain rate on the properties of the medial collateral ligament in skeletally immature and mature rabbits: a biomechanical and histological study. </w:t>
      </w:r>
      <w:r>
        <w:rPr>
          <w:i/>
          <w:iCs/>
        </w:rPr>
        <w:t>J. Orthop. Res.</w:t>
      </w:r>
      <w:r>
        <w:t xml:space="preserve"> 8, 712–721. doi: 10.1002/jor.1100080513.</w:t>
      </w:r>
    </w:p>
    <w:p w14:paraId="33DE3510" w14:textId="7E7459DC" w:rsidR="0088513A" w:rsidRDefault="0097525F" w:rsidP="0097525F">
      <w:pPr>
        <w:rPr>
          <w:rFonts w:cs="Times New Roman"/>
          <w:szCs w:val="24"/>
        </w:rPr>
      </w:pPr>
      <w:r>
        <w:rPr>
          <w:rFonts w:cs="Times New Roman"/>
          <w:szCs w:val="24"/>
        </w:rPr>
        <w:fldChar w:fldCharType="end"/>
      </w:r>
    </w:p>
    <w:p w14:paraId="1C367464" w14:textId="0F2F12DC" w:rsidR="00A73782" w:rsidRDefault="00A73782" w:rsidP="0097525F">
      <w:pPr>
        <w:rPr>
          <w:rFonts w:cs="Times New Roman"/>
          <w:szCs w:val="24"/>
        </w:rPr>
      </w:pPr>
      <w:r>
        <w:rPr>
          <w:rFonts w:cs="Times New Roman"/>
          <w:szCs w:val="24"/>
        </w:rPr>
        <w:br w:type="page"/>
      </w:r>
    </w:p>
    <w:p w14:paraId="287C2753" w14:textId="389FB71D" w:rsidR="00A73782" w:rsidRPr="00A73782" w:rsidRDefault="00A73782" w:rsidP="00A73782">
      <w:pPr>
        <w:rPr>
          <w:b/>
          <w:bCs/>
          <w:szCs w:val="24"/>
        </w:rPr>
      </w:pPr>
      <w:r w:rsidRPr="00A73782">
        <w:rPr>
          <w:b/>
          <w:bCs/>
          <w:szCs w:val="24"/>
        </w:rPr>
        <w:lastRenderedPageBreak/>
        <w:t>List of Tables</w:t>
      </w:r>
    </w:p>
    <w:p w14:paraId="44206755" w14:textId="2E4934F0" w:rsidR="00A73782" w:rsidRDefault="00A73782" w:rsidP="00A73782">
      <w:pPr>
        <w:rPr>
          <w:szCs w:val="24"/>
        </w:rPr>
      </w:pPr>
    </w:p>
    <w:p w14:paraId="6E8526BF" w14:textId="612E6ECA" w:rsidR="00A73782" w:rsidRDefault="00A73782" w:rsidP="00A73782">
      <w:pPr>
        <w:rPr>
          <w:rFonts w:ascii="Times" w:hAnsi="Times" w:cs="Times"/>
          <w:szCs w:val="24"/>
        </w:rPr>
      </w:pPr>
      <w:r w:rsidRPr="00385220">
        <w:rPr>
          <w:rFonts w:ascii="Times" w:hAnsi="Times" w:cs="Times"/>
          <w:b/>
          <w:bCs/>
          <w:szCs w:val="24"/>
        </w:rPr>
        <w:t>Table 1</w:t>
      </w:r>
      <w:r w:rsidRPr="00CE5276">
        <w:rPr>
          <w:rFonts w:ascii="Times" w:hAnsi="Times" w:cs="Times"/>
          <w:szCs w:val="24"/>
        </w:rPr>
        <w:t xml:space="preserve">: </w:t>
      </w:r>
      <w:r>
        <w:rPr>
          <w:rFonts w:ascii="Times" w:hAnsi="Times" w:cs="Times"/>
          <w:szCs w:val="24"/>
        </w:rPr>
        <w:t>The sulphated glycosaminoglycan (sGAG) contents</w:t>
      </w:r>
      <w:r w:rsidR="00F165D2">
        <w:rPr>
          <w:rFonts w:ascii="Times" w:hAnsi="Times" w:cs="Times"/>
          <w:szCs w:val="24"/>
        </w:rPr>
        <w:t xml:space="preserve"> (micrograms</w:t>
      </w:r>
      <w:r w:rsidR="0098517B">
        <w:rPr>
          <w:rFonts w:ascii="Times" w:hAnsi="Times" w:cs="Times"/>
          <w:szCs w:val="24"/>
        </w:rPr>
        <w:t xml:space="preserve"> of sGAG</w:t>
      </w:r>
      <w:r w:rsidR="00F165D2">
        <w:rPr>
          <w:rFonts w:ascii="Times" w:hAnsi="Times" w:cs="Times"/>
          <w:szCs w:val="24"/>
        </w:rPr>
        <w:t xml:space="preserve"> per milligram ligament dry weight) </w:t>
      </w:r>
      <w:r>
        <w:rPr>
          <w:rFonts w:ascii="Times" w:hAnsi="Times" w:cs="Times"/>
          <w:szCs w:val="24"/>
        </w:rPr>
        <w:t>of the cranial cruciate ligaments (CCLs) in control</w:t>
      </w:r>
      <w:r w:rsidR="0098517B">
        <w:rPr>
          <w:rFonts w:ascii="Times" w:hAnsi="Times" w:cs="Times"/>
          <w:szCs w:val="24"/>
        </w:rPr>
        <w:t xml:space="preserve"> (proteoglycans were not depleted)</w:t>
      </w:r>
      <w:r>
        <w:rPr>
          <w:rFonts w:ascii="Times" w:hAnsi="Times" w:cs="Times"/>
          <w:szCs w:val="24"/>
        </w:rPr>
        <w:t xml:space="preserve"> and treated</w:t>
      </w:r>
      <w:r w:rsidR="0098517B">
        <w:rPr>
          <w:rFonts w:ascii="Times" w:hAnsi="Times" w:cs="Times"/>
          <w:szCs w:val="24"/>
        </w:rPr>
        <w:t xml:space="preserve"> (proteoglycans were depleted)</w:t>
      </w:r>
      <w:r>
        <w:rPr>
          <w:rFonts w:ascii="Times" w:hAnsi="Times" w:cs="Times"/>
          <w:szCs w:val="24"/>
        </w:rPr>
        <w:t xml:space="preserve"> groups.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3125"/>
        <w:gridCol w:w="3989"/>
      </w:tblGrid>
      <w:tr w:rsidR="00A73782" w:rsidRPr="005F2D38" w14:paraId="7F51498C" w14:textId="77777777" w:rsidTr="0099211F">
        <w:trPr>
          <w:trHeight w:val="189"/>
          <w:jc w:val="center"/>
        </w:trPr>
        <w:tc>
          <w:tcPr>
            <w:tcW w:w="1358" w:type="pct"/>
            <w:vMerge w:val="restart"/>
            <w:shd w:val="clear" w:color="auto" w:fill="auto"/>
            <w:noWrap/>
            <w:vAlign w:val="center"/>
            <w:hideMark/>
          </w:tcPr>
          <w:p w14:paraId="052C7097" w14:textId="77777777" w:rsidR="00A73782" w:rsidRPr="005F2D38" w:rsidRDefault="00A73782" w:rsidP="0099211F">
            <w:pPr>
              <w:spacing w:after="0"/>
              <w:jc w:val="center"/>
              <w:rPr>
                <w:rFonts w:eastAsia="Times New Roman" w:cs="Times New Roman"/>
                <w:b/>
                <w:bCs/>
                <w:color w:val="000000"/>
                <w:szCs w:val="24"/>
                <w:lang w:eastAsia="en-GB"/>
              </w:rPr>
            </w:pPr>
            <w:r>
              <w:rPr>
                <w:rFonts w:eastAsia="Times New Roman" w:cs="Times New Roman"/>
                <w:b/>
                <w:bCs/>
                <w:color w:val="000000"/>
                <w:szCs w:val="24"/>
                <w:lang w:eastAsia="en-GB"/>
              </w:rPr>
              <w:t>C</w:t>
            </w:r>
            <w:r w:rsidRPr="005F2D38">
              <w:rPr>
                <w:rFonts w:eastAsia="Times New Roman" w:cs="Times New Roman"/>
                <w:b/>
                <w:bCs/>
                <w:color w:val="000000"/>
                <w:szCs w:val="24"/>
                <w:lang w:eastAsia="en-GB"/>
              </w:rPr>
              <w:t>CL Specimens</w:t>
            </w:r>
          </w:p>
          <w:p w14:paraId="14E8066F" w14:textId="77777777" w:rsidR="00A73782" w:rsidRPr="005F2D38" w:rsidRDefault="00A73782" w:rsidP="0099211F">
            <w:pPr>
              <w:spacing w:after="0"/>
              <w:jc w:val="center"/>
              <w:rPr>
                <w:rFonts w:eastAsia="Times New Roman" w:cs="Times New Roman"/>
                <w:b/>
                <w:bCs/>
                <w:color w:val="000000"/>
                <w:szCs w:val="24"/>
                <w:lang w:eastAsia="en-GB"/>
              </w:rPr>
            </w:pPr>
            <w:r w:rsidRPr="005F2D38">
              <w:rPr>
                <w:rFonts w:eastAsia="Times New Roman" w:cs="Times New Roman"/>
                <w:b/>
                <w:bCs/>
                <w:color w:val="000000"/>
                <w:szCs w:val="24"/>
                <w:lang w:eastAsia="en-GB"/>
              </w:rPr>
              <w:t> </w:t>
            </w:r>
          </w:p>
        </w:tc>
        <w:tc>
          <w:tcPr>
            <w:tcW w:w="3642" w:type="pct"/>
            <w:gridSpan w:val="2"/>
            <w:shd w:val="clear" w:color="auto" w:fill="auto"/>
            <w:vAlign w:val="center"/>
            <w:hideMark/>
          </w:tcPr>
          <w:p w14:paraId="244B7EEE" w14:textId="3D41F2B4" w:rsidR="00A73782" w:rsidRPr="005F2D38" w:rsidRDefault="00A73782" w:rsidP="0099211F">
            <w:pPr>
              <w:spacing w:after="0"/>
              <w:jc w:val="center"/>
              <w:rPr>
                <w:rFonts w:eastAsia="Times New Roman" w:cs="Times New Roman"/>
                <w:b/>
                <w:bCs/>
                <w:color w:val="000000"/>
                <w:szCs w:val="24"/>
                <w:lang w:eastAsia="en-GB"/>
              </w:rPr>
            </w:pPr>
            <w:r w:rsidRPr="005F2D38">
              <w:rPr>
                <w:rFonts w:eastAsia="Times New Roman" w:cs="Times New Roman"/>
                <w:b/>
                <w:bCs/>
                <w:color w:val="000000"/>
                <w:szCs w:val="24"/>
                <w:lang w:eastAsia="en-GB"/>
              </w:rPr>
              <w:t>Microgram</w:t>
            </w:r>
            <w:r w:rsidR="00FE5D23">
              <w:rPr>
                <w:rFonts w:eastAsia="Times New Roman" w:cs="Times New Roman"/>
                <w:b/>
                <w:bCs/>
                <w:color w:val="000000"/>
                <w:szCs w:val="24"/>
                <w:lang w:eastAsia="en-GB"/>
              </w:rPr>
              <w:t>s</w:t>
            </w:r>
            <w:r w:rsidRPr="005F2D38">
              <w:rPr>
                <w:rFonts w:eastAsia="Times New Roman" w:cs="Times New Roman"/>
                <w:b/>
                <w:bCs/>
                <w:color w:val="000000"/>
                <w:szCs w:val="24"/>
                <w:lang w:eastAsia="en-GB"/>
              </w:rPr>
              <w:t xml:space="preserve"> of sGAG per </w:t>
            </w:r>
            <w:r w:rsidR="00F165D2">
              <w:rPr>
                <w:rFonts w:eastAsia="Times New Roman" w:cs="Times New Roman"/>
                <w:b/>
                <w:bCs/>
                <w:color w:val="000000"/>
                <w:szCs w:val="24"/>
                <w:lang w:eastAsia="en-GB"/>
              </w:rPr>
              <w:t>milligram</w:t>
            </w:r>
            <w:r w:rsidRPr="005F2D38">
              <w:rPr>
                <w:rFonts w:eastAsia="Times New Roman" w:cs="Times New Roman"/>
                <w:b/>
                <w:bCs/>
                <w:color w:val="000000"/>
                <w:szCs w:val="24"/>
                <w:lang w:eastAsia="en-GB"/>
              </w:rPr>
              <w:t xml:space="preserve"> dry weight of the </w:t>
            </w:r>
            <w:r>
              <w:rPr>
                <w:rFonts w:eastAsia="Times New Roman" w:cs="Times New Roman"/>
                <w:b/>
                <w:bCs/>
                <w:color w:val="000000"/>
                <w:szCs w:val="24"/>
                <w:lang w:eastAsia="en-GB"/>
              </w:rPr>
              <w:t>C</w:t>
            </w:r>
            <w:r w:rsidRPr="005F2D38">
              <w:rPr>
                <w:rFonts w:eastAsia="Times New Roman" w:cs="Times New Roman"/>
                <w:b/>
                <w:bCs/>
                <w:color w:val="000000"/>
                <w:szCs w:val="24"/>
                <w:lang w:eastAsia="en-GB"/>
              </w:rPr>
              <w:t>CL (%)</w:t>
            </w:r>
          </w:p>
        </w:tc>
      </w:tr>
      <w:tr w:rsidR="00A73782" w:rsidRPr="005F2D38" w14:paraId="2C7168D1" w14:textId="77777777" w:rsidTr="0099211F">
        <w:trPr>
          <w:trHeight w:val="86"/>
          <w:jc w:val="center"/>
        </w:trPr>
        <w:tc>
          <w:tcPr>
            <w:tcW w:w="1358" w:type="pct"/>
            <w:vMerge/>
            <w:shd w:val="clear" w:color="auto" w:fill="auto"/>
            <w:noWrap/>
            <w:vAlign w:val="center"/>
            <w:hideMark/>
          </w:tcPr>
          <w:p w14:paraId="6C7F7EEF" w14:textId="77777777" w:rsidR="00A73782" w:rsidRPr="005F2D38" w:rsidRDefault="00A73782" w:rsidP="0099211F">
            <w:pPr>
              <w:spacing w:after="0"/>
              <w:jc w:val="center"/>
              <w:rPr>
                <w:rFonts w:eastAsia="Times New Roman" w:cs="Times New Roman"/>
                <w:b/>
                <w:bCs/>
                <w:color w:val="000000"/>
                <w:szCs w:val="24"/>
                <w:lang w:eastAsia="en-GB"/>
              </w:rPr>
            </w:pPr>
          </w:p>
        </w:tc>
        <w:tc>
          <w:tcPr>
            <w:tcW w:w="1600" w:type="pct"/>
            <w:shd w:val="clear" w:color="auto" w:fill="auto"/>
            <w:vAlign w:val="center"/>
            <w:hideMark/>
          </w:tcPr>
          <w:p w14:paraId="7235996C" w14:textId="77777777" w:rsidR="00A73782" w:rsidRPr="005F2D38" w:rsidRDefault="00A73782" w:rsidP="0099211F">
            <w:pPr>
              <w:spacing w:after="0"/>
              <w:jc w:val="center"/>
              <w:rPr>
                <w:rFonts w:eastAsia="Times New Roman" w:cs="Times New Roman"/>
                <w:b/>
                <w:bCs/>
                <w:color w:val="000000"/>
                <w:szCs w:val="24"/>
                <w:lang w:eastAsia="en-GB"/>
              </w:rPr>
            </w:pPr>
            <w:r w:rsidRPr="005F2D38">
              <w:rPr>
                <w:rFonts w:eastAsia="Times New Roman" w:cs="Times New Roman"/>
                <w:b/>
                <w:bCs/>
                <w:color w:val="000000"/>
                <w:szCs w:val="24"/>
                <w:lang w:eastAsia="en-GB"/>
              </w:rPr>
              <w:t>Control Group</w:t>
            </w:r>
          </w:p>
        </w:tc>
        <w:tc>
          <w:tcPr>
            <w:tcW w:w="2042" w:type="pct"/>
            <w:shd w:val="clear" w:color="auto" w:fill="auto"/>
            <w:vAlign w:val="center"/>
            <w:hideMark/>
          </w:tcPr>
          <w:p w14:paraId="0D4BB528" w14:textId="77777777" w:rsidR="00A73782" w:rsidRPr="005F2D38" w:rsidRDefault="00A73782" w:rsidP="0099211F">
            <w:pPr>
              <w:spacing w:after="0"/>
              <w:jc w:val="center"/>
              <w:rPr>
                <w:rFonts w:eastAsia="Times New Roman" w:cs="Times New Roman"/>
                <w:b/>
                <w:bCs/>
                <w:color w:val="000000"/>
                <w:szCs w:val="24"/>
                <w:lang w:eastAsia="en-GB"/>
              </w:rPr>
            </w:pPr>
            <w:r>
              <w:rPr>
                <w:rFonts w:eastAsia="Times New Roman" w:cs="Times New Roman"/>
                <w:b/>
                <w:bCs/>
                <w:color w:val="000000"/>
                <w:szCs w:val="24"/>
                <w:lang w:eastAsia="en-GB"/>
              </w:rPr>
              <w:t>Treated</w:t>
            </w:r>
            <w:r w:rsidRPr="005F2D38">
              <w:rPr>
                <w:rFonts w:eastAsia="Times New Roman" w:cs="Times New Roman"/>
                <w:b/>
                <w:bCs/>
                <w:color w:val="000000"/>
                <w:szCs w:val="24"/>
                <w:lang w:eastAsia="en-GB"/>
              </w:rPr>
              <w:t xml:space="preserve"> Group</w:t>
            </w:r>
          </w:p>
        </w:tc>
      </w:tr>
      <w:tr w:rsidR="00A73782" w:rsidRPr="005F2D38" w14:paraId="1A069726" w14:textId="77777777" w:rsidTr="0099211F">
        <w:trPr>
          <w:trHeight w:val="269"/>
          <w:jc w:val="center"/>
        </w:trPr>
        <w:tc>
          <w:tcPr>
            <w:tcW w:w="1358" w:type="pct"/>
            <w:shd w:val="clear" w:color="auto" w:fill="auto"/>
            <w:noWrap/>
            <w:vAlign w:val="center"/>
            <w:hideMark/>
          </w:tcPr>
          <w:p w14:paraId="15CEF6FD" w14:textId="6C29695D" w:rsidR="00A73782" w:rsidRPr="005F2D38" w:rsidRDefault="00A73782" w:rsidP="0099211F">
            <w:pPr>
              <w:spacing w:after="0"/>
              <w:jc w:val="center"/>
              <w:rPr>
                <w:rFonts w:eastAsia="Times New Roman" w:cs="Times New Roman"/>
                <w:b/>
                <w:bCs/>
                <w:color w:val="000000"/>
                <w:szCs w:val="24"/>
                <w:lang w:eastAsia="en-GB"/>
              </w:rPr>
            </w:pPr>
            <w:r w:rsidRPr="005F2D38">
              <w:rPr>
                <w:rFonts w:eastAsia="Times New Roman" w:cs="Times New Roman"/>
                <w:b/>
                <w:bCs/>
                <w:color w:val="000000"/>
                <w:szCs w:val="24"/>
                <w:lang w:eastAsia="en-GB"/>
              </w:rPr>
              <w:t>S</w:t>
            </w:r>
            <w:r w:rsidR="00F165D2">
              <w:rPr>
                <w:rFonts w:eastAsia="Times New Roman" w:cs="Times New Roman"/>
                <w:b/>
                <w:bCs/>
                <w:color w:val="000000"/>
                <w:szCs w:val="24"/>
                <w:lang w:eastAsia="en-GB"/>
              </w:rPr>
              <w:t xml:space="preserve">pecimen </w:t>
            </w:r>
            <w:r w:rsidRPr="005F2D38">
              <w:rPr>
                <w:rFonts w:eastAsia="Times New Roman" w:cs="Times New Roman"/>
                <w:b/>
                <w:bCs/>
                <w:color w:val="000000"/>
                <w:szCs w:val="24"/>
                <w:lang w:eastAsia="en-GB"/>
              </w:rPr>
              <w:t>1</w:t>
            </w:r>
          </w:p>
        </w:tc>
        <w:tc>
          <w:tcPr>
            <w:tcW w:w="1600" w:type="pct"/>
            <w:shd w:val="clear" w:color="auto" w:fill="auto"/>
            <w:noWrap/>
            <w:vAlign w:val="center"/>
            <w:hideMark/>
          </w:tcPr>
          <w:p w14:paraId="3FE61250" w14:textId="77777777" w:rsidR="00A73782" w:rsidRPr="005F2D38" w:rsidRDefault="00A73782" w:rsidP="0099211F">
            <w:pPr>
              <w:spacing w:after="0"/>
              <w:jc w:val="center"/>
              <w:rPr>
                <w:rFonts w:eastAsia="Times New Roman" w:cs="Times New Roman"/>
                <w:color w:val="000000"/>
                <w:szCs w:val="24"/>
                <w:lang w:eastAsia="en-GB"/>
              </w:rPr>
            </w:pPr>
            <w:r w:rsidRPr="005F2D38">
              <w:rPr>
                <w:rFonts w:eastAsia="Times New Roman" w:cs="Times New Roman"/>
                <w:color w:val="000000"/>
                <w:szCs w:val="24"/>
                <w:lang w:eastAsia="en-GB"/>
              </w:rPr>
              <w:t>3.8</w:t>
            </w:r>
          </w:p>
        </w:tc>
        <w:tc>
          <w:tcPr>
            <w:tcW w:w="2042" w:type="pct"/>
            <w:shd w:val="clear" w:color="auto" w:fill="auto"/>
            <w:noWrap/>
            <w:vAlign w:val="center"/>
            <w:hideMark/>
          </w:tcPr>
          <w:p w14:paraId="78596F0F" w14:textId="77777777" w:rsidR="00A73782" w:rsidRPr="005F2D38" w:rsidRDefault="00A73782" w:rsidP="0099211F">
            <w:pPr>
              <w:spacing w:after="0"/>
              <w:jc w:val="center"/>
              <w:rPr>
                <w:rFonts w:eastAsia="Times New Roman" w:cs="Times New Roman"/>
                <w:color w:val="000000"/>
                <w:szCs w:val="24"/>
                <w:lang w:eastAsia="en-GB"/>
              </w:rPr>
            </w:pPr>
            <w:r w:rsidRPr="005F2D38">
              <w:rPr>
                <w:rFonts w:eastAsia="Times New Roman" w:cs="Times New Roman"/>
                <w:color w:val="000000"/>
                <w:szCs w:val="24"/>
                <w:lang w:eastAsia="en-GB"/>
              </w:rPr>
              <w:t>2.5</w:t>
            </w:r>
          </w:p>
        </w:tc>
      </w:tr>
      <w:tr w:rsidR="00A73782" w:rsidRPr="005F2D38" w14:paraId="66120461" w14:textId="77777777" w:rsidTr="0099211F">
        <w:trPr>
          <w:trHeight w:val="269"/>
          <w:jc w:val="center"/>
        </w:trPr>
        <w:tc>
          <w:tcPr>
            <w:tcW w:w="1358" w:type="pct"/>
            <w:shd w:val="clear" w:color="auto" w:fill="auto"/>
            <w:noWrap/>
            <w:vAlign w:val="center"/>
            <w:hideMark/>
          </w:tcPr>
          <w:p w14:paraId="09E15AA9" w14:textId="321C15D3" w:rsidR="00A73782" w:rsidRPr="005F2D38" w:rsidRDefault="00F165D2" w:rsidP="0099211F">
            <w:pPr>
              <w:spacing w:after="0"/>
              <w:jc w:val="center"/>
              <w:rPr>
                <w:rFonts w:eastAsia="Times New Roman" w:cs="Times New Roman"/>
                <w:b/>
                <w:bCs/>
                <w:color w:val="000000"/>
                <w:szCs w:val="24"/>
                <w:lang w:eastAsia="en-GB"/>
              </w:rPr>
            </w:pPr>
            <w:r w:rsidRPr="005F2D38">
              <w:rPr>
                <w:rFonts w:eastAsia="Times New Roman" w:cs="Times New Roman"/>
                <w:b/>
                <w:bCs/>
                <w:color w:val="000000"/>
                <w:szCs w:val="24"/>
                <w:lang w:eastAsia="en-GB"/>
              </w:rPr>
              <w:t>S</w:t>
            </w:r>
            <w:r>
              <w:rPr>
                <w:rFonts w:eastAsia="Times New Roman" w:cs="Times New Roman"/>
                <w:b/>
                <w:bCs/>
                <w:color w:val="000000"/>
                <w:szCs w:val="24"/>
                <w:lang w:eastAsia="en-GB"/>
              </w:rPr>
              <w:t xml:space="preserve">pecimen </w:t>
            </w:r>
            <w:r w:rsidR="00A73782" w:rsidRPr="005F2D38">
              <w:rPr>
                <w:rFonts w:eastAsia="Times New Roman" w:cs="Times New Roman"/>
                <w:b/>
                <w:bCs/>
                <w:color w:val="000000"/>
                <w:szCs w:val="24"/>
                <w:lang w:eastAsia="en-GB"/>
              </w:rPr>
              <w:t>2</w:t>
            </w:r>
          </w:p>
        </w:tc>
        <w:tc>
          <w:tcPr>
            <w:tcW w:w="1600" w:type="pct"/>
            <w:shd w:val="clear" w:color="auto" w:fill="auto"/>
            <w:noWrap/>
            <w:vAlign w:val="center"/>
            <w:hideMark/>
          </w:tcPr>
          <w:p w14:paraId="255FAE4F" w14:textId="77777777" w:rsidR="00A73782" w:rsidRPr="005F2D38" w:rsidRDefault="00A73782" w:rsidP="0099211F">
            <w:pPr>
              <w:spacing w:after="0"/>
              <w:jc w:val="center"/>
              <w:rPr>
                <w:rFonts w:eastAsia="Times New Roman" w:cs="Times New Roman"/>
                <w:color w:val="000000"/>
                <w:szCs w:val="24"/>
                <w:lang w:eastAsia="en-GB"/>
              </w:rPr>
            </w:pPr>
            <w:r w:rsidRPr="005F2D38">
              <w:rPr>
                <w:rFonts w:eastAsia="Times New Roman" w:cs="Times New Roman"/>
                <w:color w:val="000000"/>
                <w:szCs w:val="24"/>
                <w:lang w:eastAsia="en-GB"/>
              </w:rPr>
              <w:t>6.6</w:t>
            </w:r>
          </w:p>
        </w:tc>
        <w:tc>
          <w:tcPr>
            <w:tcW w:w="2042" w:type="pct"/>
            <w:shd w:val="clear" w:color="auto" w:fill="auto"/>
            <w:noWrap/>
            <w:vAlign w:val="center"/>
            <w:hideMark/>
          </w:tcPr>
          <w:p w14:paraId="62AEC6EB" w14:textId="77777777" w:rsidR="00A73782" w:rsidRPr="005F2D38" w:rsidRDefault="00A73782" w:rsidP="0099211F">
            <w:pPr>
              <w:spacing w:after="0"/>
              <w:jc w:val="center"/>
              <w:rPr>
                <w:rFonts w:eastAsia="Times New Roman" w:cs="Times New Roman"/>
                <w:color w:val="000000"/>
                <w:szCs w:val="24"/>
                <w:lang w:eastAsia="en-GB"/>
              </w:rPr>
            </w:pPr>
            <w:r w:rsidRPr="005F2D38">
              <w:rPr>
                <w:rFonts w:eastAsia="Times New Roman" w:cs="Times New Roman"/>
                <w:color w:val="000000"/>
                <w:szCs w:val="24"/>
                <w:lang w:eastAsia="en-GB"/>
              </w:rPr>
              <w:t>4.7</w:t>
            </w:r>
          </w:p>
        </w:tc>
      </w:tr>
      <w:tr w:rsidR="00A73782" w:rsidRPr="005F2D38" w14:paraId="0DCE7053" w14:textId="77777777" w:rsidTr="0099211F">
        <w:trPr>
          <w:trHeight w:val="269"/>
          <w:jc w:val="center"/>
        </w:trPr>
        <w:tc>
          <w:tcPr>
            <w:tcW w:w="1358" w:type="pct"/>
            <w:shd w:val="clear" w:color="auto" w:fill="auto"/>
            <w:noWrap/>
            <w:vAlign w:val="center"/>
            <w:hideMark/>
          </w:tcPr>
          <w:p w14:paraId="5C3EE35D" w14:textId="4F187150" w:rsidR="00A73782" w:rsidRPr="005F2D38" w:rsidRDefault="00F165D2" w:rsidP="0099211F">
            <w:pPr>
              <w:spacing w:after="0"/>
              <w:jc w:val="center"/>
              <w:rPr>
                <w:rFonts w:eastAsia="Times New Roman" w:cs="Times New Roman"/>
                <w:b/>
                <w:bCs/>
                <w:color w:val="000000"/>
                <w:szCs w:val="24"/>
                <w:lang w:eastAsia="en-GB"/>
              </w:rPr>
            </w:pPr>
            <w:r w:rsidRPr="005F2D38">
              <w:rPr>
                <w:rFonts w:eastAsia="Times New Roman" w:cs="Times New Roman"/>
                <w:b/>
                <w:bCs/>
                <w:color w:val="000000"/>
                <w:szCs w:val="24"/>
                <w:lang w:eastAsia="en-GB"/>
              </w:rPr>
              <w:t>S</w:t>
            </w:r>
            <w:r>
              <w:rPr>
                <w:rFonts w:eastAsia="Times New Roman" w:cs="Times New Roman"/>
                <w:b/>
                <w:bCs/>
                <w:color w:val="000000"/>
                <w:szCs w:val="24"/>
                <w:lang w:eastAsia="en-GB"/>
              </w:rPr>
              <w:t xml:space="preserve">pecimen </w:t>
            </w:r>
            <w:r w:rsidR="00A73782" w:rsidRPr="005F2D38">
              <w:rPr>
                <w:rFonts w:eastAsia="Times New Roman" w:cs="Times New Roman"/>
                <w:b/>
                <w:bCs/>
                <w:color w:val="000000"/>
                <w:szCs w:val="24"/>
                <w:lang w:eastAsia="en-GB"/>
              </w:rPr>
              <w:t>3</w:t>
            </w:r>
          </w:p>
        </w:tc>
        <w:tc>
          <w:tcPr>
            <w:tcW w:w="1600" w:type="pct"/>
            <w:shd w:val="clear" w:color="auto" w:fill="auto"/>
            <w:noWrap/>
            <w:vAlign w:val="center"/>
            <w:hideMark/>
          </w:tcPr>
          <w:p w14:paraId="73A556BA" w14:textId="77777777" w:rsidR="00A73782" w:rsidRPr="005F2D38" w:rsidRDefault="00A73782" w:rsidP="0099211F">
            <w:pPr>
              <w:spacing w:after="0"/>
              <w:jc w:val="center"/>
              <w:rPr>
                <w:rFonts w:eastAsia="Times New Roman" w:cs="Times New Roman"/>
                <w:color w:val="000000"/>
                <w:szCs w:val="24"/>
                <w:lang w:eastAsia="en-GB"/>
              </w:rPr>
            </w:pPr>
            <w:r w:rsidRPr="005F2D38">
              <w:rPr>
                <w:rFonts w:eastAsia="Times New Roman" w:cs="Times New Roman"/>
                <w:color w:val="000000"/>
                <w:szCs w:val="24"/>
                <w:lang w:eastAsia="en-GB"/>
              </w:rPr>
              <w:t>2.2</w:t>
            </w:r>
          </w:p>
        </w:tc>
        <w:tc>
          <w:tcPr>
            <w:tcW w:w="2042" w:type="pct"/>
            <w:shd w:val="clear" w:color="auto" w:fill="auto"/>
            <w:noWrap/>
            <w:vAlign w:val="center"/>
            <w:hideMark/>
          </w:tcPr>
          <w:p w14:paraId="28FD05A6" w14:textId="77777777" w:rsidR="00A73782" w:rsidRPr="005F2D38" w:rsidRDefault="00A73782" w:rsidP="0099211F">
            <w:pPr>
              <w:spacing w:after="0"/>
              <w:jc w:val="center"/>
              <w:rPr>
                <w:rFonts w:eastAsia="Times New Roman" w:cs="Times New Roman"/>
                <w:color w:val="000000"/>
                <w:szCs w:val="24"/>
                <w:lang w:eastAsia="en-GB"/>
              </w:rPr>
            </w:pPr>
            <w:r w:rsidRPr="005F2D38">
              <w:rPr>
                <w:rFonts w:eastAsia="Times New Roman" w:cs="Times New Roman"/>
                <w:color w:val="000000"/>
                <w:szCs w:val="24"/>
                <w:lang w:eastAsia="en-GB"/>
              </w:rPr>
              <w:t>1.7</w:t>
            </w:r>
          </w:p>
        </w:tc>
      </w:tr>
      <w:tr w:rsidR="00A73782" w:rsidRPr="005F2D38" w14:paraId="2A229CF5" w14:textId="77777777" w:rsidTr="0099211F">
        <w:trPr>
          <w:trHeight w:val="269"/>
          <w:jc w:val="center"/>
        </w:trPr>
        <w:tc>
          <w:tcPr>
            <w:tcW w:w="1358" w:type="pct"/>
            <w:shd w:val="clear" w:color="auto" w:fill="auto"/>
            <w:noWrap/>
            <w:vAlign w:val="center"/>
            <w:hideMark/>
          </w:tcPr>
          <w:p w14:paraId="43B7CA69" w14:textId="173AEABB" w:rsidR="00A73782" w:rsidRPr="005F2D38" w:rsidRDefault="00F165D2" w:rsidP="0099211F">
            <w:pPr>
              <w:spacing w:after="0"/>
              <w:jc w:val="center"/>
              <w:rPr>
                <w:rFonts w:eastAsia="Times New Roman" w:cs="Times New Roman"/>
                <w:b/>
                <w:bCs/>
                <w:color w:val="000000"/>
                <w:szCs w:val="24"/>
                <w:lang w:eastAsia="en-GB"/>
              </w:rPr>
            </w:pPr>
            <w:r w:rsidRPr="005F2D38">
              <w:rPr>
                <w:rFonts w:eastAsia="Times New Roman" w:cs="Times New Roman"/>
                <w:b/>
                <w:bCs/>
                <w:color w:val="000000"/>
                <w:szCs w:val="24"/>
                <w:lang w:eastAsia="en-GB"/>
              </w:rPr>
              <w:t>S</w:t>
            </w:r>
            <w:r>
              <w:rPr>
                <w:rFonts w:eastAsia="Times New Roman" w:cs="Times New Roman"/>
                <w:b/>
                <w:bCs/>
                <w:color w:val="000000"/>
                <w:szCs w:val="24"/>
                <w:lang w:eastAsia="en-GB"/>
              </w:rPr>
              <w:t xml:space="preserve">pecimen </w:t>
            </w:r>
            <w:r w:rsidR="00A73782" w:rsidRPr="005F2D38">
              <w:rPr>
                <w:rFonts w:eastAsia="Times New Roman" w:cs="Times New Roman"/>
                <w:b/>
                <w:bCs/>
                <w:color w:val="000000"/>
                <w:szCs w:val="24"/>
                <w:lang w:eastAsia="en-GB"/>
              </w:rPr>
              <w:t>4</w:t>
            </w:r>
          </w:p>
        </w:tc>
        <w:tc>
          <w:tcPr>
            <w:tcW w:w="1600" w:type="pct"/>
            <w:shd w:val="clear" w:color="auto" w:fill="auto"/>
            <w:noWrap/>
            <w:vAlign w:val="center"/>
            <w:hideMark/>
          </w:tcPr>
          <w:p w14:paraId="7CDD0910" w14:textId="77777777" w:rsidR="00A73782" w:rsidRPr="005F2D38" w:rsidRDefault="00A73782" w:rsidP="0099211F">
            <w:pPr>
              <w:spacing w:after="0"/>
              <w:jc w:val="center"/>
              <w:rPr>
                <w:rFonts w:eastAsia="Times New Roman" w:cs="Times New Roman"/>
                <w:color w:val="000000"/>
                <w:szCs w:val="24"/>
                <w:lang w:eastAsia="en-GB"/>
              </w:rPr>
            </w:pPr>
            <w:r w:rsidRPr="005F2D38">
              <w:rPr>
                <w:rFonts w:eastAsia="Times New Roman" w:cs="Times New Roman"/>
                <w:color w:val="000000"/>
                <w:szCs w:val="24"/>
                <w:lang w:eastAsia="en-GB"/>
              </w:rPr>
              <w:t>2.2</w:t>
            </w:r>
          </w:p>
        </w:tc>
        <w:tc>
          <w:tcPr>
            <w:tcW w:w="2042" w:type="pct"/>
            <w:shd w:val="clear" w:color="auto" w:fill="auto"/>
            <w:noWrap/>
            <w:vAlign w:val="center"/>
            <w:hideMark/>
          </w:tcPr>
          <w:p w14:paraId="46B1B2BB" w14:textId="77777777" w:rsidR="00A73782" w:rsidRPr="005F2D38" w:rsidRDefault="00A73782" w:rsidP="0099211F">
            <w:pPr>
              <w:spacing w:after="0"/>
              <w:jc w:val="center"/>
              <w:rPr>
                <w:rFonts w:eastAsia="Times New Roman" w:cs="Times New Roman"/>
                <w:color w:val="000000"/>
                <w:szCs w:val="24"/>
                <w:lang w:eastAsia="en-GB"/>
              </w:rPr>
            </w:pPr>
            <w:r w:rsidRPr="005F2D38">
              <w:rPr>
                <w:rFonts w:eastAsia="Times New Roman" w:cs="Times New Roman"/>
                <w:color w:val="000000"/>
                <w:szCs w:val="24"/>
                <w:lang w:eastAsia="en-GB"/>
              </w:rPr>
              <w:t>2.2</w:t>
            </w:r>
          </w:p>
        </w:tc>
      </w:tr>
      <w:tr w:rsidR="00A73782" w:rsidRPr="005F2D38" w14:paraId="388CD1CF" w14:textId="77777777" w:rsidTr="0099211F">
        <w:trPr>
          <w:trHeight w:val="269"/>
          <w:jc w:val="center"/>
        </w:trPr>
        <w:tc>
          <w:tcPr>
            <w:tcW w:w="1358" w:type="pct"/>
            <w:shd w:val="clear" w:color="auto" w:fill="auto"/>
            <w:noWrap/>
            <w:vAlign w:val="center"/>
            <w:hideMark/>
          </w:tcPr>
          <w:p w14:paraId="0CEC217F" w14:textId="58D9E05D" w:rsidR="00A73782" w:rsidRPr="005F2D38" w:rsidRDefault="00F165D2" w:rsidP="0099211F">
            <w:pPr>
              <w:spacing w:after="0"/>
              <w:jc w:val="center"/>
              <w:rPr>
                <w:rFonts w:eastAsia="Times New Roman" w:cs="Times New Roman"/>
                <w:b/>
                <w:bCs/>
                <w:color w:val="000000"/>
                <w:szCs w:val="24"/>
                <w:lang w:eastAsia="en-GB"/>
              </w:rPr>
            </w:pPr>
            <w:r w:rsidRPr="005F2D38">
              <w:rPr>
                <w:rFonts w:eastAsia="Times New Roman" w:cs="Times New Roman"/>
                <w:b/>
                <w:bCs/>
                <w:color w:val="000000"/>
                <w:szCs w:val="24"/>
                <w:lang w:eastAsia="en-GB"/>
              </w:rPr>
              <w:t>S</w:t>
            </w:r>
            <w:r>
              <w:rPr>
                <w:rFonts w:eastAsia="Times New Roman" w:cs="Times New Roman"/>
                <w:b/>
                <w:bCs/>
                <w:color w:val="000000"/>
                <w:szCs w:val="24"/>
                <w:lang w:eastAsia="en-GB"/>
              </w:rPr>
              <w:t xml:space="preserve">pecimen </w:t>
            </w:r>
            <w:r w:rsidR="00A73782" w:rsidRPr="005F2D38">
              <w:rPr>
                <w:rFonts w:eastAsia="Times New Roman" w:cs="Times New Roman"/>
                <w:b/>
                <w:bCs/>
                <w:color w:val="000000"/>
                <w:szCs w:val="24"/>
                <w:lang w:eastAsia="en-GB"/>
              </w:rPr>
              <w:t>5</w:t>
            </w:r>
          </w:p>
        </w:tc>
        <w:tc>
          <w:tcPr>
            <w:tcW w:w="1600" w:type="pct"/>
            <w:shd w:val="clear" w:color="auto" w:fill="auto"/>
            <w:noWrap/>
            <w:vAlign w:val="center"/>
            <w:hideMark/>
          </w:tcPr>
          <w:p w14:paraId="59CDCB58" w14:textId="77777777" w:rsidR="00A73782" w:rsidRPr="005F2D38" w:rsidRDefault="00A73782" w:rsidP="0099211F">
            <w:pPr>
              <w:spacing w:after="0"/>
              <w:jc w:val="center"/>
              <w:rPr>
                <w:rFonts w:eastAsia="Times New Roman" w:cs="Times New Roman"/>
                <w:color w:val="000000"/>
                <w:szCs w:val="24"/>
                <w:lang w:eastAsia="en-GB"/>
              </w:rPr>
            </w:pPr>
            <w:r w:rsidRPr="005F2D38">
              <w:rPr>
                <w:rFonts w:eastAsia="Times New Roman" w:cs="Times New Roman"/>
                <w:color w:val="000000"/>
                <w:szCs w:val="24"/>
                <w:lang w:eastAsia="en-GB"/>
              </w:rPr>
              <w:t>3.9</w:t>
            </w:r>
          </w:p>
        </w:tc>
        <w:tc>
          <w:tcPr>
            <w:tcW w:w="2042" w:type="pct"/>
            <w:shd w:val="clear" w:color="auto" w:fill="auto"/>
            <w:noWrap/>
            <w:vAlign w:val="center"/>
            <w:hideMark/>
          </w:tcPr>
          <w:p w14:paraId="46FED060" w14:textId="77777777" w:rsidR="00A73782" w:rsidRPr="005F2D38" w:rsidRDefault="00A73782" w:rsidP="0099211F">
            <w:pPr>
              <w:spacing w:after="0"/>
              <w:jc w:val="center"/>
              <w:rPr>
                <w:rFonts w:eastAsia="Times New Roman" w:cs="Times New Roman"/>
                <w:color w:val="000000"/>
                <w:szCs w:val="24"/>
                <w:lang w:eastAsia="en-GB"/>
              </w:rPr>
            </w:pPr>
            <w:r w:rsidRPr="005F2D38">
              <w:rPr>
                <w:rFonts w:eastAsia="Times New Roman" w:cs="Times New Roman"/>
                <w:color w:val="000000"/>
                <w:szCs w:val="24"/>
                <w:lang w:eastAsia="en-GB"/>
              </w:rPr>
              <w:t>3.5</w:t>
            </w:r>
          </w:p>
        </w:tc>
      </w:tr>
      <w:tr w:rsidR="00A73782" w:rsidRPr="005F2D38" w14:paraId="4EBE4631" w14:textId="77777777" w:rsidTr="0099211F">
        <w:trPr>
          <w:trHeight w:val="269"/>
          <w:jc w:val="center"/>
        </w:trPr>
        <w:tc>
          <w:tcPr>
            <w:tcW w:w="1358" w:type="pct"/>
            <w:shd w:val="clear" w:color="auto" w:fill="auto"/>
            <w:noWrap/>
            <w:vAlign w:val="center"/>
            <w:hideMark/>
          </w:tcPr>
          <w:p w14:paraId="0D59D15D" w14:textId="2D31D943" w:rsidR="00A73782" w:rsidRPr="005F2D38" w:rsidRDefault="00F165D2" w:rsidP="0099211F">
            <w:pPr>
              <w:spacing w:after="0"/>
              <w:jc w:val="center"/>
              <w:rPr>
                <w:rFonts w:eastAsia="Times New Roman" w:cs="Times New Roman"/>
                <w:b/>
                <w:bCs/>
                <w:color w:val="000000"/>
                <w:szCs w:val="24"/>
                <w:lang w:eastAsia="en-GB"/>
              </w:rPr>
            </w:pPr>
            <w:r w:rsidRPr="005F2D38">
              <w:rPr>
                <w:rFonts w:eastAsia="Times New Roman" w:cs="Times New Roman"/>
                <w:b/>
                <w:bCs/>
                <w:color w:val="000000"/>
                <w:szCs w:val="24"/>
                <w:lang w:eastAsia="en-GB"/>
              </w:rPr>
              <w:t>S</w:t>
            </w:r>
            <w:r>
              <w:rPr>
                <w:rFonts w:eastAsia="Times New Roman" w:cs="Times New Roman"/>
                <w:b/>
                <w:bCs/>
                <w:color w:val="000000"/>
                <w:szCs w:val="24"/>
                <w:lang w:eastAsia="en-GB"/>
              </w:rPr>
              <w:t xml:space="preserve">pecimen </w:t>
            </w:r>
            <w:r w:rsidR="00A73782" w:rsidRPr="005F2D38">
              <w:rPr>
                <w:rFonts w:eastAsia="Times New Roman" w:cs="Times New Roman"/>
                <w:b/>
                <w:bCs/>
                <w:color w:val="000000"/>
                <w:szCs w:val="24"/>
                <w:lang w:eastAsia="en-GB"/>
              </w:rPr>
              <w:t>6</w:t>
            </w:r>
          </w:p>
        </w:tc>
        <w:tc>
          <w:tcPr>
            <w:tcW w:w="1600" w:type="pct"/>
            <w:shd w:val="clear" w:color="auto" w:fill="auto"/>
            <w:noWrap/>
            <w:vAlign w:val="center"/>
            <w:hideMark/>
          </w:tcPr>
          <w:p w14:paraId="49C1841F" w14:textId="77777777" w:rsidR="00A73782" w:rsidRPr="005F2D38" w:rsidRDefault="00A73782" w:rsidP="0099211F">
            <w:pPr>
              <w:spacing w:after="0"/>
              <w:jc w:val="center"/>
              <w:rPr>
                <w:rFonts w:eastAsia="Times New Roman" w:cs="Times New Roman"/>
                <w:color w:val="000000"/>
                <w:szCs w:val="24"/>
                <w:lang w:eastAsia="en-GB"/>
              </w:rPr>
            </w:pPr>
            <w:r w:rsidRPr="005F2D38">
              <w:rPr>
                <w:rFonts w:eastAsia="Times New Roman" w:cs="Times New Roman"/>
                <w:color w:val="000000"/>
                <w:szCs w:val="24"/>
                <w:lang w:eastAsia="en-GB"/>
              </w:rPr>
              <w:t>4.0</w:t>
            </w:r>
          </w:p>
        </w:tc>
        <w:tc>
          <w:tcPr>
            <w:tcW w:w="2042" w:type="pct"/>
            <w:shd w:val="clear" w:color="auto" w:fill="auto"/>
            <w:noWrap/>
            <w:vAlign w:val="center"/>
            <w:hideMark/>
          </w:tcPr>
          <w:p w14:paraId="1FF680F7" w14:textId="77777777" w:rsidR="00A73782" w:rsidRPr="005F2D38" w:rsidRDefault="00A73782" w:rsidP="0099211F">
            <w:pPr>
              <w:spacing w:after="0"/>
              <w:jc w:val="center"/>
              <w:rPr>
                <w:rFonts w:eastAsia="Times New Roman" w:cs="Times New Roman"/>
                <w:color w:val="000000"/>
                <w:szCs w:val="24"/>
                <w:lang w:eastAsia="en-GB"/>
              </w:rPr>
            </w:pPr>
            <w:r w:rsidRPr="005F2D38">
              <w:rPr>
                <w:rFonts w:eastAsia="Times New Roman" w:cs="Times New Roman"/>
                <w:color w:val="000000"/>
                <w:szCs w:val="24"/>
                <w:lang w:eastAsia="en-GB"/>
              </w:rPr>
              <w:t>3.8</w:t>
            </w:r>
          </w:p>
        </w:tc>
      </w:tr>
      <w:tr w:rsidR="00A73782" w:rsidRPr="005F2D38" w14:paraId="18A0D5B7" w14:textId="77777777" w:rsidTr="0099211F">
        <w:trPr>
          <w:trHeight w:val="269"/>
          <w:jc w:val="center"/>
        </w:trPr>
        <w:tc>
          <w:tcPr>
            <w:tcW w:w="1358" w:type="pct"/>
            <w:shd w:val="clear" w:color="auto" w:fill="auto"/>
            <w:noWrap/>
            <w:vAlign w:val="center"/>
            <w:hideMark/>
          </w:tcPr>
          <w:p w14:paraId="7497A40F" w14:textId="77777777" w:rsidR="00A73782" w:rsidRPr="005F2D38" w:rsidRDefault="00A73782" w:rsidP="0099211F">
            <w:pPr>
              <w:spacing w:after="0"/>
              <w:jc w:val="center"/>
              <w:rPr>
                <w:rFonts w:eastAsia="Times New Roman" w:cs="Times New Roman"/>
                <w:b/>
                <w:bCs/>
                <w:color w:val="000000"/>
                <w:szCs w:val="24"/>
                <w:lang w:eastAsia="en-GB"/>
              </w:rPr>
            </w:pPr>
            <w:r w:rsidRPr="005F2D38">
              <w:rPr>
                <w:rFonts w:eastAsia="Times New Roman" w:cs="Times New Roman"/>
                <w:b/>
                <w:bCs/>
                <w:color w:val="000000"/>
                <w:szCs w:val="24"/>
                <w:lang w:eastAsia="en-GB"/>
              </w:rPr>
              <w:t>Mean</w:t>
            </w:r>
          </w:p>
        </w:tc>
        <w:tc>
          <w:tcPr>
            <w:tcW w:w="1600" w:type="pct"/>
            <w:shd w:val="clear" w:color="auto" w:fill="auto"/>
            <w:noWrap/>
            <w:vAlign w:val="center"/>
            <w:hideMark/>
          </w:tcPr>
          <w:p w14:paraId="787DC09E" w14:textId="77777777" w:rsidR="00A73782" w:rsidRPr="005F2D38" w:rsidRDefault="00A73782" w:rsidP="0099211F">
            <w:pPr>
              <w:spacing w:after="0"/>
              <w:jc w:val="center"/>
              <w:rPr>
                <w:rFonts w:eastAsia="Times New Roman" w:cs="Times New Roman"/>
                <w:color w:val="000000"/>
                <w:szCs w:val="24"/>
                <w:lang w:eastAsia="en-GB"/>
              </w:rPr>
            </w:pPr>
            <w:r w:rsidRPr="005F2D38">
              <w:rPr>
                <w:rFonts w:eastAsia="Times New Roman" w:cs="Times New Roman"/>
                <w:color w:val="000000"/>
                <w:szCs w:val="24"/>
                <w:lang w:eastAsia="en-GB"/>
              </w:rPr>
              <w:t>3.8</w:t>
            </w:r>
          </w:p>
        </w:tc>
        <w:tc>
          <w:tcPr>
            <w:tcW w:w="2042" w:type="pct"/>
            <w:shd w:val="clear" w:color="auto" w:fill="auto"/>
            <w:noWrap/>
            <w:vAlign w:val="center"/>
            <w:hideMark/>
          </w:tcPr>
          <w:p w14:paraId="0B536044" w14:textId="77777777" w:rsidR="00A73782" w:rsidRPr="005F2D38" w:rsidRDefault="00A73782" w:rsidP="0099211F">
            <w:pPr>
              <w:spacing w:after="0"/>
              <w:jc w:val="center"/>
              <w:rPr>
                <w:rFonts w:eastAsia="Times New Roman" w:cs="Times New Roman"/>
                <w:color w:val="000000"/>
                <w:szCs w:val="24"/>
                <w:lang w:eastAsia="en-GB"/>
              </w:rPr>
            </w:pPr>
            <w:r w:rsidRPr="005F2D38">
              <w:rPr>
                <w:rFonts w:eastAsia="Times New Roman" w:cs="Times New Roman"/>
                <w:color w:val="000000"/>
                <w:szCs w:val="24"/>
                <w:lang w:eastAsia="en-GB"/>
              </w:rPr>
              <w:t>3.1</w:t>
            </w:r>
          </w:p>
        </w:tc>
      </w:tr>
      <w:tr w:rsidR="00A73782" w:rsidRPr="005F2D38" w14:paraId="664AB68B" w14:textId="77777777" w:rsidTr="0099211F">
        <w:trPr>
          <w:trHeight w:val="269"/>
          <w:jc w:val="center"/>
        </w:trPr>
        <w:tc>
          <w:tcPr>
            <w:tcW w:w="1358" w:type="pct"/>
            <w:shd w:val="clear" w:color="auto" w:fill="auto"/>
            <w:noWrap/>
            <w:vAlign w:val="center"/>
            <w:hideMark/>
          </w:tcPr>
          <w:p w14:paraId="6D338C1E" w14:textId="77777777" w:rsidR="00A73782" w:rsidRPr="005F2D38" w:rsidRDefault="00A73782" w:rsidP="0099211F">
            <w:pPr>
              <w:spacing w:after="0"/>
              <w:jc w:val="center"/>
              <w:rPr>
                <w:rFonts w:eastAsia="Times New Roman" w:cs="Times New Roman"/>
                <w:b/>
                <w:bCs/>
                <w:color w:val="000000"/>
                <w:szCs w:val="24"/>
                <w:lang w:eastAsia="en-GB"/>
              </w:rPr>
            </w:pPr>
            <w:r w:rsidRPr="005F2D38">
              <w:rPr>
                <w:rFonts w:eastAsia="Times New Roman" w:cs="Times New Roman"/>
                <w:b/>
                <w:bCs/>
                <w:color w:val="000000"/>
                <w:szCs w:val="24"/>
                <w:lang w:eastAsia="en-GB"/>
              </w:rPr>
              <w:t>Standard Deviation</w:t>
            </w:r>
          </w:p>
        </w:tc>
        <w:tc>
          <w:tcPr>
            <w:tcW w:w="1600" w:type="pct"/>
            <w:shd w:val="clear" w:color="auto" w:fill="auto"/>
            <w:noWrap/>
            <w:vAlign w:val="center"/>
            <w:hideMark/>
          </w:tcPr>
          <w:p w14:paraId="6D935567" w14:textId="77777777" w:rsidR="00A73782" w:rsidRPr="005F2D38" w:rsidRDefault="00A73782" w:rsidP="0099211F">
            <w:pPr>
              <w:spacing w:after="0"/>
              <w:jc w:val="center"/>
              <w:rPr>
                <w:rFonts w:eastAsia="Times New Roman" w:cs="Times New Roman"/>
                <w:color w:val="000000"/>
                <w:szCs w:val="24"/>
                <w:lang w:eastAsia="en-GB"/>
              </w:rPr>
            </w:pPr>
            <w:r w:rsidRPr="005F2D38">
              <w:rPr>
                <w:rFonts w:eastAsia="Times New Roman" w:cs="Times New Roman"/>
                <w:color w:val="000000"/>
                <w:szCs w:val="24"/>
                <w:lang w:eastAsia="en-GB"/>
              </w:rPr>
              <w:t>1.6</w:t>
            </w:r>
          </w:p>
        </w:tc>
        <w:tc>
          <w:tcPr>
            <w:tcW w:w="2042" w:type="pct"/>
            <w:shd w:val="clear" w:color="auto" w:fill="auto"/>
            <w:noWrap/>
            <w:vAlign w:val="center"/>
            <w:hideMark/>
          </w:tcPr>
          <w:p w14:paraId="48405005" w14:textId="77777777" w:rsidR="00A73782" w:rsidRPr="005F2D38" w:rsidRDefault="00A73782" w:rsidP="0099211F">
            <w:pPr>
              <w:spacing w:after="0"/>
              <w:jc w:val="center"/>
              <w:rPr>
                <w:rFonts w:eastAsia="Times New Roman" w:cs="Times New Roman"/>
                <w:color w:val="000000"/>
                <w:szCs w:val="24"/>
                <w:lang w:eastAsia="en-GB"/>
              </w:rPr>
            </w:pPr>
            <w:r w:rsidRPr="005F2D38">
              <w:rPr>
                <w:rFonts w:eastAsia="Times New Roman" w:cs="Times New Roman"/>
                <w:color w:val="000000"/>
                <w:szCs w:val="24"/>
                <w:lang w:eastAsia="en-GB"/>
              </w:rPr>
              <w:t>1.1</w:t>
            </w:r>
          </w:p>
        </w:tc>
      </w:tr>
    </w:tbl>
    <w:p w14:paraId="5B49CD75" w14:textId="77777777" w:rsidR="00A73782" w:rsidRDefault="00A73782" w:rsidP="00A73782">
      <w:pPr>
        <w:rPr>
          <w:rFonts w:ascii="Times" w:hAnsi="Times" w:cs="Times"/>
          <w:szCs w:val="24"/>
        </w:rPr>
      </w:pPr>
    </w:p>
    <w:p w14:paraId="498094CF" w14:textId="77777777" w:rsidR="00A73782" w:rsidRDefault="00A73782" w:rsidP="00A73782">
      <w:pPr>
        <w:rPr>
          <w:szCs w:val="24"/>
        </w:rPr>
      </w:pPr>
    </w:p>
    <w:p w14:paraId="08740E98" w14:textId="7C0D6C7B" w:rsidR="00A73782" w:rsidRDefault="00A73782" w:rsidP="00A73782">
      <w:pPr>
        <w:rPr>
          <w:rFonts w:ascii="Times" w:hAnsi="Times" w:cs="Times"/>
          <w:szCs w:val="24"/>
        </w:rPr>
      </w:pPr>
      <w:r w:rsidRPr="00385220">
        <w:rPr>
          <w:rFonts w:ascii="Times" w:hAnsi="Times" w:cs="Times"/>
          <w:b/>
          <w:bCs/>
          <w:szCs w:val="24"/>
        </w:rPr>
        <w:t>Table 2</w:t>
      </w:r>
      <w:r w:rsidRPr="00CE5276">
        <w:rPr>
          <w:rFonts w:ascii="Times" w:hAnsi="Times" w:cs="Times"/>
          <w:szCs w:val="24"/>
        </w:rPr>
        <w:t xml:space="preserve">: </w:t>
      </w:r>
      <w:r>
        <w:rPr>
          <w:rFonts w:ascii="Times" w:hAnsi="Times" w:cs="Times"/>
          <w:szCs w:val="24"/>
        </w:rPr>
        <w:t xml:space="preserve">The water content of the cranial cruciate ligaments (CCLs) </w:t>
      </w:r>
      <w:r w:rsidR="0098517B">
        <w:rPr>
          <w:rFonts w:ascii="Times" w:hAnsi="Times" w:cs="Times"/>
          <w:szCs w:val="24"/>
        </w:rPr>
        <w:t>in control (proteoglycans were not depleted) and treated (proteoglycans were depleted) groups.</w:t>
      </w:r>
      <w:r>
        <w:rPr>
          <w:rFonts w:ascii="Times" w:hAnsi="Times" w:cs="Times"/>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9"/>
        <w:gridCol w:w="2758"/>
        <w:gridCol w:w="3520"/>
      </w:tblGrid>
      <w:tr w:rsidR="00A73782" w:rsidRPr="0087728E" w14:paraId="4E264705" w14:textId="77777777" w:rsidTr="0099211F">
        <w:trPr>
          <w:trHeight w:val="81"/>
          <w:jc w:val="center"/>
        </w:trPr>
        <w:tc>
          <w:tcPr>
            <w:tcW w:w="1786" w:type="pct"/>
            <w:vMerge w:val="restart"/>
            <w:shd w:val="clear" w:color="auto" w:fill="auto"/>
            <w:noWrap/>
            <w:vAlign w:val="center"/>
            <w:hideMark/>
          </w:tcPr>
          <w:p w14:paraId="67608993" w14:textId="77777777" w:rsidR="00A73782" w:rsidRPr="0087728E" w:rsidRDefault="00A73782" w:rsidP="0099211F">
            <w:pPr>
              <w:spacing w:after="0"/>
              <w:jc w:val="center"/>
              <w:rPr>
                <w:rFonts w:eastAsia="Times New Roman" w:cs="Times New Roman"/>
                <w:b/>
                <w:bCs/>
                <w:color w:val="000000"/>
                <w:szCs w:val="24"/>
                <w:lang w:eastAsia="en-GB"/>
              </w:rPr>
            </w:pPr>
            <w:r>
              <w:rPr>
                <w:rFonts w:eastAsia="Times New Roman" w:cs="Times New Roman"/>
                <w:b/>
                <w:bCs/>
                <w:color w:val="000000"/>
                <w:szCs w:val="24"/>
                <w:lang w:eastAsia="en-GB"/>
              </w:rPr>
              <w:t>C</w:t>
            </w:r>
            <w:r w:rsidRPr="0087728E">
              <w:rPr>
                <w:rFonts w:eastAsia="Times New Roman" w:cs="Times New Roman"/>
                <w:b/>
                <w:bCs/>
                <w:color w:val="000000"/>
                <w:szCs w:val="24"/>
                <w:lang w:eastAsia="en-GB"/>
              </w:rPr>
              <w:t>CL Specimens</w:t>
            </w:r>
          </w:p>
        </w:tc>
        <w:tc>
          <w:tcPr>
            <w:tcW w:w="3214" w:type="pct"/>
            <w:gridSpan w:val="2"/>
            <w:shd w:val="clear" w:color="auto" w:fill="auto"/>
            <w:vAlign w:val="center"/>
            <w:hideMark/>
          </w:tcPr>
          <w:p w14:paraId="7D8ABA9E" w14:textId="77777777" w:rsidR="00A73782" w:rsidRPr="0087728E" w:rsidRDefault="00A73782" w:rsidP="0099211F">
            <w:pPr>
              <w:spacing w:after="0"/>
              <w:jc w:val="center"/>
              <w:rPr>
                <w:rFonts w:eastAsia="Times New Roman" w:cs="Times New Roman"/>
                <w:b/>
                <w:bCs/>
                <w:color w:val="000000"/>
                <w:szCs w:val="24"/>
                <w:lang w:eastAsia="en-GB"/>
              </w:rPr>
            </w:pPr>
            <w:r w:rsidRPr="0087728E">
              <w:rPr>
                <w:rFonts w:eastAsia="Times New Roman" w:cs="Times New Roman"/>
                <w:b/>
                <w:bCs/>
                <w:color w:val="000000"/>
                <w:szCs w:val="24"/>
                <w:lang w:eastAsia="en-GB"/>
              </w:rPr>
              <w:t>Water Content (%)</w:t>
            </w:r>
          </w:p>
        </w:tc>
      </w:tr>
      <w:tr w:rsidR="00A73782" w:rsidRPr="0087728E" w14:paraId="18311B5D" w14:textId="77777777" w:rsidTr="0099211F">
        <w:trPr>
          <w:trHeight w:val="70"/>
          <w:jc w:val="center"/>
        </w:trPr>
        <w:tc>
          <w:tcPr>
            <w:tcW w:w="1786" w:type="pct"/>
            <w:vMerge/>
            <w:shd w:val="clear" w:color="auto" w:fill="auto"/>
            <w:noWrap/>
            <w:vAlign w:val="center"/>
            <w:hideMark/>
          </w:tcPr>
          <w:p w14:paraId="2D7F5BF7" w14:textId="77777777" w:rsidR="00A73782" w:rsidRPr="0087728E" w:rsidRDefault="00A73782" w:rsidP="0099211F">
            <w:pPr>
              <w:spacing w:after="0"/>
              <w:jc w:val="center"/>
              <w:rPr>
                <w:rFonts w:eastAsia="Times New Roman" w:cs="Times New Roman"/>
                <w:b/>
                <w:bCs/>
                <w:color w:val="000000"/>
                <w:szCs w:val="24"/>
                <w:lang w:eastAsia="en-GB"/>
              </w:rPr>
            </w:pPr>
          </w:p>
        </w:tc>
        <w:tc>
          <w:tcPr>
            <w:tcW w:w="1412" w:type="pct"/>
            <w:shd w:val="clear" w:color="auto" w:fill="auto"/>
            <w:vAlign w:val="center"/>
            <w:hideMark/>
          </w:tcPr>
          <w:p w14:paraId="09F7E1B5" w14:textId="77777777" w:rsidR="00A73782" w:rsidRPr="0087728E" w:rsidRDefault="00A73782" w:rsidP="0099211F">
            <w:pPr>
              <w:spacing w:after="0"/>
              <w:jc w:val="center"/>
              <w:rPr>
                <w:rFonts w:eastAsia="Times New Roman" w:cs="Times New Roman"/>
                <w:b/>
                <w:bCs/>
                <w:color w:val="000000"/>
                <w:szCs w:val="24"/>
                <w:lang w:eastAsia="en-GB"/>
              </w:rPr>
            </w:pPr>
            <w:r w:rsidRPr="0087728E">
              <w:rPr>
                <w:rFonts w:eastAsia="Times New Roman" w:cs="Times New Roman"/>
                <w:b/>
                <w:bCs/>
                <w:color w:val="000000"/>
                <w:szCs w:val="24"/>
                <w:lang w:eastAsia="en-GB"/>
              </w:rPr>
              <w:t>Control Group</w:t>
            </w:r>
          </w:p>
        </w:tc>
        <w:tc>
          <w:tcPr>
            <w:tcW w:w="1802" w:type="pct"/>
            <w:shd w:val="clear" w:color="auto" w:fill="auto"/>
            <w:vAlign w:val="center"/>
            <w:hideMark/>
          </w:tcPr>
          <w:p w14:paraId="059AA178" w14:textId="77777777" w:rsidR="00A73782" w:rsidRPr="0087728E" w:rsidRDefault="00A73782" w:rsidP="0099211F">
            <w:pPr>
              <w:spacing w:after="0"/>
              <w:jc w:val="center"/>
              <w:rPr>
                <w:rFonts w:eastAsia="Times New Roman" w:cs="Times New Roman"/>
                <w:b/>
                <w:bCs/>
                <w:color w:val="000000"/>
                <w:szCs w:val="24"/>
                <w:lang w:eastAsia="en-GB"/>
              </w:rPr>
            </w:pPr>
            <w:r>
              <w:rPr>
                <w:rFonts w:eastAsia="Times New Roman" w:cs="Times New Roman"/>
                <w:b/>
                <w:bCs/>
                <w:color w:val="000000"/>
                <w:szCs w:val="24"/>
                <w:lang w:eastAsia="en-GB"/>
              </w:rPr>
              <w:t>Treated</w:t>
            </w:r>
            <w:r w:rsidRPr="0087728E">
              <w:rPr>
                <w:rFonts w:eastAsia="Times New Roman" w:cs="Times New Roman"/>
                <w:b/>
                <w:bCs/>
                <w:color w:val="000000"/>
                <w:szCs w:val="24"/>
                <w:lang w:eastAsia="en-GB"/>
              </w:rPr>
              <w:t xml:space="preserve"> Group</w:t>
            </w:r>
          </w:p>
        </w:tc>
      </w:tr>
      <w:tr w:rsidR="00A73782" w:rsidRPr="0087728E" w14:paraId="1E58EC1C" w14:textId="77777777" w:rsidTr="0099211F">
        <w:trPr>
          <w:trHeight w:val="160"/>
          <w:jc w:val="center"/>
        </w:trPr>
        <w:tc>
          <w:tcPr>
            <w:tcW w:w="1786" w:type="pct"/>
            <w:shd w:val="clear" w:color="auto" w:fill="auto"/>
            <w:noWrap/>
            <w:vAlign w:val="center"/>
            <w:hideMark/>
          </w:tcPr>
          <w:p w14:paraId="2EF37D0D" w14:textId="34227F12" w:rsidR="00A73782" w:rsidRPr="0087728E" w:rsidRDefault="00F165D2" w:rsidP="0099211F">
            <w:pPr>
              <w:spacing w:after="0"/>
              <w:jc w:val="center"/>
              <w:rPr>
                <w:rFonts w:eastAsia="Times New Roman" w:cs="Times New Roman"/>
                <w:b/>
                <w:bCs/>
                <w:color w:val="000000"/>
                <w:szCs w:val="24"/>
                <w:lang w:eastAsia="en-GB"/>
              </w:rPr>
            </w:pPr>
            <w:r w:rsidRPr="005F2D38">
              <w:rPr>
                <w:rFonts w:eastAsia="Times New Roman" w:cs="Times New Roman"/>
                <w:b/>
                <w:bCs/>
                <w:color w:val="000000"/>
                <w:szCs w:val="24"/>
                <w:lang w:eastAsia="en-GB"/>
              </w:rPr>
              <w:t>S</w:t>
            </w:r>
            <w:r>
              <w:rPr>
                <w:rFonts w:eastAsia="Times New Roman" w:cs="Times New Roman"/>
                <w:b/>
                <w:bCs/>
                <w:color w:val="000000"/>
                <w:szCs w:val="24"/>
                <w:lang w:eastAsia="en-GB"/>
              </w:rPr>
              <w:t xml:space="preserve">pecimen </w:t>
            </w:r>
            <w:r w:rsidR="00A73782" w:rsidRPr="0087728E">
              <w:rPr>
                <w:rFonts w:eastAsia="Times New Roman" w:cs="Times New Roman"/>
                <w:b/>
                <w:bCs/>
                <w:color w:val="000000"/>
                <w:szCs w:val="24"/>
                <w:lang w:eastAsia="en-GB"/>
              </w:rPr>
              <w:t>1</w:t>
            </w:r>
          </w:p>
        </w:tc>
        <w:tc>
          <w:tcPr>
            <w:tcW w:w="1412" w:type="pct"/>
            <w:shd w:val="clear" w:color="auto" w:fill="auto"/>
            <w:noWrap/>
            <w:vAlign w:val="center"/>
            <w:hideMark/>
          </w:tcPr>
          <w:p w14:paraId="4E113363" w14:textId="77777777" w:rsidR="00A73782" w:rsidRPr="0087728E" w:rsidRDefault="00A73782" w:rsidP="0099211F">
            <w:pPr>
              <w:spacing w:after="0"/>
              <w:jc w:val="center"/>
              <w:rPr>
                <w:rFonts w:eastAsia="Times New Roman" w:cs="Times New Roman"/>
                <w:color w:val="000000"/>
                <w:szCs w:val="24"/>
                <w:lang w:eastAsia="en-GB"/>
              </w:rPr>
            </w:pPr>
            <w:r w:rsidRPr="0087728E">
              <w:rPr>
                <w:rFonts w:eastAsia="Times New Roman" w:cs="Times New Roman"/>
                <w:color w:val="000000"/>
                <w:szCs w:val="24"/>
                <w:lang w:eastAsia="en-GB"/>
              </w:rPr>
              <w:t>77.4</w:t>
            </w:r>
          </w:p>
        </w:tc>
        <w:tc>
          <w:tcPr>
            <w:tcW w:w="1802" w:type="pct"/>
            <w:shd w:val="clear" w:color="auto" w:fill="auto"/>
            <w:noWrap/>
            <w:vAlign w:val="center"/>
            <w:hideMark/>
          </w:tcPr>
          <w:p w14:paraId="04ED4ABD" w14:textId="77777777" w:rsidR="00A73782" w:rsidRPr="0087728E" w:rsidRDefault="00A73782" w:rsidP="0099211F">
            <w:pPr>
              <w:spacing w:after="0"/>
              <w:jc w:val="center"/>
              <w:rPr>
                <w:rFonts w:eastAsia="Times New Roman" w:cs="Times New Roman"/>
                <w:color w:val="000000"/>
                <w:szCs w:val="24"/>
                <w:lang w:eastAsia="en-GB"/>
              </w:rPr>
            </w:pPr>
            <w:r w:rsidRPr="0087728E">
              <w:rPr>
                <w:rFonts w:eastAsia="Times New Roman" w:cs="Times New Roman"/>
                <w:color w:val="000000"/>
                <w:szCs w:val="24"/>
                <w:lang w:eastAsia="en-GB"/>
              </w:rPr>
              <w:t>71.3</w:t>
            </w:r>
          </w:p>
        </w:tc>
      </w:tr>
      <w:tr w:rsidR="00A73782" w:rsidRPr="0087728E" w14:paraId="697C7ED4" w14:textId="77777777" w:rsidTr="0099211F">
        <w:trPr>
          <w:trHeight w:val="160"/>
          <w:jc w:val="center"/>
        </w:trPr>
        <w:tc>
          <w:tcPr>
            <w:tcW w:w="1786" w:type="pct"/>
            <w:shd w:val="clear" w:color="auto" w:fill="auto"/>
            <w:noWrap/>
            <w:vAlign w:val="center"/>
            <w:hideMark/>
          </w:tcPr>
          <w:p w14:paraId="5466B188" w14:textId="63C9EBC8" w:rsidR="00A73782" w:rsidRPr="0087728E" w:rsidRDefault="00F165D2" w:rsidP="0099211F">
            <w:pPr>
              <w:spacing w:after="0"/>
              <w:jc w:val="center"/>
              <w:rPr>
                <w:rFonts w:eastAsia="Times New Roman" w:cs="Times New Roman"/>
                <w:b/>
                <w:bCs/>
                <w:color w:val="000000"/>
                <w:szCs w:val="24"/>
                <w:lang w:eastAsia="en-GB"/>
              </w:rPr>
            </w:pPr>
            <w:r w:rsidRPr="005F2D38">
              <w:rPr>
                <w:rFonts w:eastAsia="Times New Roman" w:cs="Times New Roman"/>
                <w:b/>
                <w:bCs/>
                <w:color w:val="000000"/>
                <w:szCs w:val="24"/>
                <w:lang w:eastAsia="en-GB"/>
              </w:rPr>
              <w:t>S</w:t>
            </w:r>
            <w:r>
              <w:rPr>
                <w:rFonts w:eastAsia="Times New Roman" w:cs="Times New Roman"/>
                <w:b/>
                <w:bCs/>
                <w:color w:val="000000"/>
                <w:szCs w:val="24"/>
                <w:lang w:eastAsia="en-GB"/>
              </w:rPr>
              <w:t xml:space="preserve">pecimen </w:t>
            </w:r>
            <w:r w:rsidR="00A73782" w:rsidRPr="0087728E">
              <w:rPr>
                <w:rFonts w:eastAsia="Times New Roman" w:cs="Times New Roman"/>
                <w:b/>
                <w:bCs/>
                <w:color w:val="000000"/>
                <w:szCs w:val="24"/>
                <w:lang w:eastAsia="en-GB"/>
              </w:rPr>
              <w:t>2</w:t>
            </w:r>
          </w:p>
        </w:tc>
        <w:tc>
          <w:tcPr>
            <w:tcW w:w="1412" w:type="pct"/>
            <w:shd w:val="clear" w:color="auto" w:fill="auto"/>
            <w:noWrap/>
            <w:vAlign w:val="center"/>
            <w:hideMark/>
          </w:tcPr>
          <w:p w14:paraId="02B59390" w14:textId="77777777" w:rsidR="00A73782" w:rsidRPr="0087728E" w:rsidRDefault="00A73782" w:rsidP="0099211F">
            <w:pPr>
              <w:spacing w:after="0"/>
              <w:jc w:val="center"/>
              <w:rPr>
                <w:rFonts w:eastAsia="Times New Roman" w:cs="Times New Roman"/>
                <w:color w:val="000000"/>
                <w:szCs w:val="24"/>
                <w:lang w:eastAsia="en-GB"/>
              </w:rPr>
            </w:pPr>
            <w:r w:rsidRPr="0087728E">
              <w:rPr>
                <w:rFonts w:eastAsia="Times New Roman" w:cs="Times New Roman"/>
                <w:color w:val="000000"/>
                <w:szCs w:val="24"/>
                <w:lang w:eastAsia="en-GB"/>
              </w:rPr>
              <w:t>74.2</w:t>
            </w:r>
          </w:p>
        </w:tc>
        <w:tc>
          <w:tcPr>
            <w:tcW w:w="1802" w:type="pct"/>
            <w:shd w:val="clear" w:color="auto" w:fill="auto"/>
            <w:noWrap/>
            <w:vAlign w:val="center"/>
            <w:hideMark/>
          </w:tcPr>
          <w:p w14:paraId="0AEAB709" w14:textId="77777777" w:rsidR="00A73782" w:rsidRPr="0087728E" w:rsidRDefault="00A73782" w:rsidP="0099211F">
            <w:pPr>
              <w:spacing w:after="0"/>
              <w:jc w:val="center"/>
              <w:rPr>
                <w:rFonts w:eastAsia="Times New Roman" w:cs="Times New Roman"/>
                <w:color w:val="000000"/>
                <w:szCs w:val="24"/>
                <w:lang w:eastAsia="en-GB"/>
              </w:rPr>
            </w:pPr>
            <w:r w:rsidRPr="0087728E">
              <w:rPr>
                <w:rFonts w:eastAsia="Times New Roman" w:cs="Times New Roman"/>
                <w:color w:val="000000"/>
                <w:szCs w:val="24"/>
                <w:lang w:eastAsia="en-GB"/>
              </w:rPr>
              <w:t>71.3</w:t>
            </w:r>
          </w:p>
        </w:tc>
      </w:tr>
      <w:tr w:rsidR="00A73782" w:rsidRPr="0087728E" w14:paraId="7EF91A3B" w14:textId="77777777" w:rsidTr="0099211F">
        <w:trPr>
          <w:trHeight w:val="160"/>
          <w:jc w:val="center"/>
        </w:trPr>
        <w:tc>
          <w:tcPr>
            <w:tcW w:w="1786" w:type="pct"/>
            <w:shd w:val="clear" w:color="auto" w:fill="auto"/>
            <w:noWrap/>
            <w:vAlign w:val="center"/>
            <w:hideMark/>
          </w:tcPr>
          <w:p w14:paraId="681A8271" w14:textId="1A8011A9" w:rsidR="00A73782" w:rsidRPr="0087728E" w:rsidRDefault="00F165D2" w:rsidP="0099211F">
            <w:pPr>
              <w:spacing w:after="0"/>
              <w:jc w:val="center"/>
              <w:rPr>
                <w:rFonts w:eastAsia="Times New Roman" w:cs="Times New Roman"/>
                <w:b/>
                <w:bCs/>
                <w:color w:val="000000"/>
                <w:szCs w:val="24"/>
                <w:lang w:eastAsia="en-GB"/>
              </w:rPr>
            </w:pPr>
            <w:r w:rsidRPr="005F2D38">
              <w:rPr>
                <w:rFonts w:eastAsia="Times New Roman" w:cs="Times New Roman"/>
                <w:b/>
                <w:bCs/>
                <w:color w:val="000000"/>
                <w:szCs w:val="24"/>
                <w:lang w:eastAsia="en-GB"/>
              </w:rPr>
              <w:t>S</w:t>
            </w:r>
            <w:r>
              <w:rPr>
                <w:rFonts w:eastAsia="Times New Roman" w:cs="Times New Roman"/>
                <w:b/>
                <w:bCs/>
                <w:color w:val="000000"/>
                <w:szCs w:val="24"/>
                <w:lang w:eastAsia="en-GB"/>
              </w:rPr>
              <w:t xml:space="preserve">pecimen </w:t>
            </w:r>
            <w:r w:rsidR="00A73782" w:rsidRPr="0087728E">
              <w:rPr>
                <w:rFonts w:eastAsia="Times New Roman" w:cs="Times New Roman"/>
                <w:b/>
                <w:bCs/>
                <w:color w:val="000000"/>
                <w:szCs w:val="24"/>
                <w:lang w:eastAsia="en-GB"/>
              </w:rPr>
              <w:t>3</w:t>
            </w:r>
          </w:p>
        </w:tc>
        <w:tc>
          <w:tcPr>
            <w:tcW w:w="1412" w:type="pct"/>
            <w:shd w:val="clear" w:color="auto" w:fill="auto"/>
            <w:noWrap/>
            <w:vAlign w:val="center"/>
            <w:hideMark/>
          </w:tcPr>
          <w:p w14:paraId="5C0B0822" w14:textId="77777777" w:rsidR="00A73782" w:rsidRPr="0087728E" w:rsidRDefault="00A73782" w:rsidP="0099211F">
            <w:pPr>
              <w:spacing w:after="0"/>
              <w:jc w:val="center"/>
              <w:rPr>
                <w:rFonts w:eastAsia="Times New Roman" w:cs="Times New Roman"/>
                <w:color w:val="000000"/>
                <w:szCs w:val="24"/>
                <w:lang w:eastAsia="en-GB"/>
              </w:rPr>
            </w:pPr>
            <w:r w:rsidRPr="0087728E">
              <w:rPr>
                <w:rFonts w:eastAsia="Times New Roman" w:cs="Times New Roman"/>
                <w:color w:val="000000"/>
                <w:szCs w:val="24"/>
                <w:lang w:eastAsia="en-GB"/>
              </w:rPr>
              <w:t>73.2</w:t>
            </w:r>
          </w:p>
        </w:tc>
        <w:tc>
          <w:tcPr>
            <w:tcW w:w="1802" w:type="pct"/>
            <w:shd w:val="clear" w:color="auto" w:fill="auto"/>
            <w:noWrap/>
            <w:vAlign w:val="center"/>
            <w:hideMark/>
          </w:tcPr>
          <w:p w14:paraId="2E43ED73" w14:textId="77777777" w:rsidR="00A73782" w:rsidRPr="0087728E" w:rsidRDefault="00A73782" w:rsidP="0099211F">
            <w:pPr>
              <w:spacing w:after="0"/>
              <w:jc w:val="center"/>
              <w:rPr>
                <w:rFonts w:eastAsia="Times New Roman" w:cs="Times New Roman"/>
                <w:color w:val="000000"/>
                <w:szCs w:val="24"/>
                <w:lang w:eastAsia="en-GB"/>
              </w:rPr>
            </w:pPr>
            <w:r w:rsidRPr="0087728E">
              <w:rPr>
                <w:rFonts w:eastAsia="Times New Roman" w:cs="Times New Roman"/>
                <w:color w:val="000000"/>
                <w:szCs w:val="24"/>
                <w:lang w:eastAsia="en-GB"/>
              </w:rPr>
              <w:t>68.6</w:t>
            </w:r>
          </w:p>
        </w:tc>
      </w:tr>
      <w:tr w:rsidR="00A73782" w:rsidRPr="0087728E" w14:paraId="4FECEF1B" w14:textId="77777777" w:rsidTr="0099211F">
        <w:trPr>
          <w:trHeight w:val="160"/>
          <w:jc w:val="center"/>
        </w:trPr>
        <w:tc>
          <w:tcPr>
            <w:tcW w:w="1786" w:type="pct"/>
            <w:shd w:val="clear" w:color="auto" w:fill="auto"/>
            <w:noWrap/>
            <w:vAlign w:val="center"/>
            <w:hideMark/>
          </w:tcPr>
          <w:p w14:paraId="3570583F" w14:textId="260E2E6B" w:rsidR="00A73782" w:rsidRPr="0087728E" w:rsidRDefault="00F165D2" w:rsidP="0099211F">
            <w:pPr>
              <w:spacing w:after="0"/>
              <w:jc w:val="center"/>
              <w:rPr>
                <w:rFonts w:eastAsia="Times New Roman" w:cs="Times New Roman"/>
                <w:b/>
                <w:bCs/>
                <w:color w:val="000000"/>
                <w:szCs w:val="24"/>
                <w:lang w:eastAsia="en-GB"/>
              </w:rPr>
            </w:pPr>
            <w:r w:rsidRPr="005F2D38">
              <w:rPr>
                <w:rFonts w:eastAsia="Times New Roman" w:cs="Times New Roman"/>
                <w:b/>
                <w:bCs/>
                <w:color w:val="000000"/>
                <w:szCs w:val="24"/>
                <w:lang w:eastAsia="en-GB"/>
              </w:rPr>
              <w:t>S</w:t>
            </w:r>
            <w:r>
              <w:rPr>
                <w:rFonts w:eastAsia="Times New Roman" w:cs="Times New Roman"/>
                <w:b/>
                <w:bCs/>
                <w:color w:val="000000"/>
                <w:szCs w:val="24"/>
                <w:lang w:eastAsia="en-GB"/>
              </w:rPr>
              <w:t xml:space="preserve">pecimen </w:t>
            </w:r>
            <w:r w:rsidR="00A73782" w:rsidRPr="0087728E">
              <w:rPr>
                <w:rFonts w:eastAsia="Times New Roman" w:cs="Times New Roman"/>
                <w:b/>
                <w:bCs/>
                <w:color w:val="000000"/>
                <w:szCs w:val="24"/>
                <w:lang w:eastAsia="en-GB"/>
              </w:rPr>
              <w:t>4</w:t>
            </w:r>
          </w:p>
        </w:tc>
        <w:tc>
          <w:tcPr>
            <w:tcW w:w="1412" w:type="pct"/>
            <w:shd w:val="clear" w:color="auto" w:fill="auto"/>
            <w:noWrap/>
            <w:vAlign w:val="center"/>
            <w:hideMark/>
          </w:tcPr>
          <w:p w14:paraId="31F64AD2" w14:textId="77777777" w:rsidR="00A73782" w:rsidRPr="0087728E" w:rsidRDefault="00A73782" w:rsidP="0099211F">
            <w:pPr>
              <w:spacing w:after="0"/>
              <w:jc w:val="center"/>
              <w:rPr>
                <w:rFonts w:eastAsia="Times New Roman" w:cs="Times New Roman"/>
                <w:color w:val="000000"/>
                <w:szCs w:val="24"/>
                <w:lang w:eastAsia="en-GB"/>
              </w:rPr>
            </w:pPr>
            <w:r w:rsidRPr="0087728E">
              <w:rPr>
                <w:rFonts w:eastAsia="Times New Roman" w:cs="Times New Roman"/>
                <w:color w:val="000000"/>
                <w:szCs w:val="24"/>
                <w:lang w:eastAsia="en-GB"/>
              </w:rPr>
              <w:t>71.9</w:t>
            </w:r>
          </w:p>
        </w:tc>
        <w:tc>
          <w:tcPr>
            <w:tcW w:w="1802" w:type="pct"/>
            <w:shd w:val="clear" w:color="auto" w:fill="auto"/>
            <w:noWrap/>
            <w:vAlign w:val="center"/>
            <w:hideMark/>
          </w:tcPr>
          <w:p w14:paraId="50A11D46" w14:textId="77777777" w:rsidR="00A73782" w:rsidRPr="0087728E" w:rsidRDefault="00A73782" w:rsidP="0099211F">
            <w:pPr>
              <w:spacing w:after="0"/>
              <w:jc w:val="center"/>
              <w:rPr>
                <w:rFonts w:eastAsia="Times New Roman" w:cs="Times New Roman"/>
                <w:color w:val="000000"/>
                <w:szCs w:val="24"/>
                <w:lang w:eastAsia="en-GB"/>
              </w:rPr>
            </w:pPr>
            <w:r w:rsidRPr="0087728E">
              <w:rPr>
                <w:rFonts w:eastAsia="Times New Roman" w:cs="Times New Roman"/>
                <w:color w:val="000000"/>
                <w:szCs w:val="24"/>
                <w:lang w:eastAsia="en-GB"/>
              </w:rPr>
              <w:t>73.3</w:t>
            </w:r>
          </w:p>
        </w:tc>
      </w:tr>
      <w:tr w:rsidR="00A73782" w:rsidRPr="0087728E" w14:paraId="7279BD3D" w14:textId="77777777" w:rsidTr="0099211F">
        <w:trPr>
          <w:trHeight w:val="160"/>
          <w:jc w:val="center"/>
        </w:trPr>
        <w:tc>
          <w:tcPr>
            <w:tcW w:w="1786" w:type="pct"/>
            <w:shd w:val="clear" w:color="auto" w:fill="auto"/>
            <w:noWrap/>
            <w:vAlign w:val="center"/>
            <w:hideMark/>
          </w:tcPr>
          <w:p w14:paraId="4F9DAF22" w14:textId="68BD7620" w:rsidR="00A73782" w:rsidRPr="0087728E" w:rsidRDefault="00F165D2" w:rsidP="0099211F">
            <w:pPr>
              <w:spacing w:after="0"/>
              <w:jc w:val="center"/>
              <w:rPr>
                <w:rFonts w:eastAsia="Times New Roman" w:cs="Times New Roman"/>
                <w:b/>
                <w:bCs/>
                <w:color w:val="000000"/>
                <w:szCs w:val="24"/>
                <w:lang w:eastAsia="en-GB"/>
              </w:rPr>
            </w:pPr>
            <w:r w:rsidRPr="005F2D38">
              <w:rPr>
                <w:rFonts w:eastAsia="Times New Roman" w:cs="Times New Roman"/>
                <w:b/>
                <w:bCs/>
                <w:color w:val="000000"/>
                <w:szCs w:val="24"/>
                <w:lang w:eastAsia="en-GB"/>
              </w:rPr>
              <w:t>S</w:t>
            </w:r>
            <w:r>
              <w:rPr>
                <w:rFonts w:eastAsia="Times New Roman" w:cs="Times New Roman"/>
                <w:b/>
                <w:bCs/>
                <w:color w:val="000000"/>
                <w:szCs w:val="24"/>
                <w:lang w:eastAsia="en-GB"/>
              </w:rPr>
              <w:t xml:space="preserve">pecimen </w:t>
            </w:r>
            <w:r w:rsidR="00A73782" w:rsidRPr="0087728E">
              <w:rPr>
                <w:rFonts w:eastAsia="Times New Roman" w:cs="Times New Roman"/>
                <w:b/>
                <w:bCs/>
                <w:color w:val="000000"/>
                <w:szCs w:val="24"/>
                <w:lang w:eastAsia="en-GB"/>
              </w:rPr>
              <w:t>5</w:t>
            </w:r>
          </w:p>
        </w:tc>
        <w:tc>
          <w:tcPr>
            <w:tcW w:w="1412" w:type="pct"/>
            <w:shd w:val="clear" w:color="auto" w:fill="auto"/>
            <w:noWrap/>
            <w:vAlign w:val="center"/>
            <w:hideMark/>
          </w:tcPr>
          <w:p w14:paraId="6F547A66" w14:textId="77777777" w:rsidR="00A73782" w:rsidRPr="0087728E" w:rsidRDefault="00A73782" w:rsidP="0099211F">
            <w:pPr>
              <w:spacing w:after="0"/>
              <w:jc w:val="center"/>
              <w:rPr>
                <w:rFonts w:eastAsia="Times New Roman" w:cs="Times New Roman"/>
                <w:color w:val="000000"/>
                <w:szCs w:val="24"/>
                <w:lang w:eastAsia="en-GB"/>
              </w:rPr>
            </w:pPr>
            <w:r w:rsidRPr="0087728E">
              <w:rPr>
                <w:rFonts w:eastAsia="Times New Roman" w:cs="Times New Roman"/>
                <w:color w:val="000000"/>
                <w:szCs w:val="24"/>
                <w:lang w:eastAsia="en-GB"/>
              </w:rPr>
              <w:t>72.5</w:t>
            </w:r>
          </w:p>
        </w:tc>
        <w:tc>
          <w:tcPr>
            <w:tcW w:w="1802" w:type="pct"/>
            <w:shd w:val="clear" w:color="auto" w:fill="auto"/>
            <w:noWrap/>
            <w:vAlign w:val="center"/>
            <w:hideMark/>
          </w:tcPr>
          <w:p w14:paraId="16E88D19" w14:textId="77777777" w:rsidR="00A73782" w:rsidRPr="0087728E" w:rsidRDefault="00A73782" w:rsidP="0099211F">
            <w:pPr>
              <w:spacing w:after="0"/>
              <w:jc w:val="center"/>
              <w:rPr>
                <w:rFonts w:eastAsia="Times New Roman" w:cs="Times New Roman"/>
                <w:color w:val="000000"/>
                <w:szCs w:val="24"/>
                <w:lang w:eastAsia="en-GB"/>
              </w:rPr>
            </w:pPr>
            <w:r w:rsidRPr="0087728E">
              <w:rPr>
                <w:rFonts w:eastAsia="Times New Roman" w:cs="Times New Roman"/>
                <w:color w:val="000000"/>
                <w:szCs w:val="24"/>
                <w:lang w:eastAsia="en-GB"/>
              </w:rPr>
              <w:t>65.7</w:t>
            </w:r>
          </w:p>
        </w:tc>
      </w:tr>
      <w:tr w:rsidR="00A73782" w:rsidRPr="0087728E" w14:paraId="23E34676" w14:textId="77777777" w:rsidTr="0099211F">
        <w:trPr>
          <w:trHeight w:val="160"/>
          <w:jc w:val="center"/>
        </w:trPr>
        <w:tc>
          <w:tcPr>
            <w:tcW w:w="1786" w:type="pct"/>
            <w:shd w:val="clear" w:color="auto" w:fill="auto"/>
            <w:noWrap/>
            <w:vAlign w:val="center"/>
            <w:hideMark/>
          </w:tcPr>
          <w:p w14:paraId="435DC01A" w14:textId="37580D38" w:rsidR="00A73782" w:rsidRPr="0087728E" w:rsidRDefault="00F165D2" w:rsidP="0099211F">
            <w:pPr>
              <w:spacing w:after="0"/>
              <w:jc w:val="center"/>
              <w:rPr>
                <w:rFonts w:eastAsia="Times New Roman" w:cs="Times New Roman"/>
                <w:b/>
                <w:bCs/>
                <w:color w:val="000000"/>
                <w:szCs w:val="24"/>
                <w:lang w:eastAsia="en-GB"/>
              </w:rPr>
            </w:pPr>
            <w:r w:rsidRPr="005F2D38">
              <w:rPr>
                <w:rFonts w:eastAsia="Times New Roman" w:cs="Times New Roman"/>
                <w:b/>
                <w:bCs/>
                <w:color w:val="000000"/>
                <w:szCs w:val="24"/>
                <w:lang w:eastAsia="en-GB"/>
              </w:rPr>
              <w:t>S</w:t>
            </w:r>
            <w:r>
              <w:rPr>
                <w:rFonts w:eastAsia="Times New Roman" w:cs="Times New Roman"/>
                <w:b/>
                <w:bCs/>
                <w:color w:val="000000"/>
                <w:szCs w:val="24"/>
                <w:lang w:eastAsia="en-GB"/>
              </w:rPr>
              <w:t xml:space="preserve">pecimen </w:t>
            </w:r>
            <w:r w:rsidR="00A73782" w:rsidRPr="0087728E">
              <w:rPr>
                <w:rFonts w:eastAsia="Times New Roman" w:cs="Times New Roman"/>
                <w:b/>
                <w:bCs/>
                <w:color w:val="000000"/>
                <w:szCs w:val="24"/>
                <w:lang w:eastAsia="en-GB"/>
              </w:rPr>
              <w:t>6</w:t>
            </w:r>
          </w:p>
        </w:tc>
        <w:tc>
          <w:tcPr>
            <w:tcW w:w="1412" w:type="pct"/>
            <w:shd w:val="clear" w:color="auto" w:fill="auto"/>
            <w:noWrap/>
            <w:vAlign w:val="center"/>
            <w:hideMark/>
          </w:tcPr>
          <w:p w14:paraId="7E9F717E" w14:textId="77777777" w:rsidR="00A73782" w:rsidRPr="0087728E" w:rsidRDefault="00A73782" w:rsidP="0099211F">
            <w:pPr>
              <w:spacing w:after="0"/>
              <w:jc w:val="center"/>
              <w:rPr>
                <w:rFonts w:eastAsia="Times New Roman" w:cs="Times New Roman"/>
                <w:color w:val="000000"/>
                <w:szCs w:val="24"/>
                <w:lang w:eastAsia="en-GB"/>
              </w:rPr>
            </w:pPr>
            <w:r w:rsidRPr="0087728E">
              <w:rPr>
                <w:rFonts w:eastAsia="Times New Roman" w:cs="Times New Roman"/>
                <w:color w:val="000000"/>
                <w:szCs w:val="24"/>
                <w:lang w:eastAsia="en-GB"/>
              </w:rPr>
              <w:t>64.7</w:t>
            </w:r>
          </w:p>
        </w:tc>
        <w:tc>
          <w:tcPr>
            <w:tcW w:w="1802" w:type="pct"/>
            <w:shd w:val="clear" w:color="auto" w:fill="auto"/>
            <w:noWrap/>
            <w:vAlign w:val="center"/>
            <w:hideMark/>
          </w:tcPr>
          <w:p w14:paraId="45D1FCFD" w14:textId="77777777" w:rsidR="00A73782" w:rsidRPr="0087728E" w:rsidRDefault="00A73782" w:rsidP="0099211F">
            <w:pPr>
              <w:spacing w:after="0"/>
              <w:jc w:val="center"/>
              <w:rPr>
                <w:rFonts w:eastAsia="Times New Roman" w:cs="Times New Roman"/>
                <w:color w:val="000000"/>
                <w:szCs w:val="24"/>
                <w:lang w:eastAsia="en-GB"/>
              </w:rPr>
            </w:pPr>
            <w:r w:rsidRPr="0087728E">
              <w:rPr>
                <w:rFonts w:eastAsia="Times New Roman" w:cs="Times New Roman"/>
                <w:color w:val="000000"/>
                <w:szCs w:val="24"/>
                <w:lang w:eastAsia="en-GB"/>
              </w:rPr>
              <w:t>66.5</w:t>
            </w:r>
          </w:p>
        </w:tc>
      </w:tr>
      <w:tr w:rsidR="00A73782" w:rsidRPr="0087728E" w14:paraId="041658B2" w14:textId="77777777" w:rsidTr="0099211F">
        <w:trPr>
          <w:trHeight w:val="160"/>
          <w:jc w:val="center"/>
        </w:trPr>
        <w:tc>
          <w:tcPr>
            <w:tcW w:w="1786" w:type="pct"/>
            <w:shd w:val="clear" w:color="auto" w:fill="auto"/>
            <w:noWrap/>
            <w:vAlign w:val="center"/>
            <w:hideMark/>
          </w:tcPr>
          <w:p w14:paraId="6112DA75" w14:textId="77777777" w:rsidR="00A73782" w:rsidRPr="0087728E" w:rsidRDefault="00A73782" w:rsidP="0099211F">
            <w:pPr>
              <w:spacing w:after="0"/>
              <w:jc w:val="center"/>
              <w:rPr>
                <w:rFonts w:eastAsia="Times New Roman" w:cs="Times New Roman"/>
                <w:b/>
                <w:bCs/>
                <w:color w:val="000000"/>
                <w:szCs w:val="24"/>
                <w:lang w:eastAsia="en-GB"/>
              </w:rPr>
            </w:pPr>
            <w:r w:rsidRPr="0087728E">
              <w:rPr>
                <w:rFonts w:eastAsia="Times New Roman" w:cs="Times New Roman"/>
                <w:b/>
                <w:bCs/>
                <w:color w:val="000000"/>
                <w:szCs w:val="24"/>
                <w:lang w:eastAsia="en-GB"/>
              </w:rPr>
              <w:t>Mean</w:t>
            </w:r>
          </w:p>
        </w:tc>
        <w:tc>
          <w:tcPr>
            <w:tcW w:w="1412" w:type="pct"/>
            <w:shd w:val="clear" w:color="auto" w:fill="auto"/>
            <w:noWrap/>
            <w:vAlign w:val="center"/>
            <w:hideMark/>
          </w:tcPr>
          <w:p w14:paraId="2B53A02F" w14:textId="77777777" w:rsidR="00A73782" w:rsidRPr="0087728E" w:rsidRDefault="00A73782" w:rsidP="0099211F">
            <w:pPr>
              <w:spacing w:after="0"/>
              <w:jc w:val="center"/>
              <w:rPr>
                <w:rFonts w:eastAsia="Times New Roman" w:cs="Times New Roman"/>
                <w:color w:val="000000"/>
                <w:szCs w:val="24"/>
                <w:lang w:eastAsia="en-GB"/>
              </w:rPr>
            </w:pPr>
            <w:r w:rsidRPr="0087728E">
              <w:rPr>
                <w:rFonts w:eastAsia="Times New Roman" w:cs="Times New Roman"/>
                <w:color w:val="000000"/>
                <w:szCs w:val="24"/>
                <w:lang w:eastAsia="en-GB"/>
              </w:rPr>
              <w:t>72.3</w:t>
            </w:r>
          </w:p>
        </w:tc>
        <w:tc>
          <w:tcPr>
            <w:tcW w:w="1802" w:type="pct"/>
            <w:shd w:val="clear" w:color="auto" w:fill="auto"/>
            <w:noWrap/>
            <w:vAlign w:val="center"/>
            <w:hideMark/>
          </w:tcPr>
          <w:p w14:paraId="4234F135" w14:textId="77777777" w:rsidR="00A73782" w:rsidRPr="0087728E" w:rsidRDefault="00A73782" w:rsidP="0099211F">
            <w:pPr>
              <w:spacing w:after="0"/>
              <w:jc w:val="center"/>
              <w:rPr>
                <w:rFonts w:eastAsia="Times New Roman" w:cs="Times New Roman"/>
                <w:color w:val="000000"/>
                <w:szCs w:val="24"/>
                <w:lang w:eastAsia="en-GB"/>
              </w:rPr>
            </w:pPr>
            <w:r w:rsidRPr="0087728E">
              <w:rPr>
                <w:rFonts w:eastAsia="Times New Roman" w:cs="Times New Roman"/>
                <w:color w:val="000000"/>
                <w:szCs w:val="24"/>
                <w:lang w:eastAsia="en-GB"/>
              </w:rPr>
              <w:t>69.4</w:t>
            </w:r>
          </w:p>
        </w:tc>
      </w:tr>
      <w:tr w:rsidR="00A73782" w:rsidRPr="0087728E" w14:paraId="780A9D3E" w14:textId="77777777" w:rsidTr="0099211F">
        <w:trPr>
          <w:trHeight w:val="160"/>
          <w:jc w:val="center"/>
        </w:trPr>
        <w:tc>
          <w:tcPr>
            <w:tcW w:w="1786" w:type="pct"/>
            <w:shd w:val="clear" w:color="auto" w:fill="auto"/>
            <w:noWrap/>
            <w:vAlign w:val="center"/>
            <w:hideMark/>
          </w:tcPr>
          <w:p w14:paraId="6855615B" w14:textId="77777777" w:rsidR="00A73782" w:rsidRPr="0087728E" w:rsidRDefault="00A73782" w:rsidP="0099211F">
            <w:pPr>
              <w:spacing w:after="0"/>
              <w:jc w:val="center"/>
              <w:rPr>
                <w:rFonts w:eastAsia="Times New Roman" w:cs="Times New Roman"/>
                <w:b/>
                <w:bCs/>
                <w:color w:val="000000"/>
                <w:szCs w:val="24"/>
                <w:lang w:eastAsia="en-GB"/>
              </w:rPr>
            </w:pPr>
            <w:r w:rsidRPr="0087728E">
              <w:rPr>
                <w:rFonts w:eastAsia="Times New Roman" w:cs="Times New Roman"/>
                <w:b/>
                <w:bCs/>
                <w:color w:val="000000"/>
                <w:szCs w:val="24"/>
                <w:lang w:eastAsia="en-GB"/>
              </w:rPr>
              <w:t>Standard Deviation</w:t>
            </w:r>
          </w:p>
        </w:tc>
        <w:tc>
          <w:tcPr>
            <w:tcW w:w="1412" w:type="pct"/>
            <w:shd w:val="clear" w:color="auto" w:fill="auto"/>
            <w:noWrap/>
            <w:vAlign w:val="center"/>
            <w:hideMark/>
          </w:tcPr>
          <w:p w14:paraId="2E84BED8" w14:textId="77777777" w:rsidR="00A73782" w:rsidRPr="0087728E" w:rsidRDefault="00A73782" w:rsidP="0099211F">
            <w:pPr>
              <w:spacing w:after="0"/>
              <w:jc w:val="center"/>
              <w:rPr>
                <w:rFonts w:eastAsia="Times New Roman" w:cs="Times New Roman"/>
                <w:color w:val="000000"/>
                <w:szCs w:val="24"/>
                <w:lang w:eastAsia="en-GB"/>
              </w:rPr>
            </w:pPr>
            <w:r w:rsidRPr="0087728E">
              <w:rPr>
                <w:rFonts w:eastAsia="Times New Roman" w:cs="Times New Roman"/>
                <w:color w:val="000000"/>
                <w:szCs w:val="24"/>
                <w:lang w:eastAsia="en-GB"/>
              </w:rPr>
              <w:t>4.2</w:t>
            </w:r>
          </w:p>
        </w:tc>
        <w:tc>
          <w:tcPr>
            <w:tcW w:w="1802" w:type="pct"/>
            <w:shd w:val="clear" w:color="auto" w:fill="auto"/>
            <w:noWrap/>
            <w:vAlign w:val="center"/>
            <w:hideMark/>
          </w:tcPr>
          <w:p w14:paraId="359A35B1" w14:textId="77777777" w:rsidR="00A73782" w:rsidRPr="0087728E" w:rsidRDefault="00A73782" w:rsidP="0099211F">
            <w:pPr>
              <w:spacing w:after="0"/>
              <w:jc w:val="center"/>
              <w:rPr>
                <w:rFonts w:eastAsia="Times New Roman" w:cs="Times New Roman"/>
                <w:color w:val="000000"/>
                <w:szCs w:val="24"/>
                <w:lang w:eastAsia="en-GB"/>
              </w:rPr>
            </w:pPr>
            <w:r w:rsidRPr="0087728E">
              <w:rPr>
                <w:rFonts w:eastAsia="Times New Roman" w:cs="Times New Roman"/>
                <w:color w:val="000000"/>
                <w:szCs w:val="24"/>
                <w:lang w:eastAsia="en-GB"/>
              </w:rPr>
              <w:t>3.0</w:t>
            </w:r>
          </w:p>
        </w:tc>
      </w:tr>
    </w:tbl>
    <w:p w14:paraId="4A3F3A7A" w14:textId="77777777" w:rsidR="00A73782" w:rsidRDefault="00A73782" w:rsidP="00A73782">
      <w:pPr>
        <w:spacing w:after="0"/>
        <w:rPr>
          <w:rFonts w:ascii="Times" w:hAnsi="Times" w:cs="Times"/>
          <w:szCs w:val="24"/>
        </w:rPr>
      </w:pPr>
    </w:p>
    <w:p w14:paraId="1AFB95A6" w14:textId="5A6E6294" w:rsidR="00A73782" w:rsidRDefault="00A73782" w:rsidP="00A73782">
      <w:pPr>
        <w:rPr>
          <w:szCs w:val="24"/>
        </w:rPr>
      </w:pPr>
    </w:p>
    <w:p w14:paraId="57C8AC2B" w14:textId="4A5E6923" w:rsidR="00A73782" w:rsidRDefault="00A73782" w:rsidP="00A73782">
      <w:pPr>
        <w:rPr>
          <w:szCs w:val="24"/>
        </w:rPr>
      </w:pPr>
      <w:r>
        <w:rPr>
          <w:szCs w:val="24"/>
        </w:rPr>
        <w:br w:type="page"/>
      </w:r>
    </w:p>
    <w:p w14:paraId="3DFD69C1" w14:textId="34601071" w:rsidR="00A73782" w:rsidRPr="00A73782" w:rsidRDefault="00A73782" w:rsidP="00A73782">
      <w:pPr>
        <w:rPr>
          <w:b/>
          <w:bCs/>
          <w:szCs w:val="24"/>
        </w:rPr>
      </w:pPr>
      <w:r w:rsidRPr="00A73782">
        <w:rPr>
          <w:b/>
          <w:bCs/>
          <w:szCs w:val="24"/>
        </w:rPr>
        <w:lastRenderedPageBreak/>
        <w:t>Figure Captions</w:t>
      </w:r>
    </w:p>
    <w:p w14:paraId="54CC566C" w14:textId="70A8B9FC" w:rsidR="00A73782" w:rsidRPr="00144473" w:rsidRDefault="00A73782" w:rsidP="00144473">
      <w:pPr>
        <w:rPr>
          <w:szCs w:val="24"/>
        </w:rPr>
      </w:pPr>
    </w:p>
    <w:p w14:paraId="235CD59B" w14:textId="7C50D859" w:rsidR="00A73782" w:rsidRPr="00144473" w:rsidRDefault="009F68E4" w:rsidP="00144473">
      <w:pPr>
        <w:rPr>
          <w:szCs w:val="24"/>
        </w:rPr>
      </w:pPr>
      <w:bookmarkStart w:id="16" w:name="_Hlk46257635"/>
      <w:r w:rsidRPr="00144473">
        <w:rPr>
          <w:b/>
          <w:bCs/>
          <w:szCs w:val="24"/>
        </w:rPr>
        <w:t>Figure 1</w:t>
      </w:r>
      <w:r w:rsidR="00144473" w:rsidRPr="00144473">
        <w:rPr>
          <w:b/>
          <w:bCs/>
          <w:szCs w:val="24"/>
        </w:rPr>
        <w:t>.</w:t>
      </w:r>
      <w:r w:rsidRPr="00144473">
        <w:rPr>
          <w:szCs w:val="24"/>
        </w:rPr>
        <w:t xml:space="preserve"> </w:t>
      </w:r>
      <w:r w:rsidR="004C333F" w:rsidRPr="00144473">
        <w:rPr>
          <w:szCs w:val="24"/>
        </w:rPr>
        <w:t>The mean s</w:t>
      </w:r>
      <w:r w:rsidRPr="00144473">
        <w:rPr>
          <w:szCs w:val="24"/>
        </w:rPr>
        <w:t xml:space="preserve">tress-strain curves </w:t>
      </w:r>
      <w:r w:rsidR="004C333F" w:rsidRPr="00144473">
        <w:rPr>
          <w:szCs w:val="24"/>
        </w:rPr>
        <w:t xml:space="preserve">(solid continuous lines) </w:t>
      </w:r>
      <w:r w:rsidRPr="00144473">
        <w:rPr>
          <w:szCs w:val="24"/>
        </w:rPr>
        <w:t xml:space="preserve">of </w:t>
      </w:r>
      <w:r w:rsidR="004C333F" w:rsidRPr="00144473">
        <w:rPr>
          <w:szCs w:val="24"/>
        </w:rPr>
        <w:t xml:space="preserve">cranial </w:t>
      </w:r>
      <w:r w:rsidRPr="00144473">
        <w:rPr>
          <w:szCs w:val="24"/>
        </w:rPr>
        <w:t>cruciate ligament</w:t>
      </w:r>
      <w:r w:rsidR="004C333F" w:rsidRPr="00144473">
        <w:rPr>
          <w:szCs w:val="24"/>
        </w:rPr>
        <w:t>s</w:t>
      </w:r>
      <w:r w:rsidRPr="00144473">
        <w:rPr>
          <w:szCs w:val="24"/>
        </w:rPr>
        <w:t xml:space="preserve"> (</w:t>
      </w:r>
      <w:r w:rsidR="004C333F" w:rsidRPr="00144473">
        <w:rPr>
          <w:szCs w:val="24"/>
        </w:rPr>
        <w:t>C</w:t>
      </w:r>
      <w:r w:rsidRPr="00144473">
        <w:rPr>
          <w:szCs w:val="24"/>
        </w:rPr>
        <w:t xml:space="preserve">CL) at </w:t>
      </w:r>
      <w:r w:rsidR="004C333F" w:rsidRPr="00144473">
        <w:rPr>
          <w:b/>
          <w:bCs/>
          <w:szCs w:val="24"/>
        </w:rPr>
        <w:t>(A)</w:t>
      </w:r>
      <w:r w:rsidR="004C333F" w:rsidRPr="00144473">
        <w:rPr>
          <w:szCs w:val="24"/>
        </w:rPr>
        <w:t xml:space="preserve"> 0.1%/min, </w:t>
      </w:r>
      <w:r w:rsidR="004C333F" w:rsidRPr="00144473">
        <w:rPr>
          <w:b/>
          <w:bCs/>
          <w:szCs w:val="24"/>
        </w:rPr>
        <w:t>(B)</w:t>
      </w:r>
      <w:r w:rsidR="004C333F" w:rsidRPr="00144473">
        <w:rPr>
          <w:szCs w:val="24"/>
        </w:rPr>
        <w:t xml:space="preserve"> 1%/min, and </w:t>
      </w:r>
      <w:r w:rsidR="004C333F" w:rsidRPr="00144473">
        <w:rPr>
          <w:b/>
          <w:bCs/>
          <w:szCs w:val="24"/>
        </w:rPr>
        <w:t>(C)</w:t>
      </w:r>
      <w:r w:rsidR="004C333F" w:rsidRPr="00144473">
        <w:rPr>
          <w:szCs w:val="24"/>
        </w:rPr>
        <w:t xml:space="preserve"> 10%/min</w:t>
      </w:r>
      <w:r w:rsidRPr="00144473">
        <w:rPr>
          <w:szCs w:val="24"/>
        </w:rPr>
        <w:t xml:space="preserve"> strain</w:t>
      </w:r>
      <w:r w:rsidR="00FE5D23">
        <w:rPr>
          <w:szCs w:val="24"/>
        </w:rPr>
        <w:t xml:space="preserve"> </w:t>
      </w:r>
      <w:r w:rsidRPr="00144473">
        <w:rPr>
          <w:szCs w:val="24"/>
        </w:rPr>
        <w:t xml:space="preserve">rates during loading tests. The </w:t>
      </w:r>
      <w:r w:rsidR="004C333F" w:rsidRPr="00144473">
        <w:rPr>
          <w:szCs w:val="24"/>
        </w:rPr>
        <w:t xml:space="preserve">black </w:t>
      </w:r>
      <w:r w:rsidRPr="00144473">
        <w:rPr>
          <w:szCs w:val="24"/>
        </w:rPr>
        <w:t xml:space="preserve">line </w:t>
      </w:r>
      <w:r w:rsidR="004C333F" w:rsidRPr="00144473">
        <w:rPr>
          <w:szCs w:val="24"/>
        </w:rPr>
        <w:t xml:space="preserve">and grey shaded standard deviation </w:t>
      </w:r>
      <w:r w:rsidRPr="00144473">
        <w:rPr>
          <w:szCs w:val="24"/>
        </w:rPr>
        <w:t xml:space="preserve">show results from the control </w:t>
      </w:r>
      <w:r w:rsidR="0098517B">
        <w:rPr>
          <w:rFonts w:ascii="Times" w:hAnsi="Times" w:cs="Times"/>
          <w:szCs w:val="24"/>
        </w:rPr>
        <w:t xml:space="preserve">(proteoglycans were not depleted) </w:t>
      </w:r>
      <w:r w:rsidRPr="00144473">
        <w:rPr>
          <w:szCs w:val="24"/>
        </w:rPr>
        <w:t>group</w:t>
      </w:r>
      <w:r w:rsidR="004C333F" w:rsidRPr="00144473">
        <w:rPr>
          <w:szCs w:val="24"/>
        </w:rPr>
        <w:t xml:space="preserve">, and </w:t>
      </w:r>
      <w:r w:rsidRPr="00144473">
        <w:rPr>
          <w:szCs w:val="24"/>
        </w:rPr>
        <w:t xml:space="preserve">the </w:t>
      </w:r>
      <w:r w:rsidR="004C333F" w:rsidRPr="00144473">
        <w:rPr>
          <w:szCs w:val="24"/>
        </w:rPr>
        <w:t xml:space="preserve">red </w:t>
      </w:r>
      <w:r w:rsidRPr="00144473">
        <w:rPr>
          <w:szCs w:val="24"/>
        </w:rPr>
        <w:t>line</w:t>
      </w:r>
      <w:r w:rsidR="004C333F" w:rsidRPr="00144473">
        <w:rPr>
          <w:szCs w:val="24"/>
        </w:rPr>
        <w:t xml:space="preserve"> and light red shaded standard deviation show </w:t>
      </w:r>
      <w:r w:rsidRPr="00144473">
        <w:rPr>
          <w:szCs w:val="24"/>
        </w:rPr>
        <w:t xml:space="preserve">results from the contralateral </w:t>
      </w:r>
      <w:r w:rsidR="004C333F" w:rsidRPr="00144473">
        <w:rPr>
          <w:szCs w:val="24"/>
        </w:rPr>
        <w:t>CCLs</w:t>
      </w:r>
      <w:r w:rsidRPr="00144473">
        <w:rPr>
          <w:szCs w:val="24"/>
        </w:rPr>
        <w:t xml:space="preserve"> in </w:t>
      </w:r>
      <w:r w:rsidR="00FE5D23">
        <w:rPr>
          <w:szCs w:val="24"/>
        </w:rPr>
        <w:t xml:space="preserve">the </w:t>
      </w:r>
      <w:r w:rsidR="004C333F" w:rsidRPr="00144473">
        <w:rPr>
          <w:szCs w:val="24"/>
        </w:rPr>
        <w:t>treated</w:t>
      </w:r>
      <w:r w:rsidRPr="00144473">
        <w:rPr>
          <w:szCs w:val="24"/>
        </w:rPr>
        <w:t xml:space="preserve"> </w:t>
      </w:r>
      <w:r w:rsidR="0098517B">
        <w:rPr>
          <w:rFonts w:ascii="Times" w:hAnsi="Times" w:cs="Times"/>
          <w:szCs w:val="24"/>
        </w:rPr>
        <w:t xml:space="preserve">(proteoglycans were depleted) </w:t>
      </w:r>
      <w:r w:rsidRPr="00144473">
        <w:rPr>
          <w:szCs w:val="24"/>
        </w:rPr>
        <w:t>group.</w:t>
      </w:r>
      <w:bookmarkEnd w:id="16"/>
    </w:p>
    <w:p w14:paraId="3C28CEA5" w14:textId="77777777" w:rsidR="004F068B" w:rsidRPr="00144473" w:rsidRDefault="004F068B" w:rsidP="00144473">
      <w:pPr>
        <w:rPr>
          <w:szCs w:val="24"/>
        </w:rPr>
      </w:pPr>
    </w:p>
    <w:p w14:paraId="3AD836D0" w14:textId="316AC25B" w:rsidR="009F68E4" w:rsidRPr="00144473" w:rsidRDefault="009F68E4" w:rsidP="00144473">
      <w:pPr>
        <w:rPr>
          <w:szCs w:val="24"/>
        </w:rPr>
      </w:pPr>
      <w:r w:rsidRPr="00144473">
        <w:rPr>
          <w:b/>
          <w:bCs/>
          <w:szCs w:val="24"/>
        </w:rPr>
        <w:t>Figure 2</w:t>
      </w:r>
      <w:r w:rsidR="00144473">
        <w:rPr>
          <w:b/>
          <w:bCs/>
          <w:szCs w:val="24"/>
        </w:rPr>
        <w:t>.</w:t>
      </w:r>
      <w:r w:rsidRPr="00144473">
        <w:rPr>
          <w:szCs w:val="24"/>
        </w:rPr>
        <w:t xml:space="preserve"> </w:t>
      </w:r>
      <w:r w:rsidR="00DF4B91" w:rsidRPr="00144473">
        <w:rPr>
          <w:szCs w:val="24"/>
        </w:rPr>
        <w:t>Secant</w:t>
      </w:r>
      <w:r w:rsidRPr="00144473">
        <w:rPr>
          <w:szCs w:val="24"/>
        </w:rPr>
        <w:t xml:space="preserve"> modulus values were determined for the </w:t>
      </w:r>
      <w:r w:rsidR="00DF4B91" w:rsidRPr="00144473">
        <w:rPr>
          <w:szCs w:val="24"/>
        </w:rPr>
        <w:t>cranial</w:t>
      </w:r>
      <w:r w:rsidRPr="00144473">
        <w:rPr>
          <w:szCs w:val="24"/>
        </w:rPr>
        <w:t xml:space="preserve"> cruciate ligaments (</w:t>
      </w:r>
      <w:r w:rsidR="00DF4B91" w:rsidRPr="00144473">
        <w:rPr>
          <w:szCs w:val="24"/>
        </w:rPr>
        <w:t>CCLs</w:t>
      </w:r>
      <w:r w:rsidRPr="00144473">
        <w:rPr>
          <w:szCs w:val="24"/>
        </w:rPr>
        <w:t xml:space="preserve">) in </w:t>
      </w:r>
      <w:r w:rsidR="00FE5D23">
        <w:rPr>
          <w:szCs w:val="24"/>
        </w:rPr>
        <w:t xml:space="preserve">the </w:t>
      </w:r>
      <w:r w:rsidRPr="00144473">
        <w:rPr>
          <w:szCs w:val="24"/>
        </w:rPr>
        <w:t>control (</w:t>
      </w:r>
      <w:r w:rsidR="00DF4B91" w:rsidRPr="00144473">
        <w:rPr>
          <w:szCs w:val="24"/>
        </w:rPr>
        <w:t>black</w:t>
      </w:r>
      <w:r w:rsidRPr="00144473">
        <w:rPr>
          <w:szCs w:val="24"/>
        </w:rPr>
        <w:t xml:space="preserve"> line)</w:t>
      </w:r>
      <w:r w:rsidR="00FE5D23">
        <w:rPr>
          <w:szCs w:val="24"/>
        </w:rPr>
        <w:t xml:space="preserve"> group</w:t>
      </w:r>
      <w:r w:rsidR="0098517B">
        <w:rPr>
          <w:szCs w:val="24"/>
        </w:rPr>
        <w:t>,</w:t>
      </w:r>
      <w:r w:rsidRPr="00144473">
        <w:rPr>
          <w:szCs w:val="24"/>
        </w:rPr>
        <w:t xml:space="preserve"> </w:t>
      </w:r>
      <w:r w:rsidR="0098517B">
        <w:rPr>
          <w:szCs w:val="24"/>
        </w:rPr>
        <w:t xml:space="preserve">where proteoglycans were not depleted, </w:t>
      </w:r>
      <w:r w:rsidRPr="00144473">
        <w:rPr>
          <w:szCs w:val="24"/>
        </w:rPr>
        <w:t>and</w:t>
      </w:r>
      <w:r w:rsidR="00FE5D23">
        <w:rPr>
          <w:szCs w:val="24"/>
        </w:rPr>
        <w:t xml:space="preserve"> the</w:t>
      </w:r>
      <w:r w:rsidRPr="00144473">
        <w:rPr>
          <w:szCs w:val="24"/>
        </w:rPr>
        <w:t xml:space="preserve"> </w:t>
      </w:r>
      <w:r w:rsidR="00DF4B91" w:rsidRPr="00144473">
        <w:rPr>
          <w:szCs w:val="24"/>
        </w:rPr>
        <w:t xml:space="preserve">treated </w:t>
      </w:r>
      <w:r w:rsidRPr="00144473">
        <w:rPr>
          <w:szCs w:val="24"/>
        </w:rPr>
        <w:t>(</w:t>
      </w:r>
      <w:r w:rsidR="00DF4B91" w:rsidRPr="00144473">
        <w:rPr>
          <w:szCs w:val="24"/>
        </w:rPr>
        <w:t>red</w:t>
      </w:r>
      <w:r w:rsidRPr="00144473">
        <w:rPr>
          <w:szCs w:val="24"/>
        </w:rPr>
        <w:t xml:space="preserve"> line)</w:t>
      </w:r>
      <w:r w:rsidR="00FE5D23">
        <w:rPr>
          <w:szCs w:val="24"/>
        </w:rPr>
        <w:t xml:space="preserve"> group</w:t>
      </w:r>
      <w:r w:rsidR="0098517B">
        <w:rPr>
          <w:szCs w:val="24"/>
        </w:rPr>
        <w:t xml:space="preserve">, where proteoglycans were depleted, </w:t>
      </w:r>
      <w:r w:rsidRPr="00144473">
        <w:rPr>
          <w:szCs w:val="24"/>
        </w:rPr>
        <w:t>at varying strain</w:t>
      </w:r>
      <w:r w:rsidR="00FE5D23">
        <w:rPr>
          <w:szCs w:val="24"/>
        </w:rPr>
        <w:t xml:space="preserve"> </w:t>
      </w:r>
      <w:r w:rsidRPr="00144473">
        <w:rPr>
          <w:szCs w:val="24"/>
        </w:rPr>
        <w:t>rates. The box plot show</w:t>
      </w:r>
      <w:r w:rsidR="000406C6" w:rsidRPr="00144473">
        <w:rPr>
          <w:szCs w:val="24"/>
        </w:rPr>
        <w:t>s</w:t>
      </w:r>
      <w:r w:rsidR="00BA5848" w:rsidRPr="00144473">
        <w:rPr>
          <w:szCs w:val="24"/>
        </w:rPr>
        <w:t xml:space="preserve"> </w:t>
      </w:r>
      <w:r w:rsidRPr="00144473">
        <w:rPr>
          <w:szCs w:val="24"/>
        </w:rPr>
        <w:t>individual specimen values (grey dots)</w:t>
      </w:r>
      <w:r w:rsidR="00BA5848" w:rsidRPr="00144473">
        <w:rPr>
          <w:szCs w:val="24"/>
        </w:rPr>
        <w:t xml:space="preserve"> and</w:t>
      </w:r>
      <w:r w:rsidRPr="00144473">
        <w:rPr>
          <w:szCs w:val="24"/>
        </w:rPr>
        <w:t xml:space="preserve"> </w:t>
      </w:r>
      <w:r w:rsidR="001D6FCB" w:rsidRPr="00144473">
        <w:rPr>
          <w:szCs w:val="24"/>
        </w:rPr>
        <w:t>mean</w:t>
      </w:r>
      <w:r w:rsidR="00FE5D23">
        <w:rPr>
          <w:szCs w:val="24"/>
        </w:rPr>
        <w:t xml:space="preserve">s </w:t>
      </w:r>
      <w:r w:rsidR="001D6FCB" w:rsidRPr="00144473">
        <w:rPr>
          <w:szCs w:val="24"/>
        </w:rPr>
        <w:t xml:space="preserve">(red asterisk) </w:t>
      </w:r>
      <w:r w:rsidRPr="00144473">
        <w:rPr>
          <w:szCs w:val="24"/>
        </w:rPr>
        <w:t>during loading at 0.1 %/min, 1 %/min and 10 %/min strain</w:t>
      </w:r>
      <w:r w:rsidR="00FE5D23">
        <w:rPr>
          <w:szCs w:val="24"/>
        </w:rPr>
        <w:t xml:space="preserve"> </w:t>
      </w:r>
      <w:r w:rsidRPr="00144473">
        <w:rPr>
          <w:szCs w:val="24"/>
        </w:rPr>
        <w:t>rate</w:t>
      </w:r>
      <w:r w:rsidR="00BA5848" w:rsidRPr="00144473">
        <w:rPr>
          <w:szCs w:val="24"/>
        </w:rPr>
        <w:t xml:space="preserve">s. </w:t>
      </w:r>
      <w:r w:rsidRPr="00144473">
        <w:rPr>
          <w:szCs w:val="24"/>
        </w:rPr>
        <w:t xml:space="preserve">The outliers are indicated with a red plus sign. </w:t>
      </w:r>
    </w:p>
    <w:p w14:paraId="2870CA77" w14:textId="336C7CEF" w:rsidR="00A73782" w:rsidRPr="00144473" w:rsidRDefault="00A73782" w:rsidP="00144473">
      <w:pPr>
        <w:rPr>
          <w:szCs w:val="24"/>
        </w:rPr>
      </w:pPr>
    </w:p>
    <w:p w14:paraId="7F59BB0E" w14:textId="6139270F" w:rsidR="009F68E4" w:rsidRPr="00144473" w:rsidRDefault="009F68E4" w:rsidP="00144473">
      <w:pPr>
        <w:rPr>
          <w:szCs w:val="24"/>
        </w:rPr>
      </w:pPr>
      <w:r w:rsidRPr="00144473">
        <w:rPr>
          <w:b/>
          <w:bCs/>
          <w:szCs w:val="24"/>
        </w:rPr>
        <w:t>Figure 3</w:t>
      </w:r>
      <w:r w:rsidR="00144473" w:rsidRPr="00144473">
        <w:rPr>
          <w:b/>
          <w:bCs/>
          <w:szCs w:val="24"/>
        </w:rPr>
        <w:t>.</w:t>
      </w:r>
      <w:r w:rsidRPr="00144473">
        <w:rPr>
          <w:szCs w:val="24"/>
        </w:rPr>
        <w:t xml:space="preserve"> </w:t>
      </w:r>
      <w:r w:rsidR="000406C6" w:rsidRPr="00144473">
        <w:rPr>
          <w:szCs w:val="24"/>
        </w:rPr>
        <w:t>Hysteresis (d</w:t>
      </w:r>
      <w:r w:rsidRPr="00144473">
        <w:rPr>
          <w:szCs w:val="24"/>
        </w:rPr>
        <w:t>issipated energy</w:t>
      </w:r>
      <w:r w:rsidR="000406C6" w:rsidRPr="00144473">
        <w:rPr>
          <w:szCs w:val="24"/>
        </w:rPr>
        <w:t>)</w:t>
      </w:r>
      <w:r w:rsidRPr="00144473">
        <w:rPr>
          <w:szCs w:val="24"/>
        </w:rPr>
        <w:t xml:space="preserve"> of the </w:t>
      </w:r>
      <w:r w:rsidR="000406C6" w:rsidRPr="00144473">
        <w:rPr>
          <w:szCs w:val="24"/>
        </w:rPr>
        <w:t>cranial</w:t>
      </w:r>
      <w:r w:rsidRPr="00144473">
        <w:rPr>
          <w:szCs w:val="24"/>
        </w:rPr>
        <w:t xml:space="preserve"> cruciate ligaments (</w:t>
      </w:r>
      <w:r w:rsidR="000406C6" w:rsidRPr="00144473">
        <w:rPr>
          <w:szCs w:val="24"/>
        </w:rPr>
        <w:t>C</w:t>
      </w:r>
      <w:r w:rsidRPr="00144473">
        <w:rPr>
          <w:szCs w:val="24"/>
        </w:rPr>
        <w:t>CLs) during cyclic loading at varying strain</w:t>
      </w:r>
      <w:r w:rsidR="00FE5D23">
        <w:rPr>
          <w:szCs w:val="24"/>
        </w:rPr>
        <w:t xml:space="preserve"> </w:t>
      </w:r>
      <w:r w:rsidRPr="00144473">
        <w:rPr>
          <w:szCs w:val="24"/>
        </w:rPr>
        <w:t>rates for the control (</w:t>
      </w:r>
      <w:r w:rsidR="000406C6" w:rsidRPr="00144473">
        <w:rPr>
          <w:szCs w:val="24"/>
        </w:rPr>
        <w:t>black</w:t>
      </w:r>
      <w:r w:rsidRPr="00144473">
        <w:rPr>
          <w:szCs w:val="24"/>
        </w:rPr>
        <w:t xml:space="preserve"> lines)</w:t>
      </w:r>
      <w:r w:rsidR="00FE5D23">
        <w:rPr>
          <w:szCs w:val="24"/>
        </w:rPr>
        <w:t xml:space="preserve"> group</w:t>
      </w:r>
      <w:r w:rsidR="0098517B">
        <w:rPr>
          <w:szCs w:val="24"/>
        </w:rPr>
        <w:t xml:space="preserve">, where proteoglycans were not depleted, </w:t>
      </w:r>
      <w:r w:rsidRPr="00144473">
        <w:rPr>
          <w:szCs w:val="24"/>
        </w:rPr>
        <w:t xml:space="preserve">and </w:t>
      </w:r>
      <w:r w:rsidR="00FE5D23">
        <w:rPr>
          <w:szCs w:val="24"/>
        </w:rPr>
        <w:t xml:space="preserve">the </w:t>
      </w:r>
      <w:r w:rsidR="000406C6" w:rsidRPr="00144473">
        <w:rPr>
          <w:szCs w:val="24"/>
        </w:rPr>
        <w:t>treated</w:t>
      </w:r>
      <w:r w:rsidRPr="00144473">
        <w:rPr>
          <w:szCs w:val="24"/>
        </w:rPr>
        <w:t xml:space="preserve"> (</w:t>
      </w:r>
      <w:r w:rsidR="000406C6" w:rsidRPr="00144473">
        <w:rPr>
          <w:szCs w:val="24"/>
        </w:rPr>
        <w:t>red</w:t>
      </w:r>
      <w:r w:rsidRPr="00144473">
        <w:rPr>
          <w:szCs w:val="24"/>
        </w:rPr>
        <w:t xml:space="preserve"> lines)</w:t>
      </w:r>
      <w:r w:rsidR="00FE5D23">
        <w:rPr>
          <w:szCs w:val="24"/>
        </w:rPr>
        <w:t xml:space="preserve"> group</w:t>
      </w:r>
      <w:r w:rsidR="00152E23">
        <w:rPr>
          <w:szCs w:val="24"/>
        </w:rPr>
        <w:t>, where proteoglycans were depleted</w:t>
      </w:r>
      <w:r w:rsidRPr="00144473">
        <w:rPr>
          <w:szCs w:val="24"/>
        </w:rPr>
        <w:t>. The box plot shows</w:t>
      </w:r>
      <w:r w:rsidR="00FE5D23">
        <w:rPr>
          <w:szCs w:val="24"/>
        </w:rPr>
        <w:t xml:space="preserve"> </w:t>
      </w:r>
      <w:r w:rsidR="000406C6" w:rsidRPr="00144473">
        <w:rPr>
          <w:szCs w:val="24"/>
        </w:rPr>
        <w:t>individual specimen values (</w:t>
      </w:r>
      <w:r w:rsidR="00FE5D23" w:rsidRPr="00144473">
        <w:rPr>
          <w:szCs w:val="24"/>
        </w:rPr>
        <w:t>gr</w:t>
      </w:r>
      <w:r w:rsidR="00FE5D23">
        <w:rPr>
          <w:szCs w:val="24"/>
        </w:rPr>
        <w:t>e</w:t>
      </w:r>
      <w:r w:rsidR="00FE5D23" w:rsidRPr="00144473">
        <w:rPr>
          <w:szCs w:val="24"/>
        </w:rPr>
        <w:t>y</w:t>
      </w:r>
      <w:r w:rsidR="000406C6" w:rsidRPr="00144473">
        <w:rPr>
          <w:szCs w:val="24"/>
        </w:rPr>
        <w:t xml:space="preserve"> dots) and mean</w:t>
      </w:r>
      <w:r w:rsidR="00FE5D23">
        <w:rPr>
          <w:szCs w:val="24"/>
        </w:rPr>
        <w:t>s</w:t>
      </w:r>
      <w:r w:rsidR="000406C6" w:rsidRPr="00144473">
        <w:rPr>
          <w:szCs w:val="24"/>
        </w:rPr>
        <w:t xml:space="preserve"> (red asterisk) during loading at 0.1 %/min, 1 %/min and 10 %/min strain</w:t>
      </w:r>
      <w:r w:rsidR="00FE5D23">
        <w:rPr>
          <w:szCs w:val="24"/>
        </w:rPr>
        <w:t xml:space="preserve"> </w:t>
      </w:r>
      <w:r w:rsidR="000406C6" w:rsidRPr="00144473">
        <w:rPr>
          <w:szCs w:val="24"/>
        </w:rPr>
        <w:t xml:space="preserve">rates. The outliers are indicated with a red plus sign. </w:t>
      </w:r>
    </w:p>
    <w:p w14:paraId="75A81CBE" w14:textId="77777777" w:rsidR="000406C6" w:rsidRPr="00144473" w:rsidRDefault="000406C6" w:rsidP="00144473">
      <w:pPr>
        <w:rPr>
          <w:szCs w:val="24"/>
        </w:rPr>
      </w:pPr>
    </w:p>
    <w:p w14:paraId="6BCB4271" w14:textId="342B7D99" w:rsidR="002627E1" w:rsidRDefault="009F68E4" w:rsidP="00144473">
      <w:pPr>
        <w:rPr>
          <w:szCs w:val="24"/>
        </w:rPr>
      </w:pPr>
      <w:r w:rsidRPr="00144473">
        <w:rPr>
          <w:b/>
          <w:bCs/>
          <w:szCs w:val="24"/>
        </w:rPr>
        <w:t xml:space="preserve">Figure </w:t>
      </w:r>
      <w:r w:rsidR="00144473" w:rsidRPr="00144473">
        <w:rPr>
          <w:b/>
          <w:bCs/>
          <w:szCs w:val="24"/>
        </w:rPr>
        <w:t>4.</w:t>
      </w:r>
      <w:r w:rsidR="00144473">
        <w:rPr>
          <w:szCs w:val="24"/>
        </w:rPr>
        <w:t xml:space="preserve"> </w:t>
      </w:r>
      <w:r w:rsidR="007E57D7">
        <w:rPr>
          <w:szCs w:val="24"/>
        </w:rPr>
        <w:t xml:space="preserve">The creep behaviour of </w:t>
      </w:r>
      <w:r w:rsidR="007E57D7" w:rsidRPr="00144473">
        <w:rPr>
          <w:szCs w:val="24"/>
        </w:rPr>
        <w:t xml:space="preserve">the </w:t>
      </w:r>
      <w:r w:rsidR="007E57D7">
        <w:rPr>
          <w:szCs w:val="24"/>
        </w:rPr>
        <w:t>cranial</w:t>
      </w:r>
      <w:r w:rsidR="007E57D7" w:rsidRPr="00144473">
        <w:rPr>
          <w:szCs w:val="24"/>
        </w:rPr>
        <w:t xml:space="preserve"> cruciate ligaments (</w:t>
      </w:r>
      <w:r w:rsidR="007E57D7">
        <w:rPr>
          <w:szCs w:val="24"/>
        </w:rPr>
        <w:t>C</w:t>
      </w:r>
      <w:r w:rsidR="007E57D7" w:rsidRPr="00144473">
        <w:rPr>
          <w:szCs w:val="24"/>
        </w:rPr>
        <w:t>CLs)</w:t>
      </w:r>
      <w:r w:rsidR="007E57D7">
        <w:rPr>
          <w:szCs w:val="24"/>
        </w:rPr>
        <w:t xml:space="preserve"> show</w:t>
      </w:r>
      <w:r w:rsidR="00FE5D23">
        <w:rPr>
          <w:szCs w:val="24"/>
        </w:rPr>
        <w:t>s</w:t>
      </w:r>
      <w:r w:rsidR="007E57D7">
        <w:rPr>
          <w:szCs w:val="24"/>
        </w:rPr>
        <w:t xml:space="preserve"> creep strain-time curves at </w:t>
      </w:r>
      <w:r w:rsidR="007E57D7" w:rsidRPr="007E57D7">
        <w:rPr>
          <w:b/>
          <w:bCs/>
          <w:szCs w:val="24"/>
        </w:rPr>
        <w:t>(A)</w:t>
      </w:r>
      <w:r w:rsidR="007E57D7">
        <w:rPr>
          <w:szCs w:val="24"/>
        </w:rPr>
        <w:t xml:space="preserve"> 4.9 N and </w:t>
      </w:r>
      <w:r w:rsidR="007E57D7" w:rsidRPr="007E57D7">
        <w:rPr>
          <w:b/>
          <w:bCs/>
          <w:szCs w:val="24"/>
        </w:rPr>
        <w:t>(B)</w:t>
      </w:r>
      <w:r w:rsidR="007E57D7">
        <w:rPr>
          <w:szCs w:val="24"/>
        </w:rPr>
        <w:t xml:space="preserve"> 9.9 N applied loads and creep compliance curves at </w:t>
      </w:r>
      <w:r w:rsidR="007E57D7" w:rsidRPr="002627E1">
        <w:rPr>
          <w:b/>
          <w:bCs/>
          <w:szCs w:val="24"/>
        </w:rPr>
        <w:t>(C)</w:t>
      </w:r>
      <w:r w:rsidR="007E57D7" w:rsidRPr="002627E1">
        <w:rPr>
          <w:szCs w:val="24"/>
        </w:rPr>
        <w:t xml:space="preserve"> 4.9 N and </w:t>
      </w:r>
      <w:r w:rsidR="007E57D7" w:rsidRPr="002627E1">
        <w:rPr>
          <w:b/>
          <w:bCs/>
          <w:szCs w:val="24"/>
        </w:rPr>
        <w:t>(D)</w:t>
      </w:r>
      <w:r w:rsidR="007E57D7" w:rsidRPr="002627E1">
        <w:rPr>
          <w:szCs w:val="24"/>
        </w:rPr>
        <w:t xml:space="preserve"> 9.9 N</w:t>
      </w:r>
      <w:r w:rsidR="007E57D7">
        <w:rPr>
          <w:szCs w:val="24"/>
        </w:rPr>
        <w:t xml:space="preserve"> applied loads. </w:t>
      </w:r>
      <w:r w:rsidR="002627E1" w:rsidRPr="00144473">
        <w:rPr>
          <w:szCs w:val="24"/>
        </w:rPr>
        <w:t>The black line</w:t>
      </w:r>
      <w:r w:rsidR="007E57D7">
        <w:rPr>
          <w:szCs w:val="24"/>
        </w:rPr>
        <w:t xml:space="preserve"> (mean)</w:t>
      </w:r>
      <w:r w:rsidR="002627E1" w:rsidRPr="00144473">
        <w:rPr>
          <w:szCs w:val="24"/>
        </w:rPr>
        <w:t xml:space="preserve"> and</w:t>
      </w:r>
      <w:r w:rsidR="00FE5D23">
        <w:rPr>
          <w:szCs w:val="24"/>
        </w:rPr>
        <w:t xml:space="preserve"> the</w:t>
      </w:r>
      <w:r w:rsidR="002627E1" w:rsidRPr="00144473">
        <w:rPr>
          <w:szCs w:val="24"/>
        </w:rPr>
        <w:t xml:space="preserve"> grey shade</w:t>
      </w:r>
      <w:r w:rsidR="007E57D7">
        <w:rPr>
          <w:szCs w:val="24"/>
        </w:rPr>
        <w:t xml:space="preserve"> (</w:t>
      </w:r>
      <w:r w:rsidR="002627E1" w:rsidRPr="00144473">
        <w:rPr>
          <w:szCs w:val="24"/>
        </w:rPr>
        <w:t>standard deviation</w:t>
      </w:r>
      <w:r w:rsidR="007E57D7">
        <w:rPr>
          <w:szCs w:val="24"/>
        </w:rPr>
        <w:t>)</w:t>
      </w:r>
      <w:r w:rsidR="002627E1" w:rsidRPr="00144473">
        <w:rPr>
          <w:szCs w:val="24"/>
        </w:rPr>
        <w:t xml:space="preserve"> show results from the control group</w:t>
      </w:r>
      <w:r w:rsidR="00152E23">
        <w:rPr>
          <w:szCs w:val="24"/>
        </w:rPr>
        <w:t xml:space="preserve"> (proteoglycans were not depleted)</w:t>
      </w:r>
      <w:r w:rsidR="002627E1" w:rsidRPr="00144473">
        <w:rPr>
          <w:szCs w:val="24"/>
        </w:rPr>
        <w:t>, and the red line</w:t>
      </w:r>
      <w:r w:rsidR="007E57D7">
        <w:rPr>
          <w:szCs w:val="24"/>
        </w:rPr>
        <w:t xml:space="preserve"> (mean)</w:t>
      </w:r>
      <w:r w:rsidR="002627E1" w:rsidRPr="00144473">
        <w:rPr>
          <w:szCs w:val="24"/>
        </w:rPr>
        <w:t xml:space="preserve"> and light red shade </w:t>
      </w:r>
      <w:r w:rsidR="007E57D7">
        <w:rPr>
          <w:szCs w:val="24"/>
        </w:rPr>
        <w:t>(</w:t>
      </w:r>
      <w:r w:rsidR="002627E1" w:rsidRPr="00144473">
        <w:rPr>
          <w:szCs w:val="24"/>
        </w:rPr>
        <w:t>standard deviation</w:t>
      </w:r>
      <w:r w:rsidR="007E57D7">
        <w:rPr>
          <w:szCs w:val="24"/>
        </w:rPr>
        <w:t>)</w:t>
      </w:r>
      <w:r w:rsidR="002627E1" w:rsidRPr="00144473">
        <w:rPr>
          <w:szCs w:val="24"/>
        </w:rPr>
        <w:t xml:space="preserve"> show results from the contralateral CCLs in </w:t>
      </w:r>
      <w:r w:rsidR="00FE5D23">
        <w:rPr>
          <w:szCs w:val="24"/>
        </w:rPr>
        <w:t xml:space="preserve">the </w:t>
      </w:r>
      <w:r w:rsidR="002627E1" w:rsidRPr="00144473">
        <w:rPr>
          <w:szCs w:val="24"/>
        </w:rPr>
        <w:t>treated group</w:t>
      </w:r>
      <w:r w:rsidR="00152E23">
        <w:rPr>
          <w:szCs w:val="24"/>
        </w:rPr>
        <w:t xml:space="preserve"> (proteoglycans were depleted)</w:t>
      </w:r>
      <w:r w:rsidR="002627E1" w:rsidRPr="00144473">
        <w:rPr>
          <w:szCs w:val="24"/>
        </w:rPr>
        <w:t>.</w:t>
      </w:r>
    </w:p>
    <w:p w14:paraId="5230DC7D" w14:textId="77777777" w:rsidR="002627E1" w:rsidRDefault="002627E1" w:rsidP="00144473">
      <w:pPr>
        <w:rPr>
          <w:szCs w:val="24"/>
        </w:rPr>
      </w:pPr>
    </w:p>
    <w:p w14:paraId="207C79CA" w14:textId="0D96CF33" w:rsidR="00616CAA" w:rsidRPr="00144473" w:rsidRDefault="00616CAA" w:rsidP="00616CAA">
      <w:pPr>
        <w:rPr>
          <w:szCs w:val="24"/>
        </w:rPr>
      </w:pPr>
      <w:r w:rsidRPr="001B0071">
        <w:rPr>
          <w:b/>
          <w:bCs/>
          <w:szCs w:val="24"/>
        </w:rPr>
        <w:t>Figure 5.</w:t>
      </w:r>
      <w:r>
        <w:rPr>
          <w:szCs w:val="24"/>
        </w:rPr>
        <w:t xml:space="preserve"> Creep rate</w:t>
      </w:r>
      <w:r w:rsidRPr="00144473">
        <w:rPr>
          <w:szCs w:val="24"/>
        </w:rPr>
        <w:t xml:space="preserve"> of the cranial cruciate ligaments (CCLs) during </w:t>
      </w:r>
      <w:r>
        <w:rPr>
          <w:szCs w:val="24"/>
        </w:rPr>
        <w:t>loading at 4.9 N and 9.9 N</w:t>
      </w:r>
      <w:r w:rsidR="001B0071">
        <w:rPr>
          <w:szCs w:val="24"/>
        </w:rPr>
        <w:t xml:space="preserve"> in </w:t>
      </w:r>
      <w:r w:rsidRPr="00144473">
        <w:rPr>
          <w:szCs w:val="24"/>
        </w:rPr>
        <w:t>the control (black lines)</w:t>
      </w:r>
      <w:r w:rsidR="00FE5D23">
        <w:rPr>
          <w:szCs w:val="24"/>
        </w:rPr>
        <w:t xml:space="preserve"> group</w:t>
      </w:r>
      <w:r w:rsidR="00152E23">
        <w:rPr>
          <w:szCs w:val="24"/>
        </w:rPr>
        <w:t xml:space="preserve">, where proteoglycans were not depleted, </w:t>
      </w:r>
      <w:r w:rsidRPr="00144473">
        <w:rPr>
          <w:szCs w:val="24"/>
        </w:rPr>
        <w:t xml:space="preserve">and </w:t>
      </w:r>
      <w:r w:rsidR="00FE5D23">
        <w:rPr>
          <w:szCs w:val="24"/>
        </w:rPr>
        <w:t xml:space="preserve">in the </w:t>
      </w:r>
      <w:r w:rsidRPr="00144473">
        <w:rPr>
          <w:szCs w:val="24"/>
        </w:rPr>
        <w:t>treated (red lines)</w:t>
      </w:r>
      <w:r w:rsidR="00FE5D23">
        <w:rPr>
          <w:szCs w:val="24"/>
        </w:rPr>
        <w:t xml:space="preserve"> group</w:t>
      </w:r>
      <w:r w:rsidR="00152E23">
        <w:rPr>
          <w:szCs w:val="24"/>
        </w:rPr>
        <w:t>, where proteoglycans were depleted</w:t>
      </w:r>
      <w:r w:rsidRPr="00144473">
        <w:rPr>
          <w:szCs w:val="24"/>
        </w:rPr>
        <w:t>. The box plot shows individual specimen values (grey dots) and mean</w:t>
      </w:r>
      <w:r w:rsidR="00FE5D23">
        <w:rPr>
          <w:szCs w:val="24"/>
        </w:rPr>
        <w:t>s</w:t>
      </w:r>
      <w:r w:rsidRPr="00144473">
        <w:rPr>
          <w:szCs w:val="24"/>
        </w:rPr>
        <w:t xml:space="preserve"> (red asterisk). The outliers are indicated with a red plus sign. </w:t>
      </w:r>
    </w:p>
    <w:p w14:paraId="1F54FC49" w14:textId="77777777" w:rsidR="00121A45" w:rsidRDefault="00121A45" w:rsidP="00144473">
      <w:pPr>
        <w:rPr>
          <w:b/>
          <w:bCs/>
          <w:szCs w:val="24"/>
        </w:rPr>
      </w:pPr>
      <w:bookmarkStart w:id="17" w:name="_Hlk54108895"/>
    </w:p>
    <w:p w14:paraId="18859E3E" w14:textId="408DFA07" w:rsidR="00B336D2" w:rsidRPr="00144473" w:rsidRDefault="009F68E4" w:rsidP="00B336D2">
      <w:pPr>
        <w:rPr>
          <w:szCs w:val="24"/>
        </w:rPr>
      </w:pPr>
      <w:r w:rsidRPr="00144473">
        <w:rPr>
          <w:b/>
          <w:bCs/>
          <w:szCs w:val="24"/>
        </w:rPr>
        <w:t xml:space="preserve">Figure </w:t>
      </w:r>
      <w:r w:rsidR="00121A45">
        <w:rPr>
          <w:b/>
          <w:bCs/>
          <w:szCs w:val="24"/>
        </w:rPr>
        <w:t>6</w:t>
      </w:r>
      <w:r w:rsidR="00144473" w:rsidRPr="00144473">
        <w:rPr>
          <w:b/>
          <w:bCs/>
          <w:szCs w:val="24"/>
        </w:rPr>
        <w:t>.</w:t>
      </w:r>
      <w:r w:rsidRPr="00144473">
        <w:rPr>
          <w:szCs w:val="24"/>
        </w:rPr>
        <w:t xml:space="preserve"> </w:t>
      </w:r>
      <w:r w:rsidR="00121A45">
        <w:rPr>
          <w:szCs w:val="24"/>
        </w:rPr>
        <w:t xml:space="preserve">Stress-relaxation </w:t>
      </w:r>
      <w:r w:rsidR="00121A45" w:rsidRPr="00121A45">
        <w:rPr>
          <w:szCs w:val="24"/>
        </w:rPr>
        <w:t>behaviour of the cranial cruciate ligaments (CCLs)</w:t>
      </w:r>
      <w:r w:rsidR="00121A45">
        <w:rPr>
          <w:szCs w:val="24"/>
        </w:rPr>
        <w:t xml:space="preserve"> showing </w:t>
      </w:r>
      <w:r w:rsidR="00121A45" w:rsidRPr="00B336D2">
        <w:rPr>
          <w:b/>
          <w:bCs/>
          <w:szCs w:val="24"/>
        </w:rPr>
        <w:t>(A)</w:t>
      </w:r>
      <w:r w:rsidR="00121A45">
        <w:rPr>
          <w:szCs w:val="24"/>
        </w:rPr>
        <w:t xml:space="preserve"> normalised stress relaxation-time curves </w:t>
      </w:r>
      <w:r w:rsidR="00B336D2">
        <w:rPr>
          <w:szCs w:val="24"/>
        </w:rPr>
        <w:t xml:space="preserve">in </w:t>
      </w:r>
      <w:r w:rsidR="00B336D2" w:rsidRPr="00144473">
        <w:rPr>
          <w:szCs w:val="24"/>
        </w:rPr>
        <w:t>the control (black lines</w:t>
      </w:r>
      <w:r w:rsidR="00B336D2">
        <w:rPr>
          <w:szCs w:val="24"/>
        </w:rPr>
        <w:t>: mean, grey shade: standard deviation</w:t>
      </w:r>
      <w:r w:rsidR="00B336D2" w:rsidRPr="00144473">
        <w:rPr>
          <w:szCs w:val="24"/>
        </w:rPr>
        <w:t>)</w:t>
      </w:r>
      <w:r w:rsidR="00FE5D23">
        <w:rPr>
          <w:szCs w:val="24"/>
        </w:rPr>
        <w:t xml:space="preserve"> group</w:t>
      </w:r>
      <w:r w:rsidR="00236215">
        <w:rPr>
          <w:szCs w:val="24"/>
        </w:rPr>
        <w:t xml:space="preserve">, where proteoglycans were not depleted, </w:t>
      </w:r>
      <w:r w:rsidR="00B336D2" w:rsidRPr="00144473">
        <w:rPr>
          <w:szCs w:val="24"/>
        </w:rPr>
        <w:t>and</w:t>
      </w:r>
      <w:r w:rsidR="00FE5D23">
        <w:rPr>
          <w:szCs w:val="24"/>
        </w:rPr>
        <w:t xml:space="preserve"> in the</w:t>
      </w:r>
      <w:r w:rsidR="00B336D2" w:rsidRPr="00144473">
        <w:rPr>
          <w:szCs w:val="24"/>
        </w:rPr>
        <w:t xml:space="preserve"> treated (red lines</w:t>
      </w:r>
      <w:r w:rsidR="00B336D2">
        <w:rPr>
          <w:szCs w:val="24"/>
        </w:rPr>
        <w:t>: mean, light red shade: standard deviation</w:t>
      </w:r>
      <w:r w:rsidR="00B336D2" w:rsidRPr="00144473">
        <w:rPr>
          <w:szCs w:val="24"/>
        </w:rPr>
        <w:t>)</w:t>
      </w:r>
      <w:r w:rsidR="00FE5D23">
        <w:rPr>
          <w:szCs w:val="24"/>
        </w:rPr>
        <w:t xml:space="preserve"> group</w:t>
      </w:r>
      <w:r w:rsidR="00236215">
        <w:rPr>
          <w:szCs w:val="24"/>
        </w:rPr>
        <w:t>, where proteoglycans were depleted</w:t>
      </w:r>
      <w:r w:rsidR="00B336D2">
        <w:rPr>
          <w:szCs w:val="24"/>
        </w:rPr>
        <w:t xml:space="preserve">. </w:t>
      </w:r>
      <w:r w:rsidR="00B336D2" w:rsidRPr="00B336D2">
        <w:rPr>
          <w:b/>
          <w:bCs/>
          <w:szCs w:val="24"/>
        </w:rPr>
        <w:t>(B)</w:t>
      </w:r>
      <w:r w:rsidR="00B336D2">
        <w:rPr>
          <w:szCs w:val="24"/>
        </w:rPr>
        <w:t xml:space="preserve"> Stress relaxation rate in </w:t>
      </w:r>
      <w:r w:rsidR="00B336D2" w:rsidRPr="00144473">
        <w:rPr>
          <w:szCs w:val="24"/>
        </w:rPr>
        <w:t xml:space="preserve">the control (black lines) and </w:t>
      </w:r>
      <w:r w:rsidR="00FE5D23">
        <w:rPr>
          <w:szCs w:val="24"/>
        </w:rPr>
        <w:t xml:space="preserve">the </w:t>
      </w:r>
      <w:r w:rsidR="00B336D2" w:rsidRPr="00144473">
        <w:rPr>
          <w:szCs w:val="24"/>
        </w:rPr>
        <w:t>treated (red lines) groups</w:t>
      </w:r>
      <w:r w:rsidR="00B336D2">
        <w:rPr>
          <w:szCs w:val="24"/>
        </w:rPr>
        <w:t xml:space="preserve">. </w:t>
      </w:r>
      <w:r w:rsidR="00B336D2" w:rsidRPr="00144473">
        <w:rPr>
          <w:szCs w:val="24"/>
        </w:rPr>
        <w:t>The box plot shows individual specimen values (grey dots) and mean</w:t>
      </w:r>
      <w:r w:rsidR="00FE5D23">
        <w:rPr>
          <w:szCs w:val="24"/>
        </w:rPr>
        <w:t>s</w:t>
      </w:r>
      <w:r w:rsidR="00B336D2" w:rsidRPr="00144473">
        <w:rPr>
          <w:szCs w:val="24"/>
        </w:rPr>
        <w:t xml:space="preserve"> (red asterisk). The outliers are indicated with a red plus sign. </w:t>
      </w:r>
      <w:r w:rsidR="00B336D2" w:rsidRPr="00B336D2">
        <w:rPr>
          <w:b/>
          <w:bCs/>
          <w:szCs w:val="24"/>
        </w:rPr>
        <w:t>(C)</w:t>
      </w:r>
      <w:r w:rsidR="00B336D2">
        <w:rPr>
          <w:szCs w:val="24"/>
        </w:rPr>
        <w:t xml:space="preserve"> Stress </w:t>
      </w:r>
      <w:r w:rsidR="00B336D2">
        <w:rPr>
          <w:szCs w:val="24"/>
        </w:rPr>
        <w:lastRenderedPageBreak/>
        <w:t xml:space="preserve">relaxation modulus in </w:t>
      </w:r>
      <w:r w:rsidR="00B336D2" w:rsidRPr="00144473">
        <w:rPr>
          <w:szCs w:val="24"/>
        </w:rPr>
        <w:t>the control (black lines</w:t>
      </w:r>
      <w:r w:rsidR="00B336D2">
        <w:rPr>
          <w:szCs w:val="24"/>
        </w:rPr>
        <w:t>: mean, grey shade: standard deviation</w:t>
      </w:r>
      <w:r w:rsidR="00B336D2" w:rsidRPr="00144473">
        <w:rPr>
          <w:szCs w:val="24"/>
        </w:rPr>
        <w:t xml:space="preserve">) and </w:t>
      </w:r>
      <w:r w:rsidR="00FE5D23">
        <w:rPr>
          <w:szCs w:val="24"/>
        </w:rPr>
        <w:t xml:space="preserve">the </w:t>
      </w:r>
      <w:r w:rsidR="00B336D2" w:rsidRPr="00144473">
        <w:rPr>
          <w:szCs w:val="24"/>
        </w:rPr>
        <w:t>treated (red lines</w:t>
      </w:r>
      <w:r w:rsidR="00B336D2">
        <w:rPr>
          <w:szCs w:val="24"/>
        </w:rPr>
        <w:t>: mean, light red shade: standard deviation</w:t>
      </w:r>
      <w:r w:rsidR="00B336D2" w:rsidRPr="00144473">
        <w:rPr>
          <w:szCs w:val="24"/>
        </w:rPr>
        <w:t>) groups</w:t>
      </w:r>
      <w:r w:rsidR="00B336D2">
        <w:rPr>
          <w:szCs w:val="24"/>
        </w:rPr>
        <w:t>.</w:t>
      </w:r>
    </w:p>
    <w:bookmarkEnd w:id="17"/>
    <w:p w14:paraId="355C9136" w14:textId="77777777" w:rsidR="00480DDE" w:rsidRDefault="00480DDE" w:rsidP="004F068B">
      <w:pPr>
        <w:spacing w:line="360" w:lineRule="auto"/>
        <w:rPr>
          <w:rFonts w:cs="Times New Roman"/>
          <w:szCs w:val="24"/>
        </w:rPr>
        <w:sectPr w:rsidR="00480DDE" w:rsidSect="00D537FA">
          <w:footerReference w:type="even" r:id="rId10"/>
          <w:footerReference w:type="default" r:id="rId11"/>
          <w:pgSz w:w="12240" w:h="15840"/>
          <w:pgMar w:top="1138" w:right="1181" w:bottom="1138" w:left="1282" w:header="283" w:footer="510" w:gutter="0"/>
          <w:lnNumType w:countBy="1" w:restart="continuous"/>
          <w:cols w:space="720"/>
          <w:titlePg/>
          <w:docGrid w:linePitch="360"/>
        </w:sectPr>
      </w:pPr>
    </w:p>
    <w:p w14:paraId="73FCFC17" w14:textId="7244EFCB" w:rsidR="00480DDE" w:rsidRDefault="00480DDE" w:rsidP="00480DDE">
      <w:r>
        <w:lastRenderedPageBreak/>
        <w:t>Figure 1</w:t>
      </w:r>
    </w:p>
    <w:p w14:paraId="3AD57B38" w14:textId="77777777" w:rsidR="00480DDE" w:rsidRDefault="00480DDE" w:rsidP="00480DD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gridCol w:w="4538"/>
      </w:tblGrid>
      <w:tr w:rsidR="00480DDE" w14:paraId="3DA7FE04" w14:textId="77777777" w:rsidTr="00FE2580">
        <w:tc>
          <w:tcPr>
            <w:tcW w:w="5123" w:type="dxa"/>
          </w:tcPr>
          <w:p w14:paraId="2AE4EA69" w14:textId="77777777" w:rsidR="00480DDE" w:rsidRDefault="00480DDE" w:rsidP="00FE2580">
            <w:r>
              <w:rPr>
                <w:noProof/>
              </w:rPr>
              <w:drawing>
                <wp:inline distT="0" distB="0" distL="0" distR="0" wp14:anchorId="34A971AB" wp14:editId="637A77D3">
                  <wp:extent cx="3191847" cy="25920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58" t="5040" r="8140"/>
                          <a:stretch/>
                        </pic:blipFill>
                        <pic:spPr bwMode="auto">
                          <a:xfrm>
                            <a:off x="0" y="0"/>
                            <a:ext cx="3191847" cy="25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3" w:type="dxa"/>
          </w:tcPr>
          <w:p w14:paraId="2B019A88" w14:textId="77777777" w:rsidR="00480DDE" w:rsidRDefault="00480DDE" w:rsidP="00FE2580">
            <w:r>
              <w:rPr>
                <w:noProof/>
              </w:rPr>
              <w:drawing>
                <wp:inline distT="0" distB="0" distL="0" distR="0" wp14:anchorId="6C53B729" wp14:editId="62A6941B">
                  <wp:extent cx="3199108" cy="25920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59" t="5040" r="7939"/>
                          <a:stretch/>
                        </pic:blipFill>
                        <pic:spPr bwMode="auto">
                          <a:xfrm>
                            <a:off x="0" y="0"/>
                            <a:ext cx="3199108" cy="259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52" w:type="dxa"/>
          </w:tcPr>
          <w:p w14:paraId="77922BD2" w14:textId="77777777" w:rsidR="00480DDE" w:rsidRDefault="00480DDE" w:rsidP="00FE2580">
            <w:pPr>
              <w:rPr>
                <w:noProof/>
              </w:rPr>
            </w:pPr>
            <w:r>
              <w:rPr>
                <w:noProof/>
              </w:rPr>
              <w:drawing>
                <wp:inline distT="0" distB="0" distL="0" distR="0" wp14:anchorId="2B8CC586" wp14:editId="528266DE">
                  <wp:extent cx="3215795" cy="25920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58" t="5545" r="7951"/>
                          <a:stretch/>
                        </pic:blipFill>
                        <pic:spPr bwMode="auto">
                          <a:xfrm>
                            <a:off x="0" y="0"/>
                            <a:ext cx="3215795" cy="259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0DDE" w:rsidRPr="006F682B" w14:paraId="0C7EC1C8" w14:textId="77777777" w:rsidTr="00FE2580">
        <w:tc>
          <w:tcPr>
            <w:tcW w:w="5123" w:type="dxa"/>
          </w:tcPr>
          <w:p w14:paraId="70C8BA7D" w14:textId="77777777" w:rsidR="00480DDE" w:rsidRDefault="00480DDE" w:rsidP="00FE2580">
            <w:pPr>
              <w:jc w:val="center"/>
              <w:rPr>
                <w:b/>
                <w:bCs/>
              </w:rPr>
            </w:pPr>
          </w:p>
          <w:p w14:paraId="5FA741D9" w14:textId="77777777" w:rsidR="00480DDE" w:rsidRPr="006F682B" w:rsidRDefault="00480DDE" w:rsidP="00FE2580">
            <w:pPr>
              <w:jc w:val="center"/>
              <w:rPr>
                <w:b/>
                <w:bCs/>
              </w:rPr>
            </w:pPr>
            <w:r w:rsidRPr="006F682B">
              <w:rPr>
                <w:b/>
                <w:bCs/>
              </w:rPr>
              <w:t>(A)</w:t>
            </w:r>
          </w:p>
        </w:tc>
        <w:tc>
          <w:tcPr>
            <w:tcW w:w="5123" w:type="dxa"/>
          </w:tcPr>
          <w:p w14:paraId="2E96062A" w14:textId="77777777" w:rsidR="00480DDE" w:rsidRDefault="00480DDE" w:rsidP="00FE2580">
            <w:pPr>
              <w:jc w:val="center"/>
              <w:rPr>
                <w:b/>
                <w:bCs/>
              </w:rPr>
            </w:pPr>
          </w:p>
          <w:p w14:paraId="4C77350D" w14:textId="77777777" w:rsidR="00480DDE" w:rsidRPr="006F682B" w:rsidRDefault="00480DDE" w:rsidP="00FE2580">
            <w:pPr>
              <w:jc w:val="center"/>
              <w:rPr>
                <w:b/>
                <w:bCs/>
              </w:rPr>
            </w:pPr>
            <w:r w:rsidRPr="006F682B">
              <w:rPr>
                <w:b/>
                <w:bCs/>
              </w:rPr>
              <w:t>(B)</w:t>
            </w:r>
          </w:p>
        </w:tc>
        <w:tc>
          <w:tcPr>
            <w:tcW w:w="5152" w:type="dxa"/>
          </w:tcPr>
          <w:p w14:paraId="143B0B9E" w14:textId="77777777" w:rsidR="00480DDE" w:rsidRDefault="00480DDE" w:rsidP="00FE2580">
            <w:pPr>
              <w:jc w:val="center"/>
              <w:rPr>
                <w:b/>
                <w:bCs/>
              </w:rPr>
            </w:pPr>
          </w:p>
          <w:p w14:paraId="38396259" w14:textId="77777777" w:rsidR="00480DDE" w:rsidRPr="006F682B" w:rsidRDefault="00480DDE" w:rsidP="00FE2580">
            <w:pPr>
              <w:jc w:val="center"/>
              <w:rPr>
                <w:b/>
                <w:bCs/>
              </w:rPr>
            </w:pPr>
            <w:r w:rsidRPr="006F682B">
              <w:rPr>
                <w:b/>
                <w:bCs/>
              </w:rPr>
              <w:t>(C)</w:t>
            </w:r>
          </w:p>
        </w:tc>
      </w:tr>
    </w:tbl>
    <w:p w14:paraId="75DCDA23" w14:textId="77777777" w:rsidR="00480DDE" w:rsidRDefault="00480DDE" w:rsidP="00480DDE"/>
    <w:p w14:paraId="2495EC2A" w14:textId="77777777" w:rsidR="00480DDE" w:rsidRDefault="00480DDE" w:rsidP="004F068B">
      <w:pPr>
        <w:spacing w:line="360" w:lineRule="auto"/>
        <w:rPr>
          <w:rFonts w:cs="Times New Roman"/>
          <w:szCs w:val="24"/>
        </w:rPr>
        <w:sectPr w:rsidR="00480DDE" w:rsidSect="00480DDE">
          <w:pgSz w:w="15840" w:h="12240" w:orient="landscape"/>
          <w:pgMar w:top="1282" w:right="1138" w:bottom="1181" w:left="1138" w:header="283" w:footer="510" w:gutter="0"/>
          <w:lnNumType w:countBy="1" w:restart="continuous"/>
          <w:cols w:space="720"/>
          <w:titlePg/>
          <w:docGrid w:linePitch="360"/>
        </w:sectPr>
      </w:pPr>
    </w:p>
    <w:p w14:paraId="517F7D80" w14:textId="3ADBBE3D" w:rsidR="00480DDE" w:rsidRDefault="00480DDE" w:rsidP="004F068B">
      <w:pPr>
        <w:spacing w:line="360" w:lineRule="auto"/>
        <w:rPr>
          <w:rFonts w:cs="Times New Roman"/>
          <w:szCs w:val="24"/>
        </w:rPr>
      </w:pPr>
      <w:r>
        <w:rPr>
          <w:rFonts w:cs="Times New Roman"/>
          <w:szCs w:val="24"/>
        </w:rPr>
        <w:lastRenderedPageBreak/>
        <w:t>Figure 2</w:t>
      </w:r>
    </w:p>
    <w:p w14:paraId="1B1DF876" w14:textId="77777777" w:rsidR="00480DDE" w:rsidRDefault="00480DDE" w:rsidP="004F068B">
      <w:pPr>
        <w:spacing w:line="360" w:lineRule="auto"/>
        <w:rPr>
          <w:rFonts w:cs="Times New Roman"/>
          <w:szCs w:val="24"/>
        </w:rPr>
      </w:pPr>
    </w:p>
    <w:p w14:paraId="650CB199" w14:textId="65142941" w:rsidR="00480DDE" w:rsidRDefault="00480DDE" w:rsidP="004F068B">
      <w:pPr>
        <w:spacing w:line="360" w:lineRule="auto"/>
        <w:rPr>
          <w:rFonts w:cs="Times New Roman"/>
          <w:szCs w:val="24"/>
        </w:rPr>
      </w:pPr>
      <w:r>
        <w:rPr>
          <w:rFonts w:cs="Times New Roman"/>
          <w:noProof/>
          <w:szCs w:val="24"/>
        </w:rPr>
        <w:drawing>
          <wp:inline distT="0" distB="0" distL="0" distR="0" wp14:anchorId="5B90AEBC" wp14:editId="66518873">
            <wp:extent cx="5715000" cy="476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536B1EF2" w14:textId="7DF0E72F" w:rsidR="00480DDE" w:rsidRDefault="00480DDE" w:rsidP="004F068B">
      <w:pPr>
        <w:spacing w:line="360" w:lineRule="auto"/>
        <w:rPr>
          <w:rFonts w:cs="Times New Roman"/>
          <w:szCs w:val="24"/>
        </w:rPr>
      </w:pPr>
      <w:r>
        <w:rPr>
          <w:rFonts w:cs="Times New Roman"/>
          <w:szCs w:val="24"/>
        </w:rPr>
        <w:br w:type="page"/>
      </w:r>
    </w:p>
    <w:p w14:paraId="2E5FB14B" w14:textId="10B6AB7A" w:rsidR="00480DDE" w:rsidRDefault="00480DDE" w:rsidP="004F068B">
      <w:pPr>
        <w:spacing w:line="360" w:lineRule="auto"/>
        <w:rPr>
          <w:rFonts w:cs="Times New Roman"/>
          <w:szCs w:val="24"/>
        </w:rPr>
      </w:pPr>
      <w:r>
        <w:rPr>
          <w:rFonts w:cs="Times New Roman"/>
          <w:szCs w:val="24"/>
        </w:rPr>
        <w:lastRenderedPageBreak/>
        <w:t>Figure 3</w:t>
      </w:r>
    </w:p>
    <w:p w14:paraId="4ADD3013" w14:textId="77777777" w:rsidR="00480DDE" w:rsidRDefault="00480DDE" w:rsidP="004F068B">
      <w:pPr>
        <w:spacing w:line="360" w:lineRule="auto"/>
        <w:rPr>
          <w:rFonts w:cs="Times New Roman"/>
          <w:szCs w:val="24"/>
        </w:rPr>
      </w:pPr>
    </w:p>
    <w:p w14:paraId="1DE1F588" w14:textId="7CDC66C6" w:rsidR="00480DDE" w:rsidRDefault="00480DDE" w:rsidP="004F068B">
      <w:pPr>
        <w:spacing w:line="360" w:lineRule="auto"/>
        <w:rPr>
          <w:rFonts w:cs="Times New Roman"/>
          <w:szCs w:val="24"/>
        </w:rPr>
      </w:pPr>
      <w:r>
        <w:rPr>
          <w:rFonts w:cs="Times New Roman"/>
          <w:noProof/>
          <w:szCs w:val="24"/>
        </w:rPr>
        <w:drawing>
          <wp:inline distT="0" distB="0" distL="0" distR="0" wp14:anchorId="1436313F" wp14:editId="62935104">
            <wp:extent cx="5715000" cy="4762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62436F09" w14:textId="77777777" w:rsidR="00480DDE" w:rsidRDefault="00480DDE" w:rsidP="004F068B">
      <w:pPr>
        <w:spacing w:line="360" w:lineRule="auto"/>
        <w:rPr>
          <w:rFonts w:cs="Times New Roman"/>
          <w:szCs w:val="24"/>
        </w:rPr>
        <w:sectPr w:rsidR="00480DDE" w:rsidSect="00480DDE">
          <w:pgSz w:w="15840" w:h="12240" w:orient="landscape"/>
          <w:pgMar w:top="1282" w:right="1138" w:bottom="1181" w:left="1138" w:header="283" w:footer="510" w:gutter="0"/>
          <w:lnNumType w:countBy="1" w:restart="continuous"/>
          <w:cols w:space="720"/>
          <w:titlePg/>
          <w:docGrid w:linePitch="360"/>
        </w:sectPr>
      </w:pPr>
    </w:p>
    <w:p w14:paraId="47A18672" w14:textId="5D06DCD4" w:rsidR="00480DDE" w:rsidRDefault="00480DDE" w:rsidP="004F068B">
      <w:pPr>
        <w:spacing w:line="360" w:lineRule="auto"/>
        <w:rPr>
          <w:rFonts w:cs="Times New Roman"/>
          <w:szCs w:val="24"/>
        </w:rPr>
      </w:pPr>
      <w:r>
        <w:rPr>
          <w:rFonts w:cs="Times New Roman"/>
          <w:szCs w:val="24"/>
        </w:rPr>
        <w:lastRenderedPageBreak/>
        <w:t>Figure 4</w:t>
      </w:r>
    </w:p>
    <w:p w14:paraId="6B5294F8" w14:textId="77777777" w:rsidR="00480DDE" w:rsidRDefault="00480DDE" w:rsidP="004F068B">
      <w:pPr>
        <w:spacing w:line="360" w:lineRule="auto"/>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879"/>
      </w:tblGrid>
      <w:tr w:rsidR="00480DDE" w14:paraId="4E11BA11" w14:textId="77777777" w:rsidTr="00FE2580">
        <w:trPr>
          <w:trHeight w:val="3825"/>
        </w:trPr>
        <w:tc>
          <w:tcPr>
            <w:tcW w:w="5243" w:type="dxa"/>
          </w:tcPr>
          <w:p w14:paraId="52A90B2F" w14:textId="77777777" w:rsidR="00480DDE" w:rsidRDefault="00480DDE" w:rsidP="00FE2580">
            <w:pPr>
              <w:spacing w:before="240"/>
            </w:pPr>
            <w:r>
              <w:rPr>
                <w:noProof/>
              </w:rPr>
              <w:drawing>
                <wp:inline distT="0" distB="0" distL="0" distR="0" wp14:anchorId="2CCC1875" wp14:editId="2CD2F960">
                  <wp:extent cx="3163559" cy="25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976" t="5042" r="6475"/>
                          <a:stretch/>
                        </pic:blipFill>
                        <pic:spPr bwMode="auto">
                          <a:xfrm>
                            <a:off x="0" y="0"/>
                            <a:ext cx="3163559" cy="25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3" w:type="dxa"/>
          </w:tcPr>
          <w:p w14:paraId="3A1EE3B0" w14:textId="77777777" w:rsidR="00480DDE" w:rsidRDefault="00480DDE" w:rsidP="00FE2580">
            <w:pPr>
              <w:spacing w:before="240"/>
            </w:pPr>
            <w:r>
              <w:rPr>
                <w:noProof/>
              </w:rPr>
              <w:drawing>
                <wp:inline distT="0" distB="0" distL="0" distR="0" wp14:anchorId="34B5AC8C" wp14:editId="38A93414">
                  <wp:extent cx="3187830"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969" t="5545" r="6416"/>
                          <a:stretch/>
                        </pic:blipFill>
                        <pic:spPr bwMode="auto">
                          <a:xfrm>
                            <a:off x="0" y="0"/>
                            <a:ext cx="3187830"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0DDE" w:rsidRPr="006F682B" w14:paraId="552E03EB" w14:textId="77777777" w:rsidTr="00FE2580">
        <w:tc>
          <w:tcPr>
            <w:tcW w:w="5243" w:type="dxa"/>
          </w:tcPr>
          <w:p w14:paraId="191C03EE" w14:textId="77777777" w:rsidR="00480DDE" w:rsidRPr="006F682B" w:rsidRDefault="00480DDE" w:rsidP="00FE2580">
            <w:pPr>
              <w:spacing w:before="240"/>
              <w:jc w:val="center"/>
              <w:rPr>
                <w:b/>
                <w:bCs/>
              </w:rPr>
            </w:pPr>
            <w:r w:rsidRPr="006F682B">
              <w:rPr>
                <w:b/>
                <w:bCs/>
              </w:rPr>
              <w:t>(A)</w:t>
            </w:r>
          </w:p>
        </w:tc>
        <w:tc>
          <w:tcPr>
            <w:tcW w:w="5223" w:type="dxa"/>
          </w:tcPr>
          <w:p w14:paraId="62CF8E8F" w14:textId="77777777" w:rsidR="00480DDE" w:rsidRDefault="00480DDE" w:rsidP="00FE2580">
            <w:pPr>
              <w:spacing w:before="240"/>
              <w:jc w:val="center"/>
              <w:rPr>
                <w:b/>
                <w:bCs/>
              </w:rPr>
            </w:pPr>
            <w:r w:rsidRPr="006F682B">
              <w:rPr>
                <w:b/>
                <w:bCs/>
              </w:rPr>
              <w:t>(B)</w:t>
            </w:r>
          </w:p>
          <w:p w14:paraId="4F9D00A1" w14:textId="77777777" w:rsidR="00480DDE" w:rsidRPr="006F682B" w:rsidRDefault="00480DDE" w:rsidP="00FE2580">
            <w:pPr>
              <w:spacing w:before="240"/>
              <w:rPr>
                <w:b/>
                <w:bCs/>
              </w:rPr>
            </w:pPr>
          </w:p>
        </w:tc>
      </w:tr>
      <w:tr w:rsidR="00480DDE" w:rsidRPr="00A27A16" w14:paraId="5508D932" w14:textId="77777777" w:rsidTr="00FE2580">
        <w:tc>
          <w:tcPr>
            <w:tcW w:w="5243" w:type="dxa"/>
          </w:tcPr>
          <w:p w14:paraId="615929A2" w14:textId="77777777" w:rsidR="00480DDE" w:rsidRPr="00A27A16" w:rsidRDefault="00480DDE" w:rsidP="00FE2580">
            <w:pPr>
              <w:spacing w:before="240"/>
              <w:rPr>
                <w:noProof/>
              </w:rPr>
            </w:pPr>
            <w:r>
              <w:rPr>
                <w:noProof/>
              </w:rPr>
              <w:drawing>
                <wp:inline distT="0" distB="0" distL="0" distR="0" wp14:anchorId="4E3FA61A" wp14:editId="7AD40E2E">
                  <wp:extent cx="3198768" cy="25200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24" t="4284" r="5853"/>
                          <a:stretch/>
                        </pic:blipFill>
                        <pic:spPr bwMode="auto">
                          <a:xfrm>
                            <a:off x="0" y="0"/>
                            <a:ext cx="3198768" cy="25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3" w:type="dxa"/>
          </w:tcPr>
          <w:p w14:paraId="349F0ED5" w14:textId="77777777" w:rsidR="00480DDE" w:rsidRPr="00A27A16" w:rsidRDefault="00480DDE" w:rsidP="00FE2580">
            <w:pPr>
              <w:spacing w:before="240"/>
              <w:rPr>
                <w:noProof/>
              </w:rPr>
            </w:pPr>
            <w:r>
              <w:rPr>
                <w:noProof/>
              </w:rPr>
              <w:drawing>
                <wp:inline distT="0" distB="0" distL="0" distR="0" wp14:anchorId="3430F9A4" wp14:editId="55E5D707">
                  <wp:extent cx="3173284" cy="252000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13" t="4536" r="6628"/>
                          <a:stretch/>
                        </pic:blipFill>
                        <pic:spPr bwMode="auto">
                          <a:xfrm>
                            <a:off x="0" y="0"/>
                            <a:ext cx="3173284"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0DDE" w:rsidRPr="006F682B" w14:paraId="60B8CE38" w14:textId="77777777" w:rsidTr="00FE2580">
        <w:tc>
          <w:tcPr>
            <w:tcW w:w="5243" w:type="dxa"/>
          </w:tcPr>
          <w:p w14:paraId="4F812882" w14:textId="77777777" w:rsidR="00480DDE" w:rsidRDefault="00480DDE" w:rsidP="00FE2580">
            <w:pPr>
              <w:spacing w:before="240"/>
              <w:jc w:val="center"/>
              <w:rPr>
                <w:b/>
                <w:bCs/>
              </w:rPr>
            </w:pPr>
            <w:r>
              <w:rPr>
                <w:b/>
                <w:bCs/>
              </w:rPr>
              <w:t>(C)</w:t>
            </w:r>
          </w:p>
        </w:tc>
        <w:tc>
          <w:tcPr>
            <w:tcW w:w="5223" w:type="dxa"/>
          </w:tcPr>
          <w:p w14:paraId="28FBD8CC" w14:textId="77777777" w:rsidR="00480DDE" w:rsidRDefault="00480DDE" w:rsidP="00FE2580">
            <w:pPr>
              <w:spacing w:before="240"/>
              <w:jc w:val="center"/>
              <w:rPr>
                <w:b/>
                <w:bCs/>
              </w:rPr>
            </w:pPr>
            <w:r>
              <w:rPr>
                <w:b/>
                <w:bCs/>
              </w:rPr>
              <w:t>(D)</w:t>
            </w:r>
          </w:p>
        </w:tc>
      </w:tr>
    </w:tbl>
    <w:p w14:paraId="408AD5C1" w14:textId="701DF088" w:rsidR="00480DDE" w:rsidRDefault="00480DDE" w:rsidP="004F068B">
      <w:pPr>
        <w:spacing w:line="360" w:lineRule="auto"/>
        <w:rPr>
          <w:rFonts w:cs="Times New Roman"/>
          <w:szCs w:val="24"/>
        </w:rPr>
      </w:pPr>
      <w:r>
        <w:rPr>
          <w:rFonts w:cs="Times New Roman"/>
          <w:szCs w:val="24"/>
        </w:rPr>
        <w:br w:type="page"/>
      </w:r>
    </w:p>
    <w:p w14:paraId="6EFD9897" w14:textId="00874B00" w:rsidR="009F68E4" w:rsidRDefault="00480DDE" w:rsidP="004F068B">
      <w:pPr>
        <w:spacing w:line="360" w:lineRule="auto"/>
        <w:rPr>
          <w:rFonts w:cs="Times New Roman"/>
          <w:szCs w:val="24"/>
        </w:rPr>
      </w:pPr>
      <w:r>
        <w:rPr>
          <w:rFonts w:cs="Times New Roman"/>
          <w:szCs w:val="24"/>
        </w:rPr>
        <w:lastRenderedPageBreak/>
        <w:t>Figure 5</w:t>
      </w:r>
    </w:p>
    <w:p w14:paraId="6154F938" w14:textId="77777777" w:rsidR="00480DDE" w:rsidRDefault="00480DDE" w:rsidP="004F068B">
      <w:pPr>
        <w:spacing w:line="360" w:lineRule="auto"/>
        <w:rPr>
          <w:rFonts w:cs="Times New Roman"/>
          <w:szCs w:val="24"/>
        </w:rPr>
      </w:pPr>
    </w:p>
    <w:p w14:paraId="4A4189C7" w14:textId="3F895319" w:rsidR="00480DDE" w:rsidRDefault="00480DDE" w:rsidP="004F068B">
      <w:pPr>
        <w:spacing w:line="360" w:lineRule="auto"/>
        <w:rPr>
          <w:rFonts w:cs="Times New Roman"/>
          <w:szCs w:val="24"/>
        </w:rPr>
      </w:pPr>
      <w:r>
        <w:rPr>
          <w:rFonts w:cs="Times New Roman"/>
          <w:noProof/>
          <w:szCs w:val="24"/>
        </w:rPr>
        <w:drawing>
          <wp:inline distT="0" distB="0" distL="0" distR="0" wp14:anchorId="2FB41DF8" wp14:editId="507F5268">
            <wp:extent cx="5715000" cy="4762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158936B0" w14:textId="5342044D" w:rsidR="00480DDE" w:rsidRDefault="00480DDE" w:rsidP="004F068B">
      <w:pPr>
        <w:spacing w:line="360" w:lineRule="auto"/>
        <w:rPr>
          <w:rFonts w:cs="Times New Roman"/>
          <w:szCs w:val="24"/>
        </w:rPr>
      </w:pPr>
      <w:r>
        <w:rPr>
          <w:rFonts w:cs="Times New Roman"/>
          <w:szCs w:val="24"/>
        </w:rPr>
        <w:br w:type="page"/>
      </w:r>
    </w:p>
    <w:p w14:paraId="26ABEAB2" w14:textId="1AB459D7" w:rsidR="00480DDE" w:rsidRDefault="00480DDE" w:rsidP="004F068B">
      <w:pPr>
        <w:spacing w:line="360" w:lineRule="auto"/>
        <w:rPr>
          <w:rFonts w:cs="Times New Roman"/>
          <w:szCs w:val="24"/>
        </w:rPr>
      </w:pPr>
      <w:r>
        <w:rPr>
          <w:rFonts w:cs="Times New Roman"/>
          <w:szCs w:val="24"/>
        </w:rPr>
        <w:lastRenderedPageBreak/>
        <w:t>Figure 6</w:t>
      </w:r>
    </w:p>
    <w:p w14:paraId="41FA6B2C" w14:textId="77777777" w:rsidR="00480DDE" w:rsidRDefault="00480DDE" w:rsidP="00480DD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6"/>
        <w:gridCol w:w="4681"/>
      </w:tblGrid>
      <w:tr w:rsidR="00480DDE" w14:paraId="0D7651B7" w14:textId="77777777" w:rsidTr="00480DDE">
        <w:tc>
          <w:tcPr>
            <w:tcW w:w="5114" w:type="dxa"/>
            <w:vAlign w:val="center"/>
            <w:hideMark/>
          </w:tcPr>
          <w:p w14:paraId="3EEE49DB" w14:textId="318CC798" w:rsidR="00480DDE" w:rsidRDefault="00480DDE">
            <w:pPr>
              <w:spacing w:before="240" w:after="0"/>
              <w:jc w:val="center"/>
              <w:rPr>
                <w:b/>
                <w:bCs/>
              </w:rPr>
            </w:pPr>
            <w:r>
              <w:rPr>
                <w:noProof/>
              </w:rPr>
              <w:drawing>
                <wp:inline distT="0" distB="0" distL="0" distR="0" wp14:anchorId="6FC1C488" wp14:editId="5AE580D8">
                  <wp:extent cx="3133725" cy="2514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l="3214" t="3528" r="6818"/>
                          <a:stretch>
                            <a:fillRect/>
                          </a:stretch>
                        </pic:blipFill>
                        <pic:spPr bwMode="auto">
                          <a:xfrm>
                            <a:off x="0" y="0"/>
                            <a:ext cx="3133725" cy="2514600"/>
                          </a:xfrm>
                          <a:prstGeom prst="rect">
                            <a:avLst/>
                          </a:prstGeom>
                          <a:noFill/>
                          <a:ln>
                            <a:noFill/>
                          </a:ln>
                        </pic:spPr>
                      </pic:pic>
                    </a:graphicData>
                  </a:graphic>
                </wp:inline>
              </w:drawing>
            </w:r>
          </w:p>
        </w:tc>
        <w:tc>
          <w:tcPr>
            <w:tcW w:w="5342" w:type="dxa"/>
            <w:vAlign w:val="center"/>
            <w:hideMark/>
          </w:tcPr>
          <w:p w14:paraId="56942C5A" w14:textId="4FF7C27D" w:rsidR="00480DDE" w:rsidRDefault="00480DDE">
            <w:pPr>
              <w:spacing w:before="240" w:after="0"/>
              <w:jc w:val="center"/>
              <w:rPr>
                <w:b/>
                <w:bCs/>
              </w:rPr>
            </w:pPr>
            <w:r>
              <w:rPr>
                <w:noProof/>
              </w:rPr>
              <w:drawing>
                <wp:inline distT="0" distB="0" distL="0" distR="0" wp14:anchorId="779D9588" wp14:editId="62C8E4A0">
                  <wp:extent cx="2876550" cy="2514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3265" t="1779" r="8037" b="5159"/>
                          <a:stretch>
                            <a:fillRect/>
                          </a:stretch>
                        </pic:blipFill>
                        <pic:spPr bwMode="auto">
                          <a:xfrm>
                            <a:off x="0" y="0"/>
                            <a:ext cx="2876550" cy="2514600"/>
                          </a:xfrm>
                          <a:prstGeom prst="rect">
                            <a:avLst/>
                          </a:prstGeom>
                          <a:noFill/>
                          <a:ln>
                            <a:noFill/>
                          </a:ln>
                        </pic:spPr>
                      </pic:pic>
                    </a:graphicData>
                  </a:graphic>
                </wp:inline>
              </w:drawing>
            </w:r>
          </w:p>
        </w:tc>
      </w:tr>
      <w:tr w:rsidR="00480DDE" w14:paraId="7E3C19DD" w14:textId="77777777" w:rsidTr="00480DDE">
        <w:tc>
          <w:tcPr>
            <w:tcW w:w="5114" w:type="dxa"/>
            <w:vAlign w:val="center"/>
          </w:tcPr>
          <w:p w14:paraId="0F2984DE" w14:textId="77777777" w:rsidR="00480DDE" w:rsidRDefault="00480DDE">
            <w:pPr>
              <w:spacing w:before="240" w:after="0"/>
              <w:jc w:val="center"/>
              <w:rPr>
                <w:b/>
                <w:bCs/>
              </w:rPr>
            </w:pPr>
            <w:r>
              <w:rPr>
                <w:b/>
                <w:bCs/>
              </w:rPr>
              <w:t>(A)</w:t>
            </w:r>
          </w:p>
          <w:p w14:paraId="46DAF2A5" w14:textId="77777777" w:rsidR="00480DDE" w:rsidRDefault="00480DDE">
            <w:pPr>
              <w:spacing w:before="240" w:after="0"/>
              <w:jc w:val="center"/>
              <w:rPr>
                <w:b/>
                <w:bCs/>
              </w:rPr>
            </w:pPr>
          </w:p>
        </w:tc>
        <w:tc>
          <w:tcPr>
            <w:tcW w:w="5342" w:type="dxa"/>
            <w:vAlign w:val="center"/>
          </w:tcPr>
          <w:p w14:paraId="589B6E0B" w14:textId="77777777" w:rsidR="00480DDE" w:rsidRDefault="00480DDE">
            <w:pPr>
              <w:spacing w:before="240" w:after="0"/>
              <w:jc w:val="center"/>
              <w:rPr>
                <w:b/>
                <w:bCs/>
              </w:rPr>
            </w:pPr>
            <w:r>
              <w:rPr>
                <w:b/>
                <w:bCs/>
              </w:rPr>
              <w:t>(B)</w:t>
            </w:r>
          </w:p>
          <w:p w14:paraId="5DD98E7C" w14:textId="77777777" w:rsidR="00480DDE" w:rsidRDefault="00480DDE">
            <w:pPr>
              <w:spacing w:before="240" w:after="0"/>
              <w:jc w:val="center"/>
              <w:rPr>
                <w:b/>
                <w:bCs/>
              </w:rPr>
            </w:pPr>
          </w:p>
        </w:tc>
      </w:tr>
      <w:tr w:rsidR="00480DDE" w14:paraId="73F0CBA3" w14:textId="77777777" w:rsidTr="00480DDE">
        <w:tc>
          <w:tcPr>
            <w:tcW w:w="10456" w:type="dxa"/>
            <w:gridSpan w:val="2"/>
            <w:vAlign w:val="center"/>
            <w:hideMark/>
          </w:tcPr>
          <w:p w14:paraId="62B925EC" w14:textId="3D18AD56" w:rsidR="00480DDE" w:rsidRDefault="00480DDE">
            <w:pPr>
              <w:spacing w:before="240" w:after="0"/>
              <w:jc w:val="center"/>
              <w:rPr>
                <w:b/>
                <w:bCs/>
              </w:rPr>
            </w:pPr>
            <w:r>
              <w:rPr>
                <w:noProof/>
              </w:rPr>
              <w:drawing>
                <wp:inline distT="0" distB="0" distL="0" distR="0" wp14:anchorId="737E739F" wp14:editId="429083AF">
                  <wp:extent cx="3133725" cy="2524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l="2269" t="1764" r="6226"/>
                          <a:stretch>
                            <a:fillRect/>
                          </a:stretch>
                        </pic:blipFill>
                        <pic:spPr bwMode="auto">
                          <a:xfrm>
                            <a:off x="0" y="0"/>
                            <a:ext cx="3133725" cy="2524125"/>
                          </a:xfrm>
                          <a:prstGeom prst="rect">
                            <a:avLst/>
                          </a:prstGeom>
                          <a:noFill/>
                          <a:ln>
                            <a:noFill/>
                          </a:ln>
                        </pic:spPr>
                      </pic:pic>
                    </a:graphicData>
                  </a:graphic>
                </wp:inline>
              </w:drawing>
            </w:r>
          </w:p>
        </w:tc>
      </w:tr>
      <w:tr w:rsidR="00480DDE" w14:paraId="47A40446" w14:textId="77777777" w:rsidTr="00480DDE">
        <w:tc>
          <w:tcPr>
            <w:tcW w:w="10456" w:type="dxa"/>
            <w:gridSpan w:val="2"/>
            <w:vAlign w:val="center"/>
            <w:hideMark/>
          </w:tcPr>
          <w:p w14:paraId="77C1248C" w14:textId="77777777" w:rsidR="00480DDE" w:rsidRDefault="00480DDE">
            <w:pPr>
              <w:spacing w:before="240" w:after="0"/>
              <w:jc w:val="center"/>
              <w:rPr>
                <w:b/>
                <w:bCs/>
              </w:rPr>
            </w:pPr>
            <w:r>
              <w:rPr>
                <w:b/>
                <w:bCs/>
              </w:rPr>
              <w:t>(C)</w:t>
            </w:r>
          </w:p>
        </w:tc>
      </w:tr>
    </w:tbl>
    <w:p w14:paraId="7A44BD2E" w14:textId="77777777" w:rsidR="00480DDE" w:rsidRDefault="00480DDE" w:rsidP="00480DDE">
      <w:pPr>
        <w:rPr>
          <w:rFonts w:asciiTheme="minorHAnsi" w:hAnsiTheme="minorHAnsi"/>
          <w:sz w:val="22"/>
        </w:rPr>
      </w:pPr>
    </w:p>
    <w:p w14:paraId="13E7593C" w14:textId="77777777" w:rsidR="00480DDE" w:rsidRPr="0088513A" w:rsidRDefault="00480DDE" w:rsidP="004F068B">
      <w:pPr>
        <w:spacing w:line="360" w:lineRule="auto"/>
        <w:rPr>
          <w:rFonts w:cs="Times New Roman"/>
          <w:szCs w:val="24"/>
        </w:rPr>
      </w:pPr>
    </w:p>
    <w:sectPr w:rsidR="00480DDE" w:rsidRPr="0088513A" w:rsidSect="00480DDE">
      <w:pgSz w:w="12240" w:h="15840"/>
      <w:pgMar w:top="1138" w:right="1181" w:bottom="1138" w:left="1282" w:header="283" w:footer="51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506D4" w14:textId="77777777" w:rsidR="00D93D4C" w:rsidRDefault="00D93D4C" w:rsidP="00117666">
      <w:pPr>
        <w:spacing w:after="0"/>
      </w:pPr>
      <w:r>
        <w:separator/>
      </w:r>
    </w:p>
  </w:endnote>
  <w:endnote w:type="continuationSeparator" w:id="0">
    <w:p w14:paraId="39E43AA2" w14:textId="77777777" w:rsidR="00D93D4C" w:rsidRDefault="00D93D4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JCKP A+ Gulliver">
    <w:altName w:val="Cambria"/>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D3D87" w14:textId="7980A587" w:rsidR="00686C9D" w:rsidRPr="00577C4C" w:rsidRDefault="00C52A7B">
    <w:pPr>
      <w:pStyle w:val="Footer"/>
      <w:rPr>
        <w:color w:val="C00000"/>
        <w:szCs w:val="24"/>
      </w:rPr>
    </w:pPr>
    <w:r>
      <w:rPr>
        <w:noProof/>
        <w:lang w:eastAsia="en-GB"/>
      </w:rPr>
      <mc:AlternateContent>
        <mc:Choice Requires="wps">
          <w:drawing>
            <wp:anchor distT="0" distB="0" distL="114300" distR="114300" simplePos="0" relativeHeight="251665408" behindDoc="0" locked="0" layoutInCell="1" allowOverlap="1" wp14:anchorId="51D4B8BD" wp14:editId="575B1817">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D4B8BD" id="_x0000_t202" coordsize="21600,21600" o:spt="202" path="m,l,21600r21600,l21600,xe">
              <v:stroke joinstyle="miter"/>
              <v:path gradientshapeok="t" o:connecttype="rect"/>
            </v:shapetype>
            <v:shape id="Text Box 1" o:spid="_x0000_s1026"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214951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BFF2" w14:textId="77777777" w:rsidR="00686C9D" w:rsidRPr="00577C4C" w:rsidRDefault="00C52A7B">
    <w:pPr>
      <w:pStyle w:val="Footer"/>
      <w:rPr>
        <w:b/>
        <w:sz w:val="20"/>
        <w:szCs w:val="24"/>
      </w:rPr>
    </w:pPr>
    <w:r>
      <w:rPr>
        <w:noProof/>
        <w:lang w:eastAsia="en-GB"/>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AF3B6"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74D070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796A5" w14:textId="77777777" w:rsidR="00D93D4C" w:rsidRDefault="00D93D4C" w:rsidP="00117666">
      <w:pPr>
        <w:spacing w:after="0"/>
      </w:pPr>
      <w:r>
        <w:separator/>
      </w:r>
    </w:p>
  </w:footnote>
  <w:footnote w:type="continuationSeparator" w:id="0">
    <w:p w14:paraId="78C8ABB0" w14:textId="77777777" w:rsidR="00D93D4C" w:rsidRDefault="00D93D4C" w:rsidP="0011766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3">
    <w:abstractNumId w:val="0"/>
  </w:num>
  <w:num w:numId="4">
    <w:abstractNumId w:val="0"/>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xMDW0MLK0BBImRko6SsGpxcWZ+XkgBYaGtQCPsEoOLQAAAA=="/>
  </w:docVars>
  <w:rsids>
    <w:rsidRoot w:val="00681821"/>
    <w:rsid w:val="000022CC"/>
    <w:rsid w:val="00013704"/>
    <w:rsid w:val="00013EEF"/>
    <w:rsid w:val="00021A2C"/>
    <w:rsid w:val="000304DC"/>
    <w:rsid w:val="00034304"/>
    <w:rsid w:val="00035434"/>
    <w:rsid w:val="000406C6"/>
    <w:rsid w:val="00044058"/>
    <w:rsid w:val="0004555F"/>
    <w:rsid w:val="00045678"/>
    <w:rsid w:val="000458E4"/>
    <w:rsid w:val="00051A26"/>
    <w:rsid w:val="00054562"/>
    <w:rsid w:val="00055778"/>
    <w:rsid w:val="00056FCA"/>
    <w:rsid w:val="00063D84"/>
    <w:rsid w:val="0006636D"/>
    <w:rsid w:val="00077D53"/>
    <w:rsid w:val="00077DDB"/>
    <w:rsid w:val="00081394"/>
    <w:rsid w:val="00082A0C"/>
    <w:rsid w:val="0009268D"/>
    <w:rsid w:val="000B1D27"/>
    <w:rsid w:val="000B34BD"/>
    <w:rsid w:val="000B6CEA"/>
    <w:rsid w:val="000C5AED"/>
    <w:rsid w:val="000C7E2A"/>
    <w:rsid w:val="000D04BA"/>
    <w:rsid w:val="000D2DE1"/>
    <w:rsid w:val="000E2884"/>
    <w:rsid w:val="000E44FE"/>
    <w:rsid w:val="000E5B82"/>
    <w:rsid w:val="000E729F"/>
    <w:rsid w:val="000F4CFB"/>
    <w:rsid w:val="000F6F68"/>
    <w:rsid w:val="00100D0A"/>
    <w:rsid w:val="0010669C"/>
    <w:rsid w:val="001067D1"/>
    <w:rsid w:val="00117666"/>
    <w:rsid w:val="00121A45"/>
    <w:rsid w:val="001223A7"/>
    <w:rsid w:val="001230F7"/>
    <w:rsid w:val="001279AD"/>
    <w:rsid w:val="00131FBC"/>
    <w:rsid w:val="00134256"/>
    <w:rsid w:val="00135D06"/>
    <w:rsid w:val="00144473"/>
    <w:rsid w:val="00147395"/>
    <w:rsid w:val="00152E23"/>
    <w:rsid w:val="001552C9"/>
    <w:rsid w:val="00167542"/>
    <w:rsid w:val="001743D1"/>
    <w:rsid w:val="00177D84"/>
    <w:rsid w:val="001828A2"/>
    <w:rsid w:val="00184F32"/>
    <w:rsid w:val="00193564"/>
    <w:rsid w:val="001938FC"/>
    <w:rsid w:val="001964EF"/>
    <w:rsid w:val="001A3658"/>
    <w:rsid w:val="001B0071"/>
    <w:rsid w:val="001B1A2C"/>
    <w:rsid w:val="001B591D"/>
    <w:rsid w:val="001B6D59"/>
    <w:rsid w:val="001D5C23"/>
    <w:rsid w:val="001D6FCB"/>
    <w:rsid w:val="001E0E5C"/>
    <w:rsid w:val="001E130F"/>
    <w:rsid w:val="001F4C07"/>
    <w:rsid w:val="001F55B4"/>
    <w:rsid w:val="00206BF9"/>
    <w:rsid w:val="00216686"/>
    <w:rsid w:val="00220AEA"/>
    <w:rsid w:val="00225C28"/>
    <w:rsid w:val="00226954"/>
    <w:rsid w:val="00231F78"/>
    <w:rsid w:val="002331E3"/>
    <w:rsid w:val="00235FC3"/>
    <w:rsid w:val="00236215"/>
    <w:rsid w:val="0024060F"/>
    <w:rsid w:val="002627E1"/>
    <w:rsid w:val="002629A3"/>
    <w:rsid w:val="00265660"/>
    <w:rsid w:val="00267D18"/>
    <w:rsid w:val="00280368"/>
    <w:rsid w:val="00280D24"/>
    <w:rsid w:val="002868E2"/>
    <w:rsid w:val="002869C3"/>
    <w:rsid w:val="002878D2"/>
    <w:rsid w:val="002936E4"/>
    <w:rsid w:val="00296B88"/>
    <w:rsid w:val="002975D2"/>
    <w:rsid w:val="002A1E57"/>
    <w:rsid w:val="002C02B6"/>
    <w:rsid w:val="002C104A"/>
    <w:rsid w:val="002C74CA"/>
    <w:rsid w:val="002C7A27"/>
    <w:rsid w:val="002D6F58"/>
    <w:rsid w:val="002E6E9E"/>
    <w:rsid w:val="002F3F48"/>
    <w:rsid w:val="002F744D"/>
    <w:rsid w:val="00300A8E"/>
    <w:rsid w:val="00303DE6"/>
    <w:rsid w:val="00306979"/>
    <w:rsid w:val="00310124"/>
    <w:rsid w:val="00311380"/>
    <w:rsid w:val="00317C3C"/>
    <w:rsid w:val="00327140"/>
    <w:rsid w:val="00343D67"/>
    <w:rsid w:val="00351814"/>
    <w:rsid w:val="00352129"/>
    <w:rsid w:val="003544FB"/>
    <w:rsid w:val="003653DA"/>
    <w:rsid w:val="00365D63"/>
    <w:rsid w:val="0036793B"/>
    <w:rsid w:val="00372682"/>
    <w:rsid w:val="00376CC5"/>
    <w:rsid w:val="0038424A"/>
    <w:rsid w:val="00385220"/>
    <w:rsid w:val="00391C79"/>
    <w:rsid w:val="00394AC8"/>
    <w:rsid w:val="0039693B"/>
    <w:rsid w:val="003C052C"/>
    <w:rsid w:val="003C7392"/>
    <w:rsid w:val="003D0300"/>
    <w:rsid w:val="003D122E"/>
    <w:rsid w:val="003D2F2D"/>
    <w:rsid w:val="003D3E52"/>
    <w:rsid w:val="003D4D79"/>
    <w:rsid w:val="003E0E6F"/>
    <w:rsid w:val="003F4869"/>
    <w:rsid w:val="00401590"/>
    <w:rsid w:val="00404CA7"/>
    <w:rsid w:val="00411BA5"/>
    <w:rsid w:val="00422C94"/>
    <w:rsid w:val="00430602"/>
    <w:rsid w:val="0043174F"/>
    <w:rsid w:val="00432FC0"/>
    <w:rsid w:val="00463AE8"/>
    <w:rsid w:val="00463E3D"/>
    <w:rsid w:val="004645AE"/>
    <w:rsid w:val="00472AC2"/>
    <w:rsid w:val="0047301E"/>
    <w:rsid w:val="00477953"/>
    <w:rsid w:val="00480DDE"/>
    <w:rsid w:val="00482204"/>
    <w:rsid w:val="00486CAE"/>
    <w:rsid w:val="00487417"/>
    <w:rsid w:val="0049141C"/>
    <w:rsid w:val="004A4EC3"/>
    <w:rsid w:val="004C333F"/>
    <w:rsid w:val="004D3E33"/>
    <w:rsid w:val="004F068B"/>
    <w:rsid w:val="004F0791"/>
    <w:rsid w:val="004F52BE"/>
    <w:rsid w:val="005031D5"/>
    <w:rsid w:val="00505055"/>
    <w:rsid w:val="00515404"/>
    <w:rsid w:val="00517F6F"/>
    <w:rsid w:val="005226B0"/>
    <w:rsid w:val="005250F2"/>
    <w:rsid w:val="00533E19"/>
    <w:rsid w:val="00543FB6"/>
    <w:rsid w:val="0054454F"/>
    <w:rsid w:val="00552712"/>
    <w:rsid w:val="00561008"/>
    <w:rsid w:val="0056409C"/>
    <w:rsid w:val="00576871"/>
    <w:rsid w:val="00587E98"/>
    <w:rsid w:val="00587F21"/>
    <w:rsid w:val="005A12D3"/>
    <w:rsid w:val="005A1D84"/>
    <w:rsid w:val="005A70EA"/>
    <w:rsid w:val="005B37B2"/>
    <w:rsid w:val="005B5FEE"/>
    <w:rsid w:val="005C3963"/>
    <w:rsid w:val="005C411A"/>
    <w:rsid w:val="005D1840"/>
    <w:rsid w:val="005D35E4"/>
    <w:rsid w:val="005D7910"/>
    <w:rsid w:val="005F6831"/>
    <w:rsid w:val="0060176D"/>
    <w:rsid w:val="006048D0"/>
    <w:rsid w:val="00606B6B"/>
    <w:rsid w:val="00616CAA"/>
    <w:rsid w:val="0062154F"/>
    <w:rsid w:val="00627BBE"/>
    <w:rsid w:val="00631A8C"/>
    <w:rsid w:val="00634E9A"/>
    <w:rsid w:val="006448C6"/>
    <w:rsid w:val="00650B45"/>
    <w:rsid w:val="00651CA2"/>
    <w:rsid w:val="00652249"/>
    <w:rsid w:val="00653D60"/>
    <w:rsid w:val="0065675B"/>
    <w:rsid w:val="00660D05"/>
    <w:rsid w:val="00670548"/>
    <w:rsid w:val="00671446"/>
    <w:rsid w:val="00671D9A"/>
    <w:rsid w:val="00673952"/>
    <w:rsid w:val="0067594F"/>
    <w:rsid w:val="006772FB"/>
    <w:rsid w:val="00681821"/>
    <w:rsid w:val="00686C9D"/>
    <w:rsid w:val="0069562D"/>
    <w:rsid w:val="006A5254"/>
    <w:rsid w:val="006B2D5B"/>
    <w:rsid w:val="006B361D"/>
    <w:rsid w:val="006B6474"/>
    <w:rsid w:val="006B67D4"/>
    <w:rsid w:val="006B6B77"/>
    <w:rsid w:val="006B7D14"/>
    <w:rsid w:val="006C4DDA"/>
    <w:rsid w:val="006D23D7"/>
    <w:rsid w:val="006D5B93"/>
    <w:rsid w:val="006E6513"/>
    <w:rsid w:val="0070532E"/>
    <w:rsid w:val="0071666D"/>
    <w:rsid w:val="007234C9"/>
    <w:rsid w:val="00723810"/>
    <w:rsid w:val="00725A7D"/>
    <w:rsid w:val="0073085C"/>
    <w:rsid w:val="00731335"/>
    <w:rsid w:val="00733784"/>
    <w:rsid w:val="00746505"/>
    <w:rsid w:val="00747356"/>
    <w:rsid w:val="007637D9"/>
    <w:rsid w:val="00772739"/>
    <w:rsid w:val="00790BB3"/>
    <w:rsid w:val="00792043"/>
    <w:rsid w:val="00797EDD"/>
    <w:rsid w:val="007A2D1F"/>
    <w:rsid w:val="007A3658"/>
    <w:rsid w:val="007B0322"/>
    <w:rsid w:val="007B4FDA"/>
    <w:rsid w:val="007C0E3F"/>
    <w:rsid w:val="007C206C"/>
    <w:rsid w:val="007C5729"/>
    <w:rsid w:val="007C6542"/>
    <w:rsid w:val="007E57D7"/>
    <w:rsid w:val="007F3678"/>
    <w:rsid w:val="008111E4"/>
    <w:rsid w:val="0081301C"/>
    <w:rsid w:val="00817DD6"/>
    <w:rsid w:val="0084333E"/>
    <w:rsid w:val="00846BEA"/>
    <w:rsid w:val="0084713D"/>
    <w:rsid w:val="0084784B"/>
    <w:rsid w:val="008629A9"/>
    <w:rsid w:val="00870E03"/>
    <w:rsid w:val="00871BD1"/>
    <w:rsid w:val="00872213"/>
    <w:rsid w:val="00880A98"/>
    <w:rsid w:val="0088513A"/>
    <w:rsid w:val="00893C19"/>
    <w:rsid w:val="008A7BD1"/>
    <w:rsid w:val="008B5C98"/>
    <w:rsid w:val="008B628D"/>
    <w:rsid w:val="008D4B27"/>
    <w:rsid w:val="008D6C8D"/>
    <w:rsid w:val="008E0084"/>
    <w:rsid w:val="008E034B"/>
    <w:rsid w:val="008E2B54"/>
    <w:rsid w:val="008E4404"/>
    <w:rsid w:val="008E58C7"/>
    <w:rsid w:val="008F3CFA"/>
    <w:rsid w:val="008F5021"/>
    <w:rsid w:val="00900A97"/>
    <w:rsid w:val="009028A8"/>
    <w:rsid w:val="00907B8D"/>
    <w:rsid w:val="00907D45"/>
    <w:rsid w:val="0091222F"/>
    <w:rsid w:val="00912395"/>
    <w:rsid w:val="00943573"/>
    <w:rsid w:val="00971B61"/>
    <w:rsid w:val="0097525F"/>
    <w:rsid w:val="00980C31"/>
    <w:rsid w:val="00981081"/>
    <w:rsid w:val="0098517B"/>
    <w:rsid w:val="00985AEA"/>
    <w:rsid w:val="00986142"/>
    <w:rsid w:val="009955FF"/>
    <w:rsid w:val="00997293"/>
    <w:rsid w:val="009A0615"/>
    <w:rsid w:val="009C4109"/>
    <w:rsid w:val="009D259D"/>
    <w:rsid w:val="009D404C"/>
    <w:rsid w:val="009E676F"/>
    <w:rsid w:val="009F28BC"/>
    <w:rsid w:val="009F67C4"/>
    <w:rsid w:val="009F68E4"/>
    <w:rsid w:val="00A02743"/>
    <w:rsid w:val="00A0434E"/>
    <w:rsid w:val="00A13A42"/>
    <w:rsid w:val="00A37E10"/>
    <w:rsid w:val="00A41BED"/>
    <w:rsid w:val="00A47EDD"/>
    <w:rsid w:val="00A50D9D"/>
    <w:rsid w:val="00A53000"/>
    <w:rsid w:val="00A545C6"/>
    <w:rsid w:val="00A652D0"/>
    <w:rsid w:val="00A67C97"/>
    <w:rsid w:val="00A73782"/>
    <w:rsid w:val="00A75F87"/>
    <w:rsid w:val="00A9457F"/>
    <w:rsid w:val="00A95D8B"/>
    <w:rsid w:val="00AB5D1F"/>
    <w:rsid w:val="00AB6BA8"/>
    <w:rsid w:val="00AC0270"/>
    <w:rsid w:val="00AC3EA3"/>
    <w:rsid w:val="00AC792D"/>
    <w:rsid w:val="00AD0579"/>
    <w:rsid w:val="00AD2F7B"/>
    <w:rsid w:val="00B02553"/>
    <w:rsid w:val="00B13BD5"/>
    <w:rsid w:val="00B16897"/>
    <w:rsid w:val="00B2527A"/>
    <w:rsid w:val="00B311EA"/>
    <w:rsid w:val="00B32799"/>
    <w:rsid w:val="00B336D2"/>
    <w:rsid w:val="00B34BEB"/>
    <w:rsid w:val="00B353D8"/>
    <w:rsid w:val="00B62277"/>
    <w:rsid w:val="00B657B8"/>
    <w:rsid w:val="00B80348"/>
    <w:rsid w:val="00B84920"/>
    <w:rsid w:val="00B8556A"/>
    <w:rsid w:val="00B95674"/>
    <w:rsid w:val="00BA5848"/>
    <w:rsid w:val="00BD0F6D"/>
    <w:rsid w:val="00BF38B2"/>
    <w:rsid w:val="00C012A3"/>
    <w:rsid w:val="00C0710A"/>
    <w:rsid w:val="00C16F19"/>
    <w:rsid w:val="00C375E3"/>
    <w:rsid w:val="00C416BA"/>
    <w:rsid w:val="00C52A7B"/>
    <w:rsid w:val="00C5391F"/>
    <w:rsid w:val="00C62E5F"/>
    <w:rsid w:val="00C6324C"/>
    <w:rsid w:val="00C679AA"/>
    <w:rsid w:val="00C724CF"/>
    <w:rsid w:val="00C75972"/>
    <w:rsid w:val="00C82792"/>
    <w:rsid w:val="00C948FD"/>
    <w:rsid w:val="00C97367"/>
    <w:rsid w:val="00CB43D5"/>
    <w:rsid w:val="00CB56E9"/>
    <w:rsid w:val="00CB57A5"/>
    <w:rsid w:val="00CC76F9"/>
    <w:rsid w:val="00CD066B"/>
    <w:rsid w:val="00CD46E2"/>
    <w:rsid w:val="00CE30E7"/>
    <w:rsid w:val="00CF2CBD"/>
    <w:rsid w:val="00CF415E"/>
    <w:rsid w:val="00D00D0B"/>
    <w:rsid w:val="00D04B69"/>
    <w:rsid w:val="00D107A2"/>
    <w:rsid w:val="00D25413"/>
    <w:rsid w:val="00D51FDE"/>
    <w:rsid w:val="00D537FA"/>
    <w:rsid w:val="00D542C6"/>
    <w:rsid w:val="00D546C3"/>
    <w:rsid w:val="00D5547D"/>
    <w:rsid w:val="00D80D99"/>
    <w:rsid w:val="00D822B6"/>
    <w:rsid w:val="00D93D4C"/>
    <w:rsid w:val="00D9503C"/>
    <w:rsid w:val="00DA2AF2"/>
    <w:rsid w:val="00DD486E"/>
    <w:rsid w:val="00DD55D9"/>
    <w:rsid w:val="00DD73EF"/>
    <w:rsid w:val="00DE23E8"/>
    <w:rsid w:val="00DE64D3"/>
    <w:rsid w:val="00DE7079"/>
    <w:rsid w:val="00DF4B91"/>
    <w:rsid w:val="00E0128B"/>
    <w:rsid w:val="00E27670"/>
    <w:rsid w:val="00E506CD"/>
    <w:rsid w:val="00E56BE5"/>
    <w:rsid w:val="00E64E17"/>
    <w:rsid w:val="00E7490A"/>
    <w:rsid w:val="00E83B1F"/>
    <w:rsid w:val="00EA3D3C"/>
    <w:rsid w:val="00EB0E34"/>
    <w:rsid w:val="00EC088A"/>
    <w:rsid w:val="00EC1428"/>
    <w:rsid w:val="00EC7CC3"/>
    <w:rsid w:val="00EF0B15"/>
    <w:rsid w:val="00EF35CB"/>
    <w:rsid w:val="00F139BA"/>
    <w:rsid w:val="00F165D2"/>
    <w:rsid w:val="00F22B43"/>
    <w:rsid w:val="00F3066C"/>
    <w:rsid w:val="00F40990"/>
    <w:rsid w:val="00F46494"/>
    <w:rsid w:val="00F558AB"/>
    <w:rsid w:val="00F61D89"/>
    <w:rsid w:val="00F72AA0"/>
    <w:rsid w:val="00F776E5"/>
    <w:rsid w:val="00F86ABB"/>
    <w:rsid w:val="00F927CF"/>
    <w:rsid w:val="00F9358E"/>
    <w:rsid w:val="00F96F22"/>
    <w:rsid w:val="00FA397B"/>
    <w:rsid w:val="00FA4ED2"/>
    <w:rsid w:val="00FB50EC"/>
    <w:rsid w:val="00FD7648"/>
    <w:rsid w:val="00FE5D23"/>
    <w:rsid w:val="00FF5DE4"/>
    <w:rsid w:val="00FF6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A59A7"/>
  <w15:docId w15:val="{B98209AD-3451-4824-82E1-1DFAFFB1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99"/>
    <w:pPr>
      <w:spacing w:before="120" w:after="240" w:line="240" w:lineRule="auto"/>
    </w:pPr>
    <w:rPr>
      <w:rFonts w:ascii="Times New Roman" w:hAnsi="Times New Roman"/>
      <w:sz w:val="24"/>
      <w:lang w:val="en-GB"/>
    </w:rPr>
  </w:style>
  <w:style w:type="paragraph" w:styleId="Heading1">
    <w:name w:val="heading 1"/>
    <w:basedOn w:val="ListParagraph"/>
    <w:next w:val="Normal"/>
    <w:link w:val="Heading1Char"/>
    <w:uiPriority w:val="9"/>
    <w:qFormat/>
    <w:rsid w:val="00D80D99"/>
    <w:pPr>
      <w:numPr>
        <w:numId w:val="2"/>
      </w:numPr>
      <w:spacing w:before="240"/>
      <w:contextualSpacing w:val="0"/>
      <w:outlineLvl w:val="0"/>
    </w:pPr>
    <w:rPr>
      <w:b/>
    </w:rPr>
  </w:style>
  <w:style w:type="paragraph" w:styleId="Heading2">
    <w:name w:val="heading 2"/>
    <w:basedOn w:val="Heading1"/>
    <w:next w:val="Normal"/>
    <w:link w:val="Heading2Char"/>
    <w:uiPriority w:val="9"/>
    <w:qFormat/>
    <w:rsid w:val="00D80D99"/>
    <w:pPr>
      <w:numPr>
        <w:ilvl w:val="1"/>
      </w:numPr>
      <w:spacing w:after="200"/>
      <w:outlineLvl w:val="1"/>
    </w:pPr>
  </w:style>
  <w:style w:type="paragraph" w:styleId="Heading3">
    <w:name w:val="heading 3"/>
    <w:basedOn w:val="Normal"/>
    <w:next w:val="Normal"/>
    <w:link w:val="Heading3Char"/>
    <w:uiPriority w:val="9"/>
    <w:qFormat/>
    <w:rsid w:val="00D80D99"/>
    <w:pPr>
      <w:keepNext/>
      <w:keepLines/>
      <w:numPr>
        <w:ilvl w:val="2"/>
        <w:numId w:val="2"/>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D80D99"/>
    <w:pPr>
      <w:numPr>
        <w:ilvl w:val="3"/>
      </w:numPr>
      <w:outlineLvl w:val="3"/>
    </w:pPr>
    <w:rPr>
      <w:iCs/>
    </w:rPr>
  </w:style>
  <w:style w:type="paragraph" w:styleId="Heading5">
    <w:name w:val="heading 5"/>
    <w:basedOn w:val="Heading4"/>
    <w:next w:val="Normal"/>
    <w:link w:val="Heading5Char"/>
    <w:uiPriority w:val="9"/>
    <w:qFormat/>
    <w:rsid w:val="00D80D99"/>
    <w:pPr>
      <w:numPr>
        <w:ilvl w:val="4"/>
      </w:numPr>
      <w:outlineLvl w:val="4"/>
    </w:pPr>
  </w:style>
  <w:style w:type="paragraph" w:styleId="Heading6">
    <w:name w:val="heading 6"/>
    <w:basedOn w:val="Normal"/>
    <w:next w:val="Normal"/>
    <w:link w:val="Heading6Char"/>
    <w:uiPriority w:val="9"/>
    <w:semiHidden/>
    <w:unhideWhenUsed/>
    <w:qFormat/>
    <w:rsid w:val="00C375E3"/>
    <w:pPr>
      <w:keepNext/>
      <w:keepLines/>
      <w:spacing w:before="200" w:after="200" w:line="360" w:lineRule="auto"/>
      <w:ind w:left="1152" w:hanging="1152"/>
      <w:jc w:val="both"/>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375E3"/>
    <w:pPr>
      <w:keepNext/>
      <w:keepLines/>
      <w:spacing w:before="200" w:after="200" w:line="360" w:lineRule="auto"/>
      <w:ind w:left="1296" w:hanging="1296"/>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375E3"/>
    <w:pPr>
      <w:keepNext/>
      <w:keepLines/>
      <w:spacing w:before="200" w:after="200" w:line="360"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75E3"/>
    <w:pPr>
      <w:keepNext/>
      <w:keepLines/>
      <w:spacing w:before="200" w:after="200" w:line="360" w:lineRule="auto"/>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7395"/>
    <w:rPr>
      <w:rFonts w:ascii="Times New Roman" w:eastAsia="Cambria" w:hAnsi="Times New Roman" w:cs="Times New Roman"/>
      <w:b/>
      <w:sz w:val="24"/>
      <w:szCs w:val="24"/>
      <w:lang w:val="en-GB"/>
    </w:rPr>
  </w:style>
  <w:style w:type="character" w:customStyle="1" w:styleId="Heading2Char">
    <w:name w:val="Heading 2 Char"/>
    <w:basedOn w:val="DefaultParagraphFont"/>
    <w:link w:val="Heading2"/>
    <w:uiPriority w:val="9"/>
    <w:rsid w:val="00147395"/>
    <w:rPr>
      <w:rFonts w:ascii="Times New Roman" w:eastAsia="Cambria" w:hAnsi="Times New Roman" w:cs="Times New Roman"/>
      <w:b/>
      <w:sz w:val="24"/>
      <w:szCs w:val="24"/>
      <w:lang w:val="en-GB"/>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4"/>
    <w:qFormat/>
    <w:rsid w:val="00310124"/>
    <w:pPr>
      <w:numPr>
        <w:numId w:val="1"/>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3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unhideWhenUsed/>
    <w:rsid w:val="00725A7D"/>
    <w:rPr>
      <w:sz w:val="20"/>
      <w:szCs w:val="20"/>
    </w:rPr>
  </w:style>
  <w:style w:type="character" w:customStyle="1" w:styleId="CommentTextChar">
    <w:name w:val="Comment Text Char"/>
    <w:basedOn w:val="DefaultParagraphFont"/>
    <w:link w:val="CommentText"/>
    <w:uiPriority w:val="99"/>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11"/>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11"/>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5D1840"/>
    <w:rPr>
      <w:rFonts w:ascii="Times New Roman" w:eastAsiaTheme="majorEastAsia" w:hAnsi="Times New Roman" w:cstheme="majorBidi"/>
      <w:b/>
      <w:sz w:val="24"/>
      <w:szCs w:val="24"/>
      <w:lang w:val="en-GB"/>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9"/>
    <w:rsid w:val="005D1840"/>
    <w:rPr>
      <w:rFonts w:ascii="Times New Roman" w:eastAsiaTheme="majorEastAsia" w:hAnsi="Times New Roman" w:cstheme="majorBidi"/>
      <w:b/>
      <w:iCs/>
      <w:sz w:val="24"/>
      <w:szCs w:val="24"/>
      <w:lang w:val="en-GB"/>
    </w:rPr>
  </w:style>
  <w:style w:type="character" w:customStyle="1" w:styleId="Heading5Char">
    <w:name w:val="Heading 5 Char"/>
    <w:basedOn w:val="DefaultParagraphFont"/>
    <w:link w:val="Heading5"/>
    <w:uiPriority w:val="9"/>
    <w:rsid w:val="005D1840"/>
    <w:rPr>
      <w:rFonts w:ascii="Times New Roman" w:eastAsiaTheme="majorEastAsia" w:hAnsi="Times New Roman" w:cstheme="majorBidi"/>
      <w:b/>
      <w:iCs/>
      <w:sz w:val="24"/>
      <w:szCs w:val="24"/>
      <w:lang w:val="en-GB"/>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3"/>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styleId="UnresolvedMention">
    <w:name w:val="Unresolved Mention"/>
    <w:basedOn w:val="DefaultParagraphFont"/>
    <w:uiPriority w:val="99"/>
    <w:unhideWhenUsed/>
    <w:rsid w:val="006B361D"/>
    <w:rPr>
      <w:color w:val="605E5C"/>
      <w:shd w:val="clear" w:color="auto" w:fill="E1DFDD"/>
    </w:rPr>
  </w:style>
  <w:style w:type="character" w:customStyle="1" w:styleId="Heading6Char">
    <w:name w:val="Heading 6 Char"/>
    <w:basedOn w:val="DefaultParagraphFont"/>
    <w:link w:val="Heading6"/>
    <w:uiPriority w:val="9"/>
    <w:semiHidden/>
    <w:rsid w:val="00C375E3"/>
    <w:rPr>
      <w:rFonts w:eastAsiaTheme="majorEastAsia" w:cstheme="majorBidi"/>
      <w:i/>
      <w:iCs/>
      <w:color w:val="243F60" w:themeColor="accent1" w:themeShade="7F"/>
      <w:sz w:val="24"/>
      <w:lang w:val="en-GB"/>
    </w:rPr>
  </w:style>
  <w:style w:type="character" w:customStyle="1" w:styleId="Heading7Char">
    <w:name w:val="Heading 7 Char"/>
    <w:basedOn w:val="DefaultParagraphFont"/>
    <w:link w:val="Heading7"/>
    <w:uiPriority w:val="9"/>
    <w:semiHidden/>
    <w:rsid w:val="00C375E3"/>
    <w:rPr>
      <w:rFonts w:eastAsiaTheme="majorEastAsia" w:cstheme="majorBidi"/>
      <w:i/>
      <w:iCs/>
      <w:color w:val="404040" w:themeColor="text1" w:themeTint="BF"/>
      <w:sz w:val="24"/>
      <w:lang w:val="en-GB"/>
    </w:rPr>
  </w:style>
  <w:style w:type="character" w:customStyle="1" w:styleId="Heading8Char">
    <w:name w:val="Heading 8 Char"/>
    <w:basedOn w:val="DefaultParagraphFont"/>
    <w:link w:val="Heading8"/>
    <w:uiPriority w:val="9"/>
    <w:semiHidden/>
    <w:rsid w:val="00C375E3"/>
    <w:rPr>
      <w:rFonts w:eastAsiaTheme="majorEastAsia"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C375E3"/>
    <w:rPr>
      <w:rFonts w:eastAsiaTheme="majorEastAsia" w:cstheme="majorBidi"/>
      <w:i/>
      <w:iCs/>
      <w:color w:val="404040" w:themeColor="text1" w:themeTint="BF"/>
      <w:sz w:val="20"/>
      <w:szCs w:val="20"/>
      <w:lang w:val="en-GB"/>
    </w:rPr>
  </w:style>
  <w:style w:type="paragraph" w:styleId="TableofFigures">
    <w:name w:val="table of figures"/>
    <w:basedOn w:val="Normal"/>
    <w:next w:val="Normal"/>
    <w:uiPriority w:val="99"/>
    <w:unhideWhenUsed/>
    <w:rsid w:val="00C375E3"/>
    <w:pPr>
      <w:spacing w:before="0" w:after="0" w:line="360" w:lineRule="auto"/>
      <w:ind w:left="480" w:hanging="480"/>
    </w:pPr>
    <w:rPr>
      <w:rFonts w:asciiTheme="minorHAnsi" w:hAnsiTheme="minorHAnsi"/>
      <w:smallCaps/>
      <w:sz w:val="20"/>
      <w:szCs w:val="20"/>
    </w:rPr>
  </w:style>
  <w:style w:type="paragraph" w:customStyle="1" w:styleId="EndNoteBibliographyTitle">
    <w:name w:val="EndNote Bibliography Title"/>
    <w:basedOn w:val="Normal"/>
    <w:link w:val="EndNoteBibliographyTitleChar"/>
    <w:rsid w:val="00C375E3"/>
    <w:pPr>
      <w:spacing w:before="0" w:after="0" w:line="360" w:lineRule="auto"/>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C375E3"/>
    <w:rPr>
      <w:rFonts w:ascii="Times New Roman" w:hAnsi="Times New Roman" w:cs="Times New Roman"/>
      <w:noProof/>
      <w:sz w:val="24"/>
    </w:rPr>
  </w:style>
  <w:style w:type="paragraph" w:customStyle="1" w:styleId="EndNoteBibliography">
    <w:name w:val="EndNote Bibliography"/>
    <w:basedOn w:val="Normal"/>
    <w:link w:val="EndNoteBibliographyChar"/>
    <w:rsid w:val="00C375E3"/>
    <w:pPr>
      <w:spacing w:before="0" w:after="200"/>
      <w:jc w:val="both"/>
    </w:pPr>
    <w:rPr>
      <w:rFonts w:cs="Times New Roman"/>
      <w:noProof/>
      <w:lang w:val="en-US"/>
    </w:rPr>
  </w:style>
  <w:style w:type="character" w:customStyle="1" w:styleId="EndNoteBibliographyChar">
    <w:name w:val="EndNote Bibliography Char"/>
    <w:basedOn w:val="DefaultParagraphFont"/>
    <w:link w:val="EndNoteBibliography"/>
    <w:rsid w:val="00C375E3"/>
    <w:rPr>
      <w:rFonts w:ascii="Times New Roman" w:hAnsi="Times New Roman" w:cs="Times New Roman"/>
      <w:noProof/>
      <w:sz w:val="24"/>
    </w:rPr>
  </w:style>
  <w:style w:type="paragraph" w:customStyle="1" w:styleId="TOCBody">
    <w:name w:val="TOCBody"/>
    <w:basedOn w:val="Normal"/>
    <w:link w:val="TOCBodyChar"/>
    <w:qFormat/>
    <w:rsid w:val="00C375E3"/>
    <w:pPr>
      <w:spacing w:before="240" w:after="200" w:line="360" w:lineRule="auto"/>
      <w:jc w:val="both"/>
    </w:pPr>
    <w:rPr>
      <w:rFonts w:asciiTheme="minorHAnsi" w:eastAsiaTheme="minorEastAsia" w:hAnsiTheme="minorHAnsi" w:cs="Arial"/>
      <w:sz w:val="22"/>
      <w:lang w:eastAsia="en-GB"/>
    </w:rPr>
  </w:style>
  <w:style w:type="character" w:customStyle="1" w:styleId="TOCBodyChar">
    <w:name w:val="TOCBody Char"/>
    <w:basedOn w:val="DefaultParagraphFont"/>
    <w:link w:val="TOCBody"/>
    <w:rsid w:val="00C375E3"/>
    <w:rPr>
      <w:rFonts w:asciiTheme="minorHAnsi" w:eastAsiaTheme="minorEastAsia" w:hAnsiTheme="minorHAnsi" w:cs="Arial"/>
      <w:lang w:val="en-GB" w:eastAsia="en-GB"/>
    </w:rPr>
  </w:style>
  <w:style w:type="paragraph" w:styleId="Bibliography">
    <w:name w:val="Bibliography"/>
    <w:basedOn w:val="Normal"/>
    <w:next w:val="Normal"/>
    <w:uiPriority w:val="37"/>
    <w:unhideWhenUsed/>
    <w:rsid w:val="00C375E3"/>
    <w:pPr>
      <w:spacing w:before="0"/>
      <w:ind w:left="720" w:hanging="720"/>
      <w:jc w:val="both"/>
    </w:pPr>
  </w:style>
  <w:style w:type="paragraph" w:customStyle="1" w:styleId="Default">
    <w:name w:val="Default"/>
    <w:rsid w:val="00C375E3"/>
    <w:pPr>
      <w:autoSpaceDE w:val="0"/>
      <w:autoSpaceDN w:val="0"/>
      <w:adjustRightInd w:val="0"/>
      <w:spacing w:after="0" w:line="240" w:lineRule="auto"/>
    </w:pPr>
    <w:rPr>
      <w:rFonts w:ascii="FJCKP A+ Gulliver" w:hAnsi="FJCKP A+ Gulliver" w:cs="FJCKP A+ Gulliver"/>
      <w:color w:val="000000"/>
      <w:sz w:val="24"/>
      <w:szCs w:val="24"/>
      <w:lang w:val="en-GB"/>
    </w:rPr>
  </w:style>
  <w:style w:type="paragraph" w:customStyle="1" w:styleId="Normal1">
    <w:name w:val="Normal1"/>
    <w:rsid w:val="00C375E3"/>
    <w:pPr>
      <w:spacing w:after="0"/>
      <w:contextualSpacing/>
    </w:pPr>
    <w:rPr>
      <w:rFonts w:ascii="Arial" w:eastAsia="Arial" w:hAnsi="Arial" w:cs="Arial"/>
    </w:rPr>
  </w:style>
  <w:style w:type="character" w:styleId="PlaceholderText">
    <w:name w:val="Placeholder Text"/>
    <w:basedOn w:val="DefaultParagraphFont"/>
    <w:uiPriority w:val="99"/>
    <w:semiHidden/>
    <w:rsid w:val="003D0300"/>
    <w:rPr>
      <w:color w:val="808080"/>
    </w:rPr>
  </w:style>
  <w:style w:type="paragraph" w:customStyle="1" w:styleId="xauthorlist">
    <w:name w:val="x_authorlist"/>
    <w:basedOn w:val="Normal"/>
    <w:rsid w:val="00F139BA"/>
    <w:pPr>
      <w:spacing w:before="100" w:beforeAutospacing="1" w:after="100" w:afterAutospacing="1"/>
    </w:pPr>
    <w:rPr>
      <w:rFonts w:eastAsia="Times New Roman" w:cs="Times New Roman"/>
      <w:szCs w:val="24"/>
    </w:rPr>
  </w:style>
  <w:style w:type="paragraph" w:customStyle="1" w:styleId="xmsonormal">
    <w:name w:val="x_msonormal"/>
    <w:basedOn w:val="Normal"/>
    <w:rsid w:val="00F139BA"/>
    <w:pPr>
      <w:spacing w:before="100" w:beforeAutospacing="1" w:after="100" w:afterAutospacing="1"/>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852715274">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readioff@leeds.ac.uk" TargetMode="External"/><Relationship Id="rId13" Type="http://schemas.openxmlformats.org/officeDocument/2006/relationships/image" Target="media/image2.tiff"/><Relationship Id="rId18" Type="http://schemas.openxmlformats.org/officeDocument/2006/relationships/image" Target="media/image7.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6.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hyperlink" Target="mailto:Eithne.Comerford@liverpool.ac.uk" TargetMode="External"/><Relationship Id="rId14" Type="http://schemas.openxmlformats.org/officeDocument/2006/relationships/image" Target="media/image3.tiff"/><Relationship Id="rId22"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B8B29C5-C39B-41C8-9567-444369AD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Frontiers_template.dotx</Template>
  <TotalTime>5</TotalTime>
  <Pages>27</Pages>
  <Words>89773</Words>
  <Characters>269319</Characters>
  <Application>Microsoft Office Word</Application>
  <DocSecurity>0</DocSecurity>
  <Lines>269319</Lines>
  <Paragraphs>89772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Senn</dc:creator>
  <cp:keywords/>
  <dc:description/>
  <cp:lastModifiedBy>Rosti Readioff</cp:lastModifiedBy>
  <cp:revision>4</cp:revision>
  <cp:lastPrinted>2022-07-01T15:43:00Z</cp:lastPrinted>
  <dcterms:created xsi:type="dcterms:W3CDTF">2022-11-04T11:40:00Z</dcterms:created>
  <dcterms:modified xsi:type="dcterms:W3CDTF">2022-11-04T12:01:00Z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zotero-version="6.0.13"&gt;&lt;session id="hIRZaDaU"/&gt;&lt;style id="http://www.zotero.org/styles/frontiers-in-bioengineering-and-biotechnology" hasBibliography="1" bibliographyStyleHasBeenSet="1"/&gt;&lt;prefs&gt;&lt;pref name="automaticJournalAbbreviat</vt:lpwstr>
  </property>
  <property fmtid="{D5CDD505-2E9C-101B-9397-08002B2CF9AE}" pid="3" name="ZOTERO_PREF_2">
    <vt:lpwstr>ions" value="true"/&gt;&lt;pref name="fieldType" value="Field"/&gt;&lt;/prefs&gt;&lt;/data&gt;</vt:lpwstr>
  </property>
  <property fmtid="{D5CDD505-2E9C-101B-9397-08002B2CF9AE}" pid="4" name="GrammarlyDocumentId">
    <vt:lpwstr>b4e3b867a1486a2275cd9c28322285d1b8af2efd54a1bd11a6075ab148c2ae8e</vt:lpwstr>
  </property>
</Properties>
</file>