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rPr>
        <w:id w:val="1480423876"/>
        <w:docPartObj>
          <w:docPartGallery w:val="Cover Pages"/>
          <w:docPartUnique/>
        </w:docPartObj>
      </w:sdtPr>
      <w:sdtEndPr/>
      <w:sdtContent>
        <w:p w14:paraId="3A15F48F" w14:textId="08BE7041" w:rsidR="009C1CA3" w:rsidRPr="00295A88" w:rsidRDefault="001C3241">
          <w:pPr>
            <w:rPr>
              <w:rFonts w:cstheme="minorHAnsi"/>
            </w:rPr>
          </w:pPr>
          <w:r w:rsidRPr="00C26672">
            <w:rPr>
              <w:rFonts w:cstheme="minorHAnsi"/>
              <w:noProof/>
              <w:lang w:eastAsia="en-GB"/>
            </w:rPr>
            <mc:AlternateContent>
              <mc:Choice Requires="wps">
                <w:drawing>
                  <wp:anchor distT="0" distB="0" distL="114300" distR="114300" simplePos="0" relativeHeight="251656192" behindDoc="1" locked="0" layoutInCell="1" allowOverlap="1" wp14:anchorId="4F79D8DA" wp14:editId="63111EF1">
                    <wp:simplePos x="0" y="0"/>
                    <wp:positionH relativeFrom="column">
                      <wp:posOffset>-566057</wp:posOffset>
                    </wp:positionH>
                    <wp:positionV relativeFrom="paragraph">
                      <wp:posOffset>-21772</wp:posOffset>
                    </wp:positionV>
                    <wp:extent cx="6858000" cy="8860971"/>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88609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bCs/>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1954439D" w14:textId="77777777" w:rsidR="00B825BB" w:rsidRPr="00A445CD" w:rsidRDefault="00B825BB">
                                    <w:pPr>
                                      <w:pStyle w:val="NoSpacing"/>
                                      <w:pBdr>
                                        <w:bottom w:val="single" w:sz="6" w:space="4" w:color="7F7F7F" w:themeColor="text1" w:themeTint="80"/>
                                      </w:pBdr>
                                      <w:rPr>
                                        <w:rFonts w:asciiTheme="majorHAnsi" w:eastAsiaTheme="majorEastAsia" w:hAnsiTheme="majorHAnsi" w:cstheme="majorBidi"/>
                                        <w:b/>
                                        <w:bCs/>
                                        <w:color w:val="595959" w:themeColor="text1" w:themeTint="A6"/>
                                        <w:sz w:val="72"/>
                                        <w:szCs w:val="72"/>
                                      </w:rPr>
                                    </w:pPr>
                                    <w:r w:rsidRPr="00A445CD">
                                      <w:rPr>
                                        <w:rFonts w:asciiTheme="majorHAnsi" w:eastAsiaTheme="majorEastAsia" w:hAnsiTheme="majorHAnsi" w:cstheme="majorBidi"/>
                                        <w:b/>
                                        <w:bCs/>
                                        <w:color w:val="595959" w:themeColor="text1" w:themeTint="A6"/>
                                        <w:sz w:val="72"/>
                                        <w:szCs w:val="72"/>
                                      </w:rPr>
                                      <w:t>Ibuprofen Dosing in Obese Children</w:t>
                                    </w:r>
                                    <w:r>
                                      <w:rPr>
                                        <w:rFonts w:asciiTheme="majorHAnsi" w:eastAsiaTheme="majorEastAsia" w:hAnsiTheme="majorHAnsi" w:cstheme="majorBidi"/>
                                        <w:b/>
                                        <w:bCs/>
                                        <w:color w:val="595959" w:themeColor="text1" w:themeTint="A6"/>
                                        <w:sz w:val="72"/>
                                        <w:szCs w:val="72"/>
                                      </w:rPr>
                                      <w:t>:</w:t>
                                    </w:r>
                                    <w:r w:rsidRPr="00A445CD">
                                      <w:rPr>
                                        <w:rFonts w:asciiTheme="majorHAnsi" w:eastAsiaTheme="majorEastAsia" w:hAnsiTheme="majorHAnsi" w:cstheme="majorBidi"/>
                                        <w:b/>
                                        <w:bCs/>
                                        <w:color w:val="595959" w:themeColor="text1" w:themeTint="A6"/>
                                        <w:sz w:val="72"/>
                                        <w:szCs w:val="72"/>
                                      </w:rPr>
                                      <w:t xml:space="preserve"> A Systematic Review</w:t>
                                    </w:r>
                                  </w:p>
                                </w:sdtContent>
                              </w:sdt>
                              <w:p w14:paraId="50B297F4" w14:textId="77777777" w:rsidR="00B825BB" w:rsidRDefault="00B825BB" w:rsidP="008A4746"/>
                              <w:p w14:paraId="19F45CAD" w14:textId="77777777" w:rsidR="00B825BB" w:rsidRDefault="00B825BB" w:rsidP="00066AD1">
                                <w:pPr>
                                  <w:pStyle w:val="Heading1"/>
                                </w:pPr>
                                <w:r>
                                  <w:t>AUTHOR LISTING</w:t>
                                </w:r>
                              </w:p>
                              <w:p w14:paraId="2EF0386C" w14:textId="7F7E6D89" w:rsidR="00B825BB" w:rsidRDefault="00B825BB" w:rsidP="006930A2">
                                <w:r>
                                  <w:t xml:space="preserve">Eman </w:t>
                                </w:r>
                                <w:r w:rsidR="00FA5E2A">
                                  <w:t>Shamsaee</w:t>
                                </w:r>
                                <w:r>
                                  <w:rPr>
                                    <w:vertAlign w:val="superscript"/>
                                  </w:rPr>
                                  <w:t>1</w:t>
                                </w:r>
                                <w:r>
                                  <w:t>, Alaw Huws</w:t>
                                </w:r>
                                <w:r>
                                  <w:rPr>
                                    <w:vertAlign w:val="superscript"/>
                                  </w:rPr>
                                  <w:t>1</w:t>
                                </w:r>
                                <w:r>
                                  <w:t>, Andrea Gill</w:t>
                                </w:r>
                                <w:r>
                                  <w:rPr>
                                    <w:vertAlign w:val="superscript"/>
                                  </w:rPr>
                                  <w:t>2,3</w:t>
                                </w:r>
                                <w:r>
                                  <w:t xml:space="preserve">, </w:t>
                                </w:r>
                                <w:r w:rsidR="009B172B">
                                  <w:t xml:space="preserve">Stephen </w:t>
                                </w:r>
                                <w:r w:rsidR="00AF74DC">
                                  <w:t>McW</w:t>
                                </w:r>
                                <w:r w:rsidR="009B172B">
                                  <w:t>illiam</w:t>
                                </w:r>
                                <w:r w:rsidR="009B172B">
                                  <w:rPr>
                                    <w:vertAlign w:val="superscript"/>
                                  </w:rPr>
                                  <w:t>4,5</w:t>
                                </w:r>
                                <w:r w:rsidR="009B172B">
                                  <w:t xml:space="preserve"> </w:t>
                                </w:r>
                                <w:r>
                                  <w:t>and Daniel B. Hawcutt</w:t>
                                </w:r>
                                <w:r w:rsidR="00703CD7">
                                  <w:rPr>
                                    <w:vertAlign w:val="superscript"/>
                                  </w:rPr>
                                  <w:t>3,4</w:t>
                                </w:r>
                                <w:r>
                                  <w:rPr>
                                    <w:vertAlign w:val="superscript"/>
                                  </w:rPr>
                                  <w:t>,5</w:t>
                                </w:r>
                                <w:r>
                                  <w:t xml:space="preserve"> </w:t>
                                </w:r>
                              </w:p>
                              <w:p w14:paraId="2033C321" w14:textId="0FF11646" w:rsidR="00B825BB" w:rsidRDefault="00B825BB" w:rsidP="006930A2">
                                <w:r>
                                  <w:t>AFFILIATIONS</w:t>
                                </w:r>
                              </w:p>
                              <w:p w14:paraId="7CD18B85" w14:textId="77777777" w:rsidR="00B825BB" w:rsidRDefault="00B825BB" w:rsidP="008B2365">
                                <w:r>
                                  <w:t>1: University of Liverpool Medical School, Liverpool, UK</w:t>
                                </w:r>
                              </w:p>
                              <w:p w14:paraId="6AF83A03" w14:textId="738907F3" w:rsidR="00B825BB" w:rsidRDefault="00B825BB" w:rsidP="008B2365">
                                <w:r>
                                  <w:t>2: Pharmacy Department, Alder Hey Children’s Hospital, Liverpool, UK</w:t>
                                </w:r>
                              </w:p>
                              <w:p w14:paraId="6B02DC74" w14:textId="6F0D9EBC" w:rsidR="00B825BB" w:rsidRDefault="00B825BB" w:rsidP="008B2365">
                                <w:r>
                                  <w:t>3: Paediatric Medicines Research Unit, Alder Hey Children’s Hospital, Liverpool, UK</w:t>
                                </w:r>
                              </w:p>
                              <w:p w14:paraId="44454568" w14:textId="670E1B35" w:rsidR="00B825BB" w:rsidRDefault="00B825BB" w:rsidP="008B2365">
                                <w:r>
                                  <w:t xml:space="preserve">4: </w:t>
                                </w:r>
                                <w:r w:rsidRPr="00CD07E3">
                                  <w:t>NIHR Alder Hey Clinical Research Facility, University of Liverpool,</w:t>
                                </w:r>
                                <w:r>
                                  <w:t xml:space="preserve"> Liverpool, UK</w:t>
                                </w:r>
                              </w:p>
                              <w:p w14:paraId="30847A8D" w14:textId="028B67D5" w:rsidR="00B825BB" w:rsidRDefault="00B825BB" w:rsidP="008B2365">
                                <w:r>
                                  <w:t>5: Department of Women’s and Children’s Health, University of Liverpool, Liverpool, UK</w:t>
                                </w:r>
                              </w:p>
                              <w:p w14:paraId="061C37FA" w14:textId="77777777" w:rsidR="00BC239A" w:rsidRDefault="00BC239A" w:rsidP="00066AD1">
                                <w:pPr>
                                  <w:pStyle w:val="Heading1"/>
                                </w:pPr>
                              </w:p>
                              <w:p w14:paraId="655E4FE8" w14:textId="1684F79E" w:rsidR="00B825BB" w:rsidRDefault="00B825BB" w:rsidP="00066AD1">
                                <w:pPr>
                                  <w:pStyle w:val="Heading1"/>
                                </w:pPr>
                                <w:r>
                                  <w:t>CORRESPONDING AUTHOR</w:t>
                                </w:r>
                              </w:p>
                              <w:p w14:paraId="6E2C6B91" w14:textId="18A8AB0A" w:rsidR="00B825BB" w:rsidRDefault="00B825BB" w:rsidP="00066AD1">
                                <w:r w:rsidRPr="00066AD1">
                                  <w:t xml:space="preserve">Daniel </w:t>
                                </w:r>
                                <w:r>
                                  <w:t xml:space="preserve">B. </w:t>
                                </w:r>
                                <w:r w:rsidRPr="00066AD1">
                                  <w:t xml:space="preserve">Hawcutt, University of Liverpool, Alder Hey Children’s Hospital, Eaton Road, Liverpool, L12 2AP. </w:t>
                                </w:r>
                                <w:r w:rsidRPr="00A9163D">
                                  <w:rPr>
                                    <w:i/>
                                    <w:iCs/>
                                    <w:color w:val="729928" w:themeColor="accent1" w:themeShade="BF"/>
                                  </w:rPr>
                                  <w:t>Email:</w:t>
                                </w:r>
                                <w:r w:rsidRPr="00A9163D">
                                  <w:rPr>
                                    <w:color w:val="729928" w:themeColor="accent1" w:themeShade="BF"/>
                                  </w:rPr>
                                  <w:t xml:space="preserve"> </w:t>
                                </w:r>
                                <w:r>
                                  <w:t>d</w:t>
                                </w:r>
                                <w:r w:rsidRPr="00066AD1">
                                  <w:t xml:space="preserve">hawcutt@liverpool.ac.uk   </w:t>
                                </w:r>
                                <w:r w:rsidRPr="00A9163D">
                                  <w:rPr>
                                    <w:i/>
                                    <w:iCs/>
                                    <w:color w:val="729928" w:themeColor="accent1" w:themeShade="BF"/>
                                  </w:rPr>
                                  <w:t>Tel:</w:t>
                                </w:r>
                                <w:r w:rsidRPr="00A9163D">
                                  <w:rPr>
                                    <w:color w:val="729928" w:themeColor="accent1" w:themeShade="BF"/>
                                  </w:rPr>
                                  <w:t xml:space="preserve"> </w:t>
                                </w:r>
                                <w:r w:rsidRPr="00066AD1">
                                  <w:t>0044 1512284811</w:t>
                                </w:r>
                              </w:p>
                              <w:p w14:paraId="19B64BF8" w14:textId="77777777" w:rsidR="00BC239A" w:rsidRPr="001741E4" w:rsidRDefault="00BC239A" w:rsidP="00066AD1">
                                <w:pPr>
                                  <w:rPr>
                                    <w:b/>
                                    <w:bCs/>
                                  </w:rPr>
                                </w:pPr>
                              </w:p>
                              <w:p w14:paraId="39279648" w14:textId="374D4C90" w:rsidR="00B825BB" w:rsidRPr="001741E4" w:rsidRDefault="001741E4" w:rsidP="001741E4">
                                <w:pPr>
                                  <w:pStyle w:val="Heading4"/>
                                  <w:rPr>
                                    <w:b/>
                                    <w:bCs/>
                                    <w:i w:val="0"/>
                                    <w:iCs w:val="0"/>
                                  </w:rPr>
                                </w:pPr>
                                <w:r w:rsidRPr="001741E4">
                                  <w:rPr>
                                    <w:b/>
                                    <w:bCs/>
                                    <w:i w:val="0"/>
                                    <w:iCs w:val="0"/>
                                  </w:rPr>
                                  <w:t>Word count:</w:t>
                                </w:r>
                                <w:r w:rsidR="00CC15A7" w:rsidRPr="001741E4">
                                  <w:rPr>
                                    <w:b/>
                                    <w:bCs/>
                                    <w:i w:val="0"/>
                                    <w:iCs w:val="0"/>
                                  </w:rPr>
                                  <w:t xml:space="preserve"> </w:t>
                                </w:r>
                                <w:r w:rsidR="009B172B" w:rsidRPr="00FD3951">
                                  <w:rPr>
                                    <w:b/>
                                    <w:bCs/>
                                    <w:i w:val="0"/>
                                    <w:iCs w:val="0"/>
                                    <w:color w:val="auto"/>
                                  </w:rPr>
                                  <w:t>2114</w:t>
                                </w:r>
                              </w:p>
                              <w:p w14:paraId="37105994" w14:textId="223BED7C" w:rsidR="000B069B" w:rsidRDefault="00B825BB" w:rsidP="00CC15A7">
                                <w:r w:rsidRPr="00173821">
                                  <w:rPr>
                                    <w:b/>
                                    <w:bCs/>
                                    <w:color w:val="99CB38" w:themeColor="accent1"/>
                                  </w:rPr>
                                  <w:t>Tables:</w:t>
                                </w:r>
                                <w:r w:rsidRPr="00173821">
                                  <w:rPr>
                                    <w:color w:val="99CB38" w:themeColor="accent1"/>
                                  </w:rPr>
                                  <w:t xml:space="preserve"> </w:t>
                                </w:r>
                                <w:r w:rsidR="002825C8" w:rsidRPr="00FD3951">
                                  <w:t>3</w:t>
                                </w:r>
                              </w:p>
                              <w:p w14:paraId="14956528" w14:textId="70128004" w:rsidR="00B825BB" w:rsidRDefault="00B825BB" w:rsidP="00047635">
                                <w:r w:rsidRPr="00173821">
                                  <w:rPr>
                                    <w:b/>
                                    <w:bCs/>
                                    <w:color w:val="99CB38" w:themeColor="accent1"/>
                                  </w:rPr>
                                  <w:t>Figures:</w:t>
                                </w:r>
                                <w:r w:rsidRPr="00173821">
                                  <w:rPr>
                                    <w:color w:val="99CB38" w:themeColor="accent1"/>
                                  </w:rPr>
                                  <w:t xml:space="preserve"> </w:t>
                                </w:r>
                                <w:r w:rsidR="002825C8" w:rsidRPr="00FD3951">
                                  <w:t>1</w:t>
                                </w:r>
                              </w:p>
                              <w:p w14:paraId="425664F5" w14:textId="3484C752" w:rsidR="00B825BB" w:rsidRPr="00047635" w:rsidRDefault="00B825BB" w:rsidP="00047635">
                                <w:r w:rsidRPr="00173821">
                                  <w:rPr>
                                    <w:b/>
                                    <w:bCs/>
                                    <w:color w:val="99CB38" w:themeColor="accent1"/>
                                  </w:rPr>
                                  <w:t>Keywords:</w:t>
                                </w:r>
                                <w:r w:rsidRPr="00173821">
                                  <w:rPr>
                                    <w:color w:val="99CB38" w:themeColor="accent1"/>
                                  </w:rPr>
                                  <w:t xml:space="preserve"> </w:t>
                                </w:r>
                                <w:r>
                                  <w:t>Ibuprofen; Paediatric; Dosing; Systematic Review; Obesity; Child</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F79D8DA" id="_x0000_t202" coordsize="21600,21600" o:spt="202" path="m,l,21600r21600,l21600,xe">
                    <v:stroke joinstyle="miter"/>
                    <v:path gradientshapeok="t" o:connecttype="rect"/>
                  </v:shapetype>
                  <v:shape id="Text Box 122" o:spid="_x0000_s1026" type="#_x0000_t202" style="position:absolute;margin-left:-44.55pt;margin-top:-1.7pt;width:540pt;height:697.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wIZwIAAEQFAAAOAAAAZHJzL2Uyb0RvYy54bWysVN9P2zAQfp+0/8Hy+0hgg3UVKepATJMQ&#10;oMHEs+vYNJrj887XJt1fv7OTtsD2wrSXxOf77td3dz4961sn1gZjA76ShwelFMZrqBv/WMnv95fv&#10;JlJEUr5WDryp5MZEeTZ7++a0C1NzBEtwtUHBTnycdqGSS6IwLYqol6ZV8QCC8ay0gK0iFvGxqFF1&#10;7L11xVFZnhQdYB0QtImRby8GpZxl/9YaTTfWRkPCVZJzo/zF/F2kbzE7VdNHVGHZ6DEN9Q9ZtKrx&#10;HHTn6kKREits/nDVNhohgqUDDW0B1jba5Bq4msPyRTV3SxVMroXJiWFHU/x/bvX1+i7coqD+M/Tc&#10;wERIF+I08mWqp7fYpj9nKljPFG52tJmehObLk8nxpCxZpVk3mZyUnz5mP8XePGCkLwZakQ6VRO5L&#10;pkutryJxSIZuISmah8vGudwb50XHId4fl9lgp2EL5xPW5C6Pbvap5xNtnEkY578ZK5o6V5Au8nyZ&#10;c4dirXgylNbG0zbpjE4oy0m8xnDE77N6jfFQB1vkyOBpZ9w2HjBX/yLt+sc2ZTvgmcgndacj9Yt+&#10;bOkC6g13GmFYghj0ZcPduFKRbhXy1HMHeZPphj/WAbMO40mKJeCvv90nPA8ja6XoeIsqGX+uFBop&#10;3FfPY/rh+CNvKe/dMwmfSYtnkl+158AtOeR3I+h8ZHsktz1ahPaBl36eIrNKec3xK6kJt8I5DRvO&#10;z4Y283mG8boFRVf+LujkPJGcJu6+f1AYxrEknuhr2G6dmr6YzgGbLD3MVwS2yaObaB64HennVc0T&#10;PT4r6S14KmfU/vGb/QYAAP//AwBQSwMEFAAGAAgAAAAhAGkDJtLgAAAACwEAAA8AAABkcnMvZG93&#10;bnJldi54bWxMj8tOwzAQRfdI/IM1SOxauw+hOsSpEGpXsKGpgKUTmzgiHkex0wS+nmEFuxnN0Z1z&#10;8/3sO3axQ2wDKlgtBTCLdTAtNgrO5XGxAxaTRqO7gFbBl42wL66vcp2ZMOGLvZxSwygEY6YVuJT6&#10;jPNYO+t1XIbeIt0+wuB1onVouBn0ROG+42sh7rjXLdIHp3v76Gz9eRq9guPbXGH5/XR274fDdhqr&#10;Gl/LZ6Vub+aHe2DJzukPhl99UoeCnKowoomsU7DYyRWhNGy2wAiQUkhgFZEbuRbAi5z/71D8AAAA&#10;//8DAFBLAQItABQABgAIAAAAIQC2gziS/gAAAOEBAAATAAAAAAAAAAAAAAAAAAAAAABbQ29udGVu&#10;dF9UeXBlc10ueG1sUEsBAi0AFAAGAAgAAAAhADj9If/WAAAAlAEAAAsAAAAAAAAAAAAAAAAALwEA&#10;AF9yZWxzLy5yZWxzUEsBAi0AFAAGAAgAAAAhABeJTAhnAgAARAUAAA4AAAAAAAAAAAAAAAAALgIA&#10;AGRycy9lMm9Eb2MueG1sUEsBAi0AFAAGAAgAAAAhAGkDJtLgAAAACwEAAA8AAAAAAAAAAAAAAAAA&#10;wQQAAGRycy9kb3ducmV2LnhtbFBLBQYAAAAABAAEAPMAAADOBQAAAAA=&#10;" filled="f" stroked="f" strokeweight=".5pt">
                    <v:textbox inset="36pt,36pt,36pt,36pt">
                      <w:txbxContent>
                        <w:sdt>
                          <w:sdtPr>
                            <w:rPr>
                              <w:rFonts w:asciiTheme="majorHAnsi" w:eastAsiaTheme="majorEastAsia" w:hAnsiTheme="majorHAnsi" w:cstheme="majorBidi"/>
                              <w:b/>
                              <w:bCs/>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1954439D" w14:textId="77777777" w:rsidR="00B825BB" w:rsidRPr="00A445CD" w:rsidRDefault="00B825BB">
                              <w:pPr>
                                <w:pStyle w:val="NoSpacing"/>
                                <w:pBdr>
                                  <w:bottom w:val="single" w:sz="6" w:space="4" w:color="7F7F7F" w:themeColor="text1" w:themeTint="80"/>
                                </w:pBdr>
                                <w:rPr>
                                  <w:rFonts w:asciiTheme="majorHAnsi" w:eastAsiaTheme="majorEastAsia" w:hAnsiTheme="majorHAnsi" w:cstheme="majorBidi"/>
                                  <w:b/>
                                  <w:bCs/>
                                  <w:color w:val="595959" w:themeColor="text1" w:themeTint="A6"/>
                                  <w:sz w:val="72"/>
                                  <w:szCs w:val="72"/>
                                </w:rPr>
                              </w:pPr>
                              <w:r w:rsidRPr="00A445CD">
                                <w:rPr>
                                  <w:rFonts w:asciiTheme="majorHAnsi" w:eastAsiaTheme="majorEastAsia" w:hAnsiTheme="majorHAnsi" w:cstheme="majorBidi"/>
                                  <w:b/>
                                  <w:bCs/>
                                  <w:color w:val="595959" w:themeColor="text1" w:themeTint="A6"/>
                                  <w:sz w:val="72"/>
                                  <w:szCs w:val="72"/>
                                </w:rPr>
                                <w:t>Ibuprofen Dosing in Obese Children</w:t>
                              </w:r>
                              <w:r>
                                <w:rPr>
                                  <w:rFonts w:asciiTheme="majorHAnsi" w:eastAsiaTheme="majorEastAsia" w:hAnsiTheme="majorHAnsi" w:cstheme="majorBidi"/>
                                  <w:b/>
                                  <w:bCs/>
                                  <w:color w:val="595959" w:themeColor="text1" w:themeTint="A6"/>
                                  <w:sz w:val="72"/>
                                  <w:szCs w:val="72"/>
                                </w:rPr>
                                <w:t>:</w:t>
                              </w:r>
                              <w:r w:rsidRPr="00A445CD">
                                <w:rPr>
                                  <w:rFonts w:asciiTheme="majorHAnsi" w:eastAsiaTheme="majorEastAsia" w:hAnsiTheme="majorHAnsi" w:cstheme="majorBidi"/>
                                  <w:b/>
                                  <w:bCs/>
                                  <w:color w:val="595959" w:themeColor="text1" w:themeTint="A6"/>
                                  <w:sz w:val="72"/>
                                  <w:szCs w:val="72"/>
                                </w:rPr>
                                <w:t xml:space="preserve"> A Systematic Review</w:t>
                              </w:r>
                            </w:p>
                          </w:sdtContent>
                        </w:sdt>
                        <w:p w14:paraId="50B297F4" w14:textId="77777777" w:rsidR="00B825BB" w:rsidRDefault="00B825BB" w:rsidP="008A4746"/>
                        <w:p w14:paraId="19F45CAD" w14:textId="77777777" w:rsidR="00B825BB" w:rsidRDefault="00B825BB" w:rsidP="00066AD1">
                          <w:pPr>
                            <w:pStyle w:val="Heading1"/>
                          </w:pPr>
                          <w:r>
                            <w:t>AUTHOR LISTING</w:t>
                          </w:r>
                        </w:p>
                        <w:p w14:paraId="2EF0386C" w14:textId="7F7E6D89" w:rsidR="00B825BB" w:rsidRDefault="00B825BB" w:rsidP="006930A2">
                          <w:r>
                            <w:t xml:space="preserve">Eman </w:t>
                          </w:r>
                          <w:r w:rsidR="00FA5E2A">
                            <w:t>Shamsaee</w:t>
                          </w:r>
                          <w:r>
                            <w:rPr>
                              <w:vertAlign w:val="superscript"/>
                            </w:rPr>
                            <w:t>1</w:t>
                          </w:r>
                          <w:r>
                            <w:t>, Alaw Huws</w:t>
                          </w:r>
                          <w:r>
                            <w:rPr>
                              <w:vertAlign w:val="superscript"/>
                            </w:rPr>
                            <w:t>1</w:t>
                          </w:r>
                          <w:r>
                            <w:t>, Andrea Gill</w:t>
                          </w:r>
                          <w:r>
                            <w:rPr>
                              <w:vertAlign w:val="superscript"/>
                            </w:rPr>
                            <w:t>2,3</w:t>
                          </w:r>
                          <w:r>
                            <w:t xml:space="preserve">, </w:t>
                          </w:r>
                          <w:r w:rsidR="009B172B">
                            <w:t xml:space="preserve">Stephen </w:t>
                          </w:r>
                          <w:r w:rsidR="00AF74DC">
                            <w:t>McW</w:t>
                          </w:r>
                          <w:r w:rsidR="009B172B">
                            <w:t>illiam</w:t>
                          </w:r>
                          <w:r w:rsidR="009B172B">
                            <w:rPr>
                              <w:vertAlign w:val="superscript"/>
                            </w:rPr>
                            <w:t>4,5</w:t>
                          </w:r>
                          <w:r w:rsidR="009B172B">
                            <w:t xml:space="preserve"> </w:t>
                          </w:r>
                          <w:r>
                            <w:t>and Daniel B. Hawcutt</w:t>
                          </w:r>
                          <w:r w:rsidR="00703CD7">
                            <w:rPr>
                              <w:vertAlign w:val="superscript"/>
                            </w:rPr>
                            <w:t>3,4</w:t>
                          </w:r>
                          <w:r>
                            <w:rPr>
                              <w:vertAlign w:val="superscript"/>
                            </w:rPr>
                            <w:t>,5</w:t>
                          </w:r>
                          <w:r>
                            <w:t xml:space="preserve"> </w:t>
                          </w:r>
                        </w:p>
                        <w:p w14:paraId="2033C321" w14:textId="0FF11646" w:rsidR="00B825BB" w:rsidRDefault="00B825BB" w:rsidP="006930A2">
                          <w:r>
                            <w:t>AFFILIATIONS</w:t>
                          </w:r>
                        </w:p>
                        <w:p w14:paraId="7CD18B85" w14:textId="77777777" w:rsidR="00B825BB" w:rsidRDefault="00B825BB" w:rsidP="008B2365">
                          <w:r>
                            <w:t>1: University of Liverpool Medical School, Liverpool, UK</w:t>
                          </w:r>
                        </w:p>
                        <w:p w14:paraId="6AF83A03" w14:textId="738907F3" w:rsidR="00B825BB" w:rsidRDefault="00B825BB" w:rsidP="008B2365">
                          <w:r>
                            <w:t>2: Pharmacy Department, Alder Hey Children’s Hospital, Liverpool, UK</w:t>
                          </w:r>
                        </w:p>
                        <w:p w14:paraId="6B02DC74" w14:textId="6F0D9EBC" w:rsidR="00B825BB" w:rsidRDefault="00B825BB" w:rsidP="008B2365">
                          <w:r>
                            <w:t>3: Paediatric Medicines Research Unit, Alder Hey Children’s Hospital, Liverpool, UK</w:t>
                          </w:r>
                        </w:p>
                        <w:p w14:paraId="44454568" w14:textId="670E1B35" w:rsidR="00B825BB" w:rsidRDefault="00B825BB" w:rsidP="008B2365">
                          <w:r>
                            <w:t xml:space="preserve">4: </w:t>
                          </w:r>
                          <w:r w:rsidRPr="00CD07E3">
                            <w:t>NIHR Alder Hey Clinical Research Facility, University of Liverpool,</w:t>
                          </w:r>
                          <w:r>
                            <w:t xml:space="preserve"> Liverpool, UK</w:t>
                          </w:r>
                        </w:p>
                        <w:p w14:paraId="30847A8D" w14:textId="028B67D5" w:rsidR="00B825BB" w:rsidRDefault="00B825BB" w:rsidP="008B2365">
                          <w:r>
                            <w:t>5: Department of Women’s and Children’s Health, University of Liverpool, Liverpool, UK</w:t>
                          </w:r>
                        </w:p>
                        <w:p w14:paraId="061C37FA" w14:textId="77777777" w:rsidR="00BC239A" w:rsidRDefault="00BC239A" w:rsidP="00066AD1">
                          <w:pPr>
                            <w:pStyle w:val="Heading1"/>
                          </w:pPr>
                        </w:p>
                        <w:p w14:paraId="655E4FE8" w14:textId="1684F79E" w:rsidR="00B825BB" w:rsidRDefault="00B825BB" w:rsidP="00066AD1">
                          <w:pPr>
                            <w:pStyle w:val="Heading1"/>
                          </w:pPr>
                          <w:r>
                            <w:t>CORRESPONDING AUTHOR</w:t>
                          </w:r>
                        </w:p>
                        <w:p w14:paraId="6E2C6B91" w14:textId="18A8AB0A" w:rsidR="00B825BB" w:rsidRDefault="00B825BB" w:rsidP="00066AD1">
                          <w:r w:rsidRPr="00066AD1">
                            <w:t xml:space="preserve">Daniel </w:t>
                          </w:r>
                          <w:r>
                            <w:t xml:space="preserve">B. </w:t>
                          </w:r>
                          <w:r w:rsidRPr="00066AD1">
                            <w:t xml:space="preserve">Hawcutt, University of Liverpool, Alder Hey Children’s Hospital, Eaton Road, Liverpool, L12 2AP. </w:t>
                          </w:r>
                          <w:r w:rsidRPr="00A9163D">
                            <w:rPr>
                              <w:i/>
                              <w:iCs/>
                              <w:color w:val="729928" w:themeColor="accent1" w:themeShade="BF"/>
                            </w:rPr>
                            <w:t>Email:</w:t>
                          </w:r>
                          <w:r w:rsidRPr="00A9163D">
                            <w:rPr>
                              <w:color w:val="729928" w:themeColor="accent1" w:themeShade="BF"/>
                            </w:rPr>
                            <w:t xml:space="preserve"> </w:t>
                          </w:r>
                          <w:r>
                            <w:t>d</w:t>
                          </w:r>
                          <w:r w:rsidRPr="00066AD1">
                            <w:t xml:space="preserve">hawcutt@liverpool.ac.uk   </w:t>
                          </w:r>
                          <w:r w:rsidRPr="00A9163D">
                            <w:rPr>
                              <w:i/>
                              <w:iCs/>
                              <w:color w:val="729928" w:themeColor="accent1" w:themeShade="BF"/>
                            </w:rPr>
                            <w:t>Tel:</w:t>
                          </w:r>
                          <w:r w:rsidRPr="00A9163D">
                            <w:rPr>
                              <w:color w:val="729928" w:themeColor="accent1" w:themeShade="BF"/>
                            </w:rPr>
                            <w:t xml:space="preserve"> </w:t>
                          </w:r>
                          <w:r w:rsidRPr="00066AD1">
                            <w:t>0044 1512284811</w:t>
                          </w:r>
                        </w:p>
                        <w:p w14:paraId="19B64BF8" w14:textId="77777777" w:rsidR="00BC239A" w:rsidRPr="001741E4" w:rsidRDefault="00BC239A" w:rsidP="00066AD1">
                          <w:pPr>
                            <w:rPr>
                              <w:b/>
                              <w:bCs/>
                            </w:rPr>
                          </w:pPr>
                        </w:p>
                        <w:p w14:paraId="39279648" w14:textId="374D4C90" w:rsidR="00B825BB" w:rsidRPr="001741E4" w:rsidRDefault="001741E4" w:rsidP="001741E4">
                          <w:pPr>
                            <w:pStyle w:val="Heading4"/>
                            <w:rPr>
                              <w:b/>
                              <w:bCs/>
                              <w:i w:val="0"/>
                              <w:iCs w:val="0"/>
                            </w:rPr>
                          </w:pPr>
                          <w:r w:rsidRPr="001741E4">
                            <w:rPr>
                              <w:b/>
                              <w:bCs/>
                              <w:i w:val="0"/>
                              <w:iCs w:val="0"/>
                            </w:rPr>
                            <w:t>Word count:</w:t>
                          </w:r>
                          <w:r w:rsidR="00CC15A7" w:rsidRPr="001741E4">
                            <w:rPr>
                              <w:b/>
                              <w:bCs/>
                              <w:i w:val="0"/>
                              <w:iCs w:val="0"/>
                            </w:rPr>
                            <w:t xml:space="preserve"> </w:t>
                          </w:r>
                          <w:r w:rsidR="009B172B" w:rsidRPr="00FD3951">
                            <w:rPr>
                              <w:b/>
                              <w:bCs/>
                              <w:i w:val="0"/>
                              <w:iCs w:val="0"/>
                              <w:color w:val="auto"/>
                            </w:rPr>
                            <w:t>2114</w:t>
                          </w:r>
                        </w:p>
                        <w:p w14:paraId="37105994" w14:textId="223BED7C" w:rsidR="000B069B" w:rsidRDefault="00B825BB" w:rsidP="00CC15A7">
                          <w:r w:rsidRPr="00173821">
                            <w:rPr>
                              <w:b/>
                              <w:bCs/>
                              <w:color w:val="99CB38" w:themeColor="accent1"/>
                            </w:rPr>
                            <w:t>Tables:</w:t>
                          </w:r>
                          <w:r w:rsidRPr="00173821">
                            <w:rPr>
                              <w:color w:val="99CB38" w:themeColor="accent1"/>
                            </w:rPr>
                            <w:t xml:space="preserve"> </w:t>
                          </w:r>
                          <w:r w:rsidR="002825C8" w:rsidRPr="00FD3951">
                            <w:t>3</w:t>
                          </w:r>
                        </w:p>
                        <w:p w14:paraId="14956528" w14:textId="70128004" w:rsidR="00B825BB" w:rsidRDefault="00B825BB" w:rsidP="00047635">
                          <w:r w:rsidRPr="00173821">
                            <w:rPr>
                              <w:b/>
                              <w:bCs/>
                              <w:color w:val="99CB38" w:themeColor="accent1"/>
                            </w:rPr>
                            <w:t>Figures:</w:t>
                          </w:r>
                          <w:r w:rsidRPr="00173821">
                            <w:rPr>
                              <w:color w:val="99CB38" w:themeColor="accent1"/>
                            </w:rPr>
                            <w:t xml:space="preserve"> </w:t>
                          </w:r>
                          <w:r w:rsidR="002825C8" w:rsidRPr="00FD3951">
                            <w:t>1</w:t>
                          </w:r>
                        </w:p>
                        <w:p w14:paraId="425664F5" w14:textId="3484C752" w:rsidR="00B825BB" w:rsidRPr="00047635" w:rsidRDefault="00B825BB" w:rsidP="00047635">
                          <w:r w:rsidRPr="00173821">
                            <w:rPr>
                              <w:b/>
                              <w:bCs/>
                              <w:color w:val="99CB38" w:themeColor="accent1"/>
                            </w:rPr>
                            <w:t>Keywords:</w:t>
                          </w:r>
                          <w:r w:rsidRPr="00173821">
                            <w:rPr>
                              <w:color w:val="99CB38" w:themeColor="accent1"/>
                            </w:rPr>
                            <w:t xml:space="preserve"> </w:t>
                          </w:r>
                          <w:r>
                            <w:t>Ibuprofen; Paediatric; Dosing; Systematic Review; Obesity; Child</w:t>
                          </w:r>
                        </w:p>
                      </w:txbxContent>
                    </v:textbox>
                  </v:shape>
                </w:pict>
              </mc:Fallback>
            </mc:AlternateContent>
          </w:r>
        </w:p>
        <w:p w14:paraId="7753EC62" w14:textId="77777777" w:rsidR="009C1CA3" w:rsidRPr="00295A88" w:rsidRDefault="009C1CA3">
          <w:pPr>
            <w:rPr>
              <w:rFonts w:cstheme="minorHAnsi"/>
            </w:rPr>
          </w:pPr>
          <w:r w:rsidRPr="00295A88">
            <w:rPr>
              <w:rFonts w:cstheme="minorHAnsi"/>
            </w:rPr>
            <w:br w:type="page"/>
          </w:r>
        </w:p>
      </w:sdtContent>
    </w:sdt>
    <w:p w14:paraId="4BB61FC0" w14:textId="53EB2122" w:rsidR="00FF10A9" w:rsidRPr="00295A88" w:rsidRDefault="008A645E" w:rsidP="00ED3894">
      <w:pPr>
        <w:keepNext/>
        <w:keepLines/>
        <w:pBdr>
          <w:bottom w:val="single" w:sz="8" w:space="1" w:color="99CB38" w:themeColor="accent1"/>
        </w:pBdr>
        <w:spacing w:before="240" w:after="120" w:line="480" w:lineRule="auto"/>
        <w:outlineLvl w:val="0"/>
        <w:rPr>
          <w:rFonts w:cstheme="minorHAnsi"/>
          <w:sz w:val="24"/>
          <w:szCs w:val="24"/>
        </w:rPr>
      </w:pPr>
      <w:r w:rsidRPr="00295A88">
        <w:rPr>
          <w:rFonts w:eastAsiaTheme="majorEastAsia" w:cstheme="minorHAnsi"/>
          <w:b/>
          <w:bCs/>
          <w:color w:val="729928" w:themeColor="accent1" w:themeShade="BF"/>
          <w:sz w:val="32"/>
          <w:szCs w:val="32"/>
        </w:rPr>
        <w:lastRenderedPageBreak/>
        <w:t>ABSTRACT</w:t>
      </w:r>
    </w:p>
    <w:p w14:paraId="25C77453" w14:textId="57002F51" w:rsidR="009B172B" w:rsidRDefault="009B172B" w:rsidP="00ED3894">
      <w:pPr>
        <w:spacing w:line="480" w:lineRule="auto"/>
        <w:contextualSpacing/>
        <w:jc w:val="both"/>
        <w:rPr>
          <w:rFonts w:cstheme="minorHAnsi"/>
          <w:b/>
          <w:i/>
          <w:color w:val="99CB38" w:themeColor="accent1"/>
          <w:sz w:val="24"/>
          <w:szCs w:val="24"/>
        </w:rPr>
      </w:pPr>
      <w:r>
        <w:rPr>
          <w:rFonts w:cstheme="minorHAnsi"/>
          <w:b/>
          <w:i/>
          <w:color w:val="99CB38" w:themeColor="accent1"/>
          <w:sz w:val="24"/>
          <w:szCs w:val="24"/>
        </w:rPr>
        <w:t>Objective:</w:t>
      </w:r>
    </w:p>
    <w:p w14:paraId="4645DE02" w14:textId="0D05D141" w:rsidR="009B172B" w:rsidRPr="00295A88" w:rsidRDefault="009B172B" w:rsidP="00ED3894">
      <w:pPr>
        <w:spacing w:line="480" w:lineRule="auto"/>
        <w:contextualSpacing/>
        <w:jc w:val="both"/>
        <w:rPr>
          <w:rFonts w:cstheme="minorHAnsi"/>
          <w:b/>
          <w:i/>
          <w:color w:val="99CB38" w:themeColor="accent1"/>
          <w:sz w:val="24"/>
          <w:szCs w:val="24"/>
        </w:rPr>
      </w:pPr>
      <w:r w:rsidRPr="00295A88">
        <w:rPr>
          <w:rFonts w:cstheme="minorHAnsi"/>
          <w:sz w:val="24"/>
        </w:rPr>
        <w:t>C</w:t>
      </w:r>
      <w:r w:rsidRPr="00295A88">
        <w:rPr>
          <w:rFonts w:cstheme="minorHAnsi"/>
          <w:sz w:val="24"/>
          <w:szCs w:val="24"/>
        </w:rPr>
        <w:t>hildhood obesity can affect drug disposition and efficacy</w:t>
      </w:r>
      <w:r w:rsidR="00B46387">
        <w:rPr>
          <w:rFonts w:cstheme="minorHAnsi"/>
          <w:sz w:val="24"/>
          <w:szCs w:val="24"/>
        </w:rPr>
        <w:t xml:space="preserve"> of ibuprofen</w:t>
      </w:r>
      <w:r>
        <w:rPr>
          <w:rFonts w:cstheme="minorHAnsi"/>
          <w:sz w:val="24"/>
          <w:szCs w:val="24"/>
        </w:rPr>
        <w:t xml:space="preserve">.  </w:t>
      </w:r>
      <w:r w:rsidR="00B46387">
        <w:rPr>
          <w:rFonts w:cstheme="minorHAnsi"/>
          <w:sz w:val="24"/>
          <w:szCs w:val="24"/>
        </w:rPr>
        <w:t>The p</w:t>
      </w:r>
      <w:r w:rsidR="005F2F7D">
        <w:rPr>
          <w:rFonts w:cstheme="minorHAnsi"/>
          <w:sz w:val="24"/>
          <w:szCs w:val="24"/>
        </w:rPr>
        <w:t>rimary objective</w:t>
      </w:r>
      <w:r w:rsidR="00B46387">
        <w:rPr>
          <w:rFonts w:cstheme="minorHAnsi"/>
          <w:sz w:val="24"/>
          <w:szCs w:val="24"/>
        </w:rPr>
        <w:t xml:space="preserve"> was</w:t>
      </w:r>
      <w:r w:rsidR="005F2F7D">
        <w:rPr>
          <w:rFonts w:cstheme="minorHAnsi"/>
          <w:sz w:val="24"/>
          <w:szCs w:val="24"/>
        </w:rPr>
        <w:t xml:space="preserve"> to assess efficacy of ibuprofen in obese children.</w:t>
      </w:r>
    </w:p>
    <w:p w14:paraId="3D240C85" w14:textId="7751DAED" w:rsidR="009B172B" w:rsidRDefault="009B172B" w:rsidP="00ED3894">
      <w:pPr>
        <w:spacing w:line="480" w:lineRule="auto"/>
        <w:contextualSpacing/>
        <w:jc w:val="both"/>
        <w:rPr>
          <w:rFonts w:cstheme="minorHAnsi"/>
          <w:b/>
          <w:i/>
          <w:color w:val="99CB38" w:themeColor="accent1"/>
          <w:sz w:val="24"/>
          <w:szCs w:val="24"/>
        </w:rPr>
      </w:pPr>
      <w:r>
        <w:rPr>
          <w:rFonts w:cstheme="minorHAnsi"/>
          <w:b/>
          <w:i/>
          <w:color w:val="99CB38" w:themeColor="accent1"/>
          <w:sz w:val="24"/>
          <w:szCs w:val="24"/>
        </w:rPr>
        <w:t>Design:</w:t>
      </w:r>
    </w:p>
    <w:p w14:paraId="150E05A4" w14:textId="3AF8D7DE" w:rsidR="00B46387" w:rsidRPr="00ED3894" w:rsidRDefault="009B172B" w:rsidP="00ED3894">
      <w:pPr>
        <w:spacing w:line="480" w:lineRule="auto"/>
        <w:contextualSpacing/>
        <w:jc w:val="both"/>
        <w:rPr>
          <w:rFonts w:cstheme="minorHAnsi"/>
          <w:sz w:val="24"/>
          <w:szCs w:val="24"/>
        </w:rPr>
      </w:pPr>
      <w:r w:rsidRPr="00295A88">
        <w:rPr>
          <w:rFonts w:cstheme="minorHAnsi"/>
          <w:sz w:val="24"/>
        </w:rPr>
        <w:t>A systematic review</w:t>
      </w:r>
      <w:r w:rsidR="00B46387">
        <w:rPr>
          <w:rFonts w:cstheme="minorHAnsi"/>
          <w:sz w:val="24"/>
        </w:rPr>
        <w:t xml:space="preserve"> was registered</w:t>
      </w:r>
      <w:r w:rsidRPr="00295A88">
        <w:rPr>
          <w:rFonts w:cstheme="minorHAnsi"/>
          <w:sz w:val="24"/>
        </w:rPr>
        <w:t xml:space="preserve"> with PROSPERO (</w:t>
      </w:r>
      <w:r w:rsidRPr="00856D52">
        <w:rPr>
          <w:rFonts w:cstheme="minorHAnsi"/>
          <w:sz w:val="24"/>
          <w:szCs w:val="24"/>
        </w:rPr>
        <w:t>CRD42021213500</w:t>
      </w:r>
      <w:r w:rsidRPr="00E44B47">
        <w:rPr>
          <w:rFonts w:cstheme="minorHAnsi"/>
          <w:color w:val="333333"/>
          <w:sz w:val="24"/>
          <w:szCs w:val="24"/>
          <w:shd w:val="clear" w:color="auto" w:fill="FFFFFF"/>
        </w:rPr>
        <w:t>)</w:t>
      </w:r>
      <w:r w:rsidR="00B46387">
        <w:rPr>
          <w:rFonts w:cstheme="minorHAnsi"/>
          <w:color w:val="333333"/>
          <w:sz w:val="24"/>
          <w:szCs w:val="24"/>
          <w:shd w:val="clear" w:color="auto" w:fill="FFFFFF"/>
        </w:rPr>
        <w:t xml:space="preserve"> </w:t>
      </w:r>
      <w:r w:rsidRPr="00E44B47">
        <w:rPr>
          <w:rFonts w:cstheme="minorHAnsi"/>
          <w:color w:val="333333"/>
          <w:sz w:val="24"/>
          <w:szCs w:val="24"/>
          <w:shd w:val="clear" w:color="auto" w:fill="FFFFFF"/>
        </w:rPr>
        <w:t xml:space="preserve">and </w:t>
      </w:r>
      <w:r w:rsidRPr="00295A88">
        <w:rPr>
          <w:rFonts w:cstheme="minorHAnsi"/>
          <w:sz w:val="24"/>
        </w:rPr>
        <w:t>undertaken following PRISMA methodology.</w:t>
      </w:r>
      <w:r w:rsidRPr="009B172B">
        <w:rPr>
          <w:rFonts w:cstheme="minorHAnsi"/>
          <w:sz w:val="24"/>
        </w:rPr>
        <w:t xml:space="preserve"> </w:t>
      </w:r>
      <w:r w:rsidRPr="00295A88">
        <w:rPr>
          <w:rFonts w:cstheme="minorHAnsi"/>
          <w:sz w:val="24"/>
        </w:rPr>
        <w:t>Studies were identified from 12 databases</w:t>
      </w:r>
      <w:r w:rsidRPr="00295A88">
        <w:rPr>
          <w:rFonts w:cstheme="minorHAnsi"/>
          <w:sz w:val="24"/>
          <w:szCs w:val="24"/>
        </w:rPr>
        <w:t>. Two independent reviewers evaluated studies against the inclusion criteria and assessed for methodological quality.</w:t>
      </w:r>
    </w:p>
    <w:p w14:paraId="4C07C088" w14:textId="156FF966" w:rsidR="005F2F7D" w:rsidRPr="00ED3894" w:rsidRDefault="005F2F7D" w:rsidP="00ED3894">
      <w:pPr>
        <w:spacing w:line="480" w:lineRule="auto"/>
        <w:contextualSpacing/>
        <w:jc w:val="both"/>
        <w:rPr>
          <w:rFonts w:cstheme="minorHAnsi"/>
          <w:bCs/>
          <w:iCs/>
          <w:sz w:val="24"/>
          <w:szCs w:val="24"/>
        </w:rPr>
      </w:pPr>
      <w:r>
        <w:rPr>
          <w:rFonts w:cstheme="minorHAnsi"/>
          <w:b/>
          <w:i/>
          <w:color w:val="99CB38" w:themeColor="accent1"/>
          <w:sz w:val="24"/>
          <w:szCs w:val="24"/>
        </w:rPr>
        <w:t xml:space="preserve">Setting: </w:t>
      </w:r>
      <w:r>
        <w:rPr>
          <w:rFonts w:cstheme="minorHAnsi"/>
          <w:bCs/>
          <w:iCs/>
          <w:sz w:val="24"/>
          <w:szCs w:val="24"/>
        </w:rPr>
        <w:t>Any clinical setting</w:t>
      </w:r>
    </w:p>
    <w:p w14:paraId="21A8EEC0" w14:textId="0FD52B96" w:rsidR="005F2F7D" w:rsidRPr="00ED3894" w:rsidRDefault="005F2F7D" w:rsidP="00ED3894">
      <w:pPr>
        <w:spacing w:line="480" w:lineRule="auto"/>
        <w:contextualSpacing/>
        <w:jc w:val="both"/>
        <w:rPr>
          <w:rFonts w:cstheme="minorHAnsi"/>
          <w:bCs/>
          <w:iCs/>
          <w:sz w:val="24"/>
          <w:szCs w:val="24"/>
        </w:rPr>
      </w:pPr>
      <w:r>
        <w:rPr>
          <w:rFonts w:cstheme="minorHAnsi"/>
          <w:b/>
          <w:i/>
          <w:color w:val="99CB38" w:themeColor="accent1"/>
          <w:sz w:val="24"/>
          <w:szCs w:val="24"/>
        </w:rPr>
        <w:t xml:space="preserve">Patients: </w:t>
      </w:r>
      <w:r>
        <w:rPr>
          <w:rFonts w:cstheme="minorHAnsi"/>
          <w:bCs/>
          <w:iCs/>
          <w:sz w:val="24"/>
          <w:szCs w:val="24"/>
        </w:rPr>
        <w:t>Patients under 18 years who were overweight/obese.</w:t>
      </w:r>
    </w:p>
    <w:p w14:paraId="0C9A6AA6" w14:textId="5EE8A5DA" w:rsidR="005F2F7D" w:rsidRPr="00ED3894" w:rsidRDefault="005F2F7D" w:rsidP="00ED3894">
      <w:pPr>
        <w:spacing w:line="480" w:lineRule="auto"/>
        <w:contextualSpacing/>
        <w:jc w:val="both"/>
        <w:rPr>
          <w:rFonts w:cstheme="minorHAnsi"/>
          <w:bCs/>
          <w:iCs/>
          <w:sz w:val="24"/>
          <w:szCs w:val="24"/>
        </w:rPr>
      </w:pPr>
      <w:r>
        <w:rPr>
          <w:rFonts w:cstheme="minorHAnsi"/>
          <w:b/>
          <w:i/>
          <w:color w:val="99CB38" w:themeColor="accent1"/>
          <w:sz w:val="24"/>
          <w:szCs w:val="24"/>
        </w:rPr>
        <w:t xml:space="preserve">Interventions: </w:t>
      </w:r>
      <w:r>
        <w:rPr>
          <w:rFonts w:cstheme="minorHAnsi"/>
          <w:bCs/>
          <w:iCs/>
          <w:sz w:val="24"/>
          <w:szCs w:val="24"/>
        </w:rPr>
        <w:t>Patients taking ibuprofen for any indication, dose or regime.</w:t>
      </w:r>
    </w:p>
    <w:p w14:paraId="6072DEF2" w14:textId="30A63060" w:rsidR="00381F84" w:rsidRPr="00295A88" w:rsidRDefault="009B172B" w:rsidP="00ED3894">
      <w:pPr>
        <w:spacing w:line="480" w:lineRule="auto"/>
        <w:contextualSpacing/>
        <w:jc w:val="both"/>
        <w:rPr>
          <w:rFonts w:cstheme="minorHAnsi"/>
          <w:sz w:val="24"/>
        </w:rPr>
      </w:pPr>
      <w:r>
        <w:rPr>
          <w:rFonts w:cstheme="minorHAnsi"/>
          <w:b/>
          <w:i/>
          <w:color w:val="99CB38" w:themeColor="accent1"/>
          <w:sz w:val="24"/>
          <w:szCs w:val="24"/>
        </w:rPr>
        <w:t>Main Outcome Measures:</w:t>
      </w:r>
      <w:r w:rsidR="00B46387" w:rsidRPr="00B46387">
        <w:rPr>
          <w:rFonts w:cstheme="minorHAnsi"/>
          <w:sz w:val="24"/>
          <w:szCs w:val="24"/>
        </w:rPr>
        <w:t xml:space="preserve"> </w:t>
      </w:r>
      <w:r w:rsidR="00B46387" w:rsidRPr="00E6416E">
        <w:rPr>
          <w:rFonts w:cstheme="minorHAnsi"/>
          <w:sz w:val="24"/>
          <w:szCs w:val="24"/>
        </w:rPr>
        <w:t>The efficacy</w:t>
      </w:r>
      <w:r w:rsidR="00B46387">
        <w:rPr>
          <w:rFonts w:cstheme="minorHAnsi"/>
          <w:sz w:val="24"/>
          <w:szCs w:val="24"/>
        </w:rPr>
        <w:t xml:space="preserve"> and tolerability</w:t>
      </w:r>
      <w:r w:rsidR="00B46387" w:rsidRPr="00E6416E">
        <w:rPr>
          <w:rFonts w:cstheme="minorHAnsi"/>
          <w:sz w:val="24"/>
          <w:szCs w:val="24"/>
        </w:rPr>
        <w:t xml:space="preserve"> of ibuprofen treatment in obese children</w:t>
      </w:r>
      <w:r w:rsidR="00B46387">
        <w:rPr>
          <w:rFonts w:cstheme="minorHAnsi"/>
          <w:sz w:val="24"/>
          <w:szCs w:val="24"/>
        </w:rPr>
        <w:t xml:space="preserve"> and presence of any adverse drug reactions.</w:t>
      </w:r>
    </w:p>
    <w:p w14:paraId="1F5AB16D" w14:textId="43F58D11" w:rsidR="002C7576" w:rsidRPr="00295A88" w:rsidRDefault="001D320E" w:rsidP="00ED3894">
      <w:pPr>
        <w:spacing w:after="120" w:line="480" w:lineRule="auto"/>
        <w:contextualSpacing/>
        <w:jc w:val="both"/>
        <w:rPr>
          <w:rFonts w:cstheme="minorHAnsi"/>
          <w:sz w:val="24"/>
          <w:szCs w:val="24"/>
        </w:rPr>
      </w:pPr>
      <w:r w:rsidRPr="00295A88">
        <w:rPr>
          <w:rFonts w:cstheme="minorHAnsi"/>
          <w:b/>
          <w:i/>
          <w:color w:val="99CB38" w:themeColor="accent1"/>
          <w:sz w:val="24"/>
          <w:szCs w:val="24"/>
        </w:rPr>
        <w:t xml:space="preserve">Results: </w:t>
      </w:r>
      <w:r w:rsidR="002C7576" w:rsidRPr="00295A88">
        <w:rPr>
          <w:rFonts w:cstheme="minorHAnsi"/>
          <w:sz w:val="24"/>
          <w:szCs w:val="24"/>
        </w:rPr>
        <w:t>Searches identified 1</w:t>
      </w:r>
      <w:r w:rsidR="00C26672" w:rsidRPr="00295A88">
        <w:rPr>
          <w:rFonts w:cstheme="minorHAnsi"/>
          <w:sz w:val="24"/>
          <w:szCs w:val="24"/>
        </w:rPr>
        <w:t>305</w:t>
      </w:r>
      <w:r w:rsidR="002C7576" w:rsidRPr="00295A88">
        <w:rPr>
          <w:rFonts w:cstheme="minorHAnsi"/>
          <w:sz w:val="24"/>
          <w:szCs w:val="24"/>
        </w:rPr>
        <w:t xml:space="preserve"> studies.  </w:t>
      </w:r>
      <w:r w:rsidR="00B72DF3">
        <w:rPr>
          <w:rFonts w:cstheme="minorHAnsi"/>
          <w:sz w:val="24"/>
          <w:szCs w:val="24"/>
        </w:rPr>
        <w:t>F</w:t>
      </w:r>
      <w:r w:rsidR="009C1253" w:rsidRPr="00295A88">
        <w:rPr>
          <w:rFonts w:cstheme="minorHAnsi"/>
          <w:sz w:val="24"/>
          <w:szCs w:val="24"/>
        </w:rPr>
        <w:t>our</w:t>
      </w:r>
      <w:r w:rsidR="009C1253" w:rsidRPr="00295A88">
        <w:rPr>
          <w:rFonts w:cstheme="minorHAnsi"/>
          <w:b/>
          <w:i/>
          <w:sz w:val="24"/>
          <w:szCs w:val="24"/>
        </w:rPr>
        <w:t xml:space="preserve"> </w:t>
      </w:r>
      <w:r w:rsidR="00A53D82" w:rsidRPr="00295A88">
        <w:rPr>
          <w:rFonts w:cstheme="minorHAnsi"/>
          <w:sz w:val="24"/>
          <w:szCs w:val="24"/>
        </w:rPr>
        <w:t>studies</w:t>
      </w:r>
      <w:r w:rsidR="002C7576" w:rsidRPr="00295A88">
        <w:rPr>
          <w:rFonts w:cstheme="minorHAnsi"/>
          <w:sz w:val="24"/>
          <w:szCs w:val="24"/>
        </w:rPr>
        <w:t xml:space="preserve"> </w:t>
      </w:r>
      <w:r w:rsidR="001A0353" w:rsidRPr="00295A88">
        <w:rPr>
          <w:rFonts w:cstheme="minorHAnsi"/>
          <w:sz w:val="24"/>
          <w:szCs w:val="24"/>
        </w:rPr>
        <w:t>met inclusion criteria</w:t>
      </w:r>
      <w:r w:rsidR="002C1489" w:rsidRPr="00295A88">
        <w:rPr>
          <w:rFonts w:cstheme="minorHAnsi"/>
          <w:sz w:val="24"/>
          <w:szCs w:val="24"/>
        </w:rPr>
        <w:t xml:space="preserve">: </w:t>
      </w:r>
      <w:r w:rsidR="009C1253" w:rsidRPr="00295A88">
        <w:rPr>
          <w:rFonts w:cstheme="minorHAnsi"/>
          <w:sz w:val="24"/>
          <w:szCs w:val="24"/>
        </w:rPr>
        <w:t xml:space="preserve">three </w:t>
      </w:r>
      <w:r w:rsidRPr="00295A88">
        <w:rPr>
          <w:rFonts w:cstheme="minorHAnsi"/>
          <w:sz w:val="24"/>
          <w:szCs w:val="24"/>
        </w:rPr>
        <w:t>retrospective cohort studies</w:t>
      </w:r>
      <w:r w:rsidR="002C1489" w:rsidRPr="00295A88">
        <w:rPr>
          <w:rFonts w:cstheme="minorHAnsi"/>
          <w:sz w:val="24"/>
          <w:szCs w:val="24"/>
        </w:rPr>
        <w:t xml:space="preserve"> (</w:t>
      </w:r>
      <w:r w:rsidR="002C1489" w:rsidRPr="00295A88">
        <w:rPr>
          <w:rFonts w:cstheme="minorHAnsi"/>
          <w:i/>
          <w:iCs/>
          <w:sz w:val="24"/>
          <w:szCs w:val="24"/>
        </w:rPr>
        <w:t>n</w:t>
      </w:r>
      <w:r w:rsidR="002C1489" w:rsidRPr="00295A88">
        <w:rPr>
          <w:rFonts w:cstheme="minorHAnsi"/>
          <w:sz w:val="24"/>
          <w:szCs w:val="24"/>
        </w:rPr>
        <w:t>=583, me</w:t>
      </w:r>
      <w:r w:rsidR="00852B8B" w:rsidRPr="00295A88">
        <w:rPr>
          <w:rFonts w:cstheme="minorHAnsi"/>
          <w:sz w:val="24"/>
          <w:szCs w:val="24"/>
        </w:rPr>
        <w:t>dian</w:t>
      </w:r>
      <w:r w:rsidR="002C1489" w:rsidRPr="00295A88">
        <w:rPr>
          <w:rFonts w:cstheme="minorHAnsi"/>
          <w:sz w:val="24"/>
          <w:szCs w:val="24"/>
        </w:rPr>
        <w:t xml:space="preserve"> age:</w:t>
      </w:r>
      <w:r w:rsidR="00852B8B" w:rsidRPr="00295A88">
        <w:rPr>
          <w:rFonts w:cstheme="minorHAnsi"/>
          <w:sz w:val="24"/>
          <w:szCs w:val="24"/>
        </w:rPr>
        <w:t xml:space="preserve"> 6 years, range</w:t>
      </w:r>
      <w:r w:rsidR="00BC211D" w:rsidRPr="00295A88">
        <w:rPr>
          <w:rFonts w:cstheme="minorHAnsi"/>
          <w:sz w:val="24"/>
          <w:szCs w:val="24"/>
        </w:rPr>
        <w:t>:</w:t>
      </w:r>
      <w:r w:rsidR="002C1489" w:rsidRPr="00295A88">
        <w:rPr>
          <w:rFonts w:cstheme="minorHAnsi"/>
          <w:sz w:val="24"/>
          <w:szCs w:val="24"/>
        </w:rPr>
        <w:t xml:space="preserve"> </w:t>
      </w:r>
      <w:r w:rsidR="00E069CD" w:rsidRPr="00295A88">
        <w:rPr>
          <w:rFonts w:cstheme="minorHAnsi"/>
          <w:sz w:val="24"/>
          <w:szCs w:val="24"/>
        </w:rPr>
        <w:t>1-18</w:t>
      </w:r>
      <w:r w:rsidR="002C1489" w:rsidRPr="00295A88">
        <w:rPr>
          <w:rFonts w:cstheme="minorHAnsi"/>
          <w:sz w:val="24"/>
          <w:szCs w:val="24"/>
        </w:rPr>
        <w:t xml:space="preserve"> years</w:t>
      </w:r>
      <w:r w:rsidR="009C1253" w:rsidRPr="00295A88">
        <w:rPr>
          <w:rFonts w:cstheme="minorHAnsi"/>
          <w:sz w:val="24"/>
          <w:szCs w:val="24"/>
        </w:rPr>
        <w:t xml:space="preserve">, </w:t>
      </w:r>
      <w:r w:rsidR="002C1489" w:rsidRPr="00295A88">
        <w:rPr>
          <w:rFonts w:cstheme="minorHAnsi"/>
          <w:i/>
          <w:iCs/>
          <w:sz w:val="24"/>
          <w:szCs w:val="24"/>
        </w:rPr>
        <w:t>n</w:t>
      </w:r>
      <w:r w:rsidR="002C1489" w:rsidRPr="00295A88">
        <w:rPr>
          <w:rFonts w:cstheme="minorHAnsi"/>
          <w:sz w:val="24"/>
          <w:szCs w:val="24"/>
        </w:rPr>
        <w:t>=200, median age: 11 years, range</w:t>
      </w:r>
      <w:r w:rsidR="00BC211D" w:rsidRPr="00295A88">
        <w:rPr>
          <w:rFonts w:cstheme="minorHAnsi"/>
          <w:sz w:val="24"/>
          <w:szCs w:val="24"/>
        </w:rPr>
        <w:t>:</w:t>
      </w:r>
      <w:r w:rsidR="002C1489" w:rsidRPr="00295A88">
        <w:rPr>
          <w:rFonts w:cstheme="minorHAnsi"/>
          <w:sz w:val="24"/>
          <w:szCs w:val="24"/>
        </w:rPr>
        <w:t xml:space="preserve"> 3-18 years</w:t>
      </w:r>
      <w:r w:rsidR="009C1253" w:rsidRPr="00295A88">
        <w:rPr>
          <w:rFonts w:cstheme="minorHAnsi"/>
          <w:sz w:val="24"/>
          <w:szCs w:val="24"/>
        </w:rPr>
        <w:t xml:space="preserve">, </w:t>
      </w:r>
      <w:r w:rsidR="009C1253" w:rsidRPr="00295A88">
        <w:rPr>
          <w:rFonts w:cstheme="minorHAnsi"/>
          <w:i/>
          <w:iCs/>
          <w:sz w:val="24"/>
          <w:szCs w:val="24"/>
        </w:rPr>
        <w:t>n</w:t>
      </w:r>
      <w:r w:rsidR="009C1253" w:rsidRPr="00295A88">
        <w:rPr>
          <w:rFonts w:cstheme="minorHAnsi"/>
          <w:sz w:val="24"/>
          <w:szCs w:val="24"/>
        </w:rPr>
        <w:t xml:space="preserve">= 358 median age: </w:t>
      </w:r>
      <w:r w:rsidR="004234E1" w:rsidRPr="00295A88">
        <w:rPr>
          <w:rFonts w:cstheme="minorHAnsi"/>
          <w:sz w:val="24"/>
          <w:szCs w:val="24"/>
        </w:rPr>
        <w:t xml:space="preserve">3.1 </w:t>
      </w:r>
      <w:r w:rsidR="009C1253" w:rsidRPr="00295A88">
        <w:rPr>
          <w:rFonts w:cstheme="minorHAnsi"/>
          <w:sz w:val="24"/>
          <w:szCs w:val="24"/>
        </w:rPr>
        <w:t>years, range:</w:t>
      </w:r>
      <w:r w:rsidR="002C1489" w:rsidRPr="00295A88">
        <w:rPr>
          <w:rFonts w:cstheme="minorHAnsi"/>
          <w:sz w:val="24"/>
          <w:szCs w:val="24"/>
        </w:rPr>
        <w:t xml:space="preserve"> </w:t>
      </w:r>
      <w:r w:rsidR="009C1253" w:rsidRPr="00295A88">
        <w:rPr>
          <w:rFonts w:cstheme="minorHAnsi"/>
          <w:sz w:val="24"/>
          <w:szCs w:val="24"/>
        </w:rPr>
        <w:t xml:space="preserve">1.2–8.5 years </w:t>
      </w:r>
      <w:r w:rsidR="002C1489" w:rsidRPr="00295A88">
        <w:rPr>
          <w:rFonts w:cstheme="minorHAnsi"/>
          <w:sz w:val="24"/>
          <w:szCs w:val="24"/>
        </w:rPr>
        <w:t>respectively)</w:t>
      </w:r>
      <w:r w:rsidRPr="00295A88">
        <w:rPr>
          <w:rFonts w:cstheme="minorHAnsi"/>
          <w:sz w:val="24"/>
          <w:szCs w:val="24"/>
        </w:rPr>
        <w:t xml:space="preserve"> and </w:t>
      </w:r>
      <w:r w:rsidR="002C1489" w:rsidRPr="00295A88">
        <w:rPr>
          <w:rFonts w:cstheme="minorHAnsi"/>
          <w:sz w:val="24"/>
          <w:szCs w:val="24"/>
        </w:rPr>
        <w:t>one</w:t>
      </w:r>
      <w:r w:rsidRPr="00295A88">
        <w:rPr>
          <w:rFonts w:cstheme="minorHAnsi"/>
          <w:sz w:val="24"/>
          <w:szCs w:val="24"/>
        </w:rPr>
        <w:t xml:space="preserve"> case </w:t>
      </w:r>
      <w:r w:rsidR="002C1489" w:rsidRPr="00295A88">
        <w:rPr>
          <w:rFonts w:cstheme="minorHAnsi"/>
          <w:sz w:val="24"/>
          <w:szCs w:val="24"/>
        </w:rPr>
        <w:t xml:space="preserve">study. </w:t>
      </w:r>
      <w:r w:rsidR="002C7576" w:rsidRPr="00295A88">
        <w:rPr>
          <w:rFonts w:cstheme="minorHAnsi"/>
          <w:sz w:val="24"/>
          <w:szCs w:val="24"/>
        </w:rPr>
        <w:t xml:space="preserve">Each </w:t>
      </w:r>
      <w:r w:rsidR="00CC1C4E" w:rsidRPr="00295A88">
        <w:rPr>
          <w:rFonts w:cstheme="minorHAnsi"/>
          <w:sz w:val="24"/>
          <w:szCs w:val="24"/>
        </w:rPr>
        <w:t>stud</w:t>
      </w:r>
      <w:r w:rsidR="002C7576" w:rsidRPr="00295A88">
        <w:rPr>
          <w:rFonts w:cstheme="minorHAnsi"/>
          <w:sz w:val="24"/>
          <w:szCs w:val="24"/>
        </w:rPr>
        <w:t>y</w:t>
      </w:r>
      <w:r w:rsidR="00CC1C4E" w:rsidRPr="00295A88">
        <w:rPr>
          <w:rFonts w:cstheme="minorHAnsi"/>
          <w:sz w:val="24"/>
          <w:szCs w:val="24"/>
        </w:rPr>
        <w:t xml:space="preserve"> differ</w:t>
      </w:r>
      <w:r w:rsidR="002C7576" w:rsidRPr="00295A88">
        <w:rPr>
          <w:rFonts w:cstheme="minorHAnsi"/>
          <w:sz w:val="24"/>
          <w:szCs w:val="24"/>
        </w:rPr>
        <w:t>ed</w:t>
      </w:r>
      <w:r w:rsidR="00CC1C4E" w:rsidRPr="00295A88">
        <w:rPr>
          <w:rFonts w:cstheme="minorHAnsi"/>
          <w:sz w:val="24"/>
          <w:szCs w:val="24"/>
        </w:rPr>
        <w:t xml:space="preserve"> </w:t>
      </w:r>
      <w:r w:rsidR="002C7576" w:rsidRPr="00295A88">
        <w:rPr>
          <w:rFonts w:cstheme="minorHAnsi"/>
          <w:sz w:val="24"/>
          <w:szCs w:val="24"/>
        </w:rPr>
        <w:t xml:space="preserve">in their </w:t>
      </w:r>
      <w:r w:rsidR="00CC1C4E" w:rsidRPr="00295A88">
        <w:rPr>
          <w:rFonts w:cstheme="minorHAnsi"/>
          <w:sz w:val="24"/>
          <w:szCs w:val="24"/>
        </w:rPr>
        <w:t>method of dosing ibuprofen</w:t>
      </w:r>
      <w:r w:rsidR="00C324D4" w:rsidRPr="00295A88">
        <w:rPr>
          <w:rFonts w:cstheme="minorHAnsi"/>
          <w:sz w:val="24"/>
          <w:szCs w:val="24"/>
        </w:rPr>
        <w:t xml:space="preserve"> (weight-based, age-based and adjusted-body-weight dosing).</w:t>
      </w:r>
      <w:r w:rsidR="00C43147">
        <w:rPr>
          <w:rFonts w:cstheme="minorHAnsi"/>
          <w:sz w:val="24"/>
          <w:szCs w:val="24"/>
        </w:rPr>
        <w:t xml:space="preserve"> </w:t>
      </w:r>
      <w:r w:rsidR="004006BF">
        <w:rPr>
          <w:rFonts w:cstheme="minorHAnsi"/>
          <w:sz w:val="24"/>
          <w:szCs w:val="24"/>
        </w:rPr>
        <w:t xml:space="preserve">Various </w:t>
      </w:r>
      <w:r w:rsidR="002064DD">
        <w:rPr>
          <w:rFonts w:cstheme="minorHAnsi"/>
          <w:sz w:val="24"/>
          <w:szCs w:val="24"/>
        </w:rPr>
        <w:t>doses</w:t>
      </w:r>
      <w:r w:rsidR="004006BF">
        <w:rPr>
          <w:rFonts w:cstheme="minorHAnsi"/>
          <w:sz w:val="24"/>
          <w:szCs w:val="24"/>
        </w:rPr>
        <w:t xml:space="preserve"> were used: </w:t>
      </w:r>
      <w:r w:rsidR="00463F07">
        <w:rPr>
          <w:rFonts w:cstheme="minorHAnsi"/>
          <w:sz w:val="24"/>
          <w:szCs w:val="24"/>
        </w:rPr>
        <w:t>5 mg/kg every 6 hours, 400 mg three times daily</w:t>
      </w:r>
      <w:r w:rsidR="00062F5F">
        <w:rPr>
          <w:rFonts w:cstheme="minorHAnsi"/>
          <w:sz w:val="24"/>
          <w:szCs w:val="24"/>
        </w:rPr>
        <w:t>, 120 mg/dose</w:t>
      </w:r>
      <w:r w:rsidR="00625C88">
        <w:rPr>
          <w:rFonts w:cstheme="minorHAnsi"/>
          <w:sz w:val="24"/>
          <w:szCs w:val="24"/>
        </w:rPr>
        <w:t xml:space="preserve"> and a dose calculated using adjusted body weight.</w:t>
      </w:r>
      <w:r w:rsidR="00776D76" w:rsidRPr="00295A88">
        <w:rPr>
          <w:rFonts w:cstheme="minorHAnsi"/>
          <w:sz w:val="24"/>
          <w:szCs w:val="24"/>
        </w:rPr>
        <w:t xml:space="preserve"> </w:t>
      </w:r>
      <w:r w:rsidR="00CF76CA">
        <w:rPr>
          <w:rFonts w:cstheme="minorHAnsi"/>
          <w:sz w:val="24"/>
          <w:szCs w:val="24"/>
        </w:rPr>
        <w:t>One</w:t>
      </w:r>
      <w:r w:rsidR="00573208" w:rsidRPr="00295A88">
        <w:rPr>
          <w:rFonts w:cstheme="minorHAnsi"/>
          <w:sz w:val="24"/>
          <w:szCs w:val="24"/>
        </w:rPr>
        <w:t xml:space="preserve"> </w:t>
      </w:r>
      <w:r w:rsidR="00004363" w:rsidRPr="00295A88">
        <w:rPr>
          <w:rFonts w:cstheme="minorHAnsi"/>
          <w:sz w:val="24"/>
          <w:szCs w:val="24"/>
        </w:rPr>
        <w:t>study</w:t>
      </w:r>
      <w:r w:rsidR="00CF76CA">
        <w:rPr>
          <w:rFonts w:cstheme="minorHAnsi"/>
          <w:sz w:val="24"/>
          <w:szCs w:val="24"/>
        </w:rPr>
        <w:t xml:space="preserve"> reported efficacy</w:t>
      </w:r>
      <w:r w:rsidR="00004363" w:rsidRPr="00295A88">
        <w:rPr>
          <w:rFonts w:cstheme="minorHAnsi"/>
          <w:sz w:val="24"/>
          <w:szCs w:val="24"/>
        </w:rPr>
        <w:t xml:space="preserve"> (obese </w:t>
      </w:r>
      <w:r w:rsidR="00004363" w:rsidRPr="00295A88">
        <w:rPr>
          <w:rFonts w:cstheme="minorHAnsi"/>
          <w:i/>
          <w:iCs/>
          <w:sz w:val="24"/>
          <w:szCs w:val="24"/>
        </w:rPr>
        <w:t>n</w:t>
      </w:r>
      <w:r w:rsidR="00004363" w:rsidRPr="00295A88">
        <w:rPr>
          <w:rFonts w:cstheme="minorHAnsi"/>
          <w:sz w:val="24"/>
          <w:szCs w:val="24"/>
        </w:rPr>
        <w:t xml:space="preserve">=189, non-obese, </w:t>
      </w:r>
      <w:r w:rsidR="00004363" w:rsidRPr="00295A88">
        <w:rPr>
          <w:rFonts w:cstheme="minorHAnsi"/>
          <w:i/>
          <w:iCs/>
          <w:sz w:val="24"/>
          <w:szCs w:val="24"/>
        </w:rPr>
        <w:t>n</w:t>
      </w:r>
      <w:r w:rsidR="00004363" w:rsidRPr="00295A88">
        <w:rPr>
          <w:rFonts w:cstheme="minorHAnsi"/>
          <w:sz w:val="24"/>
          <w:szCs w:val="24"/>
        </w:rPr>
        <w:t>=394)</w:t>
      </w:r>
      <w:r w:rsidR="002C7576" w:rsidRPr="00295A88">
        <w:rPr>
          <w:rFonts w:cstheme="minorHAnsi"/>
          <w:sz w:val="24"/>
          <w:szCs w:val="24"/>
        </w:rPr>
        <w:t>, where</w:t>
      </w:r>
      <w:r w:rsidR="00004363" w:rsidRPr="00295A88">
        <w:rPr>
          <w:rFonts w:cstheme="minorHAnsi"/>
          <w:sz w:val="24"/>
          <w:szCs w:val="24"/>
        </w:rPr>
        <w:t xml:space="preserve"> adequate pain control </w:t>
      </w:r>
      <w:r w:rsidR="002C7576" w:rsidRPr="00295A88">
        <w:rPr>
          <w:rFonts w:cstheme="minorHAnsi"/>
          <w:sz w:val="24"/>
          <w:szCs w:val="24"/>
        </w:rPr>
        <w:t xml:space="preserve">was </w:t>
      </w:r>
      <w:r w:rsidR="00004363" w:rsidRPr="00295A88">
        <w:rPr>
          <w:rFonts w:cstheme="minorHAnsi"/>
          <w:sz w:val="24"/>
          <w:szCs w:val="24"/>
        </w:rPr>
        <w:t xml:space="preserve">achieved </w:t>
      </w:r>
      <w:r w:rsidR="002C7576" w:rsidRPr="00295A88">
        <w:rPr>
          <w:rFonts w:cstheme="minorHAnsi"/>
          <w:sz w:val="24"/>
          <w:szCs w:val="24"/>
        </w:rPr>
        <w:t>using 5mg/kg</w:t>
      </w:r>
      <w:r w:rsidR="00B72DF3">
        <w:rPr>
          <w:rFonts w:cstheme="minorHAnsi"/>
          <w:sz w:val="24"/>
          <w:szCs w:val="24"/>
        </w:rPr>
        <w:t>.</w:t>
      </w:r>
      <w:r w:rsidR="002C7576" w:rsidRPr="00295A88">
        <w:rPr>
          <w:rFonts w:cstheme="minorHAnsi"/>
          <w:sz w:val="24"/>
          <w:szCs w:val="24"/>
        </w:rPr>
        <w:t xml:space="preserve"> The other </w:t>
      </w:r>
      <w:r w:rsidR="004234E1" w:rsidRPr="00295A88">
        <w:rPr>
          <w:rFonts w:cstheme="minorHAnsi"/>
          <w:sz w:val="24"/>
          <w:szCs w:val="24"/>
        </w:rPr>
        <w:t xml:space="preserve">three </w:t>
      </w:r>
      <w:r w:rsidR="002C7576" w:rsidRPr="00295A88">
        <w:rPr>
          <w:rFonts w:cstheme="minorHAnsi"/>
          <w:sz w:val="24"/>
          <w:szCs w:val="24"/>
        </w:rPr>
        <w:t>studies did not determine if efficacy differed between obese</w:t>
      </w:r>
      <w:r w:rsidR="000D3428" w:rsidRPr="00295A88">
        <w:rPr>
          <w:rFonts w:cstheme="minorHAnsi"/>
          <w:sz w:val="24"/>
          <w:szCs w:val="24"/>
        </w:rPr>
        <w:t xml:space="preserve"> or </w:t>
      </w:r>
      <w:r w:rsidR="002C7576" w:rsidRPr="00295A88">
        <w:rPr>
          <w:rFonts w:cstheme="minorHAnsi"/>
          <w:sz w:val="24"/>
          <w:szCs w:val="24"/>
        </w:rPr>
        <w:t>non</w:t>
      </w:r>
      <w:r w:rsidR="000D3428" w:rsidRPr="00295A88">
        <w:rPr>
          <w:rFonts w:cstheme="minorHAnsi"/>
          <w:sz w:val="24"/>
          <w:szCs w:val="24"/>
        </w:rPr>
        <w:t>-</w:t>
      </w:r>
      <w:r w:rsidR="002C7576" w:rsidRPr="00295A88">
        <w:rPr>
          <w:rFonts w:cstheme="minorHAnsi"/>
          <w:sz w:val="24"/>
          <w:szCs w:val="24"/>
        </w:rPr>
        <w:t>obese children.</w:t>
      </w:r>
    </w:p>
    <w:p w14:paraId="710F2D27" w14:textId="018F19CF" w:rsidR="00381F84" w:rsidRPr="00295A88" w:rsidRDefault="00CF76CA" w:rsidP="00ED3894">
      <w:pPr>
        <w:spacing w:after="120" w:line="480" w:lineRule="auto"/>
        <w:ind w:firstLine="720"/>
        <w:contextualSpacing/>
        <w:jc w:val="both"/>
        <w:rPr>
          <w:rFonts w:cstheme="minorHAnsi"/>
          <w:sz w:val="24"/>
          <w:szCs w:val="24"/>
        </w:rPr>
      </w:pPr>
      <w:r w:rsidRPr="00ED3894">
        <w:rPr>
          <w:rFonts w:cstheme="minorHAnsi"/>
          <w:sz w:val="24"/>
          <w:szCs w:val="24"/>
        </w:rPr>
        <w:lastRenderedPageBreak/>
        <w:t>O</w:t>
      </w:r>
      <w:r w:rsidR="00C04780" w:rsidRPr="00ED3894">
        <w:rPr>
          <w:rFonts w:cstheme="minorHAnsi"/>
          <w:sz w:val="24"/>
          <w:szCs w:val="24"/>
        </w:rPr>
        <w:t xml:space="preserve">ne </w:t>
      </w:r>
      <w:r w:rsidR="002C7576" w:rsidRPr="00ED3894">
        <w:rPr>
          <w:rFonts w:cstheme="minorHAnsi"/>
          <w:sz w:val="24"/>
          <w:szCs w:val="24"/>
        </w:rPr>
        <w:t>study</w:t>
      </w:r>
      <w:r w:rsidRPr="00ED3894">
        <w:rPr>
          <w:rFonts w:cstheme="minorHAnsi"/>
          <w:sz w:val="24"/>
          <w:szCs w:val="24"/>
        </w:rPr>
        <w:t xml:space="preserve"> described adverse effects</w:t>
      </w:r>
      <w:r w:rsidR="00B72DF3" w:rsidRPr="00ED3894">
        <w:rPr>
          <w:rFonts w:cstheme="minorHAnsi"/>
          <w:sz w:val="24"/>
          <w:szCs w:val="24"/>
        </w:rPr>
        <w:t>.  A</w:t>
      </w:r>
      <w:r w:rsidR="002C7576" w:rsidRPr="00ED3894">
        <w:rPr>
          <w:rFonts w:cstheme="minorHAnsi"/>
          <w:sz w:val="24"/>
          <w:szCs w:val="24"/>
        </w:rPr>
        <w:t xml:space="preserve">n increased risk of bleeding </w:t>
      </w:r>
      <w:r w:rsidR="00F875B0">
        <w:rPr>
          <w:rFonts w:cstheme="minorHAnsi"/>
          <w:sz w:val="24"/>
          <w:szCs w:val="24"/>
        </w:rPr>
        <w:t xml:space="preserve">with ibuprofen </w:t>
      </w:r>
      <w:r w:rsidR="002C7576" w:rsidRPr="00ED3894">
        <w:rPr>
          <w:rFonts w:cstheme="minorHAnsi"/>
          <w:sz w:val="24"/>
          <w:szCs w:val="24"/>
        </w:rPr>
        <w:t>was noted</w:t>
      </w:r>
      <w:r w:rsidR="00F875B0">
        <w:rPr>
          <w:rFonts w:cstheme="minorHAnsi"/>
          <w:sz w:val="24"/>
          <w:szCs w:val="24"/>
        </w:rPr>
        <w:t xml:space="preserve">, but </w:t>
      </w:r>
      <w:r w:rsidR="00892632" w:rsidRPr="00ED3894">
        <w:rPr>
          <w:rFonts w:cstheme="minorHAnsi"/>
          <w:sz w:val="24"/>
          <w:szCs w:val="24"/>
        </w:rPr>
        <w:t>did not differentiate between obese and non-obese children.</w:t>
      </w:r>
    </w:p>
    <w:p w14:paraId="51AE3D8C" w14:textId="18989508" w:rsidR="002C1F1E" w:rsidRPr="00295A88" w:rsidRDefault="006420F1" w:rsidP="00ED3894">
      <w:pPr>
        <w:spacing w:after="0" w:line="480" w:lineRule="auto"/>
        <w:contextualSpacing/>
        <w:jc w:val="both"/>
        <w:rPr>
          <w:rFonts w:cstheme="minorHAnsi"/>
          <w:sz w:val="24"/>
          <w:szCs w:val="24"/>
        </w:rPr>
      </w:pPr>
      <w:r w:rsidRPr="00295A88">
        <w:rPr>
          <w:rFonts w:cstheme="minorHAnsi"/>
          <w:b/>
          <w:i/>
          <w:color w:val="99CB38" w:themeColor="accent1"/>
          <w:sz w:val="24"/>
          <w:szCs w:val="24"/>
        </w:rPr>
        <w:t xml:space="preserve">Conclusion: </w:t>
      </w:r>
    </w:p>
    <w:p w14:paraId="17BA1419" w14:textId="4BEED313" w:rsidR="002C1F1E" w:rsidRDefault="005B5E28" w:rsidP="0081439D">
      <w:pPr>
        <w:spacing w:after="0" w:line="480" w:lineRule="auto"/>
        <w:contextualSpacing/>
        <w:jc w:val="both"/>
        <w:rPr>
          <w:rFonts w:cstheme="minorHAnsi"/>
          <w:sz w:val="24"/>
          <w:szCs w:val="24"/>
        </w:rPr>
      </w:pPr>
      <w:r w:rsidRPr="00295A88">
        <w:rPr>
          <w:rFonts w:cstheme="minorHAnsi"/>
          <w:noProof/>
          <w:sz w:val="24"/>
          <w:szCs w:val="24"/>
        </w:rPr>
        <mc:AlternateContent>
          <mc:Choice Requires="wps">
            <w:drawing>
              <wp:anchor distT="0" distB="0" distL="114300" distR="114300" simplePos="0" relativeHeight="251702784" behindDoc="0" locked="0" layoutInCell="1" allowOverlap="1" wp14:anchorId="54AAB18A" wp14:editId="2AD086B2">
                <wp:simplePos x="0" y="0"/>
                <wp:positionH relativeFrom="margin">
                  <wp:posOffset>28575</wp:posOffset>
                </wp:positionH>
                <wp:positionV relativeFrom="paragraph">
                  <wp:posOffset>3845560</wp:posOffset>
                </wp:positionV>
                <wp:extent cx="5887720" cy="2390775"/>
                <wp:effectExtent l="38100" t="38100" r="113030" b="123825"/>
                <wp:wrapTopAndBottom/>
                <wp:docPr id="6" name="Text Box 6"/>
                <wp:cNvGraphicFramePr/>
                <a:graphic xmlns:a="http://schemas.openxmlformats.org/drawingml/2006/main">
                  <a:graphicData uri="http://schemas.microsoft.com/office/word/2010/wordprocessingShape">
                    <wps:wsp>
                      <wps:cNvSpPr txBox="1"/>
                      <wps:spPr>
                        <a:xfrm>
                          <a:off x="0" y="0"/>
                          <a:ext cx="5887720" cy="2390775"/>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5581EF58" w14:textId="77777777" w:rsidR="001438EB" w:rsidRPr="006043DC" w:rsidRDefault="001438EB" w:rsidP="006B4817">
                            <w:pPr>
                              <w:keepNext/>
                              <w:keepLines/>
                              <w:pBdr>
                                <w:bottom w:val="single" w:sz="8" w:space="1" w:color="99CB38" w:themeColor="accent1"/>
                              </w:pBdr>
                              <w:spacing w:before="240" w:after="0" w:line="360" w:lineRule="auto"/>
                              <w:outlineLvl w:val="0"/>
                              <w:rPr>
                                <w:rFonts w:asciiTheme="majorHAnsi" w:eastAsiaTheme="majorEastAsia" w:hAnsiTheme="majorHAnsi" w:cstheme="majorBidi"/>
                                <w:color w:val="729928" w:themeColor="accent1" w:themeShade="BF"/>
                                <w:sz w:val="32"/>
                                <w:szCs w:val="32"/>
                              </w:rPr>
                            </w:pPr>
                            <w:r w:rsidRPr="006043DC">
                              <w:rPr>
                                <w:rFonts w:asciiTheme="majorHAnsi" w:eastAsiaTheme="majorEastAsia" w:hAnsiTheme="majorHAnsi" w:cstheme="majorBidi"/>
                                <w:color w:val="729928" w:themeColor="accent1" w:themeShade="BF"/>
                                <w:sz w:val="32"/>
                                <w:szCs w:val="32"/>
                              </w:rPr>
                              <w:t>WHAT THIS STUDY ADDS</w:t>
                            </w:r>
                          </w:p>
                          <w:p w14:paraId="74C7D8C2" w14:textId="0ABCAA42" w:rsidR="001438EB" w:rsidRDefault="001438EB" w:rsidP="006B4817">
                            <w:pPr>
                              <w:numPr>
                                <w:ilvl w:val="0"/>
                                <w:numId w:val="11"/>
                              </w:numPr>
                              <w:spacing w:line="360" w:lineRule="auto"/>
                              <w:ind w:right="33"/>
                              <w:contextualSpacing/>
                              <w:rPr>
                                <w:sz w:val="24"/>
                                <w:szCs w:val="24"/>
                              </w:rPr>
                            </w:pPr>
                            <w:r>
                              <w:rPr>
                                <w:sz w:val="24"/>
                                <w:szCs w:val="24"/>
                              </w:rPr>
                              <w:t>Ibuprofen had similar effectiveness for pain in children who were obese or non-obese</w:t>
                            </w:r>
                            <w:r w:rsidR="00FA26E2">
                              <w:rPr>
                                <w:sz w:val="24"/>
                                <w:szCs w:val="24"/>
                              </w:rPr>
                              <w:t xml:space="preserve"> but </w:t>
                            </w:r>
                            <w:r w:rsidR="00662FE0">
                              <w:rPr>
                                <w:sz w:val="24"/>
                                <w:szCs w:val="24"/>
                              </w:rPr>
                              <w:t>these data were from only two publications, with limited numbers of patients, using different dosing strategies</w:t>
                            </w:r>
                          </w:p>
                          <w:p w14:paraId="7BF124A1" w14:textId="38978568" w:rsidR="00203EC7" w:rsidRDefault="00203EC7" w:rsidP="006B4817">
                            <w:pPr>
                              <w:numPr>
                                <w:ilvl w:val="0"/>
                                <w:numId w:val="11"/>
                              </w:numPr>
                              <w:spacing w:line="360" w:lineRule="auto"/>
                              <w:ind w:right="33"/>
                              <w:contextualSpacing/>
                              <w:rPr>
                                <w:sz w:val="24"/>
                                <w:szCs w:val="24"/>
                              </w:rPr>
                            </w:pPr>
                            <w:r>
                              <w:rPr>
                                <w:sz w:val="24"/>
                                <w:szCs w:val="24"/>
                              </w:rPr>
                              <w:t>Beyond efficacy, t</w:t>
                            </w:r>
                            <w:r w:rsidR="001438EB">
                              <w:rPr>
                                <w:sz w:val="24"/>
                                <w:szCs w:val="24"/>
                              </w:rPr>
                              <w:t xml:space="preserve">here is insufficient published information on </w:t>
                            </w:r>
                            <w:r>
                              <w:rPr>
                                <w:sz w:val="24"/>
                                <w:szCs w:val="24"/>
                              </w:rPr>
                              <w:t>the</w:t>
                            </w:r>
                            <w:r w:rsidR="001438EB">
                              <w:rPr>
                                <w:sz w:val="24"/>
                                <w:szCs w:val="24"/>
                              </w:rPr>
                              <w:t xml:space="preserve"> tolerability and safety of ibuprofen in obese children and young people</w:t>
                            </w:r>
                            <w:r>
                              <w:rPr>
                                <w:sz w:val="24"/>
                                <w:szCs w:val="24"/>
                              </w:rPr>
                              <w:t>.</w:t>
                            </w:r>
                          </w:p>
                          <w:p w14:paraId="31D389DB" w14:textId="4084520B" w:rsidR="001438EB" w:rsidRPr="005D2810" w:rsidRDefault="00203EC7" w:rsidP="006B4817">
                            <w:pPr>
                              <w:numPr>
                                <w:ilvl w:val="0"/>
                                <w:numId w:val="11"/>
                              </w:numPr>
                              <w:spacing w:line="360" w:lineRule="auto"/>
                              <w:ind w:right="33"/>
                              <w:contextualSpacing/>
                              <w:rPr>
                                <w:sz w:val="24"/>
                                <w:szCs w:val="24"/>
                              </w:rPr>
                            </w:pPr>
                            <w:r>
                              <w:rPr>
                                <w:sz w:val="24"/>
                                <w:szCs w:val="24"/>
                              </w:rPr>
                              <w:t>The optimal dosing regimen of ibuprofen for an obese child is not clear.</w:t>
                            </w:r>
                          </w:p>
                          <w:p w14:paraId="1B5C684F" w14:textId="77777777" w:rsidR="001438EB" w:rsidRDefault="001438EB" w:rsidP="006B48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AB18A" id="Text Box 6" o:spid="_x0000_s1027" type="#_x0000_t202" style="position:absolute;left:0;text-align:left;margin-left:2.25pt;margin-top:302.8pt;width:463.6pt;height:188.25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4OOtAIAAMMFAAAOAAAAZHJzL2Uyb0RvYy54bWysVFtP2zAUfp+0/2D5fSQtZS0VKepATJMQ&#10;IMrUZ9exGwvH9uzTJt2v59hp04qhPUzLg3Psc//O5eq6rTXZCh+UNQUdnOWUCMNtqcy6oD9f7r5M&#10;KAnATMm0NaKgOxHo9ezzp6vGTcXQVlaXwhM0YsK0cQWtANw0ywKvRM3CmXXCIFNaXzPAq19npWcN&#10;Wq91Nszzr1ljfem85SIEfL3tmHSW7EspODxKGQQQXVCMDdLp07mKZza7YtO1Z65SfB8G+4coaqYM&#10;Ou1N3TJgZOPVH6Zqxb0NVsIZt3VmpVRcpBwwm0H+LptFxZxIuSA4wfUwhf9nlj9sF+7JE2i/2RYL&#10;GAFpXJgGfIz5tNLX8Y+REuQjhLseNtEC4fh4MZmMx0NkceQNzy/z8fgi2smO6s4H+C5sTSJRUI91&#10;SXCx7X2ATvQgEr1pk+oiUgFRIkWwAeEXVdmQld74Z1ai43ySo9tSRZvnk0F3weoOx3n8KGF6jW0J&#10;mhJvYamgSpDGDKLJ6PJGe7Jl2B0rzfhrF5R2FeseR8nMMUCUTnnZQzDpdhJndgQvUbDTosvoWUii&#10;SoRrmJykDhe9d8a5MJDgR9i0QemoJpXWveLgI0XdK+1lo1oXUK/YZftXj71G8moN9Mq1MtZ/5Ll8&#10;PYQrO3nE4iTnSEK7ajHpk75a2XKH7YbVSM0UHL9TWIV7FuCJeRw9LBquE3jEQ2rbFNTuKUoq639/&#10;9B7lcSKQS0mDo1zQ8GvDvKBE/zA4K5eD0QjNQrqMLlKr+lPO6pRjNvWNxX4Y4OJyPJGo7EEfSOlt&#10;vcStM49eY48Zjr6xyw7kDXQLBrcWF/N5EsJpdwzuzcLxaDqiHLvvpV0y7/ZTAThQD/Yw9Gz6bjg6&#10;2ahp7HwDVqo0ORHnDtU9/rgpUlfut1pcRaf3JHXcvbM3AAAA//8DAFBLAwQUAAYACAAAACEAnZTH&#10;VeEAAAAJAQAADwAAAGRycy9kb3ducmV2LnhtbEyPQUvDQBCF74L/YRnBm90k2lhjNkUEUQQF21Ls&#10;bZuMSXB3Ns1u0vTfO5709ob3eO+bfDlZI0bsfetIQTyLQCCVrmqpVrBZP10tQPigqdLGESo4oYdl&#10;cX6W66xyR/rAcRVqwSXkM62gCaHLpPRlg1b7meuQ2PtyvdWBz76WVa+PXG6NTKIolVa3xAuN7vCx&#10;wfJ7NVgFby/l6zgcDrsTbrvk/XlwO7P9VOryYnq4BxFwCn9h+MVndCiYae8GqrwwCm7mHFSQRvMU&#10;BPt31/EtiD2LRRKDLHL5/4PiBwAA//8DAFBLAQItABQABgAIAAAAIQC2gziS/gAAAOEBAAATAAAA&#10;AAAAAAAAAAAAAAAAAABbQ29udGVudF9UeXBlc10ueG1sUEsBAi0AFAAGAAgAAAAhADj9If/WAAAA&#10;lAEAAAsAAAAAAAAAAAAAAAAALwEAAF9yZWxzLy5yZWxzUEsBAi0AFAAGAAgAAAAhAJCXg460AgAA&#10;wwUAAA4AAAAAAAAAAAAAAAAALgIAAGRycy9lMm9Eb2MueG1sUEsBAi0AFAAGAAgAAAAhAJ2Ux1Xh&#10;AAAACQEAAA8AAAAAAAAAAAAAAAAADgUAAGRycy9kb3ducmV2LnhtbFBLBQYAAAAABAAEAPMAAAAc&#10;BgAAAAA=&#10;" fillcolor="white [3201]" strokecolor="#99cb38 [3204]" strokeweight="1pt">
                <v:shadow on="t" color="black" opacity="26214f" origin="-.5,-.5" offset=".74836mm,.74836mm"/>
                <v:textbox>
                  <w:txbxContent>
                    <w:p w14:paraId="5581EF58" w14:textId="77777777" w:rsidR="001438EB" w:rsidRPr="006043DC" w:rsidRDefault="001438EB" w:rsidP="006B4817">
                      <w:pPr>
                        <w:keepNext/>
                        <w:keepLines/>
                        <w:pBdr>
                          <w:bottom w:val="single" w:sz="8" w:space="1" w:color="99CB38" w:themeColor="accent1"/>
                        </w:pBdr>
                        <w:spacing w:before="240" w:after="0" w:line="360" w:lineRule="auto"/>
                        <w:outlineLvl w:val="0"/>
                        <w:rPr>
                          <w:rFonts w:asciiTheme="majorHAnsi" w:eastAsiaTheme="majorEastAsia" w:hAnsiTheme="majorHAnsi" w:cstheme="majorBidi"/>
                          <w:color w:val="729928" w:themeColor="accent1" w:themeShade="BF"/>
                          <w:sz w:val="32"/>
                          <w:szCs w:val="32"/>
                        </w:rPr>
                      </w:pPr>
                      <w:r w:rsidRPr="006043DC">
                        <w:rPr>
                          <w:rFonts w:asciiTheme="majorHAnsi" w:eastAsiaTheme="majorEastAsia" w:hAnsiTheme="majorHAnsi" w:cstheme="majorBidi"/>
                          <w:color w:val="729928" w:themeColor="accent1" w:themeShade="BF"/>
                          <w:sz w:val="32"/>
                          <w:szCs w:val="32"/>
                        </w:rPr>
                        <w:t>WHAT THIS STUDY ADDS</w:t>
                      </w:r>
                    </w:p>
                    <w:p w14:paraId="74C7D8C2" w14:textId="0ABCAA42" w:rsidR="001438EB" w:rsidRDefault="001438EB" w:rsidP="006B4817">
                      <w:pPr>
                        <w:numPr>
                          <w:ilvl w:val="0"/>
                          <w:numId w:val="11"/>
                        </w:numPr>
                        <w:spacing w:line="360" w:lineRule="auto"/>
                        <w:ind w:right="33"/>
                        <w:contextualSpacing/>
                        <w:rPr>
                          <w:sz w:val="24"/>
                          <w:szCs w:val="24"/>
                        </w:rPr>
                      </w:pPr>
                      <w:r>
                        <w:rPr>
                          <w:sz w:val="24"/>
                          <w:szCs w:val="24"/>
                        </w:rPr>
                        <w:t>Ibuprofen had similar effectiveness for pain in children who were obese or non-obese</w:t>
                      </w:r>
                      <w:r w:rsidR="00FA26E2">
                        <w:rPr>
                          <w:sz w:val="24"/>
                          <w:szCs w:val="24"/>
                        </w:rPr>
                        <w:t xml:space="preserve"> but </w:t>
                      </w:r>
                      <w:r w:rsidR="00662FE0">
                        <w:rPr>
                          <w:sz w:val="24"/>
                          <w:szCs w:val="24"/>
                        </w:rPr>
                        <w:t>these data were from only two publications, with limited numbers of patients, using different dosing strategies</w:t>
                      </w:r>
                    </w:p>
                    <w:p w14:paraId="7BF124A1" w14:textId="38978568" w:rsidR="00203EC7" w:rsidRDefault="00203EC7" w:rsidP="006B4817">
                      <w:pPr>
                        <w:numPr>
                          <w:ilvl w:val="0"/>
                          <w:numId w:val="11"/>
                        </w:numPr>
                        <w:spacing w:line="360" w:lineRule="auto"/>
                        <w:ind w:right="33"/>
                        <w:contextualSpacing/>
                        <w:rPr>
                          <w:sz w:val="24"/>
                          <w:szCs w:val="24"/>
                        </w:rPr>
                      </w:pPr>
                      <w:r>
                        <w:rPr>
                          <w:sz w:val="24"/>
                          <w:szCs w:val="24"/>
                        </w:rPr>
                        <w:t>Beyond efficacy, t</w:t>
                      </w:r>
                      <w:r w:rsidR="001438EB">
                        <w:rPr>
                          <w:sz w:val="24"/>
                          <w:szCs w:val="24"/>
                        </w:rPr>
                        <w:t xml:space="preserve">here is insufficient published information on </w:t>
                      </w:r>
                      <w:r>
                        <w:rPr>
                          <w:sz w:val="24"/>
                          <w:szCs w:val="24"/>
                        </w:rPr>
                        <w:t>the</w:t>
                      </w:r>
                      <w:r w:rsidR="001438EB">
                        <w:rPr>
                          <w:sz w:val="24"/>
                          <w:szCs w:val="24"/>
                        </w:rPr>
                        <w:t xml:space="preserve"> tolerability and safety of ibuprofen in obese children and young people</w:t>
                      </w:r>
                      <w:r>
                        <w:rPr>
                          <w:sz w:val="24"/>
                          <w:szCs w:val="24"/>
                        </w:rPr>
                        <w:t>.</w:t>
                      </w:r>
                    </w:p>
                    <w:p w14:paraId="31D389DB" w14:textId="4084520B" w:rsidR="001438EB" w:rsidRPr="005D2810" w:rsidRDefault="00203EC7" w:rsidP="006B4817">
                      <w:pPr>
                        <w:numPr>
                          <w:ilvl w:val="0"/>
                          <w:numId w:val="11"/>
                        </w:numPr>
                        <w:spacing w:line="360" w:lineRule="auto"/>
                        <w:ind w:right="33"/>
                        <w:contextualSpacing/>
                        <w:rPr>
                          <w:sz w:val="24"/>
                          <w:szCs w:val="24"/>
                        </w:rPr>
                      </w:pPr>
                      <w:r>
                        <w:rPr>
                          <w:sz w:val="24"/>
                          <w:szCs w:val="24"/>
                        </w:rPr>
                        <w:t>The optimal dosing regimen of ibuprofen for an obese child is not clear.</w:t>
                      </w:r>
                    </w:p>
                    <w:p w14:paraId="1B5C684F" w14:textId="77777777" w:rsidR="001438EB" w:rsidRDefault="001438EB" w:rsidP="006B4817"/>
                  </w:txbxContent>
                </v:textbox>
                <w10:wrap type="topAndBottom" anchorx="margin"/>
              </v:shape>
            </w:pict>
          </mc:Fallback>
        </mc:AlternateContent>
      </w:r>
      <w:r w:rsidRPr="001438EB">
        <w:rPr>
          <w:rFonts w:cstheme="minorHAnsi"/>
          <w:noProof/>
          <w:sz w:val="24"/>
          <w:szCs w:val="24"/>
        </w:rPr>
        <mc:AlternateContent>
          <mc:Choice Requires="wps">
            <w:drawing>
              <wp:anchor distT="0" distB="0" distL="114300" distR="114300" simplePos="0" relativeHeight="251701760" behindDoc="0" locked="0" layoutInCell="1" allowOverlap="1" wp14:anchorId="1EAB47B2" wp14:editId="7C1A53DE">
                <wp:simplePos x="0" y="0"/>
                <wp:positionH relativeFrom="margin">
                  <wp:posOffset>5405</wp:posOffset>
                </wp:positionH>
                <wp:positionV relativeFrom="paragraph">
                  <wp:posOffset>431652</wp:posOffset>
                </wp:positionV>
                <wp:extent cx="5888990" cy="3086100"/>
                <wp:effectExtent l="38100" t="38100" r="111760" b="114300"/>
                <wp:wrapTopAndBottom/>
                <wp:docPr id="3" name="Text Box 3"/>
                <wp:cNvGraphicFramePr/>
                <a:graphic xmlns:a="http://schemas.openxmlformats.org/drawingml/2006/main">
                  <a:graphicData uri="http://schemas.microsoft.com/office/word/2010/wordprocessingShape">
                    <wps:wsp>
                      <wps:cNvSpPr txBox="1"/>
                      <wps:spPr>
                        <a:xfrm>
                          <a:off x="0" y="0"/>
                          <a:ext cx="5888990" cy="3086100"/>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111385A9" w14:textId="77777777" w:rsidR="001438EB" w:rsidRPr="006043DC" w:rsidRDefault="001438EB" w:rsidP="001438EB">
                            <w:pPr>
                              <w:keepNext/>
                              <w:keepLines/>
                              <w:pBdr>
                                <w:bottom w:val="single" w:sz="8" w:space="1" w:color="99CB38" w:themeColor="accent1"/>
                              </w:pBdr>
                              <w:spacing w:before="240" w:after="0" w:line="360" w:lineRule="auto"/>
                              <w:outlineLvl w:val="0"/>
                              <w:rPr>
                                <w:rFonts w:asciiTheme="majorHAnsi" w:eastAsiaTheme="majorEastAsia" w:hAnsiTheme="majorHAnsi" w:cstheme="majorBidi"/>
                                <w:color w:val="729928" w:themeColor="accent1" w:themeShade="BF"/>
                                <w:sz w:val="32"/>
                                <w:szCs w:val="32"/>
                              </w:rPr>
                            </w:pPr>
                            <w:r w:rsidRPr="006043DC">
                              <w:rPr>
                                <w:rFonts w:asciiTheme="majorHAnsi" w:eastAsiaTheme="majorEastAsia" w:hAnsiTheme="majorHAnsi" w:cstheme="majorBidi"/>
                                <w:color w:val="729928" w:themeColor="accent1" w:themeShade="BF"/>
                                <w:sz w:val="32"/>
                                <w:szCs w:val="32"/>
                              </w:rPr>
                              <w:t>WHAT IS ALREADY KNOWN</w:t>
                            </w:r>
                          </w:p>
                          <w:p w14:paraId="7D0FE304" w14:textId="77777777" w:rsidR="007F3187" w:rsidRDefault="007F3187" w:rsidP="007F3187">
                            <w:pPr>
                              <w:numPr>
                                <w:ilvl w:val="0"/>
                                <w:numId w:val="11"/>
                              </w:numPr>
                              <w:spacing w:line="360" w:lineRule="auto"/>
                              <w:ind w:right="33"/>
                              <w:contextualSpacing/>
                              <w:jc w:val="both"/>
                            </w:pPr>
                            <w:r>
                              <w:rPr>
                                <w:sz w:val="24"/>
                              </w:rPr>
                              <w:t>Ibuprofen is a non-steroidal anti-inflammatory drug (NSAID) that is widely used for its anti-inflammatory, analgesic and anti-pyretic properties in children</w:t>
                            </w:r>
                          </w:p>
                          <w:p w14:paraId="34FB5D91" w14:textId="280AA730" w:rsidR="001438EB" w:rsidRPr="004775F6" w:rsidRDefault="001438EB" w:rsidP="001438EB">
                            <w:pPr>
                              <w:numPr>
                                <w:ilvl w:val="0"/>
                                <w:numId w:val="11"/>
                              </w:numPr>
                              <w:spacing w:line="360" w:lineRule="auto"/>
                              <w:ind w:right="33"/>
                              <w:contextualSpacing/>
                              <w:jc w:val="both"/>
                              <w:rPr>
                                <w:sz w:val="24"/>
                                <w:szCs w:val="24"/>
                              </w:rPr>
                            </w:pPr>
                            <w:r>
                              <w:rPr>
                                <w:sz w:val="24"/>
                              </w:rPr>
                              <w:t xml:space="preserve">As the </w:t>
                            </w:r>
                            <w:r w:rsidR="007F3187">
                              <w:rPr>
                                <w:sz w:val="24"/>
                              </w:rPr>
                              <w:t xml:space="preserve">prevalence </w:t>
                            </w:r>
                            <w:r>
                              <w:rPr>
                                <w:sz w:val="24"/>
                              </w:rPr>
                              <w:t xml:space="preserve">of childhood obesity has </w:t>
                            </w:r>
                            <w:r w:rsidR="007F3187">
                              <w:rPr>
                                <w:sz w:val="24"/>
                              </w:rPr>
                              <w:t>increased</w:t>
                            </w:r>
                            <w:r>
                              <w:rPr>
                                <w:sz w:val="24"/>
                              </w:rPr>
                              <w:t>, so has the need for clinicians to treat comorbidities in these individuals.</w:t>
                            </w:r>
                          </w:p>
                          <w:p w14:paraId="2A414DDB" w14:textId="75DD68DA" w:rsidR="001438EB" w:rsidRPr="004775F6" w:rsidRDefault="001438EB" w:rsidP="001438EB">
                            <w:pPr>
                              <w:numPr>
                                <w:ilvl w:val="0"/>
                                <w:numId w:val="11"/>
                              </w:numPr>
                              <w:spacing w:line="360" w:lineRule="auto"/>
                              <w:ind w:right="33"/>
                              <w:contextualSpacing/>
                              <w:jc w:val="both"/>
                              <w:rPr>
                                <w:sz w:val="24"/>
                                <w:szCs w:val="24"/>
                              </w:rPr>
                            </w:pPr>
                            <w:r>
                              <w:rPr>
                                <w:sz w:val="24"/>
                                <w:szCs w:val="24"/>
                              </w:rPr>
                              <w:t>Dosing guidelines for obese children are often extrapolated from data in obese adults.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B47B2" id="Text Box 3" o:spid="_x0000_s1028" type="#_x0000_t202" style="position:absolute;left:0;text-align:left;margin-left:.45pt;margin-top:34pt;width:463.7pt;height:243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0+/uAIAAMMFAAAOAAAAZHJzL2Uyb0RvYy54bWysVFtP2zAUfp+0/2D5fSQtBUJFijoQ0yQE&#10;iDLx7Dp2Y+HYnn3apPv1O3batGJoD9P6kNo+l++c71yurrtGk43wQVlT0tFJTokw3FbKrEr64+Xu&#10;S0FJAGYqpq0RJd2KQK9nnz9dtW4qxra2uhKeoBMTpq0raQ3gplkWeC0aFk6sEwaF0vqGAV79Kqs8&#10;a9F7o7Nxnp9nrfWV85aLEPD1thfSWfIvpeDwKGUQQHRJMTZIX5++y/jNZldsuvLM1YrvwmD/EEXD&#10;lEHQwdUtA0bWXv3hqlHc22AlnHDbZFZKxUXKAbMZ5e+yWdTMiZQLkhPcQFP4f275w2bhnjyB7qvt&#10;sICRkNaFacDHmE8nfRP/MVKCcqRwO9AmOiAcH8+Kori8RBFH2WlenI/yRGx2MHc+wDdhGxIPJfVY&#10;l0QX29wHQEhU3atENG1SXUQqIGqkCNYg/KKuWrLUa//MKgTOC0QilYo+T4sIixes7vgijz9KmF5h&#10;W4KmxFt4VVAnSmMG0WWEvNGebBh2x1Iz/tYHpV3N+sdJcnMIELVTsHYfTLodxZkdyEsn2GrRZ/Qs&#10;JFEV0jVOIKnDxYDOOBcGEv3IhTaoHc2k0nowHH1kqAejnW406wMaDPts/4o4WCRUa2AwbpSx/iPk&#10;6m0fruz1kYujnOMRumWHScecd321tNUW2w2rkZopOH6nsAr3LMAT8zh6WDRcJ/CIH6ltW1K7O1FS&#10;W//ro/eojxOBUkpaHOWShp9r5gUl+rvBWbkcTSboFtJlcnYxxos/liyPJWbd3FjshxEuLsfTMeqD&#10;3h+lt80rbp15REURMxyxscv2xxvoFwxuLS7m86SE0+4Y3JuF49F1ZDl230v3yrzbTQXgQD3Y/dCz&#10;6bvh6HWjpbHzNVip0uREnntWd/zjpkhdudtqcRUd35PWYffOfgMAAP//AwBQSwMEFAAGAAgAAAAh&#10;ACx/y1XfAAAABwEAAA8AAABkcnMvZG93bnJldi54bWxMj0FLw0AUhO+C/2F5gje7MdqSxrwUEUQR&#10;LFil2Ns2+0yCu2/T7CZN/73rSY/DDDPfFKvJGjFS71vHCNezBARx5XTLNcLH++NVBsIHxVoZx4Rw&#10;Ig+r8vysULl2R36jcRNqEUvY5wqhCaHLpfRVQ1b5meuIo/fleqtClH0tda+OsdwamSbJQlrVclxo&#10;VEcPDVXfm8EivD5XL+NwOOxOtO3S9dPgdmb7iXh5Md3fgQg0hb8w/OJHdCgj094NrL0wCMuYQ1hk&#10;8VB0l2l2A2KPMJ/fJiDLQv7nL38AAAD//wMAUEsBAi0AFAAGAAgAAAAhALaDOJL+AAAA4QEAABMA&#10;AAAAAAAAAAAAAAAAAAAAAFtDb250ZW50X1R5cGVzXS54bWxQSwECLQAUAAYACAAAACEAOP0h/9YA&#10;AACUAQAACwAAAAAAAAAAAAAAAAAvAQAAX3JlbHMvLnJlbHNQSwECLQAUAAYACAAAACEALY9Pv7gC&#10;AADDBQAADgAAAAAAAAAAAAAAAAAuAgAAZHJzL2Uyb0RvYy54bWxQSwECLQAUAAYACAAAACEALH/L&#10;Vd8AAAAHAQAADwAAAAAAAAAAAAAAAAASBQAAZHJzL2Rvd25yZXYueG1sUEsFBgAAAAAEAAQA8wAA&#10;AB4GAAAAAA==&#10;" fillcolor="white [3201]" strokecolor="#99cb38 [3204]" strokeweight="1pt">
                <v:shadow on="t" color="black" opacity="26214f" origin="-.5,-.5" offset=".74836mm,.74836mm"/>
                <v:textbox>
                  <w:txbxContent>
                    <w:p w14:paraId="111385A9" w14:textId="77777777" w:rsidR="001438EB" w:rsidRPr="006043DC" w:rsidRDefault="001438EB" w:rsidP="001438EB">
                      <w:pPr>
                        <w:keepNext/>
                        <w:keepLines/>
                        <w:pBdr>
                          <w:bottom w:val="single" w:sz="8" w:space="1" w:color="99CB38" w:themeColor="accent1"/>
                        </w:pBdr>
                        <w:spacing w:before="240" w:after="0" w:line="360" w:lineRule="auto"/>
                        <w:outlineLvl w:val="0"/>
                        <w:rPr>
                          <w:rFonts w:asciiTheme="majorHAnsi" w:eastAsiaTheme="majorEastAsia" w:hAnsiTheme="majorHAnsi" w:cstheme="majorBidi"/>
                          <w:color w:val="729928" w:themeColor="accent1" w:themeShade="BF"/>
                          <w:sz w:val="32"/>
                          <w:szCs w:val="32"/>
                        </w:rPr>
                      </w:pPr>
                      <w:r w:rsidRPr="006043DC">
                        <w:rPr>
                          <w:rFonts w:asciiTheme="majorHAnsi" w:eastAsiaTheme="majorEastAsia" w:hAnsiTheme="majorHAnsi" w:cstheme="majorBidi"/>
                          <w:color w:val="729928" w:themeColor="accent1" w:themeShade="BF"/>
                          <w:sz w:val="32"/>
                          <w:szCs w:val="32"/>
                        </w:rPr>
                        <w:t>WHAT IS ALREADY KNOWN</w:t>
                      </w:r>
                    </w:p>
                    <w:p w14:paraId="7D0FE304" w14:textId="77777777" w:rsidR="007F3187" w:rsidRDefault="007F3187" w:rsidP="007F3187">
                      <w:pPr>
                        <w:numPr>
                          <w:ilvl w:val="0"/>
                          <w:numId w:val="11"/>
                        </w:numPr>
                        <w:spacing w:line="360" w:lineRule="auto"/>
                        <w:ind w:right="33"/>
                        <w:contextualSpacing/>
                        <w:jc w:val="both"/>
                      </w:pPr>
                      <w:r>
                        <w:rPr>
                          <w:sz w:val="24"/>
                        </w:rPr>
                        <w:t>Ibuprofen is a non-steroidal anti-inflammatory drug (NSAID) that is widely used for its anti-inflammatory, analgesic and anti-pyretic properties in children</w:t>
                      </w:r>
                    </w:p>
                    <w:p w14:paraId="34FB5D91" w14:textId="280AA730" w:rsidR="001438EB" w:rsidRPr="004775F6" w:rsidRDefault="001438EB" w:rsidP="001438EB">
                      <w:pPr>
                        <w:numPr>
                          <w:ilvl w:val="0"/>
                          <w:numId w:val="11"/>
                        </w:numPr>
                        <w:spacing w:line="360" w:lineRule="auto"/>
                        <w:ind w:right="33"/>
                        <w:contextualSpacing/>
                        <w:jc w:val="both"/>
                        <w:rPr>
                          <w:sz w:val="24"/>
                          <w:szCs w:val="24"/>
                        </w:rPr>
                      </w:pPr>
                      <w:r>
                        <w:rPr>
                          <w:sz w:val="24"/>
                        </w:rPr>
                        <w:t xml:space="preserve">As the </w:t>
                      </w:r>
                      <w:r w:rsidR="007F3187">
                        <w:rPr>
                          <w:sz w:val="24"/>
                        </w:rPr>
                        <w:t xml:space="preserve">prevalence </w:t>
                      </w:r>
                      <w:r>
                        <w:rPr>
                          <w:sz w:val="24"/>
                        </w:rPr>
                        <w:t xml:space="preserve">of childhood obesity has </w:t>
                      </w:r>
                      <w:r w:rsidR="007F3187">
                        <w:rPr>
                          <w:sz w:val="24"/>
                        </w:rPr>
                        <w:t>increased</w:t>
                      </w:r>
                      <w:r>
                        <w:rPr>
                          <w:sz w:val="24"/>
                        </w:rPr>
                        <w:t>, so has the need for clinicians to treat comorbidities in these individuals.</w:t>
                      </w:r>
                    </w:p>
                    <w:p w14:paraId="2A414DDB" w14:textId="75DD68DA" w:rsidR="001438EB" w:rsidRPr="004775F6" w:rsidRDefault="001438EB" w:rsidP="001438EB">
                      <w:pPr>
                        <w:numPr>
                          <w:ilvl w:val="0"/>
                          <w:numId w:val="11"/>
                        </w:numPr>
                        <w:spacing w:line="360" w:lineRule="auto"/>
                        <w:ind w:right="33"/>
                        <w:contextualSpacing/>
                        <w:jc w:val="both"/>
                        <w:rPr>
                          <w:sz w:val="24"/>
                          <w:szCs w:val="24"/>
                        </w:rPr>
                      </w:pPr>
                      <w:r>
                        <w:rPr>
                          <w:sz w:val="24"/>
                          <w:szCs w:val="24"/>
                        </w:rPr>
                        <w:t>Dosing guidelines for obese children are often extrapolated from data in obese adults.</w:t>
                      </w:r>
                    </w:p>
                  </w:txbxContent>
                </v:textbox>
                <w10:wrap type="topAndBottom" anchorx="margin"/>
              </v:shape>
            </w:pict>
          </mc:Fallback>
        </mc:AlternateContent>
      </w:r>
      <w:r w:rsidR="002C1F1E" w:rsidRPr="00295A88">
        <w:rPr>
          <w:rFonts w:cstheme="minorHAnsi"/>
          <w:sz w:val="24"/>
          <w:szCs w:val="24"/>
        </w:rPr>
        <w:t>There is little published data to guide clinicians prescribing ibuprofen in obese children</w:t>
      </w:r>
      <w:r w:rsidR="00B72DF3">
        <w:rPr>
          <w:rFonts w:cstheme="minorHAnsi"/>
          <w:sz w:val="24"/>
          <w:szCs w:val="24"/>
        </w:rPr>
        <w:t>.</w:t>
      </w:r>
    </w:p>
    <w:p w14:paraId="249B6B32" w14:textId="49F00C96" w:rsidR="0081439D" w:rsidRDefault="0081439D" w:rsidP="0081439D">
      <w:pPr>
        <w:spacing w:after="0" w:line="480" w:lineRule="auto"/>
        <w:contextualSpacing/>
        <w:jc w:val="both"/>
        <w:rPr>
          <w:rFonts w:cstheme="minorHAnsi"/>
          <w:sz w:val="24"/>
          <w:szCs w:val="24"/>
        </w:rPr>
      </w:pPr>
    </w:p>
    <w:p w14:paraId="19EA7A5A" w14:textId="26A9061A" w:rsidR="0081439D" w:rsidRDefault="0081439D" w:rsidP="0081439D">
      <w:pPr>
        <w:spacing w:after="0" w:line="480" w:lineRule="auto"/>
        <w:contextualSpacing/>
        <w:jc w:val="both"/>
        <w:rPr>
          <w:rFonts w:cstheme="minorHAnsi"/>
          <w:sz w:val="24"/>
          <w:szCs w:val="24"/>
        </w:rPr>
      </w:pPr>
    </w:p>
    <w:p w14:paraId="35D9CFD2" w14:textId="6DC2BFEC" w:rsidR="0081439D" w:rsidRDefault="005B5E28" w:rsidP="0081439D">
      <w:pPr>
        <w:spacing w:after="0" w:line="480" w:lineRule="auto"/>
        <w:contextualSpacing/>
        <w:jc w:val="both"/>
        <w:rPr>
          <w:rFonts w:cstheme="minorHAnsi"/>
          <w:sz w:val="24"/>
          <w:szCs w:val="24"/>
        </w:rPr>
      </w:pPr>
      <w:r w:rsidRPr="00295A88">
        <w:rPr>
          <w:rFonts w:cstheme="minorHAnsi"/>
          <w:noProof/>
          <w:sz w:val="24"/>
          <w:szCs w:val="24"/>
        </w:rPr>
        <w:lastRenderedPageBreak/>
        <mc:AlternateContent>
          <mc:Choice Requires="wps">
            <w:drawing>
              <wp:anchor distT="0" distB="0" distL="114300" distR="114300" simplePos="0" relativeHeight="251704832" behindDoc="0" locked="0" layoutInCell="1" allowOverlap="1" wp14:anchorId="573B955B" wp14:editId="32735997">
                <wp:simplePos x="0" y="0"/>
                <wp:positionH relativeFrom="margin">
                  <wp:posOffset>-130101</wp:posOffset>
                </wp:positionH>
                <wp:positionV relativeFrom="paragraph">
                  <wp:posOffset>38690</wp:posOffset>
                </wp:positionV>
                <wp:extent cx="5887720" cy="2133600"/>
                <wp:effectExtent l="38100" t="38100" r="113030" b="114300"/>
                <wp:wrapTopAndBottom/>
                <wp:docPr id="2" name="Text Box 2"/>
                <wp:cNvGraphicFramePr/>
                <a:graphic xmlns:a="http://schemas.openxmlformats.org/drawingml/2006/main">
                  <a:graphicData uri="http://schemas.microsoft.com/office/word/2010/wordprocessingShape">
                    <wps:wsp>
                      <wps:cNvSpPr txBox="1"/>
                      <wps:spPr>
                        <a:xfrm>
                          <a:off x="0" y="0"/>
                          <a:ext cx="5887720" cy="2133600"/>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3BA2BE52" w14:textId="44FCFD19" w:rsidR="002E7628" w:rsidRPr="006043DC" w:rsidRDefault="002E7628" w:rsidP="002E7628">
                            <w:pPr>
                              <w:keepNext/>
                              <w:keepLines/>
                              <w:pBdr>
                                <w:bottom w:val="single" w:sz="8" w:space="1" w:color="99CB38" w:themeColor="accent1"/>
                              </w:pBdr>
                              <w:spacing w:before="240" w:after="0" w:line="360" w:lineRule="auto"/>
                              <w:outlineLvl w:val="0"/>
                              <w:rPr>
                                <w:rFonts w:asciiTheme="majorHAnsi" w:eastAsiaTheme="majorEastAsia" w:hAnsiTheme="majorHAnsi" w:cstheme="majorBidi"/>
                                <w:color w:val="729928" w:themeColor="accent1" w:themeShade="BF"/>
                                <w:sz w:val="32"/>
                                <w:szCs w:val="32"/>
                              </w:rPr>
                            </w:pPr>
                            <w:r>
                              <w:rPr>
                                <w:rFonts w:asciiTheme="majorHAnsi" w:eastAsiaTheme="majorEastAsia" w:hAnsiTheme="majorHAnsi" w:cstheme="majorBidi"/>
                                <w:color w:val="729928" w:themeColor="accent1" w:themeShade="BF"/>
                                <w:sz w:val="32"/>
                                <w:szCs w:val="32"/>
                              </w:rPr>
                              <w:t>HOW THIS STUDY MIGHT AFFECT RESEARCH, PRACTICE OR POLICY:</w:t>
                            </w:r>
                          </w:p>
                          <w:p w14:paraId="687EF7E5" w14:textId="77777777" w:rsidR="004C3B14" w:rsidRPr="00ED3894" w:rsidRDefault="006D3D7C" w:rsidP="00ED3894">
                            <w:pPr>
                              <w:pStyle w:val="ListParagraph"/>
                              <w:numPr>
                                <w:ilvl w:val="0"/>
                                <w:numId w:val="29"/>
                              </w:numPr>
                              <w:spacing w:after="0" w:line="360" w:lineRule="auto"/>
                              <w:jc w:val="both"/>
                              <w:rPr>
                                <w:rFonts w:cstheme="minorHAnsi"/>
                                <w:sz w:val="24"/>
                                <w:szCs w:val="24"/>
                              </w:rPr>
                            </w:pPr>
                            <w:r w:rsidRPr="00ED3894">
                              <w:rPr>
                                <w:rFonts w:cstheme="minorHAnsi"/>
                                <w:sz w:val="24"/>
                                <w:szCs w:val="24"/>
                              </w:rPr>
                              <w:t xml:space="preserve">Further research is required to establish </w:t>
                            </w:r>
                            <w:r w:rsidR="004C3B14" w:rsidRPr="00ED3894">
                              <w:rPr>
                                <w:rFonts w:cstheme="minorHAnsi"/>
                                <w:sz w:val="24"/>
                                <w:szCs w:val="24"/>
                              </w:rPr>
                              <w:t>the efficacy, tolerability and safety profile of ibuprofen in obese children.</w:t>
                            </w:r>
                          </w:p>
                          <w:p w14:paraId="572C9105" w14:textId="3660E64D" w:rsidR="006B4817" w:rsidRPr="00ED3894" w:rsidRDefault="006B4817" w:rsidP="00ED3894">
                            <w:pPr>
                              <w:pStyle w:val="ListParagraph"/>
                              <w:numPr>
                                <w:ilvl w:val="0"/>
                                <w:numId w:val="29"/>
                              </w:numPr>
                              <w:spacing w:after="0" w:line="360" w:lineRule="auto"/>
                              <w:jc w:val="both"/>
                              <w:rPr>
                                <w:rFonts w:cstheme="minorHAnsi"/>
                                <w:sz w:val="24"/>
                                <w:szCs w:val="24"/>
                              </w:rPr>
                            </w:pPr>
                            <w:r w:rsidRPr="00ED3894">
                              <w:rPr>
                                <w:rFonts w:cstheme="minorHAnsi"/>
                                <w:sz w:val="24"/>
                                <w:szCs w:val="24"/>
                              </w:rPr>
                              <w:t xml:space="preserve">Prescribers lack adequate </w:t>
                            </w:r>
                            <w:r w:rsidR="00355102" w:rsidRPr="00ED3894">
                              <w:rPr>
                                <w:rFonts w:cstheme="minorHAnsi"/>
                                <w:sz w:val="24"/>
                                <w:szCs w:val="24"/>
                              </w:rPr>
                              <w:t>information to optimise use of ibuprofen in obese children</w:t>
                            </w:r>
                            <w:r w:rsidR="00034287" w:rsidRPr="00ED3894">
                              <w:rPr>
                                <w:rFonts w:cstheme="minorHAnsi"/>
                                <w:sz w:val="24"/>
                                <w:szCs w:val="24"/>
                              </w:rPr>
                              <w:t>.</w:t>
                            </w:r>
                          </w:p>
                          <w:p w14:paraId="5450C5A0" w14:textId="5EC2D3A3" w:rsidR="002E7628" w:rsidRDefault="002E7628" w:rsidP="00ED3894">
                            <w:pPr>
                              <w:numPr>
                                <w:ilvl w:val="0"/>
                                <w:numId w:val="11"/>
                              </w:numPr>
                              <w:spacing w:line="360" w:lineRule="auto"/>
                              <w:ind w:right="33"/>
                              <w:contextualSpacing/>
                            </w:pPr>
                            <w:r>
                              <w:rPr>
                                <w:sz w:val="24"/>
                                <w:szCs w:val="24"/>
                              </w:rPr>
                              <w:t>Without this, obese children risk potential</w:t>
                            </w:r>
                            <w:r w:rsidR="006D3D7C">
                              <w:rPr>
                                <w:sz w:val="24"/>
                                <w:szCs w:val="24"/>
                              </w:rPr>
                              <w:t xml:space="preserve"> therapeutic failure or increased adverse effect</w:t>
                            </w:r>
                            <w:r w:rsidR="000B19E3">
                              <w:rPr>
                                <w:sz w:val="24"/>
                                <w:szCs w:val="24"/>
                              </w:rPr>
                              <w:t>s</w:t>
                            </w:r>
                            <w:r w:rsidR="006D3D7C">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B955B" id="Text Box 2" o:spid="_x0000_s1029" type="#_x0000_t202" style="position:absolute;left:0;text-align:left;margin-left:-10.25pt;margin-top:3.05pt;width:463.6pt;height:168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YhtgIAAMMFAAAOAAAAZHJzL2Uyb0RvYy54bWysVFtP2zAUfp+0/2D5fSQpBbqKFHUgpkkI&#10;EGXi2XXsxsKxPfu0SffrOXbatGJoD9Py4Bz73L9zubzqGk02wgdlTUmLk5wSYbitlFmV9Ofz7ZcJ&#10;JQGYqZi2RpR0KwK9mn3+dNm6qRjZ2upKeIJGTJi2rqQ1gJtmWeC1aFg4sU4YZErrGwZ49aus8qxF&#10;643ORnl+nrXWV85bLkLA15ueSWfJvpSCw4OUQQDRJcXYIJ0+nct4ZrNLNl155mrFd2Gwf4iiYcqg&#10;08HUDQNG1l79YapR3NtgJZxw22RWSsVFygGzKfJ32Sxq5kTKBcEJboAp/D+z/H6zcI+eQPfNdljA&#10;CEjrwjTgY8ynk76Jf4yUIB8h3A6wiQ4Ix8ezyeTiYoQsjrxRcXp6nidgs4O68wG+C9uQSJTUY10S&#10;XGxzFwBdouheJHrTJtVFpAKiRIpgDcIv6qolS732T6xCx/kEPZFKRZunk6K/YHVHF3n8KGF6hW0J&#10;mhJv4UVBnSCNGUST0eW19mTDsDuWmvHXPijtatY/jpOZQ4AonYK1+2DS7SjO7ABeomCrRZ/Rk5BE&#10;VQjXKDlJHS4G74xzYSDBj1hog9JRTSqtB8XiI0U9KO1ko1of0KDYZ/tXj4NG8moNDMqNMtZ/5Ll6&#10;3Ycre3nE4ijnSEK37DBpLM6+r5a22mK7YTVSMwXHbxVW4Y4FeGQeRw+LhusEHvCQ2rYltTuKktr6&#10;3x+9R3mcCORS0uIolzT8WjMvKNE/DM7K12I8RrOQLuOz1Kr+mLM85ph1c22xHwpcXI4nEpU96D0p&#10;vW1ecOvMo9fYY4ajb+yyPXkN/YLBrcXFfJ6EcNodgzuzcDyajijH7nvuXph3u6kAHKh7ux96Nn03&#10;HL1s1DR2vgYrVZqciHOP6g5/3BSpK3dbLa6i43uSOuze2RsAAAD//wMAUEsDBBQABgAIAAAAIQAE&#10;9Gq+4QAAAAkBAAAPAAAAZHJzL2Rvd25yZXYueG1sTI9PS8NAFMTvgt9heYK3djdRU415KSKIIlSw&#10;lWJv2+wzCe6fNLtJ02/vetLjMMPMb4rlZDQbqfetswjJXAAjWznV2hrhY/M0uwXmg7RKamcJ4UQe&#10;luX5WSFz5Y72ncZ1qFkssT6XCE0IXc65rxoy0s9dRzZ6X643MkTZ11z18hjLjeapEBk3srVxoZEd&#10;PTZUfa8Hg7B6qV7H4XDYnWjbpW/Pg9vp7Sfi5cX0cA8s0BT+wvCLH9GhjEx7N1jlmUaYpeImRhGy&#10;BFj070S2ALZHuLpOE+Blwf8/KH8AAAD//wMAUEsBAi0AFAAGAAgAAAAhALaDOJL+AAAA4QEAABMA&#10;AAAAAAAAAAAAAAAAAAAAAFtDb250ZW50X1R5cGVzXS54bWxQSwECLQAUAAYACAAAACEAOP0h/9YA&#10;AACUAQAACwAAAAAAAAAAAAAAAAAvAQAAX3JlbHMvLnJlbHNQSwECLQAUAAYACAAAACEACGsWIbYC&#10;AADDBQAADgAAAAAAAAAAAAAAAAAuAgAAZHJzL2Uyb0RvYy54bWxQSwECLQAUAAYACAAAACEABPRq&#10;vuEAAAAJAQAADwAAAAAAAAAAAAAAAAAQBQAAZHJzL2Rvd25yZXYueG1sUEsFBgAAAAAEAAQA8wAA&#10;AB4GAAAAAA==&#10;" fillcolor="white [3201]" strokecolor="#99cb38 [3204]" strokeweight="1pt">
                <v:shadow on="t" color="black" opacity="26214f" origin="-.5,-.5" offset=".74836mm,.74836mm"/>
                <v:textbox>
                  <w:txbxContent>
                    <w:p w14:paraId="3BA2BE52" w14:textId="44FCFD19" w:rsidR="002E7628" w:rsidRPr="006043DC" w:rsidRDefault="002E7628" w:rsidP="002E7628">
                      <w:pPr>
                        <w:keepNext/>
                        <w:keepLines/>
                        <w:pBdr>
                          <w:bottom w:val="single" w:sz="8" w:space="1" w:color="99CB38" w:themeColor="accent1"/>
                        </w:pBdr>
                        <w:spacing w:before="240" w:after="0" w:line="360" w:lineRule="auto"/>
                        <w:outlineLvl w:val="0"/>
                        <w:rPr>
                          <w:rFonts w:asciiTheme="majorHAnsi" w:eastAsiaTheme="majorEastAsia" w:hAnsiTheme="majorHAnsi" w:cstheme="majorBidi"/>
                          <w:color w:val="729928" w:themeColor="accent1" w:themeShade="BF"/>
                          <w:sz w:val="32"/>
                          <w:szCs w:val="32"/>
                        </w:rPr>
                      </w:pPr>
                      <w:r>
                        <w:rPr>
                          <w:rFonts w:asciiTheme="majorHAnsi" w:eastAsiaTheme="majorEastAsia" w:hAnsiTheme="majorHAnsi" w:cstheme="majorBidi"/>
                          <w:color w:val="729928" w:themeColor="accent1" w:themeShade="BF"/>
                          <w:sz w:val="32"/>
                          <w:szCs w:val="32"/>
                        </w:rPr>
                        <w:t>HOW THIS STUDY MIGHT AFFECT RESEARCH, PRACTICE OR POLICY:</w:t>
                      </w:r>
                    </w:p>
                    <w:p w14:paraId="687EF7E5" w14:textId="77777777" w:rsidR="004C3B14" w:rsidRPr="00ED3894" w:rsidRDefault="006D3D7C" w:rsidP="00ED3894">
                      <w:pPr>
                        <w:pStyle w:val="ListParagraph"/>
                        <w:numPr>
                          <w:ilvl w:val="0"/>
                          <w:numId w:val="29"/>
                        </w:numPr>
                        <w:spacing w:after="0" w:line="360" w:lineRule="auto"/>
                        <w:jc w:val="both"/>
                        <w:rPr>
                          <w:rFonts w:cstheme="minorHAnsi"/>
                          <w:sz w:val="24"/>
                          <w:szCs w:val="24"/>
                        </w:rPr>
                      </w:pPr>
                      <w:r w:rsidRPr="00ED3894">
                        <w:rPr>
                          <w:rFonts w:cstheme="minorHAnsi"/>
                          <w:sz w:val="24"/>
                          <w:szCs w:val="24"/>
                        </w:rPr>
                        <w:t xml:space="preserve">Further research is required to establish </w:t>
                      </w:r>
                      <w:r w:rsidR="004C3B14" w:rsidRPr="00ED3894">
                        <w:rPr>
                          <w:rFonts w:cstheme="minorHAnsi"/>
                          <w:sz w:val="24"/>
                          <w:szCs w:val="24"/>
                        </w:rPr>
                        <w:t>the efficacy, tolerability and safety profile of ibuprofen in obese children.</w:t>
                      </w:r>
                    </w:p>
                    <w:p w14:paraId="572C9105" w14:textId="3660E64D" w:rsidR="006B4817" w:rsidRPr="00ED3894" w:rsidRDefault="006B4817" w:rsidP="00ED3894">
                      <w:pPr>
                        <w:pStyle w:val="ListParagraph"/>
                        <w:numPr>
                          <w:ilvl w:val="0"/>
                          <w:numId w:val="29"/>
                        </w:numPr>
                        <w:spacing w:after="0" w:line="360" w:lineRule="auto"/>
                        <w:jc w:val="both"/>
                        <w:rPr>
                          <w:rFonts w:cstheme="minorHAnsi"/>
                          <w:sz w:val="24"/>
                          <w:szCs w:val="24"/>
                        </w:rPr>
                      </w:pPr>
                      <w:r w:rsidRPr="00ED3894">
                        <w:rPr>
                          <w:rFonts w:cstheme="minorHAnsi"/>
                          <w:sz w:val="24"/>
                          <w:szCs w:val="24"/>
                        </w:rPr>
                        <w:t xml:space="preserve">Prescribers lack adequate </w:t>
                      </w:r>
                      <w:r w:rsidR="00355102" w:rsidRPr="00ED3894">
                        <w:rPr>
                          <w:rFonts w:cstheme="minorHAnsi"/>
                          <w:sz w:val="24"/>
                          <w:szCs w:val="24"/>
                        </w:rPr>
                        <w:t>information to optimise use of ibuprofen in obese children</w:t>
                      </w:r>
                      <w:r w:rsidR="00034287" w:rsidRPr="00ED3894">
                        <w:rPr>
                          <w:rFonts w:cstheme="minorHAnsi"/>
                          <w:sz w:val="24"/>
                          <w:szCs w:val="24"/>
                        </w:rPr>
                        <w:t>.</w:t>
                      </w:r>
                    </w:p>
                    <w:p w14:paraId="5450C5A0" w14:textId="5EC2D3A3" w:rsidR="002E7628" w:rsidRDefault="002E7628" w:rsidP="00ED3894">
                      <w:pPr>
                        <w:numPr>
                          <w:ilvl w:val="0"/>
                          <w:numId w:val="11"/>
                        </w:numPr>
                        <w:spacing w:line="360" w:lineRule="auto"/>
                        <w:ind w:right="33"/>
                        <w:contextualSpacing/>
                      </w:pPr>
                      <w:r>
                        <w:rPr>
                          <w:sz w:val="24"/>
                          <w:szCs w:val="24"/>
                        </w:rPr>
                        <w:t>Without this, obese children risk potential</w:t>
                      </w:r>
                      <w:r w:rsidR="006D3D7C">
                        <w:rPr>
                          <w:sz w:val="24"/>
                          <w:szCs w:val="24"/>
                        </w:rPr>
                        <w:t xml:space="preserve"> therapeutic failure or increased adverse effect</w:t>
                      </w:r>
                      <w:r w:rsidR="000B19E3">
                        <w:rPr>
                          <w:sz w:val="24"/>
                          <w:szCs w:val="24"/>
                        </w:rPr>
                        <w:t>s</w:t>
                      </w:r>
                      <w:r w:rsidR="006D3D7C">
                        <w:rPr>
                          <w:sz w:val="24"/>
                          <w:szCs w:val="24"/>
                        </w:rPr>
                        <w:t>.</w:t>
                      </w:r>
                    </w:p>
                  </w:txbxContent>
                </v:textbox>
                <w10:wrap type="topAndBottom" anchorx="margin"/>
              </v:shape>
            </w:pict>
          </mc:Fallback>
        </mc:AlternateContent>
      </w:r>
    </w:p>
    <w:p w14:paraId="250DA919" w14:textId="2E4FAC03" w:rsidR="003702CB" w:rsidRPr="00295A88" w:rsidRDefault="006A2000" w:rsidP="00ED3894">
      <w:pPr>
        <w:keepNext/>
        <w:keepLines/>
        <w:pBdr>
          <w:bottom w:val="single" w:sz="8" w:space="1" w:color="99CB38" w:themeColor="accent1"/>
        </w:pBdr>
        <w:spacing w:before="240" w:line="480" w:lineRule="auto"/>
        <w:outlineLvl w:val="0"/>
        <w:rPr>
          <w:rFonts w:eastAsiaTheme="majorEastAsia" w:cstheme="minorHAnsi"/>
          <w:b/>
          <w:bCs/>
          <w:color w:val="729928" w:themeColor="accent1" w:themeShade="BF"/>
          <w:sz w:val="32"/>
          <w:szCs w:val="32"/>
        </w:rPr>
      </w:pPr>
      <w:r w:rsidRPr="00295A88">
        <w:rPr>
          <w:rFonts w:eastAsiaTheme="majorEastAsia" w:cstheme="minorHAnsi"/>
          <w:b/>
          <w:bCs/>
          <w:color w:val="729928" w:themeColor="accent1" w:themeShade="BF"/>
          <w:sz w:val="32"/>
          <w:szCs w:val="32"/>
        </w:rPr>
        <w:t>INTRODUCTION</w:t>
      </w:r>
    </w:p>
    <w:p w14:paraId="181CF5E8" w14:textId="7C2DD2FF" w:rsidR="00E62D19" w:rsidRPr="00295A88" w:rsidRDefault="00686BD7" w:rsidP="00ED3894">
      <w:pPr>
        <w:spacing w:after="0" w:line="480" w:lineRule="auto"/>
        <w:jc w:val="both"/>
        <w:rPr>
          <w:rFonts w:cstheme="minorHAnsi"/>
          <w:sz w:val="24"/>
        </w:rPr>
      </w:pPr>
      <w:r w:rsidRPr="00295A88">
        <w:rPr>
          <w:rFonts w:cstheme="minorHAnsi"/>
          <w:sz w:val="24"/>
        </w:rPr>
        <w:t xml:space="preserve">Obesity </w:t>
      </w:r>
      <w:r w:rsidR="000B636F" w:rsidRPr="00295A88">
        <w:rPr>
          <w:rFonts w:cstheme="minorHAnsi"/>
          <w:sz w:val="24"/>
        </w:rPr>
        <w:t>represents a</w:t>
      </w:r>
      <w:r w:rsidRPr="00295A88">
        <w:rPr>
          <w:rFonts w:cstheme="minorHAnsi"/>
          <w:sz w:val="24"/>
        </w:rPr>
        <w:t xml:space="preserve"> threat to the health and wellbeing of children, with nearly 1 in 3 children aged 2-15 </w:t>
      </w:r>
      <w:r w:rsidR="003702CB" w:rsidRPr="00295A88">
        <w:rPr>
          <w:rFonts w:cstheme="minorHAnsi"/>
          <w:sz w:val="24"/>
        </w:rPr>
        <w:t xml:space="preserve">being classed as </w:t>
      </w:r>
      <w:r w:rsidRPr="00295A88">
        <w:rPr>
          <w:rFonts w:cstheme="minorHAnsi"/>
          <w:sz w:val="24"/>
        </w:rPr>
        <w:t xml:space="preserve">overweight or obese in the UK </w:t>
      </w:r>
      <w:r w:rsidRPr="00295A88">
        <w:rPr>
          <w:rFonts w:cstheme="minorHAnsi"/>
          <w:sz w:val="24"/>
        </w:rPr>
        <w:fldChar w:fldCharType="begin" w:fldLock="1"/>
      </w:r>
      <w:r w:rsidR="00A00D7B" w:rsidRPr="00295A88">
        <w:rPr>
          <w:rFonts w:cstheme="minorHAnsi"/>
          <w:sz w:val="24"/>
        </w:rPr>
        <w:instrText>ADDIN CSL_CITATION {"citationItems":[{"id":"ITEM-1","itemData":{"abstract":"What do we know? Nearly a third (31%) of children aged 2–15 are overweight or obese. 1 The direct cost of obesity to the NHS is estimated to be £4.2bn a year. 2 The causes of obesity are complex, but the problem is closely linked with obesogenic environments, which encourage children to consume too much food that is rich in salt, fat and sugar and encourage a sedentary lifestyle. Parents need more support to help their children to maintain a healthy weight. Overweight parents often have overweight children, and perinatal programming and their lifestyle choices have a significant influence. 3 Parenting style has an impact on children's lifestyle and emotional wellbeing, with a subsequent impact on weight. The consequences of obesity later in life include problems with joints and bones, hypertension, heart failure, high blood pressure and high levels of blood fats. Increasingly, teenagers are developing early onset type 2 diabetes as a result of their weight. Obesity can also have psychological effects on children's self-esteem. Although recent years have seen a levelling-off of the rapid rise in childhood obesity, there is little cause for complacency on the issue. What can we do? Prevention and treatment of obesity depends on all levels of society and government taking action – from health professionals, in educating teachers, parents and children themselves, regulating and working with the food manufacturing industry, and using fiscal measures where appropriate. This has the objective of achieving the cultural shift in improved nutrition and increased exercise to achieve a sustained decrease in the numbers of children that are overweight or obese. Health professionals The management of children with weight problems needs to be sensitively addressed, and therefore all health professionals should receive training on the issues. 4 NICE (clinical guidance 43) reminds those working with children that treatment 'may stigmatise them and put them at risk of bullying... Confidentiality and building self-esteem are particularly important if help is offered at school' 5 . These principles of discretion and sensitivity are particularly applicable to the National Child Measurement Programme, which offers an opportunity for health professionals to engage with parents and their children where the latter's weight is cause for concern. Parents, carers and schools Parents need to be supported and encouraged to be role models for their children; health professionals shou…","author":[{"dropping-particle":"","family":"Royal College of Paediatrics and Child Health","given":"","non-dropping-particle":"","parse-names":false,"suffix":""}],"container-title":"Royal College of Paediatrics and Child Health","id":"ITEM-1","issue":"April","issued":{"date-parts":[["2012"]]},"page":"6-9","title":"Childhood Obesity Position Statement","type":"article"},"uris":["http://www.mendeley.com/documents/?uuid=dacda674-bc50-4525-a40b-4e49d148b6c1"]},{"id":"ITEM-2","itemData":{"URL":"https://www.gov.uk/government/publications/childhood-obesity-a-plan-for-action/childhood-obesity-a-plan-for-action","accessed":{"date-parts":[["2017","11","29"]]},"author":[{"dropping-particle":"","family":"Department of Health","given":"","non-dropping-particle":"","parse-names":false,"suffix":""}],"container-title":"Department of Health","id":"ITEM-2","issued":{"date-parts":[["2017"]]},"title":"Childhood obesity: a plan for action","type":"webpage"},"uris":["http://www.mendeley.com/documents/?uuid=84ab2ba0-42aa-3534-b8cf-b4c3c91faff3"]}],"mendeley":{"formattedCitation":"(1,2)","plainTextFormattedCitation":"(1,2)","previouslyFormattedCitation":"(1,2)"},"properties":{"noteIndex":0},"schema":"https://github.com/citation-style-language/schema/raw/master/csl-citation.json"}</w:instrText>
      </w:r>
      <w:r w:rsidRPr="00295A88">
        <w:rPr>
          <w:rFonts w:cstheme="minorHAnsi"/>
          <w:sz w:val="24"/>
        </w:rPr>
        <w:fldChar w:fldCharType="separate"/>
      </w:r>
      <w:r w:rsidRPr="00295A88">
        <w:rPr>
          <w:rFonts w:cstheme="minorHAnsi"/>
          <w:noProof/>
          <w:sz w:val="24"/>
        </w:rPr>
        <w:t>(1,2)</w:t>
      </w:r>
      <w:r w:rsidRPr="00295A88">
        <w:rPr>
          <w:rFonts w:cstheme="minorHAnsi"/>
          <w:sz w:val="24"/>
        </w:rPr>
        <w:fldChar w:fldCharType="end"/>
      </w:r>
      <w:r w:rsidRPr="00295A88">
        <w:rPr>
          <w:rFonts w:cstheme="minorHAnsi"/>
          <w:sz w:val="24"/>
        </w:rPr>
        <w:t xml:space="preserve">. </w:t>
      </w:r>
      <w:r w:rsidR="00C859BB" w:rsidRPr="00295A88">
        <w:rPr>
          <w:rFonts w:cstheme="minorHAnsi"/>
          <w:sz w:val="24"/>
        </w:rPr>
        <w:t xml:space="preserve">As rates of childhood obesity have risen, so has the need for clinicians to treat comorbidities in these individuals </w:t>
      </w:r>
      <w:r w:rsidR="00C859BB" w:rsidRPr="00295A88">
        <w:rPr>
          <w:rFonts w:cstheme="minorHAnsi"/>
          <w:sz w:val="24"/>
        </w:rPr>
        <w:fldChar w:fldCharType="begin" w:fldLock="1"/>
      </w:r>
      <w:r w:rsidR="00366994" w:rsidRPr="00295A88">
        <w:rPr>
          <w:rFonts w:cstheme="minorHAnsi"/>
          <w:sz w:val="24"/>
        </w:rPr>
        <w:instrText>ADDIN CSL_CITATION {"citationItems":[{"id":"ITEM-1","itemData":{"DOI":"10.1136/adc.2009.163055","ISBN":"1743-0585","ISSN":"1743-0593","PMID":"20585055","abstract":"With the epidemic of childhood obesity, it is not uncommon for prescribers to puzzle over an appropriate drug dose for an obese child. Defining the optimum therapeutic dose of a drug relies on an understanding of pharmacokinetics and pharmacodynamics. Both these processes can be affected by body composition and the physiological changes that occur in obese children. As a rule of thumb, 75% of excess weight in obese subjects is fat mass, and the remainder lean mass. Although it is reasonable to assume that increases in fat mass alter the distribution of lipophilic drugs and increases in lean mass alter drug clearance, good quality and consistent clinical data supporting these assumptions are lacking for the majority of drugs. The relatively few clinical studies that have evaluated the impact of obesity have often been limited by poor design and insufficient sample size. Moreover, clinical studies conducted during drug development rarely include (or are required to include) obese subjects. Guidance on dosing obese children ought to be provided by drug manufacturers. This could be achieved by including obese patients in studies where possible, enabling the effect of body size on pharmacotherapy to be evaluated. This approach could be further augmented by the use of physiologically based-pharmacokinetic models during early (preclinical) development to predict the impact of obesity on drug disposition, and subsequent clinical studies later in development to provide confirmatory proof. In the meantime, for the majority of drugs already prescribed in children, particularly those where the therapeutic range is narrow or there is significant toxicity, the lack of a validated body size descriptor to use at the bedside means the choice of dose will rely on empirical experience and application of the precautionary principle.","author":[{"dropping-particle":"","family":"Mulla","given":"H","non-dropping-particle":"","parse-names":false,"suffix":""},{"dropping-particle":"","family":"Johnson","given":"T N","non-dropping-particle":"","parse-names":false,"suffix":""}],"container-title":"Archives of Disease in Childhood. Education and Practice Edition","id":"ITEM-1","issue":"4","issued":{"date-parts":[["2010","8","1"]]},"page":"112-117","publisher":"Royal College of Paediatrics and Child Health","title":"Dosing Dilemmas in Obese Children","type":"article","volume":"95"},"uris":["http://www.mendeley.com/documents/?uuid=bdfd1758-0991-318a-a8eb-ac74ad8917ed"]}],"mendeley":{"formattedCitation":"(3)","plainTextFormattedCitation":"(3)","previouslyFormattedCitation":"(3)"},"properties":{"noteIndex":0},"schema":"https://github.com/citation-style-language/schema/raw/master/csl-citation.json"}</w:instrText>
      </w:r>
      <w:r w:rsidR="00C859BB" w:rsidRPr="00295A88">
        <w:rPr>
          <w:rFonts w:cstheme="minorHAnsi"/>
          <w:sz w:val="24"/>
        </w:rPr>
        <w:fldChar w:fldCharType="separate"/>
      </w:r>
      <w:r w:rsidR="009D113B" w:rsidRPr="00295A88">
        <w:rPr>
          <w:rFonts w:cstheme="minorHAnsi"/>
          <w:noProof/>
          <w:sz w:val="24"/>
        </w:rPr>
        <w:t>(3)</w:t>
      </w:r>
      <w:r w:rsidR="00C859BB" w:rsidRPr="00295A88">
        <w:rPr>
          <w:rFonts w:cstheme="minorHAnsi"/>
          <w:sz w:val="24"/>
        </w:rPr>
        <w:fldChar w:fldCharType="end"/>
      </w:r>
      <w:r w:rsidR="00C859BB" w:rsidRPr="00295A88">
        <w:rPr>
          <w:rFonts w:cstheme="minorHAnsi"/>
          <w:sz w:val="24"/>
        </w:rPr>
        <w:t>.</w:t>
      </w:r>
      <w:r w:rsidR="003328A4" w:rsidRPr="00295A88">
        <w:rPr>
          <w:rFonts w:cstheme="minorHAnsi"/>
          <w:sz w:val="24"/>
        </w:rPr>
        <w:t xml:space="preserve"> </w:t>
      </w:r>
      <w:r w:rsidR="00E31651" w:rsidRPr="00295A88">
        <w:rPr>
          <w:rFonts w:cstheme="minorHAnsi"/>
          <w:sz w:val="24"/>
        </w:rPr>
        <w:t xml:space="preserve">Dosing medications in children is frequently based on age, allometric scaling, body surface area or weight, where weight-based dosing is the most commonly used method </w:t>
      </w:r>
      <w:r w:rsidR="00E31651" w:rsidRPr="00295A88">
        <w:rPr>
          <w:rFonts w:cstheme="minorHAnsi"/>
          <w:sz w:val="24"/>
        </w:rPr>
        <w:fldChar w:fldCharType="begin" w:fldLock="1"/>
      </w:r>
      <w:r w:rsidR="00866DDA" w:rsidRPr="00295A88">
        <w:rPr>
          <w:rFonts w:cstheme="minorHAnsi"/>
          <w:sz w:val="24"/>
        </w:rPr>
        <w:instrText>ADDIN CSL_CITATION {"citationItems":[{"id":"ITEM-1","itemData":{"DOI":"10.5863/1551-6776-15.2.94","ISSN":"1551-6776","PMID":"22477800","abstract":"OBJECTIVES: To review pharmacokinetics in obese children and to provide medication dosing recommendations.\\n\\nMETHODS: EMBASE, MEDLINE, AND INTERNATIONAL PHARMACEUTICAL ABSTRACTS DATABASES WERE SEARCHED USING THE FOLLOWING TERMS: obesity, morbid obesity, overweight, pharmacokinetics, drug, dose, kidney function test, creatinine, pediatric, and child.\\n\\nRESULTS: We identified 10 studies in which the authors examined drug dosing or pharmacokinetics for obese children. No information was found for drug absorption or metabolism. Obese children have a higher percent fat mass and a lower percent lean mass compared with normal-weight children. Therefore, in obese children, the volume of distribution of lipophilic drugs is most likely higher, and that of hydrophilic drugs is most likely lower, than in normal-weight children. Serum creatinine concentrations are higher in obese than normal-weight children. Total body weight is an appropriate size descriptor for calculating doses of antineoplastics, cefazolin, and succinylcholine in obese children. Initial tobramycin doses may be determined using an adjusted body weight, although using total body weight in the context of monitoring serum tobramycin concentrations would also be an appropriate strategy. We found no information for any of the opioids; antibiotics such as penicillins, carbapenems, vancomycin, and linezolid; antifungals; cardiac drugs such as digoxin and amiodarone; corticosteroids; benzodiazepines; and anticonvulsants. In particular, we found no information about medications that are widely distributed to adipose tissue or that can accumulate there.\\n\\nCONCLUSIONS: The available data are limited because of the small numbers of participating children, study design, or both. The number and type of drugs that have been studied limit our understanding of the pharmacokinetics in obese children. In the absence of dosing information for obese children, it is important to consider the nature and severity of a child's illness, comorbidities, organ function, and side effects and physiochemical properties of the drug. Extrapolating from available adult data is possible, as long as practitioners consider the effects of growth and development on the pharmacokinetics relevant to the child's age.","author":[{"dropping-particle":"","family":"Kendrick","given":"Jennifer G.","non-dropping-particle":"","parse-names":false,"suffix":""},{"dropping-particle":"","family":"Carr","given":"Roxane R.","non-dropping-particle":"","parse-names":false,"suffix":""},{"dropping-particle":"","family":"Ensom","given":"Mary H. H.","non-dropping-particle":"","parse-names":false,"suffix":""}],"container-title":"The Journal of Pediatric Pharmacology and Therapeutics","id":"ITEM-1","issue":"2","issued":{"date-parts":[["2010","4"]]},"page":"94-109","publisher":"Pediatric Pharmacology Advocacy Group","title":"Pharmacokinetics and Drug Dosing in Obese Children","type":"article","volume":"15"},"uris":["http://www.mendeley.com/documents/?uuid=ae204f32-a498-34d0-a244-403d84961e41"]}],"mendeley":{"formattedCitation":"(4)","plainTextFormattedCitation":"(4)","previouslyFormattedCitation":"(4)"},"properties":{"noteIndex":0},"schema":"https://github.com/citation-style-language/schema/raw/master/csl-citation.json"}</w:instrText>
      </w:r>
      <w:r w:rsidR="00E31651" w:rsidRPr="00295A88">
        <w:rPr>
          <w:rFonts w:cstheme="minorHAnsi"/>
          <w:sz w:val="24"/>
        </w:rPr>
        <w:fldChar w:fldCharType="separate"/>
      </w:r>
      <w:r w:rsidR="009D113B" w:rsidRPr="00295A88">
        <w:rPr>
          <w:rFonts w:cstheme="minorHAnsi"/>
          <w:noProof/>
          <w:sz w:val="24"/>
        </w:rPr>
        <w:t>(4)</w:t>
      </w:r>
      <w:r w:rsidR="00E31651" w:rsidRPr="00295A88">
        <w:rPr>
          <w:rFonts w:cstheme="minorHAnsi"/>
          <w:sz w:val="24"/>
        </w:rPr>
        <w:fldChar w:fldCharType="end"/>
      </w:r>
      <w:r w:rsidR="00E31651" w:rsidRPr="00295A88">
        <w:rPr>
          <w:rFonts w:cstheme="minorHAnsi"/>
          <w:sz w:val="24"/>
        </w:rPr>
        <w:t xml:space="preserve">. </w:t>
      </w:r>
      <w:r w:rsidR="005D2810" w:rsidRPr="00295A88">
        <w:rPr>
          <w:rFonts w:cstheme="minorHAnsi"/>
          <w:sz w:val="24"/>
        </w:rPr>
        <w:t>Th</w:t>
      </w:r>
      <w:r w:rsidR="00CA24F1" w:rsidRPr="00295A88">
        <w:rPr>
          <w:rFonts w:cstheme="minorHAnsi"/>
          <w:sz w:val="24"/>
        </w:rPr>
        <w:t>e pharmacokinetics for many drugs can be influenced by excess body weight</w:t>
      </w:r>
      <w:r w:rsidR="00C20E3F" w:rsidRPr="00295A88">
        <w:rPr>
          <w:rFonts w:cstheme="minorHAnsi"/>
          <w:sz w:val="24"/>
        </w:rPr>
        <w:t>, h</w:t>
      </w:r>
      <w:r w:rsidR="00CA24F1" w:rsidRPr="00295A88">
        <w:rPr>
          <w:rFonts w:cstheme="minorHAnsi"/>
          <w:sz w:val="24"/>
        </w:rPr>
        <w:t>ence</w:t>
      </w:r>
      <w:r w:rsidR="00C20E3F" w:rsidRPr="00295A88">
        <w:rPr>
          <w:rFonts w:cstheme="minorHAnsi"/>
          <w:sz w:val="24"/>
        </w:rPr>
        <w:t xml:space="preserve"> </w:t>
      </w:r>
      <w:r w:rsidR="00CA24F1" w:rsidRPr="00295A88">
        <w:rPr>
          <w:rFonts w:cstheme="minorHAnsi"/>
          <w:sz w:val="24"/>
        </w:rPr>
        <w:t xml:space="preserve">overweight and obese children could be at risk of drug toxicity or a minimised therapeutic effect </w:t>
      </w:r>
      <w:r w:rsidR="00C859BB" w:rsidRPr="00295A88">
        <w:rPr>
          <w:rFonts w:cstheme="minorHAnsi"/>
          <w:sz w:val="24"/>
        </w:rPr>
        <w:fldChar w:fldCharType="begin" w:fldLock="1"/>
      </w:r>
      <w:r w:rsidR="004F2046" w:rsidRPr="00295A88">
        <w:rPr>
          <w:rFonts w:cstheme="minorHAnsi"/>
          <w:sz w:val="24"/>
        </w:rPr>
        <w:instrText>ADDIN CSL_CITATION {"citationItems":[{"id":"ITEM-1","itemData":{"DOI":"10.1080/23808993.2016.1138845","ISSN":"2380-8993","abstract":"ABSTRACTUnlike adult medicine, there are fewer choices of medicines per condition in children, and for existing medications, supporting data on pharmacokinetics, pharmacodynamics, or pharmacogenomics is often incomplete. Many pediatric doses are calculated using body weight to produce a dose for the individual child, but this is not true personalisation as the dose suggested (usually in mg/kg) is the same for a large age range of children. The challenge for implementation of precision medicine in pediatrics is therefore to develop an appropriate evidence base (particularly for unlicensed and off label medications), then add onto it the relevant genotype, environmental and lifestyle data to guide both medication selection (where choices exist) and the dose required. This review will consider where consideration of dose is crucial in pediatrics, including the developmental changes across childhood, pediatric obesity, and old and new medicines where data on dosing are scarce and/or inadequately extrapolated ...","author":[{"dropping-particle":"","family":"Hawcutt","given":"Daniel B","non-dropping-particle":"","parse-names":false,"suffix":""},{"dropping-particle":"","family":"Cooney","given":"Lewis","non-dropping-particle":"","parse-names":false,"suffix":""},{"dropping-particle":"","family":"Oni","given":"Louise","non-dropping-particle":"","parse-names":false,"suffix":""},{"dropping-particle":"","family":"Pirmohamed","given":"Munir","non-dropping-particle":"","parse-names":false,"suffix":""}],"container-title":"Expert Review of Precision Medicine and Drug Development","id":"ITEM-1","issue":"1","issued":{"date-parts":[["2016","1","2"]]},"page":"69-78","publisher":"Taylor &amp; Francis","title":"Precision Dosing in Children","type":"article","volume":"1"},"uris":["http://www.mendeley.com/documents/?uuid=18c22cb6-401b-36e3-8768-8e251db04064"]}],"mendeley":{"formattedCitation":"(5)","plainTextFormattedCitation":"(5)","previouslyFormattedCitation":"(5)"},"properties":{"noteIndex":0},"schema":"https://github.com/citation-style-language/schema/raw/master/csl-citation.json"}</w:instrText>
      </w:r>
      <w:r w:rsidR="00C859BB" w:rsidRPr="00295A88">
        <w:rPr>
          <w:rFonts w:cstheme="minorHAnsi"/>
          <w:sz w:val="24"/>
        </w:rPr>
        <w:fldChar w:fldCharType="separate"/>
      </w:r>
      <w:r w:rsidR="009D113B" w:rsidRPr="00295A88">
        <w:rPr>
          <w:rFonts w:cstheme="minorHAnsi"/>
          <w:noProof/>
          <w:sz w:val="24"/>
        </w:rPr>
        <w:t>(5)</w:t>
      </w:r>
      <w:r w:rsidR="00C859BB" w:rsidRPr="00295A88">
        <w:rPr>
          <w:rFonts w:cstheme="minorHAnsi"/>
          <w:sz w:val="24"/>
        </w:rPr>
        <w:fldChar w:fldCharType="end"/>
      </w:r>
      <w:r w:rsidR="00C859BB" w:rsidRPr="00295A88">
        <w:rPr>
          <w:rFonts w:cstheme="minorHAnsi"/>
          <w:sz w:val="24"/>
        </w:rPr>
        <w:t xml:space="preserve">. </w:t>
      </w:r>
    </w:p>
    <w:p w14:paraId="2A12863F" w14:textId="28C1476F" w:rsidR="00A3257B" w:rsidRPr="00295A88" w:rsidRDefault="005E0D73" w:rsidP="00ED3894">
      <w:pPr>
        <w:spacing w:after="0" w:line="480" w:lineRule="auto"/>
        <w:ind w:firstLine="720"/>
        <w:jc w:val="both"/>
        <w:rPr>
          <w:rFonts w:cstheme="minorHAnsi"/>
          <w:sz w:val="24"/>
        </w:rPr>
      </w:pPr>
      <w:r w:rsidRPr="00295A88">
        <w:rPr>
          <w:rFonts w:cstheme="minorHAnsi"/>
          <w:sz w:val="24"/>
        </w:rPr>
        <w:t xml:space="preserve">Ibuprofen is </w:t>
      </w:r>
      <w:r w:rsidR="001E0413" w:rsidRPr="00295A88">
        <w:rPr>
          <w:rFonts w:cstheme="minorHAnsi"/>
          <w:sz w:val="24"/>
        </w:rPr>
        <w:t xml:space="preserve">a non-steroidal anti-inflammatory drug </w:t>
      </w:r>
      <w:r w:rsidR="002E5621" w:rsidRPr="00295A88">
        <w:rPr>
          <w:rFonts w:cstheme="minorHAnsi"/>
          <w:sz w:val="24"/>
        </w:rPr>
        <w:t>(NSAID) t</w:t>
      </w:r>
      <w:r w:rsidR="001E0413" w:rsidRPr="00295A88">
        <w:rPr>
          <w:rFonts w:cstheme="minorHAnsi"/>
          <w:sz w:val="24"/>
        </w:rPr>
        <w:t xml:space="preserve">hat </w:t>
      </w:r>
      <w:r w:rsidR="007A6329" w:rsidRPr="00295A88">
        <w:rPr>
          <w:rFonts w:cstheme="minorHAnsi"/>
          <w:sz w:val="24"/>
        </w:rPr>
        <w:t xml:space="preserve">acts </w:t>
      </w:r>
      <w:r w:rsidR="000B636F" w:rsidRPr="00295A88">
        <w:rPr>
          <w:rFonts w:cstheme="minorHAnsi"/>
          <w:sz w:val="24"/>
        </w:rPr>
        <w:t xml:space="preserve">as a non-specific inhibitor of the </w:t>
      </w:r>
      <w:r w:rsidR="003541E6" w:rsidRPr="00295A88">
        <w:rPr>
          <w:rFonts w:cstheme="minorHAnsi"/>
          <w:sz w:val="24"/>
        </w:rPr>
        <w:t>cyclo-oxygenase enzymes</w:t>
      </w:r>
      <w:r w:rsidR="000B636F" w:rsidRPr="00295A88">
        <w:rPr>
          <w:rFonts w:cstheme="minorHAnsi"/>
          <w:sz w:val="24"/>
        </w:rPr>
        <w:t>,</w:t>
      </w:r>
      <w:r w:rsidR="003541E6" w:rsidRPr="00295A88">
        <w:rPr>
          <w:rFonts w:cstheme="minorHAnsi"/>
          <w:sz w:val="24"/>
        </w:rPr>
        <w:t xml:space="preserve"> and </w:t>
      </w:r>
      <w:r w:rsidR="001E0413" w:rsidRPr="00295A88">
        <w:rPr>
          <w:rFonts w:cstheme="minorHAnsi"/>
          <w:sz w:val="24"/>
        </w:rPr>
        <w:t>is widely used</w:t>
      </w:r>
      <w:r w:rsidR="005B2CF2" w:rsidRPr="00295A88">
        <w:rPr>
          <w:rFonts w:cstheme="minorHAnsi"/>
          <w:sz w:val="24"/>
        </w:rPr>
        <w:t xml:space="preserve"> for its anti-inflammatory, analgesic and anti-pyretic properties</w:t>
      </w:r>
      <w:r w:rsidR="008F77C0" w:rsidRPr="00295A88">
        <w:rPr>
          <w:rFonts w:cstheme="minorHAnsi"/>
          <w:sz w:val="24"/>
        </w:rPr>
        <w:t xml:space="preserve"> in children</w:t>
      </w:r>
      <w:r w:rsidR="0092527A" w:rsidRPr="00295A88">
        <w:rPr>
          <w:rFonts w:cstheme="minorHAnsi"/>
          <w:sz w:val="24"/>
        </w:rPr>
        <w:t xml:space="preserve"> </w:t>
      </w:r>
      <w:r w:rsidR="0092527A" w:rsidRPr="00295A88">
        <w:rPr>
          <w:rFonts w:cstheme="minorHAnsi"/>
          <w:sz w:val="24"/>
        </w:rPr>
        <w:fldChar w:fldCharType="begin" w:fldLock="1"/>
      </w:r>
      <w:r w:rsidR="008B0673" w:rsidRPr="00295A88">
        <w:rPr>
          <w:rFonts w:cstheme="minorHAnsi"/>
          <w:sz w:val="24"/>
        </w:rPr>
        <w:instrText>ADDIN CSL_CITATION {"citationItems":[{"id":"ITEM-1","itemData":{"URL":"https://www.medicinesforchildren.org.uk/ibuprofen-pain-and-inflammation","accessed":{"date-parts":[["2018","4","21"]]},"author":[{"dropping-particle":"","family":"Medicines for Children","given":"","non-dropping-particle":"","parse-names":false,"suffix":""}],"container-title":"Medicines for Children","id":"ITEM-1","issued":{"date-parts":[["2008"]]},"title":"Ibuprofen for pain and inflammation","type":"webpage"},"uris":["http://www.mendeley.com/documents/?uuid=3b7ef211-2d79-3c90-b288-fd7338b9d6c7"]},{"id":"ITEM-2","itemData":{"URL":"https://bnfc.nice.org.uk/drug/ibuprofen.html#sideEffects","accessed":{"date-parts":[["2020","1","11"]]},"author":[{"dropping-particle":"","family":"National Institute for Health and Care Excellence","given":"","non-dropping-particle":"","parse-names":false,"suffix":""}],"id":"ITEM-2","issued":{"date-parts":[["2020"]]},"title":"BNFc - Ibuprofen","type":"webpage"},"uris":["http://www.mendeley.com/documents/?uuid=2e70e6a6-2a3f-3a48-8d1d-4cadb23c5e35"]}],"mendeley":{"formattedCitation":"(6,7)","plainTextFormattedCitation":"(6,7)","previouslyFormattedCitation":"(6,7)"},"properties":{"noteIndex":0},"schema":"https://github.com/citation-style-language/schema/raw/master/csl-citation.json"}</w:instrText>
      </w:r>
      <w:r w:rsidR="0092527A" w:rsidRPr="00295A88">
        <w:rPr>
          <w:rFonts w:cstheme="minorHAnsi"/>
          <w:sz w:val="24"/>
        </w:rPr>
        <w:fldChar w:fldCharType="separate"/>
      </w:r>
      <w:r w:rsidR="00446C7B" w:rsidRPr="00295A88">
        <w:rPr>
          <w:rFonts w:cstheme="minorHAnsi"/>
          <w:noProof/>
          <w:sz w:val="24"/>
        </w:rPr>
        <w:t>(6,7)</w:t>
      </w:r>
      <w:r w:rsidR="0092527A" w:rsidRPr="00295A88">
        <w:rPr>
          <w:rFonts w:cstheme="minorHAnsi"/>
          <w:sz w:val="24"/>
        </w:rPr>
        <w:fldChar w:fldCharType="end"/>
      </w:r>
      <w:r w:rsidR="00881ECC" w:rsidRPr="00295A88">
        <w:rPr>
          <w:rFonts w:cstheme="minorHAnsi"/>
          <w:sz w:val="24"/>
        </w:rPr>
        <w:t>.</w:t>
      </w:r>
      <w:r w:rsidR="009C1C89" w:rsidRPr="00295A88">
        <w:rPr>
          <w:rFonts w:cstheme="minorHAnsi"/>
          <w:sz w:val="24"/>
        </w:rPr>
        <w:t xml:space="preserve"> In the UK</w:t>
      </w:r>
      <w:r w:rsidR="00333304" w:rsidRPr="00295A88">
        <w:rPr>
          <w:rFonts w:cstheme="minorHAnsi"/>
          <w:sz w:val="24"/>
        </w:rPr>
        <w:t>,</w:t>
      </w:r>
      <w:r w:rsidR="009C1C89" w:rsidRPr="00295A88">
        <w:rPr>
          <w:rFonts w:cstheme="minorHAnsi"/>
          <w:sz w:val="24"/>
        </w:rPr>
        <w:t xml:space="preserve"> it is </w:t>
      </w:r>
      <w:r w:rsidR="000B636F" w:rsidRPr="00295A88">
        <w:rPr>
          <w:rFonts w:cstheme="minorHAnsi"/>
          <w:sz w:val="24"/>
        </w:rPr>
        <w:t>licensed from 3 months of age</w:t>
      </w:r>
      <w:r w:rsidR="003F66AC" w:rsidRPr="00295A88">
        <w:rPr>
          <w:rFonts w:cstheme="minorHAnsi"/>
          <w:sz w:val="24"/>
        </w:rPr>
        <w:t xml:space="preserve"> </w:t>
      </w:r>
      <w:r w:rsidR="003F66AC" w:rsidRPr="00295A88">
        <w:rPr>
          <w:rFonts w:cstheme="minorHAnsi"/>
          <w:sz w:val="24"/>
        </w:rPr>
        <w:fldChar w:fldCharType="begin" w:fldLock="1"/>
      </w:r>
      <w:r w:rsidR="00446C7B" w:rsidRPr="00295A88">
        <w:rPr>
          <w:rFonts w:cstheme="minorHAnsi"/>
          <w:sz w:val="24"/>
        </w:rPr>
        <w:instrText>ADDIN CSL_CITATION {"citationItems":[{"id":"ITEM-1","itemData":{"URL":"https://bnfc.nice.org.uk/drug/ibuprofen.html#sideEffects","accessed":{"date-parts":[["2020","1","11"]]},"author":[{"dropping-particle":"","family":"National Institute for Health and Care Excellence","given":"","non-dropping-particle":"","parse-names":false,"suffix":""}],"id":"ITEM-1","issued":{"date-parts":[["2020"]]},"title":"BNFc - Ibuprofen","type":"webpage"},"uris":["http://www.mendeley.com/documents/?uuid=2e70e6a6-2a3f-3a48-8d1d-4cadb23c5e35"]}],"mendeley":{"formattedCitation":"(7)","plainTextFormattedCitation":"(7)","previouslyFormattedCitation":"(7)"},"properties":{"noteIndex":0},"schema":"https://github.com/citation-style-language/schema/raw/master/csl-citation.json"}</w:instrText>
      </w:r>
      <w:r w:rsidR="003F66AC" w:rsidRPr="00295A88">
        <w:rPr>
          <w:rFonts w:cstheme="minorHAnsi"/>
          <w:sz w:val="24"/>
        </w:rPr>
        <w:fldChar w:fldCharType="separate"/>
      </w:r>
      <w:r w:rsidR="00446C7B" w:rsidRPr="00295A88">
        <w:rPr>
          <w:rFonts w:cstheme="minorHAnsi"/>
          <w:noProof/>
          <w:sz w:val="24"/>
        </w:rPr>
        <w:t>(7)</w:t>
      </w:r>
      <w:r w:rsidR="003F66AC" w:rsidRPr="00295A88">
        <w:rPr>
          <w:rFonts w:cstheme="minorHAnsi"/>
          <w:sz w:val="24"/>
        </w:rPr>
        <w:fldChar w:fldCharType="end"/>
      </w:r>
      <w:r w:rsidR="006568E6" w:rsidRPr="00295A88">
        <w:rPr>
          <w:rFonts w:cstheme="minorHAnsi"/>
          <w:sz w:val="24"/>
        </w:rPr>
        <w:t>, and available as an “over the counter” medicine families can purchase directly</w:t>
      </w:r>
      <w:r w:rsidR="003F66AC" w:rsidRPr="00295A88">
        <w:rPr>
          <w:rFonts w:cstheme="minorHAnsi"/>
          <w:sz w:val="24"/>
        </w:rPr>
        <w:t>.</w:t>
      </w:r>
      <w:r w:rsidR="00C91BF8" w:rsidRPr="00295A88">
        <w:rPr>
          <w:rFonts w:cstheme="minorHAnsi"/>
          <w:sz w:val="24"/>
        </w:rPr>
        <w:t xml:space="preserve"> </w:t>
      </w:r>
      <w:r w:rsidR="000B636F" w:rsidRPr="00295A88">
        <w:rPr>
          <w:rFonts w:cstheme="minorHAnsi"/>
          <w:sz w:val="24"/>
        </w:rPr>
        <w:t xml:space="preserve">However, ibuprofen also has well recognised adverse </w:t>
      </w:r>
      <w:r w:rsidR="001A6FE4" w:rsidRPr="00295A88">
        <w:rPr>
          <w:rFonts w:cstheme="minorHAnsi"/>
          <w:sz w:val="24"/>
        </w:rPr>
        <w:t>e</w:t>
      </w:r>
      <w:r w:rsidR="000B636F" w:rsidRPr="00295A88">
        <w:rPr>
          <w:rFonts w:cstheme="minorHAnsi"/>
          <w:sz w:val="24"/>
        </w:rPr>
        <w:t>ffects</w:t>
      </w:r>
      <w:r w:rsidR="001F3C36" w:rsidRPr="00295A88">
        <w:rPr>
          <w:rFonts w:cstheme="minorHAnsi"/>
          <w:sz w:val="24"/>
        </w:rPr>
        <w:t xml:space="preserve">, </w:t>
      </w:r>
      <w:r w:rsidR="00634539" w:rsidRPr="00295A88">
        <w:rPr>
          <w:rFonts w:cstheme="minorHAnsi"/>
          <w:sz w:val="24"/>
        </w:rPr>
        <w:t xml:space="preserve">including </w:t>
      </w:r>
      <w:r w:rsidR="00333304" w:rsidRPr="00295A88">
        <w:rPr>
          <w:rFonts w:cstheme="minorHAnsi"/>
          <w:sz w:val="24"/>
        </w:rPr>
        <w:t xml:space="preserve">gastrointestinal bleeding, </w:t>
      </w:r>
      <w:r w:rsidR="00634539" w:rsidRPr="00295A88">
        <w:rPr>
          <w:rFonts w:cstheme="minorHAnsi"/>
          <w:sz w:val="24"/>
        </w:rPr>
        <w:t xml:space="preserve">rash, and acute kidney </w:t>
      </w:r>
      <w:r w:rsidR="00333304" w:rsidRPr="00295A88">
        <w:rPr>
          <w:rFonts w:cstheme="minorHAnsi"/>
          <w:sz w:val="24"/>
        </w:rPr>
        <w:t>injury</w:t>
      </w:r>
      <w:r w:rsidR="00704A62" w:rsidRPr="00295A88">
        <w:rPr>
          <w:rFonts w:cstheme="minorHAnsi"/>
          <w:sz w:val="24"/>
        </w:rPr>
        <w:t xml:space="preserve"> </w:t>
      </w:r>
      <w:r w:rsidR="003F66AC" w:rsidRPr="00295A88">
        <w:rPr>
          <w:rFonts w:cstheme="minorHAnsi"/>
          <w:sz w:val="24"/>
        </w:rPr>
        <w:fldChar w:fldCharType="begin" w:fldLock="1"/>
      </w:r>
      <w:r w:rsidR="000622C6" w:rsidRPr="00295A88">
        <w:rPr>
          <w:rFonts w:cstheme="minorHAnsi"/>
          <w:sz w:val="24"/>
        </w:rPr>
        <w:instrText>ADDIN CSL_CITATION {"citationItems":[{"id":"ITEM-1","itemData":{"ISSN":"1591-3090","abstract":"In the last few years, reports on adverse drug reactions (ADRs) to NSAIDs in paediatric age, especially to ibuprofen and ketoprofen, have remarkably increased. As to the most prescribed ibuprofen, reports (rash, rectal haemorrhage and acute kidney insufficiency) on ADRs have reached 1.7/100,000 paediatric boxes in 2010. Among such ADRs are 6 cases of acute kidney insufficiency (interstitial nephritis). Therefore, the Paediatric Working Group of AIFA gives the following recommendations: do not use antipyretics to treat fever alone, but to treat fever and malaise; choose either paracetamol or ibuprofen, do not use them combined; avoid to use ibuprofen in chickenpox and in dehydration; calculate drug dosage in relation to weight and not to age. There is no published study that has demonstrated the efficacy of NSAIDs in reducing the duration of the symptomatology of respiratory infections; thus, their use, with a presumed curative purpose, is highly advised against in respiratory infections.","author":[{"dropping-particle":"","family":"Baiardi","given":"Paola","non-dropping-particle":"","parse-names":false,"suffix":""},{"dropping-particle":"","family":"Barbieri","given":"Ignazio","non-dropping-particle":"","parse-names":false,"suffix":""},{"dropping-particle":"Del","family":"Principe","given":"Domenico","non-dropping-particle":"","parse-names":false,"suffix":""},{"dropping-particle":"Di","family":"Pietro","given":"Pasquale","non-dropping-particle":"","parse-names":false,"suffix":""},{"dropping-particle":"","family":"Manzoni","given":"Paolo","non-dropping-particle":"","parse-names":false,"suffix":""},{"dropping-particle":"","family":"Marchetti","given":"Federico","non-dropping-particle":"","parse-names":false,"suffix":""},{"dropping-particle":"","family":"Napoleone","given":"Ettore","non-dropping-particle":"","parse-names":false,"suffix":""},{"dropping-particle":"","family":"Rocchi","given":"Francesca","non-dropping-particle":"","parse-names":false,"suffix":""},{"dropping-particle":"","family":"Rossi","given":"Paolo","non-dropping-particle":"","parse-names":false,"suffix":""},{"dropping-particle":"","family":"Rossi","given":"Rossella","non-dropping-particle":"","parse-names":false,"suffix":""},{"dropping-particle":"","family":"Santuccio","given":"Carmela","non-dropping-particle":"","parse-names":false,"suffix":""},{"dropping-particle":"","family":"Zuccotti","given":"Gian Vincenzo","non-dropping-particle":"","parse-names":false,"suffix":""}],"container-title":"Medico e Bambino","id":"ITEM-1","issue":"10","issued":{"date-parts":[["2010"]]},"page":"654-656","publisher":"Edifram","title":"Caution on the use of NSAIDs in children: Recommendations by the Paediatric Working Group of AIFA (Italian Drug Agency)","type":"article","volume":"29"},"uris":["http://www.mendeley.com/documents/?uuid=2185fa5a-fcba-3cbf-a1fe-727dd5e96848"]},{"id":"ITEM-2","itemData":{"DOI":"10.1007/s10787-016-0302-3","ISSN":"15685608","PMID":"28063133","abstract":"The antipyretic analgesics, paracetamol, and non-steroidal anti-inflammatory agents NSAIDs are one of the most widely used classes of medications in children. The aim of this review is to determine if there are any clinically relevant differences in safety between ibuprofen and paracetamol that may recommend one agent over the other in the management of fever and discomfort in children older than 3 months of age.","author":[{"dropping-particle":"","family":"Kanabar","given":"Dipak J","non-dropping-particle":"","parse-names":false,"suffix":""}],"container-title":"Inflammopharmacology","id":"ITEM-2","issue":"1","issued":{"date-parts":[["2017","2"]]},"page":"1-9","publisher":"Springer","title":"A clinical and safety review of paracetamol and ibuprofen in children","type":"article","volume":"25"},"uris":["http://www.mendeley.com/documents/?uuid=21ba2d51-d578-34ec-8b15-4f5283182a67"]}],"mendeley":{"formattedCitation":"(8,9)","plainTextFormattedCitation":"(8,9)","previouslyFormattedCitation":"(8,9)"},"properties":{"noteIndex":0},"schema":"https://github.com/citation-style-language/schema/raw/master/csl-citation.json"}</w:instrText>
      </w:r>
      <w:r w:rsidR="003F66AC" w:rsidRPr="00295A88">
        <w:rPr>
          <w:rFonts w:cstheme="minorHAnsi"/>
          <w:sz w:val="24"/>
        </w:rPr>
        <w:fldChar w:fldCharType="separate"/>
      </w:r>
      <w:r w:rsidR="00446C7B" w:rsidRPr="00295A88">
        <w:rPr>
          <w:rFonts w:cstheme="minorHAnsi"/>
          <w:noProof/>
          <w:sz w:val="24"/>
        </w:rPr>
        <w:t>(8,9)</w:t>
      </w:r>
      <w:r w:rsidR="003F66AC" w:rsidRPr="00295A88">
        <w:rPr>
          <w:rFonts w:cstheme="minorHAnsi"/>
          <w:sz w:val="24"/>
        </w:rPr>
        <w:fldChar w:fldCharType="end"/>
      </w:r>
      <w:r w:rsidR="003F66AC" w:rsidRPr="00295A88">
        <w:rPr>
          <w:rFonts w:cstheme="minorHAnsi"/>
          <w:sz w:val="24"/>
        </w:rPr>
        <w:t>.</w:t>
      </w:r>
      <w:r w:rsidR="00BA1612" w:rsidRPr="00295A88">
        <w:rPr>
          <w:rFonts w:cstheme="minorHAnsi"/>
          <w:sz w:val="24"/>
        </w:rPr>
        <w:t xml:space="preserve"> </w:t>
      </w:r>
    </w:p>
    <w:p w14:paraId="23B4E4DF" w14:textId="0D5EA6A9" w:rsidR="00657359" w:rsidRPr="00295A88" w:rsidRDefault="002858CE" w:rsidP="00ED3894">
      <w:pPr>
        <w:spacing w:after="0" w:line="480" w:lineRule="auto"/>
        <w:ind w:firstLine="720"/>
        <w:jc w:val="both"/>
        <w:rPr>
          <w:rFonts w:cstheme="minorHAnsi"/>
          <w:sz w:val="24"/>
        </w:rPr>
      </w:pPr>
      <w:r w:rsidRPr="00295A88">
        <w:rPr>
          <w:rFonts w:cstheme="minorHAnsi"/>
          <w:sz w:val="24"/>
        </w:rPr>
        <w:t>The</w:t>
      </w:r>
      <w:r w:rsidR="000B636F" w:rsidRPr="00295A88">
        <w:rPr>
          <w:rFonts w:cstheme="minorHAnsi"/>
          <w:sz w:val="24"/>
        </w:rPr>
        <w:t xml:space="preserve"> British National Formulary of Children (BNFc) does not contain any guidance on dose alterations </w:t>
      </w:r>
      <w:r w:rsidR="006568E6" w:rsidRPr="00295A88">
        <w:rPr>
          <w:rFonts w:cstheme="minorHAnsi"/>
          <w:sz w:val="24"/>
        </w:rPr>
        <w:t xml:space="preserve"> for ibuprofen </w:t>
      </w:r>
      <w:r w:rsidR="000B636F" w:rsidRPr="00295A88">
        <w:rPr>
          <w:rFonts w:cstheme="minorHAnsi"/>
          <w:sz w:val="24"/>
        </w:rPr>
        <w:t xml:space="preserve">in children who are overweight or obese </w:t>
      </w:r>
      <w:r w:rsidR="00881ECC" w:rsidRPr="00295A88">
        <w:rPr>
          <w:rFonts w:cstheme="minorHAnsi"/>
          <w:sz w:val="24"/>
        </w:rPr>
        <w:fldChar w:fldCharType="begin" w:fldLock="1"/>
      </w:r>
      <w:r w:rsidR="00446C7B" w:rsidRPr="00295A88">
        <w:rPr>
          <w:rFonts w:cstheme="minorHAnsi"/>
          <w:sz w:val="24"/>
        </w:rPr>
        <w:instrText>ADDIN CSL_CITATION {"citationItems":[{"id":"ITEM-1","itemData":{"URL":"https://bnfc.nice.org.uk/drug/ibuprofen.html#sideEffects","accessed":{"date-parts":[["2020","1","11"]]},"author":[{"dropping-particle":"","family":"National Institute for Health and Care Excellence","given":"","non-dropping-particle":"","parse-names":false,"suffix":""}],"id":"ITEM-1","issued":{"date-parts":[["2020"]]},"title":"BNFc - Ibuprofen","type":"webpage"},"uris":["http://www.mendeley.com/documents/?uuid=2e70e6a6-2a3f-3a48-8d1d-4cadb23c5e35"]}],"mendeley":{"formattedCitation":"(7)","plainTextFormattedCitation":"(7)","previouslyFormattedCitation":"(7)"},"properties":{"noteIndex":0},"schema":"https://github.com/citation-style-language/schema/raw/master/csl-citation.json"}</w:instrText>
      </w:r>
      <w:r w:rsidR="00881ECC" w:rsidRPr="00295A88">
        <w:rPr>
          <w:rFonts w:cstheme="minorHAnsi"/>
          <w:sz w:val="24"/>
        </w:rPr>
        <w:fldChar w:fldCharType="separate"/>
      </w:r>
      <w:r w:rsidR="00446C7B" w:rsidRPr="00295A88">
        <w:rPr>
          <w:rFonts w:cstheme="minorHAnsi"/>
          <w:noProof/>
          <w:sz w:val="24"/>
        </w:rPr>
        <w:t>(7)</w:t>
      </w:r>
      <w:r w:rsidR="00881ECC" w:rsidRPr="00295A88">
        <w:rPr>
          <w:rFonts w:cstheme="minorHAnsi"/>
          <w:sz w:val="24"/>
        </w:rPr>
        <w:fldChar w:fldCharType="end"/>
      </w:r>
      <w:r w:rsidR="000B636F" w:rsidRPr="00295A88">
        <w:rPr>
          <w:rFonts w:cstheme="minorHAnsi"/>
          <w:sz w:val="24"/>
        </w:rPr>
        <w:t xml:space="preserve">.  </w:t>
      </w:r>
      <w:r w:rsidR="00657359" w:rsidRPr="00295A88">
        <w:rPr>
          <w:rFonts w:cstheme="minorHAnsi"/>
          <w:sz w:val="24"/>
        </w:rPr>
        <w:t xml:space="preserve">Ibuprofen is a </w:t>
      </w:r>
      <w:r w:rsidR="00657359" w:rsidRPr="00295A88">
        <w:rPr>
          <w:rFonts w:cstheme="minorHAnsi"/>
          <w:sz w:val="24"/>
        </w:rPr>
        <w:lastRenderedPageBreak/>
        <w:t xml:space="preserve">polar molecule with a small volume of distribution </w:t>
      </w:r>
      <w:r w:rsidR="00704A62" w:rsidRPr="00295A88">
        <w:rPr>
          <w:rFonts w:cstheme="minorHAnsi"/>
          <w:sz w:val="24"/>
        </w:rPr>
        <w:fldChar w:fldCharType="begin" w:fldLock="1"/>
      </w:r>
      <w:r w:rsidR="00446C7B" w:rsidRPr="00295A88">
        <w:rPr>
          <w:rFonts w:cstheme="minorHAnsi"/>
          <w:sz w:val="24"/>
        </w:rPr>
        <w:instrText>ADDIN CSL_CITATION {"citationItems":[{"id":"ITEM-1","itemData":{"DOI":"10.1016/j.chemosphere.2012.04.004","ISSN":"00456535","abstract":"Microcosm wetland systems (5 L containers) planted with Salvinia molesta, Lemna minor, Ceratophyllum demersum, and Elodea canadensis were investigated for the removal of diclofenac, triclosan, naproxen, ibuprofen, caffeine, clofibric acid and MCPA. After 38days of incubation, 40-99% of triclosan, diclofenac, and naproxen were removed from the planted and unplanted reactors. In covered control reactors no removal was observed. Caffeine and ibuprofen were removed from 40% to 80% in planted reactors whereas removals in control reactors were much lower (2-30%). Removal of clofibric acid and MCPA were negligible in both planted and unplanted reactors. The findings suggested that triclosan, diclofenac, and naproxen were removed predominantly by photodegradation, whereas caffeine and naproxen were removed by biodegradation and/or plant uptake. Pseudo-first-order removal rate constants estimated from nonlinear regressions of time series concentration data were used to describe the contaminant removals. Removal rate constants ranged from 0.003 to 0.299d-1, with half-lives from 2 to 248days. The formation of two major degradation products from ibuprofen, carboxy-ibuprofen and hydroxy-ibuprofen, and a photodegradation product from diclofenac, 1-(8-Chlorocarbazolyl)acetic acid, were followed as a function of time. This study emphasizes that plants contribute to the elimination capacity of microcontaminants in wetlands systems through biodegradation and uptake processes. © 2012 Elsevier Ltd.","author":[{"dropping-particle":"","family":"Matamoros","given":"Víctor","non-dropping-particle":"","parse-names":false,"suffix":""},{"dropping-particle":"","family":"Nguyen","given":"Loc Xuan","non-dropping-particle":"","parse-names":false,"suffix":""},{"dropping-particle":"","family":"Arias","given":"Carlos A.","non-dropping-particle":"","parse-names":false,"suffix":""},{"dropping-particle":"","family":"Salvadó","given":"Victòria","non-dropping-particle":"","parse-names":false,"suffix":""},{"dropping-particle":"","family":"Brix","given":"Hans","non-dropping-particle":"","parse-names":false,"suffix":""}],"container-title":"Chemosphere","id":"ITEM-1","issue":"10","issued":{"date-parts":[["2012","8"]]},"page":"1257-1264","title":"Evaluation of aquatic plants for removing polar microcontaminants: A microcosm experiment","type":"article-journal","volume":"88"},"uris":["http://www.mendeley.com/documents/?uuid=d42fb063-3782-39b1-a70c-aa938a485d82"]},{"id":"ITEM-2","itemData":{"DOI":"10.1007/s10787-009-0016-x","ISBN":"1568-5608","ISSN":"09254692","PMID":"19949916","abstract":"OBJECTIVES: This review attempts to bring together information from a large number of recent studies on the clinical uses, safety and pharmacological properties of ibuprofen. Ibuprofen is widely used in many countries for the relief of symptoms of pain, inflammation and fever. The evidence for modes of action of ibuprofen are considered in relation to its actions in controlling inflammation, pain and fever, as well as the adverse effects of the drug.\\n\\nSUMMARY OF OUTCOMES: At low doses (800-1,200 mg day(-1)) which in many countries are approved for non-prescription (over-the-counter) sale ibuprofen has a good safety profile comparable with paracetamol. Its analgesic activity is linked to its anti-inflammatory effects and is related to reduction in the ex vivo production in blood of cyclo-oxygenase (COX)-1 and COX-2 derived prostanoids. Higher prescription doses (circa 1,800-2,400 mg day(-1)) are employed long-term for the treatment of rheumatic and other more severe musculo-skeletal conditions. Recent evidence from large-scale clinical trials with the newer coxibs, where ibuprofen was as a comparator, have confirmed earlier studies which have shown that ibuprofen has comparable therapeutic benefits with coxibs and other NSAIDs. For long-term usage (6+ months) there are greater numbers of drop-outs due to reduced effectiveness of therapy, a feature which is common with NSAIDs. Spontaneous reports of adverse events and adverse drug reactions (ADRs) in clinical trails from long-term coxib comparator studies, as well as in epidemiological studies, shows that ibuprofen has relatively low risks for gastro-intestinal (GI), hepato-renal and other, rarer, ADRs compared with other NSAIDs and coxibs. A slightly higher risk of cardiovascular (CV) events has been reported in some, but not all studies, but the risks are in general lower than with some coxibs and diclofenac. The possibility that ibuprofen may interfere with the anti-platelet effects of aspirin, though arguably of low grade or significance, has given rise to caution on its use in patients that are at risk for CV conditions that take aspirin for preventing these conditions. Paediatric use of ibuprofen is reviewed and the main results are that the drug is relatively safe and effective as a treatment of acute pain and fever. It is probably more effective than paracetamol as an antipyretic.\\n\\nCONCLUSIONS: This assessment of the safety and benefits of ibuprofen can be summarized thus: (1) Ibuprofen at OTC…","author":[{"dropping-particle":"","family":"Rainsford","given":"K. D.","non-dropping-particle":"","parse-names":false,"suffix":""}],"container-title":"Inflammopharmacology","id":"ITEM-2","issue":"6","issued":{"date-parts":[["2009","12","21"]]},"page":"275-342","publisher":"SP Birkhäuser Verlag Basel","title":"Ibuprofen: Pharmacology, efficacy and safety","type":"article","volume":"17"},"uris":["http://www.mendeley.com/documents/?uuid=21249b7f-74cb-33ba-9f14-f2da343393ff"]}],"mendeley":{"formattedCitation":"(10,11)","plainTextFormattedCitation":"(10,11)","previouslyFormattedCitation":"(10,11)"},"properties":{"noteIndex":0},"schema":"https://github.com/citation-style-language/schema/raw/master/csl-citation.json"}</w:instrText>
      </w:r>
      <w:r w:rsidR="00704A62" w:rsidRPr="00295A88">
        <w:rPr>
          <w:rFonts w:cstheme="minorHAnsi"/>
          <w:sz w:val="24"/>
        </w:rPr>
        <w:fldChar w:fldCharType="separate"/>
      </w:r>
      <w:r w:rsidR="00446C7B" w:rsidRPr="00295A88">
        <w:rPr>
          <w:rFonts w:cstheme="minorHAnsi"/>
          <w:noProof/>
          <w:sz w:val="24"/>
        </w:rPr>
        <w:t>(10,11)</w:t>
      </w:r>
      <w:r w:rsidR="00704A62" w:rsidRPr="00295A88">
        <w:rPr>
          <w:rFonts w:cstheme="minorHAnsi"/>
          <w:sz w:val="24"/>
        </w:rPr>
        <w:fldChar w:fldCharType="end"/>
      </w:r>
      <w:r w:rsidR="00657359" w:rsidRPr="00295A88">
        <w:rPr>
          <w:rFonts w:cstheme="minorHAnsi"/>
          <w:sz w:val="24"/>
        </w:rPr>
        <w:t xml:space="preserve">. </w:t>
      </w:r>
      <w:r w:rsidR="00640202" w:rsidRPr="00295A88">
        <w:rPr>
          <w:rFonts w:cstheme="minorHAnsi"/>
          <w:sz w:val="24"/>
        </w:rPr>
        <w:t xml:space="preserve">In children, there are considerable physiological changes that could affect the circulating drug concentration including: the proportionally increased circulating blood volume in younger children; decreased renal clearance in the youngest; altered hepatic enzyme expression; variations in albumin and other serum proteins </w:t>
      </w:r>
      <w:r w:rsidR="00881ECC" w:rsidRPr="00295A88">
        <w:rPr>
          <w:rFonts w:cstheme="minorHAnsi"/>
          <w:sz w:val="24"/>
        </w:rPr>
        <w:fldChar w:fldCharType="begin" w:fldLock="1"/>
      </w:r>
      <w:r w:rsidR="004F2046" w:rsidRPr="00295A88">
        <w:rPr>
          <w:rFonts w:cstheme="minorHAnsi"/>
          <w:sz w:val="24"/>
        </w:rPr>
        <w:instrText>ADDIN CSL_CITATION {"citationItems":[{"id":"ITEM-1","itemData":{"DOI":"10.1080/23808993.2016.1138845","ISSN":"2380-8993","abstract":"ABSTRACTUnlike adult medicine, there are fewer choices of medicines per condition in children, and for existing medications, supporting data on pharmacokinetics, pharmacodynamics, or pharmacogenomics is often incomplete. Many pediatric doses are calculated using body weight to produce a dose for the individual child, but this is not true personalisation as the dose suggested (usually in mg/kg) is the same for a large age range of children. The challenge for implementation of precision medicine in pediatrics is therefore to develop an appropriate evidence base (particularly for unlicensed and off label medications), then add onto it the relevant genotype, environmental and lifestyle data to guide both medication selection (where choices exist) and the dose required. This review will consider where consideration of dose is crucial in pediatrics, including the developmental changes across childhood, pediatric obesity, and old and new medicines where data on dosing are scarce and/or inadequately extrapolated ...","author":[{"dropping-particle":"","family":"Hawcutt","given":"Daniel B","non-dropping-particle":"","parse-names":false,"suffix":""},{"dropping-particle":"","family":"Cooney","given":"Lewis","non-dropping-particle":"","parse-names":false,"suffix":""},{"dropping-particle":"","family":"Oni","given":"Louise","non-dropping-particle":"","parse-names":false,"suffix":""},{"dropping-particle":"","family":"Pirmohamed","given":"Munir","non-dropping-particle":"","parse-names":false,"suffix":""}],"container-title":"Expert Review of Precision Medicine and Drug Development","id":"ITEM-1","issue":"1","issued":{"date-parts":[["2016","1","2"]]},"page":"69-78","publisher":"Taylor &amp; Francis","title":"Precision Dosing in Children","type":"article","volume":"1"},"uris":["http://www.mendeley.com/documents/?uuid=18c22cb6-401b-36e3-8768-8e251db04064"]}],"mendeley":{"formattedCitation":"(5)","plainTextFormattedCitation":"(5)","previouslyFormattedCitation":"(5)"},"properties":{"noteIndex":0},"schema":"https://github.com/citation-style-language/schema/raw/master/csl-citation.json"}</w:instrText>
      </w:r>
      <w:r w:rsidR="00881ECC" w:rsidRPr="00295A88">
        <w:rPr>
          <w:rFonts w:cstheme="minorHAnsi"/>
          <w:sz w:val="24"/>
        </w:rPr>
        <w:fldChar w:fldCharType="separate"/>
      </w:r>
      <w:r w:rsidR="00881ECC" w:rsidRPr="00295A88">
        <w:rPr>
          <w:rFonts w:cstheme="minorHAnsi"/>
          <w:noProof/>
          <w:sz w:val="24"/>
        </w:rPr>
        <w:t>(5)</w:t>
      </w:r>
      <w:r w:rsidR="00881ECC" w:rsidRPr="00295A88">
        <w:rPr>
          <w:rFonts w:cstheme="minorHAnsi"/>
          <w:sz w:val="24"/>
        </w:rPr>
        <w:fldChar w:fldCharType="end"/>
      </w:r>
      <w:r w:rsidR="00640202" w:rsidRPr="00295A88">
        <w:rPr>
          <w:rFonts w:cstheme="minorHAnsi"/>
          <w:sz w:val="24"/>
        </w:rPr>
        <w:t xml:space="preserve">. </w:t>
      </w:r>
      <w:r w:rsidR="00657359" w:rsidRPr="00295A88">
        <w:rPr>
          <w:rFonts w:cstheme="minorHAnsi"/>
          <w:sz w:val="24"/>
        </w:rPr>
        <w:t xml:space="preserve">Currently, the clinical concern </w:t>
      </w:r>
      <w:r w:rsidR="00640202" w:rsidRPr="00295A88">
        <w:rPr>
          <w:rFonts w:cstheme="minorHAnsi"/>
          <w:sz w:val="24"/>
        </w:rPr>
        <w:t xml:space="preserve">would therefore be that </w:t>
      </w:r>
      <w:r w:rsidR="00657359" w:rsidRPr="00295A88">
        <w:rPr>
          <w:rFonts w:cstheme="minorHAnsi"/>
          <w:sz w:val="24"/>
        </w:rPr>
        <w:t xml:space="preserve">either obese children </w:t>
      </w:r>
      <w:r w:rsidR="00640202" w:rsidRPr="00295A88">
        <w:rPr>
          <w:rFonts w:cstheme="minorHAnsi"/>
          <w:sz w:val="24"/>
        </w:rPr>
        <w:t xml:space="preserve">and young people </w:t>
      </w:r>
      <w:r w:rsidR="00657359" w:rsidRPr="00295A88">
        <w:rPr>
          <w:rFonts w:cstheme="minorHAnsi"/>
          <w:sz w:val="24"/>
        </w:rPr>
        <w:t>are not rece</w:t>
      </w:r>
      <w:r w:rsidR="00640202" w:rsidRPr="00295A88">
        <w:rPr>
          <w:rFonts w:cstheme="minorHAnsi"/>
          <w:sz w:val="24"/>
        </w:rPr>
        <w:t>iving adequate analgesia if using a</w:t>
      </w:r>
      <w:r w:rsidR="00333304" w:rsidRPr="00295A88">
        <w:rPr>
          <w:rFonts w:cstheme="minorHAnsi"/>
          <w:sz w:val="24"/>
        </w:rPr>
        <w:t>n</w:t>
      </w:r>
      <w:r w:rsidR="00640202" w:rsidRPr="00295A88">
        <w:rPr>
          <w:rFonts w:cstheme="minorHAnsi"/>
          <w:sz w:val="24"/>
        </w:rPr>
        <w:t xml:space="preserve"> age</w:t>
      </w:r>
      <w:r w:rsidR="00333304" w:rsidRPr="00295A88">
        <w:rPr>
          <w:rFonts w:cstheme="minorHAnsi"/>
          <w:sz w:val="24"/>
        </w:rPr>
        <w:t>-</w:t>
      </w:r>
      <w:r w:rsidR="00640202" w:rsidRPr="00295A88">
        <w:rPr>
          <w:rFonts w:cstheme="minorHAnsi"/>
          <w:sz w:val="24"/>
        </w:rPr>
        <w:t xml:space="preserve">based dosing </w:t>
      </w:r>
      <w:r w:rsidR="00151CD4" w:rsidRPr="00295A88">
        <w:rPr>
          <w:rFonts w:cstheme="minorHAnsi"/>
          <w:sz w:val="24"/>
        </w:rPr>
        <w:t>strategy or</w:t>
      </w:r>
      <w:r w:rsidR="00640202" w:rsidRPr="00295A88">
        <w:rPr>
          <w:rFonts w:cstheme="minorHAnsi"/>
          <w:sz w:val="24"/>
        </w:rPr>
        <w:t xml:space="preserve"> are at increased risk of adverse effects due to larger doses prescribed in a weight</w:t>
      </w:r>
      <w:r w:rsidR="00333304" w:rsidRPr="00295A88">
        <w:rPr>
          <w:rFonts w:cstheme="minorHAnsi"/>
          <w:sz w:val="24"/>
        </w:rPr>
        <w:t>-</w:t>
      </w:r>
      <w:r w:rsidR="00640202" w:rsidRPr="00295A88">
        <w:rPr>
          <w:rFonts w:cstheme="minorHAnsi"/>
          <w:sz w:val="24"/>
        </w:rPr>
        <w:t>based dosing strategy.</w:t>
      </w:r>
    </w:p>
    <w:p w14:paraId="6DBD0B83" w14:textId="46C62128" w:rsidR="003F66AC" w:rsidRPr="00295A88" w:rsidRDefault="00640202" w:rsidP="00ED3894">
      <w:pPr>
        <w:spacing w:after="0" w:line="480" w:lineRule="auto"/>
        <w:ind w:firstLine="720"/>
        <w:jc w:val="both"/>
        <w:rPr>
          <w:rFonts w:cstheme="minorHAnsi"/>
          <w:sz w:val="24"/>
        </w:rPr>
      </w:pPr>
      <w:r w:rsidRPr="00295A88">
        <w:rPr>
          <w:rFonts w:cstheme="minorHAnsi"/>
          <w:sz w:val="24"/>
        </w:rPr>
        <w:t>There is evidence of altered pharmacokinetics in</w:t>
      </w:r>
      <w:r w:rsidR="005D2810" w:rsidRPr="00295A88">
        <w:rPr>
          <w:rFonts w:cstheme="minorHAnsi"/>
          <w:sz w:val="24"/>
        </w:rPr>
        <w:t xml:space="preserve"> obese</w:t>
      </w:r>
      <w:r w:rsidRPr="00295A88">
        <w:rPr>
          <w:rFonts w:cstheme="minorHAnsi"/>
          <w:sz w:val="24"/>
        </w:rPr>
        <w:t xml:space="preserve"> adults, where a</w:t>
      </w:r>
      <w:r w:rsidR="000F5700" w:rsidRPr="00295A88">
        <w:rPr>
          <w:rFonts w:cstheme="minorHAnsi"/>
          <w:sz w:val="24"/>
        </w:rPr>
        <w:t xml:space="preserve"> case-control study</w:t>
      </w:r>
      <w:r w:rsidR="00FC4177" w:rsidRPr="00295A88">
        <w:rPr>
          <w:rFonts w:cstheme="minorHAnsi"/>
          <w:sz w:val="24"/>
        </w:rPr>
        <w:t xml:space="preserve"> investigating </w:t>
      </w:r>
      <w:r w:rsidR="00B871BF" w:rsidRPr="00295A88">
        <w:rPr>
          <w:rFonts w:cstheme="minorHAnsi"/>
          <w:sz w:val="24"/>
        </w:rPr>
        <w:t xml:space="preserve">ibuprofen disposition </w:t>
      </w:r>
      <w:r w:rsidRPr="00295A88">
        <w:rPr>
          <w:rFonts w:cstheme="minorHAnsi"/>
          <w:sz w:val="24"/>
        </w:rPr>
        <w:t xml:space="preserve">between the obese and </w:t>
      </w:r>
      <w:r w:rsidR="00B871BF" w:rsidRPr="00295A88">
        <w:rPr>
          <w:rFonts w:cstheme="minorHAnsi"/>
          <w:sz w:val="24"/>
        </w:rPr>
        <w:t xml:space="preserve">non-obese </w:t>
      </w:r>
      <w:r w:rsidRPr="00295A88">
        <w:rPr>
          <w:rFonts w:cstheme="minorHAnsi"/>
          <w:sz w:val="24"/>
        </w:rPr>
        <w:t xml:space="preserve">identified decreased </w:t>
      </w:r>
      <w:r w:rsidR="00C34351" w:rsidRPr="00295A88">
        <w:rPr>
          <w:rFonts w:cstheme="minorHAnsi"/>
          <w:sz w:val="24"/>
        </w:rPr>
        <w:t xml:space="preserve">peak concentrations </w:t>
      </w:r>
      <w:r w:rsidRPr="00295A88">
        <w:rPr>
          <w:rFonts w:cstheme="minorHAnsi"/>
          <w:sz w:val="24"/>
        </w:rPr>
        <w:t>of ibuprofen in obese</w:t>
      </w:r>
      <w:r w:rsidR="00DD1F1E" w:rsidRPr="00295A88">
        <w:rPr>
          <w:rFonts w:cstheme="minorHAnsi"/>
          <w:sz w:val="24"/>
        </w:rPr>
        <w:t xml:space="preserve"> individuals</w:t>
      </w:r>
      <w:r w:rsidRPr="00295A88">
        <w:rPr>
          <w:rFonts w:cstheme="minorHAnsi"/>
          <w:sz w:val="24"/>
        </w:rPr>
        <w:t xml:space="preserve"> </w:t>
      </w:r>
      <w:r w:rsidR="00F07180" w:rsidRPr="00295A88">
        <w:rPr>
          <w:rFonts w:cstheme="minorHAnsi"/>
          <w:sz w:val="24"/>
        </w:rPr>
        <w:t xml:space="preserve"> </w:t>
      </w:r>
      <w:r w:rsidR="00F07180" w:rsidRPr="00295A88">
        <w:rPr>
          <w:rFonts w:cstheme="minorHAnsi"/>
          <w:sz w:val="24"/>
        </w:rPr>
        <w:fldChar w:fldCharType="begin" w:fldLock="1"/>
      </w:r>
      <w:r w:rsidR="00100602" w:rsidRPr="00295A88">
        <w:rPr>
          <w:rFonts w:cstheme="minorHAnsi"/>
          <w:sz w:val="24"/>
        </w:rPr>
        <w:instrText>ADDIN CSL_CITATION {"citationItems":[{"id":"ITEM-1","itemData":{"DOI":"10.1002/art.1780281006","ISSN":"15290131","PMID":"4052122","abstract":"Eleven obese subjects (weight 114 +/- 11 kg, mean +/- SE) and 11 age- matched subjects with normal body weight (61 +/- 3 kg) were given 600 mg of ibuprofen orally after an overnight fast. Peak ibuprofen concentration was significantly decreased in obese subjects (P less than 0.02), although the time from administration to peak concentration was not different. Ibuprofen volume of distribution was increased in obese subjects, and this increased distribution correlated positively with body weight (r = 0.82; P less than 0.001). Volume of distribution corrected for body weight was decreased in obese subjects, and this decrease correlated negatively with body weight. Ibuprofen clearance was also increased in obese subjects; the increase correlated positively with body weight (r = 0.81; P less than 0.001). Since the independent variables, volume of distribution and clearance, were increased in parallel in the obese subjects, the dependent variable, elimination half-life, was unchanged. Using mean values of distribution calculated from the 2 groups, ibuprofen distribution into body weight in excess of ideal body weight was found to be approximately 0.44 times as extensive as the distribution into ideal body weight. Furthermore, ibuprofen clearance increased in parallel with the volume of distribution and total body weight. Clinically, these data indicate that in obese patients, the ibuprofen dose may be increased without changing the dose interval, in order to achieve necessary plasma concentrations.","author":[{"dropping-particle":"","family":"Abernethy","given":"Darrell R.","non-dropping-particle":"","parse-names":false,"suffix":""},{"dropping-particle":"","family":"Greenblatt","given":"David J.","non-dropping-particle":"","parse-names":false,"suffix":""}],"container-title":"Arthritis &amp; Rheumatism","id":"ITEM-1","issue":"10","issued":{"date-parts":[["1985","10","1"]]},"page":"1117-1121","publisher":"Wiley-Blackwell","title":"Ibuprofen disposition in obese individuals","type":"article","volume":"28"},"uris":["http://www.mendeley.com/documents/?uuid=027122d0-37f6-3778-87c9-75a1cd24e7b2"]}],"mendeley":{"formattedCitation":"(12)","plainTextFormattedCitation":"(12)","previouslyFormattedCitation":"(12)"},"properties":{"noteIndex":0},"schema":"https://github.com/citation-style-language/schema/raw/master/csl-citation.json"}</w:instrText>
      </w:r>
      <w:r w:rsidR="00F07180" w:rsidRPr="00295A88">
        <w:rPr>
          <w:rFonts w:cstheme="minorHAnsi"/>
          <w:sz w:val="24"/>
        </w:rPr>
        <w:fldChar w:fldCharType="separate"/>
      </w:r>
      <w:r w:rsidR="00446C7B" w:rsidRPr="00295A88">
        <w:rPr>
          <w:rFonts w:cstheme="minorHAnsi"/>
          <w:noProof/>
          <w:sz w:val="24"/>
        </w:rPr>
        <w:t>(12)</w:t>
      </w:r>
      <w:r w:rsidR="00F07180" w:rsidRPr="00295A88">
        <w:rPr>
          <w:rFonts w:cstheme="minorHAnsi"/>
          <w:sz w:val="24"/>
        </w:rPr>
        <w:fldChar w:fldCharType="end"/>
      </w:r>
      <w:r w:rsidR="00F07180" w:rsidRPr="00295A88">
        <w:rPr>
          <w:rFonts w:cstheme="minorHAnsi"/>
          <w:sz w:val="24"/>
        </w:rPr>
        <w:t>.</w:t>
      </w:r>
      <w:r w:rsidR="00BF66BF" w:rsidRPr="00295A88">
        <w:rPr>
          <w:rFonts w:cstheme="minorHAnsi"/>
          <w:sz w:val="24"/>
        </w:rPr>
        <w:t xml:space="preserve"> </w:t>
      </w:r>
    </w:p>
    <w:p w14:paraId="18218D84" w14:textId="5B8D568B" w:rsidR="00293475" w:rsidRPr="00295A88" w:rsidRDefault="00850DE7" w:rsidP="00ED3894">
      <w:pPr>
        <w:spacing w:after="0" w:line="480" w:lineRule="auto"/>
        <w:ind w:firstLine="720"/>
        <w:jc w:val="both"/>
        <w:rPr>
          <w:rFonts w:cstheme="minorHAnsi"/>
          <w:sz w:val="24"/>
        </w:rPr>
      </w:pPr>
      <w:r w:rsidRPr="00295A88">
        <w:rPr>
          <w:rFonts w:cstheme="minorHAnsi"/>
          <w:sz w:val="24"/>
        </w:rPr>
        <w:t xml:space="preserve">We </w:t>
      </w:r>
      <w:r w:rsidR="00640202" w:rsidRPr="00295A88">
        <w:rPr>
          <w:rFonts w:cstheme="minorHAnsi"/>
          <w:sz w:val="24"/>
        </w:rPr>
        <w:t xml:space="preserve">therefore </w:t>
      </w:r>
      <w:r w:rsidRPr="00295A88">
        <w:rPr>
          <w:rFonts w:cstheme="minorHAnsi"/>
          <w:sz w:val="24"/>
        </w:rPr>
        <w:t>aim</w:t>
      </w:r>
      <w:r w:rsidR="00E25247" w:rsidRPr="00295A88">
        <w:rPr>
          <w:rFonts w:cstheme="minorHAnsi"/>
          <w:sz w:val="24"/>
        </w:rPr>
        <w:t>ed</w:t>
      </w:r>
      <w:r w:rsidRPr="00295A88">
        <w:rPr>
          <w:rFonts w:cstheme="minorHAnsi"/>
          <w:sz w:val="24"/>
        </w:rPr>
        <w:t xml:space="preserve"> </w:t>
      </w:r>
      <w:r w:rsidR="00E25247" w:rsidRPr="00295A88">
        <w:rPr>
          <w:rFonts w:cstheme="minorHAnsi"/>
          <w:sz w:val="24"/>
        </w:rPr>
        <w:t xml:space="preserve">to </w:t>
      </w:r>
      <w:r w:rsidR="00295A1A" w:rsidRPr="00295A88">
        <w:rPr>
          <w:rFonts w:cstheme="minorHAnsi"/>
          <w:sz w:val="24"/>
        </w:rPr>
        <w:t xml:space="preserve">systematically review </w:t>
      </w:r>
      <w:r w:rsidR="00E25247" w:rsidRPr="00295A88">
        <w:rPr>
          <w:rFonts w:cstheme="minorHAnsi"/>
          <w:sz w:val="24"/>
        </w:rPr>
        <w:t xml:space="preserve">the </w:t>
      </w:r>
      <w:r w:rsidR="003B3AA4" w:rsidRPr="00295A88">
        <w:rPr>
          <w:rFonts w:cstheme="minorHAnsi"/>
          <w:sz w:val="24"/>
        </w:rPr>
        <w:t xml:space="preserve">published </w:t>
      </w:r>
      <w:r w:rsidR="001F5A9D" w:rsidRPr="00295A88">
        <w:rPr>
          <w:rFonts w:cstheme="minorHAnsi"/>
          <w:sz w:val="24"/>
        </w:rPr>
        <w:t xml:space="preserve">literature regarding </w:t>
      </w:r>
      <w:r w:rsidR="003B3AA4" w:rsidRPr="00295A88">
        <w:rPr>
          <w:rFonts w:cstheme="minorHAnsi"/>
          <w:sz w:val="24"/>
        </w:rPr>
        <w:t xml:space="preserve">ibuprofen </w:t>
      </w:r>
      <w:r w:rsidR="00640202" w:rsidRPr="00295A88">
        <w:rPr>
          <w:rFonts w:cstheme="minorHAnsi"/>
          <w:sz w:val="24"/>
        </w:rPr>
        <w:t xml:space="preserve">for </w:t>
      </w:r>
      <w:r w:rsidR="00E25247" w:rsidRPr="00295A88">
        <w:rPr>
          <w:rFonts w:cstheme="minorHAnsi"/>
          <w:sz w:val="24"/>
        </w:rPr>
        <w:t xml:space="preserve">dosing </w:t>
      </w:r>
      <w:r w:rsidR="003B3AA4" w:rsidRPr="00295A88">
        <w:rPr>
          <w:rFonts w:cstheme="minorHAnsi"/>
          <w:sz w:val="24"/>
        </w:rPr>
        <w:t xml:space="preserve">regimens used in </w:t>
      </w:r>
      <w:r w:rsidR="00E25247" w:rsidRPr="00295A88">
        <w:rPr>
          <w:rFonts w:cstheme="minorHAnsi"/>
          <w:sz w:val="24"/>
        </w:rPr>
        <w:t>obese children and young people.</w:t>
      </w:r>
      <w:r w:rsidR="00B13477" w:rsidRPr="00295A88">
        <w:rPr>
          <w:rFonts w:cstheme="minorHAnsi"/>
          <w:sz w:val="24"/>
        </w:rPr>
        <w:t xml:space="preserve"> As a secondary outcome, we aim</w:t>
      </w:r>
      <w:r w:rsidR="00640202" w:rsidRPr="00295A88">
        <w:rPr>
          <w:rFonts w:cstheme="minorHAnsi"/>
          <w:sz w:val="24"/>
        </w:rPr>
        <w:t>ed</w:t>
      </w:r>
      <w:r w:rsidR="00B13477" w:rsidRPr="00295A88">
        <w:rPr>
          <w:rFonts w:cstheme="minorHAnsi"/>
          <w:sz w:val="24"/>
        </w:rPr>
        <w:t xml:space="preserve"> to examine</w:t>
      </w:r>
      <w:r w:rsidR="005469CD" w:rsidRPr="00295A88">
        <w:rPr>
          <w:rFonts w:cstheme="minorHAnsi"/>
          <w:sz w:val="24"/>
        </w:rPr>
        <w:t xml:space="preserve"> t</w:t>
      </w:r>
      <w:r w:rsidR="00B13477" w:rsidRPr="00295A88">
        <w:rPr>
          <w:rFonts w:cstheme="minorHAnsi"/>
          <w:sz w:val="24"/>
        </w:rPr>
        <w:t xml:space="preserve">he </w:t>
      </w:r>
      <w:r w:rsidR="003B3AA4" w:rsidRPr="00295A88">
        <w:rPr>
          <w:rFonts w:cstheme="minorHAnsi"/>
          <w:sz w:val="24"/>
        </w:rPr>
        <w:t>efficacy</w:t>
      </w:r>
      <w:r w:rsidR="001F5A9D" w:rsidRPr="00295A88">
        <w:rPr>
          <w:rFonts w:cstheme="minorHAnsi"/>
          <w:sz w:val="24"/>
        </w:rPr>
        <w:t>, tolerability and safety of ibuprofen in obese children and young people</w:t>
      </w:r>
      <w:r w:rsidR="00295A1A" w:rsidRPr="00295A88">
        <w:rPr>
          <w:rFonts w:cstheme="minorHAnsi"/>
          <w:sz w:val="24"/>
        </w:rPr>
        <w:t xml:space="preserve"> dosed in these studies</w:t>
      </w:r>
      <w:r w:rsidR="001F5A9D" w:rsidRPr="00295A88">
        <w:rPr>
          <w:rFonts w:cstheme="minorHAnsi"/>
          <w:sz w:val="24"/>
        </w:rPr>
        <w:t>.</w:t>
      </w:r>
    </w:p>
    <w:p w14:paraId="5A3EBA7F" w14:textId="77777777" w:rsidR="006043DC" w:rsidRPr="00295A88" w:rsidRDefault="006043DC" w:rsidP="00ED3894">
      <w:pPr>
        <w:keepNext/>
        <w:keepLines/>
        <w:pBdr>
          <w:bottom w:val="single" w:sz="8" w:space="1" w:color="99CB38" w:themeColor="accent1"/>
        </w:pBdr>
        <w:spacing w:before="240" w:line="480" w:lineRule="auto"/>
        <w:outlineLvl w:val="0"/>
        <w:rPr>
          <w:rFonts w:eastAsiaTheme="majorEastAsia" w:cstheme="minorHAnsi"/>
          <w:b/>
          <w:bCs/>
          <w:color w:val="729928" w:themeColor="accent1" w:themeShade="BF"/>
          <w:sz w:val="32"/>
          <w:szCs w:val="32"/>
        </w:rPr>
      </w:pPr>
      <w:r w:rsidRPr="00295A88">
        <w:rPr>
          <w:rFonts w:eastAsiaTheme="majorEastAsia" w:cstheme="minorHAnsi"/>
          <w:b/>
          <w:bCs/>
          <w:color w:val="729928" w:themeColor="accent1" w:themeShade="BF"/>
          <w:sz w:val="32"/>
          <w:szCs w:val="32"/>
        </w:rPr>
        <w:t>METHODS</w:t>
      </w:r>
    </w:p>
    <w:p w14:paraId="71E53170" w14:textId="583DFDF1" w:rsidR="000763D8" w:rsidRPr="00295A88" w:rsidRDefault="000763D8" w:rsidP="00ED3894">
      <w:pPr>
        <w:spacing w:after="0" w:line="480" w:lineRule="auto"/>
        <w:rPr>
          <w:rFonts w:cstheme="minorHAnsi"/>
          <w:b/>
          <w:sz w:val="24"/>
          <w:szCs w:val="24"/>
        </w:rPr>
      </w:pPr>
      <w:r w:rsidRPr="00295A88">
        <w:rPr>
          <w:rFonts w:cstheme="minorHAnsi"/>
          <w:bCs/>
          <w:sz w:val="24"/>
          <w:szCs w:val="24"/>
        </w:rPr>
        <w:t>The systematic review was registered on the PROPSERO website (</w:t>
      </w:r>
      <w:r w:rsidRPr="00295A88">
        <w:rPr>
          <w:rFonts w:cstheme="minorHAnsi"/>
          <w:bCs/>
          <w:color w:val="333333"/>
          <w:sz w:val="24"/>
          <w:szCs w:val="24"/>
          <w:shd w:val="clear" w:color="auto" w:fill="FFFFFF"/>
        </w:rPr>
        <w:t>CRD42021213500</w:t>
      </w:r>
      <w:r w:rsidRPr="00295A88">
        <w:rPr>
          <w:rFonts w:cstheme="minorHAnsi"/>
          <w:color w:val="333333"/>
          <w:sz w:val="24"/>
          <w:szCs w:val="24"/>
          <w:shd w:val="clear" w:color="auto" w:fill="FFFFFF"/>
        </w:rPr>
        <w:t>)</w:t>
      </w:r>
      <w:r w:rsidR="0083417A">
        <w:rPr>
          <w:rFonts w:cstheme="minorHAnsi"/>
          <w:color w:val="333333"/>
          <w:sz w:val="24"/>
          <w:szCs w:val="24"/>
          <w:shd w:val="clear" w:color="auto" w:fill="FFFFFF"/>
        </w:rPr>
        <w:t>.</w:t>
      </w:r>
    </w:p>
    <w:p w14:paraId="33858729" w14:textId="2FA54217" w:rsidR="006043DC" w:rsidRPr="00295A88" w:rsidRDefault="006043DC" w:rsidP="00ED3894">
      <w:pPr>
        <w:spacing w:after="0" w:line="480" w:lineRule="auto"/>
        <w:rPr>
          <w:rFonts w:cstheme="minorHAnsi"/>
          <w:b/>
          <w:sz w:val="24"/>
          <w:szCs w:val="24"/>
        </w:rPr>
      </w:pPr>
      <w:r w:rsidRPr="00295A88">
        <w:rPr>
          <w:rFonts w:cstheme="minorHAnsi"/>
          <w:b/>
          <w:sz w:val="24"/>
          <w:szCs w:val="24"/>
        </w:rPr>
        <w:t>Study Inclusion Criteria</w:t>
      </w:r>
    </w:p>
    <w:p w14:paraId="002C122D" w14:textId="3F3F93D4" w:rsidR="00430F8A" w:rsidRPr="00295A88" w:rsidRDefault="000C038D" w:rsidP="00ED3894">
      <w:pPr>
        <w:spacing w:after="0" w:line="480" w:lineRule="auto"/>
        <w:jc w:val="both"/>
        <w:rPr>
          <w:rFonts w:cstheme="minorHAnsi"/>
          <w:sz w:val="24"/>
          <w:szCs w:val="24"/>
        </w:rPr>
      </w:pPr>
      <w:r w:rsidRPr="00295A88">
        <w:rPr>
          <w:rFonts w:cstheme="minorHAnsi"/>
          <w:sz w:val="24"/>
          <w:szCs w:val="24"/>
        </w:rPr>
        <w:t>J</w:t>
      </w:r>
      <w:r w:rsidR="0079244E" w:rsidRPr="00295A88">
        <w:rPr>
          <w:rFonts w:cstheme="minorHAnsi"/>
          <w:sz w:val="24"/>
          <w:szCs w:val="24"/>
        </w:rPr>
        <w:t xml:space="preserve">ournals were identified through literature searches (from inception until </w:t>
      </w:r>
      <w:r w:rsidR="00FC6262" w:rsidRPr="00295A88">
        <w:rPr>
          <w:rFonts w:cstheme="minorHAnsi"/>
          <w:sz w:val="24"/>
          <w:szCs w:val="24"/>
        </w:rPr>
        <w:t>January 2021</w:t>
      </w:r>
      <w:r w:rsidR="0079244E" w:rsidRPr="00295A88">
        <w:rPr>
          <w:rFonts w:cstheme="minorHAnsi"/>
          <w:sz w:val="24"/>
          <w:szCs w:val="24"/>
        </w:rPr>
        <w:t>) on the following databases: Allied and Complementary Medicine</w:t>
      </w:r>
      <w:r w:rsidR="000A1E5C" w:rsidRPr="00295A88">
        <w:rPr>
          <w:rFonts w:cstheme="minorHAnsi"/>
          <w:sz w:val="24"/>
          <w:szCs w:val="24"/>
        </w:rPr>
        <w:t xml:space="preserve"> Database (AMED)</w:t>
      </w:r>
      <w:r w:rsidR="0079244E" w:rsidRPr="00295A88">
        <w:rPr>
          <w:rFonts w:cstheme="minorHAnsi"/>
          <w:sz w:val="24"/>
          <w:szCs w:val="24"/>
        </w:rPr>
        <w:t xml:space="preserve">, CINAHL Plus, Cochrane Reviews, MEDLINE, NHS Evidence, </w:t>
      </w:r>
      <w:proofErr w:type="spellStart"/>
      <w:r w:rsidR="000A1E5C" w:rsidRPr="00295A88">
        <w:rPr>
          <w:rFonts w:cstheme="minorHAnsi"/>
          <w:sz w:val="24"/>
          <w:szCs w:val="24"/>
        </w:rPr>
        <w:t>PsycARTICLES</w:t>
      </w:r>
      <w:proofErr w:type="spellEnd"/>
      <w:r w:rsidR="000A1E5C" w:rsidRPr="00295A88">
        <w:rPr>
          <w:rFonts w:cstheme="minorHAnsi"/>
          <w:sz w:val="24"/>
          <w:szCs w:val="24"/>
        </w:rPr>
        <w:t xml:space="preserve">, </w:t>
      </w:r>
      <w:r w:rsidR="0079244E" w:rsidRPr="00295A88">
        <w:rPr>
          <w:rFonts w:cstheme="minorHAnsi"/>
          <w:sz w:val="24"/>
          <w:szCs w:val="24"/>
        </w:rPr>
        <w:t>PsycINFO, PsycTESTS, PubMed,</w:t>
      </w:r>
      <w:r w:rsidR="000A1E5C" w:rsidRPr="00295A88">
        <w:rPr>
          <w:rFonts w:cstheme="minorHAnsi"/>
          <w:sz w:val="24"/>
          <w:szCs w:val="24"/>
        </w:rPr>
        <w:t xml:space="preserve"> SAGE Journals,</w:t>
      </w:r>
      <w:r w:rsidR="0079244E" w:rsidRPr="00295A88">
        <w:rPr>
          <w:rFonts w:cstheme="minorHAnsi"/>
          <w:sz w:val="24"/>
          <w:szCs w:val="24"/>
        </w:rPr>
        <w:t xml:space="preserve"> Scopus and Web of Science.</w:t>
      </w:r>
      <w:r w:rsidR="00845167" w:rsidRPr="00295A88">
        <w:rPr>
          <w:rFonts w:cstheme="minorHAnsi"/>
          <w:sz w:val="24"/>
          <w:szCs w:val="24"/>
        </w:rPr>
        <w:t xml:space="preserve"> We included studies</w:t>
      </w:r>
      <w:r w:rsidRPr="00295A88">
        <w:rPr>
          <w:rFonts w:cstheme="minorHAnsi"/>
          <w:sz w:val="24"/>
          <w:szCs w:val="24"/>
        </w:rPr>
        <w:t xml:space="preserve"> reporting the administration of ibuprofen to</w:t>
      </w:r>
      <w:r w:rsidR="00845167" w:rsidRPr="00295A88">
        <w:rPr>
          <w:rFonts w:cstheme="minorHAnsi"/>
          <w:sz w:val="24"/>
          <w:szCs w:val="24"/>
        </w:rPr>
        <w:t xml:space="preserve"> children </w:t>
      </w:r>
      <w:r w:rsidR="006043DC" w:rsidRPr="00295A88">
        <w:rPr>
          <w:rFonts w:cstheme="minorHAnsi"/>
          <w:sz w:val="24"/>
          <w:szCs w:val="24"/>
        </w:rPr>
        <w:t xml:space="preserve">(aged </w:t>
      </w:r>
      <w:r w:rsidR="00FB5F6E" w:rsidRPr="00295A88">
        <w:rPr>
          <w:rFonts w:cstheme="minorHAnsi"/>
          <w:sz w:val="24"/>
          <w:szCs w:val="24"/>
        </w:rPr>
        <w:t>&lt;</w:t>
      </w:r>
      <w:r w:rsidR="006043DC" w:rsidRPr="00295A88">
        <w:rPr>
          <w:rFonts w:cstheme="minorHAnsi"/>
          <w:sz w:val="24"/>
          <w:szCs w:val="24"/>
        </w:rPr>
        <w:t>18 years)</w:t>
      </w:r>
      <w:r w:rsidR="00AA7FAA" w:rsidRPr="00295A88">
        <w:rPr>
          <w:rFonts w:cstheme="minorHAnsi"/>
          <w:sz w:val="24"/>
          <w:szCs w:val="24"/>
        </w:rPr>
        <w:t xml:space="preserve">, </w:t>
      </w:r>
      <w:r w:rsidRPr="00295A88">
        <w:rPr>
          <w:rFonts w:cstheme="minorHAnsi"/>
          <w:sz w:val="24"/>
          <w:szCs w:val="24"/>
        </w:rPr>
        <w:t>where the authors also reported use in ov</w:t>
      </w:r>
      <w:r w:rsidR="00AA7FAA" w:rsidRPr="00295A88">
        <w:rPr>
          <w:rFonts w:cstheme="minorHAnsi"/>
          <w:sz w:val="24"/>
          <w:szCs w:val="24"/>
        </w:rPr>
        <w:t xml:space="preserve">erweight </w:t>
      </w:r>
      <w:r w:rsidR="00AA7FAA" w:rsidRPr="00295A88">
        <w:rPr>
          <w:rFonts w:cstheme="minorHAnsi"/>
          <w:sz w:val="24"/>
          <w:szCs w:val="24"/>
        </w:rPr>
        <w:lastRenderedPageBreak/>
        <w:t xml:space="preserve">or obese </w:t>
      </w:r>
      <w:r w:rsidRPr="00295A88">
        <w:rPr>
          <w:rFonts w:cstheme="minorHAnsi"/>
          <w:sz w:val="24"/>
          <w:szCs w:val="24"/>
        </w:rPr>
        <w:t>children</w:t>
      </w:r>
      <w:r w:rsidR="00AA7FAA" w:rsidRPr="00295A88">
        <w:rPr>
          <w:rFonts w:cstheme="minorHAnsi"/>
          <w:sz w:val="24"/>
          <w:szCs w:val="24"/>
        </w:rPr>
        <w:t xml:space="preserve"> </w:t>
      </w:r>
      <w:r w:rsidR="00E914A7" w:rsidRPr="00295A88">
        <w:rPr>
          <w:rFonts w:cstheme="minorHAnsi"/>
          <w:sz w:val="24"/>
          <w:szCs w:val="24"/>
        </w:rPr>
        <w:t>(</w:t>
      </w:r>
      <w:r w:rsidR="000150D9" w:rsidRPr="00295A88">
        <w:rPr>
          <w:rFonts w:cstheme="minorHAnsi"/>
          <w:sz w:val="24"/>
          <w:szCs w:val="24"/>
        </w:rPr>
        <w:t>see</w:t>
      </w:r>
      <w:r w:rsidR="000728B4" w:rsidRPr="00295A88">
        <w:rPr>
          <w:rFonts w:cstheme="minorHAnsi"/>
          <w:sz w:val="24"/>
          <w:szCs w:val="24"/>
        </w:rPr>
        <w:t xml:space="preserve"> supplementary data</w:t>
      </w:r>
      <w:r w:rsidR="00230404" w:rsidRPr="00295A88">
        <w:rPr>
          <w:rFonts w:cstheme="minorHAnsi"/>
          <w:sz w:val="24"/>
          <w:szCs w:val="24"/>
        </w:rPr>
        <w:t>, Table 1,</w:t>
      </w:r>
      <w:r w:rsidR="000728B4" w:rsidRPr="00295A88">
        <w:rPr>
          <w:rFonts w:cstheme="minorHAnsi"/>
          <w:sz w:val="24"/>
          <w:szCs w:val="24"/>
        </w:rPr>
        <w:t xml:space="preserve"> for fu</w:t>
      </w:r>
      <w:r w:rsidR="00D30837" w:rsidRPr="00295A88">
        <w:rPr>
          <w:rFonts w:cstheme="minorHAnsi"/>
          <w:sz w:val="24"/>
          <w:szCs w:val="24"/>
        </w:rPr>
        <w:t>ll inclusion and exclusion criteria)</w:t>
      </w:r>
      <w:r w:rsidR="00A66F50" w:rsidRPr="00295A88">
        <w:rPr>
          <w:rFonts w:cstheme="minorHAnsi"/>
          <w:sz w:val="24"/>
          <w:szCs w:val="24"/>
        </w:rPr>
        <w:t>.</w:t>
      </w:r>
      <w:r w:rsidR="004C0CD1" w:rsidRPr="00295A88">
        <w:rPr>
          <w:rFonts w:cstheme="minorHAnsi"/>
          <w:sz w:val="24"/>
          <w:szCs w:val="24"/>
        </w:rPr>
        <w:t xml:space="preserve"> All study designs involving primary research that met the inclusion criteria were included, </w:t>
      </w:r>
      <w:r w:rsidR="001F0E61" w:rsidRPr="00295A88">
        <w:rPr>
          <w:rFonts w:cstheme="minorHAnsi"/>
          <w:sz w:val="24"/>
          <w:szCs w:val="24"/>
        </w:rPr>
        <w:t xml:space="preserve">hence </w:t>
      </w:r>
      <w:r w:rsidR="006043DC" w:rsidRPr="00295A88">
        <w:rPr>
          <w:rFonts w:cstheme="minorHAnsi"/>
          <w:sz w:val="24"/>
          <w:szCs w:val="24"/>
        </w:rPr>
        <w:t>review</w:t>
      </w:r>
      <w:r w:rsidR="001F0E61" w:rsidRPr="00295A88">
        <w:rPr>
          <w:rFonts w:cstheme="minorHAnsi"/>
          <w:sz w:val="24"/>
          <w:szCs w:val="24"/>
        </w:rPr>
        <w:t>s</w:t>
      </w:r>
      <w:r w:rsidR="006043DC" w:rsidRPr="00295A88">
        <w:rPr>
          <w:rFonts w:cstheme="minorHAnsi"/>
          <w:sz w:val="24"/>
          <w:szCs w:val="24"/>
        </w:rPr>
        <w:t>, editorial</w:t>
      </w:r>
      <w:r w:rsidR="001F0E61" w:rsidRPr="00295A88">
        <w:rPr>
          <w:rFonts w:cstheme="minorHAnsi"/>
          <w:sz w:val="24"/>
          <w:szCs w:val="24"/>
        </w:rPr>
        <w:t>s</w:t>
      </w:r>
      <w:r w:rsidR="00290047" w:rsidRPr="00295A88">
        <w:rPr>
          <w:rFonts w:cstheme="minorHAnsi"/>
          <w:sz w:val="24"/>
          <w:szCs w:val="24"/>
        </w:rPr>
        <w:t xml:space="preserve"> </w:t>
      </w:r>
      <w:r w:rsidR="006043DC" w:rsidRPr="00295A88">
        <w:rPr>
          <w:rFonts w:cstheme="minorHAnsi"/>
          <w:sz w:val="24"/>
          <w:szCs w:val="24"/>
        </w:rPr>
        <w:t>or letter</w:t>
      </w:r>
      <w:r w:rsidR="001F0E61" w:rsidRPr="00295A88">
        <w:rPr>
          <w:rFonts w:cstheme="minorHAnsi"/>
          <w:sz w:val="24"/>
          <w:szCs w:val="24"/>
        </w:rPr>
        <w:t>s were excluded</w:t>
      </w:r>
      <w:r w:rsidR="006043DC" w:rsidRPr="00295A88">
        <w:rPr>
          <w:rFonts w:cstheme="minorHAnsi"/>
          <w:sz w:val="24"/>
          <w:szCs w:val="24"/>
        </w:rPr>
        <w:t xml:space="preserve">. </w:t>
      </w:r>
      <w:r w:rsidR="00845167" w:rsidRPr="00295A88">
        <w:rPr>
          <w:rFonts w:cstheme="minorHAnsi"/>
          <w:sz w:val="24"/>
          <w:szCs w:val="24"/>
        </w:rPr>
        <w:t>T</w:t>
      </w:r>
      <w:r w:rsidR="006043DC" w:rsidRPr="00295A88">
        <w:rPr>
          <w:rFonts w:cstheme="minorHAnsi"/>
          <w:sz w:val="24"/>
          <w:szCs w:val="24"/>
        </w:rPr>
        <w:t>he search did not impose any language or date restrictions.</w:t>
      </w:r>
      <w:r w:rsidR="004C0CD1" w:rsidRPr="00295A88">
        <w:rPr>
          <w:rFonts w:cstheme="minorHAnsi"/>
          <w:sz w:val="24"/>
          <w:szCs w:val="24"/>
        </w:rPr>
        <w:t xml:space="preserve"> Any references cited in the papers were also searched.</w:t>
      </w:r>
    </w:p>
    <w:p w14:paraId="35C20364" w14:textId="77777777" w:rsidR="006D7D0F" w:rsidRPr="00295A88" w:rsidRDefault="006D7D0F" w:rsidP="00ED3894">
      <w:pPr>
        <w:spacing w:after="0" w:line="480" w:lineRule="auto"/>
        <w:ind w:firstLine="720"/>
        <w:jc w:val="both"/>
        <w:rPr>
          <w:rFonts w:cstheme="minorHAnsi"/>
          <w:sz w:val="10"/>
          <w:szCs w:val="24"/>
        </w:rPr>
      </w:pPr>
    </w:p>
    <w:p w14:paraId="6F08F243" w14:textId="77777777" w:rsidR="003C068E" w:rsidRPr="00295A88" w:rsidRDefault="003C068E" w:rsidP="00ED3894">
      <w:pPr>
        <w:spacing w:line="480" w:lineRule="auto"/>
        <w:jc w:val="both"/>
        <w:rPr>
          <w:rFonts w:cstheme="minorHAnsi"/>
          <w:b/>
          <w:sz w:val="24"/>
          <w:szCs w:val="24"/>
        </w:rPr>
      </w:pPr>
      <w:r w:rsidRPr="00295A88">
        <w:rPr>
          <w:rFonts w:cstheme="minorHAnsi"/>
          <w:b/>
          <w:sz w:val="24"/>
          <w:szCs w:val="24"/>
        </w:rPr>
        <w:t>Search Strategy</w:t>
      </w:r>
    </w:p>
    <w:p w14:paraId="31E08A85" w14:textId="00D08703" w:rsidR="006D7D0F" w:rsidRPr="00295A88" w:rsidRDefault="00895DD7" w:rsidP="00ED3894">
      <w:pPr>
        <w:spacing w:after="0" w:line="480" w:lineRule="auto"/>
        <w:jc w:val="both"/>
        <w:rPr>
          <w:rFonts w:cstheme="minorHAnsi"/>
          <w:sz w:val="24"/>
          <w:szCs w:val="24"/>
        </w:rPr>
      </w:pPr>
      <w:r w:rsidRPr="00295A88">
        <w:rPr>
          <w:rFonts w:cstheme="minorHAnsi"/>
          <w:sz w:val="24"/>
          <w:szCs w:val="24"/>
        </w:rPr>
        <w:t xml:space="preserve">The search strategy was developed by two reviewers </w:t>
      </w:r>
      <w:r w:rsidR="001F5A9D" w:rsidRPr="00295A88">
        <w:rPr>
          <w:rFonts w:cstheme="minorHAnsi"/>
          <w:sz w:val="24"/>
          <w:szCs w:val="24"/>
        </w:rPr>
        <w:t>(E.</w:t>
      </w:r>
      <w:r w:rsidR="00F1023E">
        <w:rPr>
          <w:rFonts w:cstheme="minorHAnsi"/>
          <w:sz w:val="24"/>
          <w:szCs w:val="24"/>
        </w:rPr>
        <w:t>S</w:t>
      </w:r>
      <w:r w:rsidR="001F5A9D" w:rsidRPr="00295A88">
        <w:rPr>
          <w:rFonts w:cstheme="minorHAnsi"/>
          <w:sz w:val="24"/>
          <w:szCs w:val="24"/>
        </w:rPr>
        <w:t xml:space="preserve">. and A.H.) </w:t>
      </w:r>
      <w:r w:rsidRPr="00295A88">
        <w:rPr>
          <w:rFonts w:cstheme="minorHAnsi"/>
          <w:sz w:val="24"/>
          <w:szCs w:val="24"/>
        </w:rPr>
        <w:t>collectively and the</w:t>
      </w:r>
      <w:r w:rsidR="00347E51" w:rsidRPr="00295A88">
        <w:rPr>
          <w:rFonts w:cstheme="minorHAnsi"/>
          <w:sz w:val="24"/>
          <w:szCs w:val="24"/>
        </w:rPr>
        <w:t xml:space="preserve"> search was</w:t>
      </w:r>
      <w:r w:rsidR="00672431" w:rsidRPr="00295A88">
        <w:rPr>
          <w:rFonts w:cstheme="minorHAnsi"/>
          <w:sz w:val="24"/>
          <w:szCs w:val="24"/>
        </w:rPr>
        <w:t xml:space="preserve"> then</w:t>
      </w:r>
      <w:r w:rsidR="00347E51" w:rsidRPr="00295A88">
        <w:rPr>
          <w:rFonts w:cstheme="minorHAnsi"/>
          <w:sz w:val="24"/>
          <w:szCs w:val="24"/>
        </w:rPr>
        <w:t xml:space="preserve"> </w:t>
      </w:r>
      <w:r w:rsidRPr="00295A88">
        <w:rPr>
          <w:rFonts w:cstheme="minorHAnsi"/>
          <w:sz w:val="24"/>
          <w:szCs w:val="24"/>
        </w:rPr>
        <w:t xml:space="preserve">executed independently. </w:t>
      </w:r>
      <w:r w:rsidR="004D0BB3" w:rsidRPr="00295A88">
        <w:rPr>
          <w:rFonts w:cstheme="minorHAnsi"/>
          <w:sz w:val="24"/>
          <w:szCs w:val="24"/>
        </w:rPr>
        <w:t>The search terms</w:t>
      </w:r>
      <w:r w:rsidR="00E356FB" w:rsidRPr="00295A88">
        <w:rPr>
          <w:rFonts w:cstheme="minorHAnsi"/>
          <w:sz w:val="24"/>
          <w:szCs w:val="24"/>
        </w:rPr>
        <w:t xml:space="preserve">, </w:t>
      </w:r>
      <w:r w:rsidRPr="00295A88">
        <w:rPr>
          <w:rFonts w:cstheme="minorHAnsi"/>
          <w:sz w:val="24"/>
          <w:szCs w:val="24"/>
        </w:rPr>
        <w:t xml:space="preserve">outlined in </w:t>
      </w:r>
      <w:r w:rsidR="00D120F0" w:rsidRPr="00295A88">
        <w:rPr>
          <w:rFonts w:cstheme="minorHAnsi"/>
          <w:sz w:val="24"/>
          <w:szCs w:val="24"/>
        </w:rPr>
        <w:t>Table 1</w:t>
      </w:r>
      <w:r w:rsidR="00E356FB" w:rsidRPr="00295A88">
        <w:rPr>
          <w:rFonts w:cstheme="minorHAnsi"/>
          <w:sz w:val="24"/>
          <w:szCs w:val="24"/>
        </w:rPr>
        <w:t>,</w:t>
      </w:r>
      <w:r w:rsidR="00985D96" w:rsidRPr="00295A88">
        <w:rPr>
          <w:rFonts w:cstheme="minorHAnsi"/>
          <w:sz w:val="24"/>
          <w:szCs w:val="24"/>
        </w:rPr>
        <w:t xml:space="preserve"> </w:t>
      </w:r>
      <w:r w:rsidR="003F60E0" w:rsidRPr="00295A88">
        <w:rPr>
          <w:rFonts w:cstheme="minorHAnsi"/>
          <w:sz w:val="24"/>
          <w:szCs w:val="24"/>
        </w:rPr>
        <w:t xml:space="preserve">were used </w:t>
      </w:r>
      <w:r w:rsidRPr="00295A88">
        <w:rPr>
          <w:rFonts w:cstheme="minorHAnsi"/>
          <w:sz w:val="24"/>
          <w:szCs w:val="24"/>
        </w:rPr>
        <w:t xml:space="preserve">to ensure papers relating to </w:t>
      </w:r>
      <w:r w:rsidR="004D0BB3" w:rsidRPr="00295A88">
        <w:rPr>
          <w:rFonts w:cstheme="minorHAnsi"/>
          <w:sz w:val="24"/>
          <w:szCs w:val="24"/>
        </w:rPr>
        <w:t>children</w:t>
      </w:r>
      <w:r w:rsidRPr="00295A88">
        <w:rPr>
          <w:rFonts w:cstheme="minorHAnsi"/>
          <w:sz w:val="24"/>
          <w:szCs w:val="24"/>
        </w:rPr>
        <w:t>, dosing regime</w:t>
      </w:r>
      <w:r w:rsidR="00411093" w:rsidRPr="00295A88">
        <w:rPr>
          <w:rFonts w:cstheme="minorHAnsi"/>
          <w:sz w:val="24"/>
          <w:szCs w:val="24"/>
        </w:rPr>
        <w:t>n</w:t>
      </w:r>
      <w:r w:rsidR="006F5196" w:rsidRPr="00295A88">
        <w:rPr>
          <w:rFonts w:cstheme="minorHAnsi"/>
          <w:sz w:val="24"/>
          <w:szCs w:val="24"/>
        </w:rPr>
        <w:t>s</w:t>
      </w:r>
      <w:r w:rsidRPr="00295A88">
        <w:rPr>
          <w:rFonts w:cstheme="minorHAnsi"/>
          <w:sz w:val="24"/>
          <w:szCs w:val="24"/>
        </w:rPr>
        <w:t>, overweight/obese subjects and</w:t>
      </w:r>
      <w:r w:rsidR="006F5196" w:rsidRPr="00295A88">
        <w:rPr>
          <w:rFonts w:cstheme="minorHAnsi"/>
          <w:sz w:val="24"/>
          <w:szCs w:val="24"/>
        </w:rPr>
        <w:t xml:space="preserve"> the</w:t>
      </w:r>
      <w:r w:rsidRPr="00295A88">
        <w:rPr>
          <w:rFonts w:cstheme="minorHAnsi"/>
          <w:sz w:val="24"/>
          <w:szCs w:val="24"/>
        </w:rPr>
        <w:t xml:space="preserve"> use of ibuprofen were </w:t>
      </w:r>
      <w:r w:rsidR="00E3054E" w:rsidRPr="00295A88">
        <w:rPr>
          <w:rFonts w:cstheme="minorHAnsi"/>
          <w:sz w:val="24"/>
          <w:szCs w:val="24"/>
        </w:rPr>
        <w:t>identified</w:t>
      </w:r>
      <w:r w:rsidRPr="00295A88">
        <w:rPr>
          <w:rFonts w:cstheme="minorHAnsi"/>
          <w:sz w:val="24"/>
          <w:szCs w:val="24"/>
        </w:rPr>
        <w:t xml:space="preserve">. </w:t>
      </w:r>
    </w:p>
    <w:p w14:paraId="3C1E66D0" w14:textId="77777777" w:rsidR="00C70A92" w:rsidRPr="00295A88" w:rsidRDefault="00C70A92" w:rsidP="00B01FAF">
      <w:pPr>
        <w:spacing w:after="0" w:line="360" w:lineRule="auto"/>
        <w:jc w:val="both"/>
        <w:rPr>
          <w:rFonts w:cstheme="minorHAnsi"/>
          <w:b/>
          <w:sz w:val="24"/>
          <w:szCs w:val="24"/>
        </w:rPr>
      </w:pPr>
    </w:p>
    <w:p w14:paraId="2745D980" w14:textId="2C2C5750" w:rsidR="006043DC" w:rsidRPr="00295A88" w:rsidRDefault="006043DC" w:rsidP="00ED3894">
      <w:pPr>
        <w:spacing w:after="0" w:line="480" w:lineRule="auto"/>
        <w:jc w:val="both"/>
        <w:rPr>
          <w:rFonts w:cstheme="minorHAnsi"/>
          <w:b/>
          <w:sz w:val="24"/>
          <w:szCs w:val="24"/>
        </w:rPr>
      </w:pPr>
      <w:r w:rsidRPr="00295A88">
        <w:rPr>
          <w:rFonts w:cstheme="minorHAnsi"/>
          <w:b/>
          <w:sz w:val="24"/>
          <w:szCs w:val="24"/>
        </w:rPr>
        <w:t>Data Extraction</w:t>
      </w:r>
    </w:p>
    <w:p w14:paraId="3DB5C896" w14:textId="5C37D42E" w:rsidR="00AB2DB2" w:rsidRPr="00295A88" w:rsidRDefault="006043DC" w:rsidP="00ED3894">
      <w:pPr>
        <w:spacing w:line="480" w:lineRule="auto"/>
        <w:jc w:val="both"/>
        <w:rPr>
          <w:rFonts w:cstheme="minorHAnsi"/>
          <w:sz w:val="24"/>
          <w:szCs w:val="24"/>
        </w:rPr>
      </w:pPr>
      <w:r w:rsidRPr="00295A88">
        <w:rPr>
          <w:rFonts w:cstheme="minorHAnsi"/>
          <w:sz w:val="24"/>
          <w:szCs w:val="24"/>
        </w:rPr>
        <w:t xml:space="preserve">All search results obtained from the databases were exported </w:t>
      </w:r>
      <w:r w:rsidR="00F314A9" w:rsidRPr="00295A88">
        <w:rPr>
          <w:rFonts w:cstheme="minorHAnsi"/>
          <w:sz w:val="24"/>
          <w:szCs w:val="24"/>
        </w:rPr>
        <w:t>(</w:t>
      </w:r>
      <w:r w:rsidRPr="00295A88">
        <w:rPr>
          <w:rFonts w:cstheme="minorHAnsi"/>
          <w:sz w:val="24"/>
          <w:szCs w:val="24"/>
        </w:rPr>
        <w:t>Microsoft Excel</w:t>
      </w:r>
      <w:r w:rsidR="00F314A9" w:rsidRPr="00295A88">
        <w:rPr>
          <w:rFonts w:cstheme="minorHAnsi"/>
          <w:sz w:val="24"/>
          <w:szCs w:val="24"/>
        </w:rPr>
        <w:t>) and de-duplicated</w:t>
      </w:r>
      <w:r w:rsidRPr="00295A88">
        <w:rPr>
          <w:rFonts w:cstheme="minorHAnsi"/>
          <w:sz w:val="24"/>
          <w:szCs w:val="24"/>
        </w:rPr>
        <w:t>. Titles and abstracts from the retrieved articles were screened independently by the two reviewers</w:t>
      </w:r>
      <w:r w:rsidR="001F5A9D" w:rsidRPr="00295A88">
        <w:rPr>
          <w:rFonts w:cstheme="minorHAnsi"/>
          <w:sz w:val="24"/>
          <w:szCs w:val="24"/>
        </w:rPr>
        <w:t xml:space="preserve"> (E.</w:t>
      </w:r>
      <w:r w:rsidR="00F1023E">
        <w:rPr>
          <w:rFonts w:cstheme="minorHAnsi"/>
          <w:sz w:val="24"/>
          <w:szCs w:val="24"/>
        </w:rPr>
        <w:t>S</w:t>
      </w:r>
      <w:r w:rsidR="001F5A9D" w:rsidRPr="00295A88">
        <w:rPr>
          <w:rFonts w:cstheme="minorHAnsi"/>
          <w:sz w:val="24"/>
          <w:szCs w:val="24"/>
        </w:rPr>
        <w:t>. and A.H.)</w:t>
      </w:r>
      <w:r w:rsidRPr="00295A88">
        <w:rPr>
          <w:rFonts w:cstheme="minorHAnsi"/>
          <w:sz w:val="24"/>
          <w:szCs w:val="24"/>
        </w:rPr>
        <w:t xml:space="preserve">. </w:t>
      </w:r>
      <w:r w:rsidR="001F5A9D" w:rsidRPr="00295A88">
        <w:rPr>
          <w:rFonts w:cstheme="minorHAnsi"/>
          <w:sz w:val="24"/>
          <w:szCs w:val="24"/>
        </w:rPr>
        <w:t xml:space="preserve">For the remaining articles, the </w:t>
      </w:r>
      <w:r w:rsidRPr="00295A88">
        <w:rPr>
          <w:rFonts w:cstheme="minorHAnsi"/>
          <w:sz w:val="24"/>
          <w:szCs w:val="24"/>
        </w:rPr>
        <w:t>full-text articles were then reviewed and excluded if any exclusion criteria</w:t>
      </w:r>
      <w:r w:rsidR="00151CD4" w:rsidRPr="00295A88">
        <w:rPr>
          <w:rFonts w:cstheme="minorHAnsi"/>
          <w:sz w:val="24"/>
          <w:szCs w:val="24"/>
        </w:rPr>
        <w:t xml:space="preserve"> </w:t>
      </w:r>
      <w:r w:rsidR="00AC3AD0" w:rsidRPr="00295A88">
        <w:rPr>
          <w:rFonts w:cstheme="minorHAnsi"/>
          <w:sz w:val="24"/>
          <w:szCs w:val="24"/>
        </w:rPr>
        <w:t xml:space="preserve">(see Supplementary Data, Table 1) </w:t>
      </w:r>
      <w:r w:rsidRPr="00295A88">
        <w:rPr>
          <w:rFonts w:cstheme="minorHAnsi"/>
          <w:sz w:val="24"/>
          <w:szCs w:val="24"/>
        </w:rPr>
        <w:t xml:space="preserve">were met. </w:t>
      </w:r>
      <w:r w:rsidR="000C038D" w:rsidRPr="00295A88">
        <w:rPr>
          <w:rFonts w:cstheme="minorHAnsi"/>
          <w:sz w:val="24"/>
          <w:szCs w:val="24"/>
        </w:rPr>
        <w:t xml:space="preserve">Where </w:t>
      </w:r>
      <w:r w:rsidRPr="00295A88">
        <w:rPr>
          <w:rFonts w:cstheme="minorHAnsi"/>
          <w:sz w:val="24"/>
          <w:szCs w:val="24"/>
        </w:rPr>
        <w:t xml:space="preserve">discrepancies were </w:t>
      </w:r>
      <w:r w:rsidR="000C038D" w:rsidRPr="00295A88">
        <w:rPr>
          <w:rFonts w:cstheme="minorHAnsi"/>
          <w:sz w:val="24"/>
          <w:szCs w:val="24"/>
        </w:rPr>
        <w:t>noted, consensus regarding the final inclusion or exclusion was reached following discussion between the two reviewers (E.</w:t>
      </w:r>
      <w:r w:rsidR="00F1023E">
        <w:rPr>
          <w:rFonts w:cstheme="minorHAnsi"/>
          <w:sz w:val="24"/>
          <w:szCs w:val="24"/>
        </w:rPr>
        <w:t>S</w:t>
      </w:r>
      <w:r w:rsidR="000C038D" w:rsidRPr="00295A88">
        <w:rPr>
          <w:rFonts w:cstheme="minorHAnsi"/>
          <w:sz w:val="24"/>
          <w:szCs w:val="24"/>
        </w:rPr>
        <w:t>. and A.H.)</w:t>
      </w:r>
      <w:r w:rsidRPr="00295A88">
        <w:rPr>
          <w:rFonts w:cstheme="minorHAnsi"/>
          <w:sz w:val="24"/>
          <w:szCs w:val="24"/>
        </w:rPr>
        <w:t>. If this remained unresolved, the paper w</w:t>
      </w:r>
      <w:r w:rsidR="00C84059" w:rsidRPr="00295A88">
        <w:rPr>
          <w:rFonts w:cstheme="minorHAnsi"/>
          <w:sz w:val="24"/>
          <w:szCs w:val="24"/>
        </w:rPr>
        <w:t>as</w:t>
      </w:r>
      <w:r w:rsidRPr="00295A88">
        <w:rPr>
          <w:rFonts w:cstheme="minorHAnsi"/>
          <w:sz w:val="24"/>
          <w:szCs w:val="24"/>
        </w:rPr>
        <w:t xml:space="preserve"> assessed by a third reviewer</w:t>
      </w:r>
      <w:r w:rsidR="00D76900" w:rsidRPr="00295A88">
        <w:rPr>
          <w:rFonts w:cstheme="minorHAnsi"/>
          <w:sz w:val="24"/>
          <w:szCs w:val="24"/>
        </w:rPr>
        <w:t xml:space="preserve"> (</w:t>
      </w:r>
      <w:r w:rsidRPr="00295A88">
        <w:rPr>
          <w:rFonts w:cstheme="minorHAnsi"/>
          <w:sz w:val="24"/>
          <w:szCs w:val="24"/>
        </w:rPr>
        <w:t>D</w:t>
      </w:r>
      <w:r w:rsidR="00AC3AD0" w:rsidRPr="00295A88">
        <w:rPr>
          <w:rFonts w:cstheme="minorHAnsi"/>
          <w:sz w:val="24"/>
          <w:szCs w:val="24"/>
        </w:rPr>
        <w:t>.</w:t>
      </w:r>
      <w:r w:rsidR="00E25247" w:rsidRPr="00295A88">
        <w:rPr>
          <w:rFonts w:cstheme="minorHAnsi"/>
          <w:sz w:val="24"/>
          <w:szCs w:val="24"/>
        </w:rPr>
        <w:t>H</w:t>
      </w:r>
      <w:r w:rsidR="00AC3AD0" w:rsidRPr="00295A88">
        <w:rPr>
          <w:rFonts w:cstheme="minorHAnsi"/>
          <w:sz w:val="24"/>
          <w:szCs w:val="24"/>
        </w:rPr>
        <w:t>.</w:t>
      </w:r>
      <w:r w:rsidR="00D76900" w:rsidRPr="00295A88">
        <w:rPr>
          <w:rFonts w:cstheme="minorHAnsi"/>
          <w:sz w:val="24"/>
          <w:szCs w:val="24"/>
        </w:rPr>
        <w:t>)</w:t>
      </w:r>
      <w:r w:rsidRPr="00295A88">
        <w:rPr>
          <w:rFonts w:cstheme="minorHAnsi"/>
          <w:sz w:val="24"/>
          <w:szCs w:val="24"/>
        </w:rPr>
        <w:t xml:space="preserve">. Information regarding </w:t>
      </w:r>
      <w:r w:rsidR="0077518E" w:rsidRPr="00295A88">
        <w:rPr>
          <w:rFonts w:cstheme="minorHAnsi"/>
          <w:sz w:val="24"/>
          <w:szCs w:val="24"/>
        </w:rPr>
        <w:t>study demographics and</w:t>
      </w:r>
      <w:r w:rsidRPr="00295A88">
        <w:rPr>
          <w:rFonts w:cstheme="minorHAnsi"/>
          <w:sz w:val="24"/>
          <w:szCs w:val="24"/>
        </w:rPr>
        <w:t xml:space="preserve"> characteristics </w:t>
      </w:r>
      <w:r w:rsidR="00F73821" w:rsidRPr="00295A88">
        <w:rPr>
          <w:rFonts w:cstheme="minorHAnsi"/>
          <w:sz w:val="24"/>
          <w:szCs w:val="24"/>
        </w:rPr>
        <w:t>(e.g. obese status, ibuprofen efficacy, tolerability and adverse events)</w:t>
      </w:r>
      <w:r w:rsidRPr="00295A88">
        <w:rPr>
          <w:rFonts w:cstheme="minorHAnsi"/>
          <w:sz w:val="24"/>
          <w:szCs w:val="24"/>
        </w:rPr>
        <w:t xml:space="preserve"> </w:t>
      </w:r>
      <w:r w:rsidR="0077518E" w:rsidRPr="00295A88">
        <w:rPr>
          <w:rFonts w:cstheme="minorHAnsi"/>
          <w:sz w:val="24"/>
          <w:szCs w:val="24"/>
        </w:rPr>
        <w:t>were</w:t>
      </w:r>
      <w:r w:rsidRPr="00295A88">
        <w:rPr>
          <w:rFonts w:cstheme="minorHAnsi"/>
          <w:sz w:val="24"/>
          <w:szCs w:val="24"/>
        </w:rPr>
        <w:t xml:space="preserve"> extracted</w:t>
      </w:r>
      <w:r w:rsidR="00941569" w:rsidRPr="00295A88">
        <w:rPr>
          <w:rFonts w:cstheme="minorHAnsi"/>
          <w:sz w:val="24"/>
          <w:szCs w:val="24"/>
        </w:rPr>
        <w:t xml:space="preserve"> using a bespoke data extraction tool</w:t>
      </w:r>
      <w:r w:rsidRPr="00295A88">
        <w:rPr>
          <w:rFonts w:cstheme="minorHAnsi"/>
          <w:sz w:val="24"/>
          <w:szCs w:val="24"/>
        </w:rPr>
        <w:t>.</w:t>
      </w:r>
    </w:p>
    <w:p w14:paraId="01DCE81B" w14:textId="77777777" w:rsidR="006043DC" w:rsidRPr="00295A88" w:rsidRDefault="006043DC" w:rsidP="00ED3894">
      <w:pPr>
        <w:spacing w:line="480" w:lineRule="auto"/>
        <w:jc w:val="both"/>
        <w:rPr>
          <w:rFonts w:cstheme="minorHAnsi"/>
          <w:b/>
          <w:sz w:val="24"/>
          <w:szCs w:val="24"/>
        </w:rPr>
      </w:pPr>
      <w:r w:rsidRPr="00295A88">
        <w:rPr>
          <w:rFonts w:cstheme="minorHAnsi"/>
          <w:b/>
          <w:sz w:val="24"/>
          <w:szCs w:val="24"/>
        </w:rPr>
        <w:t>Quality Assessment</w:t>
      </w:r>
    </w:p>
    <w:p w14:paraId="12C0FD79" w14:textId="204FBB3C" w:rsidR="00982F90" w:rsidRPr="00295A88" w:rsidRDefault="00BC2785" w:rsidP="00ED3894">
      <w:pPr>
        <w:spacing w:before="240" w:line="480" w:lineRule="auto"/>
        <w:contextualSpacing/>
        <w:jc w:val="both"/>
        <w:rPr>
          <w:rFonts w:cstheme="minorHAnsi"/>
          <w:sz w:val="24"/>
          <w:szCs w:val="24"/>
        </w:rPr>
      </w:pPr>
      <w:r w:rsidRPr="00295A88">
        <w:rPr>
          <w:rFonts w:cstheme="minorHAnsi"/>
          <w:sz w:val="24"/>
          <w:szCs w:val="24"/>
        </w:rPr>
        <w:lastRenderedPageBreak/>
        <w:t>Papers were</w:t>
      </w:r>
      <w:r w:rsidR="00C12C71" w:rsidRPr="00295A88">
        <w:rPr>
          <w:rFonts w:cstheme="minorHAnsi"/>
          <w:sz w:val="24"/>
          <w:szCs w:val="24"/>
        </w:rPr>
        <w:t xml:space="preserve"> </w:t>
      </w:r>
      <w:r w:rsidR="00F87B26" w:rsidRPr="00295A88">
        <w:rPr>
          <w:rFonts w:cstheme="minorHAnsi"/>
          <w:sz w:val="24"/>
          <w:szCs w:val="24"/>
        </w:rPr>
        <w:t>quality assessed using the C</w:t>
      </w:r>
      <w:r w:rsidR="00F12C3D" w:rsidRPr="00295A88">
        <w:rPr>
          <w:rFonts w:cstheme="minorHAnsi"/>
          <w:sz w:val="24"/>
          <w:szCs w:val="24"/>
        </w:rPr>
        <w:t>ritical Appraisal Skills Programme (CASP) checklists independently by the two reviewers</w:t>
      </w:r>
      <w:r w:rsidR="00446C7B" w:rsidRPr="00295A88">
        <w:rPr>
          <w:rFonts w:cstheme="minorHAnsi"/>
          <w:sz w:val="24"/>
          <w:szCs w:val="24"/>
        </w:rPr>
        <w:t xml:space="preserve"> (E.</w:t>
      </w:r>
      <w:r w:rsidR="00F1023E">
        <w:rPr>
          <w:rFonts w:cstheme="minorHAnsi"/>
          <w:sz w:val="24"/>
          <w:szCs w:val="24"/>
        </w:rPr>
        <w:t>S</w:t>
      </w:r>
      <w:r w:rsidR="00446C7B" w:rsidRPr="00295A88">
        <w:rPr>
          <w:rFonts w:cstheme="minorHAnsi"/>
          <w:sz w:val="24"/>
          <w:szCs w:val="24"/>
        </w:rPr>
        <w:t>. and A.H.)</w:t>
      </w:r>
      <w:r w:rsidR="00DC783E" w:rsidRPr="00295A88">
        <w:rPr>
          <w:rFonts w:cstheme="minorHAnsi"/>
          <w:sz w:val="24"/>
          <w:szCs w:val="24"/>
        </w:rPr>
        <w:t xml:space="preserve"> </w:t>
      </w:r>
      <w:r w:rsidR="00DE6CFF" w:rsidRPr="00295A88">
        <w:rPr>
          <w:rFonts w:cstheme="minorHAnsi"/>
          <w:sz w:val="24"/>
          <w:szCs w:val="24"/>
        </w:rPr>
        <w:fldChar w:fldCharType="begin" w:fldLock="1"/>
      </w:r>
      <w:r w:rsidR="00446C7B" w:rsidRPr="00295A88">
        <w:rPr>
          <w:rFonts w:cstheme="minorHAnsi"/>
          <w:sz w:val="24"/>
          <w:szCs w:val="24"/>
        </w:rPr>
        <w:instrText>ADDIN CSL_CITATION {"citationItems":[{"id":"ITEM-1","itemData":{"URL":"https://casp-uk.net/casp-tools-checklists/","accessed":{"date-parts":[["2019","3","28"]]},"container-title":"Critical Appraisal Skills Programme","id":"ITEM-1","issued":{"date-parts":[["2018"]]},"title":"CASP Checklists - CASP - Critical Appraisal Skills Programme","type":"webpage"},"uris":["http://www.mendeley.com/documents/?uuid=903daa55-d6c8-39a5-adf6-17183793bbc3"]}],"mendeley":{"formattedCitation":"(13)","plainTextFormattedCitation":"(13)","previouslyFormattedCitation":"(13)"},"properties":{"noteIndex":0},"schema":"https://github.com/citation-style-language/schema/raw/master/csl-citation.json"}</w:instrText>
      </w:r>
      <w:r w:rsidR="00DE6CFF" w:rsidRPr="00295A88">
        <w:rPr>
          <w:rFonts w:cstheme="minorHAnsi"/>
          <w:sz w:val="24"/>
          <w:szCs w:val="24"/>
        </w:rPr>
        <w:fldChar w:fldCharType="separate"/>
      </w:r>
      <w:r w:rsidR="00446C7B" w:rsidRPr="00295A88">
        <w:rPr>
          <w:rFonts w:cstheme="minorHAnsi"/>
          <w:noProof/>
          <w:sz w:val="24"/>
          <w:szCs w:val="24"/>
        </w:rPr>
        <w:t>(13)</w:t>
      </w:r>
      <w:r w:rsidR="00DE6CFF" w:rsidRPr="00295A88">
        <w:rPr>
          <w:rFonts w:cstheme="minorHAnsi"/>
          <w:sz w:val="24"/>
          <w:szCs w:val="24"/>
        </w:rPr>
        <w:fldChar w:fldCharType="end"/>
      </w:r>
      <w:r w:rsidR="00466762" w:rsidRPr="00295A88">
        <w:rPr>
          <w:rFonts w:cstheme="minorHAnsi"/>
          <w:sz w:val="24"/>
          <w:szCs w:val="24"/>
        </w:rPr>
        <w:t>, generating a quality assessment score (</w:t>
      </w:r>
      <w:r w:rsidR="00466762" w:rsidRPr="00295A88">
        <w:rPr>
          <w:rFonts w:cstheme="minorHAnsi"/>
          <w:i/>
          <w:sz w:val="24"/>
          <w:szCs w:val="24"/>
        </w:rPr>
        <w:t>QAS</w:t>
      </w:r>
      <w:r w:rsidR="00466762" w:rsidRPr="00295A88">
        <w:rPr>
          <w:rFonts w:cstheme="minorHAnsi"/>
          <w:sz w:val="24"/>
          <w:szCs w:val="24"/>
        </w:rPr>
        <w:t>)</w:t>
      </w:r>
      <w:r w:rsidR="00216618" w:rsidRPr="00295A88">
        <w:rPr>
          <w:rFonts w:cstheme="minorHAnsi"/>
          <w:sz w:val="24"/>
          <w:szCs w:val="24"/>
        </w:rPr>
        <w:t xml:space="preserve"> (see </w:t>
      </w:r>
      <w:r w:rsidR="00446C7B" w:rsidRPr="00295A88">
        <w:rPr>
          <w:rFonts w:cstheme="minorHAnsi"/>
          <w:sz w:val="24"/>
          <w:szCs w:val="24"/>
        </w:rPr>
        <w:t>S</w:t>
      </w:r>
      <w:r w:rsidR="00216618" w:rsidRPr="00295A88">
        <w:rPr>
          <w:rFonts w:cstheme="minorHAnsi"/>
          <w:sz w:val="24"/>
          <w:szCs w:val="24"/>
        </w:rPr>
        <w:t xml:space="preserve">upplementary </w:t>
      </w:r>
      <w:r w:rsidR="00446C7B" w:rsidRPr="00295A88">
        <w:rPr>
          <w:rFonts w:cstheme="minorHAnsi"/>
          <w:sz w:val="24"/>
          <w:szCs w:val="24"/>
        </w:rPr>
        <w:t>D</w:t>
      </w:r>
      <w:r w:rsidR="00216618" w:rsidRPr="00295A88">
        <w:rPr>
          <w:rFonts w:cstheme="minorHAnsi"/>
          <w:sz w:val="24"/>
          <w:szCs w:val="24"/>
        </w:rPr>
        <w:t>ata</w:t>
      </w:r>
      <w:r w:rsidR="00144969" w:rsidRPr="00295A88">
        <w:rPr>
          <w:rFonts w:cstheme="minorHAnsi"/>
          <w:sz w:val="24"/>
          <w:szCs w:val="24"/>
        </w:rPr>
        <w:t xml:space="preserve"> Table 2</w:t>
      </w:r>
      <w:r w:rsidR="00216618" w:rsidRPr="00295A88">
        <w:rPr>
          <w:rFonts w:cstheme="minorHAnsi"/>
          <w:sz w:val="24"/>
          <w:szCs w:val="24"/>
        </w:rPr>
        <w:t xml:space="preserve"> for full </w:t>
      </w:r>
      <w:r w:rsidR="00AE3903" w:rsidRPr="00295A88">
        <w:rPr>
          <w:rFonts w:cstheme="minorHAnsi"/>
          <w:sz w:val="24"/>
          <w:szCs w:val="24"/>
        </w:rPr>
        <w:t>quality assessment protocol</w:t>
      </w:r>
      <w:r w:rsidR="001B546D" w:rsidRPr="00295A88">
        <w:rPr>
          <w:rFonts w:cstheme="minorHAnsi"/>
          <w:sz w:val="24"/>
          <w:szCs w:val="24"/>
        </w:rPr>
        <w:t>)</w:t>
      </w:r>
      <w:r w:rsidR="00F12C3D" w:rsidRPr="00295A88">
        <w:rPr>
          <w:rFonts w:cstheme="minorHAnsi"/>
          <w:sz w:val="24"/>
          <w:szCs w:val="24"/>
        </w:rPr>
        <w:t>.</w:t>
      </w:r>
    </w:p>
    <w:p w14:paraId="440D771B" w14:textId="2C0AC264" w:rsidR="00E95361" w:rsidRPr="00295A88" w:rsidRDefault="00E95361" w:rsidP="00ED3894">
      <w:pPr>
        <w:spacing w:before="240" w:line="480" w:lineRule="auto"/>
        <w:contextualSpacing/>
        <w:jc w:val="both"/>
        <w:rPr>
          <w:rFonts w:cstheme="minorHAnsi"/>
          <w:sz w:val="24"/>
          <w:szCs w:val="24"/>
        </w:rPr>
      </w:pPr>
    </w:p>
    <w:p w14:paraId="00331185" w14:textId="46D34D2A" w:rsidR="006043DC" w:rsidRPr="00295A88" w:rsidRDefault="006043DC" w:rsidP="00ED3894">
      <w:pPr>
        <w:keepNext/>
        <w:keepLines/>
        <w:pBdr>
          <w:bottom w:val="single" w:sz="8" w:space="1" w:color="99CB38" w:themeColor="accent1"/>
        </w:pBdr>
        <w:spacing w:before="240" w:after="0" w:line="480" w:lineRule="auto"/>
        <w:outlineLvl w:val="0"/>
        <w:rPr>
          <w:rFonts w:eastAsiaTheme="majorEastAsia" w:cstheme="minorHAnsi"/>
          <w:b/>
          <w:bCs/>
          <w:color w:val="729928" w:themeColor="accent1" w:themeShade="BF"/>
          <w:sz w:val="32"/>
          <w:szCs w:val="32"/>
        </w:rPr>
      </w:pPr>
      <w:r w:rsidRPr="00295A88">
        <w:rPr>
          <w:rFonts w:eastAsiaTheme="majorEastAsia" w:cstheme="minorHAnsi"/>
          <w:b/>
          <w:bCs/>
          <w:color w:val="729928" w:themeColor="accent1" w:themeShade="BF"/>
          <w:sz w:val="32"/>
          <w:szCs w:val="32"/>
        </w:rPr>
        <w:t>RESULTS</w:t>
      </w:r>
    </w:p>
    <w:p w14:paraId="4233D5C3" w14:textId="77777777" w:rsidR="00A755B4" w:rsidRPr="00295A88" w:rsidRDefault="00A755B4" w:rsidP="00ED3894">
      <w:pPr>
        <w:spacing w:line="480" w:lineRule="auto"/>
        <w:contextualSpacing/>
        <w:rPr>
          <w:rFonts w:cstheme="minorHAnsi"/>
          <w:sz w:val="24"/>
          <w:szCs w:val="24"/>
        </w:rPr>
      </w:pPr>
    </w:p>
    <w:p w14:paraId="599C6764" w14:textId="77777777" w:rsidR="0037766C" w:rsidRPr="00295A88" w:rsidRDefault="008F61B1" w:rsidP="00ED3894">
      <w:pPr>
        <w:spacing w:after="0" w:line="480" w:lineRule="auto"/>
        <w:contextualSpacing/>
        <w:jc w:val="both"/>
        <w:rPr>
          <w:rFonts w:cstheme="minorHAnsi"/>
          <w:b/>
          <w:sz w:val="24"/>
          <w:szCs w:val="24"/>
        </w:rPr>
      </w:pPr>
      <w:r w:rsidRPr="00295A88">
        <w:rPr>
          <w:rFonts w:cstheme="minorHAnsi"/>
          <w:b/>
          <w:sz w:val="24"/>
          <w:szCs w:val="24"/>
        </w:rPr>
        <w:t>Flow of Articles</w:t>
      </w:r>
    </w:p>
    <w:p w14:paraId="60374F7A" w14:textId="6C1F7463" w:rsidR="00710C13" w:rsidRPr="00295A88" w:rsidRDefault="00A755B4" w:rsidP="00ED3894">
      <w:pPr>
        <w:spacing w:after="120" w:line="480" w:lineRule="auto"/>
        <w:jc w:val="both"/>
        <w:rPr>
          <w:rFonts w:cstheme="minorHAnsi"/>
          <w:sz w:val="24"/>
          <w:szCs w:val="24"/>
        </w:rPr>
      </w:pPr>
      <w:r w:rsidRPr="00295A88">
        <w:rPr>
          <w:rFonts w:cstheme="minorHAnsi"/>
          <w:sz w:val="24"/>
          <w:szCs w:val="24"/>
        </w:rPr>
        <w:t xml:space="preserve">After deduplication, the search </w:t>
      </w:r>
      <w:r w:rsidR="00583AFA" w:rsidRPr="00295A88">
        <w:rPr>
          <w:rFonts w:cstheme="minorHAnsi"/>
          <w:sz w:val="24"/>
          <w:szCs w:val="24"/>
        </w:rPr>
        <w:t xml:space="preserve">strategy </w:t>
      </w:r>
      <w:r w:rsidRPr="00295A88">
        <w:rPr>
          <w:rFonts w:cstheme="minorHAnsi"/>
          <w:sz w:val="24"/>
          <w:szCs w:val="24"/>
        </w:rPr>
        <w:t>retrieved 1</w:t>
      </w:r>
      <w:r w:rsidR="007F12F9" w:rsidRPr="00295A88">
        <w:rPr>
          <w:rFonts w:cstheme="minorHAnsi"/>
          <w:sz w:val="24"/>
          <w:szCs w:val="24"/>
        </w:rPr>
        <w:t>305</w:t>
      </w:r>
      <w:r w:rsidRPr="00295A88">
        <w:rPr>
          <w:rFonts w:cstheme="minorHAnsi"/>
          <w:sz w:val="24"/>
          <w:szCs w:val="24"/>
        </w:rPr>
        <w:t xml:space="preserve"> potentially relevant articles from the databases</w:t>
      </w:r>
      <w:r w:rsidR="00D57325" w:rsidRPr="00295A88">
        <w:rPr>
          <w:rFonts w:cstheme="minorHAnsi"/>
          <w:sz w:val="24"/>
          <w:szCs w:val="24"/>
        </w:rPr>
        <w:t xml:space="preserve">: </w:t>
      </w:r>
      <w:r w:rsidRPr="00295A88">
        <w:rPr>
          <w:rFonts w:cstheme="minorHAnsi"/>
          <w:sz w:val="24"/>
          <w:szCs w:val="24"/>
        </w:rPr>
        <w:t xml:space="preserve">CINAHL Plus, </w:t>
      </w:r>
      <w:r w:rsidRPr="00295A88">
        <w:rPr>
          <w:rFonts w:cstheme="minorHAnsi"/>
          <w:i/>
          <w:sz w:val="24"/>
          <w:szCs w:val="24"/>
        </w:rPr>
        <w:t>n</w:t>
      </w:r>
      <w:r w:rsidRPr="00295A88">
        <w:rPr>
          <w:rFonts w:cstheme="minorHAnsi"/>
          <w:sz w:val="24"/>
          <w:szCs w:val="24"/>
        </w:rPr>
        <w:t>=</w:t>
      </w:r>
      <w:r w:rsidR="00461FCA" w:rsidRPr="00295A88">
        <w:rPr>
          <w:rFonts w:cstheme="minorHAnsi"/>
          <w:sz w:val="24"/>
          <w:szCs w:val="24"/>
        </w:rPr>
        <w:t>6</w:t>
      </w:r>
      <w:r w:rsidRPr="00295A88">
        <w:rPr>
          <w:rFonts w:cstheme="minorHAnsi"/>
          <w:sz w:val="24"/>
          <w:szCs w:val="24"/>
        </w:rPr>
        <w:t xml:space="preserve">; Cochrane Reviews, </w:t>
      </w:r>
      <w:r w:rsidRPr="00295A88">
        <w:rPr>
          <w:rFonts w:cstheme="minorHAnsi"/>
          <w:i/>
          <w:sz w:val="24"/>
          <w:szCs w:val="24"/>
        </w:rPr>
        <w:t>n</w:t>
      </w:r>
      <w:r w:rsidRPr="00295A88">
        <w:rPr>
          <w:rFonts w:cstheme="minorHAnsi"/>
          <w:sz w:val="24"/>
          <w:szCs w:val="24"/>
        </w:rPr>
        <w:t>=2</w:t>
      </w:r>
      <w:r w:rsidR="00461FCA" w:rsidRPr="00295A88">
        <w:rPr>
          <w:rFonts w:cstheme="minorHAnsi"/>
          <w:sz w:val="24"/>
          <w:szCs w:val="24"/>
        </w:rPr>
        <w:t>5</w:t>
      </w:r>
      <w:r w:rsidRPr="00295A88">
        <w:rPr>
          <w:rFonts w:cstheme="minorHAnsi"/>
          <w:sz w:val="24"/>
          <w:szCs w:val="24"/>
        </w:rPr>
        <w:t xml:space="preserve">; MEDLINE, </w:t>
      </w:r>
      <w:r w:rsidRPr="00295A88">
        <w:rPr>
          <w:rFonts w:cstheme="minorHAnsi"/>
          <w:i/>
          <w:sz w:val="24"/>
          <w:szCs w:val="24"/>
        </w:rPr>
        <w:t>n</w:t>
      </w:r>
      <w:r w:rsidRPr="00295A88">
        <w:rPr>
          <w:rFonts w:cstheme="minorHAnsi"/>
          <w:sz w:val="24"/>
          <w:szCs w:val="24"/>
        </w:rPr>
        <w:t>=</w:t>
      </w:r>
      <w:r w:rsidR="00461FCA" w:rsidRPr="00295A88">
        <w:rPr>
          <w:rFonts w:cstheme="minorHAnsi"/>
          <w:sz w:val="24"/>
          <w:szCs w:val="24"/>
        </w:rPr>
        <w:t>4</w:t>
      </w:r>
      <w:r w:rsidRPr="00295A88">
        <w:rPr>
          <w:rFonts w:cstheme="minorHAnsi"/>
          <w:sz w:val="24"/>
          <w:szCs w:val="24"/>
        </w:rPr>
        <w:t xml:space="preserve">; NHS Evidence, </w:t>
      </w:r>
      <w:r w:rsidRPr="00295A88">
        <w:rPr>
          <w:rFonts w:cstheme="minorHAnsi"/>
          <w:i/>
          <w:sz w:val="24"/>
          <w:szCs w:val="24"/>
        </w:rPr>
        <w:t>n</w:t>
      </w:r>
      <w:r w:rsidRPr="00295A88">
        <w:rPr>
          <w:rFonts w:cstheme="minorHAnsi"/>
          <w:sz w:val="24"/>
          <w:szCs w:val="24"/>
        </w:rPr>
        <w:t>=18</w:t>
      </w:r>
      <w:r w:rsidR="00461FCA" w:rsidRPr="00295A88">
        <w:rPr>
          <w:rFonts w:cstheme="minorHAnsi"/>
          <w:sz w:val="24"/>
          <w:szCs w:val="24"/>
        </w:rPr>
        <w:t>2</w:t>
      </w:r>
      <w:r w:rsidRPr="00295A88">
        <w:rPr>
          <w:rFonts w:cstheme="minorHAnsi"/>
          <w:sz w:val="24"/>
          <w:szCs w:val="24"/>
        </w:rPr>
        <w:t xml:space="preserve">; PubMed, </w:t>
      </w:r>
      <w:r w:rsidRPr="00295A88">
        <w:rPr>
          <w:rFonts w:cstheme="minorHAnsi"/>
          <w:i/>
          <w:sz w:val="24"/>
          <w:szCs w:val="24"/>
        </w:rPr>
        <w:t>n</w:t>
      </w:r>
      <w:r w:rsidRPr="00295A88">
        <w:rPr>
          <w:rFonts w:cstheme="minorHAnsi"/>
          <w:sz w:val="24"/>
          <w:szCs w:val="24"/>
        </w:rPr>
        <w:t>=</w:t>
      </w:r>
      <w:r w:rsidR="00461FCA" w:rsidRPr="00295A88">
        <w:rPr>
          <w:rFonts w:cstheme="minorHAnsi"/>
          <w:sz w:val="24"/>
          <w:szCs w:val="24"/>
        </w:rPr>
        <w:t>2</w:t>
      </w:r>
      <w:r w:rsidRPr="00295A88">
        <w:rPr>
          <w:rFonts w:cstheme="minorHAnsi"/>
          <w:sz w:val="24"/>
          <w:szCs w:val="24"/>
        </w:rPr>
        <w:t xml:space="preserve">; Scopus, </w:t>
      </w:r>
      <w:r w:rsidRPr="00295A88">
        <w:rPr>
          <w:rFonts w:cstheme="minorHAnsi"/>
          <w:i/>
          <w:sz w:val="24"/>
          <w:szCs w:val="24"/>
        </w:rPr>
        <w:t>n</w:t>
      </w:r>
      <w:r w:rsidRPr="00295A88">
        <w:rPr>
          <w:rFonts w:cstheme="minorHAnsi"/>
          <w:sz w:val="24"/>
          <w:szCs w:val="24"/>
        </w:rPr>
        <w:t>=</w:t>
      </w:r>
      <w:r w:rsidR="00461FCA" w:rsidRPr="00295A88">
        <w:rPr>
          <w:rFonts w:cstheme="minorHAnsi"/>
          <w:sz w:val="24"/>
          <w:szCs w:val="24"/>
        </w:rPr>
        <w:t>1019</w:t>
      </w:r>
      <w:r w:rsidRPr="00295A88">
        <w:rPr>
          <w:rFonts w:cstheme="minorHAnsi"/>
          <w:sz w:val="24"/>
          <w:szCs w:val="24"/>
        </w:rPr>
        <w:t xml:space="preserve">; Web of Science, </w:t>
      </w:r>
      <w:r w:rsidRPr="00295A88">
        <w:rPr>
          <w:rFonts w:cstheme="minorHAnsi"/>
          <w:i/>
          <w:sz w:val="24"/>
          <w:szCs w:val="24"/>
        </w:rPr>
        <w:t>n</w:t>
      </w:r>
      <w:r w:rsidRPr="00295A88">
        <w:rPr>
          <w:rFonts w:cstheme="minorHAnsi"/>
          <w:sz w:val="24"/>
          <w:szCs w:val="24"/>
        </w:rPr>
        <w:t>=</w:t>
      </w:r>
      <w:r w:rsidR="00461FCA" w:rsidRPr="00295A88">
        <w:rPr>
          <w:rFonts w:cstheme="minorHAnsi"/>
          <w:sz w:val="24"/>
          <w:szCs w:val="24"/>
        </w:rPr>
        <w:t>1</w:t>
      </w:r>
      <w:r w:rsidR="00D57325" w:rsidRPr="00295A88">
        <w:rPr>
          <w:rFonts w:cstheme="minorHAnsi"/>
          <w:sz w:val="24"/>
          <w:szCs w:val="24"/>
        </w:rPr>
        <w:t xml:space="preserve"> (</w:t>
      </w:r>
      <w:r w:rsidRPr="00295A88">
        <w:rPr>
          <w:rFonts w:cstheme="minorHAnsi"/>
          <w:sz w:val="24"/>
          <w:szCs w:val="24"/>
        </w:rPr>
        <w:t xml:space="preserve">see </w:t>
      </w:r>
      <w:r w:rsidRPr="00295A88">
        <w:rPr>
          <w:rFonts w:cstheme="minorHAnsi"/>
          <w:sz w:val="24"/>
          <w:szCs w:val="24"/>
        </w:rPr>
        <w:fldChar w:fldCharType="begin"/>
      </w:r>
      <w:r w:rsidRPr="00295A88">
        <w:rPr>
          <w:rFonts w:cstheme="minorHAnsi"/>
          <w:sz w:val="24"/>
          <w:szCs w:val="24"/>
        </w:rPr>
        <w:instrText xml:space="preserve"> REF _Ref4687431 \h  \* MERGEFORMAT </w:instrText>
      </w:r>
      <w:r w:rsidRPr="00295A88">
        <w:rPr>
          <w:rFonts w:cstheme="minorHAnsi"/>
          <w:sz w:val="24"/>
          <w:szCs w:val="24"/>
        </w:rPr>
      </w:r>
      <w:r w:rsidRPr="00295A88">
        <w:rPr>
          <w:rFonts w:cstheme="minorHAnsi"/>
          <w:sz w:val="24"/>
          <w:szCs w:val="24"/>
        </w:rPr>
        <w:fldChar w:fldCharType="separate"/>
      </w:r>
      <w:r w:rsidR="0028025E" w:rsidRPr="00295A88">
        <w:rPr>
          <w:rFonts w:cstheme="minorHAnsi"/>
          <w:sz w:val="24"/>
          <w:szCs w:val="24"/>
        </w:rPr>
        <w:t xml:space="preserve">Figure </w:t>
      </w:r>
      <w:r w:rsidR="0028025E" w:rsidRPr="00295A88">
        <w:rPr>
          <w:rFonts w:cstheme="minorHAnsi"/>
          <w:noProof/>
          <w:sz w:val="24"/>
          <w:szCs w:val="24"/>
        </w:rPr>
        <w:t>1</w:t>
      </w:r>
      <w:r w:rsidRPr="00295A88">
        <w:rPr>
          <w:rFonts w:cstheme="minorHAnsi"/>
          <w:sz w:val="24"/>
          <w:szCs w:val="24"/>
        </w:rPr>
        <w:fldChar w:fldCharType="end"/>
      </w:r>
      <w:r w:rsidR="004E278E" w:rsidRPr="00295A88">
        <w:rPr>
          <w:rFonts w:cstheme="minorHAnsi"/>
          <w:sz w:val="24"/>
          <w:szCs w:val="24"/>
        </w:rPr>
        <w:t xml:space="preserve"> </w:t>
      </w:r>
      <w:r w:rsidR="00B3720A" w:rsidRPr="00295A88">
        <w:rPr>
          <w:rFonts w:cstheme="minorHAnsi"/>
          <w:sz w:val="24"/>
          <w:szCs w:val="24"/>
        </w:rPr>
        <w:t xml:space="preserve">for </w:t>
      </w:r>
      <w:r w:rsidR="00D57325" w:rsidRPr="00295A88">
        <w:rPr>
          <w:rFonts w:cstheme="minorHAnsi"/>
          <w:sz w:val="24"/>
          <w:szCs w:val="24"/>
        </w:rPr>
        <w:t>PRISMA chart)</w:t>
      </w:r>
      <w:r w:rsidRPr="00295A88">
        <w:rPr>
          <w:rFonts w:cstheme="minorHAnsi"/>
          <w:sz w:val="24"/>
          <w:szCs w:val="24"/>
        </w:rPr>
        <w:t>. Of these,</w:t>
      </w:r>
      <w:r w:rsidR="0085382C" w:rsidRPr="00295A88">
        <w:rPr>
          <w:rFonts w:cstheme="minorHAnsi"/>
          <w:sz w:val="24"/>
          <w:szCs w:val="24"/>
        </w:rPr>
        <w:t xml:space="preserve"> 1279 articles were </w:t>
      </w:r>
      <w:r w:rsidR="00624262" w:rsidRPr="00295A88">
        <w:rPr>
          <w:rFonts w:cstheme="minorHAnsi"/>
          <w:sz w:val="24"/>
          <w:szCs w:val="24"/>
        </w:rPr>
        <w:t>excluded based on irrelevant titles and abstract</w:t>
      </w:r>
      <w:r w:rsidR="001E7024" w:rsidRPr="00295A88">
        <w:rPr>
          <w:rFonts w:cstheme="minorHAnsi"/>
          <w:sz w:val="24"/>
          <w:szCs w:val="24"/>
        </w:rPr>
        <w:t>s.</w:t>
      </w:r>
      <w:r w:rsidR="00B90D62" w:rsidRPr="00295A88">
        <w:rPr>
          <w:rFonts w:cstheme="minorHAnsi"/>
          <w:sz w:val="24"/>
          <w:szCs w:val="24"/>
        </w:rPr>
        <w:t xml:space="preserve"> From the 26 full text reviews,</w:t>
      </w:r>
      <w:r w:rsidRPr="00295A88">
        <w:rPr>
          <w:rFonts w:cstheme="minorHAnsi"/>
          <w:sz w:val="24"/>
          <w:szCs w:val="24"/>
        </w:rPr>
        <w:t xml:space="preserve"> </w:t>
      </w:r>
      <w:r w:rsidR="00461FCA" w:rsidRPr="00295A88">
        <w:rPr>
          <w:rFonts w:cstheme="minorHAnsi"/>
          <w:sz w:val="24"/>
          <w:szCs w:val="24"/>
        </w:rPr>
        <w:t>four</w:t>
      </w:r>
      <w:r w:rsidR="00AC3AD0" w:rsidRPr="00295A88">
        <w:rPr>
          <w:rFonts w:cstheme="minorHAnsi"/>
          <w:sz w:val="24"/>
          <w:szCs w:val="24"/>
        </w:rPr>
        <w:t xml:space="preserve"> </w:t>
      </w:r>
      <w:r w:rsidRPr="00295A88">
        <w:rPr>
          <w:rFonts w:cstheme="minorHAnsi"/>
          <w:sz w:val="24"/>
          <w:szCs w:val="24"/>
        </w:rPr>
        <w:t xml:space="preserve">met the study inclusion </w:t>
      </w:r>
      <w:r w:rsidR="008B7FF1" w:rsidRPr="00295A88">
        <w:rPr>
          <w:rFonts w:cstheme="minorHAnsi"/>
          <w:sz w:val="24"/>
          <w:szCs w:val="24"/>
        </w:rPr>
        <w:t xml:space="preserve">criteria </w:t>
      </w:r>
      <w:r w:rsidRPr="00295A88">
        <w:rPr>
          <w:rFonts w:cstheme="minorHAnsi"/>
          <w:sz w:val="24"/>
          <w:szCs w:val="24"/>
        </w:rPr>
        <w:t>(</w:t>
      </w:r>
      <w:r w:rsidR="00B90D62" w:rsidRPr="00295A88">
        <w:rPr>
          <w:rFonts w:cstheme="minorHAnsi"/>
          <w:sz w:val="24"/>
          <w:szCs w:val="24"/>
        </w:rPr>
        <w:t>three</w:t>
      </w:r>
      <w:r w:rsidRPr="00295A88">
        <w:rPr>
          <w:rFonts w:cstheme="minorHAnsi"/>
          <w:sz w:val="24"/>
          <w:szCs w:val="24"/>
        </w:rPr>
        <w:t xml:space="preserve"> retrospective cohort studies and </w:t>
      </w:r>
      <w:r w:rsidR="003B3AA4" w:rsidRPr="00295A88">
        <w:rPr>
          <w:rFonts w:cstheme="minorHAnsi"/>
          <w:sz w:val="24"/>
          <w:szCs w:val="24"/>
        </w:rPr>
        <w:t>one</w:t>
      </w:r>
      <w:r w:rsidRPr="00295A88">
        <w:rPr>
          <w:rFonts w:cstheme="minorHAnsi"/>
          <w:sz w:val="24"/>
          <w:szCs w:val="24"/>
        </w:rPr>
        <w:t xml:space="preserve"> case report).</w:t>
      </w:r>
    </w:p>
    <w:p w14:paraId="44F0E797" w14:textId="77777777" w:rsidR="00710C13" w:rsidRPr="00295A88" w:rsidRDefault="00710C13" w:rsidP="00ED3894">
      <w:pPr>
        <w:spacing w:after="120" w:line="480" w:lineRule="auto"/>
        <w:jc w:val="both"/>
        <w:rPr>
          <w:rFonts w:cstheme="minorHAnsi"/>
          <w:b/>
          <w:sz w:val="24"/>
          <w:szCs w:val="24"/>
        </w:rPr>
      </w:pPr>
      <w:r w:rsidRPr="00295A88">
        <w:rPr>
          <w:rFonts w:cstheme="minorHAnsi"/>
          <w:b/>
          <w:sz w:val="24"/>
          <w:szCs w:val="24"/>
        </w:rPr>
        <w:t>Quality Assessment</w:t>
      </w:r>
    </w:p>
    <w:p w14:paraId="68F177C0" w14:textId="715D35DB" w:rsidR="00710C13" w:rsidRPr="00295A88" w:rsidRDefault="00710C13" w:rsidP="00ED3894">
      <w:pPr>
        <w:spacing w:after="120" w:line="480" w:lineRule="auto"/>
        <w:jc w:val="both"/>
        <w:rPr>
          <w:rFonts w:cstheme="minorHAnsi"/>
          <w:sz w:val="24"/>
          <w:szCs w:val="24"/>
        </w:rPr>
      </w:pPr>
      <w:r w:rsidRPr="00295A88">
        <w:rPr>
          <w:rFonts w:cstheme="minorHAnsi"/>
          <w:sz w:val="24"/>
          <w:szCs w:val="24"/>
        </w:rPr>
        <w:t>To assess quality, papers were scored against a set of 12 questions (see</w:t>
      </w:r>
      <w:r w:rsidR="00A439A0" w:rsidRPr="00295A88">
        <w:rPr>
          <w:rFonts w:cstheme="minorHAnsi"/>
          <w:sz w:val="24"/>
          <w:szCs w:val="24"/>
        </w:rPr>
        <w:t xml:space="preserve"> supplementary data</w:t>
      </w:r>
      <w:r w:rsidR="00626F28" w:rsidRPr="00295A88">
        <w:rPr>
          <w:rFonts w:cstheme="minorHAnsi"/>
          <w:sz w:val="24"/>
          <w:szCs w:val="24"/>
        </w:rPr>
        <w:t>,</w:t>
      </w:r>
      <w:r w:rsidR="00A439A0" w:rsidRPr="00295A88">
        <w:rPr>
          <w:rFonts w:cstheme="minorHAnsi"/>
          <w:sz w:val="24"/>
          <w:szCs w:val="24"/>
        </w:rPr>
        <w:t xml:space="preserve"> Table 2</w:t>
      </w:r>
      <w:r w:rsidR="00626F28" w:rsidRPr="00295A88">
        <w:rPr>
          <w:rFonts w:cstheme="minorHAnsi"/>
          <w:sz w:val="24"/>
          <w:szCs w:val="24"/>
        </w:rPr>
        <w:t>,</w:t>
      </w:r>
      <w:r w:rsidR="00A439A0" w:rsidRPr="00295A88">
        <w:rPr>
          <w:rFonts w:cstheme="minorHAnsi"/>
          <w:sz w:val="24"/>
          <w:szCs w:val="24"/>
        </w:rPr>
        <w:t xml:space="preserve"> </w:t>
      </w:r>
      <w:r w:rsidR="00DA452B" w:rsidRPr="00295A88">
        <w:rPr>
          <w:rFonts w:cstheme="minorHAnsi"/>
          <w:sz w:val="24"/>
          <w:szCs w:val="24"/>
        </w:rPr>
        <w:t>for full quality assessment</w:t>
      </w:r>
      <w:r w:rsidR="002E71D8" w:rsidRPr="00295A88">
        <w:rPr>
          <w:rFonts w:cstheme="minorHAnsi"/>
          <w:sz w:val="24"/>
          <w:szCs w:val="24"/>
        </w:rPr>
        <w:t xml:space="preserve"> details</w:t>
      </w:r>
      <w:r w:rsidRPr="00295A88">
        <w:rPr>
          <w:rFonts w:cstheme="minorHAnsi"/>
          <w:sz w:val="24"/>
          <w:szCs w:val="24"/>
        </w:rPr>
        <w:t xml:space="preserve">). </w:t>
      </w:r>
      <w:r w:rsidR="00AC3AD0" w:rsidRPr="00295A88">
        <w:rPr>
          <w:rFonts w:cstheme="minorHAnsi"/>
          <w:sz w:val="24"/>
          <w:szCs w:val="24"/>
        </w:rPr>
        <w:t>T</w:t>
      </w:r>
      <w:r w:rsidR="00F312B7" w:rsidRPr="00295A88">
        <w:rPr>
          <w:rFonts w:cstheme="minorHAnsi"/>
          <w:sz w:val="24"/>
          <w:szCs w:val="24"/>
        </w:rPr>
        <w:t>hree</w:t>
      </w:r>
      <w:r w:rsidRPr="00295A88">
        <w:rPr>
          <w:rFonts w:cstheme="minorHAnsi"/>
          <w:sz w:val="24"/>
          <w:szCs w:val="24"/>
        </w:rPr>
        <w:t xml:space="preserve"> </w:t>
      </w:r>
      <w:r w:rsidR="00E25247" w:rsidRPr="00295A88">
        <w:rPr>
          <w:rFonts w:cstheme="minorHAnsi"/>
          <w:sz w:val="24"/>
          <w:szCs w:val="24"/>
        </w:rPr>
        <w:t xml:space="preserve">of the </w:t>
      </w:r>
      <w:r w:rsidR="00F312B7" w:rsidRPr="00295A88">
        <w:rPr>
          <w:rFonts w:cstheme="minorHAnsi"/>
          <w:sz w:val="24"/>
          <w:szCs w:val="24"/>
        </w:rPr>
        <w:t>four</w:t>
      </w:r>
      <w:r w:rsidR="00E25247" w:rsidRPr="00295A88">
        <w:rPr>
          <w:rFonts w:cstheme="minorHAnsi"/>
          <w:sz w:val="24"/>
          <w:szCs w:val="24"/>
        </w:rPr>
        <w:t xml:space="preserve"> </w:t>
      </w:r>
      <w:r w:rsidRPr="00295A88">
        <w:rPr>
          <w:rFonts w:cstheme="minorHAnsi"/>
          <w:sz w:val="24"/>
          <w:szCs w:val="24"/>
        </w:rPr>
        <w:t>studies exhibited high methodological quality</w:t>
      </w:r>
      <w:r w:rsidR="00295A88">
        <w:rPr>
          <w:rFonts w:cstheme="minorHAnsi"/>
          <w:sz w:val="24"/>
          <w:szCs w:val="24"/>
        </w:rPr>
        <w:t xml:space="preserve">, with the remaining paper </w:t>
      </w:r>
      <w:r w:rsidR="00F95907">
        <w:rPr>
          <w:rFonts w:cstheme="minorHAnsi"/>
          <w:sz w:val="24"/>
          <w:szCs w:val="24"/>
        </w:rPr>
        <w:t>classed as</w:t>
      </w:r>
      <w:r w:rsidR="00295A88">
        <w:rPr>
          <w:rFonts w:cstheme="minorHAnsi"/>
          <w:sz w:val="24"/>
          <w:szCs w:val="24"/>
        </w:rPr>
        <w:t xml:space="preserve"> moderate quality.</w:t>
      </w:r>
    </w:p>
    <w:p w14:paraId="6B057F7F" w14:textId="440C7023" w:rsidR="00E95361" w:rsidRPr="00295A88" w:rsidRDefault="00E95361" w:rsidP="00ED3894">
      <w:pPr>
        <w:spacing w:after="120" w:line="480" w:lineRule="auto"/>
        <w:jc w:val="both"/>
        <w:rPr>
          <w:rFonts w:cstheme="minorHAnsi"/>
          <w:b/>
          <w:sz w:val="24"/>
          <w:szCs w:val="24"/>
        </w:rPr>
      </w:pPr>
    </w:p>
    <w:p w14:paraId="128BF02C" w14:textId="5E889712" w:rsidR="00710C13" w:rsidRPr="00295A88" w:rsidRDefault="00710C13" w:rsidP="00ED3894">
      <w:pPr>
        <w:spacing w:after="120" w:line="480" w:lineRule="auto"/>
        <w:jc w:val="both"/>
        <w:rPr>
          <w:rFonts w:cstheme="minorHAnsi"/>
          <w:b/>
          <w:sz w:val="24"/>
          <w:szCs w:val="24"/>
        </w:rPr>
      </w:pPr>
      <w:r w:rsidRPr="00295A88">
        <w:rPr>
          <w:rFonts w:cstheme="minorHAnsi"/>
          <w:b/>
          <w:sz w:val="24"/>
          <w:szCs w:val="24"/>
        </w:rPr>
        <w:t>Study Demographics</w:t>
      </w:r>
    </w:p>
    <w:p w14:paraId="3AC23396" w14:textId="3C03C6A0" w:rsidR="00384653" w:rsidRPr="00F95907" w:rsidRDefault="003B3AA4" w:rsidP="00ED3894">
      <w:pPr>
        <w:spacing w:after="120" w:line="480" w:lineRule="auto"/>
        <w:jc w:val="both"/>
        <w:rPr>
          <w:rFonts w:cstheme="minorHAnsi"/>
          <w:sz w:val="24"/>
          <w:szCs w:val="24"/>
        </w:rPr>
      </w:pPr>
      <w:r w:rsidRPr="00295A88">
        <w:rPr>
          <w:rFonts w:cstheme="minorHAnsi"/>
          <w:sz w:val="24"/>
          <w:szCs w:val="24"/>
        </w:rPr>
        <w:t xml:space="preserve">Table </w:t>
      </w:r>
      <w:r w:rsidR="007A453C" w:rsidRPr="00295A88">
        <w:rPr>
          <w:rFonts w:cstheme="minorHAnsi"/>
          <w:sz w:val="24"/>
          <w:szCs w:val="24"/>
        </w:rPr>
        <w:t>2</w:t>
      </w:r>
      <w:r w:rsidR="00710C13" w:rsidRPr="00F95907">
        <w:rPr>
          <w:rFonts w:cstheme="minorHAnsi"/>
          <w:sz w:val="24"/>
          <w:szCs w:val="24"/>
        </w:rPr>
        <w:t xml:space="preserve"> shows the individual study demographics for each paper. </w:t>
      </w:r>
      <w:r w:rsidR="00377D4D" w:rsidRPr="00F95907">
        <w:rPr>
          <w:rFonts w:cstheme="minorHAnsi"/>
          <w:sz w:val="24"/>
          <w:szCs w:val="24"/>
        </w:rPr>
        <w:t>Three</w:t>
      </w:r>
      <w:r w:rsidR="00710C13" w:rsidRPr="00F95907">
        <w:rPr>
          <w:rFonts w:cstheme="minorHAnsi"/>
          <w:sz w:val="24"/>
          <w:szCs w:val="24"/>
        </w:rPr>
        <w:t xml:space="preserve"> of the </w:t>
      </w:r>
      <w:r w:rsidR="00377D4D" w:rsidRPr="00F95907">
        <w:rPr>
          <w:rFonts w:cstheme="minorHAnsi"/>
          <w:sz w:val="24"/>
          <w:szCs w:val="24"/>
        </w:rPr>
        <w:t>four</w:t>
      </w:r>
      <w:r w:rsidR="00710C13" w:rsidRPr="00F95907">
        <w:rPr>
          <w:rFonts w:cstheme="minorHAnsi"/>
          <w:sz w:val="24"/>
          <w:szCs w:val="24"/>
        </w:rPr>
        <w:t xml:space="preserve"> studies in children were carried out in the United States and one in Denmark. All studies were performed in a </w:t>
      </w:r>
      <w:r w:rsidRPr="00F95907">
        <w:rPr>
          <w:rFonts w:cstheme="minorHAnsi"/>
          <w:sz w:val="24"/>
          <w:szCs w:val="24"/>
        </w:rPr>
        <w:t xml:space="preserve">single </w:t>
      </w:r>
      <w:r w:rsidR="00710C13" w:rsidRPr="00F95907">
        <w:rPr>
          <w:rFonts w:cstheme="minorHAnsi"/>
          <w:sz w:val="24"/>
          <w:szCs w:val="24"/>
        </w:rPr>
        <w:t>hospital or clinical setting.</w:t>
      </w:r>
      <w:r w:rsidR="00384653" w:rsidRPr="00F95907">
        <w:rPr>
          <w:rFonts w:cstheme="minorHAnsi"/>
          <w:sz w:val="24"/>
          <w:szCs w:val="24"/>
        </w:rPr>
        <w:t xml:space="preserve"> </w:t>
      </w:r>
    </w:p>
    <w:p w14:paraId="3EE4C8F2" w14:textId="428D9059" w:rsidR="003B3AA4" w:rsidRPr="00295A88" w:rsidRDefault="00030A23" w:rsidP="00ED3894">
      <w:pPr>
        <w:spacing w:after="120" w:line="480" w:lineRule="auto"/>
        <w:ind w:firstLine="720"/>
        <w:jc w:val="both"/>
        <w:rPr>
          <w:rFonts w:cstheme="minorHAnsi"/>
          <w:sz w:val="24"/>
          <w:szCs w:val="24"/>
        </w:rPr>
      </w:pPr>
      <w:r w:rsidRPr="00F95907">
        <w:rPr>
          <w:rFonts w:cstheme="minorHAnsi"/>
          <w:sz w:val="24"/>
          <w:szCs w:val="24"/>
        </w:rPr>
        <w:lastRenderedPageBreak/>
        <w:t xml:space="preserve">The </w:t>
      </w:r>
      <w:r w:rsidR="00F249AB" w:rsidRPr="00F95907">
        <w:rPr>
          <w:rFonts w:cstheme="minorHAnsi"/>
          <w:sz w:val="24"/>
          <w:szCs w:val="24"/>
        </w:rPr>
        <w:t>four</w:t>
      </w:r>
      <w:r w:rsidRPr="00F95907">
        <w:rPr>
          <w:rFonts w:cstheme="minorHAnsi"/>
          <w:sz w:val="24"/>
          <w:szCs w:val="24"/>
        </w:rPr>
        <w:t xml:space="preserve"> included studies involved </w:t>
      </w:r>
      <w:r w:rsidR="00F249AB" w:rsidRPr="00F95907">
        <w:rPr>
          <w:rFonts w:cstheme="minorHAnsi"/>
          <w:sz w:val="24"/>
          <w:szCs w:val="24"/>
        </w:rPr>
        <w:t>1141</w:t>
      </w:r>
      <w:r w:rsidR="00CB47DD" w:rsidRPr="00F95907">
        <w:rPr>
          <w:rFonts w:cstheme="minorHAnsi"/>
          <w:sz w:val="24"/>
          <w:szCs w:val="24"/>
        </w:rPr>
        <w:t xml:space="preserve"> children and young people</w:t>
      </w:r>
      <w:r w:rsidR="00B825BB" w:rsidRPr="00F95907">
        <w:rPr>
          <w:rFonts w:cstheme="minorHAnsi"/>
          <w:sz w:val="24"/>
          <w:szCs w:val="24"/>
        </w:rPr>
        <w:t xml:space="preserve">. </w:t>
      </w:r>
      <w:r w:rsidR="00CB47DD" w:rsidRPr="00F95907">
        <w:rPr>
          <w:rFonts w:cstheme="minorHAnsi"/>
          <w:sz w:val="24"/>
          <w:szCs w:val="24"/>
        </w:rPr>
        <w:t xml:space="preserve">583 participants </w:t>
      </w:r>
      <w:r w:rsidR="006E6103" w:rsidRPr="00F95907">
        <w:rPr>
          <w:rFonts w:cstheme="minorHAnsi"/>
          <w:sz w:val="24"/>
          <w:szCs w:val="24"/>
        </w:rPr>
        <w:t>(</w:t>
      </w:r>
      <w:r w:rsidR="001B5E23" w:rsidRPr="00F95907">
        <w:rPr>
          <w:rFonts w:cstheme="minorHAnsi"/>
          <w:sz w:val="24"/>
          <w:szCs w:val="24"/>
        </w:rPr>
        <w:t xml:space="preserve">median age: 6 years, </w:t>
      </w:r>
      <w:r w:rsidR="00C14A73" w:rsidRPr="00F95907">
        <w:rPr>
          <w:rFonts w:cstheme="minorHAnsi"/>
          <w:sz w:val="24"/>
          <w:szCs w:val="24"/>
        </w:rPr>
        <w:t>range: 1-18 years</w:t>
      </w:r>
      <w:r w:rsidR="006E6103" w:rsidRPr="00F95907">
        <w:rPr>
          <w:rFonts w:cstheme="minorHAnsi"/>
          <w:sz w:val="24"/>
          <w:szCs w:val="24"/>
        </w:rPr>
        <w:t xml:space="preserve">) </w:t>
      </w:r>
      <w:r w:rsidRPr="00F95907">
        <w:rPr>
          <w:rFonts w:cstheme="minorHAnsi"/>
          <w:sz w:val="24"/>
          <w:szCs w:val="24"/>
        </w:rPr>
        <w:t xml:space="preserve">were </w:t>
      </w:r>
      <w:r w:rsidR="00B825BB" w:rsidRPr="00F95907">
        <w:rPr>
          <w:rFonts w:cstheme="minorHAnsi"/>
          <w:sz w:val="24"/>
          <w:szCs w:val="24"/>
        </w:rPr>
        <w:t>included in the first c</w:t>
      </w:r>
      <w:r w:rsidR="006E6103" w:rsidRPr="00F95907">
        <w:rPr>
          <w:rFonts w:cstheme="minorHAnsi"/>
          <w:sz w:val="24"/>
          <w:szCs w:val="24"/>
        </w:rPr>
        <w:t>ohort</w:t>
      </w:r>
      <w:r w:rsidRPr="00F95907">
        <w:rPr>
          <w:rFonts w:cstheme="minorHAnsi"/>
          <w:sz w:val="24"/>
          <w:szCs w:val="24"/>
        </w:rPr>
        <w:t xml:space="preserve"> study</w:t>
      </w:r>
      <w:r w:rsidR="00CB41AE" w:rsidRPr="00F95907">
        <w:rPr>
          <w:rFonts w:cstheme="minorHAnsi"/>
          <w:sz w:val="24"/>
          <w:szCs w:val="24"/>
        </w:rPr>
        <w:t xml:space="preserve"> </w:t>
      </w:r>
      <w:r w:rsidR="00CB41AE" w:rsidRPr="00295A88">
        <w:rPr>
          <w:rFonts w:cstheme="minorHAnsi"/>
          <w:sz w:val="24"/>
          <w:szCs w:val="24"/>
        </w:rPr>
        <w:fldChar w:fldCharType="begin" w:fldLock="1"/>
      </w:r>
      <w:r w:rsidR="001379E8" w:rsidRPr="00F95907">
        <w:rPr>
          <w:rFonts w:cstheme="minorHAnsi"/>
          <w:sz w:val="24"/>
          <w:szCs w:val="24"/>
        </w:rPr>
        <w:instrText>ADDIN CSL_CITATION {"citationItems":[{"id":"ITEM-1","itemData":{"DOI":"10.1177/0003489415583685","ISSN":"00034894","PMID":"25902839","abstract":"OBJECTIVES: To determine the outcomes of alternating doses of ibuprofen and acetaminophen in the treatment of post-tonsillectomy pain in children and to identify characteristics of children who had inadequate pain control. METHODS: The medical records of children who received alternating doses of ibuprofen and acetaminophen for post-tonsillectomy pain between August 2012 and November 2013 at a tertiary care children's hospital were reviewed. Incidences of postoperative bleeding and unresolved pain were determined. RESULTS: A total of 583 patients (304 males, 279 females, age range=1-18 years) had received alternating doses of ibuprofen and acetaminophen after tonsillectomy and adenoidectomy. Of the 583 patients, 56 (9.6%) reported inadequate pain control. Age, sex, obesity, presence of comorbid conditions, indications for surgery, and concurrent surgical procedures were not different between children who had adequate analgesia and children who had unresolved pain. Twenty-four patients (4.1%) had postoperative bleeding. Nine patients (1.5%) required surgical intervention for bleeding. CONCLUSIONS: Alternating doses of ibuprofen and acetaminophen provided an effective treatment for post-tonsillectomy pain in the majority of children and did not increase rate of bleeding. Means of improving response rate to alternating doses of ibuprofen and acetaminophen merit further investigation.","author":[{"dropping-particle":"","family":"Liu","given":"Christopher","non-dropping-particle":"","parse-names":false,"suffix":""},{"dropping-particle":"","family":"Ulualp","given":"Seckin O.","non-dropping-particle":"","parse-names":false,"suffix":""}],"container-title":"Annals of Otology, Rhinology and Laryngology","id":"ITEM-1","issue":"10","issued":{"date-parts":[["2015"]]},"page":"777-781","title":"Outcomes of an Alternating Ibuprofen and Acetaminophen Regimen for Pain Relief after Tonsillectomy in Children","type":"article","volume":"124"},"uris":["http://www.mendeley.com/documents/?uuid=3ad85d84-a1ea-3c6f-85a5-86b798f3deef"]}],"mendeley":{"formattedCitation":"(14)","plainTextFormattedCitation":"(14)","previouslyFormattedCitation":"(14)"},"properties":{"noteIndex":0},"schema":"https://github.com/citation-style-language/schema/raw/master/csl-citation.json"}</w:instrText>
      </w:r>
      <w:r w:rsidR="00CB41AE" w:rsidRPr="00295A88">
        <w:rPr>
          <w:rFonts w:cstheme="minorHAnsi"/>
          <w:sz w:val="24"/>
          <w:szCs w:val="24"/>
        </w:rPr>
        <w:fldChar w:fldCharType="separate"/>
      </w:r>
      <w:r w:rsidR="00CB41AE" w:rsidRPr="00295A88">
        <w:rPr>
          <w:rFonts w:cstheme="minorHAnsi"/>
          <w:noProof/>
          <w:sz w:val="24"/>
          <w:szCs w:val="24"/>
        </w:rPr>
        <w:t>(14)</w:t>
      </w:r>
      <w:r w:rsidR="00CB41AE" w:rsidRPr="00295A88">
        <w:rPr>
          <w:rFonts w:cstheme="minorHAnsi"/>
          <w:sz w:val="24"/>
          <w:szCs w:val="24"/>
        </w:rPr>
        <w:fldChar w:fldCharType="end"/>
      </w:r>
      <w:r w:rsidR="00B27A81" w:rsidRPr="00295A88">
        <w:rPr>
          <w:rFonts w:cstheme="minorHAnsi"/>
          <w:sz w:val="24"/>
          <w:szCs w:val="24"/>
        </w:rPr>
        <w:t xml:space="preserve">, </w:t>
      </w:r>
      <w:r w:rsidRPr="00295A88">
        <w:rPr>
          <w:rFonts w:cstheme="minorHAnsi"/>
          <w:sz w:val="24"/>
          <w:szCs w:val="24"/>
        </w:rPr>
        <w:t xml:space="preserve">200 children (median age: 11 years, range: </w:t>
      </w:r>
      <w:r w:rsidR="0040402B" w:rsidRPr="00295A88">
        <w:rPr>
          <w:rFonts w:cstheme="minorHAnsi"/>
          <w:sz w:val="24"/>
          <w:szCs w:val="24"/>
        </w:rPr>
        <w:t>11</w:t>
      </w:r>
      <w:r w:rsidRPr="00295A88">
        <w:rPr>
          <w:rFonts w:cstheme="minorHAnsi"/>
          <w:sz w:val="24"/>
          <w:szCs w:val="24"/>
        </w:rPr>
        <w:t xml:space="preserve">-18 years) </w:t>
      </w:r>
      <w:r w:rsidR="00FB6B96" w:rsidRPr="00295A88">
        <w:rPr>
          <w:rFonts w:cstheme="minorHAnsi"/>
          <w:sz w:val="24"/>
          <w:szCs w:val="24"/>
        </w:rPr>
        <w:t>in</w:t>
      </w:r>
      <w:r w:rsidR="006E6103" w:rsidRPr="00295A88">
        <w:rPr>
          <w:rFonts w:cstheme="minorHAnsi"/>
          <w:sz w:val="24"/>
          <w:szCs w:val="24"/>
        </w:rPr>
        <w:t xml:space="preserve"> </w:t>
      </w:r>
      <w:r w:rsidR="00B825BB" w:rsidRPr="00295A88">
        <w:rPr>
          <w:rFonts w:cstheme="minorHAnsi"/>
          <w:sz w:val="24"/>
          <w:szCs w:val="24"/>
        </w:rPr>
        <w:t>the second</w:t>
      </w:r>
      <w:r w:rsidR="006E6103" w:rsidRPr="00295A88">
        <w:rPr>
          <w:rFonts w:cstheme="minorHAnsi"/>
          <w:sz w:val="24"/>
          <w:szCs w:val="24"/>
        </w:rPr>
        <w:t xml:space="preserve"> cohort study</w:t>
      </w:r>
      <w:r w:rsidR="00CB41AE" w:rsidRPr="00F95907">
        <w:rPr>
          <w:rFonts w:cstheme="minorHAnsi"/>
          <w:sz w:val="24"/>
          <w:szCs w:val="24"/>
        </w:rPr>
        <w:t xml:space="preserve"> </w:t>
      </w:r>
      <w:r w:rsidR="004659DD" w:rsidRPr="00295A88">
        <w:rPr>
          <w:rFonts w:cstheme="minorHAnsi"/>
          <w:sz w:val="24"/>
          <w:szCs w:val="24"/>
        </w:rPr>
        <w:fldChar w:fldCharType="begin" w:fldLock="1"/>
      </w:r>
      <w:r w:rsidR="001379E8" w:rsidRPr="00F95907">
        <w:rPr>
          <w:rFonts w:cstheme="minorHAnsi"/>
          <w:sz w:val="24"/>
          <w:szCs w:val="24"/>
        </w:rPr>
        <w:instrText>ADDIN CSL_CITATION {"citationItems":[{"id":"ITEM-1","itemData":{"DOI":"10.1002/prp2.398","ISSN":"20521707","abstract":"Abstract: Obesity can affect the pharmacokinetics of most drugs, which may result in under‐ or overdosing if traditional pediatric dosing strategies are used. To investigate currently applied dosage strategies in children with overweight or obesity (overweight/obesity), in a clinical treatment facility. In particular, whether dosing guidelines were available and metrics of body size applied. A retrospective cohort study of 200 patients admitted to the Danish Children′s Obesity Clinic. Data were collected from 2007 to 2015. Overweight/obese children 3‐18 years were included if they had at least one drug prescription. Overall there were 658 prescriptions, primarily analgesics, psychotropics, asthma medications, and antibiotics. Except for one prescription, guidelines for dosage of overweight/obese children were not available in the clinic. In one prescription of gentamicin, the dose was adjusted by a metric body size. Otherwise dose was predominately prescribed either by total body weight or as fixed dose by age, in accordance with the recommendations of normal weight children. In drugs with a narrow therapeutic interval, we found large interindividual variations in dosing regimens, that is, for gentamicin, paracetamol, and prednisolone. Reduction of dose to the maximum recommended adult dose was common practice, when the dose calculated by total body weight (ie, mg/kg) exceeded this maximum. This study highlights the shortage of dosing guidelines in overweight/obese children. We found a large interindividual variability in dosage regimens, even in drugs with narrow therapeutic intervals. The clinicians rely on “best practice”, as evidence‐based dosage regimens are missing for many drugs prescribed during childhood. [ABSTRACT FROM AUTHOR]","author":[{"dropping-particle":"","family":"Gade","given":"Christina","non-dropping-particle":"","parse-names":false,"suffix":""},{"dropping-particle":"","family":"Christensen","given":"Hanne R.","non-dropping-particle":"","parse-names":false,"suffix":""},{"dropping-particle":"","family":"Dalhoff","given":"Kim P.","non-dropping-particle":"","parse-names":false,"suffix":""},{"dropping-particle":"","family":"Holm","given":"Jens Christian","non-dropping-particle":"","parse-names":false,"suffix":""},{"dropping-particle":"","family":"Holst","given":"Helle","non-dropping-particle":"","parse-names":false,"suffix":""}],"container-title":"Pharmacology Research and Perspectives","id":"ITEM-1","issue":"3","issued":{"date-parts":[["2018","6","1"]]},"page":"e00398","publisher":"John Wiley &amp; Sons, Ltd","title":"Inconsistencies in dosage practice in children with overweight or obesity: A retrospective cohort study","type":"article","volume":"6"},"uris":["http://www.mendeley.com/documents/?uuid=0a688d1e-e9b9-347c-9c6d-38cc908aef31"]}],"mendeley":{"formattedCitation":"(15)","plainTextFormattedCitation":"(15)","previouslyFormattedCitation":"(15)"},"properties":{"noteIndex":0},"schema":"https://github.com/citation-style-language/schema/raw/master/csl-citation.json"}</w:instrText>
      </w:r>
      <w:r w:rsidR="004659DD" w:rsidRPr="00295A88">
        <w:rPr>
          <w:rFonts w:cstheme="minorHAnsi"/>
          <w:sz w:val="24"/>
          <w:szCs w:val="24"/>
        </w:rPr>
        <w:fldChar w:fldCharType="separate"/>
      </w:r>
      <w:r w:rsidR="004659DD" w:rsidRPr="00295A88">
        <w:rPr>
          <w:rFonts w:cstheme="minorHAnsi"/>
          <w:noProof/>
          <w:sz w:val="24"/>
          <w:szCs w:val="24"/>
        </w:rPr>
        <w:t>(15)</w:t>
      </w:r>
      <w:r w:rsidR="004659DD" w:rsidRPr="00295A88">
        <w:rPr>
          <w:rFonts w:cstheme="minorHAnsi"/>
          <w:sz w:val="24"/>
          <w:szCs w:val="24"/>
        </w:rPr>
        <w:fldChar w:fldCharType="end"/>
      </w:r>
      <w:r w:rsidR="00B27A81" w:rsidRPr="00295A88">
        <w:rPr>
          <w:rFonts w:cstheme="minorHAnsi"/>
          <w:sz w:val="24"/>
          <w:szCs w:val="24"/>
        </w:rPr>
        <w:t xml:space="preserve">, and 358 </w:t>
      </w:r>
      <w:r w:rsidR="007729D9" w:rsidRPr="00295A88">
        <w:rPr>
          <w:rFonts w:cstheme="minorHAnsi"/>
          <w:sz w:val="24"/>
          <w:szCs w:val="24"/>
        </w:rPr>
        <w:t xml:space="preserve">participants </w:t>
      </w:r>
      <w:r w:rsidR="00203163" w:rsidRPr="00295A88">
        <w:rPr>
          <w:rFonts w:cstheme="minorHAnsi"/>
          <w:sz w:val="24"/>
          <w:szCs w:val="24"/>
        </w:rPr>
        <w:t>(median age:</w:t>
      </w:r>
      <w:r w:rsidR="007729D9" w:rsidRPr="00295A88">
        <w:rPr>
          <w:rFonts w:cstheme="minorHAnsi"/>
          <w:sz w:val="24"/>
          <w:szCs w:val="24"/>
        </w:rPr>
        <w:t xml:space="preserve"> </w:t>
      </w:r>
      <w:r w:rsidR="00255E91" w:rsidRPr="00295A88">
        <w:rPr>
          <w:rFonts w:cstheme="minorHAnsi"/>
          <w:sz w:val="24"/>
          <w:szCs w:val="24"/>
        </w:rPr>
        <w:t>3.1</w:t>
      </w:r>
      <w:r w:rsidR="00203163" w:rsidRPr="00295A88">
        <w:rPr>
          <w:rFonts w:cstheme="minorHAnsi"/>
          <w:sz w:val="24"/>
          <w:szCs w:val="24"/>
        </w:rPr>
        <w:t>, range:</w:t>
      </w:r>
      <w:r w:rsidR="0040402B" w:rsidRPr="00295A88">
        <w:rPr>
          <w:rFonts w:cstheme="minorHAnsi"/>
        </w:rPr>
        <w:t xml:space="preserve"> </w:t>
      </w:r>
      <w:r w:rsidR="0040402B" w:rsidRPr="00295A88">
        <w:rPr>
          <w:rFonts w:cstheme="minorHAnsi"/>
          <w:sz w:val="24"/>
          <w:szCs w:val="24"/>
        </w:rPr>
        <w:t>1.2 – 8.5</w:t>
      </w:r>
      <w:r w:rsidR="0040402B" w:rsidRPr="00F95907">
        <w:rPr>
          <w:rFonts w:cstheme="minorHAnsi"/>
          <w:sz w:val="24"/>
          <w:szCs w:val="24"/>
        </w:rPr>
        <w:t xml:space="preserve"> years</w:t>
      </w:r>
      <w:r w:rsidR="00203163" w:rsidRPr="00F95907">
        <w:rPr>
          <w:rFonts w:cstheme="minorHAnsi"/>
          <w:sz w:val="24"/>
          <w:szCs w:val="24"/>
        </w:rPr>
        <w:t>)</w:t>
      </w:r>
      <w:r w:rsidR="007729D9" w:rsidRPr="00F95907">
        <w:rPr>
          <w:rFonts w:cstheme="minorHAnsi"/>
          <w:sz w:val="24"/>
          <w:szCs w:val="24"/>
        </w:rPr>
        <w:t xml:space="preserve"> </w:t>
      </w:r>
      <w:r w:rsidR="00B27A81" w:rsidRPr="00F95907">
        <w:rPr>
          <w:rFonts w:cstheme="minorHAnsi"/>
          <w:sz w:val="24"/>
          <w:szCs w:val="24"/>
        </w:rPr>
        <w:t xml:space="preserve">in </w:t>
      </w:r>
      <w:r w:rsidR="00203163" w:rsidRPr="00F95907">
        <w:rPr>
          <w:rFonts w:cstheme="minorHAnsi"/>
          <w:sz w:val="24"/>
          <w:szCs w:val="24"/>
        </w:rPr>
        <w:t xml:space="preserve">the third cohort study </w:t>
      </w:r>
      <w:r w:rsidR="00203163" w:rsidRPr="00295A88">
        <w:rPr>
          <w:rFonts w:cstheme="minorHAnsi"/>
          <w:sz w:val="24"/>
          <w:szCs w:val="24"/>
        </w:rPr>
        <w:fldChar w:fldCharType="begin" w:fldLock="1"/>
      </w:r>
      <w:r w:rsidR="00255E91" w:rsidRPr="00F95907">
        <w:rPr>
          <w:rFonts w:cstheme="minorHAnsi"/>
          <w:sz w:val="24"/>
          <w:szCs w:val="24"/>
        </w:rPr>
        <w:instrText>ADDIN CSL_CITATION {"citationItems":[{"id":"ITEM-1","itemData":{"DOI":"10.1097/PCC.0000000000002072","ISBN":"0000000000","ISSN":"19473893","PMID":"31398182","abstract":"Objectives: To determine the antipyretic efficacy of acetaminophen (IV, enteral, rectal) and ibuprofen (enteral) in critically ill febrile pediatric patients. Design: Retrospective cohort study. Setting: Quaternary care pediatric hospital ICUs. Patients: Pediatric patients less than 19 years old who were febrile (≥ 38.0°C), received a dose of IV acetaminophen, enteral acetaminophen, rectal acetaminophen, or enteral ibuprofen and had at least one temperature measurement in the following 6 hours. Interventions: None. Measurements and Main Results: A total of 3,341 patients (55.8% male, median age 2.5 yr [interquartile range, 0.63-9.2 yr]) met study criteria. Baseline temperature was median 38.6°C (interquartile range, 38.3-38.9°C) measured via axillary (76.9%) route. Patients became afebrile (87.5%) at median 1.4 hours (interquartile range, 0.77-2.3 hr) after the first dose of medication, a-2.9 ± 1.6% change in temperature. Antipyretic medications included as follows: enteral acetaminophen (n = 1,664), IV acetaminophen (n = 682), rectal acetaminophen (n = 637), and enteral ibuprofen (n = 358). Enteral ibuprofen had a significantly greater odds of defervescence on multivariable logistic regression analysis (p = 0.04) with a decrease of-1.97 ± 0.89°C while IV acetaminophen was significant for a decreased time to defervescence at median 1.5 hours (interquartile range 0.8-2.3 hr) after a dose (p = 0.03). Patient age, presence of obesity, and baseline temperature were significant for decreased antipyretic efficacy (p &lt; 0.05). Conclusions: Enteral ibuprofen was the most efficacious antipyretic and IV acetaminophen had the shortest time to defervescence.","author":[{"dropping-particle":"","family":"Moffett","given":"Brady S.","non-dropping-particle":"","parse-names":false,"suffix":""},{"dropping-particle":"","family":"Gutierrez","given":"Kristina","non-dropping-particle":"","parse-names":false,"suffix":""},{"dropping-particle":"","family":"Davis","given":"Kasey","non-dropping-particle":"","parse-names":false,"suffix":""},{"dropping-particle":"","family":"Sigdel","given":"Binayak","non-dropping-particle":"","parse-names":false,"suffix":""},{"dropping-particle":"","family":"Strobel","given":"Nathaniel","non-dropping-particle":"","parse-names":false,"suffix":""}],"container-title":"Pediatric Critical Care Medicine","id":"ITEM-1","issue":"8","issued":{"date-parts":[["2019"]]},"page":"E386-E393","title":"Antipyretic Efficacy of Acetaminophen and Ibuprofen in Critically Ill Pediatric Patients","type":"article-journal","volume":"20"},"uris":["http://www.mendeley.com/documents/?uuid=aa054fa6-d037-4207-bbdb-b8ea4d4a3a0e"]}],"mendeley":{"formattedCitation":"(16)","plainTextFormattedCitation":"(16)","previouslyFormattedCitation":"(16)"},"properties":{"noteIndex":0},"schema":"https://github.com/citation-style-language/schema/raw/master/csl-citation.json"}</w:instrText>
      </w:r>
      <w:r w:rsidR="00203163" w:rsidRPr="00295A88">
        <w:rPr>
          <w:rFonts w:cstheme="minorHAnsi"/>
          <w:sz w:val="24"/>
          <w:szCs w:val="24"/>
        </w:rPr>
        <w:fldChar w:fldCharType="separate"/>
      </w:r>
      <w:r w:rsidR="00203163" w:rsidRPr="00295A88">
        <w:rPr>
          <w:rFonts w:cstheme="minorHAnsi"/>
          <w:noProof/>
          <w:sz w:val="24"/>
          <w:szCs w:val="24"/>
        </w:rPr>
        <w:t>(16)</w:t>
      </w:r>
      <w:r w:rsidR="00203163" w:rsidRPr="00295A88">
        <w:rPr>
          <w:rFonts w:cstheme="minorHAnsi"/>
          <w:sz w:val="24"/>
          <w:szCs w:val="24"/>
        </w:rPr>
        <w:fldChar w:fldCharType="end"/>
      </w:r>
      <w:r w:rsidR="006E6103" w:rsidRPr="00295A88">
        <w:rPr>
          <w:rFonts w:cstheme="minorHAnsi"/>
          <w:sz w:val="24"/>
          <w:szCs w:val="24"/>
        </w:rPr>
        <w:t>.</w:t>
      </w:r>
      <w:r w:rsidR="00E83042" w:rsidRPr="00295A88">
        <w:rPr>
          <w:rFonts w:cstheme="minorHAnsi"/>
          <w:sz w:val="24"/>
          <w:szCs w:val="24"/>
        </w:rPr>
        <w:t xml:space="preserve"> Of the 200 children in th</w:t>
      </w:r>
      <w:r w:rsidR="00B825BB" w:rsidRPr="00295A88">
        <w:rPr>
          <w:rFonts w:cstheme="minorHAnsi"/>
          <w:sz w:val="24"/>
          <w:szCs w:val="24"/>
        </w:rPr>
        <w:t>e second</w:t>
      </w:r>
      <w:r w:rsidR="00E83042" w:rsidRPr="00295A88">
        <w:rPr>
          <w:rFonts w:cstheme="minorHAnsi"/>
          <w:sz w:val="24"/>
          <w:szCs w:val="24"/>
        </w:rPr>
        <w:t xml:space="preserve"> cohort study, there were only 11 prescriptions for ibuprofen. </w:t>
      </w:r>
      <w:r w:rsidR="006E6103" w:rsidRPr="00F95907">
        <w:rPr>
          <w:rFonts w:cstheme="minorHAnsi"/>
          <w:sz w:val="24"/>
          <w:szCs w:val="24"/>
        </w:rPr>
        <w:t xml:space="preserve">The </w:t>
      </w:r>
      <w:r w:rsidR="007D0773" w:rsidRPr="00F95907">
        <w:rPr>
          <w:rFonts w:cstheme="minorHAnsi"/>
          <w:sz w:val="24"/>
          <w:szCs w:val="24"/>
        </w:rPr>
        <w:t xml:space="preserve">fourth study was a </w:t>
      </w:r>
      <w:r w:rsidR="006E6103" w:rsidRPr="00F95907">
        <w:rPr>
          <w:rFonts w:cstheme="minorHAnsi"/>
          <w:sz w:val="24"/>
          <w:szCs w:val="24"/>
        </w:rPr>
        <w:t xml:space="preserve">case study </w:t>
      </w:r>
      <w:r w:rsidR="00151CD4" w:rsidRPr="00F95907">
        <w:rPr>
          <w:rFonts w:cstheme="minorHAnsi"/>
          <w:sz w:val="24"/>
          <w:szCs w:val="24"/>
        </w:rPr>
        <w:t>evaluat</w:t>
      </w:r>
      <w:r w:rsidR="007D0773" w:rsidRPr="00F95907">
        <w:rPr>
          <w:rFonts w:cstheme="minorHAnsi"/>
          <w:sz w:val="24"/>
          <w:szCs w:val="24"/>
        </w:rPr>
        <w:t>ing</w:t>
      </w:r>
      <w:r w:rsidR="006E6103" w:rsidRPr="00F95907">
        <w:rPr>
          <w:rFonts w:cstheme="minorHAnsi"/>
          <w:sz w:val="24"/>
          <w:szCs w:val="24"/>
        </w:rPr>
        <w:t xml:space="preserve"> prescriptions of critically ill infants and children (</w:t>
      </w:r>
      <w:bookmarkStart w:id="0" w:name="_Hlk44336253"/>
      <w:r w:rsidR="006E6103" w:rsidRPr="00F95907">
        <w:rPr>
          <w:rFonts w:cstheme="minorHAnsi"/>
          <w:sz w:val="24"/>
          <w:szCs w:val="24"/>
        </w:rPr>
        <w:t>age &lt;18 years</w:t>
      </w:r>
      <w:bookmarkEnd w:id="0"/>
      <w:r w:rsidR="006E6103" w:rsidRPr="00F95907">
        <w:rPr>
          <w:rFonts w:cstheme="minorHAnsi"/>
          <w:sz w:val="24"/>
          <w:szCs w:val="24"/>
        </w:rPr>
        <w:t xml:space="preserve">) but did not state the </w:t>
      </w:r>
      <w:r w:rsidR="00252B98" w:rsidRPr="00F95907">
        <w:rPr>
          <w:rFonts w:cstheme="minorHAnsi"/>
          <w:sz w:val="24"/>
          <w:szCs w:val="24"/>
        </w:rPr>
        <w:t xml:space="preserve">number of participants in their </w:t>
      </w:r>
      <w:r w:rsidR="006E6103" w:rsidRPr="00F95907">
        <w:rPr>
          <w:rFonts w:cstheme="minorHAnsi"/>
          <w:sz w:val="24"/>
          <w:szCs w:val="24"/>
        </w:rPr>
        <w:t>sample size</w:t>
      </w:r>
      <w:r w:rsidR="00FB6B96" w:rsidRPr="00F95907">
        <w:rPr>
          <w:rFonts w:cstheme="minorHAnsi"/>
          <w:sz w:val="24"/>
          <w:szCs w:val="24"/>
        </w:rPr>
        <w:t xml:space="preserve"> or their age distribution</w:t>
      </w:r>
      <w:r w:rsidR="00185454" w:rsidRPr="00F95907">
        <w:rPr>
          <w:rFonts w:cstheme="minorHAnsi"/>
          <w:sz w:val="24"/>
          <w:szCs w:val="24"/>
        </w:rPr>
        <w:t xml:space="preserve"> </w:t>
      </w:r>
      <w:r w:rsidR="00185454" w:rsidRPr="00295A88">
        <w:rPr>
          <w:rFonts w:cstheme="minorHAnsi"/>
          <w:sz w:val="24"/>
          <w:szCs w:val="24"/>
        </w:rPr>
        <w:fldChar w:fldCharType="begin" w:fldLock="1"/>
      </w:r>
      <w:r w:rsidR="00255E91" w:rsidRPr="00F95907">
        <w:rPr>
          <w:rFonts w:cstheme="minorHAnsi"/>
          <w:sz w:val="24"/>
          <w:szCs w:val="24"/>
        </w:rPr>
        <w:instrText>ADDIN CSL_CITATION {"citationItems":[{"id":"ITEM-1","itemData":{"DOI":"10.2146/ajhp140280","ISBN":"1079-2082","ISSN":"15352900","PMID":"25788508","abstract":"Purpose. The development and use of a decision support tool to help formulate recommendations for dosing of commonly prescribed medications in critically ill obese children are described. Methods. Medications prescribed in 2010 to critically ill infants and children (younger than 18 years) were identified from the Pediatric Health Information System. The most commonly prescribed and therapeutically monitored medications were extracted. Supportive evidence for obesity dosing was identified through a standardized computerized search involving medical subject heading terminology and age filters using PubMed and Ovid. A usefulness scoring system was developed to rate the strength and applicability of the literature to critically ill obese children. A decision supporttool was then created to aid in the formulation of a dosing weight for each medication based on the usefulness score, published pharmacokinetic properties, clinical studies available in the primary literature, and consideration of clinical consequences of underdosing or overdosing. Results. A total of 113 medications were evaluated, and 122 discrete citations, supporting 66 medications, were reviewed. Seventy-two percent of citations had general obesity dosing information, and 13% had pediatric-specific information. The overall mean usefulness score was 5.1 +/- 4.7 (median, 7). The decision support tool was incorporated to make final dosing weight recommendations for obese children. Ultimately, total body weight was recommended for 52 medications, adjusted weight for 43 medications, and ideal body weight for 18 medications. Conclusion. The inadequacy of obesity dosing information for most medications commonly ordered for children admitted to a pediatric intensive care unit led to the development of a decision support tool to aid in formulating dosing recommendations.","author":[{"dropping-particle":"","family":"Ross","given":"Emma L.","non-dropping-particle":"","parse-names":false,"suffix":""},{"dropping-particle":"","family":"Heizer","given":"Justin","non-dropping-particle":"","parse-names":false,"suffix":""},{"dropping-particle":"","family":"Mixon","given":"Mark A.","non-dropping-particle":"","parse-names":false,"suffix":""},{"dropping-particle":"","family":"Jorgensen","given":"Jennifer","non-dropping-particle":"","parse-names":false,"suffix":""},{"dropping-particle":"","family":"Valdez","given":"Connie A.","non-dropping-particle":"","parse-names":false,"suffix":""},{"dropping-particle":"","family":"Czaja","given":"Angela S.","non-dropping-particle":"","parse-names":false,"suffix":""},{"dropping-particle":"","family":"Reiter","given":"Pamela D.","non-dropping-particle":"","parse-names":false,"suffix":""}],"container-title":"American Journal of Health-System Pharmacy","id":"ITEM-1","issue":"7","issued":{"date-parts":[["2015"]]},"page":"542-556","title":"Development of recommendations for dosing of commonly prescribed medications in critically ill obese children","type":"article","volume":"72"},"uris":["http://www.mendeley.com/documents/?uuid=09e33da6-0013-4bd3-9a3c-636323ab7765"]}],"mendeley":{"formattedCitation":"(17)","plainTextFormattedCitation":"(17)","previouslyFormattedCitation":"(17)"},"properties":{"noteIndex":0},"schema":"https://github.com/citation-style-language/schema/raw/master/csl-citation.json"}</w:instrText>
      </w:r>
      <w:r w:rsidR="00185454" w:rsidRPr="00295A88">
        <w:rPr>
          <w:rFonts w:cstheme="minorHAnsi"/>
          <w:sz w:val="24"/>
          <w:szCs w:val="24"/>
        </w:rPr>
        <w:fldChar w:fldCharType="separate"/>
      </w:r>
      <w:r w:rsidR="00203163" w:rsidRPr="00295A88">
        <w:rPr>
          <w:rFonts w:cstheme="minorHAnsi"/>
          <w:noProof/>
          <w:sz w:val="24"/>
          <w:szCs w:val="24"/>
        </w:rPr>
        <w:t>(17)</w:t>
      </w:r>
      <w:r w:rsidR="00185454" w:rsidRPr="00295A88">
        <w:rPr>
          <w:rFonts w:cstheme="minorHAnsi"/>
          <w:sz w:val="24"/>
          <w:szCs w:val="24"/>
        </w:rPr>
        <w:fldChar w:fldCharType="end"/>
      </w:r>
      <w:r w:rsidR="006E6103" w:rsidRPr="00295A88">
        <w:rPr>
          <w:rFonts w:cstheme="minorHAnsi"/>
          <w:sz w:val="24"/>
          <w:szCs w:val="24"/>
        </w:rPr>
        <w:t xml:space="preserve">. There were a relatively even distribution of males and females in the </w:t>
      </w:r>
      <w:r w:rsidR="00E2272C" w:rsidRPr="00295A88">
        <w:rPr>
          <w:rFonts w:cstheme="minorHAnsi"/>
          <w:sz w:val="24"/>
          <w:szCs w:val="24"/>
        </w:rPr>
        <w:t>three</w:t>
      </w:r>
      <w:r w:rsidR="006E6103" w:rsidRPr="00295A88">
        <w:rPr>
          <w:rFonts w:cstheme="minorHAnsi"/>
          <w:sz w:val="24"/>
          <w:szCs w:val="24"/>
        </w:rPr>
        <w:t xml:space="preserve"> retrospective cohorts </w:t>
      </w:r>
      <w:r w:rsidR="006E6103" w:rsidRPr="00295A88">
        <w:rPr>
          <w:rFonts w:cstheme="minorHAnsi"/>
          <w:sz w:val="24"/>
          <w:szCs w:val="24"/>
        </w:rPr>
        <w:fldChar w:fldCharType="begin" w:fldLock="1"/>
      </w:r>
      <w:r w:rsidR="001379E8" w:rsidRPr="00F95907">
        <w:rPr>
          <w:rFonts w:cstheme="minorHAnsi"/>
          <w:sz w:val="24"/>
          <w:szCs w:val="24"/>
        </w:rPr>
        <w:instrText>ADDIN CSL_CITATION {"citationItems":[{"id":"ITEM-1","itemData":{"DOI":"10.1177/0003489415583685","ISSN":"00034894","PMID":"25902839","abstract":"OBJECTIVES: To determine the outcomes of alternating doses of ibuprofen and acetaminophen in the treatment of post-tonsillectomy pain in children and to identify characteristics of children who had inadequate pain control. METHODS: The medical records of children who received alternating doses of ibuprofen and acetaminophen for post-tonsillectomy pain between August 2012 and November 2013 at a tertiary care children's hospital were reviewed. Incidences of postoperative bleeding and unresolved pain were determined. RESULTS: A total of 583 patients (304 males, 279 females, age range=1-18 years) had received alternating doses of ibuprofen and acetaminophen after tonsillectomy and adenoidectomy. Of the 583 patients, 56 (9.6%) reported inadequate pain control. Age, sex, obesity, presence of comorbid conditions, indications for surgery, and concurrent surgical procedures were not different between children who had adequate analgesia and children who had unresolved pain. Twenty-four patients (4.1%) had postoperative bleeding. Nine patients (1.5%) required surgical intervention for bleeding. CONCLUSIONS: Alternating doses of ibuprofen and acetaminophen provided an effective treatment for post-tonsillectomy pain in the majority of children and did not increase rate of bleeding. Means of improving response rate to alternating doses of ibuprofen and acetaminophen merit further investigation.","author":[{"dropping-particle":"","family":"Liu","given":"Christopher","non-dropping-particle":"","parse-names":false,"suffix":""},{"dropping-particle":"","family":"Ulualp","given":"Seckin O.","non-dropping-particle":"","parse-names":false,"suffix":""}],"container-title":"Annals of Otology, Rhinology and Laryngology","id":"ITEM-1","issue":"10","issued":{"date-parts":[["2015"]]},"page":"777-781","title":"Outcomes of an Alternating Ibuprofen and Acetaminophen Regimen for Pain Relief after Tonsillectomy in Children","type":"article","volume":"124"},"uris":["http://www.mendeley.com/documents/?uuid=3ad85d84-a1ea-3c6f-85a5-86b798f3deef"]},{"id":"ITEM-2","itemData":{"DOI":"10.1002/prp2.398","ISSN":"20521707","abstract":"Abstract: Obesity can affect the pharmacokinetics of most drugs, which may result in under‐ or overdosing if traditional pediatric dosing strategies are used. To investigate currently applied dosage strategies in children with overweight or obesity (overweight/obesity), in a clinical treatment facility. In particular, whether dosing guidelines were available and metrics of body size applied. A retrospective cohort study of 200 patients admitted to the Danish Children′s Obesity Clinic. Data were collected from 2007 to 2015. Overweight/obese children 3‐18 years were included if they had at least one drug prescription. Overall there were 658 prescriptions, primarily analgesics, psychotropics, asthma medications, and antibiotics. Except for one prescription, guidelines for dosage of overweight/obese children were not available in the clinic. In one prescription of gentamicin, the dose was adjusted by a metric body size. Otherwise dose was predominately prescribed either by total body weight or as fixed dose by age, in accordance with the recommendations of normal weight children. In drugs with a narrow therapeutic interval, we found large interindividual variations in dosing regimens, that is, for gentamicin, paracetamol, and prednisolone. Reduction of dose to the maximum recommended adult dose was common practice, when the dose calculated by total body weight (ie, mg/kg) exceeded this maximum. This study highlights the shortage of dosing guidelines in overweight/obese children. We found a large interindividual variability in dosage regimens, even in drugs with narrow therapeutic intervals. The clinicians rely on “best practice”, as evidence‐based dosage regimens are missing for many drugs prescribed during childhood. [ABSTRACT FROM AUTHOR]","author":[{"dropping-particle":"","family":"Gade","given":"Christina","non-dropping-particle":"","parse-names":false,"suffix":""},{"dropping-particle":"","family":"Christensen","given":"Hanne R.","non-dropping-particle":"","parse-names":false,"suffix":""},{"dropping-particle":"","family":"Dalhoff","given":"Kim P.","non-dropping-particle":"","parse-names":false,"suffix":""},{"dropping-particle":"","family":"Holm","given":"Jens Christian","non-dropping-particle":"","parse-names":false,"suffix":""},{"dropping-particle":"","family":"Holst","given":"Helle","non-dropping-particle":"","parse-names":false,"suffix":""}],"container-title":"Pharmacology Research and Perspectives","id":"ITEM-2","issue":"3","issued":{"date-parts":[["2018","6","1"]]},"page":"e00398","publisher":"John Wiley &amp; Sons, Ltd","title":"Inconsistencies in dosage practice in children with overweight or obesity: A retrospective cohort study","type":"article","volume":"6"},"uris":["http://www.mendeley.com/documents/?uuid=0a688d1e-e9b9-347c-9c6d-38cc908aef31"]}],"mendeley":{"formattedCitation":"(14,15)","plainTextFormattedCitation":"(14,15)","previouslyFormattedCitation":"(14,15)"},"properties":{"noteIndex":0},"schema":"https://github.com/citation-style-language/schema/raw/master/csl-citation.json"}</w:instrText>
      </w:r>
      <w:r w:rsidR="006E6103" w:rsidRPr="00295A88">
        <w:rPr>
          <w:rFonts w:cstheme="minorHAnsi"/>
          <w:sz w:val="24"/>
          <w:szCs w:val="24"/>
        </w:rPr>
        <w:fldChar w:fldCharType="separate"/>
      </w:r>
      <w:r w:rsidR="00151CD4" w:rsidRPr="00295A88">
        <w:rPr>
          <w:rFonts w:cstheme="minorHAnsi"/>
          <w:noProof/>
          <w:sz w:val="24"/>
          <w:szCs w:val="24"/>
        </w:rPr>
        <w:t>(14,15)</w:t>
      </w:r>
      <w:r w:rsidR="006E6103" w:rsidRPr="00295A88">
        <w:rPr>
          <w:rFonts w:cstheme="minorHAnsi"/>
          <w:sz w:val="24"/>
          <w:szCs w:val="24"/>
        </w:rPr>
        <w:fldChar w:fldCharType="end"/>
      </w:r>
      <w:r w:rsidR="006E6103" w:rsidRPr="00295A88">
        <w:rPr>
          <w:rFonts w:cstheme="minorHAnsi"/>
          <w:sz w:val="24"/>
          <w:szCs w:val="24"/>
        </w:rPr>
        <w:t>, but the case study did not state the gender distribution in their sample.</w:t>
      </w:r>
      <w:r w:rsidR="00ED136B" w:rsidRPr="00295A88">
        <w:rPr>
          <w:rFonts w:cstheme="minorHAnsi"/>
          <w:sz w:val="24"/>
          <w:szCs w:val="24"/>
        </w:rPr>
        <w:t xml:space="preserve"> </w:t>
      </w:r>
    </w:p>
    <w:p w14:paraId="453B444F" w14:textId="7C8F7CDB" w:rsidR="00E83042" w:rsidRPr="00F95907" w:rsidRDefault="006E6103" w:rsidP="00ED3894">
      <w:pPr>
        <w:spacing w:after="120" w:line="480" w:lineRule="auto"/>
        <w:ind w:firstLine="720"/>
        <w:jc w:val="both"/>
        <w:rPr>
          <w:rFonts w:cstheme="minorHAnsi"/>
          <w:sz w:val="24"/>
          <w:szCs w:val="24"/>
        </w:rPr>
      </w:pPr>
      <w:r w:rsidRPr="00F95907">
        <w:rPr>
          <w:rFonts w:cstheme="minorHAnsi"/>
          <w:sz w:val="24"/>
          <w:szCs w:val="24"/>
        </w:rPr>
        <w:t>T</w:t>
      </w:r>
      <w:r w:rsidR="00756550" w:rsidRPr="00F95907">
        <w:rPr>
          <w:rFonts w:cstheme="minorHAnsi"/>
          <w:sz w:val="24"/>
          <w:szCs w:val="24"/>
        </w:rPr>
        <w:t>hree</w:t>
      </w:r>
      <w:r w:rsidRPr="00F95907">
        <w:rPr>
          <w:rFonts w:cstheme="minorHAnsi"/>
          <w:sz w:val="24"/>
          <w:szCs w:val="24"/>
        </w:rPr>
        <w:t xml:space="preserve"> papers shared the Centres for Disease Control and Prevention’s definition of obesity: obesity as a BMI above the 95</w:t>
      </w:r>
      <w:r w:rsidRPr="00F95907">
        <w:rPr>
          <w:rFonts w:cstheme="minorHAnsi"/>
          <w:sz w:val="24"/>
          <w:szCs w:val="24"/>
          <w:vertAlign w:val="superscript"/>
        </w:rPr>
        <w:t>th</w:t>
      </w:r>
      <w:r w:rsidRPr="00F95907">
        <w:rPr>
          <w:rFonts w:cstheme="minorHAnsi"/>
          <w:sz w:val="24"/>
          <w:szCs w:val="24"/>
        </w:rPr>
        <w:t xml:space="preserve"> percentile </w:t>
      </w:r>
      <w:r w:rsidRPr="00295A88">
        <w:rPr>
          <w:rFonts w:cstheme="minorHAnsi"/>
          <w:sz w:val="24"/>
          <w:szCs w:val="24"/>
        </w:rPr>
        <w:fldChar w:fldCharType="begin" w:fldLock="1"/>
      </w:r>
      <w:r w:rsidR="00715B26" w:rsidRPr="00F95907">
        <w:rPr>
          <w:rFonts w:cstheme="minorHAnsi"/>
          <w:sz w:val="24"/>
          <w:szCs w:val="24"/>
        </w:rPr>
        <w:instrText>ADDIN CSL_CITATION {"citationItems":[{"id":"ITEM-1","itemData":{"DOI":"10.1177/0003489415583685","ISSN":"00034894","PMID":"25902839","abstract":"OBJECTIVES: To determine the outcomes of alternating doses of ibuprofen and acetaminophen in the treatment of post-tonsillectomy pain in children and to identify characteristics of children who had inadequate pain control. METHODS: The medical records of children who received alternating doses of ibuprofen and acetaminophen for post-tonsillectomy pain between August 2012 and November 2013 at a tertiary care children's hospital were reviewed. Incidences of postoperative bleeding and unresolved pain were determined. RESULTS: A total of 583 patients (304 males, 279 females, age range=1-18 years) had received alternating doses of ibuprofen and acetaminophen after tonsillectomy and adenoidectomy. Of the 583 patients, 56 (9.6%) reported inadequate pain control. Age, sex, obesity, presence of comorbid conditions, indications for surgery, and concurrent surgical procedures were not different between children who had adequate analgesia and children who had unresolved pain. Twenty-four patients (4.1%) had postoperative bleeding. Nine patients (1.5%) required surgical intervention for bleeding. CONCLUSIONS: Alternating doses of ibuprofen and acetaminophen provided an effective treatment for post-tonsillectomy pain in the majority of children and did not increase rate of bleeding. Means of improving response rate to alternating doses of ibuprofen and acetaminophen merit further investigation.","author":[{"dropping-particle":"","family":"Liu","given":"Christopher","non-dropping-particle":"","parse-names":false,"suffix":""},{"dropping-particle":"","family":"Ulualp","given":"Seckin O.","non-dropping-particle":"","parse-names":false,"suffix":""}],"container-title":"Annals of Otology, Rhinology and Laryngology","id":"ITEM-1","issue":"10","issued":{"date-parts":[["2015"]]},"page":"777-781","title":"Outcomes of an Alternating Ibuprofen and Acetaminophen Regimen for Pain Relief after Tonsillectomy in Children","type":"article","volume":"124"},"uris":["http://www.mendeley.com/documents/?uuid=3ad85d84-a1ea-3c6f-85a5-86b798f3deef"]},{"id":"ITEM-2","itemData":{"DOI":"10.2146/ajhp140280","ISBN":"1079-2082","ISSN":"15352900","PMID":"25788508","abstract":"Purpose. The development and use of a decision support tool to help formulate recommendations for dosing of commonly prescribed medications in critically ill obese children are described. Methods. Medications prescribed in 2010 to critically ill infants and children (younger than 18 years) were identified from the Pediatric Health Information System. The most commonly prescribed and therapeutically monitored medications were extracted. Supportive evidence for obesity dosing was identified through a standardized computerized search involving medical subject heading terminology and age filters using PubMed and Ovid. A usefulness scoring system was developed to rate the strength and applicability of the literature to critically ill obese children. A decision supporttool was then created to aid in the formulation of a dosing weight for each medication based on the usefulness score, published pharmacokinetic properties, clinical studies available in the primary literature, and consideration of clinical consequences of underdosing or overdosing. Results. A total of 113 medications were evaluated, and 122 discrete citations, supporting 66 medications, were reviewed. Seventy-two percent of citations had general obesity dosing information, and 13% had pediatric-specific information. The overall mean usefulness score was 5.1 +/- 4.7 (median, 7). The decision support tool was incorporated to make final dosing weight recommendations for obese children. Ultimately, total body weight was recommended for 52 medications, adjusted weight for 43 medications, and ideal body weight for 18 medications. Conclusion. The inadequacy of obesity dosing information for most medications commonly ordered for children admitted to a pediatric intensive care unit led to the development of a decision support tool to aid in formulating dosing recommendations.","author":[{"dropping-particle":"","family":"Ross","given":"Emma L.","non-dropping-particle":"","parse-names":false,"suffix":""},{"dropping-particle":"","family":"Heizer","given":"Justin","non-dropping-particle":"","parse-names":false,"suffix":""},{"dropping-particle":"","family":"Mixon","given":"Mark A.","non-dropping-particle":"","parse-names":false,"suffix":""},{"dropping-particle":"","family":"Jorgensen","given":"Jennifer","non-dropping-particle":"","parse-names":false,"suffix":""},{"dropping-particle":"","family":"Valdez","given":"Connie A.","non-dropping-particle":"","parse-names":false,"suffix":""},{"dropping-particle":"","family":"Czaja","given":"Angela S.","non-dropping-particle":"","parse-names":false,"suffix":""},{"dropping-particle":"","family":"Reiter","given":"Pamela D.","non-dropping-particle":"","parse-names":false,"suffix":""}],"container-title":"American Journal of Health-System Pharmacy","id":"ITEM-2","issue":"7","issued":{"date-parts":[["2015"]]},"page":"542-556","title":"Development of recommendations for dosing of commonly prescribed medications in critically ill obese children","type":"article","volume":"72"},"uris":["http://www.mendeley.com/documents/?uuid=09e33da6-0013-4bd3-9a3c-636323ab7765"]},{"id":"ITEM-3","itemData":{"DOI":"10.1097/PCC.0000000000002072","ISBN":"0000000000","ISSN":"19473893","PMID":"31398182","abstract":"Objectives: To determine the antipyretic efficacy of acetaminophen (IV, enteral, rectal) and ibuprofen (enteral) in critically ill febrile pediatric patients. Design: Retrospective cohort study. Setting: Quaternary care pediatric hospital ICUs. Patients: Pediatric patients less than 19 years old who were febrile (≥ 38.0°C), received a dose of IV acetaminophen, enteral acetaminophen, rectal acetaminophen, or enteral ibuprofen and had at least one temperature measurement in the following 6 hours. Interventions: None. Measurements and Main Results: A total of 3,341 patients (55.8% male, median age 2.5 yr [interquartile range, 0.63-9.2 yr]) met study criteria. Baseline temperature was median 38.6°C (interquartile range, 38.3-38.9°C) measured via axillary (76.9%) route. Patients became afebrile (87.5%) at median 1.4 hours (interquartile range, 0.77-2.3 hr) after the first dose of medication, a-2.9 ± 1.6% change in temperature. Antipyretic medications included as follows: enteral acetaminophen (n = 1,664), IV acetaminophen (n = 682), rectal acetaminophen (n = 637), and enteral ibuprofen (n = 358). Enteral ibuprofen had a significantly greater odds of defervescence on multivariable logistic regression analysis (p = 0.04) with a decrease of-1.97 ± 0.89°C while IV acetaminophen was significant for a decreased time to defervescence at median 1.5 hours (interquartile range 0.8-2.3 hr) after a dose (p = 0.03). Patient age, presence of obesity, and baseline temperature were significant for decreased antipyretic efficacy (p &lt; 0.05). Conclusions: Enteral ibuprofen was the most efficacious antipyretic and IV acetaminophen had the shortest time to defervescence.","author":[{"dropping-particle":"","family":"Moffett","given":"Brady S.","non-dropping-particle":"","parse-names":false,"suffix":""},{"dropping-particle":"","family":"Gutierrez","given":"Kristina","non-dropping-particle":"","parse-names":false,"suffix":""},{"dropping-particle":"","family":"Davis","given":"Kasey","non-dropping-particle":"","parse-names":false,"suffix":""},{"dropping-particle":"","family":"Sigdel","given":"Binayak","non-dropping-particle":"","parse-names":false,"suffix":""},{"dropping-particle":"","family":"Strobel","given":"Nathaniel","non-dropping-particle":"","parse-names":false,"suffix":""}],"container-title":"Pediatric Critical Care Medicine","id":"ITEM-3","issue":"8","issued":{"date-parts":[["2019"]]},"page":"E386-E393","title":"Antipyretic Efficacy of Acetaminophen and Ibuprofen in Critically Ill Pediatric Patients","type":"article-journal","volume":"20"},"uris":["http://www.mendeley.com/documents/?uuid=aa054fa6-d037-4207-bbdb-b8ea4d4a3a0e"]}],"mendeley":{"formattedCitation":"(14,16,17)","plainTextFormattedCitation":"(14,16,17)","previouslyFormattedCitation":"(14,16,17)"},"properties":{"noteIndex":0},"schema":"https://github.com/citation-style-language/schema/raw/master/csl-citation.json"}</w:instrText>
      </w:r>
      <w:r w:rsidRPr="00295A88">
        <w:rPr>
          <w:rFonts w:cstheme="minorHAnsi"/>
          <w:sz w:val="24"/>
          <w:szCs w:val="24"/>
        </w:rPr>
        <w:fldChar w:fldCharType="separate"/>
      </w:r>
      <w:r w:rsidR="00756550" w:rsidRPr="00295A88">
        <w:rPr>
          <w:rFonts w:cstheme="minorHAnsi"/>
          <w:noProof/>
          <w:sz w:val="24"/>
          <w:szCs w:val="24"/>
        </w:rPr>
        <w:t>(14,16,17)</w:t>
      </w:r>
      <w:r w:rsidRPr="00295A88">
        <w:rPr>
          <w:rFonts w:cstheme="minorHAnsi"/>
          <w:sz w:val="24"/>
          <w:szCs w:val="24"/>
        </w:rPr>
        <w:fldChar w:fldCharType="end"/>
      </w:r>
      <w:r w:rsidRPr="00295A88">
        <w:rPr>
          <w:rFonts w:cstheme="minorHAnsi"/>
          <w:sz w:val="24"/>
          <w:szCs w:val="24"/>
        </w:rPr>
        <w:t xml:space="preserve">, whereas as one paper defined obesity based on a BMI z score </w:t>
      </w:r>
      <w:r w:rsidRPr="00295A88">
        <w:rPr>
          <w:rFonts w:cstheme="minorHAnsi"/>
          <w:sz w:val="24"/>
          <w:szCs w:val="24"/>
        </w:rPr>
        <w:fldChar w:fldCharType="begin" w:fldLock="1"/>
      </w:r>
      <w:r w:rsidR="001379E8" w:rsidRPr="00F95907">
        <w:rPr>
          <w:rFonts w:cstheme="minorHAnsi"/>
          <w:sz w:val="24"/>
          <w:szCs w:val="24"/>
        </w:rPr>
        <w:instrText>ADDIN CSL_CITATION {"citationItems":[{"id":"ITEM-1","itemData":{"DOI":"10.1002/prp2.398","ISSN":"20521707","abstract":"Abstract: Obesity can affect the pharmacokinetics of most drugs, which may result in under‐ or overdosing if traditional pediatric dosing strategies are used. To investigate currently applied dosage strategies in children with overweight or obesity (overweight/obesity), in a clinical treatment facility. In particular, whether dosing guidelines were available and metrics of body size applied. A retrospective cohort study of 200 patients admitted to the Danish Children′s Obesity Clinic. Data were collected from 2007 to 2015. Overweight/obese children 3‐18 years were included if they had at least one drug prescription. Overall there were 658 prescriptions, primarily analgesics, psychotropics, asthma medications, and antibiotics. Except for one prescription, guidelines for dosage of overweight/obese children were not available in the clinic. In one prescription of gentamicin, the dose was adjusted by a metric body size. Otherwise dose was predominately prescribed either by total body weight or as fixed dose by age, in accordance with the recommendations of normal weight children. In drugs with a narrow therapeutic interval, we found large interindividual variations in dosing regimens, that is, for gentamicin, paracetamol, and prednisolone. Reduction of dose to the maximum recommended adult dose was common practice, when the dose calculated by total body weight (ie, mg/kg) exceeded this maximum. This study highlights the shortage of dosing guidelines in overweight/obese children. We found a large interindividual variability in dosage regimens, even in drugs with narrow therapeutic intervals. The clinicians rely on “best practice”, as evidence‐based dosage regimens are missing for many drugs prescribed during childhood. [ABSTRACT FROM AUTHOR]","author":[{"dropping-particle":"","family":"Gade","given":"Christina","non-dropping-particle":"","parse-names":false,"suffix":""},{"dropping-particle":"","family":"Christensen","given":"Hanne R.","non-dropping-particle":"","parse-names":false,"suffix":""},{"dropping-particle":"","family":"Dalhoff","given":"Kim P.","non-dropping-particle":"","parse-names":false,"suffix":""},{"dropping-particle":"","family":"Holm","given":"Jens Christian","non-dropping-particle":"","parse-names":false,"suffix":""},{"dropping-particle":"","family":"Holst","given":"Helle","non-dropping-particle":"","parse-names":false,"suffix":""}],"container-title":"Pharmacology Research and Perspectives","id":"ITEM-1","issue":"3","issued":{"date-parts":[["2018","6","1"]]},"page":"e00398","publisher":"John Wiley &amp; Sons, Ltd","title":"Inconsistencies in dosage practice in children with overweight or obesity: A retrospective cohort study","type":"article","volume":"6"},"uris":["http://www.mendeley.com/documents/?uuid=0a688d1e-e9b9-347c-9c6d-38cc908aef31"]}],"mendeley":{"formattedCitation":"(15)","plainTextFormattedCitation":"(15)","previouslyFormattedCitation":"(15)"},"properties":{"noteIndex":0},"schema":"https://github.com/citation-style-language/schema/raw/master/csl-citation.json"}</w:instrText>
      </w:r>
      <w:r w:rsidRPr="00295A88">
        <w:rPr>
          <w:rFonts w:cstheme="minorHAnsi"/>
          <w:sz w:val="24"/>
          <w:szCs w:val="24"/>
        </w:rPr>
        <w:fldChar w:fldCharType="separate"/>
      </w:r>
      <w:r w:rsidR="00151CD4" w:rsidRPr="00295A88">
        <w:rPr>
          <w:rFonts w:cstheme="minorHAnsi"/>
          <w:noProof/>
          <w:sz w:val="24"/>
          <w:szCs w:val="24"/>
        </w:rPr>
        <w:t>(15)</w:t>
      </w:r>
      <w:r w:rsidRPr="00295A88">
        <w:rPr>
          <w:rFonts w:cstheme="minorHAnsi"/>
          <w:sz w:val="24"/>
          <w:szCs w:val="24"/>
        </w:rPr>
        <w:fldChar w:fldCharType="end"/>
      </w:r>
      <w:r w:rsidRPr="00295A88">
        <w:rPr>
          <w:rFonts w:cstheme="minorHAnsi"/>
          <w:sz w:val="24"/>
          <w:szCs w:val="24"/>
        </w:rPr>
        <w:t xml:space="preserve">. </w:t>
      </w:r>
      <w:r w:rsidR="002C71F9" w:rsidRPr="00295A88">
        <w:rPr>
          <w:rFonts w:cstheme="minorHAnsi"/>
          <w:sz w:val="24"/>
          <w:szCs w:val="24"/>
        </w:rPr>
        <w:t>Two</w:t>
      </w:r>
      <w:r w:rsidR="00252B98" w:rsidRPr="00295A88">
        <w:rPr>
          <w:rFonts w:cstheme="minorHAnsi"/>
          <w:sz w:val="24"/>
          <w:szCs w:val="24"/>
        </w:rPr>
        <w:t xml:space="preserve"> cohort stud</w:t>
      </w:r>
      <w:r w:rsidR="002C71F9" w:rsidRPr="00295A88">
        <w:rPr>
          <w:rFonts w:cstheme="minorHAnsi"/>
          <w:sz w:val="24"/>
          <w:szCs w:val="24"/>
        </w:rPr>
        <w:t>ies cl</w:t>
      </w:r>
      <w:r w:rsidR="00252B98" w:rsidRPr="00295A88">
        <w:rPr>
          <w:rFonts w:cstheme="minorHAnsi"/>
          <w:sz w:val="24"/>
          <w:szCs w:val="24"/>
        </w:rPr>
        <w:t xml:space="preserve">early differentiated </w:t>
      </w:r>
      <w:r w:rsidR="00FA7756" w:rsidRPr="00295A88">
        <w:rPr>
          <w:rFonts w:cstheme="minorHAnsi"/>
          <w:sz w:val="24"/>
          <w:szCs w:val="24"/>
        </w:rPr>
        <w:t xml:space="preserve">the numbers of </w:t>
      </w:r>
      <w:r w:rsidR="00252B98" w:rsidRPr="00F95907">
        <w:rPr>
          <w:rFonts w:cstheme="minorHAnsi"/>
          <w:sz w:val="24"/>
          <w:szCs w:val="24"/>
        </w:rPr>
        <w:t>obese and non-obese children</w:t>
      </w:r>
      <w:r w:rsidR="00737962" w:rsidRPr="00F95907">
        <w:rPr>
          <w:rFonts w:cstheme="minorHAnsi"/>
          <w:sz w:val="24"/>
          <w:szCs w:val="24"/>
        </w:rPr>
        <w:t xml:space="preserve"> in their sample</w:t>
      </w:r>
      <w:r w:rsidR="00252B98" w:rsidRPr="00F95907">
        <w:rPr>
          <w:rFonts w:cstheme="minorHAnsi"/>
          <w:sz w:val="24"/>
          <w:szCs w:val="24"/>
        </w:rPr>
        <w:t xml:space="preserve"> </w:t>
      </w:r>
      <w:r w:rsidR="005E0125" w:rsidRPr="00F95907">
        <w:rPr>
          <w:rFonts w:cstheme="minorHAnsi"/>
          <w:sz w:val="24"/>
          <w:szCs w:val="24"/>
        </w:rPr>
        <w:t>with the first having</w:t>
      </w:r>
      <w:r w:rsidR="00737962" w:rsidRPr="00F95907">
        <w:rPr>
          <w:rFonts w:cstheme="minorHAnsi"/>
          <w:sz w:val="24"/>
          <w:szCs w:val="24"/>
        </w:rPr>
        <w:t xml:space="preserve"> 189 obese </w:t>
      </w:r>
      <w:r w:rsidR="000816A2" w:rsidRPr="00F95907">
        <w:rPr>
          <w:rFonts w:cstheme="minorHAnsi"/>
          <w:sz w:val="24"/>
          <w:szCs w:val="24"/>
        </w:rPr>
        <w:t>and 394 non-obese participants</w:t>
      </w:r>
      <w:r w:rsidR="004B4A5A">
        <w:rPr>
          <w:rFonts w:cstheme="minorHAnsi"/>
          <w:sz w:val="24"/>
          <w:szCs w:val="24"/>
        </w:rPr>
        <w:t xml:space="preserve"> </w:t>
      </w:r>
      <w:r w:rsidR="00003CBE">
        <w:rPr>
          <w:rFonts w:cstheme="minorHAnsi"/>
          <w:sz w:val="24"/>
          <w:szCs w:val="24"/>
        </w:rPr>
        <w:fldChar w:fldCharType="begin" w:fldLock="1"/>
      </w:r>
      <w:r w:rsidR="00A6161D">
        <w:rPr>
          <w:rFonts w:cstheme="minorHAnsi"/>
          <w:sz w:val="24"/>
          <w:szCs w:val="24"/>
        </w:rPr>
        <w:instrText>ADDIN CSL_CITATION {"citationItems":[{"id":"ITEM-1","itemData":{"DOI":"10.1177/0003489415583685","ISSN":"00034894","PMID":"25902839","abstract":"OBJECTIVES: To determine the outcomes of alternating doses of ibuprofen and acetaminophen in the treatment of post-tonsillectomy pain in children and to identify characteristics of children who had inadequate pain control. METHODS: The medical records of children who received alternating doses of ibuprofen and acetaminophen for post-tonsillectomy pain between August 2012 and November 2013 at a tertiary care children's hospital were reviewed. Incidences of postoperative bleeding and unresolved pain were determined. RESULTS: A total of 583 patients (304 males, 279 females, age range=1-18 years) had received alternating doses of ibuprofen and acetaminophen after tonsillectomy and adenoidectomy. Of the 583 patients, 56 (9.6%) reported inadequate pain control. Age, sex, obesity, presence of comorbid conditions, indications for surgery, and concurrent surgical procedures were not different between children who had adequate analgesia and children who had unresolved pain. Twenty-four patients (4.1%) had postoperative bleeding. Nine patients (1.5%) required surgical intervention for bleeding. CONCLUSIONS: Alternating doses of ibuprofen and acetaminophen provided an effective treatment for post-tonsillectomy pain in the majority of children and did not increase rate of bleeding. Means of improving response rate to alternating doses of ibuprofen and acetaminophen merit further investigation.","author":[{"dropping-particle":"","family":"Liu","given":"Christopher","non-dropping-particle":"","parse-names":false,"suffix":""},{"dropping-particle":"","family":"Ulualp","given":"Seckin O.","non-dropping-particle":"","parse-names":false,"suffix":""}],"container-title":"Annals of Otology, Rhinology and Laryngology","id":"ITEM-1","issue":"10","issued":{"date-parts":[["2015"]]},"page":"777-781","title":"Outcomes of an Alternating Ibuprofen and Acetaminophen Regimen for Pain Relief after Tonsillectomy in Children","type":"article","volume":"124"},"uris":["http://www.mendeley.com/documents/?uuid=3ad85d84-a1ea-3c6f-85a5-86b798f3deef"]}],"mendeley":{"formattedCitation":"(14)","plainTextFormattedCitation":"(14)","previouslyFormattedCitation":"(14)"},"properties":{"noteIndex":0},"schema":"https://github.com/citation-style-language/schema/raw/master/csl-citation.json"}</w:instrText>
      </w:r>
      <w:r w:rsidR="00003CBE">
        <w:rPr>
          <w:rFonts w:cstheme="minorHAnsi"/>
          <w:sz w:val="24"/>
          <w:szCs w:val="24"/>
        </w:rPr>
        <w:fldChar w:fldCharType="separate"/>
      </w:r>
      <w:r w:rsidR="00DC73AF" w:rsidRPr="00DC73AF">
        <w:rPr>
          <w:rFonts w:cstheme="minorHAnsi"/>
          <w:noProof/>
          <w:sz w:val="24"/>
          <w:szCs w:val="24"/>
        </w:rPr>
        <w:t>(14)</w:t>
      </w:r>
      <w:r w:rsidR="00003CBE">
        <w:rPr>
          <w:rFonts w:cstheme="minorHAnsi"/>
          <w:sz w:val="24"/>
          <w:szCs w:val="24"/>
        </w:rPr>
        <w:fldChar w:fldCharType="end"/>
      </w:r>
      <w:r w:rsidR="00BB5E92" w:rsidRPr="00F95907">
        <w:rPr>
          <w:rFonts w:cstheme="minorHAnsi"/>
          <w:sz w:val="24"/>
          <w:szCs w:val="24"/>
        </w:rPr>
        <w:t xml:space="preserve">. The second cohort </w:t>
      </w:r>
      <w:r w:rsidR="00930D26" w:rsidRPr="00F95907">
        <w:rPr>
          <w:rFonts w:cstheme="minorHAnsi"/>
          <w:sz w:val="24"/>
          <w:szCs w:val="24"/>
        </w:rPr>
        <w:t>study</w:t>
      </w:r>
      <w:r w:rsidR="000816A2" w:rsidRPr="00F95907">
        <w:rPr>
          <w:rFonts w:cstheme="minorHAnsi"/>
          <w:sz w:val="24"/>
          <w:szCs w:val="24"/>
        </w:rPr>
        <w:t xml:space="preserve"> </w:t>
      </w:r>
      <w:r w:rsidR="00BB5E92" w:rsidRPr="00F95907">
        <w:rPr>
          <w:rFonts w:cstheme="minorHAnsi"/>
          <w:sz w:val="24"/>
          <w:szCs w:val="24"/>
        </w:rPr>
        <w:t>had a total of</w:t>
      </w:r>
      <w:r w:rsidR="000816A2" w:rsidRPr="00F95907">
        <w:rPr>
          <w:rFonts w:cstheme="minorHAnsi"/>
          <w:sz w:val="24"/>
          <w:szCs w:val="24"/>
        </w:rPr>
        <w:t xml:space="preserve"> </w:t>
      </w:r>
      <w:r w:rsidR="003816ED" w:rsidRPr="00F95907">
        <w:rPr>
          <w:rFonts w:cstheme="minorHAnsi"/>
          <w:sz w:val="24"/>
          <w:szCs w:val="24"/>
        </w:rPr>
        <w:t>366</w:t>
      </w:r>
      <w:r w:rsidR="00310399" w:rsidRPr="00F95907">
        <w:rPr>
          <w:rFonts w:cstheme="minorHAnsi"/>
          <w:sz w:val="24"/>
          <w:szCs w:val="24"/>
        </w:rPr>
        <w:t xml:space="preserve"> obese and</w:t>
      </w:r>
      <w:r w:rsidR="003816ED" w:rsidRPr="00F95907">
        <w:rPr>
          <w:rFonts w:cstheme="minorHAnsi"/>
          <w:sz w:val="24"/>
          <w:szCs w:val="24"/>
        </w:rPr>
        <w:t xml:space="preserve"> 2975</w:t>
      </w:r>
      <w:r w:rsidR="00310399" w:rsidRPr="00F95907">
        <w:rPr>
          <w:rFonts w:cstheme="minorHAnsi"/>
          <w:sz w:val="24"/>
          <w:szCs w:val="24"/>
        </w:rPr>
        <w:t xml:space="preserve"> non-obese </w:t>
      </w:r>
      <w:r w:rsidR="00930D26" w:rsidRPr="00F95907">
        <w:rPr>
          <w:rFonts w:cstheme="minorHAnsi"/>
          <w:sz w:val="24"/>
          <w:szCs w:val="24"/>
        </w:rPr>
        <w:t>participants</w:t>
      </w:r>
      <w:r w:rsidR="00BB5E92" w:rsidRPr="00F95907">
        <w:rPr>
          <w:rFonts w:cstheme="minorHAnsi"/>
          <w:sz w:val="24"/>
          <w:szCs w:val="24"/>
        </w:rPr>
        <w:t xml:space="preserve">, of which 38 obese </w:t>
      </w:r>
      <w:r w:rsidR="00D21510" w:rsidRPr="00F95907">
        <w:rPr>
          <w:rFonts w:cstheme="minorHAnsi"/>
          <w:sz w:val="24"/>
          <w:szCs w:val="24"/>
        </w:rPr>
        <w:t xml:space="preserve">(10.6%) </w:t>
      </w:r>
      <w:r w:rsidR="00BB5E92" w:rsidRPr="00F95907">
        <w:rPr>
          <w:rFonts w:cstheme="minorHAnsi"/>
          <w:sz w:val="24"/>
          <w:szCs w:val="24"/>
        </w:rPr>
        <w:t>and 320 non-obese individuals</w:t>
      </w:r>
      <w:r w:rsidR="00D21510" w:rsidRPr="00F95907">
        <w:rPr>
          <w:rFonts w:cstheme="minorHAnsi"/>
          <w:sz w:val="24"/>
          <w:szCs w:val="24"/>
        </w:rPr>
        <w:t xml:space="preserve"> (89.4%)</w:t>
      </w:r>
      <w:r w:rsidR="00BB5E92" w:rsidRPr="00F95907">
        <w:rPr>
          <w:rFonts w:cstheme="minorHAnsi"/>
          <w:sz w:val="24"/>
          <w:szCs w:val="24"/>
        </w:rPr>
        <w:t xml:space="preserve"> were on ibuprofen</w:t>
      </w:r>
      <w:r w:rsidR="00B405AD">
        <w:rPr>
          <w:rFonts w:cstheme="minorHAnsi"/>
          <w:sz w:val="24"/>
          <w:szCs w:val="24"/>
        </w:rPr>
        <w:t xml:space="preserve"> </w:t>
      </w:r>
      <w:r w:rsidR="00A6161D">
        <w:rPr>
          <w:rFonts w:cstheme="minorHAnsi"/>
          <w:sz w:val="24"/>
          <w:szCs w:val="24"/>
        </w:rPr>
        <w:fldChar w:fldCharType="begin" w:fldLock="1"/>
      </w:r>
      <w:r w:rsidR="00B405AD">
        <w:rPr>
          <w:rFonts w:cstheme="minorHAnsi"/>
          <w:sz w:val="24"/>
          <w:szCs w:val="24"/>
        </w:rPr>
        <w:instrText>ADDIN CSL_CITATION {"citationItems":[{"id":"ITEM-1","itemData":{"DOI":"10.1097/PCC.0000000000002072","ISBN":"0000000000","ISSN":"19473893","PMID":"31398182","abstract":"Objectives: To determine the antipyretic efficacy of acetaminophen (IV, enteral, rectal) and ibuprofen (enteral) in critically ill febrile pediatric patients. Design: Retrospective cohort study. Setting: Quaternary care pediatric hospital ICUs. Patients: Pediatric patients less than 19 years old who were febrile (≥ 38.0°C), received a dose of IV acetaminophen, enteral acetaminophen, rectal acetaminophen, or enteral ibuprofen and had at least one temperature measurement in the following 6 hours. Interventions: None. Measurements and Main Results: A total of 3,341 patients (55.8% male, median age 2.5 yr [interquartile range, 0.63-9.2 yr]) met study criteria. Baseline temperature was median 38.6°C (interquartile range, 38.3-38.9°C) measured via axillary (76.9%) route. Patients became afebrile (87.5%) at median 1.4 hours (interquartile range, 0.77-2.3 hr) after the first dose of medication, a-2.9 ± 1.6% change in temperature. Antipyretic medications included as follows: enteral acetaminophen (n = 1,664), IV acetaminophen (n = 682), rectal acetaminophen (n = 637), and enteral ibuprofen (n = 358). Enteral ibuprofen had a significantly greater odds of defervescence on multivariable logistic regression analysis (p = 0.04) with a decrease of-1.97 ± 0.89°C while IV acetaminophen was significant for a decreased time to defervescence at median 1.5 hours (interquartile range 0.8-2.3 hr) after a dose (p = 0.03). Patient age, presence of obesity, and baseline temperature were significant for decreased antipyretic efficacy (p &lt; 0.05). Conclusions: Enteral ibuprofen was the most efficacious antipyretic and IV acetaminophen had the shortest time to defervescence.","author":[{"dropping-particle":"","family":"Moffett","given":"Brady S.","non-dropping-particle":"","parse-names":false,"suffix":""},{"dropping-particle":"","family":"Gutierrez","given":"Kristina","non-dropping-particle":"","parse-names":false,"suffix":""},{"dropping-particle":"","family":"Davis","given":"Kasey","non-dropping-particle":"","parse-names":false,"suffix":""},{"dropping-particle":"","family":"Sigdel","given":"Binayak","non-dropping-particle":"","parse-names":false,"suffix":""},{"dropping-particle":"","family":"Strobel","given":"Nathaniel","non-dropping-particle":"","parse-names":false,"suffix":""}],"container-title":"Pediatric Critical Care Medicine","id":"ITEM-1","issue":"8","issued":{"date-parts":[["2019"]]},"page":"E386-E393","title":"Antipyretic Efficacy of Acetaminophen and Ibuprofen in Critically Ill Pediatric Patients","type":"article-journal","volume":"20"},"uris":["http://www.mendeley.com/documents/?uuid=aa054fa6-d037-4207-bbdb-b8ea4d4a3a0e"]}],"mendeley":{"formattedCitation":"(16)","plainTextFormattedCitation":"(16)","previouslyFormattedCitation":"(16)"},"properties":{"noteIndex":0},"schema":"https://github.com/citation-style-language/schema/raw/master/csl-citation.json"}</w:instrText>
      </w:r>
      <w:r w:rsidR="00A6161D">
        <w:rPr>
          <w:rFonts w:cstheme="minorHAnsi"/>
          <w:sz w:val="24"/>
          <w:szCs w:val="24"/>
        </w:rPr>
        <w:fldChar w:fldCharType="separate"/>
      </w:r>
      <w:r w:rsidR="00A6161D" w:rsidRPr="00A6161D">
        <w:rPr>
          <w:rFonts w:cstheme="minorHAnsi"/>
          <w:noProof/>
          <w:sz w:val="24"/>
          <w:szCs w:val="24"/>
        </w:rPr>
        <w:t>(16)</w:t>
      </w:r>
      <w:r w:rsidR="00A6161D">
        <w:rPr>
          <w:rFonts w:cstheme="minorHAnsi"/>
          <w:sz w:val="24"/>
          <w:szCs w:val="24"/>
        </w:rPr>
        <w:fldChar w:fldCharType="end"/>
      </w:r>
      <w:r w:rsidR="00FA7756" w:rsidRPr="00F95907">
        <w:rPr>
          <w:rFonts w:cstheme="minorHAnsi"/>
          <w:sz w:val="24"/>
          <w:szCs w:val="24"/>
        </w:rPr>
        <w:t>. Another</w:t>
      </w:r>
      <w:r w:rsidR="00252B98" w:rsidRPr="00F95907">
        <w:rPr>
          <w:rFonts w:cstheme="minorHAnsi"/>
          <w:sz w:val="24"/>
          <w:szCs w:val="24"/>
        </w:rPr>
        <w:t xml:space="preserve"> cohort study had a mean BMI z-score of 2.95</w:t>
      </w:r>
      <w:r w:rsidR="00FA7756" w:rsidRPr="00F95907">
        <w:rPr>
          <w:rFonts w:cstheme="minorHAnsi"/>
          <w:sz w:val="24"/>
          <w:szCs w:val="24"/>
        </w:rPr>
        <w:t xml:space="preserve"> (</w:t>
      </w:r>
      <w:r w:rsidR="00FA7756" w:rsidRPr="00F95907">
        <w:rPr>
          <w:rFonts w:cstheme="minorHAnsi"/>
          <w:i/>
          <w:iCs/>
          <w:sz w:val="24"/>
          <w:szCs w:val="24"/>
        </w:rPr>
        <w:t>n</w:t>
      </w:r>
      <w:r w:rsidR="00FA7756" w:rsidRPr="00F95907">
        <w:rPr>
          <w:rFonts w:cstheme="minorHAnsi"/>
          <w:sz w:val="24"/>
          <w:szCs w:val="24"/>
        </w:rPr>
        <w:t xml:space="preserve">=200, range: </w:t>
      </w:r>
      <w:r w:rsidR="00252B98" w:rsidRPr="00F95907">
        <w:rPr>
          <w:rFonts w:cstheme="minorHAnsi"/>
          <w:sz w:val="24"/>
          <w:szCs w:val="24"/>
        </w:rPr>
        <w:t>1.28-9.72)</w:t>
      </w:r>
      <w:r w:rsidR="00FA7756" w:rsidRPr="00F95907">
        <w:rPr>
          <w:rFonts w:cstheme="minorHAnsi"/>
          <w:sz w:val="24"/>
          <w:szCs w:val="24"/>
        </w:rPr>
        <w:t xml:space="preserve"> of its total sample, but did not clearly distinguish the numbers of obese and non-obese children</w:t>
      </w:r>
      <w:r w:rsidR="00B405AD">
        <w:rPr>
          <w:rFonts w:cstheme="minorHAnsi"/>
          <w:sz w:val="24"/>
          <w:szCs w:val="24"/>
        </w:rPr>
        <w:t xml:space="preserve"> </w:t>
      </w:r>
      <w:r w:rsidR="00B405AD">
        <w:rPr>
          <w:rFonts w:cstheme="minorHAnsi"/>
          <w:sz w:val="24"/>
          <w:szCs w:val="24"/>
        </w:rPr>
        <w:fldChar w:fldCharType="begin" w:fldLock="1"/>
      </w:r>
      <w:r w:rsidR="002A7011">
        <w:rPr>
          <w:rFonts w:cstheme="minorHAnsi"/>
          <w:sz w:val="24"/>
          <w:szCs w:val="24"/>
        </w:rPr>
        <w:instrText>ADDIN CSL_CITATION {"citationItems":[{"id":"ITEM-1","itemData":{"DOI":"10.1002/prp2.398","ISSN":"20521707","abstract":"Abstract: Obesity can affect the pharmacokinetics of most drugs, which may result in under‐ or overdosing if traditional pediatric dosing strategies are used. To investigate currently applied dosage strategies in children with overweight or obesity (overweight/obesity), in a clinical treatment facility. In particular, whether dosing guidelines were available and metrics of body size applied. A retrospective cohort study of 200 patients admitted to the Danish Children′s Obesity Clinic. Data were collected from 2007 to 2015. Overweight/obese children 3‐18 years were included if they had at least one drug prescription. Overall there were 658 prescriptions, primarily analgesics, psychotropics, asthma medications, and antibiotics. Except for one prescription, guidelines for dosage of overweight/obese children were not available in the clinic. In one prescription of gentamicin, the dose was adjusted by a metric body size. Otherwise dose was predominately prescribed either by total body weight or as fixed dose by age, in accordance with the recommendations of normal weight children. In drugs with a narrow therapeutic interval, we found large interindividual variations in dosing regimens, that is, for gentamicin, paracetamol, and prednisolone. Reduction of dose to the maximum recommended adult dose was common practice, when the dose calculated by total body weight (ie, mg/kg) exceeded this maximum. This study highlights the shortage of dosing guidelines in overweight/obese children. We found a large interindividual variability in dosage regimens, even in drugs with narrow therapeutic intervals. The clinicians rely on “best practice”, as evidence‐based dosage regimens are missing for many drugs prescribed during childhood. [ABSTRACT FROM AUTHOR]","author":[{"dropping-particle":"","family":"Gade","given":"Christina","non-dropping-particle":"","parse-names":false,"suffix":""},{"dropping-particle":"","family":"Christensen","given":"Hanne R.","non-dropping-particle":"","parse-names":false,"suffix":""},{"dropping-particle":"","family":"Dalhoff","given":"Kim P.","non-dropping-particle":"","parse-names":false,"suffix":""},{"dropping-particle":"","family":"Holm","given":"Jens Christian","non-dropping-particle":"","parse-names":false,"suffix":""},{"dropping-particle":"","family":"Holst","given":"Helle","non-dropping-particle":"","parse-names":false,"suffix":""}],"container-title":"Pharmacology Research and Perspectives","id":"ITEM-1","issue":"3","issued":{"date-parts":[["2018","6","1"]]},"page":"e00398","publisher":"John Wiley &amp; Sons, Ltd","title":"Inconsistencies in dosage practice in children with overweight or obesity: A retrospective cohort study","type":"article","volume":"6"},"uris":["http://www.mendeley.com/documents/?uuid=0a688d1e-e9b9-347c-9c6d-38cc908aef31"]}],"mendeley":{"formattedCitation":"(15)","plainTextFormattedCitation":"(15)","previouslyFormattedCitation":"(15)"},"properties":{"noteIndex":0},"schema":"https://github.com/citation-style-language/schema/raw/master/csl-citation.json"}</w:instrText>
      </w:r>
      <w:r w:rsidR="00B405AD">
        <w:rPr>
          <w:rFonts w:cstheme="minorHAnsi"/>
          <w:sz w:val="24"/>
          <w:szCs w:val="24"/>
        </w:rPr>
        <w:fldChar w:fldCharType="separate"/>
      </w:r>
      <w:r w:rsidR="00B405AD" w:rsidRPr="00B405AD">
        <w:rPr>
          <w:rFonts w:cstheme="minorHAnsi"/>
          <w:noProof/>
          <w:sz w:val="24"/>
          <w:szCs w:val="24"/>
        </w:rPr>
        <w:t>(15)</w:t>
      </w:r>
      <w:r w:rsidR="00B405AD">
        <w:rPr>
          <w:rFonts w:cstheme="minorHAnsi"/>
          <w:sz w:val="24"/>
          <w:szCs w:val="24"/>
        </w:rPr>
        <w:fldChar w:fldCharType="end"/>
      </w:r>
      <w:r w:rsidR="00FA7756" w:rsidRPr="00F95907">
        <w:rPr>
          <w:rFonts w:cstheme="minorHAnsi"/>
          <w:sz w:val="24"/>
          <w:szCs w:val="24"/>
        </w:rPr>
        <w:t>. The case study did not provide numbers of obese and non-obese children</w:t>
      </w:r>
      <w:r w:rsidR="002A7011">
        <w:rPr>
          <w:rFonts w:cstheme="minorHAnsi"/>
          <w:sz w:val="24"/>
          <w:szCs w:val="24"/>
        </w:rPr>
        <w:t xml:space="preserve"> </w:t>
      </w:r>
      <w:r w:rsidR="002A7011">
        <w:rPr>
          <w:rFonts w:cstheme="minorHAnsi"/>
          <w:sz w:val="24"/>
          <w:szCs w:val="24"/>
        </w:rPr>
        <w:fldChar w:fldCharType="begin" w:fldLock="1"/>
      </w:r>
      <w:r w:rsidR="003763C8">
        <w:rPr>
          <w:rFonts w:cstheme="minorHAnsi"/>
          <w:sz w:val="24"/>
          <w:szCs w:val="24"/>
        </w:rPr>
        <w:instrText>ADDIN CSL_CITATION {"citationItems":[{"id":"ITEM-1","itemData":{"DOI":"10.2146/ajhp140280","ISBN":"1079-2082","ISSN":"15352900","PMID":"25788508","abstract":"Purpose. The development and use of a decision support tool to help formulate recommendations for dosing of commonly prescribed medications in critically ill obese children are described. Methods. Medications prescribed in 2010 to critically ill infants and children (younger than 18 years) were identified from the Pediatric Health Information System. The most commonly prescribed and therapeutically monitored medications were extracted. Supportive evidence for obesity dosing was identified through a standardized computerized search involving medical subject heading terminology and age filters using PubMed and Ovid. A usefulness scoring system was developed to rate the strength and applicability of the literature to critically ill obese children. A decision supporttool was then created to aid in the formulation of a dosing weight for each medication based on the usefulness score, published pharmacokinetic properties, clinical studies available in the primary literature, and consideration of clinical consequences of underdosing or overdosing. Results. A total of 113 medications were evaluated, and 122 discrete citations, supporting 66 medications, were reviewed. Seventy-two percent of citations had general obesity dosing information, and 13% had pediatric-specific information. The overall mean usefulness score was 5.1 +/- 4.7 (median, 7). The decision support tool was incorporated to make final dosing weight recommendations for obese children. Ultimately, total body weight was recommended for 52 medications, adjusted weight for 43 medications, and ideal body weight for 18 medications. Conclusion. The inadequacy of obesity dosing information for most medications commonly ordered for children admitted to a pediatric intensive care unit led to the development of a decision support tool to aid in formulating dosing recommendations.","author":[{"dropping-particle":"","family":"Ross","given":"Emma L.","non-dropping-particle":"","parse-names":false,"suffix":""},{"dropping-particle":"","family":"Heizer","given":"Justin","non-dropping-particle":"","parse-names":false,"suffix":""},{"dropping-particle":"","family":"Mixon","given":"Mark A.","non-dropping-particle":"","parse-names":false,"suffix":""},{"dropping-particle":"","family":"Jorgensen","given":"Jennifer","non-dropping-particle":"","parse-names":false,"suffix":""},{"dropping-particle":"","family":"Valdez","given":"Connie A.","non-dropping-particle":"","parse-names":false,"suffix":""},{"dropping-particle":"","family":"Czaja","given":"Angela S.","non-dropping-particle":"","parse-names":false,"suffix":""},{"dropping-particle":"","family":"Reiter","given":"Pamela D.","non-dropping-particle":"","parse-names":false,"suffix":""}],"container-title":"American Journal of Health-System Pharmacy","id":"ITEM-1","issue":"7","issued":{"date-parts":[["2015"]]},"page":"542-556","title":"Development of recommendations for dosing of commonly prescribed medications in critically ill obese children","type":"article","volume":"72"},"uris":["http://www.mendeley.com/documents/?uuid=09e33da6-0013-4bd3-9a3c-636323ab7765"]}],"mendeley":{"formattedCitation":"(17)","plainTextFormattedCitation":"(17)","previouslyFormattedCitation":"(17)"},"properties":{"noteIndex":0},"schema":"https://github.com/citation-style-language/schema/raw/master/csl-citation.json"}</w:instrText>
      </w:r>
      <w:r w:rsidR="002A7011">
        <w:rPr>
          <w:rFonts w:cstheme="minorHAnsi"/>
          <w:sz w:val="24"/>
          <w:szCs w:val="24"/>
        </w:rPr>
        <w:fldChar w:fldCharType="separate"/>
      </w:r>
      <w:r w:rsidR="002A7011" w:rsidRPr="002A7011">
        <w:rPr>
          <w:rFonts w:cstheme="minorHAnsi"/>
          <w:noProof/>
          <w:sz w:val="24"/>
          <w:szCs w:val="24"/>
        </w:rPr>
        <w:t>(17)</w:t>
      </w:r>
      <w:r w:rsidR="002A7011">
        <w:rPr>
          <w:rFonts w:cstheme="minorHAnsi"/>
          <w:sz w:val="24"/>
          <w:szCs w:val="24"/>
        </w:rPr>
        <w:fldChar w:fldCharType="end"/>
      </w:r>
      <w:r w:rsidR="00FA7756" w:rsidRPr="00F95907">
        <w:rPr>
          <w:rFonts w:cstheme="minorHAnsi"/>
          <w:sz w:val="24"/>
          <w:szCs w:val="24"/>
        </w:rPr>
        <w:t>.</w:t>
      </w:r>
    </w:p>
    <w:p w14:paraId="4C267A2D" w14:textId="0B7F5D9F" w:rsidR="00ED136B" w:rsidRDefault="00E83042" w:rsidP="0081439D">
      <w:pPr>
        <w:tabs>
          <w:tab w:val="left" w:pos="5110"/>
        </w:tabs>
        <w:spacing w:after="120" w:line="480" w:lineRule="auto"/>
        <w:ind w:firstLine="720"/>
        <w:jc w:val="both"/>
        <w:rPr>
          <w:rFonts w:cstheme="minorHAnsi"/>
          <w:sz w:val="24"/>
          <w:szCs w:val="24"/>
        </w:rPr>
      </w:pPr>
      <w:r w:rsidRPr="00F95907">
        <w:rPr>
          <w:rFonts w:cstheme="minorHAnsi"/>
          <w:sz w:val="24"/>
          <w:szCs w:val="24"/>
        </w:rPr>
        <w:t xml:space="preserve">The use of ibuprofen differed amongst the </w:t>
      </w:r>
      <w:r w:rsidR="00440A04" w:rsidRPr="00F95907">
        <w:rPr>
          <w:rFonts w:cstheme="minorHAnsi"/>
          <w:sz w:val="24"/>
          <w:szCs w:val="24"/>
        </w:rPr>
        <w:t>four</w:t>
      </w:r>
      <w:r w:rsidRPr="00F95907">
        <w:rPr>
          <w:rFonts w:cstheme="minorHAnsi"/>
          <w:sz w:val="24"/>
          <w:szCs w:val="24"/>
        </w:rPr>
        <w:t xml:space="preserve"> papers; one retrospective cohort study investigated the pain relief from ibuprofen post-tonsillectomy</w:t>
      </w:r>
      <w:r w:rsidR="00885511" w:rsidRPr="00F95907">
        <w:rPr>
          <w:rFonts w:cstheme="minorHAnsi"/>
          <w:sz w:val="24"/>
          <w:szCs w:val="24"/>
        </w:rPr>
        <w:t xml:space="preserve"> </w:t>
      </w:r>
      <w:r w:rsidR="00885511" w:rsidRPr="00295A88">
        <w:rPr>
          <w:rFonts w:cstheme="minorHAnsi"/>
          <w:sz w:val="24"/>
          <w:szCs w:val="24"/>
        </w:rPr>
        <w:fldChar w:fldCharType="begin" w:fldLock="1"/>
      </w:r>
      <w:r w:rsidR="001379E8" w:rsidRPr="00F95907">
        <w:rPr>
          <w:rFonts w:cstheme="minorHAnsi"/>
          <w:sz w:val="24"/>
          <w:szCs w:val="24"/>
        </w:rPr>
        <w:instrText>ADDIN CSL_CITATION {"citationItems":[{"id":"ITEM-1","itemData":{"DOI":"10.1177/0003489415583685","ISSN":"00034894","PMID":"25902839","abstract":"OBJECTIVES: To determine the outcomes of alternating doses of ibuprofen and acetaminophen in the treatment of post-tonsillectomy pain in children and to identify characteristics of children who had inadequate pain control. METHODS: The medical records of children who received alternating doses of ibuprofen and acetaminophen for post-tonsillectomy pain between August 2012 and November 2013 at a tertiary care children's hospital were reviewed. Incidences of postoperative bleeding and unresolved pain were determined. RESULTS: A total of 583 patients (304 males, 279 females, age range=1-18 years) had received alternating doses of ibuprofen and acetaminophen after tonsillectomy and adenoidectomy. Of the 583 patients, 56 (9.6%) reported inadequate pain control. Age, sex, obesity, presence of comorbid conditions, indications for surgery, and concurrent surgical procedures were not different between children who had adequate analgesia and children who had unresolved pain. Twenty-four patients (4.1%) had postoperative bleeding. Nine patients (1.5%) required surgical intervention for bleeding. CONCLUSIONS: Alternating doses of ibuprofen and acetaminophen provided an effective treatment for post-tonsillectomy pain in the majority of children and did not increase rate of bleeding. Means of improving response rate to alternating doses of ibuprofen and acetaminophen merit further investigation.","author":[{"dropping-particle":"","family":"Liu","given":"Christopher","non-dropping-particle":"","parse-names":false,"suffix":""},{"dropping-particle":"","family":"Ulualp","given":"Seckin O.","non-dropping-particle":"","parse-names":false,"suffix":""}],"container-title":"Annals of Otology, Rhinology and Laryngology","id":"ITEM-1","issue":"10","issued":{"date-parts":[["2015"]]},"page":"777-781","title":"Outcomes of an Alternating Ibuprofen and Acetaminophen Regimen for Pain Relief after Tonsillectomy in Children","type":"article","volume":"124"},"uris":["http://www.mendeley.com/documents/?uuid=3ad85d84-a1ea-3c6f-85a5-86b798f3deef"]}],"mendeley":{"formattedCitation":"(14)","plainTextFormattedCitation":"(14)","previouslyFormattedCitation":"(14)"},"properties":{"noteIndex":0},"schema":"https://github.com/citation-style-language/schema/raw/master/csl-citation.json"}</w:instrText>
      </w:r>
      <w:r w:rsidR="00885511" w:rsidRPr="00295A88">
        <w:rPr>
          <w:rFonts w:cstheme="minorHAnsi"/>
          <w:sz w:val="24"/>
          <w:szCs w:val="24"/>
        </w:rPr>
        <w:fldChar w:fldCharType="separate"/>
      </w:r>
      <w:r w:rsidR="00885511" w:rsidRPr="00295A88">
        <w:rPr>
          <w:rFonts w:cstheme="minorHAnsi"/>
          <w:noProof/>
          <w:sz w:val="24"/>
          <w:szCs w:val="24"/>
        </w:rPr>
        <w:t>(14)</w:t>
      </w:r>
      <w:r w:rsidR="00885511" w:rsidRPr="00295A88">
        <w:rPr>
          <w:rFonts w:cstheme="minorHAnsi"/>
          <w:sz w:val="24"/>
          <w:szCs w:val="24"/>
        </w:rPr>
        <w:fldChar w:fldCharType="end"/>
      </w:r>
      <w:r w:rsidRPr="00295A88">
        <w:rPr>
          <w:rFonts w:cstheme="minorHAnsi"/>
          <w:sz w:val="24"/>
          <w:szCs w:val="24"/>
        </w:rPr>
        <w:t xml:space="preserve">, </w:t>
      </w:r>
      <w:r w:rsidR="00FB6B96" w:rsidRPr="00295A88">
        <w:rPr>
          <w:rFonts w:cstheme="minorHAnsi"/>
          <w:sz w:val="24"/>
          <w:szCs w:val="24"/>
        </w:rPr>
        <w:t xml:space="preserve">the </w:t>
      </w:r>
      <w:r w:rsidR="00440A04" w:rsidRPr="00295A88">
        <w:rPr>
          <w:rFonts w:cstheme="minorHAnsi"/>
          <w:sz w:val="24"/>
          <w:szCs w:val="24"/>
        </w:rPr>
        <w:t>second</w:t>
      </w:r>
      <w:r w:rsidR="00FB6B96" w:rsidRPr="00295A88">
        <w:rPr>
          <w:rFonts w:cstheme="minorHAnsi"/>
          <w:sz w:val="24"/>
          <w:szCs w:val="24"/>
        </w:rPr>
        <w:t xml:space="preserve"> </w:t>
      </w:r>
      <w:r w:rsidRPr="00295A88">
        <w:rPr>
          <w:rFonts w:cstheme="minorHAnsi"/>
          <w:sz w:val="24"/>
          <w:szCs w:val="24"/>
        </w:rPr>
        <w:t xml:space="preserve"> retrospective cohort study</w:t>
      </w:r>
      <w:r w:rsidR="00406186" w:rsidRPr="00295A88">
        <w:rPr>
          <w:rFonts w:cstheme="minorHAnsi"/>
          <w:sz w:val="24"/>
          <w:szCs w:val="24"/>
        </w:rPr>
        <w:t xml:space="preserve"> investigated the currently applied dosage strategies in </w:t>
      </w:r>
      <w:r w:rsidR="00406186" w:rsidRPr="00F95907">
        <w:rPr>
          <w:rFonts w:cstheme="minorHAnsi"/>
          <w:sz w:val="24"/>
          <w:szCs w:val="24"/>
        </w:rPr>
        <w:t>overweight or obese children by looking at their prescriptions</w:t>
      </w:r>
      <w:r w:rsidR="00885511" w:rsidRPr="00F95907">
        <w:rPr>
          <w:rFonts w:cstheme="minorHAnsi"/>
          <w:sz w:val="24"/>
          <w:szCs w:val="24"/>
        </w:rPr>
        <w:t xml:space="preserve"> </w:t>
      </w:r>
      <w:r w:rsidR="00885511" w:rsidRPr="00295A88">
        <w:rPr>
          <w:rFonts w:cstheme="minorHAnsi"/>
          <w:sz w:val="24"/>
          <w:szCs w:val="24"/>
        </w:rPr>
        <w:fldChar w:fldCharType="begin" w:fldLock="1"/>
      </w:r>
      <w:r w:rsidR="001379E8" w:rsidRPr="00F95907">
        <w:rPr>
          <w:rFonts w:cstheme="minorHAnsi"/>
          <w:sz w:val="24"/>
          <w:szCs w:val="24"/>
        </w:rPr>
        <w:instrText>ADDIN CSL_CITATION {"citationItems":[{"id":"ITEM-1","itemData":{"DOI":"10.1002/prp2.398","ISSN":"20521707","abstract":"Abstract: Obesity can affect the pharmacokinetics of most drugs, which may result in under‐ or overdosing if traditional pediatric dosing strategies are used. To investigate currently applied dosage strategies in children with overweight or obesity (overweight/obesity), in a clinical treatment facility. In particular, whether dosing guidelines were available and metrics of body size applied. A retrospective cohort study of 200 patients admitted to the Danish Children′s Obesity Clinic. Data were collected from 2007 to 2015. Overweight/obese children 3‐18 years were included if they had at least one drug prescription. Overall there were 658 prescriptions, primarily analgesics, psychotropics, asthma medications, and antibiotics. Except for one prescription, guidelines for dosage of overweight/obese children were not available in the clinic. In one prescription of gentamicin, the dose was adjusted by a metric body size. Otherwise dose was predominately prescribed either by total body weight or as fixed dose by age, in accordance with the recommendations of normal weight children. In drugs with a narrow therapeutic interval, we found large interindividual variations in dosing regimens, that is, for gentamicin, paracetamol, and prednisolone. Reduction of dose to the maximum recommended adult dose was common practice, when the dose calculated by total body weight (ie, mg/kg) exceeded this maximum. This study highlights the shortage of dosing guidelines in overweight/obese children. We found a large interindividual variability in dosage regimens, even in drugs with narrow therapeutic intervals. The clinicians rely on “best practice”, as evidence‐based dosage regimens are missing for many drugs prescribed during childhood. [ABSTRACT FROM AUTHOR]","author":[{"dropping-particle":"","family":"Gade","given":"Christina","non-dropping-particle":"","parse-names":false,"suffix":""},{"dropping-particle":"","family":"Christensen","given":"Hanne R.","non-dropping-particle":"","parse-names":false,"suffix":""},{"dropping-particle":"","family":"Dalhoff","given":"Kim P.","non-dropping-particle":"","parse-names":false,"suffix":""},{"dropping-particle":"","family":"Holm","given":"Jens Christian","non-dropping-particle":"","parse-names":false,"suffix":""},{"dropping-particle":"","family":"Holst","given":"Helle","non-dropping-particle":"","parse-names":false,"suffix":""}],"container-title":"Pharmacology Research and Perspectives","id":"ITEM-1","issue":"3","issued":{"date-parts":[["2018","6","1"]]},"page":"e00398","publisher":"John Wiley &amp; Sons, Ltd","title":"Inconsistencies in dosage practice in children with overweight or obesity: A retrospective cohort study","type":"article","volume":"6"},"uris":["http://www.mendeley.com/documents/?uuid=0a688d1e-e9b9-347c-9c6d-38cc908aef31"]}],"mendeley":{"formattedCitation":"(15)","plainTextFormattedCitation":"(15)","previouslyFormattedCitation":"(15)"},"properties":{"noteIndex":0},"schema":"https://github.com/citation-style-language/schema/raw/master/csl-citation.json"}</w:instrText>
      </w:r>
      <w:r w:rsidR="00885511" w:rsidRPr="00295A88">
        <w:rPr>
          <w:rFonts w:cstheme="minorHAnsi"/>
          <w:sz w:val="24"/>
          <w:szCs w:val="24"/>
        </w:rPr>
        <w:fldChar w:fldCharType="separate"/>
      </w:r>
      <w:r w:rsidR="00885511" w:rsidRPr="00295A88">
        <w:rPr>
          <w:rFonts w:cstheme="minorHAnsi"/>
          <w:noProof/>
          <w:sz w:val="24"/>
          <w:szCs w:val="24"/>
        </w:rPr>
        <w:t>(15)</w:t>
      </w:r>
      <w:r w:rsidR="00885511" w:rsidRPr="00295A88">
        <w:rPr>
          <w:rFonts w:cstheme="minorHAnsi"/>
          <w:sz w:val="24"/>
          <w:szCs w:val="24"/>
        </w:rPr>
        <w:fldChar w:fldCharType="end"/>
      </w:r>
      <w:r w:rsidR="00406186" w:rsidRPr="00295A88">
        <w:rPr>
          <w:rFonts w:cstheme="minorHAnsi"/>
          <w:sz w:val="24"/>
          <w:szCs w:val="24"/>
        </w:rPr>
        <w:t>,</w:t>
      </w:r>
      <w:r w:rsidR="00440A04" w:rsidRPr="00295A88">
        <w:rPr>
          <w:rFonts w:cstheme="minorHAnsi"/>
          <w:sz w:val="24"/>
          <w:szCs w:val="24"/>
        </w:rPr>
        <w:t xml:space="preserve"> the third retrospective cohort study </w:t>
      </w:r>
      <w:r w:rsidR="003B47CC" w:rsidRPr="00295A88">
        <w:rPr>
          <w:rFonts w:cstheme="minorHAnsi"/>
          <w:sz w:val="24"/>
          <w:szCs w:val="24"/>
        </w:rPr>
        <w:t xml:space="preserve">assessed </w:t>
      </w:r>
      <w:r w:rsidR="003B47CC" w:rsidRPr="00295A88">
        <w:rPr>
          <w:rFonts w:cstheme="minorHAnsi"/>
          <w:sz w:val="24"/>
          <w:szCs w:val="24"/>
        </w:rPr>
        <w:lastRenderedPageBreak/>
        <w:t xml:space="preserve">the </w:t>
      </w:r>
      <w:r w:rsidR="001F5655" w:rsidRPr="00295A88">
        <w:rPr>
          <w:rFonts w:cstheme="minorHAnsi"/>
          <w:sz w:val="24"/>
          <w:szCs w:val="24"/>
        </w:rPr>
        <w:t>antipyretic efficacy in critically ill</w:t>
      </w:r>
      <w:r w:rsidR="00D21510" w:rsidRPr="00295A88">
        <w:rPr>
          <w:rFonts w:cstheme="minorHAnsi"/>
          <w:sz w:val="24"/>
          <w:szCs w:val="24"/>
        </w:rPr>
        <w:t xml:space="preserve"> paediatric patients</w:t>
      </w:r>
      <w:r w:rsidR="00406186" w:rsidRPr="00F95907">
        <w:rPr>
          <w:rFonts w:cstheme="minorHAnsi"/>
          <w:sz w:val="24"/>
          <w:szCs w:val="24"/>
        </w:rPr>
        <w:t xml:space="preserve"> </w:t>
      </w:r>
      <w:r w:rsidR="003763C8">
        <w:rPr>
          <w:rFonts w:cstheme="minorHAnsi"/>
          <w:sz w:val="24"/>
          <w:szCs w:val="24"/>
        </w:rPr>
        <w:fldChar w:fldCharType="begin" w:fldLock="1"/>
      </w:r>
      <w:r w:rsidR="004C55E1">
        <w:rPr>
          <w:rFonts w:cstheme="minorHAnsi"/>
          <w:sz w:val="24"/>
          <w:szCs w:val="24"/>
        </w:rPr>
        <w:instrText>ADDIN CSL_CITATION {"citationItems":[{"id":"ITEM-1","itemData":{"DOI":"10.1097/PCC.0000000000002072","ISBN":"0000000000","ISSN":"19473893","PMID":"31398182","abstract":"Objectives: To determine the antipyretic efficacy of acetaminophen (IV, enteral, rectal) and ibuprofen (enteral) in critically ill febrile pediatric patients. Design: Retrospective cohort study. Setting: Quaternary care pediatric hospital ICUs. Patients: Pediatric patients less than 19 years old who were febrile (≥ 38.0°C), received a dose of IV acetaminophen, enteral acetaminophen, rectal acetaminophen, or enteral ibuprofen and had at least one temperature measurement in the following 6 hours. Interventions: None. Measurements and Main Results: A total of 3,341 patients (55.8% male, median age 2.5 yr [interquartile range, 0.63-9.2 yr]) met study criteria. Baseline temperature was median 38.6°C (interquartile range, 38.3-38.9°C) measured via axillary (76.9%) route. Patients became afebrile (87.5%) at median 1.4 hours (interquartile range, 0.77-2.3 hr) after the first dose of medication, a-2.9 ± 1.6% change in temperature. Antipyretic medications included as follows: enteral acetaminophen (n = 1,664), IV acetaminophen (n = 682), rectal acetaminophen (n = 637), and enteral ibuprofen (n = 358). Enteral ibuprofen had a significantly greater odds of defervescence on multivariable logistic regression analysis (p = 0.04) with a decrease of-1.97 ± 0.89°C while IV acetaminophen was significant for a decreased time to defervescence at median 1.5 hours (interquartile range 0.8-2.3 hr) after a dose (p = 0.03). Patient age, presence of obesity, and baseline temperature were significant for decreased antipyretic efficacy (p &lt; 0.05). Conclusions: Enteral ibuprofen was the most efficacious antipyretic and IV acetaminophen had the shortest time to defervescence.","author":[{"dropping-particle":"","family":"Moffett","given":"Brady S.","non-dropping-particle":"","parse-names":false,"suffix":""},{"dropping-particle":"","family":"Gutierrez","given":"Kristina","non-dropping-particle":"","parse-names":false,"suffix":""},{"dropping-particle":"","family":"Davis","given":"Kasey","non-dropping-particle":"","parse-names":false,"suffix":""},{"dropping-particle":"","family":"Sigdel","given":"Binayak","non-dropping-particle":"","parse-names":false,"suffix":""},{"dropping-particle":"","family":"Strobel","given":"Nathaniel","non-dropping-particle":"","parse-names":false,"suffix":""}],"container-title":"Pediatric Critical Care Medicine","id":"ITEM-1","issue":"8","issued":{"date-parts":[["2019"]]},"page":"E386-E393","title":"Antipyretic Efficacy of Acetaminophen and Ibuprofen in Critically Ill Pediatric Patients","type":"article-journal","volume":"20"},"uris":["http://www.mendeley.com/documents/?uuid=aa054fa6-d037-4207-bbdb-b8ea4d4a3a0e"]}],"mendeley":{"formattedCitation":"(16)","plainTextFormattedCitation":"(16)","previouslyFormattedCitation":"(16)"},"properties":{"noteIndex":0},"schema":"https://github.com/citation-style-language/schema/raw/master/csl-citation.json"}</w:instrText>
      </w:r>
      <w:r w:rsidR="003763C8">
        <w:rPr>
          <w:rFonts w:cstheme="minorHAnsi"/>
          <w:sz w:val="24"/>
          <w:szCs w:val="24"/>
        </w:rPr>
        <w:fldChar w:fldCharType="separate"/>
      </w:r>
      <w:r w:rsidR="003763C8" w:rsidRPr="003763C8">
        <w:rPr>
          <w:rFonts w:cstheme="minorHAnsi"/>
          <w:noProof/>
          <w:sz w:val="24"/>
          <w:szCs w:val="24"/>
        </w:rPr>
        <w:t>(16)</w:t>
      </w:r>
      <w:r w:rsidR="003763C8">
        <w:rPr>
          <w:rFonts w:cstheme="minorHAnsi"/>
          <w:sz w:val="24"/>
          <w:szCs w:val="24"/>
        </w:rPr>
        <w:fldChar w:fldCharType="end"/>
      </w:r>
      <w:r w:rsidR="003763C8">
        <w:rPr>
          <w:rFonts w:cstheme="minorHAnsi"/>
          <w:sz w:val="24"/>
          <w:szCs w:val="24"/>
        </w:rPr>
        <w:t xml:space="preserve"> </w:t>
      </w:r>
      <w:r w:rsidR="00406186" w:rsidRPr="00F95907">
        <w:rPr>
          <w:rFonts w:cstheme="minorHAnsi"/>
          <w:sz w:val="24"/>
          <w:szCs w:val="24"/>
        </w:rPr>
        <w:t xml:space="preserve">and </w:t>
      </w:r>
      <w:r w:rsidR="007D0773" w:rsidRPr="00F95907">
        <w:rPr>
          <w:rFonts w:cstheme="minorHAnsi"/>
          <w:sz w:val="24"/>
          <w:szCs w:val="24"/>
        </w:rPr>
        <w:t xml:space="preserve">the </w:t>
      </w:r>
      <w:r w:rsidR="00406186" w:rsidRPr="00B67CA5">
        <w:rPr>
          <w:rFonts w:cstheme="minorHAnsi"/>
          <w:sz w:val="24"/>
          <w:szCs w:val="24"/>
        </w:rPr>
        <w:t>case study investigated prescriptions for commonly prescribed drugs to aid in the development of a decision support tool</w:t>
      </w:r>
      <w:r w:rsidR="00715B26" w:rsidRPr="00B67CA5">
        <w:rPr>
          <w:rFonts w:cstheme="minorHAnsi"/>
          <w:sz w:val="24"/>
          <w:szCs w:val="24"/>
        </w:rPr>
        <w:t xml:space="preserve"> </w:t>
      </w:r>
      <w:r w:rsidR="00715B26" w:rsidRPr="00295A88">
        <w:rPr>
          <w:rFonts w:cstheme="minorHAnsi"/>
          <w:sz w:val="24"/>
          <w:szCs w:val="24"/>
        </w:rPr>
        <w:fldChar w:fldCharType="begin" w:fldLock="1"/>
      </w:r>
      <w:r w:rsidR="00FE0A80" w:rsidRPr="00B67CA5">
        <w:rPr>
          <w:rFonts w:cstheme="minorHAnsi"/>
          <w:sz w:val="24"/>
          <w:szCs w:val="24"/>
        </w:rPr>
        <w:instrText>ADDIN CSL_CITATION {"citationItems":[{"id":"ITEM-1","itemData":{"DOI":"10.2146/ajhp140280","ISBN":"1079-2082","ISSN":"15352900","PMID":"25788508","abstract":"Purpose. The development and use of a decision support tool to help formulate recommendations for dosing of commonly prescribed medications in critically ill obese children are described. Methods. Medications prescribed in 2010 to critically ill infants and children (younger than 18 years) were identified from the Pediatric Health Information System. The most commonly prescribed and therapeutically monitored medications were extracted. Supportive evidence for obesity dosing was identified through a standardized computerized search involving medical subject heading terminology and age filters using PubMed and Ovid. A usefulness scoring system was developed to rate the strength and applicability of the literature to critically ill obese children. A decision supporttool was then created to aid in the formulation of a dosing weight for each medication based on the usefulness score, published pharmacokinetic properties, clinical studies available in the primary literature, and consideration of clinical consequences of underdosing or overdosing. Results. A total of 113 medications were evaluated, and 122 discrete citations, supporting 66 medications, were reviewed. Seventy-two percent of citations had general obesity dosing information, and 13% had pediatric-specific information. The overall mean usefulness score was 5.1 +/- 4.7 (median, 7). The decision support tool was incorporated to make final dosing weight recommendations for obese children. Ultimately, total body weight was recommended for 52 medications, adjusted weight for 43 medications, and ideal body weight for 18 medications. Conclusion. The inadequacy of obesity dosing information for most medications commonly ordered for children admitted to a pediatric intensive care unit led to the development of a decision support tool to aid in formulating dosing recommendations.","author":[{"dropping-particle":"","family":"Ross","given":"Emma L.","non-dropping-particle":"","parse-names":false,"suffix":""},{"dropping-particle":"","family":"Heizer","given":"Justin","non-dropping-particle":"","parse-names":false,"suffix":""},{"dropping-particle":"","family":"Mixon","given":"Mark A.","non-dropping-particle":"","parse-names":false,"suffix":""},{"dropping-particle":"","family":"Jorgensen","given":"Jennifer","non-dropping-particle":"","parse-names":false,"suffix":""},{"dropping-particle":"","family":"Valdez","given":"Connie A.","non-dropping-particle":"","parse-names":false,"suffix":""},{"dropping-particle":"","family":"Czaja","given":"Angela S.","non-dropping-particle":"","parse-names":false,"suffix":""},{"dropping-particle":"","family":"Reiter","given":"Pamela D.","non-dropping-particle":"","parse-names":false,"suffix":""}],"container-title":"American Journal of Health-System Pharmacy","id":"ITEM-1","issue":"7","issued":{"date-parts":[["2015"]]},"page":"542-556","title":"Development of recommendations for dosing of commonly prescribed medications in critically ill obese children","type":"article","volume":"72"},"uris":["http://www.mendeley.com/documents/?uuid=09e33da6-0013-4bd3-9a3c-636323ab7765"]}],"mendeley":{"formattedCitation":"(17)","plainTextFormattedCitation":"(17)","previouslyFormattedCitation":"(17)"},"properties":{"noteIndex":0},"schema":"https://github.com/citation-style-language/schema/raw/master/csl-citation.json"}</w:instrText>
      </w:r>
      <w:r w:rsidR="00715B26" w:rsidRPr="00295A88">
        <w:rPr>
          <w:rFonts w:cstheme="minorHAnsi"/>
          <w:sz w:val="24"/>
          <w:szCs w:val="24"/>
        </w:rPr>
        <w:fldChar w:fldCharType="separate"/>
      </w:r>
      <w:r w:rsidR="00715B26" w:rsidRPr="00295A88">
        <w:rPr>
          <w:rFonts w:cstheme="minorHAnsi"/>
          <w:noProof/>
          <w:sz w:val="24"/>
          <w:szCs w:val="24"/>
        </w:rPr>
        <w:t>(17)</w:t>
      </w:r>
      <w:r w:rsidR="00715B26" w:rsidRPr="00295A88">
        <w:rPr>
          <w:rFonts w:cstheme="minorHAnsi"/>
          <w:sz w:val="24"/>
          <w:szCs w:val="24"/>
        </w:rPr>
        <w:fldChar w:fldCharType="end"/>
      </w:r>
      <w:r w:rsidR="002C71F9" w:rsidRPr="00295A88">
        <w:rPr>
          <w:rFonts w:cstheme="minorHAnsi"/>
          <w:sz w:val="24"/>
          <w:szCs w:val="24"/>
        </w:rPr>
        <w:t>.</w:t>
      </w:r>
    </w:p>
    <w:p w14:paraId="67A6E9BB" w14:textId="77777777" w:rsidR="00A1229C" w:rsidRPr="00F95907" w:rsidRDefault="00A1229C" w:rsidP="00A1229C">
      <w:pPr>
        <w:spacing w:after="120" w:line="480" w:lineRule="auto"/>
        <w:rPr>
          <w:rFonts w:cstheme="minorHAnsi"/>
          <w:b/>
          <w:sz w:val="24"/>
          <w:szCs w:val="24"/>
        </w:rPr>
      </w:pPr>
      <w:r w:rsidRPr="00295A88">
        <w:rPr>
          <w:rFonts w:cstheme="minorHAnsi"/>
          <w:b/>
          <w:sz w:val="24"/>
          <w:szCs w:val="24"/>
        </w:rPr>
        <w:t>Ibuprofen Dosing Regimens (Primary O</w:t>
      </w:r>
      <w:r w:rsidRPr="00F95907">
        <w:rPr>
          <w:rFonts w:cstheme="minorHAnsi"/>
          <w:b/>
          <w:sz w:val="24"/>
          <w:szCs w:val="24"/>
        </w:rPr>
        <w:t>utcome)</w:t>
      </w:r>
    </w:p>
    <w:p w14:paraId="09618633" w14:textId="77777777" w:rsidR="00A1229C" w:rsidRPr="00295A88" w:rsidRDefault="00A1229C" w:rsidP="00A1229C">
      <w:pPr>
        <w:spacing w:after="120" w:line="480" w:lineRule="auto"/>
        <w:jc w:val="both"/>
        <w:rPr>
          <w:rFonts w:cstheme="minorHAnsi"/>
          <w:sz w:val="24"/>
          <w:szCs w:val="24"/>
        </w:rPr>
      </w:pPr>
      <w:r w:rsidRPr="00F95907">
        <w:rPr>
          <w:rFonts w:cstheme="minorHAnsi"/>
          <w:sz w:val="24"/>
          <w:szCs w:val="24"/>
        </w:rPr>
        <w:t>All studies had differing methods of dosing ibuprofen in children (see Table 3)</w:t>
      </w:r>
      <w:r w:rsidRPr="00B67CA5">
        <w:rPr>
          <w:rFonts w:cstheme="minorHAnsi"/>
          <w:sz w:val="24"/>
          <w:szCs w:val="24"/>
        </w:rPr>
        <w:t xml:space="preserve">. One retrospective study used a weight-based dosing regimen where ibuprofen was given at 5 mg/kg every 6 hours, alongside an alternating dose of paracetamol in children </w:t>
      </w:r>
      <w:r w:rsidRPr="00295A88">
        <w:rPr>
          <w:rFonts w:cstheme="minorHAnsi"/>
          <w:sz w:val="24"/>
          <w:szCs w:val="24"/>
        </w:rPr>
        <w:fldChar w:fldCharType="begin" w:fldLock="1"/>
      </w:r>
      <w:r w:rsidRPr="00B67CA5">
        <w:rPr>
          <w:rFonts w:cstheme="minorHAnsi"/>
          <w:sz w:val="24"/>
          <w:szCs w:val="24"/>
        </w:rPr>
        <w:instrText>ADDIN CSL_CITATION {"citationItems":[{"id":"ITEM-1","itemData":{"DOI":"10.1177/0003489415583685","ISSN":"00034894","PMID":"25902839","abstract":"OBJECTIVES: To determine the outcomes of alternating doses of ibuprofen and acetaminophen in the treatment of post-tonsillectomy pain in children and to identify characteristics of children who had inadequate pain control. METHODS: The medical records of children who received alternating doses of ibuprofen and acetaminophen for post-tonsillectomy pain between August 2012 and November 2013 at a tertiary care children's hospital were reviewed. Incidences of postoperative bleeding and unresolved pain were determined. RESULTS: A total of 583 patients (304 males, 279 females, age range=1-18 years) had received alternating doses of ibuprofen and acetaminophen after tonsillectomy and adenoidectomy. Of the 583 patients, 56 (9.6%) reported inadequate pain control. Age, sex, obesity, presence of comorbid conditions, indications for surgery, and concurrent surgical procedures were not different between children who had adequate analgesia and children who had unresolved pain. Twenty-four patients (4.1%) had postoperative bleeding. Nine patients (1.5%) required surgical intervention for bleeding. CONCLUSIONS: Alternating doses of ibuprofen and acetaminophen provided an effective treatment for post-tonsillectomy pain in the majority of children and did not increase rate of bleeding. Means of improving response rate to alternating doses of ibuprofen and acetaminophen merit further investigation.","author":[{"dropping-particle":"","family":"Liu","given":"Christopher","non-dropping-particle":"","parse-names":false,"suffix":""},{"dropping-particle":"","family":"Ulualp","given":"Seckin O.","non-dropping-particle":"","parse-names":false,"suffix":""}],"container-title":"Annals of Otology, Rhinology and Laryngology","id":"ITEM-1","issue":"10","issued":{"date-parts":[["2015"]]},"page":"777-781","title":"Outcomes of an Alternating Ibuprofen and Acetaminophen Regimen for Pain Relief after Tonsillectomy in Children","type":"article","volume":"124"},"uris":["http://www.mendeley.com/documents/?uuid=3ad85d84-a1ea-3c6f-85a5-86b798f3deef"]}],"mendeley":{"formattedCitation":"(14)","plainTextFormattedCitation":"(14)","previouslyFormattedCitation":"(14)"},"properties":{"noteIndex":0},"schema":"https://github.com/citation-style-language/schema/raw/master/csl-citation.json"}</w:instrText>
      </w:r>
      <w:r w:rsidRPr="00295A88">
        <w:rPr>
          <w:rFonts w:cstheme="minorHAnsi"/>
          <w:sz w:val="24"/>
          <w:szCs w:val="24"/>
        </w:rPr>
        <w:fldChar w:fldCharType="separate"/>
      </w:r>
      <w:r w:rsidRPr="00295A88">
        <w:rPr>
          <w:rFonts w:cstheme="minorHAnsi"/>
          <w:noProof/>
          <w:sz w:val="24"/>
          <w:szCs w:val="24"/>
        </w:rPr>
        <w:t>(14)</w:t>
      </w:r>
      <w:r w:rsidRPr="00295A88">
        <w:rPr>
          <w:rFonts w:cstheme="minorHAnsi"/>
          <w:sz w:val="24"/>
          <w:szCs w:val="24"/>
        </w:rPr>
        <w:fldChar w:fldCharType="end"/>
      </w:r>
      <w:r w:rsidRPr="00295A88">
        <w:rPr>
          <w:rFonts w:cstheme="minorHAnsi"/>
          <w:sz w:val="24"/>
          <w:szCs w:val="24"/>
        </w:rPr>
        <w:t xml:space="preserve">. Another retrospective study used a fixed age-band dosage of 400 mg taken three times daily for 11-18 year olds </w:t>
      </w:r>
      <w:r w:rsidRPr="00295A88">
        <w:rPr>
          <w:rFonts w:cstheme="minorHAnsi"/>
          <w:sz w:val="24"/>
          <w:szCs w:val="24"/>
        </w:rPr>
        <w:fldChar w:fldCharType="begin" w:fldLock="1"/>
      </w:r>
      <w:r w:rsidRPr="00B67CA5">
        <w:rPr>
          <w:rFonts w:cstheme="minorHAnsi"/>
          <w:sz w:val="24"/>
          <w:szCs w:val="24"/>
        </w:rPr>
        <w:instrText>ADDIN CSL_CITATION {"citationItems":[{"id":"ITEM-1","itemData":{"DOI":"10.1002/prp2.398","ISSN":"20521707","abstract":"Abstract: Obesity can affect the pharmacokinetics of most drugs, which may result in under‐ or overdosing if traditional pediatric dosing strategies are used. To investigate currently applied dosage strategies in children with overweight or obesity (overweight/obesity), in a clinical treatment facility. In particular, whether dosing guidelines were available and metrics of body size applied. A retrospective cohort study of 200 patients admitted to the Danish Children′s Obesity Clinic. Data were collected from 2007 to 2015. Overweight/obese children 3‐18 years were included if they had at least one drug prescription. Overall there were 658 prescriptions, primarily analgesics, psychotropics, asthma medications, and antibiotics. Except for one prescription, guidelines for dosage of overweight/obese children were not available in the clinic. In one prescription of gentamicin, the dose was adjusted by a metric body size. Otherwise dose was predominately prescribed either by total body weight or as fixed dose by age, in accordance with the recommendations of normal weight children. In drugs with a narrow therapeutic interval, we found large interindividual variations in dosing regimens, that is, for gentamicin, paracetamol, and prednisolone. Reduction of dose to the maximum recommended adult dose was common practice, when the dose calculated by total body weight (ie, mg/kg) exceeded this maximum. This study highlights the shortage of dosing guidelines in overweight/obese children. We found a large interindividual variability in dosage regimens, even in drugs with narrow therapeutic intervals. The clinicians rely on “best practice”, as evidence‐based dosage regimens are missing for many drugs prescribed during childhood. [ABSTRACT FROM AUTHOR]","author":[{"dropping-particle":"","family":"Gade","given":"Christina","non-dropping-particle":"","parse-names":false,"suffix":""},{"dropping-particle":"","family":"Christensen","given":"Hanne R.","non-dropping-particle":"","parse-names":false,"suffix":""},{"dropping-particle":"","family":"Dalhoff","given":"Kim P.","non-dropping-particle":"","parse-names":false,"suffix":""},{"dropping-particle":"","family":"Holm","given":"Jens Christian","non-dropping-particle":"","parse-names":false,"suffix":""},{"dropping-particle":"","family":"Holst","given":"Helle","non-dropping-particle":"","parse-names":false,"suffix":""}],"container-title":"Pharmacology Research and Perspectives","id":"ITEM-1","issue":"3","issued":{"date-parts":[["2018","6","1"]]},"page":"e00398","publisher":"John Wiley &amp; Sons, Ltd","title":"Inconsistencies in dosage practice in children with overweight or obesity: A retrospective cohort study","type":"article","volume":"6"},"uris":["http://www.mendeley.com/documents/?uuid=0a688d1e-e9b9-347c-9c6d-38cc908aef31"]}],"mendeley":{"formattedCitation":"(15)","plainTextFormattedCitation":"(15)","previouslyFormattedCitation":"(15)"},"properties":{"noteIndex":0},"schema":"https://github.com/citation-style-language/schema/raw/master/csl-citation.json"}</w:instrText>
      </w:r>
      <w:r w:rsidRPr="00295A88">
        <w:rPr>
          <w:rFonts w:cstheme="minorHAnsi"/>
          <w:sz w:val="24"/>
          <w:szCs w:val="24"/>
        </w:rPr>
        <w:fldChar w:fldCharType="separate"/>
      </w:r>
      <w:r w:rsidRPr="00295A88">
        <w:rPr>
          <w:rFonts w:cstheme="minorHAnsi"/>
          <w:noProof/>
          <w:sz w:val="24"/>
          <w:szCs w:val="24"/>
        </w:rPr>
        <w:t>(15)</w:t>
      </w:r>
      <w:r w:rsidRPr="00295A88">
        <w:rPr>
          <w:rFonts w:cstheme="minorHAnsi"/>
          <w:sz w:val="24"/>
          <w:szCs w:val="24"/>
        </w:rPr>
        <w:fldChar w:fldCharType="end"/>
      </w:r>
      <w:r w:rsidRPr="00295A88">
        <w:rPr>
          <w:rFonts w:cstheme="minorHAnsi"/>
          <w:sz w:val="24"/>
          <w:szCs w:val="24"/>
        </w:rPr>
        <w:t xml:space="preserve">. The third cohort study used a 120 mg/dose ibuprofen regime and stated a mean mg/kg/dose of </w:t>
      </w:r>
      <w:r w:rsidRPr="00F95907">
        <w:rPr>
          <w:rFonts w:cstheme="minorHAnsi"/>
          <w:sz w:val="24"/>
          <w:szCs w:val="24"/>
        </w:rPr>
        <w:t xml:space="preserve">8.2 ± SD 1.7 </w:t>
      </w:r>
      <w:r w:rsidRPr="00295A88">
        <w:rPr>
          <w:rFonts w:cstheme="minorHAnsi"/>
          <w:sz w:val="24"/>
          <w:szCs w:val="24"/>
        </w:rPr>
        <w:fldChar w:fldCharType="begin" w:fldLock="1"/>
      </w:r>
      <w:r>
        <w:rPr>
          <w:rFonts w:cstheme="minorHAnsi"/>
          <w:sz w:val="24"/>
          <w:szCs w:val="24"/>
        </w:rPr>
        <w:instrText>ADDIN CSL_CITATION {"citationItems":[{"id":"ITEM-1","itemData":{"DOI":"10.1097/PCC.0000000000002072","ISBN":"0000000000","ISSN":"19473893","PMID":"31398182","abstract":"Objectives: To determine the antipyretic efficacy of acetaminophen (IV, enteral, rectal) and ibuprofen (enteral) in critically ill febrile pediatric patients. Design: Retrospective cohort study. Setting: Quaternary care pediatric hospital ICUs. Patients: Pediatric patients less than 19 years old who were febrile (≥ 38.0°C), received a dose of IV acetaminophen, enteral acetaminophen, rectal acetaminophen, or enteral ibuprofen and had at least one temperature measurement in the following 6 hours. Interventions: None. Measurements and Main Results: A total of 3,341 patients (55.8% male, median age 2.5 yr [interquartile range, 0.63-9.2 yr]) met study criteria. Baseline temperature was median 38.6°C (interquartile range, 38.3-38.9°C) measured via axillary (76.9%) route. Patients became afebrile (87.5%) at median 1.4 hours (interquartile range, 0.77-2.3 hr) after the first dose of medication, a-2.9 ± 1.6% change in temperature. Antipyretic medications included as follows: enteral acetaminophen (n = 1,664), IV acetaminophen (n = 682), rectal acetaminophen (n = 637), and enteral ibuprofen (n = 358). Enteral ibuprofen had a significantly greater odds of defervescence on multivariable logistic regression analysis (p = 0.04) with a decrease of-1.97 ± 0.89°C while IV acetaminophen was significant for a decreased time to defervescence at median 1.5 hours (interquartile range 0.8-2.3 hr) after a dose (p = 0.03). Patient age, presence of obesity, and baseline temperature were significant for decreased antipyretic efficacy (p &lt; 0.05). Conclusions: Enteral ibuprofen was the most efficacious antipyretic and IV acetaminophen had the shortest time to defervescence.","author":[{"dropping-particle":"","family":"Moffett","given":"Brady S.","non-dropping-particle":"","parse-names":false,"suffix":""},{"dropping-particle":"","family":"Gutierrez","given":"Kristina","non-dropping-particle":"","parse-names":false,"suffix":""},{"dropping-particle":"","family":"Davis","given":"Kasey","non-dropping-particle":"","parse-names":false,"suffix":""},{"dropping-particle":"","family":"Sigdel","given":"Binayak","non-dropping-particle":"","parse-names":false,"suffix":""},{"dropping-particle":"","family":"Strobel","given":"Nathaniel","non-dropping-particle":"","parse-names":false,"suffix":""}],"container-title":"Pediatric Critical Care Medicine","id":"ITEM-1","issue":"8","issued":{"date-parts":[["2019"]]},"page":"E386-E393","title":"Antipyretic Efficacy of Acetaminophen and Ibuprofen in Critically Ill Pediatric Patients","type":"article-journal","volume":"20"},"uris":["http://www.mendeley.com/documents/?uuid=aa054fa6-d037-4207-bbdb-b8ea4d4a3a0e"]}],"mendeley":{"formattedCitation":"(16)","plainTextFormattedCitation":"(16)","previouslyFormattedCitation":"(16)"},"properties":{"noteIndex":0},"schema":"https://github.com/citation-style-language/schema/raw/master/csl-citation.json"}</w:instrText>
      </w:r>
      <w:r w:rsidRPr="00295A88">
        <w:rPr>
          <w:rFonts w:cstheme="minorHAnsi"/>
          <w:sz w:val="24"/>
          <w:szCs w:val="24"/>
        </w:rPr>
        <w:fldChar w:fldCharType="separate"/>
      </w:r>
      <w:r w:rsidRPr="00295A88">
        <w:rPr>
          <w:rFonts w:cstheme="minorHAnsi"/>
          <w:noProof/>
          <w:sz w:val="24"/>
          <w:szCs w:val="24"/>
        </w:rPr>
        <w:t>(16)</w:t>
      </w:r>
      <w:r w:rsidRPr="00295A88">
        <w:rPr>
          <w:rFonts w:cstheme="minorHAnsi"/>
          <w:sz w:val="24"/>
          <w:szCs w:val="24"/>
        </w:rPr>
        <w:fldChar w:fldCharType="end"/>
      </w:r>
      <w:r w:rsidRPr="00295A88">
        <w:rPr>
          <w:rFonts w:cstheme="minorHAnsi"/>
          <w:sz w:val="24"/>
          <w:szCs w:val="24"/>
        </w:rPr>
        <w:t>. The ibuprofen dosing regimen in the case study, however, suggested the use of</w:t>
      </w:r>
      <w:r w:rsidRPr="00F95907">
        <w:rPr>
          <w:rFonts w:cstheme="minorHAnsi"/>
          <w:sz w:val="24"/>
          <w:szCs w:val="24"/>
        </w:rPr>
        <w:t xml:space="preserve"> adjusted body weight (</w:t>
      </w:r>
      <w:proofErr w:type="spellStart"/>
      <w:r w:rsidRPr="00F95907">
        <w:rPr>
          <w:rFonts w:cstheme="minorHAnsi"/>
          <w:sz w:val="24"/>
          <w:szCs w:val="24"/>
        </w:rPr>
        <w:t>A</w:t>
      </w:r>
      <w:r>
        <w:rPr>
          <w:rFonts w:cstheme="minorHAnsi"/>
          <w:sz w:val="24"/>
          <w:szCs w:val="24"/>
        </w:rPr>
        <w:t>j</w:t>
      </w:r>
      <w:r w:rsidRPr="00295A88">
        <w:rPr>
          <w:rFonts w:cstheme="minorHAnsi"/>
          <w:sz w:val="24"/>
          <w:szCs w:val="24"/>
        </w:rPr>
        <w:t>BW</w:t>
      </w:r>
      <w:proofErr w:type="spellEnd"/>
      <w:r w:rsidRPr="00295A88">
        <w:rPr>
          <w:rFonts w:cstheme="minorHAnsi"/>
          <w:sz w:val="24"/>
          <w:szCs w:val="24"/>
        </w:rPr>
        <w:t xml:space="preserve">) when dosing ibuprofen to obese children </w:t>
      </w:r>
      <w:r w:rsidRPr="00295A88">
        <w:rPr>
          <w:rFonts w:cstheme="minorHAnsi"/>
          <w:sz w:val="24"/>
          <w:szCs w:val="24"/>
        </w:rPr>
        <w:fldChar w:fldCharType="begin" w:fldLock="1"/>
      </w:r>
      <w:r w:rsidRPr="00B67CA5">
        <w:rPr>
          <w:rFonts w:cstheme="minorHAnsi"/>
          <w:sz w:val="24"/>
          <w:szCs w:val="24"/>
        </w:rPr>
        <w:instrText>ADDIN CSL_CITATION {"citationItems":[{"id":"ITEM-1","itemData":{"DOI":"10.2146/ajhp140280","ISBN":"1079-2082","ISSN":"15352900","PMID":"25788508","abstract":"Purpose. The development and use of a decision support tool to help formulate recommendations for dosing of commonly prescribed medications in critically ill obese children are described. Methods. Medications prescribed in 2010 to critically ill infants and children (younger than 18 years) were identified from the Pediatric Health Information System. The most commonly prescribed and therapeutically monitored medications were extracted. Supportive evidence for obesity dosing was identified through a standardized computerized search involving medical subject heading terminology and age filters using PubMed and Ovid. A usefulness scoring system was developed to rate the strength and applicability of the literature to critically ill obese children. A decision supporttool was then created to aid in the formulation of a dosing weight for each medication based on the usefulness score, published pharmacokinetic properties, clinical studies available in the primary literature, and consideration of clinical consequences of underdosing or overdosing. Results. A total of 113 medications were evaluated, and 122 discrete citations, supporting 66 medications, were reviewed. Seventy-two percent of citations had general obesity dosing information, and 13% had pediatric-specific information. The overall mean usefulness score was 5.1 +/- 4.7 (median, 7). The decision support tool was incorporated to make final dosing weight recommendations for obese children. Ultimately, total body weight was recommended for 52 medications, adjusted weight for 43 medications, and ideal body weight for 18 medications. Conclusion. The inadequacy of obesity dosing information for most medications commonly ordered for children admitted to a pediatric intensive care unit led to the development of a decision support tool to aid in formulating dosing recommendations.","author":[{"dropping-particle":"","family":"Ross","given":"Emma L.","non-dropping-particle":"","parse-names":false,"suffix":""},{"dropping-particle":"","family":"Heizer","given":"Justin","non-dropping-particle":"","parse-names":false,"suffix":""},{"dropping-particle":"","family":"Mixon","given":"Mark A.","non-dropping-particle":"","parse-names":false,"suffix":""},{"dropping-particle":"","family":"Jorgensen","given":"Jennifer","non-dropping-particle":"","parse-names":false,"suffix":""},{"dropping-particle":"","family":"Valdez","given":"Connie A.","non-dropping-particle":"","parse-names":false,"suffix":""},{"dropping-particle":"","family":"Czaja","given":"Angela S.","non-dropping-particle":"","parse-names":false,"suffix":""},{"dropping-particle":"","family":"Reiter","given":"Pamela D.","non-dropping-particle":"","parse-names":false,"suffix":""}],"container-title":"American Journal of Health-System Pharmacy","id":"ITEM-1","issue":"7","issued":{"date-parts":[["2015"]]},"page":"542-556","title":"Development of recommendations for dosing of commonly prescribed medications in critically ill obese children","type":"article","volume":"72"},"uris":["http://www.mendeley.com/documents/?uuid=09e33da6-0013-4bd3-9a3c-636323ab7765"]}],"mendeley":{"formattedCitation":"(17)","plainTextFormattedCitation":"(17)","previouslyFormattedCitation":"(17)"},"properties":{"noteIndex":0},"schema":"https://github.com/citation-style-language/schema/raw/master/csl-citation.json"}</w:instrText>
      </w:r>
      <w:r w:rsidRPr="00295A88">
        <w:rPr>
          <w:rFonts w:cstheme="minorHAnsi"/>
          <w:sz w:val="24"/>
          <w:szCs w:val="24"/>
        </w:rPr>
        <w:fldChar w:fldCharType="separate"/>
      </w:r>
      <w:r w:rsidRPr="00295A88">
        <w:rPr>
          <w:rFonts w:cstheme="minorHAnsi"/>
          <w:noProof/>
          <w:sz w:val="24"/>
          <w:szCs w:val="24"/>
        </w:rPr>
        <w:t>(17)</w:t>
      </w:r>
      <w:r w:rsidRPr="00295A88">
        <w:rPr>
          <w:rFonts w:cstheme="minorHAnsi"/>
          <w:sz w:val="24"/>
          <w:szCs w:val="24"/>
        </w:rPr>
        <w:fldChar w:fldCharType="end"/>
      </w:r>
      <w:r w:rsidRPr="00295A88">
        <w:rPr>
          <w:rFonts w:cstheme="minorHAnsi"/>
          <w:sz w:val="24"/>
          <w:szCs w:val="24"/>
        </w:rPr>
        <w:t>.</w:t>
      </w:r>
    </w:p>
    <w:p w14:paraId="7D660F24" w14:textId="77777777" w:rsidR="00A1229C" w:rsidRPr="00F95907" w:rsidRDefault="00A1229C" w:rsidP="00A1229C">
      <w:pPr>
        <w:spacing w:after="120" w:line="480" w:lineRule="auto"/>
        <w:rPr>
          <w:rFonts w:cstheme="minorHAnsi"/>
          <w:b/>
          <w:sz w:val="24"/>
          <w:szCs w:val="24"/>
        </w:rPr>
      </w:pPr>
      <w:r w:rsidRPr="00295A88">
        <w:rPr>
          <w:rFonts w:cstheme="minorHAnsi"/>
          <w:b/>
          <w:sz w:val="24"/>
          <w:szCs w:val="24"/>
        </w:rPr>
        <w:t xml:space="preserve">Efficacy and Tolerability </w:t>
      </w:r>
      <w:r w:rsidRPr="00F95907">
        <w:rPr>
          <w:rFonts w:cstheme="minorHAnsi"/>
          <w:b/>
          <w:sz w:val="24"/>
          <w:szCs w:val="24"/>
        </w:rPr>
        <w:t>of Ibuprofen in Obese Children</w:t>
      </w:r>
    </w:p>
    <w:p w14:paraId="4F5FD642" w14:textId="77777777" w:rsidR="00A1229C" w:rsidRPr="00B67CA5" w:rsidRDefault="00A1229C" w:rsidP="00A1229C">
      <w:pPr>
        <w:spacing w:after="120" w:line="480" w:lineRule="auto"/>
        <w:jc w:val="both"/>
        <w:rPr>
          <w:rFonts w:cstheme="minorHAnsi"/>
          <w:sz w:val="24"/>
          <w:szCs w:val="24"/>
        </w:rPr>
      </w:pPr>
      <w:r w:rsidRPr="00F95907">
        <w:rPr>
          <w:rFonts w:cstheme="minorHAnsi"/>
          <w:sz w:val="24"/>
          <w:szCs w:val="24"/>
        </w:rPr>
        <w:t>With regards to ibuprofen efficacy, two retrospective stud</w:t>
      </w:r>
      <w:r w:rsidRPr="00B67CA5">
        <w:rPr>
          <w:rFonts w:cstheme="minorHAnsi"/>
          <w:sz w:val="24"/>
          <w:szCs w:val="24"/>
        </w:rPr>
        <w:t xml:space="preserve">ies clearly differentiated obese and non-obese children allowing comparison of the groups. One study showed adequate pain control (90%) being achieved by both obese and non-obese children. Following multivariable analysis, the second cohort study found that enteral ibuprofen was significantly greater at reducing fever in children than paracetamol. Interestingly, the study also found that obese individuals took longer to defervesce, possibly due to increased oxidative metabolism. However, neither study specified the number of obese individuals on an ibuprofen regime to allow for further comparison. The efficacy of ibuprofen was not explicitly mentioned in the other two papers and hence could not be assessed. There is insufficient data to ascertain which, if any, ibuprofen dosing method is most efficacious in obese children. </w:t>
      </w:r>
    </w:p>
    <w:p w14:paraId="2AAB7752" w14:textId="77777777" w:rsidR="00A1229C" w:rsidRPr="00B67CA5" w:rsidRDefault="00A1229C" w:rsidP="00A1229C">
      <w:pPr>
        <w:spacing w:after="120" w:line="480" w:lineRule="auto"/>
        <w:ind w:firstLine="720"/>
        <w:jc w:val="both"/>
        <w:rPr>
          <w:rFonts w:cstheme="minorHAnsi"/>
          <w:sz w:val="24"/>
          <w:szCs w:val="24"/>
        </w:rPr>
      </w:pPr>
      <w:r w:rsidRPr="00B67CA5">
        <w:rPr>
          <w:rFonts w:cstheme="minorHAnsi"/>
          <w:sz w:val="24"/>
          <w:szCs w:val="24"/>
        </w:rPr>
        <w:lastRenderedPageBreak/>
        <w:t>Ibuprofen tolerability was not directly measured in any of the retrieved studies, hence cannot be accurately assessed.</w:t>
      </w:r>
    </w:p>
    <w:p w14:paraId="0F0D5A5C" w14:textId="77777777" w:rsidR="00A1229C" w:rsidRPr="00B67CA5" w:rsidRDefault="00A1229C" w:rsidP="00A1229C">
      <w:pPr>
        <w:spacing w:after="120" w:line="480" w:lineRule="auto"/>
        <w:rPr>
          <w:rFonts w:cstheme="minorHAnsi"/>
          <w:b/>
          <w:sz w:val="24"/>
          <w:szCs w:val="24"/>
        </w:rPr>
      </w:pPr>
      <w:r w:rsidRPr="00B67CA5">
        <w:rPr>
          <w:rFonts w:cstheme="minorHAnsi"/>
          <w:b/>
          <w:sz w:val="24"/>
          <w:szCs w:val="24"/>
        </w:rPr>
        <w:t>Safety of Ibuprofen</w:t>
      </w:r>
    </w:p>
    <w:p w14:paraId="0E503F89" w14:textId="77777777" w:rsidR="00A1229C" w:rsidRPr="00B67CA5" w:rsidRDefault="00A1229C" w:rsidP="00A1229C">
      <w:pPr>
        <w:spacing w:after="120" w:line="480" w:lineRule="auto"/>
        <w:jc w:val="both"/>
        <w:rPr>
          <w:rFonts w:cstheme="minorHAnsi"/>
          <w:sz w:val="24"/>
          <w:szCs w:val="24"/>
        </w:rPr>
      </w:pPr>
      <w:r w:rsidRPr="00B67CA5">
        <w:rPr>
          <w:rFonts w:cstheme="minorHAnsi"/>
          <w:sz w:val="24"/>
          <w:szCs w:val="24"/>
        </w:rPr>
        <w:t xml:space="preserve">Similarly, the safety profile of ibuprofen, including reported adverse drug reactions, were not explicitly reported in any of the retrieved studies. A cohort study stated that no adverse events had been identified in most of their participants, however the details of this were not provided </w:t>
      </w:r>
      <w:r w:rsidRPr="00295A88">
        <w:rPr>
          <w:rFonts w:cstheme="minorHAnsi"/>
          <w:sz w:val="24"/>
          <w:szCs w:val="24"/>
        </w:rPr>
        <w:fldChar w:fldCharType="begin" w:fldLock="1"/>
      </w:r>
      <w:r w:rsidRPr="00B67CA5">
        <w:rPr>
          <w:rFonts w:cstheme="minorHAnsi"/>
          <w:sz w:val="24"/>
          <w:szCs w:val="24"/>
        </w:rPr>
        <w:instrText>ADDIN CSL_CITATION {"citationItems":[{"id":"ITEM-1","itemData":{"DOI":"10.1177/0003489415583685","ISSN":"00034894","PMID":"25902839","abstract":"OBJECTIVES: To determine the outcomes of alternating doses of ibuprofen and acetaminophen in the treatment of post-tonsillectomy pain in children and to identify characteristics of children who had inadequate pain control. METHODS: The medical records of children who received alternating doses of ibuprofen and acetaminophen for post-tonsillectomy pain between August 2012 and November 2013 at a tertiary care children's hospital were reviewed. Incidences of postoperative bleeding and unresolved pain were determined. RESULTS: A total of 583 patients (304 males, 279 females, age range=1-18 years) had received alternating doses of ibuprofen and acetaminophen after tonsillectomy and adenoidectomy. Of the 583 patients, 56 (9.6%) reported inadequate pain control. Age, sex, obesity, presence of comorbid conditions, indications for surgery, and concurrent surgical procedures were not different between children who had adequate analgesia and children who had unresolved pain. Twenty-four patients (4.1%) had postoperative bleeding. Nine patients (1.5%) required surgical intervention for bleeding. CONCLUSIONS: Alternating doses of ibuprofen and acetaminophen provided an effective treatment for post-tonsillectomy pain in the majority of children and did not increase rate of bleeding. Means of improving response rate to alternating doses of ibuprofen and acetaminophen merit further investigation.","author":[{"dropping-particle":"","family":"Liu","given":"Christopher","non-dropping-particle":"","parse-names":false,"suffix":""},{"dropping-particle":"","family":"Ulualp","given":"Seckin O.","non-dropping-particle":"","parse-names":false,"suffix":""}],"container-title":"Annals of Otology, Rhinology and Laryngology","id":"ITEM-1","issue":"10","issued":{"date-parts":[["2015"]]},"page":"777-781","title":"Outcomes of an Alternating Ibuprofen and Acetaminophen Regimen for Pain Relief after Tonsillectomy in Children","type":"article","volume":"124"},"uris":["http://www.mendeley.com/documents/?uuid=3ad85d84-a1ea-3c6f-85a5-86b798f3deef"]}],"mendeley":{"formattedCitation":"(14)","plainTextFormattedCitation":"(14)","previouslyFormattedCitation":"(14)"},"properties":{"noteIndex":0},"schema":"https://github.com/citation-style-language/schema/raw/master/csl-citation.json"}</w:instrText>
      </w:r>
      <w:r w:rsidRPr="00295A88">
        <w:rPr>
          <w:rFonts w:cstheme="minorHAnsi"/>
          <w:sz w:val="24"/>
          <w:szCs w:val="24"/>
        </w:rPr>
        <w:fldChar w:fldCharType="separate"/>
      </w:r>
      <w:r w:rsidRPr="00295A88">
        <w:rPr>
          <w:rFonts w:cstheme="minorHAnsi"/>
          <w:noProof/>
          <w:sz w:val="24"/>
          <w:szCs w:val="24"/>
        </w:rPr>
        <w:t>(14)</w:t>
      </w:r>
      <w:r w:rsidRPr="00295A88">
        <w:rPr>
          <w:rFonts w:cstheme="minorHAnsi"/>
          <w:sz w:val="24"/>
          <w:szCs w:val="24"/>
        </w:rPr>
        <w:fldChar w:fldCharType="end"/>
      </w:r>
      <w:r w:rsidRPr="00295A88">
        <w:rPr>
          <w:rFonts w:cstheme="minorHAnsi"/>
          <w:sz w:val="24"/>
          <w:szCs w:val="24"/>
        </w:rPr>
        <w:t xml:space="preserve">. It did later discuss that individuals who had taken ibuprofen had a greater rate of bleeding (4.1%) post-tonsillectomy than those who had taken paracetamol (3.6%) </w:t>
      </w:r>
      <w:r w:rsidRPr="00295A88">
        <w:rPr>
          <w:rFonts w:cstheme="minorHAnsi"/>
          <w:sz w:val="24"/>
          <w:szCs w:val="24"/>
        </w:rPr>
        <w:fldChar w:fldCharType="begin" w:fldLock="1"/>
      </w:r>
      <w:r w:rsidRPr="00B67CA5">
        <w:rPr>
          <w:rFonts w:cstheme="minorHAnsi"/>
          <w:sz w:val="24"/>
          <w:szCs w:val="24"/>
        </w:rPr>
        <w:instrText>ADDIN CSL_CITATION {"citationItems":[{"id":"ITEM-1","itemData":{"DOI":"10.1177/0003489415583685","ISSN":"00034894","PMID":"25902839","abstract":"OBJECTIVES: To determine the outcomes of alternating doses of ibuprofen and acetaminophen in the treatment of post-tonsillectomy pain in children and to identify characteristics of children who had inadequate pain control. METHODS: The medical records of children who received alternating doses of ibuprofen and acetaminophen for post-tonsillectomy pain between August 2012 and November 2013 at a tertiary care children's hospital were reviewed. Incidences of postoperative bleeding and unresolved pain were determined. RESULTS: A total of 583 patients (304 males, 279 females, age range=1-18 years) had received alternating doses of ibuprofen and acetaminophen after tonsillectomy and adenoidectomy. Of the 583 patients, 56 (9.6%) reported inadequate pain control. Age, sex, obesity, presence of comorbid conditions, indications for surgery, and concurrent surgical procedures were not different between children who had adequate analgesia and children who had unresolved pain. Twenty-four patients (4.1%) had postoperative bleeding. Nine patients (1.5%) required surgical intervention for bleeding. CONCLUSIONS: Alternating doses of ibuprofen and acetaminophen provided an effective treatment for post-tonsillectomy pain in the majority of children and did not increase rate of bleeding. Means of improving response rate to alternating doses of ibuprofen and acetaminophen merit further investigation.","author":[{"dropping-particle":"","family":"Liu","given":"Christopher","non-dropping-particle":"","parse-names":false,"suffix":""},{"dropping-particle":"","family":"Ulualp","given":"Seckin O.","non-dropping-particle":"","parse-names":false,"suffix":""}],"container-title":"Annals of Otology, Rhinology and Laryngology","id":"ITEM-1","issue":"10","issued":{"date-parts":[["2015"]]},"page":"777-781","title":"Outcomes of an Alternating Ibuprofen and Acetaminophen Regimen for Pain Relief after Tonsillectomy in Children","type":"article","volume":"124"},"uris":["http://www.mendeley.com/documents/?uuid=3ad85d84-a1ea-3c6f-85a5-86b798f3deef"]}],"mendeley":{"formattedCitation":"(14)","plainTextFormattedCitation":"(14)","previouslyFormattedCitation":"(14)"},"properties":{"noteIndex":0},"schema":"https://github.com/citation-style-language/schema/raw/master/csl-citation.json"}</w:instrText>
      </w:r>
      <w:r w:rsidRPr="00295A88">
        <w:rPr>
          <w:rFonts w:cstheme="minorHAnsi"/>
          <w:sz w:val="24"/>
          <w:szCs w:val="24"/>
        </w:rPr>
        <w:fldChar w:fldCharType="separate"/>
      </w:r>
      <w:r w:rsidRPr="00295A88">
        <w:rPr>
          <w:rFonts w:cstheme="minorHAnsi"/>
          <w:noProof/>
          <w:sz w:val="24"/>
          <w:szCs w:val="24"/>
        </w:rPr>
        <w:t>(14)</w:t>
      </w:r>
      <w:r w:rsidRPr="00295A88">
        <w:rPr>
          <w:rFonts w:cstheme="minorHAnsi"/>
          <w:sz w:val="24"/>
          <w:szCs w:val="24"/>
        </w:rPr>
        <w:fldChar w:fldCharType="end"/>
      </w:r>
      <w:r w:rsidRPr="00295A88">
        <w:rPr>
          <w:rFonts w:cstheme="minorHAnsi"/>
          <w:sz w:val="24"/>
          <w:szCs w:val="24"/>
        </w:rPr>
        <w:t>, but this did not differentiate between obese and non-obese patients. An</w:t>
      </w:r>
      <w:r w:rsidRPr="00F95907">
        <w:rPr>
          <w:rFonts w:cstheme="minorHAnsi"/>
          <w:sz w:val="24"/>
          <w:szCs w:val="24"/>
        </w:rPr>
        <w:t>other cohort study was the only article to specifically refer to gastrointestinal bleeding as a common severe adverse drug reaction of ibuprofen but</w:t>
      </w:r>
      <w:r w:rsidRPr="00B67CA5">
        <w:rPr>
          <w:rFonts w:cstheme="minorHAnsi"/>
          <w:sz w:val="24"/>
          <w:szCs w:val="24"/>
        </w:rPr>
        <w:t xml:space="preserve"> did not specify the prevalence in their sample. Acute kidney injury was identified as a known risk of ibuprofen in the third cohort study, but the prevalence in their sample was not mentioned. The case study compiled safety information on ibuprofen, including adverse events and its tolerability profile, from other papers. Reports of other adverse drug reactions including; rash, angioedema, headache or agranulocytosis, were not included in any of the papers.</w:t>
      </w:r>
    </w:p>
    <w:p w14:paraId="37A22284" w14:textId="77777777" w:rsidR="00A1229C" w:rsidRPr="00B67CA5" w:rsidRDefault="00A1229C" w:rsidP="00A1229C">
      <w:pPr>
        <w:keepNext/>
        <w:keepLines/>
        <w:pBdr>
          <w:bottom w:val="single" w:sz="8" w:space="1" w:color="99CB38" w:themeColor="accent1"/>
        </w:pBdr>
        <w:spacing w:before="240" w:after="0" w:line="480" w:lineRule="auto"/>
        <w:outlineLvl w:val="0"/>
        <w:rPr>
          <w:rFonts w:eastAsiaTheme="majorEastAsia" w:cstheme="minorHAnsi"/>
          <w:color w:val="729928" w:themeColor="accent1" w:themeShade="BF"/>
          <w:sz w:val="32"/>
          <w:szCs w:val="32"/>
        </w:rPr>
      </w:pPr>
      <w:r w:rsidRPr="00B67CA5">
        <w:rPr>
          <w:rFonts w:eastAsiaTheme="majorEastAsia" w:cstheme="minorHAnsi"/>
          <w:color w:val="729928" w:themeColor="accent1" w:themeShade="BF"/>
          <w:sz w:val="32"/>
          <w:szCs w:val="32"/>
        </w:rPr>
        <w:t>DISCUSSION</w:t>
      </w:r>
    </w:p>
    <w:p w14:paraId="6213012F" w14:textId="77777777" w:rsidR="00A1229C" w:rsidRPr="00295A88" w:rsidRDefault="00A1229C" w:rsidP="00A1229C">
      <w:pPr>
        <w:spacing w:line="480" w:lineRule="auto"/>
        <w:contextualSpacing/>
        <w:rPr>
          <w:rFonts w:cstheme="minorHAnsi"/>
          <w:sz w:val="24"/>
          <w:szCs w:val="24"/>
        </w:rPr>
      </w:pPr>
    </w:p>
    <w:p w14:paraId="0E21631C" w14:textId="77777777" w:rsidR="00A1229C" w:rsidRDefault="00A1229C" w:rsidP="00A1229C">
      <w:pPr>
        <w:spacing w:after="0" w:line="480" w:lineRule="auto"/>
        <w:contextualSpacing/>
        <w:jc w:val="both"/>
        <w:rPr>
          <w:rFonts w:cstheme="minorHAnsi"/>
          <w:sz w:val="24"/>
          <w:szCs w:val="24"/>
        </w:rPr>
      </w:pPr>
      <w:r w:rsidRPr="00295A88">
        <w:rPr>
          <w:rFonts w:cstheme="minorHAnsi"/>
          <w:sz w:val="24"/>
          <w:szCs w:val="24"/>
        </w:rPr>
        <w:t>To our knowledge, this is the first systematic review</w:t>
      </w:r>
      <w:r w:rsidRPr="00F95907">
        <w:rPr>
          <w:rFonts w:cstheme="minorHAnsi"/>
          <w:sz w:val="24"/>
          <w:szCs w:val="24"/>
        </w:rPr>
        <w:t xml:space="preserve"> to examine the dosing strategies used for ibuprofen in obese children and young people</w:t>
      </w:r>
      <w:r w:rsidRPr="00B67CA5">
        <w:rPr>
          <w:rFonts w:cstheme="minorHAnsi"/>
          <w:sz w:val="24"/>
          <w:szCs w:val="24"/>
        </w:rPr>
        <w:t>. There is very limited published data regarding either dosing strategies used, or the efficacy and safety profile of ibuprofen doses used in obese children and young people</w:t>
      </w:r>
      <w:r w:rsidRPr="00295A88">
        <w:rPr>
          <w:rFonts w:cstheme="minorHAnsi"/>
          <w:sz w:val="24"/>
          <w:szCs w:val="24"/>
        </w:rPr>
        <w:t>.</w:t>
      </w:r>
    </w:p>
    <w:p w14:paraId="31E3E664" w14:textId="77777777" w:rsidR="00A1229C" w:rsidRPr="00B67CA5" w:rsidRDefault="00A1229C" w:rsidP="00A1229C">
      <w:pPr>
        <w:spacing w:after="0" w:line="480" w:lineRule="auto"/>
        <w:contextualSpacing/>
        <w:jc w:val="both"/>
        <w:rPr>
          <w:rFonts w:cstheme="minorHAnsi"/>
          <w:sz w:val="24"/>
          <w:szCs w:val="24"/>
        </w:rPr>
      </w:pPr>
      <w:r>
        <w:rPr>
          <w:rFonts w:cstheme="minorHAnsi"/>
          <w:sz w:val="24"/>
          <w:szCs w:val="24"/>
        </w:rPr>
        <w:lastRenderedPageBreak/>
        <w:tab/>
      </w:r>
      <w:r w:rsidRPr="00295A88">
        <w:rPr>
          <w:rFonts w:cstheme="minorHAnsi"/>
          <w:sz w:val="24"/>
          <w:szCs w:val="24"/>
        </w:rPr>
        <w:t xml:space="preserve">Each study differed in their method of dosing ibuprofen </w:t>
      </w:r>
      <w:r>
        <w:rPr>
          <w:rFonts w:cstheme="minorHAnsi"/>
          <w:sz w:val="24"/>
          <w:szCs w:val="24"/>
        </w:rPr>
        <w:t xml:space="preserve">from </w:t>
      </w:r>
      <w:r w:rsidRPr="00295A88">
        <w:rPr>
          <w:rFonts w:cstheme="minorHAnsi"/>
          <w:sz w:val="24"/>
          <w:szCs w:val="24"/>
        </w:rPr>
        <w:t>weight-based</w:t>
      </w:r>
      <w:r>
        <w:rPr>
          <w:rFonts w:cstheme="minorHAnsi"/>
          <w:sz w:val="24"/>
          <w:szCs w:val="24"/>
        </w:rPr>
        <w:t xml:space="preserve"> </w:t>
      </w:r>
      <w:r>
        <w:rPr>
          <w:rFonts w:cstheme="minorHAnsi"/>
          <w:sz w:val="24"/>
          <w:szCs w:val="24"/>
        </w:rPr>
        <w:fldChar w:fldCharType="begin" w:fldLock="1"/>
      </w:r>
      <w:r>
        <w:rPr>
          <w:rFonts w:cstheme="minorHAnsi"/>
          <w:sz w:val="24"/>
          <w:szCs w:val="24"/>
        </w:rPr>
        <w:instrText>ADDIN CSL_CITATION {"citationItems":[{"id":"ITEM-1","itemData":{"DOI":"10.1177/0003489415583685","ISSN":"00034894","PMID":"25902839","abstract":"OBJECTIVES: To determine the outcomes of alternating doses of ibuprofen and acetaminophen in the treatment of post-tonsillectomy pain in children and to identify characteristics of children who had inadequate pain control. METHODS: The medical records of children who received alternating doses of ibuprofen and acetaminophen for post-tonsillectomy pain between August 2012 and November 2013 at a tertiary care children's hospital were reviewed. Incidences of postoperative bleeding and unresolved pain were determined. RESULTS: A total of 583 patients (304 males, 279 females, age range=1-18 years) had received alternating doses of ibuprofen and acetaminophen after tonsillectomy and adenoidectomy. Of the 583 patients, 56 (9.6%) reported inadequate pain control. Age, sex, obesity, presence of comorbid conditions, indications for surgery, and concurrent surgical procedures were not different between children who had adequate analgesia and children who had unresolved pain. Twenty-four patients (4.1%) had postoperative bleeding. Nine patients (1.5%) required surgical intervention for bleeding. CONCLUSIONS: Alternating doses of ibuprofen and acetaminophen provided an effective treatment for post-tonsillectomy pain in the majority of children and did not increase rate of bleeding. Means of improving response rate to alternating doses of ibuprofen and acetaminophen merit further investigation.","author":[{"dropping-particle":"","family":"Liu","given":"Christopher","non-dropping-particle":"","parse-names":false,"suffix":""},{"dropping-particle":"","family":"Ulualp","given":"Seckin O.","non-dropping-particle":"","parse-names":false,"suffix":""}],"container-title":"Annals of Otology, Rhinology and Laryngology","id":"ITEM-1","issue":"10","issued":{"date-parts":[["2015"]]},"page":"777-781","title":"Outcomes of an Alternating Ibuprofen and Acetaminophen Regimen for Pain Relief after Tonsillectomy in Children","type":"article","volume":"124"},"uris":["http://www.mendeley.com/documents/?uuid=3ad85d84-a1ea-3c6f-85a5-86b798f3deef"]},{"id":"ITEM-2","itemData":{"DOI":"10.1097/PCC.0000000000002072","ISBN":"0000000000","ISSN":"19473893","PMID":"31398182","abstract":"Objectives: To determine the antipyretic efficacy of acetaminophen (IV, enteral, rectal) and ibuprofen (enteral) in critically ill febrile pediatric patients. Design: Retrospective cohort study. Setting: Quaternary care pediatric hospital ICUs. Patients: Pediatric patients less than 19 years old who were febrile (≥ 38.0°C), received a dose of IV acetaminophen, enteral acetaminophen, rectal acetaminophen, or enteral ibuprofen and had at least one temperature measurement in the following 6 hours. Interventions: None. Measurements and Main Results: A total of 3,341 patients (55.8% male, median age 2.5 yr [interquartile range, 0.63-9.2 yr]) met study criteria. Baseline temperature was median 38.6°C (interquartile range, 38.3-38.9°C) measured via axillary (76.9%) route. Patients became afebrile (87.5%) at median 1.4 hours (interquartile range, 0.77-2.3 hr) after the first dose of medication, a-2.9 ± 1.6% change in temperature. Antipyretic medications included as follows: enteral acetaminophen (n = 1,664), IV acetaminophen (n = 682), rectal acetaminophen (n = 637), and enteral ibuprofen (n = 358). Enteral ibuprofen had a significantly greater odds of defervescence on multivariable logistic regression analysis (p = 0.04) with a decrease of-1.97 ± 0.89°C while IV acetaminophen was significant for a decreased time to defervescence at median 1.5 hours (interquartile range 0.8-2.3 hr) after a dose (p = 0.03). Patient age, presence of obesity, and baseline temperature were significant for decreased antipyretic efficacy (p &lt; 0.05). Conclusions: Enteral ibuprofen was the most efficacious antipyretic and IV acetaminophen had the shortest time to defervescence.","author":[{"dropping-particle":"","family":"Moffett","given":"Brady S.","non-dropping-particle":"","parse-names":false,"suffix":""},{"dropping-particle":"","family":"Gutierrez","given":"Kristina","non-dropping-particle":"","parse-names":false,"suffix":""},{"dropping-particle":"","family":"Davis","given":"Kasey","non-dropping-particle":"","parse-names":false,"suffix":""},{"dropping-particle":"","family":"Sigdel","given":"Binayak","non-dropping-particle":"","parse-names":false,"suffix":""},{"dropping-particle":"","family":"Strobel","given":"Nathaniel","non-dropping-particle":"","parse-names":false,"suffix":""}],"container-title":"Pediatric Critical Care Medicine","id":"ITEM-2","issue":"8","issued":{"date-parts":[["2019"]]},"page":"E386-E393","title":"Antipyretic Efficacy of Acetaminophen and Ibuprofen in Critically Ill Pediatric Patients","type":"article-journal","volume":"20"},"uris":["http://www.mendeley.com/documents/?uuid=aa054fa6-d037-4207-bbdb-b8ea4d4a3a0e"]}],"mendeley":{"formattedCitation":"(14,16)","plainTextFormattedCitation":"(14,16)","previouslyFormattedCitation":"(14,16)"},"properties":{"noteIndex":0},"schema":"https://github.com/citation-style-language/schema/raw/master/csl-citation.json"}</w:instrText>
      </w:r>
      <w:r>
        <w:rPr>
          <w:rFonts w:cstheme="minorHAnsi"/>
          <w:sz w:val="24"/>
          <w:szCs w:val="24"/>
        </w:rPr>
        <w:fldChar w:fldCharType="separate"/>
      </w:r>
      <w:r w:rsidRPr="00EE6F0D">
        <w:rPr>
          <w:rFonts w:cstheme="minorHAnsi"/>
          <w:noProof/>
          <w:sz w:val="24"/>
          <w:szCs w:val="24"/>
        </w:rPr>
        <w:t>(14,16)</w:t>
      </w:r>
      <w:r>
        <w:rPr>
          <w:rFonts w:cstheme="minorHAnsi"/>
          <w:sz w:val="24"/>
          <w:szCs w:val="24"/>
        </w:rPr>
        <w:fldChar w:fldCharType="end"/>
      </w:r>
      <w:r w:rsidRPr="00295A88">
        <w:rPr>
          <w:rFonts w:cstheme="minorHAnsi"/>
          <w:sz w:val="24"/>
          <w:szCs w:val="24"/>
        </w:rPr>
        <w:t>, age-based</w:t>
      </w:r>
      <w:r>
        <w:rPr>
          <w:rFonts w:cstheme="minorHAnsi"/>
          <w:sz w:val="24"/>
          <w:szCs w:val="24"/>
        </w:rPr>
        <w:t xml:space="preserve"> </w:t>
      </w:r>
      <w:r>
        <w:rPr>
          <w:rFonts w:cstheme="minorHAnsi"/>
          <w:sz w:val="24"/>
          <w:szCs w:val="24"/>
        </w:rPr>
        <w:fldChar w:fldCharType="begin" w:fldLock="1"/>
      </w:r>
      <w:r>
        <w:rPr>
          <w:rFonts w:cstheme="minorHAnsi"/>
          <w:sz w:val="24"/>
          <w:szCs w:val="24"/>
        </w:rPr>
        <w:instrText>ADDIN CSL_CITATION {"citationItems":[{"id":"ITEM-1","itemData":{"DOI":"10.1002/prp2.398","ISSN":"20521707","abstract":"Abstract: Obesity can affect the pharmacokinetics of most drugs, which may result in under‐ or overdosing if traditional pediatric dosing strategies are used. To investigate currently applied dosage strategies in children with overweight or obesity (overweight/obesity), in a clinical treatment facility. In particular, whether dosing guidelines were available and metrics of body size applied. A retrospective cohort study of 200 patients admitted to the Danish Children′s Obesity Clinic. Data were collected from 2007 to 2015. Overweight/obese children 3‐18 years were included if they had at least one drug prescription. Overall there were 658 prescriptions, primarily analgesics, psychotropics, asthma medications, and antibiotics. Except for one prescription, guidelines for dosage of overweight/obese children were not available in the clinic. In one prescription of gentamicin, the dose was adjusted by a metric body size. Otherwise dose was predominately prescribed either by total body weight or as fixed dose by age, in accordance with the recommendations of normal weight children. In drugs with a narrow therapeutic interval, we found large interindividual variations in dosing regimens, that is, for gentamicin, paracetamol, and prednisolone. Reduction of dose to the maximum recommended adult dose was common practice, when the dose calculated by total body weight (ie, mg/kg) exceeded this maximum. This study highlights the shortage of dosing guidelines in overweight/obese children. We found a large interindividual variability in dosage regimens, even in drugs with narrow therapeutic intervals. The clinicians rely on “best practice”, as evidence‐based dosage regimens are missing for many drugs prescribed during childhood. [ABSTRACT FROM AUTHOR]","author":[{"dropping-particle":"","family":"Gade","given":"Christina","non-dropping-particle":"","parse-names":false,"suffix":""},{"dropping-particle":"","family":"Christensen","given":"Hanne R.","non-dropping-particle":"","parse-names":false,"suffix":""},{"dropping-particle":"","family":"Dalhoff","given":"Kim P.","non-dropping-particle":"","parse-names":false,"suffix":""},{"dropping-particle":"","family":"Holm","given":"Jens Christian","non-dropping-particle":"","parse-names":false,"suffix":""},{"dropping-particle":"","family":"Holst","given":"Helle","non-dropping-particle":"","parse-names":false,"suffix":""}],"container-title":"Pharmacology Research and Perspectives","id":"ITEM-1","issue":"3","issued":{"date-parts":[["2018","6","1"]]},"page":"e00398","publisher":"John Wiley &amp; Sons, Ltd","title":"Inconsistencies in dosage practice in children with overweight or obesity: A retrospective cohort study","type":"article","volume":"6"},"uris":["http://www.mendeley.com/documents/?uuid=0a688d1e-e9b9-347c-9c6d-38cc908aef31"]}],"mendeley":{"formattedCitation":"(15)","plainTextFormattedCitation":"(15)","previouslyFormattedCitation":"(15)"},"properties":{"noteIndex":0},"schema":"https://github.com/citation-style-language/schema/raw/master/csl-citation.json"}</w:instrText>
      </w:r>
      <w:r>
        <w:rPr>
          <w:rFonts w:cstheme="minorHAnsi"/>
          <w:sz w:val="24"/>
          <w:szCs w:val="24"/>
        </w:rPr>
        <w:fldChar w:fldCharType="separate"/>
      </w:r>
      <w:r w:rsidRPr="00477711">
        <w:rPr>
          <w:rFonts w:cstheme="minorHAnsi"/>
          <w:noProof/>
          <w:sz w:val="24"/>
          <w:szCs w:val="24"/>
        </w:rPr>
        <w:t>(15)</w:t>
      </w:r>
      <w:r>
        <w:rPr>
          <w:rFonts w:cstheme="minorHAnsi"/>
          <w:sz w:val="24"/>
          <w:szCs w:val="24"/>
        </w:rPr>
        <w:fldChar w:fldCharType="end"/>
      </w:r>
      <w:r w:rsidRPr="00295A88">
        <w:rPr>
          <w:rFonts w:cstheme="minorHAnsi"/>
          <w:sz w:val="24"/>
          <w:szCs w:val="24"/>
        </w:rPr>
        <w:t xml:space="preserve"> </w:t>
      </w:r>
      <w:r>
        <w:rPr>
          <w:rFonts w:cstheme="minorHAnsi"/>
          <w:sz w:val="24"/>
          <w:szCs w:val="24"/>
        </w:rPr>
        <w:t>to</w:t>
      </w:r>
      <w:r w:rsidRPr="00295A88">
        <w:rPr>
          <w:rFonts w:cstheme="minorHAnsi"/>
          <w:sz w:val="24"/>
          <w:szCs w:val="24"/>
        </w:rPr>
        <w:t xml:space="preserve"> adjusted-body-weight dosing</w:t>
      </w:r>
      <w:r>
        <w:rPr>
          <w:rFonts w:cstheme="minorHAnsi"/>
          <w:sz w:val="24"/>
          <w:szCs w:val="24"/>
        </w:rPr>
        <w:t xml:space="preserve"> </w:t>
      </w:r>
      <w:r>
        <w:rPr>
          <w:rFonts w:cstheme="minorHAnsi"/>
          <w:sz w:val="24"/>
          <w:szCs w:val="24"/>
        </w:rPr>
        <w:fldChar w:fldCharType="begin" w:fldLock="1"/>
      </w:r>
      <w:r>
        <w:rPr>
          <w:rFonts w:cstheme="minorHAnsi"/>
          <w:sz w:val="24"/>
          <w:szCs w:val="24"/>
        </w:rPr>
        <w:instrText>ADDIN CSL_CITATION {"citationItems":[{"id":"ITEM-1","itemData":{"DOI":"10.2146/ajhp140280","ISBN":"1079-2082","ISSN":"15352900","PMID":"25788508","abstract":"Purpose. The development and use of a decision support tool to help formulate recommendations for dosing of commonly prescribed medications in critically ill obese children are described. Methods. Medications prescribed in 2010 to critically ill infants and children (younger than 18 years) were identified from the Pediatric Health Information System. The most commonly prescribed and therapeutically monitored medications were extracted. Supportive evidence for obesity dosing was identified through a standardized computerized search involving medical subject heading terminology and age filters using PubMed and Ovid. A usefulness scoring system was developed to rate the strength and applicability of the literature to critically ill obese children. A decision supporttool was then created to aid in the formulation of a dosing weight for each medication based on the usefulness score, published pharmacokinetic properties, clinical studies available in the primary literature, and consideration of clinical consequences of underdosing or overdosing. Results. A total of 113 medications were evaluated, and 122 discrete citations, supporting 66 medications, were reviewed. Seventy-two percent of citations had general obesity dosing information, and 13% had pediatric-specific information. The overall mean usefulness score was 5.1 +/- 4.7 (median, 7). The decision support tool was incorporated to make final dosing weight recommendations for obese children. Ultimately, total body weight was recommended for 52 medications, adjusted weight for 43 medications, and ideal body weight for 18 medications. Conclusion. The inadequacy of obesity dosing information for most medications commonly ordered for children admitted to a pediatric intensive care unit led to the development of a decision support tool to aid in formulating dosing recommendations.","author":[{"dropping-particle":"","family":"Ross","given":"Emma L.","non-dropping-particle":"","parse-names":false,"suffix":""},{"dropping-particle":"","family":"Heizer","given":"Justin","non-dropping-particle":"","parse-names":false,"suffix":""},{"dropping-particle":"","family":"Mixon","given":"Mark A.","non-dropping-particle":"","parse-names":false,"suffix":""},{"dropping-particle":"","family":"Jorgensen","given":"Jennifer","non-dropping-particle":"","parse-names":false,"suffix":""},{"dropping-particle":"","family":"Valdez","given":"Connie A.","non-dropping-particle":"","parse-names":false,"suffix":""},{"dropping-particle":"","family":"Czaja","given":"Angela S.","non-dropping-particle":"","parse-names":false,"suffix":""},{"dropping-particle":"","family":"Reiter","given":"Pamela D.","non-dropping-particle":"","parse-names":false,"suffix":""}],"container-title":"American Journal of Health-System Pharmacy","id":"ITEM-1","issue":"7","issued":{"date-parts":[["2015"]]},"page":"542-556","title":"Development of recommendations for dosing of commonly prescribed medications in critically ill obese children","type":"article","volume":"72"},"uris":["http://www.mendeley.com/documents/?uuid=09e33da6-0013-4bd3-9a3c-636323ab7765"]}],"mendeley":{"formattedCitation":"(17)","plainTextFormattedCitation":"(17)","previouslyFormattedCitation":"(17)"},"properties":{"noteIndex":0},"schema":"https://github.com/citation-style-language/schema/raw/master/csl-citation.json"}</w:instrText>
      </w:r>
      <w:r>
        <w:rPr>
          <w:rFonts w:cstheme="minorHAnsi"/>
          <w:sz w:val="24"/>
          <w:szCs w:val="24"/>
        </w:rPr>
        <w:fldChar w:fldCharType="separate"/>
      </w:r>
      <w:r w:rsidRPr="00FB3334">
        <w:rPr>
          <w:rFonts w:cstheme="minorHAnsi"/>
          <w:noProof/>
          <w:sz w:val="24"/>
          <w:szCs w:val="24"/>
        </w:rPr>
        <w:t>(17)</w:t>
      </w:r>
      <w:r>
        <w:rPr>
          <w:rFonts w:cstheme="minorHAnsi"/>
          <w:sz w:val="24"/>
          <w:szCs w:val="24"/>
        </w:rPr>
        <w:fldChar w:fldCharType="end"/>
      </w:r>
      <w:r w:rsidRPr="00295A88">
        <w:rPr>
          <w:rFonts w:cstheme="minorHAnsi"/>
          <w:sz w:val="24"/>
          <w:szCs w:val="24"/>
        </w:rPr>
        <w:t>.</w:t>
      </w:r>
      <w:r>
        <w:rPr>
          <w:rFonts w:cstheme="minorHAnsi"/>
          <w:sz w:val="24"/>
          <w:szCs w:val="24"/>
        </w:rPr>
        <w:t xml:space="preserve"> Various specific doses were used in each study: 5 mg/kg every 6 hours, fixed dose of 400 mg three times daily, 120 mg/dose and a dose calculated using adjusted body weight. Consequently, this could mean that the same child in each study could be given a different dose, potentially exposing them to therapeutic failure or higher doses unnecessarily and hence the increasing the risk of adverse drug reactions (ADRs).</w:t>
      </w:r>
    </w:p>
    <w:p w14:paraId="0F0A4D2B" w14:textId="77777777" w:rsidR="00A1229C" w:rsidRPr="00295A88" w:rsidRDefault="00A1229C" w:rsidP="00A1229C">
      <w:pPr>
        <w:spacing w:after="0" w:line="480" w:lineRule="auto"/>
        <w:ind w:firstLine="720"/>
        <w:contextualSpacing/>
        <w:jc w:val="both"/>
        <w:rPr>
          <w:rFonts w:cstheme="minorHAnsi"/>
          <w:sz w:val="24"/>
          <w:szCs w:val="24"/>
        </w:rPr>
      </w:pPr>
      <w:r w:rsidRPr="00B67CA5">
        <w:rPr>
          <w:rFonts w:cstheme="minorHAnsi"/>
          <w:sz w:val="24"/>
          <w:szCs w:val="24"/>
        </w:rPr>
        <w:t xml:space="preserve">It was </w:t>
      </w:r>
      <w:r>
        <w:rPr>
          <w:rFonts w:cstheme="minorHAnsi"/>
          <w:sz w:val="24"/>
          <w:szCs w:val="24"/>
        </w:rPr>
        <w:t xml:space="preserve">however </w:t>
      </w:r>
      <w:r w:rsidRPr="00B67CA5">
        <w:rPr>
          <w:rFonts w:cstheme="minorHAnsi"/>
          <w:sz w:val="24"/>
          <w:szCs w:val="24"/>
        </w:rPr>
        <w:t>reassuring to note that the efficacy of ibuprofen was not noted to differ between obese and non-obese children and young people in the single study that examined this</w:t>
      </w:r>
      <w:r>
        <w:rPr>
          <w:rFonts w:cstheme="minorHAnsi"/>
          <w:sz w:val="24"/>
          <w:szCs w:val="24"/>
        </w:rPr>
        <w:t xml:space="preserve">. </w:t>
      </w:r>
      <w:r w:rsidRPr="00B67CA5">
        <w:rPr>
          <w:rFonts w:cstheme="minorHAnsi"/>
          <w:sz w:val="24"/>
          <w:szCs w:val="24"/>
        </w:rPr>
        <w:t xml:space="preserve"> </w:t>
      </w:r>
      <w:r>
        <w:rPr>
          <w:rFonts w:cstheme="minorHAnsi"/>
          <w:sz w:val="24"/>
          <w:szCs w:val="24"/>
        </w:rPr>
        <w:t>It was also</w:t>
      </w:r>
      <w:r w:rsidRPr="00B67CA5">
        <w:rPr>
          <w:rFonts w:cstheme="minorHAnsi"/>
          <w:sz w:val="24"/>
          <w:szCs w:val="24"/>
        </w:rPr>
        <w:t xml:space="preserve"> noteworthy that while ADRs were not extensively collected, an increased rate of bleeding post-tonsillectomy was </w:t>
      </w:r>
      <w:r>
        <w:rPr>
          <w:rFonts w:cstheme="minorHAnsi"/>
          <w:sz w:val="24"/>
          <w:szCs w:val="24"/>
        </w:rPr>
        <w:t>described</w:t>
      </w:r>
      <w:r w:rsidRPr="00B67CA5">
        <w:rPr>
          <w:rFonts w:cstheme="minorHAnsi"/>
          <w:sz w:val="24"/>
          <w:szCs w:val="24"/>
        </w:rPr>
        <w:t xml:space="preserve"> in one study</w:t>
      </w:r>
      <w:r>
        <w:rPr>
          <w:rFonts w:cstheme="minorHAnsi"/>
          <w:sz w:val="24"/>
          <w:szCs w:val="24"/>
        </w:rPr>
        <w:t xml:space="preserve"> </w:t>
      </w:r>
      <w:r>
        <w:rPr>
          <w:rFonts w:cstheme="minorHAnsi"/>
          <w:sz w:val="24"/>
          <w:szCs w:val="24"/>
        </w:rPr>
        <w:fldChar w:fldCharType="begin" w:fldLock="1"/>
      </w:r>
      <w:r>
        <w:rPr>
          <w:rFonts w:cstheme="minorHAnsi"/>
          <w:sz w:val="24"/>
          <w:szCs w:val="24"/>
        </w:rPr>
        <w:instrText>ADDIN CSL_CITATION {"citationItems":[{"id":"ITEM-1","itemData":{"DOI":"10.1177/0003489415583685","ISSN":"00034894","PMID":"25902839","abstract":"OBJECTIVES: To determine the outcomes of alternating doses of ibuprofen and acetaminophen in the treatment of post-tonsillectomy pain in children and to identify characteristics of children who had inadequate pain control. METHODS: The medical records of children who received alternating doses of ibuprofen and acetaminophen for post-tonsillectomy pain between August 2012 and November 2013 at a tertiary care children's hospital were reviewed. Incidences of postoperative bleeding and unresolved pain were determined. RESULTS: A total of 583 patients (304 males, 279 females, age range=1-18 years) had received alternating doses of ibuprofen and acetaminophen after tonsillectomy and adenoidectomy. Of the 583 patients, 56 (9.6%) reported inadequate pain control. Age, sex, obesity, presence of comorbid conditions, indications for surgery, and concurrent surgical procedures were not different between children who had adequate analgesia and children who had unresolved pain. Twenty-four patients (4.1%) had postoperative bleeding. Nine patients (1.5%) required surgical intervention for bleeding. CONCLUSIONS: Alternating doses of ibuprofen and acetaminophen provided an effective treatment for post-tonsillectomy pain in the majority of children and did not increase rate of bleeding. Means of improving response rate to alternating doses of ibuprofen and acetaminophen merit further investigation.","author":[{"dropping-particle":"","family":"Liu","given":"Christopher","non-dropping-particle":"","parse-names":false,"suffix":""},{"dropping-particle":"","family":"Ulualp","given":"Seckin O.","non-dropping-particle":"","parse-names":false,"suffix":""}],"container-title":"Annals of Otology, Rhinology and Laryngology","id":"ITEM-1","issue":"10","issued":{"date-parts":[["2015"]]},"page":"777-781","title":"Outcomes of an Alternating Ibuprofen and Acetaminophen Regimen for Pain Relief after Tonsillectomy in Children","type":"article","volume":"124"},"uris":["http://www.mendeley.com/documents/?uuid=3ad85d84-a1ea-3c6f-85a5-86b798f3deef"]}],"mendeley":{"formattedCitation":"(14)","plainTextFormattedCitation":"(14)","previouslyFormattedCitation":"(14)"},"properties":{"noteIndex":0},"schema":"https://github.com/citation-style-language/schema/raw/master/csl-citation.json"}</w:instrText>
      </w:r>
      <w:r>
        <w:rPr>
          <w:rFonts w:cstheme="minorHAnsi"/>
          <w:sz w:val="24"/>
          <w:szCs w:val="24"/>
        </w:rPr>
        <w:fldChar w:fldCharType="separate"/>
      </w:r>
      <w:r w:rsidRPr="001F3F21">
        <w:rPr>
          <w:rFonts w:cstheme="minorHAnsi"/>
          <w:noProof/>
          <w:sz w:val="24"/>
          <w:szCs w:val="24"/>
        </w:rPr>
        <w:t>(14)</w:t>
      </w:r>
      <w:r>
        <w:rPr>
          <w:rFonts w:cstheme="minorHAnsi"/>
          <w:sz w:val="24"/>
          <w:szCs w:val="24"/>
        </w:rPr>
        <w:fldChar w:fldCharType="end"/>
      </w:r>
      <w:r w:rsidRPr="00295A88">
        <w:rPr>
          <w:rFonts w:cstheme="minorHAnsi"/>
          <w:sz w:val="24"/>
          <w:szCs w:val="24"/>
        </w:rPr>
        <w:t>.</w:t>
      </w:r>
    </w:p>
    <w:p w14:paraId="193F1F00" w14:textId="77777777" w:rsidR="00A1229C" w:rsidRPr="00295A88" w:rsidRDefault="00A1229C" w:rsidP="00A1229C">
      <w:pPr>
        <w:spacing w:after="0" w:line="480" w:lineRule="auto"/>
        <w:ind w:firstLine="720"/>
        <w:contextualSpacing/>
        <w:jc w:val="both"/>
        <w:rPr>
          <w:rFonts w:cstheme="minorHAnsi"/>
          <w:sz w:val="24"/>
        </w:rPr>
      </w:pPr>
      <w:r>
        <w:rPr>
          <w:rFonts w:cstheme="minorHAnsi"/>
          <w:sz w:val="24"/>
        </w:rPr>
        <w:t xml:space="preserve">Ibuprofen is well known to have a diverse therapeutic index in children including fever, post-operative pain and inflammatory disorders </w:t>
      </w:r>
      <w:r>
        <w:rPr>
          <w:rFonts w:cstheme="minorHAnsi"/>
          <w:sz w:val="24"/>
        </w:rPr>
        <w:fldChar w:fldCharType="begin" w:fldLock="1"/>
      </w:r>
      <w:r>
        <w:rPr>
          <w:rFonts w:cstheme="minorHAnsi"/>
          <w:sz w:val="24"/>
        </w:rPr>
        <w:instrText>ADDIN CSL_CITATION {"citationItems":[{"id":"ITEM-1","itemData":{"DOI":"10.1001/jamanetworkopen.2021.0775","ISSN":"25743805","PMID":"33662136","abstract":"Importance: Ibuprofen is widely used in children worldwide, especially in those with cancer, fever, or trauma. However, large and high-quality studies of the association between ibuprofen and acute kidney injury (AKI) in children have been lacking. Objective: To examine the association between the use of ibuprofen and the risk of hospital-acquired AKI in hospitalized children in China. Design, Setting, and Participants: This cohort study analyzed the cohort of the Epidemiology of AKI in Chinese Hospitalized Patients (EACH) study, a large, multicenter retrospective study of 3044023 patients who were admitted to 1 of 25 academic medical centers in China between January 1, 2013, andDecember 31, 2015. Patient-level data were obtained from the electronic health record system of theparticipating centers. Hospitalized children aged 1 month to 18 years who had prescriptions and a certain number of serum creatinine (SCr) tests were included. Children with end-stage renal disease,community-acquired AKI, low baseline SCr level (&lt;10 µmol/L), high standardized baseline SCr level (&gt;4 times the sex- and age-specific reference value), or missing diagnosis code were excluded. Data analysis was conducted from January 1, 2020, to August 30, 2020. Exposures: Exposure toibuprofen was coded as a time-dependent dichotomous variable. Main Outcomes and Measures: Baseline SCrlevel was calculated for each patient as the mean of all available SCr values between the 30 days prior to admission and the first SCr testing within the first 3 days of hospitalization. Acute kidney injury was defined as an increase in SCr level of 26.5 µmol/L or higher within 48 hours orby 50% or more over the baseline value, according to the Kidney Disease: Improving Global Outcomes guidelines. Results: Among the 50420 children (mean [SD] age, 5.0 [5.2] years; 30640 boys [60.8%]) included in this study, 5526 (11.0%) used ibuprofen and 3476 (6.9%) developed hospital-acquired AKIduring hospitalization. Ibuprofen use was associated with a statistically significantly increased risk of hospital-acquired AKI (hazard ratio [HR], 1.23; 95% CI, 1.14-1.34) after adjusting for confounders. Ibuprofen use was associated with a greater hazard in children who had chronic kidney disease vs those without (HR, 2.31 [95% CI, 1.73-3.10] vs 1.19 [95% CI, 1.09-1.29]), required intensive carevs those without this need (HR, 1.47 [95% CI, 1.24-1.75] vs 1.18 [95% CI, 1.07-1.29]), or were older vs younger (&gt;10 years and &gt;1 year to …","author":[{"dropping-particle":"","family":"Su","given":"Licong","non-dropping-particle":"","parse-names":false,"suffix":""},{"dropping-particle":"","family":"Li","given":"Yanqin","non-dropping-particle":"","parse-names":false,"suffix":""},{"dropping-particle":"","family":"Xu","given":"Ruqi","non-dropping-particle":"","parse-names":false,"suffix":""},{"dropping-particle":"","family":"Luo","given":"Fan","non-dropping-particle":"","parse-names":false,"suffix":""},{"dropping-particle":"","family":"Gao","given":"Qi","non-dropping-particle":"","parse-names":false,"suffix":""},{"dropping-particle":"","family":"Chen","given":"Ruixuan","non-dropping-particle":"","parse-names":false,"suffix":""},{"dropping-particle":"","family":"Cao","given":"Yue","non-dropping-particle":"","parse-names":false,"suffix":""},{"dropping-particle":"","family":"Nie","given":"Sheng","non-dropping-particle":"","parse-names":false,"suffix":""},{"dropping-particle":"","family":"Xu","given":"Xin","non-dropping-particle":"","parse-names":false,"suffix":""}],"container-title":"JAMA Network Open","id":"ITEM-1","issue":"3","issued":{"date-parts":[["2021"]]},"page":"1-13","title":"Association of Ibuprofen Prescription with Acute Kidney Injury among Hospitalized Children in China","type":"article-journal","volume":"4"},"uris":["http://www.mendeley.com/documents/?uuid=3b40a4d0-b69a-469e-9823-c0072a9211e1"]},{"id":"ITEM-2","itemData":{"DOI":"10.1007/s00467-015-3105-7","ISSN":"1432198X","PMID":"25895445","abstract":"Background: Non-steroidal anti-inflammatory drugs (NSAIDs) induce acute kidney injury (AKI) in volume-depleted patients; however the prevalence of this complication is likely underestimated. We assessed the impact of ibuprofen exposure on renal function among dehydrated children with acute gastroenteritis (AGE) to further characterize NSAID-associated AKI. Methods: Over a 1-year period dehydrated children with AGE (n = 105) were prospectively enrolled and grouped as cases, presenting with AKI (n = 46) or controls, not presenting with AKI (n = 59). AKI was defined by pediatric RIFLE (pRIFLE) criteria. Results: Among the children enrolled in the study, AKI prevalence was 44 %, and 34 (54 %) of the 63 patients who received ibuprofen developed renal impairment. Relative to the controls, children presenting with AKI were younger (median age 0.66 vs. 1.74 years; p &lt; 0.001) and received ibuprofen more frequently (74 vs. 49 %, p = 0.01). After adjusting for the degree of dehydration, ibuprofen exposure remained an independent risk factor for AKI (p &lt; 0.001, odds ratio 2.47, 95 % confidence interval 1.78–3.42). According to the pRIFLE criteria, 17 patients were at the ‘risk’ stage of AKI severity, 24 were at the ‘injury’ stage, and five were at the ‘failure’ stage; none required dialysis. Distribution of patients within categories was similar regardless of ibuprofen exposure. All cases fulled recovered from AKI. Conclusions: Ibuprofen-associated AKI was 54 % in our cohort of dehydrated children with AGE. Drug exposure increased the risk for developing AKI by more than twofold, independent of the magnitude of the dehydration.","author":[{"dropping-particle":"","family":"Balestracci","given":"Alejandro","non-dropping-particle":"","parse-names":false,"suffix":""},{"dropping-particle":"","family":"Ezquer","given":"Mauricio","non-dropping-particle":"","parse-names":false,"suffix":""},{"dropping-particle":"","family":"Elmo","given":"María Eugenia","non-dropping-particle":"","parse-names":false,"suffix":""},{"dropping-particle":"","family":"Molini","given":"Andrea","non-dropping-particle":"","parse-names":false,"suffix":""},{"dropping-particle":"","family":"Thorel","given":"Claudia","non-dropping-particle":"","parse-names":false,"suffix":""},{"dropping-particle":"","family":"Torrents","given":"Milagros","non-dropping-particle":"","parse-names":false,"suffix":""},{"dropping-particle":"","family":"Toledo","given":"Ismael","non-dropping-particle":"","parse-names":false,"suffix":""}],"container-title":"Pediatric Nephrology","id":"ITEM-2","issue":"10","issued":{"date-parts":[["2015"]]},"page":"1873-1878","title":"Ibuprofen-associated acute kidney injury in dehydrated children with acute gastroenteritis","type":"article-journal","volume":"30"},"uris":["http://www.mendeley.com/documents/?uuid=3c4b0d04-a3a6-482c-818a-1830a986ab04"]}],"mendeley":{"formattedCitation":"(18,19)","plainTextFormattedCitation":"(18,19)","previouslyFormattedCitation":"(18,19)"},"properties":{"noteIndex":0},"schema":"https://github.com/citation-style-language/schema/raw/master/csl-citation.json"}</w:instrText>
      </w:r>
      <w:r>
        <w:rPr>
          <w:rFonts w:cstheme="minorHAnsi"/>
          <w:sz w:val="24"/>
        </w:rPr>
        <w:fldChar w:fldCharType="separate"/>
      </w:r>
      <w:r w:rsidRPr="002B295B">
        <w:rPr>
          <w:rFonts w:cstheme="minorHAnsi"/>
          <w:noProof/>
          <w:sz w:val="24"/>
        </w:rPr>
        <w:t>(18,19)</w:t>
      </w:r>
      <w:r>
        <w:rPr>
          <w:rFonts w:cstheme="minorHAnsi"/>
          <w:sz w:val="24"/>
        </w:rPr>
        <w:fldChar w:fldCharType="end"/>
      </w:r>
      <w:r>
        <w:rPr>
          <w:rFonts w:cstheme="minorHAnsi"/>
          <w:sz w:val="24"/>
        </w:rPr>
        <w:t xml:space="preserve">. Like other NSAIDs, it acts by inhibiting prostaglandin synthesis through blocking cyclooxygenases I and II </w:t>
      </w:r>
      <w:r>
        <w:rPr>
          <w:rFonts w:cstheme="minorHAnsi"/>
          <w:sz w:val="24"/>
        </w:rPr>
        <w:fldChar w:fldCharType="begin" w:fldLock="1"/>
      </w:r>
      <w:r>
        <w:rPr>
          <w:rFonts w:cstheme="minorHAnsi"/>
          <w:sz w:val="24"/>
        </w:rPr>
        <w:instrText>ADDIN CSL_CITATION {"citationItems":[{"id":"ITEM-1","itemData":{"DOI":"10.1016/j.jpeds.2012.11.069","ISSN":"10976833","PMID":"23360563","abstract":"Objective To characterize nonsteroidal anti-inflammatory drug (NSAID)-associated acute kidney injury (AKI) in children. Study design We conducted a retrospective chart review of children diagnosed with AKI through the use of International Classification of Diseases, Ninth Revision diagnosis code 584.5 or 584.9 from January 1999 to June 2010. Medical records were reviewed to confirm the diagnosis of AKI and to quantify NSAID administration. Pediatric RIFLE criteria were used to codify AKI. Patients were not classified as having NSAID-associated AKI if they had a diagnosis explaining AKI or comorbid clinical conditions predisposing to AKI development. Results Patients (N = 1015) were identified through International Classification of Diseases, Ninth Revision screening. Twenty-one children had clinical, laboratory, and radiographic studies suggesting NSAIDassociated acute tubular necrosis and 6 had findings suggesting NSAID-associated acute interstitial nephritis, representing 2.7% (27 of 1015) of the total cohort with AKI and 6.6% when excluding complex patients with multifactorial AKI. Children with NSAID-associated AKI had a median (range) age of 14.7 years (0.5-17.7 years); 4 patients (15%) were &lt;5 years old. Fifteen of 20 children (75%) for whom dosing data were available received NSAIDs within recommended dosing limits. Patients &lt;5 years old were more likely to require dialysis (100% vs 0%, P &lt; .001), intensive care unit admission (75% vs 9%, P = .013), and a longer length of stay (median 10 vs 7 days, P = .037). Conclusions NSAID-associated AKI accounted for 2.7% of AKI in this pediatric population. AKI typically occurred after the administration of correctly dosed NSAIDs. Young children with NSAID-associated AKI may have increased disease severity. Copyright © 2013 Mosby Inc.","author":[{"dropping-particle":"","family":"Misurac","given":"Jason M.","non-dropping-particle":"","parse-names":false,"suffix":""},{"dropping-particle":"","family":"Knoderer","given":"Chad A.","non-dropping-particle":"","parse-names":false,"suffix":""},{"dropping-particle":"","family":"Leiser","given":"Jeffrey D.","non-dropping-particle":"","parse-names":false,"suffix":""},{"dropping-particle":"","family":"Nailescu","given":"Corina","non-dropping-particle":"","parse-names":false,"suffix":""},{"dropping-particle":"","family":"Wilson","given":"Amy C.","non-dropping-particle":"","parse-names":false,"suffix":""},{"dropping-particle":"","family":"Andreoli","given":"Sharon P.","non-dropping-particle":"","parse-names":false,"suffix":""}],"container-title":"Journal of Pediatrics","id":"ITEM-1","issue":"6","issued":{"date-parts":[["2013"]]},"page":"1153-1159.e1","publisher":"Elsevier Ltd","title":"Nonsteroidal anti-inflammatory drugs are an important cause of acute kidney injury in children","type":"article-journal","volume":"162"},"uris":["http://www.mendeley.com/documents/?uuid=7b513f20-1aae-4e8a-a93e-73a29fd9b44c"]}],"mendeley":{"formattedCitation":"(20)","plainTextFormattedCitation":"(20)","previouslyFormattedCitation":"(20)"},"properties":{"noteIndex":0},"schema":"https://github.com/citation-style-language/schema/raw/master/csl-citation.json"}</w:instrText>
      </w:r>
      <w:r>
        <w:rPr>
          <w:rFonts w:cstheme="minorHAnsi"/>
          <w:sz w:val="24"/>
        </w:rPr>
        <w:fldChar w:fldCharType="separate"/>
      </w:r>
      <w:r w:rsidRPr="005033EE">
        <w:rPr>
          <w:rFonts w:cstheme="minorHAnsi"/>
          <w:noProof/>
          <w:sz w:val="24"/>
        </w:rPr>
        <w:t>(20)</w:t>
      </w:r>
      <w:r>
        <w:rPr>
          <w:rFonts w:cstheme="minorHAnsi"/>
          <w:sz w:val="24"/>
        </w:rPr>
        <w:fldChar w:fldCharType="end"/>
      </w:r>
      <w:r>
        <w:rPr>
          <w:rFonts w:cstheme="minorHAnsi"/>
          <w:sz w:val="24"/>
        </w:rPr>
        <w:t xml:space="preserve">. This stimulates vasoconstriction, resulting in decreased renal perfusion and can therefore increase the risk of prerenal acute kidney injury (AKI) </w:t>
      </w:r>
      <w:r>
        <w:rPr>
          <w:rFonts w:cstheme="minorHAnsi"/>
          <w:sz w:val="24"/>
        </w:rPr>
        <w:fldChar w:fldCharType="begin" w:fldLock="1"/>
      </w:r>
      <w:r>
        <w:rPr>
          <w:rFonts w:cstheme="minorHAnsi"/>
          <w:sz w:val="24"/>
        </w:rPr>
        <w:instrText>ADDIN CSL_CITATION {"citationItems":[{"id":"ITEM-1","itemData":{"DOI":"10.1001/jamanetworkopen.2021.0775","ISSN":"25743805","PMID":"33662136","abstract":"Importance: Ibuprofen is widely used in children worldwide, especially in those with cancer, fever, or trauma. However, large and high-quality studies of the association between ibuprofen and acute kidney injury (AKI) in children have been lacking. Objective: To examine the association between the use of ibuprofen and the risk of hospital-acquired AKI in hospitalized children in China. Design, Setting, and Participants: This cohort study analyzed the cohort of the Epidemiology of AKI in Chinese Hospitalized Patients (EACH) study, a large, multicenter retrospective study of 3044023 patients who were admitted to 1 of 25 academic medical centers in China between January 1, 2013, andDecember 31, 2015. Patient-level data were obtained from the electronic health record system of theparticipating centers. Hospitalized children aged 1 month to 18 years who had prescriptions and a certain number of serum creatinine (SCr) tests were included. Children with end-stage renal disease,community-acquired AKI, low baseline SCr level (&lt;10 µmol/L), high standardized baseline SCr level (&gt;4 times the sex- and age-specific reference value), or missing diagnosis code were excluded. Data analysis was conducted from January 1, 2020, to August 30, 2020. Exposures: Exposure toibuprofen was coded as a time-dependent dichotomous variable. Main Outcomes and Measures: Baseline SCrlevel was calculated for each patient as the mean of all available SCr values between the 30 days prior to admission and the first SCr testing within the first 3 days of hospitalization. Acute kidney injury was defined as an increase in SCr level of 26.5 µmol/L or higher within 48 hours orby 50% or more over the baseline value, according to the Kidney Disease: Improving Global Outcomes guidelines. Results: Among the 50420 children (mean [SD] age, 5.0 [5.2] years; 30640 boys [60.8%]) included in this study, 5526 (11.0%) used ibuprofen and 3476 (6.9%) developed hospital-acquired AKIduring hospitalization. Ibuprofen use was associated with a statistically significantly increased risk of hospital-acquired AKI (hazard ratio [HR], 1.23; 95% CI, 1.14-1.34) after adjusting for confounders. Ibuprofen use was associated with a greater hazard in children who had chronic kidney disease vs those without (HR, 2.31 [95% CI, 1.73-3.10] vs 1.19 [95% CI, 1.09-1.29]), required intensive carevs those without this need (HR, 1.47 [95% CI, 1.24-1.75] vs 1.18 [95% CI, 1.07-1.29]), or were older vs younger (&gt;10 years and &gt;1 year to …","author":[{"dropping-particle":"","family":"Su","given":"Licong","non-dropping-particle":"","parse-names":false,"suffix":""},{"dropping-particle":"","family":"Li","given":"Yanqin","non-dropping-particle":"","parse-names":false,"suffix":""},{"dropping-particle":"","family":"Xu","given":"Ruqi","non-dropping-particle":"","parse-names":false,"suffix":""},{"dropping-particle":"","family":"Luo","given":"Fan","non-dropping-particle":"","parse-names":false,"suffix":""},{"dropping-particle":"","family":"Gao","given":"Qi","non-dropping-particle":"","parse-names":false,"suffix":""},{"dropping-particle":"","family":"Chen","given":"Ruixuan","non-dropping-particle":"","parse-names":false,"suffix":""},{"dropping-particle":"","family":"Cao","given":"Yue","non-dropping-particle":"","parse-names":false,"suffix":""},{"dropping-particle":"","family":"Nie","given":"Sheng","non-dropping-particle":"","parse-names":false,"suffix":""},{"dropping-particle":"","family":"Xu","given":"Xin","non-dropping-particle":"","parse-names":false,"suffix":""}],"container-title":"JAMA Network Open","id":"ITEM-1","issue":"3","issued":{"date-parts":[["2021"]]},"page":"1-13","title":"Association of Ibuprofen Prescription with Acute Kidney Injury among Hospitalized Children in China","type":"article-journal","volume":"4"},"uris":["http://www.mendeley.com/documents/?uuid=3b40a4d0-b69a-469e-9823-c0072a9211e1"]}],"mendeley":{"formattedCitation":"(18)","plainTextFormattedCitation":"(18)","previouslyFormattedCitation":"(18)"},"properties":{"noteIndex":0},"schema":"https://github.com/citation-style-language/schema/raw/master/csl-citation.json"}</w:instrText>
      </w:r>
      <w:r>
        <w:rPr>
          <w:rFonts w:cstheme="minorHAnsi"/>
          <w:sz w:val="24"/>
        </w:rPr>
        <w:fldChar w:fldCharType="separate"/>
      </w:r>
      <w:r w:rsidRPr="006D7D08">
        <w:rPr>
          <w:rFonts w:cstheme="minorHAnsi"/>
          <w:noProof/>
          <w:sz w:val="24"/>
        </w:rPr>
        <w:t>(18)</w:t>
      </w:r>
      <w:r>
        <w:rPr>
          <w:rFonts w:cstheme="minorHAnsi"/>
          <w:sz w:val="24"/>
        </w:rPr>
        <w:fldChar w:fldCharType="end"/>
      </w:r>
      <w:r>
        <w:rPr>
          <w:rFonts w:cstheme="minorHAnsi"/>
          <w:sz w:val="24"/>
        </w:rPr>
        <w:t xml:space="preserve">. Interestingly, ibuprofen drug exposure has been found to increase the risk of developing an AKI by more than twofold in children </w:t>
      </w:r>
      <w:r>
        <w:rPr>
          <w:rFonts w:cstheme="minorHAnsi"/>
          <w:sz w:val="24"/>
        </w:rPr>
        <w:fldChar w:fldCharType="begin" w:fldLock="1"/>
      </w:r>
      <w:r>
        <w:rPr>
          <w:rFonts w:cstheme="minorHAnsi"/>
          <w:sz w:val="24"/>
        </w:rPr>
        <w:instrText>ADDIN CSL_CITATION {"citationItems":[{"id":"ITEM-1","itemData":{"DOI":"10.1007/s00467-015-3105-7","ISSN":"1432198X","PMID":"25895445","abstract":"Background: Non-steroidal anti-inflammatory drugs (NSAIDs) induce acute kidney injury (AKI) in volume-depleted patients; however the prevalence of this complication is likely underestimated. We assessed the impact of ibuprofen exposure on renal function among dehydrated children with acute gastroenteritis (AGE) to further characterize NSAID-associated AKI. Methods: Over a 1-year period dehydrated children with AGE (n = 105) were prospectively enrolled and grouped as cases, presenting with AKI (n = 46) or controls, not presenting with AKI (n = 59). AKI was defined by pediatric RIFLE (pRIFLE) criteria. Results: Among the children enrolled in the study, AKI prevalence was 44 %, and 34 (54 %) of the 63 patients who received ibuprofen developed renal impairment. Relative to the controls, children presenting with AKI were younger (median age 0.66 vs. 1.74 years; p &lt; 0.001) and received ibuprofen more frequently (74 vs. 49 %, p = 0.01). After adjusting for the degree of dehydration, ibuprofen exposure remained an independent risk factor for AKI (p &lt; 0.001, odds ratio 2.47, 95 % confidence interval 1.78–3.42). According to the pRIFLE criteria, 17 patients were at the ‘risk’ stage of AKI severity, 24 were at the ‘injury’ stage, and five were at the ‘failure’ stage; none required dialysis. Distribution of patients within categories was similar regardless of ibuprofen exposure. All cases fulled recovered from AKI. Conclusions: Ibuprofen-associated AKI was 54 % in our cohort of dehydrated children with AGE. Drug exposure increased the risk for developing AKI by more than twofold, independent of the magnitude of the dehydration.","author":[{"dropping-particle":"","family":"Balestracci","given":"Alejandro","non-dropping-particle":"","parse-names":false,"suffix":""},{"dropping-particle":"","family":"Ezquer","given":"Mauricio","non-dropping-particle":"","parse-names":false,"suffix":""},{"dropping-particle":"","family":"Elmo","given":"María Eugenia","non-dropping-particle":"","parse-names":false,"suffix":""},{"dropping-particle":"","family":"Molini","given":"Andrea","non-dropping-particle":"","parse-names":false,"suffix":""},{"dropping-particle":"","family":"Thorel","given":"Claudia","non-dropping-particle":"","parse-names":false,"suffix":""},{"dropping-particle":"","family":"Torrents","given":"Milagros","non-dropping-particle":"","parse-names":false,"suffix":""},{"dropping-particle":"","family":"Toledo","given":"Ismael","non-dropping-particle":"","parse-names":false,"suffix":""}],"container-title":"Pediatric Nephrology","id":"ITEM-1","issue":"10","issued":{"date-parts":[["2015"]]},"page":"1873-1878","title":"Ibuprofen-associated acute kidney injury in dehydrated children with acute gastroenteritis","type":"article-journal","volume":"30"},"uris":["http://www.mendeley.com/documents/?uuid=3c4b0d04-a3a6-482c-818a-1830a986ab04"]}],"mendeley":{"formattedCitation":"(19)","plainTextFormattedCitation":"(19)","previouslyFormattedCitation":"(19)"},"properties":{"noteIndex":0},"schema":"https://github.com/citation-style-language/schema/raw/master/csl-citation.json"}</w:instrText>
      </w:r>
      <w:r>
        <w:rPr>
          <w:rFonts w:cstheme="minorHAnsi"/>
          <w:sz w:val="24"/>
        </w:rPr>
        <w:fldChar w:fldCharType="separate"/>
      </w:r>
      <w:r w:rsidRPr="00DA3D18">
        <w:rPr>
          <w:rFonts w:cstheme="minorHAnsi"/>
          <w:noProof/>
          <w:sz w:val="24"/>
        </w:rPr>
        <w:t>(19)</w:t>
      </w:r>
      <w:r>
        <w:rPr>
          <w:rFonts w:cstheme="minorHAnsi"/>
          <w:sz w:val="24"/>
        </w:rPr>
        <w:fldChar w:fldCharType="end"/>
      </w:r>
      <w:r>
        <w:rPr>
          <w:rFonts w:cstheme="minorHAnsi"/>
          <w:sz w:val="24"/>
        </w:rPr>
        <w:t xml:space="preserve"> and the long-term consequences of NSAID-associated AKI are becoming increasingly recognised, such as the development of chronic kidney disease, with younger children more susceptible to more severe disease </w:t>
      </w:r>
      <w:r>
        <w:rPr>
          <w:rFonts w:cstheme="minorHAnsi"/>
          <w:sz w:val="24"/>
        </w:rPr>
        <w:fldChar w:fldCharType="begin" w:fldLock="1"/>
      </w:r>
      <w:r>
        <w:rPr>
          <w:rFonts w:cstheme="minorHAnsi"/>
          <w:sz w:val="24"/>
        </w:rPr>
        <w:instrText>ADDIN CSL_CITATION {"citationItems":[{"id":"ITEM-1","itemData":{"DOI":"10.1016/j.jpeds.2012.11.069","ISSN":"10976833","PMID":"23360563","abstract":"Objective To characterize nonsteroidal anti-inflammatory drug (NSAID)-associated acute kidney injury (AKI) in children. Study design We conducted a retrospective chart review of children diagnosed with AKI through the use of International Classification of Diseases, Ninth Revision diagnosis code 584.5 or 584.9 from January 1999 to June 2010. Medical records were reviewed to confirm the diagnosis of AKI and to quantify NSAID administration. Pediatric RIFLE criteria were used to codify AKI. Patients were not classified as having NSAID-associated AKI if they had a diagnosis explaining AKI or comorbid clinical conditions predisposing to AKI development. Results Patients (N = 1015) were identified through International Classification of Diseases, Ninth Revision screening. Twenty-one children had clinical, laboratory, and radiographic studies suggesting NSAIDassociated acute tubular necrosis and 6 had findings suggesting NSAID-associated acute interstitial nephritis, representing 2.7% (27 of 1015) of the total cohort with AKI and 6.6% when excluding complex patients with multifactorial AKI. Children with NSAID-associated AKI had a median (range) age of 14.7 years (0.5-17.7 years); 4 patients (15%) were &lt;5 years old. Fifteen of 20 children (75%) for whom dosing data were available received NSAIDs within recommended dosing limits. Patients &lt;5 years old were more likely to require dialysis (100% vs 0%, P &lt; .001), intensive care unit admission (75% vs 9%, P = .013), and a longer length of stay (median 10 vs 7 days, P = .037). Conclusions NSAID-associated AKI accounted for 2.7% of AKI in this pediatric population. AKI typically occurred after the administration of correctly dosed NSAIDs. Young children with NSAID-associated AKI may have increased disease severity. Copyright © 2013 Mosby Inc.","author":[{"dropping-particle":"","family":"Misurac","given":"Jason M.","non-dropping-particle":"","parse-names":false,"suffix":""},{"dropping-particle":"","family":"Knoderer","given":"Chad A.","non-dropping-particle":"","parse-names":false,"suffix":""},{"dropping-particle":"","family":"Leiser","given":"Jeffrey D.","non-dropping-particle":"","parse-names":false,"suffix":""},{"dropping-particle":"","family":"Nailescu","given":"Corina","non-dropping-particle":"","parse-names":false,"suffix":""},{"dropping-particle":"","family":"Wilson","given":"Amy C.","non-dropping-particle":"","parse-names":false,"suffix":""},{"dropping-particle":"","family":"Andreoli","given":"Sharon P.","non-dropping-particle":"","parse-names":false,"suffix":""}],"container-title":"Journal of Pediatrics","id":"ITEM-1","issue":"6","issued":{"date-parts":[["2013"]]},"page":"1153-1159.e1","publisher":"Elsevier Ltd","title":"Nonsteroidal anti-inflammatory drugs are an important cause of acute kidney injury in children","type":"article-journal","volume":"162"},"uris":["http://www.mendeley.com/documents/?uuid=7b513f20-1aae-4e8a-a93e-73a29fd9b44c"]}],"mendeley":{"formattedCitation":"(20)","plainTextFormattedCitation":"(20)","previouslyFormattedCitation":"(20)"},"properties":{"noteIndex":0},"schema":"https://github.com/citation-style-language/schema/raw/master/csl-citation.json"}</w:instrText>
      </w:r>
      <w:r>
        <w:rPr>
          <w:rFonts w:cstheme="minorHAnsi"/>
          <w:sz w:val="24"/>
        </w:rPr>
        <w:fldChar w:fldCharType="separate"/>
      </w:r>
      <w:r w:rsidRPr="00993360">
        <w:rPr>
          <w:rFonts w:cstheme="minorHAnsi"/>
          <w:noProof/>
          <w:sz w:val="24"/>
        </w:rPr>
        <w:t>(20)</w:t>
      </w:r>
      <w:r>
        <w:rPr>
          <w:rFonts w:cstheme="minorHAnsi"/>
          <w:sz w:val="24"/>
        </w:rPr>
        <w:fldChar w:fldCharType="end"/>
      </w:r>
      <w:r>
        <w:rPr>
          <w:rFonts w:cstheme="minorHAnsi"/>
          <w:sz w:val="24"/>
        </w:rPr>
        <w:t xml:space="preserve">. In addition, a study by Nelson et al. found that young and middle-aged adults with an overweight or obese status significantly increased the hazard of developing AKI and chronic kidney disease </w:t>
      </w:r>
      <w:r>
        <w:rPr>
          <w:rFonts w:cstheme="minorHAnsi"/>
          <w:sz w:val="24"/>
        </w:rPr>
        <w:fldChar w:fldCharType="begin" w:fldLock="1"/>
      </w:r>
      <w:r>
        <w:rPr>
          <w:rFonts w:cstheme="minorHAnsi"/>
          <w:sz w:val="24"/>
        </w:rPr>
        <w:instrText>ADDIN CSL_CITATION {"citationItems":[{"id":"ITEM-1","itemData":{"DOI":"10.1001/jamanetworkopen.2018.7896","ISSN":"25743805","PMID":"30768191","abstract":"Importance: Concern about the renal effects of nonsteroidand al anti-inflammatory drugs (NSAIDs) among young, healthy adults has been limited, but more attention may be warranted given the prevalent use of these agents. Objective: To test for associations between dispensed NSAIDs and incident acute kidney injury and chronic kidney disease while controlling for other risk factors. Design, Setting, and Participants: This retrospective, longitudinal cohort study used deidentified medical and administrative data on 764228 active-duty US Army soldiers serving between January 1, 2011, and December 31, 2014. Analysis was conducted from August 1 to November 30, 2018. All individuals new to Army service were included in the analysis. Persons already serving in January 2011 were required to have at least 7 months of observable time to eliminate those with kidney disease histories. Exposures: Mean total defined daily doses of prescribed NSAIDs dispensed per month in the prior 6 months. Main Outcomes and Measures: Incident outcomes were defined by diagnoses documented in health records and a military-specific digital system. Results: Among the 764228 participants (655 392 [85.8%] men; mean [SD] age, 28.6 [7.9] years; median age, 27.0 years [interquartile range, 22.0-33.0 years]), 502527 (65.8%) were not dispensed prescription NSAIDs in the prior 6 months, 137 108 (17.9%) were dispensed 1 to 7 mean total defined daily doses per month, and 124594 (16.3%) received more than 7 defined daily doses per month. There were 2356 acute kidney injury outcomes (0.3% of participants) and 1634 chronic kidney disease outcomes (0.2%) observed. Compared with participants who received no medication, the highest exposure level was associated with significantly higher adjusted hazard ratios (aHRs) for acute kidney injury (aHR, 1.2; 95% CI, 1.1-1.4) and chronic kidney disease (aHR, 1.2; 95% CI, 1.0-1.3), with annual outcome excesses per 100000 exposed individuals totaling 17.6 cases for acute kidney injury and 30.0 cases for chronic kidney disease. Conclusions and Relevance: Modest but statistically significant associations were noted between the highest observed doses of NSAID exposure and incident kidney problems among active young and middle-aged adults..","author":[{"dropping-particle":"","family":"Nelson","given":"D. Alan","non-dropping-particle":"","parse-names":false,"suffix":""},{"dropping-particle":"","family":"Marks","given":"Eric S.","non-dropping-particle":"","parse-names":false,"suffix":""},{"dropping-particle":"","family":"Deuster","given":"Patricia A.","non-dropping-particle":"","parse-names":false,"suffix":""},{"dropping-particle":"","family":"O'Connor","given":"Francis G.","non-dropping-particle":"","parse-names":false,"suffix":""},{"dropping-particle":"","family":"Kurina","given":"Lianne M.","non-dropping-particle":"","parse-names":false,"suffix":""}],"container-title":"JAMA Network Open","id":"ITEM-1","issue":"2","issued":{"date-parts":[["2019"]]},"title":"Association of Nonsteroidal Anti-inflammatory Drug Prescriptions with Kidney Disease among Active Young and Middle-aged Adults","type":"article-journal","volume":"2"},"uris":["http://www.mendeley.com/documents/?uuid=7893598c-105a-4c02-83e4-f5b818ffe16a"]}],"mendeley":{"formattedCitation":"(21)","plainTextFormattedCitation":"(21)","previouslyFormattedCitation":"(21)"},"properties":{"noteIndex":0},"schema":"https://github.com/citation-style-language/schema/raw/master/csl-citation.json"}</w:instrText>
      </w:r>
      <w:r>
        <w:rPr>
          <w:rFonts w:cstheme="minorHAnsi"/>
          <w:sz w:val="24"/>
        </w:rPr>
        <w:fldChar w:fldCharType="separate"/>
      </w:r>
      <w:r w:rsidRPr="00771C2E">
        <w:rPr>
          <w:rFonts w:cstheme="minorHAnsi"/>
          <w:noProof/>
          <w:sz w:val="24"/>
        </w:rPr>
        <w:t>(21)</w:t>
      </w:r>
      <w:r>
        <w:rPr>
          <w:rFonts w:cstheme="minorHAnsi"/>
          <w:sz w:val="24"/>
        </w:rPr>
        <w:fldChar w:fldCharType="end"/>
      </w:r>
      <w:r>
        <w:rPr>
          <w:rFonts w:cstheme="minorHAnsi"/>
          <w:sz w:val="24"/>
        </w:rPr>
        <w:t>. It is important to consider that NSAID-associated AKI is an avoidable risk to which children are regularly exposed. Should a child be overweight or obese, this can increase the risk considerably.</w:t>
      </w:r>
    </w:p>
    <w:p w14:paraId="2594F534" w14:textId="77777777" w:rsidR="00A1229C" w:rsidRPr="00295A88" w:rsidRDefault="00A1229C" w:rsidP="00A1229C">
      <w:pPr>
        <w:spacing w:after="0" w:line="480" w:lineRule="auto"/>
        <w:ind w:firstLine="720"/>
        <w:contextualSpacing/>
        <w:jc w:val="both"/>
        <w:rPr>
          <w:rFonts w:cstheme="minorHAnsi"/>
          <w:sz w:val="24"/>
          <w:szCs w:val="24"/>
        </w:rPr>
      </w:pPr>
      <w:r w:rsidRPr="00B67CA5">
        <w:rPr>
          <w:rFonts w:cstheme="minorHAnsi"/>
          <w:sz w:val="24"/>
          <w:szCs w:val="24"/>
        </w:rPr>
        <w:lastRenderedPageBreak/>
        <w:t xml:space="preserve">With the rise in childhood obesity, it is important for health services to deliver evidence-based dosing recommendations for obese children and young people. Future studies are needed to develop clear evidence based guidance regarding the prescription of ibuprofen in  overweight and obese children. In the first instance, use of </w:t>
      </w:r>
      <w:r>
        <w:rPr>
          <w:rFonts w:cstheme="minorHAnsi"/>
          <w:sz w:val="24"/>
          <w:szCs w:val="24"/>
        </w:rPr>
        <w:t>p</w:t>
      </w:r>
      <w:r w:rsidRPr="00B67CA5">
        <w:rPr>
          <w:rFonts w:cstheme="minorHAnsi"/>
          <w:sz w:val="24"/>
          <w:szCs w:val="24"/>
        </w:rPr>
        <w:t>hysiologically</w:t>
      </w:r>
      <w:r>
        <w:rPr>
          <w:rFonts w:cstheme="minorHAnsi"/>
          <w:sz w:val="24"/>
          <w:szCs w:val="24"/>
        </w:rPr>
        <w:t>-</w:t>
      </w:r>
      <w:r w:rsidRPr="00B67CA5">
        <w:rPr>
          <w:rFonts w:cstheme="minorHAnsi"/>
          <w:sz w:val="24"/>
          <w:szCs w:val="24"/>
        </w:rPr>
        <w:t xml:space="preserve">based pharmacokinetic models, similar to ones used when doses of paediatric medicines have been introduced, would provide additional information to base rational dosing decisions on </w:t>
      </w:r>
      <w:r>
        <w:rPr>
          <w:rFonts w:cstheme="minorHAnsi"/>
          <w:sz w:val="24"/>
          <w:szCs w:val="24"/>
        </w:rPr>
        <w:fldChar w:fldCharType="begin" w:fldLock="1"/>
      </w:r>
      <w:r>
        <w:rPr>
          <w:rFonts w:cstheme="minorHAnsi"/>
          <w:sz w:val="24"/>
          <w:szCs w:val="24"/>
        </w:rPr>
        <w:instrText>ADDIN CSL_CITATION {"citationItems":[{"id":"ITEM-1","itemData":{"DOI":"10.1016/j.seizure.2015.10.006","ISSN":"15322688","PMID":"26517379","abstract":"Purpose: To use a physiologically based pharmacokinetic (PBPK) modelling system to predict the serum levels achieved by two different intravenous loading doses of phenytoin. Methods: A phenytoin pharmacokinetic model was used in the SimcypTM population-based ADME simulator, simulating 100 children age 2-10 years receiving intravenous phenytoin (18 and 20 mg/kg). Visual checks were used to evaluate the predictive performance of the candidate model. Results: Loading with doses of 18 mg/kg, blood levels were sub-therapeutic in 22/100 (concentration at 2 h post infusion (C2h) &lt;10 μg/mL), therapeutic in 62/100 (C2h 10-20 μg/mL), and supra-therapeutic in 16/100 (C2h &gt; 20 mg/mL). Loading with 20 mg/kg, the percentages were 15, 59, and 26, respectively. Increasing from 18 to 20 mg/kg increased the mean C2h from 16.0 to 17.9 μg/mL, and the mean AUC from 145 to 162 μg/mL/h. A C2h &gt; 30 μg/mL was predicted in 4% and 8% of children in the 18 and 20 mg/kg doses, with 3% predicted to have a C2h &gt; 40 μg/mL following either dose. For maintenance doses, a 1st dose of 2.5 or 5 mg/kg (intravenous) given at 12 h (after either 18 or 20 mg/kg loading) gives the highest percentages of 10-20 μg/mL serum concentrations. For sub-therapeutic concentrations following intravenous loading (20 mg/kg), a 1st maintenance dose (intravenous) of 10 mg/kg will achieve therapeutic concentrations in 93%. Conclusion: Use of PBPK modelling suggests that children receiving the 20 mg/kg intravenous loading dose are at slightly increased risk of supra-therapeutic blood levels. Ideally, therapeutic drug monitoring is required to monitor serum concentrations, although the dose regime suggested by the BNFc appear appropriate.","author":[{"dropping-particle":"","family":"Batchelor","given":"Hannah","non-dropping-particle":"","parse-names":false,"suffix":""},{"dropping-particle":"","family":"Appleton","given":"Richard","non-dropping-particle":"","parse-names":false,"suffix":""},{"dropping-particle":"","family":"Hawcutt","given":"Daniel B.","non-dropping-particle":"","parse-names":false,"suffix":""}],"container-title":"Seizure","id":"ITEM-1","issued":{"date-parts":[["2015"]]},"page":"8-12","publisher":"BEA Trading Ltd","title":"Comparing paediatric intravenous phenytoin doses using physiologically based pharmacokinetic (PBPK) modelling software","type":"article-journal","volume":"33"},"uris":["http://www.mendeley.com/documents/?uuid=3b05f583-6f0a-4982-b492-3cfc3624ad1e"]}],"mendeley":{"formattedCitation":"(22)","plainTextFormattedCitation":"(22)"},"properties":{"noteIndex":0},"schema":"https://github.com/citation-style-language/schema/raw/master/csl-citation.json"}</w:instrText>
      </w:r>
      <w:r>
        <w:rPr>
          <w:rFonts w:cstheme="minorHAnsi"/>
          <w:sz w:val="24"/>
          <w:szCs w:val="24"/>
        </w:rPr>
        <w:fldChar w:fldCharType="separate"/>
      </w:r>
      <w:r w:rsidRPr="00ED34F3">
        <w:rPr>
          <w:rFonts w:cstheme="minorHAnsi"/>
          <w:noProof/>
          <w:sz w:val="24"/>
          <w:szCs w:val="24"/>
        </w:rPr>
        <w:t>(22)</w:t>
      </w:r>
      <w:r>
        <w:rPr>
          <w:rFonts w:cstheme="minorHAnsi"/>
          <w:sz w:val="24"/>
          <w:szCs w:val="24"/>
        </w:rPr>
        <w:fldChar w:fldCharType="end"/>
      </w:r>
      <w:r w:rsidRPr="00295A88">
        <w:rPr>
          <w:rFonts w:cstheme="minorHAnsi"/>
          <w:sz w:val="24"/>
          <w:szCs w:val="24"/>
        </w:rPr>
        <w:t xml:space="preserve">. </w:t>
      </w:r>
    </w:p>
    <w:p w14:paraId="5E8F9A30" w14:textId="77777777" w:rsidR="00A1229C" w:rsidRDefault="00A1229C" w:rsidP="00A1229C">
      <w:pPr>
        <w:spacing w:after="0" w:line="480" w:lineRule="auto"/>
        <w:ind w:firstLine="720"/>
        <w:contextualSpacing/>
        <w:jc w:val="both"/>
        <w:rPr>
          <w:rFonts w:cstheme="minorHAnsi"/>
          <w:sz w:val="24"/>
          <w:szCs w:val="24"/>
        </w:rPr>
      </w:pPr>
      <w:r w:rsidRPr="00295A88">
        <w:rPr>
          <w:rFonts w:cstheme="minorHAnsi"/>
          <w:sz w:val="24"/>
          <w:szCs w:val="24"/>
        </w:rPr>
        <w:t xml:space="preserve">There is little published data to guide clinicians prescribing ibuprofen in obese children, </w:t>
      </w:r>
      <w:r w:rsidRPr="00F95907">
        <w:rPr>
          <w:rFonts w:cstheme="minorHAnsi"/>
          <w:sz w:val="24"/>
          <w:szCs w:val="24"/>
        </w:rPr>
        <w:t>and without this, these children risk therapeutic failure or increased risk of ADRs.</w:t>
      </w:r>
    </w:p>
    <w:p w14:paraId="45FFE238" w14:textId="77777777" w:rsidR="00A1229C" w:rsidRPr="001438EB" w:rsidRDefault="00A1229C" w:rsidP="00A1229C">
      <w:pPr>
        <w:contextualSpacing/>
        <w:rPr>
          <w:rFonts w:cstheme="minorHAnsi"/>
          <w:sz w:val="24"/>
          <w:szCs w:val="24"/>
        </w:rPr>
      </w:pPr>
    </w:p>
    <w:p w14:paraId="0496514B" w14:textId="77777777" w:rsidR="00A1229C" w:rsidRPr="00EE6F0D" w:rsidRDefault="00A1229C" w:rsidP="00A1229C">
      <w:pPr>
        <w:rPr>
          <w:rFonts w:eastAsiaTheme="majorEastAsia" w:cstheme="minorHAnsi"/>
          <w:color w:val="729928" w:themeColor="accent1" w:themeShade="BF"/>
          <w:sz w:val="32"/>
          <w:szCs w:val="32"/>
        </w:rPr>
      </w:pPr>
      <w:r w:rsidRPr="00EE6F0D">
        <w:rPr>
          <w:rFonts w:eastAsiaTheme="majorEastAsia" w:cstheme="minorHAnsi"/>
          <w:color w:val="729928" w:themeColor="accent1" w:themeShade="BF"/>
          <w:sz w:val="32"/>
          <w:szCs w:val="32"/>
        </w:rPr>
        <w:t>REFERENCES</w:t>
      </w:r>
    </w:p>
    <w:p w14:paraId="15B960A6" w14:textId="77777777" w:rsidR="00A1229C" w:rsidRPr="00ED34F3" w:rsidRDefault="00A1229C" w:rsidP="00A1229C">
      <w:pPr>
        <w:widowControl w:val="0"/>
        <w:autoSpaceDE w:val="0"/>
        <w:autoSpaceDN w:val="0"/>
        <w:adjustRightInd w:val="0"/>
        <w:spacing w:after="0" w:line="360" w:lineRule="auto"/>
        <w:ind w:left="640" w:hanging="640"/>
        <w:rPr>
          <w:rFonts w:ascii="Calibri" w:hAnsi="Calibri" w:cs="Calibri"/>
          <w:noProof/>
          <w:szCs w:val="24"/>
        </w:rPr>
      </w:pPr>
      <w:r w:rsidRPr="00295A88">
        <w:rPr>
          <w:rFonts w:cstheme="minorHAnsi"/>
        </w:rPr>
        <w:fldChar w:fldCharType="begin" w:fldLock="1"/>
      </w:r>
      <w:r w:rsidRPr="00C42A9E">
        <w:rPr>
          <w:rFonts w:cstheme="minorHAnsi"/>
        </w:rPr>
        <w:instrText xml:space="preserve">ADDIN Mendeley Bibliography CSL_BIBLIOGRAPHY </w:instrText>
      </w:r>
      <w:r w:rsidRPr="00295A88">
        <w:rPr>
          <w:rFonts w:cstheme="minorHAnsi"/>
        </w:rPr>
        <w:fldChar w:fldCharType="separate"/>
      </w:r>
      <w:r w:rsidRPr="00ED34F3">
        <w:rPr>
          <w:rFonts w:ascii="Calibri" w:hAnsi="Calibri" w:cs="Calibri"/>
          <w:noProof/>
          <w:szCs w:val="24"/>
        </w:rPr>
        <w:t xml:space="preserve">1. </w:t>
      </w:r>
      <w:r w:rsidRPr="00ED34F3">
        <w:rPr>
          <w:rFonts w:ascii="Calibri" w:hAnsi="Calibri" w:cs="Calibri"/>
          <w:noProof/>
          <w:szCs w:val="24"/>
        </w:rPr>
        <w:tab/>
        <w:t>Royal College of Paediatrics and Child Health. Childhood Obesity Position Statement [Internet]. Royal College of Paediatrics and Child Health. 2012. p. 6–9. Available from: https://www.rcpch.ac.uk/sites/default/files/page/obesitypositionstatement.pdf</w:t>
      </w:r>
    </w:p>
    <w:p w14:paraId="03BD6ED7" w14:textId="77777777" w:rsidR="00A1229C" w:rsidRPr="00ED34F3" w:rsidRDefault="00A1229C" w:rsidP="00A1229C">
      <w:pPr>
        <w:widowControl w:val="0"/>
        <w:autoSpaceDE w:val="0"/>
        <w:autoSpaceDN w:val="0"/>
        <w:adjustRightInd w:val="0"/>
        <w:spacing w:after="0" w:line="360" w:lineRule="auto"/>
        <w:ind w:left="640" w:hanging="640"/>
        <w:rPr>
          <w:rFonts w:ascii="Calibri" w:hAnsi="Calibri" w:cs="Calibri"/>
          <w:noProof/>
          <w:szCs w:val="24"/>
        </w:rPr>
      </w:pPr>
      <w:r w:rsidRPr="00ED34F3">
        <w:rPr>
          <w:rFonts w:ascii="Calibri" w:hAnsi="Calibri" w:cs="Calibri"/>
          <w:noProof/>
          <w:szCs w:val="24"/>
        </w:rPr>
        <w:t xml:space="preserve">2. </w:t>
      </w:r>
      <w:r w:rsidRPr="00ED34F3">
        <w:rPr>
          <w:rFonts w:ascii="Calibri" w:hAnsi="Calibri" w:cs="Calibri"/>
          <w:noProof/>
          <w:szCs w:val="24"/>
        </w:rPr>
        <w:tab/>
        <w:t>Department of Health. Childhood obesity: a plan for action [Internet]. Department of Health. 2017 [cited 2017 Nov 29]. Available from: https://www.gov.uk/government/publications/childhood-obesity-a-plan-for-action/childhood-obesity-a-plan-for-action</w:t>
      </w:r>
    </w:p>
    <w:p w14:paraId="1551D9DE" w14:textId="77777777" w:rsidR="00A1229C" w:rsidRPr="00ED34F3" w:rsidRDefault="00A1229C" w:rsidP="00A1229C">
      <w:pPr>
        <w:widowControl w:val="0"/>
        <w:autoSpaceDE w:val="0"/>
        <w:autoSpaceDN w:val="0"/>
        <w:adjustRightInd w:val="0"/>
        <w:spacing w:after="0" w:line="360" w:lineRule="auto"/>
        <w:ind w:left="640" w:hanging="640"/>
        <w:rPr>
          <w:rFonts w:ascii="Calibri" w:hAnsi="Calibri" w:cs="Calibri"/>
          <w:noProof/>
          <w:szCs w:val="24"/>
        </w:rPr>
      </w:pPr>
      <w:r w:rsidRPr="00ED34F3">
        <w:rPr>
          <w:rFonts w:ascii="Calibri" w:hAnsi="Calibri" w:cs="Calibri"/>
          <w:noProof/>
          <w:szCs w:val="24"/>
        </w:rPr>
        <w:t xml:space="preserve">3. </w:t>
      </w:r>
      <w:r w:rsidRPr="00ED34F3">
        <w:rPr>
          <w:rFonts w:ascii="Calibri" w:hAnsi="Calibri" w:cs="Calibri"/>
          <w:noProof/>
          <w:szCs w:val="24"/>
        </w:rPr>
        <w:tab/>
        <w:t>Mulla H, Johnson TN. Dosing Dilemmas in Obese Children [Internet]. Vol. 95, Archives of Disease in Childhood. Education and Practice Edition. Royal College of Paediatrics and Child Health; 2010 [cited 2017 Nov 14]. p. 112–7. Available from: http://www.ncbi.nlm.nih.gov/pubmed/20585055</w:t>
      </w:r>
    </w:p>
    <w:p w14:paraId="001FD020" w14:textId="77777777" w:rsidR="00A1229C" w:rsidRPr="00ED34F3" w:rsidRDefault="00A1229C" w:rsidP="00A1229C">
      <w:pPr>
        <w:widowControl w:val="0"/>
        <w:autoSpaceDE w:val="0"/>
        <w:autoSpaceDN w:val="0"/>
        <w:adjustRightInd w:val="0"/>
        <w:spacing w:after="0" w:line="360" w:lineRule="auto"/>
        <w:ind w:left="640" w:hanging="640"/>
        <w:rPr>
          <w:rFonts w:ascii="Calibri" w:hAnsi="Calibri" w:cs="Calibri"/>
          <w:noProof/>
          <w:szCs w:val="24"/>
        </w:rPr>
      </w:pPr>
      <w:r w:rsidRPr="00ED34F3">
        <w:rPr>
          <w:rFonts w:ascii="Calibri" w:hAnsi="Calibri" w:cs="Calibri"/>
          <w:noProof/>
          <w:szCs w:val="24"/>
        </w:rPr>
        <w:t xml:space="preserve">4. </w:t>
      </w:r>
      <w:r w:rsidRPr="00ED34F3">
        <w:rPr>
          <w:rFonts w:ascii="Calibri" w:hAnsi="Calibri" w:cs="Calibri"/>
          <w:noProof/>
          <w:szCs w:val="24"/>
        </w:rPr>
        <w:tab/>
        <w:t>Kendrick JG, Carr RR, Ensom MHH. Pharmacokinetics and Drug Dosing in Obese Children [Internet]. Vol. 15, The Journal of Pediatric Pharmacology and Therapeutics. Pediatric Pharmacology Advocacy Group; 2010 [cited 2017 Nov 29]. p. 94–109. Available from: http://www.ncbi.nlm.nih.gov/pubmed/22477800</w:t>
      </w:r>
    </w:p>
    <w:p w14:paraId="5F80111F" w14:textId="77777777" w:rsidR="00A1229C" w:rsidRPr="00ED34F3" w:rsidRDefault="00A1229C" w:rsidP="00A1229C">
      <w:pPr>
        <w:widowControl w:val="0"/>
        <w:autoSpaceDE w:val="0"/>
        <w:autoSpaceDN w:val="0"/>
        <w:adjustRightInd w:val="0"/>
        <w:spacing w:after="0" w:line="360" w:lineRule="auto"/>
        <w:ind w:left="640" w:hanging="640"/>
        <w:rPr>
          <w:rFonts w:ascii="Calibri" w:hAnsi="Calibri" w:cs="Calibri"/>
          <w:noProof/>
          <w:szCs w:val="24"/>
        </w:rPr>
      </w:pPr>
      <w:r w:rsidRPr="00ED34F3">
        <w:rPr>
          <w:rFonts w:ascii="Calibri" w:hAnsi="Calibri" w:cs="Calibri"/>
          <w:noProof/>
          <w:szCs w:val="24"/>
        </w:rPr>
        <w:t xml:space="preserve">5. </w:t>
      </w:r>
      <w:r w:rsidRPr="00ED34F3">
        <w:rPr>
          <w:rFonts w:ascii="Calibri" w:hAnsi="Calibri" w:cs="Calibri"/>
          <w:noProof/>
          <w:szCs w:val="24"/>
        </w:rPr>
        <w:tab/>
        <w:t>Hawcutt DB, Cooney L, Oni L, Pirmohamed M. Precision Dosing in Children [Internet]. Vol. 1, Expert Review of Precision Medicine and Drug Development. Taylor &amp; Francis; 2016 [cited 2017 Nov 14]. p. 69–78. Available from: http://www.tandfonline.com/doi/full/10.1080/23808993.2016.1138845</w:t>
      </w:r>
    </w:p>
    <w:p w14:paraId="4F1DC6A0" w14:textId="77777777" w:rsidR="00A1229C" w:rsidRPr="00ED34F3" w:rsidRDefault="00A1229C" w:rsidP="00A1229C">
      <w:pPr>
        <w:widowControl w:val="0"/>
        <w:autoSpaceDE w:val="0"/>
        <w:autoSpaceDN w:val="0"/>
        <w:adjustRightInd w:val="0"/>
        <w:spacing w:after="0" w:line="360" w:lineRule="auto"/>
        <w:ind w:left="640" w:hanging="640"/>
        <w:rPr>
          <w:rFonts w:ascii="Calibri" w:hAnsi="Calibri" w:cs="Calibri"/>
          <w:noProof/>
          <w:szCs w:val="24"/>
        </w:rPr>
      </w:pPr>
      <w:r w:rsidRPr="00ED34F3">
        <w:rPr>
          <w:rFonts w:ascii="Calibri" w:hAnsi="Calibri" w:cs="Calibri"/>
          <w:noProof/>
          <w:szCs w:val="24"/>
        </w:rPr>
        <w:t xml:space="preserve">6. </w:t>
      </w:r>
      <w:r w:rsidRPr="00ED34F3">
        <w:rPr>
          <w:rFonts w:ascii="Calibri" w:hAnsi="Calibri" w:cs="Calibri"/>
          <w:noProof/>
          <w:szCs w:val="24"/>
        </w:rPr>
        <w:tab/>
        <w:t xml:space="preserve">Medicines for Children. Ibuprofen for pain and inflammation [Internet]. Medicines for Children. 2008 [cited 2018 Apr 21]. Available from: </w:t>
      </w:r>
      <w:r w:rsidRPr="00ED34F3">
        <w:rPr>
          <w:rFonts w:ascii="Calibri" w:hAnsi="Calibri" w:cs="Calibri"/>
          <w:noProof/>
          <w:szCs w:val="24"/>
        </w:rPr>
        <w:lastRenderedPageBreak/>
        <w:t>https://www.medicinesforchildren.org.uk/ibuprofen-pain-and-inflammation</w:t>
      </w:r>
    </w:p>
    <w:p w14:paraId="4459D3B9" w14:textId="77777777" w:rsidR="00A1229C" w:rsidRPr="00ED34F3" w:rsidRDefault="00A1229C" w:rsidP="00A1229C">
      <w:pPr>
        <w:widowControl w:val="0"/>
        <w:autoSpaceDE w:val="0"/>
        <w:autoSpaceDN w:val="0"/>
        <w:adjustRightInd w:val="0"/>
        <w:spacing w:after="0" w:line="360" w:lineRule="auto"/>
        <w:ind w:left="640" w:hanging="640"/>
        <w:rPr>
          <w:rFonts w:ascii="Calibri" w:hAnsi="Calibri" w:cs="Calibri"/>
          <w:noProof/>
          <w:szCs w:val="24"/>
        </w:rPr>
      </w:pPr>
      <w:r w:rsidRPr="00ED34F3">
        <w:rPr>
          <w:rFonts w:ascii="Calibri" w:hAnsi="Calibri" w:cs="Calibri"/>
          <w:noProof/>
          <w:szCs w:val="24"/>
        </w:rPr>
        <w:t xml:space="preserve">7. </w:t>
      </w:r>
      <w:r w:rsidRPr="00ED34F3">
        <w:rPr>
          <w:rFonts w:ascii="Calibri" w:hAnsi="Calibri" w:cs="Calibri"/>
          <w:noProof/>
          <w:szCs w:val="24"/>
        </w:rPr>
        <w:tab/>
        <w:t>National Institute for Health and Care Excellence. BNFc - Ibuprofen [Internet]. 2020 [cited 2020 Jan 11]. Available from: https://bnfc.nice.org.uk/drug/ibuprofen.html#sideEffects</w:t>
      </w:r>
    </w:p>
    <w:p w14:paraId="451C33C1" w14:textId="77777777" w:rsidR="00A1229C" w:rsidRPr="00ED34F3" w:rsidRDefault="00A1229C" w:rsidP="00A1229C">
      <w:pPr>
        <w:widowControl w:val="0"/>
        <w:autoSpaceDE w:val="0"/>
        <w:autoSpaceDN w:val="0"/>
        <w:adjustRightInd w:val="0"/>
        <w:spacing w:after="0" w:line="360" w:lineRule="auto"/>
        <w:ind w:left="640" w:hanging="640"/>
        <w:rPr>
          <w:rFonts w:ascii="Calibri" w:hAnsi="Calibri" w:cs="Calibri"/>
          <w:noProof/>
          <w:szCs w:val="24"/>
        </w:rPr>
      </w:pPr>
      <w:r w:rsidRPr="00ED34F3">
        <w:rPr>
          <w:rFonts w:ascii="Calibri" w:hAnsi="Calibri" w:cs="Calibri"/>
          <w:noProof/>
          <w:szCs w:val="24"/>
        </w:rPr>
        <w:t xml:space="preserve">8. </w:t>
      </w:r>
      <w:r w:rsidRPr="00ED34F3">
        <w:rPr>
          <w:rFonts w:ascii="Calibri" w:hAnsi="Calibri" w:cs="Calibri"/>
          <w:noProof/>
          <w:szCs w:val="24"/>
        </w:rPr>
        <w:tab/>
        <w:t>Baiardi P, Barbieri I, Principe D Del, Pietro P Di, Manzoni P, Marchetti F, et al. Caution on the use of NSAIDs in children: Recommendations by the Paediatric Working Group of AIFA (Italian Drug Agency) [Internet]. Vol. 29, Medico e Bambino. Edifram; 2010 [cited 2018 May 20]. p. 654–6. Available from: https://moh-it.pure.elsevier.com/en/publications/caution-on-the-use-of-nsaids-in-children-recommendations-by-the-p</w:t>
      </w:r>
    </w:p>
    <w:p w14:paraId="65FA3AE5" w14:textId="77777777" w:rsidR="00A1229C" w:rsidRPr="00ED34F3" w:rsidRDefault="00A1229C" w:rsidP="00A1229C">
      <w:pPr>
        <w:widowControl w:val="0"/>
        <w:autoSpaceDE w:val="0"/>
        <w:autoSpaceDN w:val="0"/>
        <w:adjustRightInd w:val="0"/>
        <w:spacing w:after="0" w:line="360" w:lineRule="auto"/>
        <w:ind w:left="640" w:hanging="640"/>
        <w:rPr>
          <w:rFonts w:ascii="Calibri" w:hAnsi="Calibri" w:cs="Calibri"/>
          <w:noProof/>
          <w:szCs w:val="24"/>
        </w:rPr>
      </w:pPr>
      <w:r w:rsidRPr="00ED34F3">
        <w:rPr>
          <w:rFonts w:ascii="Calibri" w:hAnsi="Calibri" w:cs="Calibri"/>
          <w:noProof/>
          <w:szCs w:val="24"/>
        </w:rPr>
        <w:t xml:space="preserve">9. </w:t>
      </w:r>
      <w:r w:rsidRPr="00ED34F3">
        <w:rPr>
          <w:rFonts w:ascii="Calibri" w:hAnsi="Calibri" w:cs="Calibri"/>
          <w:noProof/>
          <w:szCs w:val="24"/>
        </w:rPr>
        <w:tab/>
        <w:t>Kanabar DJ. A clinical and safety review of paracetamol and ibuprofen in children [Internet]. Vol. 25, Inflammopharmacology. Springer; 2017 [cited 2018 Apr 16]. p. 1–9. Available from: http://www.ncbi.nlm.nih.gov/pubmed/28063133</w:t>
      </w:r>
    </w:p>
    <w:p w14:paraId="4BB23D7B" w14:textId="77777777" w:rsidR="00A1229C" w:rsidRPr="00ED34F3" w:rsidRDefault="00A1229C" w:rsidP="00A1229C">
      <w:pPr>
        <w:widowControl w:val="0"/>
        <w:autoSpaceDE w:val="0"/>
        <w:autoSpaceDN w:val="0"/>
        <w:adjustRightInd w:val="0"/>
        <w:spacing w:after="0" w:line="360" w:lineRule="auto"/>
        <w:ind w:left="640" w:hanging="640"/>
        <w:rPr>
          <w:rFonts w:ascii="Calibri" w:hAnsi="Calibri" w:cs="Calibri"/>
          <w:noProof/>
          <w:szCs w:val="24"/>
        </w:rPr>
      </w:pPr>
      <w:r w:rsidRPr="00ED34F3">
        <w:rPr>
          <w:rFonts w:ascii="Calibri" w:hAnsi="Calibri" w:cs="Calibri"/>
          <w:noProof/>
          <w:szCs w:val="24"/>
        </w:rPr>
        <w:t xml:space="preserve">10. </w:t>
      </w:r>
      <w:r w:rsidRPr="00ED34F3">
        <w:rPr>
          <w:rFonts w:ascii="Calibri" w:hAnsi="Calibri" w:cs="Calibri"/>
          <w:noProof/>
          <w:szCs w:val="24"/>
        </w:rPr>
        <w:tab/>
        <w:t xml:space="preserve">Matamoros V, Nguyen LX, Arias CA, Salvadó V, Brix H. Evaluation of aquatic plants for removing polar microcontaminants: A microcosm experiment. Chemosphere. 2012 Aug;88(10):1257–64. </w:t>
      </w:r>
    </w:p>
    <w:p w14:paraId="0FED6CCE" w14:textId="77777777" w:rsidR="00A1229C" w:rsidRPr="00ED34F3" w:rsidRDefault="00A1229C" w:rsidP="00A1229C">
      <w:pPr>
        <w:widowControl w:val="0"/>
        <w:autoSpaceDE w:val="0"/>
        <w:autoSpaceDN w:val="0"/>
        <w:adjustRightInd w:val="0"/>
        <w:spacing w:after="0" w:line="360" w:lineRule="auto"/>
        <w:ind w:left="640" w:hanging="640"/>
        <w:rPr>
          <w:rFonts w:ascii="Calibri" w:hAnsi="Calibri" w:cs="Calibri"/>
          <w:noProof/>
          <w:szCs w:val="24"/>
        </w:rPr>
      </w:pPr>
      <w:r w:rsidRPr="00ED34F3">
        <w:rPr>
          <w:rFonts w:ascii="Calibri" w:hAnsi="Calibri" w:cs="Calibri"/>
          <w:noProof/>
          <w:szCs w:val="24"/>
        </w:rPr>
        <w:t xml:space="preserve">11. </w:t>
      </w:r>
      <w:r w:rsidRPr="00ED34F3">
        <w:rPr>
          <w:rFonts w:ascii="Calibri" w:hAnsi="Calibri" w:cs="Calibri"/>
          <w:noProof/>
          <w:szCs w:val="24"/>
        </w:rPr>
        <w:tab/>
        <w:t>Rainsford KD. Ibuprofen: Pharmacology, efficacy and safety [Internet]. Vol. 17, Inflammopharmacology. SP Birkhäuser Verlag Basel; 2009 [cited 2018 Apr 16]. p. 275–342. Available from: http://link.springer.com/10.1007/s10787-009-0016-x</w:t>
      </w:r>
    </w:p>
    <w:p w14:paraId="2273DB80" w14:textId="77777777" w:rsidR="00A1229C" w:rsidRPr="00ED34F3" w:rsidRDefault="00A1229C" w:rsidP="00A1229C">
      <w:pPr>
        <w:widowControl w:val="0"/>
        <w:autoSpaceDE w:val="0"/>
        <w:autoSpaceDN w:val="0"/>
        <w:adjustRightInd w:val="0"/>
        <w:spacing w:after="0" w:line="360" w:lineRule="auto"/>
        <w:ind w:left="640" w:hanging="640"/>
        <w:rPr>
          <w:rFonts w:ascii="Calibri" w:hAnsi="Calibri" w:cs="Calibri"/>
          <w:noProof/>
          <w:szCs w:val="24"/>
        </w:rPr>
      </w:pPr>
      <w:r w:rsidRPr="00ED34F3">
        <w:rPr>
          <w:rFonts w:ascii="Calibri" w:hAnsi="Calibri" w:cs="Calibri"/>
          <w:noProof/>
          <w:szCs w:val="24"/>
        </w:rPr>
        <w:t xml:space="preserve">12. </w:t>
      </w:r>
      <w:r w:rsidRPr="00ED34F3">
        <w:rPr>
          <w:rFonts w:ascii="Calibri" w:hAnsi="Calibri" w:cs="Calibri"/>
          <w:noProof/>
          <w:szCs w:val="24"/>
        </w:rPr>
        <w:tab/>
        <w:t>Abernethy DR, Greenblatt DJ. Ibuprofen disposition in obese individuals [Internet]. Vol. 28, Arthritis &amp; Rheumatism. Wiley-Blackwell; 1985 [cited 2018 Apr 16]. p. 1117–21. Available from: http://doi.wiley.com/10.1002/art.1780281006</w:t>
      </w:r>
    </w:p>
    <w:p w14:paraId="51B88DF9" w14:textId="77777777" w:rsidR="00A1229C" w:rsidRPr="00ED34F3" w:rsidRDefault="00A1229C" w:rsidP="00A1229C">
      <w:pPr>
        <w:widowControl w:val="0"/>
        <w:autoSpaceDE w:val="0"/>
        <w:autoSpaceDN w:val="0"/>
        <w:adjustRightInd w:val="0"/>
        <w:spacing w:after="0" w:line="360" w:lineRule="auto"/>
        <w:ind w:left="640" w:hanging="640"/>
        <w:rPr>
          <w:rFonts w:ascii="Calibri" w:hAnsi="Calibri" w:cs="Calibri"/>
          <w:noProof/>
          <w:szCs w:val="24"/>
        </w:rPr>
      </w:pPr>
      <w:r w:rsidRPr="00ED34F3">
        <w:rPr>
          <w:rFonts w:ascii="Calibri" w:hAnsi="Calibri" w:cs="Calibri"/>
          <w:noProof/>
          <w:szCs w:val="24"/>
        </w:rPr>
        <w:t xml:space="preserve">13. </w:t>
      </w:r>
      <w:r w:rsidRPr="00ED34F3">
        <w:rPr>
          <w:rFonts w:ascii="Calibri" w:hAnsi="Calibri" w:cs="Calibri"/>
          <w:noProof/>
          <w:szCs w:val="24"/>
        </w:rPr>
        <w:tab/>
        <w:t>CASP Checklists - CASP - Critical Appraisal Skills Programme [Internet]. Critical Appraisal Skills Programme. 2018 [cited 2019 Mar 28]. Available from: https://casp-uk.net/casp-tools-checklists/</w:t>
      </w:r>
    </w:p>
    <w:p w14:paraId="302B6672" w14:textId="77777777" w:rsidR="00A1229C" w:rsidRPr="00ED34F3" w:rsidRDefault="00A1229C" w:rsidP="00A1229C">
      <w:pPr>
        <w:widowControl w:val="0"/>
        <w:autoSpaceDE w:val="0"/>
        <w:autoSpaceDN w:val="0"/>
        <w:adjustRightInd w:val="0"/>
        <w:spacing w:after="0" w:line="360" w:lineRule="auto"/>
        <w:ind w:left="640" w:hanging="640"/>
        <w:rPr>
          <w:rFonts w:ascii="Calibri" w:hAnsi="Calibri" w:cs="Calibri"/>
          <w:noProof/>
          <w:szCs w:val="24"/>
        </w:rPr>
      </w:pPr>
      <w:r w:rsidRPr="00ED34F3">
        <w:rPr>
          <w:rFonts w:ascii="Calibri" w:hAnsi="Calibri" w:cs="Calibri"/>
          <w:noProof/>
          <w:szCs w:val="24"/>
        </w:rPr>
        <w:t xml:space="preserve">14. </w:t>
      </w:r>
      <w:r w:rsidRPr="00ED34F3">
        <w:rPr>
          <w:rFonts w:ascii="Calibri" w:hAnsi="Calibri" w:cs="Calibri"/>
          <w:noProof/>
          <w:szCs w:val="24"/>
        </w:rPr>
        <w:tab/>
        <w:t xml:space="preserve">Liu C, Ulualp SO. Outcomes of an Alternating Ibuprofen and Acetaminophen Regimen for Pain Relief after Tonsillectomy in Children. Vol. 124, Annals of Otology, Rhinology and Laryngology. 2015. p. 777–81. </w:t>
      </w:r>
    </w:p>
    <w:p w14:paraId="0C05E6DA" w14:textId="77777777" w:rsidR="00A1229C" w:rsidRPr="00ED34F3" w:rsidRDefault="00A1229C" w:rsidP="00A1229C">
      <w:pPr>
        <w:widowControl w:val="0"/>
        <w:autoSpaceDE w:val="0"/>
        <w:autoSpaceDN w:val="0"/>
        <w:adjustRightInd w:val="0"/>
        <w:spacing w:after="0" w:line="360" w:lineRule="auto"/>
        <w:ind w:left="640" w:hanging="640"/>
        <w:rPr>
          <w:rFonts w:ascii="Calibri" w:hAnsi="Calibri" w:cs="Calibri"/>
          <w:noProof/>
          <w:szCs w:val="24"/>
        </w:rPr>
      </w:pPr>
      <w:r w:rsidRPr="00ED34F3">
        <w:rPr>
          <w:rFonts w:ascii="Calibri" w:hAnsi="Calibri" w:cs="Calibri"/>
          <w:noProof/>
          <w:szCs w:val="24"/>
        </w:rPr>
        <w:t xml:space="preserve">15. </w:t>
      </w:r>
      <w:r w:rsidRPr="00ED34F3">
        <w:rPr>
          <w:rFonts w:ascii="Calibri" w:hAnsi="Calibri" w:cs="Calibri"/>
          <w:noProof/>
          <w:szCs w:val="24"/>
        </w:rPr>
        <w:tab/>
        <w:t>Gade C, Christensen HR, Dalhoff KP, Holm JC, Holst H. Inconsistencies in dosage practice in children with overweight or obesity: A retrospective cohort study [Internet]. Vol. 6, Pharmacology Research and Perspectives. John Wiley &amp; Sons, Ltd; 2018 [cited 2019 Jan 16]. p. e00398. Available from: http://doi.wiley.com/10.1002/prp2.398</w:t>
      </w:r>
    </w:p>
    <w:p w14:paraId="5975FEF4" w14:textId="77777777" w:rsidR="00A1229C" w:rsidRPr="00ED34F3" w:rsidRDefault="00A1229C" w:rsidP="00A1229C">
      <w:pPr>
        <w:widowControl w:val="0"/>
        <w:autoSpaceDE w:val="0"/>
        <w:autoSpaceDN w:val="0"/>
        <w:adjustRightInd w:val="0"/>
        <w:spacing w:after="0" w:line="360" w:lineRule="auto"/>
        <w:ind w:left="640" w:hanging="640"/>
        <w:rPr>
          <w:rFonts w:ascii="Calibri" w:hAnsi="Calibri" w:cs="Calibri"/>
          <w:noProof/>
          <w:szCs w:val="24"/>
        </w:rPr>
      </w:pPr>
      <w:r w:rsidRPr="00ED34F3">
        <w:rPr>
          <w:rFonts w:ascii="Calibri" w:hAnsi="Calibri" w:cs="Calibri"/>
          <w:noProof/>
          <w:szCs w:val="24"/>
        </w:rPr>
        <w:t xml:space="preserve">16. </w:t>
      </w:r>
      <w:r w:rsidRPr="00ED34F3">
        <w:rPr>
          <w:rFonts w:ascii="Calibri" w:hAnsi="Calibri" w:cs="Calibri"/>
          <w:noProof/>
          <w:szCs w:val="24"/>
        </w:rPr>
        <w:tab/>
        <w:t xml:space="preserve">Moffett BS, Gutierrez K, Davis K, Sigdel B, Strobel N. Antipyretic Efficacy of Acetaminophen and Ibuprofen in Critically Ill Pediatric Patients. Pediatr Crit Care Med. 2019;20(8):E386–93. </w:t>
      </w:r>
    </w:p>
    <w:p w14:paraId="1EC2B49A" w14:textId="77777777" w:rsidR="00A1229C" w:rsidRPr="00ED34F3" w:rsidRDefault="00A1229C" w:rsidP="00A1229C">
      <w:pPr>
        <w:widowControl w:val="0"/>
        <w:autoSpaceDE w:val="0"/>
        <w:autoSpaceDN w:val="0"/>
        <w:adjustRightInd w:val="0"/>
        <w:spacing w:after="0" w:line="360" w:lineRule="auto"/>
        <w:ind w:left="640" w:hanging="640"/>
        <w:rPr>
          <w:rFonts w:ascii="Calibri" w:hAnsi="Calibri" w:cs="Calibri"/>
          <w:noProof/>
          <w:szCs w:val="24"/>
        </w:rPr>
      </w:pPr>
      <w:r w:rsidRPr="00ED34F3">
        <w:rPr>
          <w:rFonts w:ascii="Calibri" w:hAnsi="Calibri" w:cs="Calibri"/>
          <w:noProof/>
          <w:szCs w:val="24"/>
        </w:rPr>
        <w:t xml:space="preserve">17. </w:t>
      </w:r>
      <w:r w:rsidRPr="00ED34F3">
        <w:rPr>
          <w:rFonts w:ascii="Calibri" w:hAnsi="Calibri" w:cs="Calibri"/>
          <w:noProof/>
          <w:szCs w:val="24"/>
        </w:rPr>
        <w:tab/>
        <w:t xml:space="preserve">Ross EL, Heizer J, Mixon MA, Jorgensen J, Valdez CA, Czaja AS, et al. Development of recommendations for dosing of commonly prescribed medications in critically ill obese </w:t>
      </w:r>
      <w:r w:rsidRPr="00ED34F3">
        <w:rPr>
          <w:rFonts w:ascii="Calibri" w:hAnsi="Calibri" w:cs="Calibri"/>
          <w:noProof/>
          <w:szCs w:val="24"/>
        </w:rPr>
        <w:lastRenderedPageBreak/>
        <w:t xml:space="preserve">children. Vol. 72, American Journal of Health-System Pharmacy. 2015. p. 542–56. </w:t>
      </w:r>
    </w:p>
    <w:p w14:paraId="2E97493E" w14:textId="77777777" w:rsidR="00A1229C" w:rsidRPr="00ED34F3" w:rsidRDefault="00A1229C" w:rsidP="00A1229C">
      <w:pPr>
        <w:widowControl w:val="0"/>
        <w:autoSpaceDE w:val="0"/>
        <w:autoSpaceDN w:val="0"/>
        <w:adjustRightInd w:val="0"/>
        <w:spacing w:after="0" w:line="360" w:lineRule="auto"/>
        <w:ind w:left="640" w:hanging="640"/>
        <w:rPr>
          <w:rFonts w:ascii="Calibri" w:hAnsi="Calibri" w:cs="Calibri"/>
          <w:noProof/>
          <w:szCs w:val="24"/>
        </w:rPr>
      </w:pPr>
      <w:r w:rsidRPr="00ED34F3">
        <w:rPr>
          <w:rFonts w:ascii="Calibri" w:hAnsi="Calibri" w:cs="Calibri"/>
          <w:noProof/>
          <w:szCs w:val="24"/>
        </w:rPr>
        <w:t xml:space="preserve">18. </w:t>
      </w:r>
      <w:r w:rsidRPr="00ED34F3">
        <w:rPr>
          <w:rFonts w:ascii="Calibri" w:hAnsi="Calibri" w:cs="Calibri"/>
          <w:noProof/>
          <w:szCs w:val="24"/>
        </w:rPr>
        <w:tab/>
        <w:t xml:space="preserve">Su L, Li Y, Xu R, Luo F, Gao Q, Chen R, et al. Association of Ibuprofen Prescription with Acute Kidney Injury among Hospitalized Children in China. JAMA Netw Open. 2021;4(3):1–13. </w:t>
      </w:r>
    </w:p>
    <w:p w14:paraId="7CE1AC6E" w14:textId="77777777" w:rsidR="00A1229C" w:rsidRPr="00ED34F3" w:rsidRDefault="00A1229C" w:rsidP="00A1229C">
      <w:pPr>
        <w:widowControl w:val="0"/>
        <w:autoSpaceDE w:val="0"/>
        <w:autoSpaceDN w:val="0"/>
        <w:adjustRightInd w:val="0"/>
        <w:spacing w:after="0" w:line="360" w:lineRule="auto"/>
        <w:ind w:left="640" w:hanging="640"/>
        <w:rPr>
          <w:rFonts w:ascii="Calibri" w:hAnsi="Calibri" w:cs="Calibri"/>
          <w:noProof/>
          <w:szCs w:val="24"/>
        </w:rPr>
      </w:pPr>
      <w:r w:rsidRPr="00ED34F3">
        <w:rPr>
          <w:rFonts w:ascii="Calibri" w:hAnsi="Calibri" w:cs="Calibri"/>
          <w:noProof/>
          <w:szCs w:val="24"/>
        </w:rPr>
        <w:t xml:space="preserve">19. </w:t>
      </w:r>
      <w:r w:rsidRPr="00ED34F3">
        <w:rPr>
          <w:rFonts w:ascii="Calibri" w:hAnsi="Calibri" w:cs="Calibri"/>
          <w:noProof/>
          <w:szCs w:val="24"/>
        </w:rPr>
        <w:tab/>
        <w:t xml:space="preserve">Balestracci A, Ezquer M, Elmo ME, Molini A, Thorel C, Torrents M, et al. Ibuprofen-associated acute kidney injury in dehydrated children with acute gastroenteritis. Pediatr Nephrol. 2015;30(10):1873–8. </w:t>
      </w:r>
    </w:p>
    <w:p w14:paraId="78A10127" w14:textId="77777777" w:rsidR="00A1229C" w:rsidRPr="00ED34F3" w:rsidRDefault="00A1229C" w:rsidP="00A1229C">
      <w:pPr>
        <w:widowControl w:val="0"/>
        <w:autoSpaceDE w:val="0"/>
        <w:autoSpaceDN w:val="0"/>
        <w:adjustRightInd w:val="0"/>
        <w:spacing w:after="0" w:line="360" w:lineRule="auto"/>
        <w:ind w:left="640" w:hanging="640"/>
        <w:rPr>
          <w:rFonts w:ascii="Calibri" w:hAnsi="Calibri" w:cs="Calibri"/>
          <w:noProof/>
          <w:szCs w:val="24"/>
        </w:rPr>
      </w:pPr>
      <w:r w:rsidRPr="00ED34F3">
        <w:rPr>
          <w:rFonts w:ascii="Calibri" w:hAnsi="Calibri" w:cs="Calibri"/>
          <w:noProof/>
          <w:szCs w:val="24"/>
        </w:rPr>
        <w:t xml:space="preserve">20. </w:t>
      </w:r>
      <w:r w:rsidRPr="00ED34F3">
        <w:rPr>
          <w:rFonts w:ascii="Calibri" w:hAnsi="Calibri" w:cs="Calibri"/>
          <w:noProof/>
          <w:szCs w:val="24"/>
        </w:rPr>
        <w:tab/>
        <w:t>Misurac JM, Knoderer CA, Leiser JD, Nailescu C, Wilson AC, Andreoli SP. Nonsteroidal anti-inflammatory drugs are an important cause of acute kidney injury in children. J Pediatr [Internet]. 2013;162(6):1153-1159.e1. Available from: http://dx.doi.org/10.1016/j.jpeds.2012.11.069</w:t>
      </w:r>
    </w:p>
    <w:p w14:paraId="53B6257C" w14:textId="77777777" w:rsidR="00A1229C" w:rsidRPr="00ED34F3" w:rsidRDefault="00A1229C" w:rsidP="00A1229C">
      <w:pPr>
        <w:widowControl w:val="0"/>
        <w:autoSpaceDE w:val="0"/>
        <w:autoSpaceDN w:val="0"/>
        <w:adjustRightInd w:val="0"/>
        <w:spacing w:after="0" w:line="360" w:lineRule="auto"/>
        <w:ind w:left="640" w:hanging="640"/>
        <w:rPr>
          <w:rFonts w:ascii="Calibri" w:hAnsi="Calibri" w:cs="Calibri"/>
          <w:noProof/>
          <w:szCs w:val="24"/>
        </w:rPr>
      </w:pPr>
      <w:r w:rsidRPr="00ED34F3">
        <w:rPr>
          <w:rFonts w:ascii="Calibri" w:hAnsi="Calibri" w:cs="Calibri"/>
          <w:noProof/>
          <w:szCs w:val="24"/>
        </w:rPr>
        <w:t xml:space="preserve">21. </w:t>
      </w:r>
      <w:r w:rsidRPr="00ED34F3">
        <w:rPr>
          <w:rFonts w:ascii="Calibri" w:hAnsi="Calibri" w:cs="Calibri"/>
          <w:noProof/>
          <w:szCs w:val="24"/>
        </w:rPr>
        <w:tab/>
        <w:t xml:space="preserve">Nelson DA, Marks ES, Deuster PA, O’Connor FG, Kurina LM. Association of Nonsteroidal Anti-inflammatory Drug Prescriptions with Kidney Disease among Active Young and Middle-aged Adults. JAMA Netw Open. 2019;2(2). </w:t>
      </w:r>
    </w:p>
    <w:p w14:paraId="0DC8EAAE" w14:textId="77777777" w:rsidR="00A1229C" w:rsidRPr="00ED34F3" w:rsidRDefault="00A1229C" w:rsidP="00A1229C">
      <w:pPr>
        <w:widowControl w:val="0"/>
        <w:autoSpaceDE w:val="0"/>
        <w:autoSpaceDN w:val="0"/>
        <w:adjustRightInd w:val="0"/>
        <w:spacing w:after="0" w:line="360" w:lineRule="auto"/>
        <w:ind w:left="640" w:hanging="640"/>
        <w:rPr>
          <w:rFonts w:ascii="Calibri" w:hAnsi="Calibri" w:cs="Calibri"/>
          <w:noProof/>
        </w:rPr>
      </w:pPr>
      <w:r w:rsidRPr="00ED34F3">
        <w:rPr>
          <w:rFonts w:ascii="Calibri" w:hAnsi="Calibri" w:cs="Calibri"/>
          <w:noProof/>
          <w:szCs w:val="24"/>
        </w:rPr>
        <w:t xml:space="preserve">22. </w:t>
      </w:r>
      <w:r w:rsidRPr="00ED34F3">
        <w:rPr>
          <w:rFonts w:ascii="Calibri" w:hAnsi="Calibri" w:cs="Calibri"/>
          <w:noProof/>
          <w:szCs w:val="24"/>
        </w:rPr>
        <w:tab/>
        <w:t>Batchelor H, Appleton R, Hawcutt DB. Comparing paediatric intravenous phenytoin doses using physiologically based pharmacokinetic (PBPK) modelling software. Seizure [Internet]. 2015;33:8–12. Available from: http://dx.doi.org/10.1016/j.seizure.2015.10.006</w:t>
      </w:r>
    </w:p>
    <w:p w14:paraId="6FDFC683" w14:textId="77777777" w:rsidR="00A1229C" w:rsidRDefault="00A1229C" w:rsidP="00A1229C">
      <w:pPr>
        <w:widowControl w:val="0"/>
        <w:autoSpaceDE w:val="0"/>
        <w:autoSpaceDN w:val="0"/>
        <w:adjustRightInd w:val="0"/>
        <w:spacing w:after="0" w:line="360" w:lineRule="auto"/>
        <w:ind w:left="640" w:hanging="640"/>
        <w:rPr>
          <w:rFonts w:eastAsiaTheme="majorEastAsia" w:cstheme="minorHAnsi"/>
          <w:color w:val="729928" w:themeColor="accent1" w:themeShade="BF"/>
          <w:sz w:val="32"/>
          <w:szCs w:val="32"/>
        </w:rPr>
      </w:pPr>
      <w:r w:rsidRPr="00295A88">
        <w:rPr>
          <w:rFonts w:cstheme="minorHAnsi"/>
        </w:rPr>
        <w:fldChar w:fldCharType="end"/>
      </w:r>
      <w:r w:rsidRPr="00B67CA5">
        <w:rPr>
          <w:rFonts w:eastAsiaTheme="majorEastAsia" w:cstheme="minorHAnsi"/>
          <w:color w:val="729928" w:themeColor="accent1" w:themeShade="BF"/>
          <w:sz w:val="32"/>
          <w:szCs w:val="32"/>
        </w:rPr>
        <w:t xml:space="preserve"> </w:t>
      </w:r>
    </w:p>
    <w:p w14:paraId="76CF7D5B" w14:textId="77777777" w:rsidR="00A1229C" w:rsidRPr="00B67CA5" w:rsidRDefault="00A1229C" w:rsidP="00A1229C">
      <w:pPr>
        <w:widowControl w:val="0"/>
        <w:autoSpaceDE w:val="0"/>
        <w:autoSpaceDN w:val="0"/>
        <w:adjustRightInd w:val="0"/>
        <w:spacing w:after="0" w:line="360" w:lineRule="auto"/>
        <w:ind w:left="640" w:hanging="640"/>
        <w:rPr>
          <w:rFonts w:eastAsiaTheme="majorEastAsia" w:cstheme="minorHAnsi"/>
          <w:color w:val="729928" w:themeColor="accent1" w:themeShade="BF"/>
          <w:sz w:val="32"/>
          <w:szCs w:val="32"/>
        </w:rPr>
      </w:pPr>
    </w:p>
    <w:p w14:paraId="1109104F" w14:textId="77777777" w:rsidR="00A1229C" w:rsidRPr="00EE6F0D" w:rsidRDefault="00A1229C" w:rsidP="00A1229C">
      <w:pPr>
        <w:rPr>
          <w:rFonts w:eastAsiaTheme="majorEastAsia" w:cstheme="minorHAnsi"/>
          <w:color w:val="729928" w:themeColor="accent1" w:themeShade="BF"/>
          <w:sz w:val="32"/>
          <w:szCs w:val="32"/>
        </w:rPr>
      </w:pPr>
      <w:r>
        <w:rPr>
          <w:rFonts w:eastAsiaTheme="majorEastAsia" w:cstheme="minorHAnsi"/>
          <w:color w:val="729928" w:themeColor="accent1" w:themeShade="BF"/>
          <w:sz w:val="32"/>
          <w:szCs w:val="32"/>
        </w:rPr>
        <w:t>FIGURES AND TABLES</w:t>
      </w:r>
    </w:p>
    <w:p w14:paraId="23C3711B" w14:textId="77777777" w:rsidR="00A1229C" w:rsidRPr="00295A88" w:rsidRDefault="00A1229C" w:rsidP="00A1229C">
      <w:pPr>
        <w:spacing w:after="0" w:line="360" w:lineRule="auto"/>
        <w:jc w:val="both"/>
        <w:rPr>
          <w:rFonts w:cstheme="minorHAnsi"/>
          <w:sz w:val="24"/>
          <w:szCs w:val="24"/>
        </w:rPr>
      </w:pPr>
    </w:p>
    <w:p w14:paraId="1BD6DA73" w14:textId="77777777" w:rsidR="00A1229C" w:rsidRPr="00295A88" w:rsidRDefault="00A1229C" w:rsidP="00A1229C">
      <w:pPr>
        <w:pStyle w:val="Caption"/>
        <w:keepNext/>
        <w:rPr>
          <w:rFonts w:cstheme="minorHAnsi"/>
          <w:color w:val="99CB38" w:themeColor="accent1"/>
          <w:sz w:val="24"/>
        </w:rPr>
      </w:pPr>
      <w:r w:rsidRPr="00295A88">
        <w:rPr>
          <w:rFonts w:cstheme="minorHAnsi"/>
          <w:b/>
          <w:color w:val="99CB38" w:themeColor="accent1"/>
          <w:sz w:val="24"/>
        </w:rPr>
        <w:t>Table 1</w:t>
      </w:r>
      <w:r w:rsidRPr="00295A88">
        <w:rPr>
          <w:rFonts w:cstheme="minorHAnsi"/>
          <w:color w:val="99CB38" w:themeColor="accent1"/>
          <w:sz w:val="24"/>
        </w:rPr>
        <w:t xml:space="preserve"> Search terms used to identify relevant papers in this systematic review</w:t>
      </w:r>
    </w:p>
    <w:tbl>
      <w:tblPr>
        <w:tblStyle w:val="GridTable5Dark-Accent11"/>
        <w:tblW w:w="0" w:type="auto"/>
        <w:jc w:val="center"/>
        <w:tblLook w:val="04A0" w:firstRow="1" w:lastRow="0" w:firstColumn="1" w:lastColumn="0" w:noHBand="0" w:noVBand="1"/>
      </w:tblPr>
      <w:tblGrid>
        <w:gridCol w:w="1124"/>
        <w:gridCol w:w="7892"/>
      </w:tblGrid>
      <w:tr w:rsidR="00A1229C" w:rsidRPr="00295A88" w14:paraId="6C7A7759" w14:textId="77777777" w:rsidTr="00DC66B5">
        <w:trPr>
          <w:cnfStyle w:val="100000000000" w:firstRow="1" w:lastRow="0" w:firstColumn="0" w:lastColumn="0" w:oddVBand="0" w:evenVBand="0" w:oddHBand="0" w:evenHBand="0" w:firstRowFirstColumn="0" w:firstRowLastColumn="0" w:lastRowFirstColumn="0" w:lastRowLastColumn="0"/>
          <w:trHeight w:val="648"/>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C8725C0" w14:textId="77777777" w:rsidR="00A1229C" w:rsidRPr="00295A88" w:rsidRDefault="00A1229C" w:rsidP="00DC66B5">
            <w:pPr>
              <w:spacing w:line="360" w:lineRule="auto"/>
              <w:jc w:val="center"/>
              <w:rPr>
                <w:rFonts w:cstheme="minorHAnsi"/>
                <w:sz w:val="24"/>
                <w:szCs w:val="24"/>
              </w:rPr>
            </w:pPr>
            <w:r w:rsidRPr="00295A88">
              <w:rPr>
                <w:rFonts w:cstheme="minorHAnsi"/>
                <w:sz w:val="24"/>
                <w:szCs w:val="24"/>
              </w:rPr>
              <w:t>Theme</w:t>
            </w:r>
          </w:p>
        </w:tc>
        <w:tc>
          <w:tcPr>
            <w:tcW w:w="0" w:type="auto"/>
            <w:vAlign w:val="center"/>
          </w:tcPr>
          <w:p w14:paraId="07C00488" w14:textId="77777777" w:rsidR="00A1229C" w:rsidRPr="00295A88" w:rsidRDefault="00A1229C" w:rsidP="00DC66B5">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95A88">
              <w:rPr>
                <w:rFonts w:cstheme="minorHAnsi"/>
                <w:sz w:val="24"/>
                <w:szCs w:val="24"/>
              </w:rPr>
              <w:t>Search Terms</w:t>
            </w:r>
          </w:p>
        </w:tc>
      </w:tr>
      <w:tr w:rsidR="00A1229C" w:rsidRPr="00295A88" w14:paraId="16072892" w14:textId="77777777" w:rsidTr="00DC66B5">
        <w:trPr>
          <w:cnfStyle w:val="000000100000" w:firstRow="0" w:lastRow="0" w:firstColumn="0" w:lastColumn="0" w:oddVBand="0" w:evenVBand="0" w:oddHBand="1" w:evenHBand="0" w:firstRowFirstColumn="0" w:firstRowLastColumn="0" w:lastRowFirstColumn="0" w:lastRowLastColumn="0"/>
          <w:trHeight w:val="4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1417609" w14:textId="77777777" w:rsidR="00A1229C" w:rsidRPr="00295A88" w:rsidRDefault="00A1229C" w:rsidP="00DC66B5">
            <w:pPr>
              <w:spacing w:line="360" w:lineRule="auto"/>
              <w:jc w:val="center"/>
              <w:rPr>
                <w:rFonts w:cstheme="minorHAnsi"/>
              </w:rPr>
            </w:pPr>
            <w:r w:rsidRPr="00295A88">
              <w:rPr>
                <w:rFonts w:cstheme="minorHAnsi"/>
              </w:rPr>
              <w:t>Children</w:t>
            </w:r>
          </w:p>
        </w:tc>
        <w:tc>
          <w:tcPr>
            <w:tcW w:w="0" w:type="auto"/>
            <w:vAlign w:val="center"/>
          </w:tcPr>
          <w:p w14:paraId="375A15E8" w14:textId="77777777" w:rsidR="00A1229C" w:rsidRPr="00295A88" w:rsidRDefault="00A1229C" w:rsidP="00DC66B5">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295A88">
              <w:rPr>
                <w:rFonts w:cstheme="minorHAnsi"/>
              </w:rPr>
              <w:t xml:space="preserve">(Infant* OR infancy OR Newborn* OR Baby* OR Babies OR </w:t>
            </w:r>
            <w:proofErr w:type="spellStart"/>
            <w:r w:rsidRPr="00295A88">
              <w:rPr>
                <w:rFonts w:cstheme="minorHAnsi"/>
              </w:rPr>
              <w:t>Neonat</w:t>
            </w:r>
            <w:proofErr w:type="spellEnd"/>
            <w:r w:rsidRPr="00295A88">
              <w:rPr>
                <w:rFonts w:cstheme="minorHAnsi"/>
              </w:rPr>
              <w:t xml:space="preserve">* OR Preterm* OR </w:t>
            </w:r>
            <w:proofErr w:type="spellStart"/>
            <w:r w:rsidRPr="00295A88">
              <w:rPr>
                <w:rFonts w:cstheme="minorHAnsi"/>
              </w:rPr>
              <w:t>Prematur</w:t>
            </w:r>
            <w:proofErr w:type="spellEnd"/>
            <w:r w:rsidRPr="00295A88">
              <w:rPr>
                <w:rFonts w:cstheme="minorHAnsi"/>
              </w:rPr>
              <w:t xml:space="preserve">* OR </w:t>
            </w:r>
            <w:proofErr w:type="spellStart"/>
            <w:r w:rsidRPr="00295A88">
              <w:rPr>
                <w:rFonts w:cstheme="minorHAnsi"/>
              </w:rPr>
              <w:t>Postmatur</w:t>
            </w:r>
            <w:proofErr w:type="spellEnd"/>
            <w:r w:rsidRPr="00295A88">
              <w:rPr>
                <w:rFonts w:cstheme="minorHAnsi"/>
              </w:rPr>
              <w:t xml:space="preserve">* OR Child* OR Schoolchild* OR School age* OR Preschool* OR Kid OR Kids OR Toddler* OR </w:t>
            </w:r>
            <w:proofErr w:type="spellStart"/>
            <w:r w:rsidRPr="00295A88">
              <w:rPr>
                <w:rFonts w:cstheme="minorHAnsi"/>
              </w:rPr>
              <w:t>Adoles</w:t>
            </w:r>
            <w:proofErr w:type="spellEnd"/>
            <w:r w:rsidRPr="00295A88">
              <w:rPr>
                <w:rFonts w:cstheme="minorHAnsi"/>
              </w:rPr>
              <w:t xml:space="preserve">* OR Teen* OR Boy* OR Girl* OR Minors* OR </w:t>
            </w:r>
            <w:proofErr w:type="spellStart"/>
            <w:r w:rsidRPr="00295A88">
              <w:rPr>
                <w:rFonts w:cstheme="minorHAnsi"/>
              </w:rPr>
              <w:t>Pubert</w:t>
            </w:r>
            <w:proofErr w:type="spellEnd"/>
            <w:r w:rsidRPr="00295A88">
              <w:rPr>
                <w:rFonts w:cstheme="minorHAnsi"/>
              </w:rPr>
              <w:t xml:space="preserve">* OR </w:t>
            </w:r>
            <w:proofErr w:type="spellStart"/>
            <w:r w:rsidRPr="00295A88">
              <w:rPr>
                <w:rFonts w:cstheme="minorHAnsi"/>
              </w:rPr>
              <w:t>Pubescen</w:t>
            </w:r>
            <w:proofErr w:type="spellEnd"/>
            <w:r w:rsidRPr="00295A88">
              <w:rPr>
                <w:rFonts w:cstheme="minorHAnsi"/>
              </w:rPr>
              <w:t xml:space="preserve">* OR </w:t>
            </w:r>
            <w:proofErr w:type="spellStart"/>
            <w:r w:rsidRPr="00295A88">
              <w:rPr>
                <w:rFonts w:cstheme="minorHAnsi"/>
              </w:rPr>
              <w:t>Prepubescen</w:t>
            </w:r>
            <w:proofErr w:type="spellEnd"/>
            <w:r w:rsidRPr="00295A88">
              <w:rPr>
                <w:rFonts w:cstheme="minorHAnsi"/>
              </w:rPr>
              <w:t xml:space="preserve">* OR Paediatric* OR </w:t>
            </w:r>
            <w:proofErr w:type="spellStart"/>
            <w:r w:rsidRPr="00295A88">
              <w:rPr>
                <w:rFonts w:cstheme="minorHAnsi"/>
              </w:rPr>
              <w:t>Peadiatric</w:t>
            </w:r>
            <w:proofErr w:type="spellEnd"/>
            <w:r w:rsidRPr="00295A88">
              <w:rPr>
                <w:rFonts w:cstheme="minorHAnsi"/>
              </w:rPr>
              <w:t xml:space="preserve">* OR </w:t>
            </w:r>
            <w:proofErr w:type="spellStart"/>
            <w:r w:rsidRPr="00295A88">
              <w:rPr>
                <w:rFonts w:cstheme="minorHAnsi"/>
              </w:rPr>
              <w:t>Pediatric</w:t>
            </w:r>
            <w:proofErr w:type="spellEnd"/>
            <w:r w:rsidRPr="00295A88">
              <w:rPr>
                <w:rFonts w:cstheme="minorHAnsi"/>
              </w:rPr>
              <w:t xml:space="preserve">* OR School* OR Nursery school* OR </w:t>
            </w:r>
            <w:proofErr w:type="spellStart"/>
            <w:r w:rsidRPr="00295A88">
              <w:rPr>
                <w:rFonts w:cstheme="minorHAnsi"/>
              </w:rPr>
              <w:t>Kindergar</w:t>
            </w:r>
            <w:proofErr w:type="spellEnd"/>
            <w:r w:rsidRPr="00295A88">
              <w:rPr>
                <w:rFonts w:cstheme="minorHAnsi"/>
              </w:rPr>
              <w:t>* OR Primary school* OR Secondary school* OR Elementary school* OR High school* OR Highschool*)</w:t>
            </w:r>
          </w:p>
        </w:tc>
      </w:tr>
      <w:tr w:rsidR="00A1229C" w:rsidRPr="00295A88" w14:paraId="0774622D" w14:textId="77777777" w:rsidTr="00DC66B5">
        <w:trPr>
          <w:trHeight w:val="484"/>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BAC20DD" w14:textId="77777777" w:rsidR="00A1229C" w:rsidRPr="00295A88" w:rsidRDefault="00A1229C" w:rsidP="00DC66B5">
            <w:pPr>
              <w:spacing w:line="360" w:lineRule="auto"/>
              <w:jc w:val="center"/>
              <w:rPr>
                <w:rFonts w:cstheme="minorHAnsi"/>
              </w:rPr>
            </w:pPr>
            <w:r w:rsidRPr="00295A88">
              <w:rPr>
                <w:rFonts w:cstheme="minorHAnsi"/>
              </w:rPr>
              <w:t>Obesity</w:t>
            </w:r>
          </w:p>
        </w:tc>
        <w:tc>
          <w:tcPr>
            <w:tcW w:w="0" w:type="auto"/>
            <w:vAlign w:val="center"/>
          </w:tcPr>
          <w:p w14:paraId="05757E21" w14:textId="77777777" w:rsidR="00A1229C" w:rsidRPr="00295A88" w:rsidRDefault="00A1229C" w:rsidP="00DC66B5">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295A88">
              <w:rPr>
                <w:rFonts w:cstheme="minorHAnsi"/>
              </w:rPr>
              <w:t>(</w:t>
            </w:r>
            <w:proofErr w:type="spellStart"/>
            <w:r w:rsidRPr="00295A88">
              <w:rPr>
                <w:rFonts w:cstheme="minorHAnsi"/>
              </w:rPr>
              <w:t>Obes</w:t>
            </w:r>
            <w:proofErr w:type="spellEnd"/>
            <w:r w:rsidRPr="00295A88">
              <w:rPr>
                <w:rFonts w:cstheme="minorHAnsi"/>
              </w:rPr>
              <w:t>* OR Overweight)</w:t>
            </w:r>
          </w:p>
        </w:tc>
      </w:tr>
      <w:tr w:rsidR="00A1229C" w:rsidRPr="00295A88" w14:paraId="7D8673C7" w14:textId="77777777" w:rsidTr="00DC66B5">
        <w:trPr>
          <w:cnfStyle w:val="000000100000" w:firstRow="0" w:lastRow="0" w:firstColumn="0" w:lastColumn="0" w:oddVBand="0" w:evenVBand="0" w:oddHBand="1" w:evenHBand="0" w:firstRowFirstColumn="0" w:firstRowLastColumn="0" w:lastRowFirstColumn="0" w:lastRowLastColumn="0"/>
          <w:trHeight w:val="4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6E715F1" w14:textId="77777777" w:rsidR="00A1229C" w:rsidRPr="00295A88" w:rsidRDefault="00A1229C" w:rsidP="00DC66B5">
            <w:pPr>
              <w:spacing w:line="360" w:lineRule="auto"/>
              <w:jc w:val="center"/>
              <w:rPr>
                <w:rFonts w:cstheme="minorHAnsi"/>
              </w:rPr>
            </w:pPr>
            <w:r w:rsidRPr="00295A88">
              <w:rPr>
                <w:rFonts w:cstheme="minorHAnsi"/>
              </w:rPr>
              <w:t>Dosing</w:t>
            </w:r>
          </w:p>
        </w:tc>
        <w:tc>
          <w:tcPr>
            <w:tcW w:w="0" w:type="auto"/>
            <w:vAlign w:val="center"/>
          </w:tcPr>
          <w:p w14:paraId="3A417DDE" w14:textId="77777777" w:rsidR="00A1229C" w:rsidRPr="00295A88" w:rsidRDefault="00A1229C" w:rsidP="00DC66B5">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295A88">
              <w:rPr>
                <w:rFonts w:cstheme="minorHAnsi"/>
              </w:rPr>
              <w:t>(Prescribing OR Dosage OR Dosing OR Dose OR Prescribe)</w:t>
            </w:r>
          </w:p>
        </w:tc>
      </w:tr>
      <w:tr w:rsidR="00A1229C" w:rsidRPr="00295A88" w14:paraId="084B0397" w14:textId="77777777" w:rsidTr="00DC66B5">
        <w:trPr>
          <w:trHeight w:val="484"/>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A149A19" w14:textId="77777777" w:rsidR="00A1229C" w:rsidRPr="00295A88" w:rsidRDefault="00A1229C" w:rsidP="00DC66B5">
            <w:pPr>
              <w:spacing w:line="360" w:lineRule="auto"/>
              <w:jc w:val="center"/>
              <w:rPr>
                <w:rFonts w:cstheme="minorHAnsi"/>
              </w:rPr>
            </w:pPr>
            <w:r w:rsidRPr="00295A88">
              <w:rPr>
                <w:rFonts w:cstheme="minorHAnsi"/>
              </w:rPr>
              <w:t>Ibuprofen</w:t>
            </w:r>
          </w:p>
        </w:tc>
        <w:tc>
          <w:tcPr>
            <w:tcW w:w="0" w:type="auto"/>
            <w:vAlign w:val="center"/>
          </w:tcPr>
          <w:p w14:paraId="73686DD9" w14:textId="77777777" w:rsidR="00A1229C" w:rsidRPr="00295A88" w:rsidRDefault="00A1229C" w:rsidP="00DC66B5">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295A88">
              <w:rPr>
                <w:rFonts w:cstheme="minorHAnsi"/>
              </w:rPr>
              <w:t>(Ibuprofen)</w:t>
            </w:r>
          </w:p>
        </w:tc>
      </w:tr>
    </w:tbl>
    <w:p w14:paraId="78E13D79" w14:textId="3E68999F" w:rsidR="00252B98" w:rsidRPr="00B67CA5" w:rsidRDefault="00A1229C" w:rsidP="00613153">
      <w:pPr>
        <w:spacing w:after="120" w:line="360" w:lineRule="auto"/>
        <w:jc w:val="both"/>
        <w:rPr>
          <w:rFonts w:cstheme="minorHAnsi"/>
          <w:sz w:val="24"/>
          <w:szCs w:val="24"/>
        </w:rPr>
        <w:sectPr w:rsidR="00252B98" w:rsidRPr="00B67CA5" w:rsidSect="003B6492">
          <w:footerReference w:type="default" r:id="rId12"/>
          <w:pgSz w:w="11906" w:h="16838"/>
          <w:pgMar w:top="1440" w:right="1440" w:bottom="1440" w:left="1440" w:header="709" w:footer="709" w:gutter="0"/>
          <w:cols w:space="708"/>
          <w:docGrid w:linePitch="360"/>
        </w:sectPr>
      </w:pPr>
      <w:r w:rsidRPr="00295A88">
        <w:rPr>
          <w:rFonts w:cstheme="minorHAnsi"/>
          <w:b/>
          <w:noProof/>
          <w:sz w:val="24"/>
          <w:szCs w:val="24"/>
        </w:rPr>
        <w:lastRenderedPageBreak/>
        <mc:AlternateContent>
          <mc:Choice Requires="wps">
            <w:drawing>
              <wp:anchor distT="0" distB="0" distL="114300" distR="114300" simplePos="0" relativeHeight="251706880" behindDoc="0" locked="0" layoutInCell="1" allowOverlap="1" wp14:anchorId="5DB58B31" wp14:editId="18A9B284">
                <wp:simplePos x="0" y="0"/>
                <wp:positionH relativeFrom="column">
                  <wp:posOffset>-254753</wp:posOffset>
                </wp:positionH>
                <wp:positionV relativeFrom="paragraph">
                  <wp:posOffset>8460401</wp:posOffset>
                </wp:positionV>
                <wp:extent cx="6901180" cy="391795"/>
                <wp:effectExtent l="0" t="0" r="0" b="8255"/>
                <wp:wrapTopAndBottom/>
                <wp:docPr id="7" name="Text Box 7"/>
                <wp:cNvGraphicFramePr/>
                <a:graphic xmlns:a="http://schemas.openxmlformats.org/drawingml/2006/main">
                  <a:graphicData uri="http://schemas.microsoft.com/office/word/2010/wordprocessingShape">
                    <wps:wsp>
                      <wps:cNvSpPr txBox="1"/>
                      <wps:spPr>
                        <a:xfrm>
                          <a:off x="0" y="0"/>
                          <a:ext cx="6901180" cy="391795"/>
                        </a:xfrm>
                        <a:prstGeom prst="rect">
                          <a:avLst/>
                        </a:prstGeom>
                        <a:solidFill>
                          <a:prstClr val="white"/>
                        </a:solidFill>
                        <a:ln>
                          <a:noFill/>
                        </a:ln>
                      </wps:spPr>
                      <wps:txbx>
                        <w:txbxContent>
                          <w:p w14:paraId="75C5FCF0" w14:textId="77777777" w:rsidR="00A1229C" w:rsidRPr="0020223E" w:rsidRDefault="00A1229C" w:rsidP="00A1229C">
                            <w:pPr>
                              <w:pStyle w:val="Caption"/>
                              <w:rPr>
                                <w:noProof/>
                                <w:color w:val="4EB3CF" w:themeColor="accent5"/>
                                <w:sz w:val="24"/>
                                <w:szCs w:val="24"/>
                              </w:rPr>
                            </w:pPr>
                            <w:r w:rsidRPr="0020223E">
                              <w:rPr>
                                <w:b/>
                                <w:color w:val="4EB3CF" w:themeColor="accent5"/>
                                <w:sz w:val="24"/>
                                <w:szCs w:val="24"/>
                              </w:rPr>
                              <w:t xml:space="preserve">Figure </w:t>
                            </w:r>
                            <w:r w:rsidRPr="0020223E">
                              <w:rPr>
                                <w:b/>
                                <w:color w:val="4EB3CF" w:themeColor="accent5"/>
                                <w:sz w:val="24"/>
                                <w:szCs w:val="24"/>
                              </w:rPr>
                              <w:fldChar w:fldCharType="begin"/>
                            </w:r>
                            <w:r w:rsidRPr="0020223E">
                              <w:rPr>
                                <w:b/>
                                <w:color w:val="4EB3CF" w:themeColor="accent5"/>
                                <w:sz w:val="24"/>
                                <w:szCs w:val="24"/>
                              </w:rPr>
                              <w:instrText xml:space="preserve"> SEQ Figure \* ARABIC </w:instrText>
                            </w:r>
                            <w:r w:rsidRPr="0020223E">
                              <w:rPr>
                                <w:b/>
                                <w:color w:val="4EB3CF" w:themeColor="accent5"/>
                                <w:sz w:val="24"/>
                                <w:szCs w:val="24"/>
                              </w:rPr>
                              <w:fldChar w:fldCharType="separate"/>
                            </w:r>
                            <w:r>
                              <w:rPr>
                                <w:b/>
                                <w:noProof/>
                                <w:color w:val="4EB3CF" w:themeColor="accent5"/>
                                <w:sz w:val="24"/>
                                <w:szCs w:val="24"/>
                              </w:rPr>
                              <w:t>1</w:t>
                            </w:r>
                            <w:r w:rsidRPr="0020223E">
                              <w:rPr>
                                <w:b/>
                                <w:color w:val="4EB3CF" w:themeColor="accent5"/>
                                <w:sz w:val="24"/>
                                <w:szCs w:val="24"/>
                              </w:rPr>
                              <w:fldChar w:fldCharType="end"/>
                            </w:r>
                            <w:r w:rsidRPr="0020223E">
                              <w:rPr>
                                <w:color w:val="4EB3CF" w:themeColor="accent5"/>
                                <w:sz w:val="24"/>
                                <w:szCs w:val="24"/>
                              </w:rPr>
                              <w:t xml:space="preserve"> </w:t>
                            </w:r>
                            <w:r>
                              <w:rPr>
                                <w:color w:val="4EB3CF" w:themeColor="accent5"/>
                                <w:sz w:val="24"/>
                                <w:szCs w:val="24"/>
                              </w:rPr>
                              <w:t>PRISMA f</w:t>
                            </w:r>
                            <w:r w:rsidRPr="0020223E">
                              <w:rPr>
                                <w:color w:val="4EB3CF" w:themeColor="accent5"/>
                                <w:sz w:val="24"/>
                                <w:szCs w:val="24"/>
                              </w:rPr>
                              <w:t xml:space="preserve">low of articles through different phases of the </w:t>
                            </w:r>
                            <w:r>
                              <w:rPr>
                                <w:color w:val="4EB3CF" w:themeColor="accent5"/>
                                <w:sz w:val="24"/>
                                <w:szCs w:val="24"/>
                              </w:rPr>
                              <w:t>selection process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58B31" id="Text Box 7" o:spid="_x0000_s1030" type="#_x0000_t202" style="position:absolute;left:0;text-align:left;margin-left:-20.05pt;margin-top:666.15pt;width:543.4pt;height:30.8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jzWHAIAAEIEAAAOAAAAZHJzL2Uyb0RvYy54bWysU8Fu2zAMvQ/YPwi6L467rWuMOEWWIsOA&#10;oi2QDj0rshQLkEWNUmJnXz/KjpOt22nYRaZJitR7j5zfdo1lB4XBgCt5PplyppyEyrhdyb89r9/d&#10;cBaicJWw4FTJjyrw28XbN/PWF+oKarCVQkZFXChaX/I6Rl9kWZC1akSYgFeOghqwEZF+cZdVKFqq&#10;3tjsajq9zlrAyiNIFQJ574YgX/T1tVYyPmodVGS25PS22J/Yn9t0Zou5KHYofG3k6RniH17RCOOo&#10;6bnUnYiC7dH8UaoxEiGAjhMJTQZaG6l6DIQmn75Cs6mFVz0WIif4M03h/5WVD4eNf0IWu8/QkYCJ&#10;kNaHIpAz4ek0NulLL2UUJwqPZ9pUF5kk5/Vsmuc3FJIUez/LP80+pjLZ5bbHEL8oaFgySo4kS8+W&#10;ONyHOKSOKalZAGuqtbE2/aTAyiI7CJKwrU1Up+K/ZVmXch2kW0PB5MkuUJIVu23HTFXyDyPMLVRH&#10;Qo8wDEbwcm2o370I8UkgTQKhoumOj3RoC23J4WRxVgP++Js/5ZNAFOWspckqefi+F6g4s18dSZfG&#10;cDRwNLaj4fbNCghpTnvjZW/SBYx2NDVC80JDv0xdKCScpF4lj6O5isN809JItVz2STRsXsR7t/Ey&#10;lR55fe5eBPqTKpH0fIBx5kTxSpwhd2B5uY+gTa9c4nVg8UQ3DWqv/Wmp0ib8+t9nXVZ/8RMAAP//&#10;AwBQSwMEFAAGAAgAAAAhAIBun3viAAAADgEAAA8AAABkcnMvZG93bnJldi54bWxMj8FOwzAMhu9I&#10;vENkJC5oS9ZWBUrTCTa4jcPGtHPWmLaicaomXbu3Jz3B0f4//f6cryfTsgv2rrEkYbUUwJBKqxuq&#10;JBy/PhZPwJxXpFVrCSVc0cG6uL3JVabtSHu8HHzFQgm5TEmove8yzl1Zo1FuaTukkH3b3igfxr7i&#10;uldjKDctj4RIuVENhQu16nBTY/lzGIyEdNsP4542D9vj+059dlV0eruepLy/m15fgHmc/B8Ms35Q&#10;hyI4ne1A2rFWwiIRq4CGII6jGNiMiCR9BHaed8+JAF7k/P8bxS8AAAD//wMAUEsBAi0AFAAGAAgA&#10;AAAhALaDOJL+AAAA4QEAABMAAAAAAAAAAAAAAAAAAAAAAFtDb250ZW50X1R5cGVzXS54bWxQSwEC&#10;LQAUAAYACAAAACEAOP0h/9YAAACUAQAACwAAAAAAAAAAAAAAAAAvAQAAX3JlbHMvLnJlbHNQSwEC&#10;LQAUAAYACAAAACEAgeI81hwCAABCBAAADgAAAAAAAAAAAAAAAAAuAgAAZHJzL2Uyb0RvYy54bWxQ&#10;SwECLQAUAAYACAAAACEAgG6fe+IAAAAOAQAADwAAAAAAAAAAAAAAAAB2BAAAZHJzL2Rvd25yZXYu&#10;eG1sUEsFBgAAAAAEAAQA8wAAAIUFAAAAAA==&#10;" stroked="f">
                <v:textbox inset="0,0,0,0">
                  <w:txbxContent>
                    <w:p w14:paraId="75C5FCF0" w14:textId="77777777" w:rsidR="00A1229C" w:rsidRPr="0020223E" w:rsidRDefault="00A1229C" w:rsidP="00A1229C">
                      <w:pPr>
                        <w:pStyle w:val="Caption"/>
                        <w:rPr>
                          <w:noProof/>
                          <w:color w:val="4EB3CF" w:themeColor="accent5"/>
                          <w:sz w:val="24"/>
                          <w:szCs w:val="24"/>
                        </w:rPr>
                      </w:pPr>
                      <w:r w:rsidRPr="0020223E">
                        <w:rPr>
                          <w:b/>
                          <w:color w:val="4EB3CF" w:themeColor="accent5"/>
                          <w:sz w:val="24"/>
                          <w:szCs w:val="24"/>
                        </w:rPr>
                        <w:t xml:space="preserve">Figure </w:t>
                      </w:r>
                      <w:r w:rsidRPr="0020223E">
                        <w:rPr>
                          <w:b/>
                          <w:color w:val="4EB3CF" w:themeColor="accent5"/>
                          <w:sz w:val="24"/>
                          <w:szCs w:val="24"/>
                        </w:rPr>
                        <w:fldChar w:fldCharType="begin"/>
                      </w:r>
                      <w:r w:rsidRPr="0020223E">
                        <w:rPr>
                          <w:b/>
                          <w:color w:val="4EB3CF" w:themeColor="accent5"/>
                          <w:sz w:val="24"/>
                          <w:szCs w:val="24"/>
                        </w:rPr>
                        <w:instrText xml:space="preserve"> SEQ Figure \* ARABIC </w:instrText>
                      </w:r>
                      <w:r w:rsidRPr="0020223E">
                        <w:rPr>
                          <w:b/>
                          <w:color w:val="4EB3CF" w:themeColor="accent5"/>
                          <w:sz w:val="24"/>
                          <w:szCs w:val="24"/>
                        </w:rPr>
                        <w:fldChar w:fldCharType="separate"/>
                      </w:r>
                      <w:r>
                        <w:rPr>
                          <w:b/>
                          <w:noProof/>
                          <w:color w:val="4EB3CF" w:themeColor="accent5"/>
                          <w:sz w:val="24"/>
                          <w:szCs w:val="24"/>
                        </w:rPr>
                        <w:t>1</w:t>
                      </w:r>
                      <w:r w:rsidRPr="0020223E">
                        <w:rPr>
                          <w:b/>
                          <w:color w:val="4EB3CF" w:themeColor="accent5"/>
                          <w:sz w:val="24"/>
                          <w:szCs w:val="24"/>
                        </w:rPr>
                        <w:fldChar w:fldCharType="end"/>
                      </w:r>
                      <w:r w:rsidRPr="0020223E">
                        <w:rPr>
                          <w:color w:val="4EB3CF" w:themeColor="accent5"/>
                          <w:sz w:val="24"/>
                          <w:szCs w:val="24"/>
                        </w:rPr>
                        <w:t xml:space="preserve"> </w:t>
                      </w:r>
                      <w:r>
                        <w:rPr>
                          <w:color w:val="4EB3CF" w:themeColor="accent5"/>
                          <w:sz w:val="24"/>
                          <w:szCs w:val="24"/>
                        </w:rPr>
                        <w:t>PRISMA f</w:t>
                      </w:r>
                      <w:r w:rsidRPr="0020223E">
                        <w:rPr>
                          <w:color w:val="4EB3CF" w:themeColor="accent5"/>
                          <w:sz w:val="24"/>
                          <w:szCs w:val="24"/>
                        </w:rPr>
                        <w:t xml:space="preserve">low of articles through different phases of the </w:t>
                      </w:r>
                      <w:r>
                        <w:rPr>
                          <w:color w:val="4EB3CF" w:themeColor="accent5"/>
                          <w:sz w:val="24"/>
                          <w:szCs w:val="24"/>
                        </w:rPr>
                        <w:t>selection process</w:t>
                      </w:r>
                    </w:p>
                  </w:txbxContent>
                </v:textbox>
                <w10:wrap type="topAndBottom"/>
              </v:shape>
            </w:pict>
          </mc:Fallback>
        </mc:AlternateContent>
      </w:r>
      <w:r w:rsidRPr="00B67CA5">
        <w:rPr>
          <w:rFonts w:cstheme="minorHAnsi"/>
          <w:noProof/>
        </w:rPr>
        <w:drawing>
          <wp:anchor distT="0" distB="0" distL="114300" distR="114300" simplePos="0" relativeHeight="251707904" behindDoc="0" locked="0" layoutInCell="1" allowOverlap="1" wp14:anchorId="41323204" wp14:editId="3DB5A8E8">
            <wp:simplePos x="0" y="0"/>
            <wp:positionH relativeFrom="column">
              <wp:posOffset>-574926</wp:posOffset>
            </wp:positionH>
            <wp:positionV relativeFrom="paragraph">
              <wp:posOffset>-30</wp:posOffset>
            </wp:positionV>
            <wp:extent cx="7029350" cy="8410669"/>
            <wp:effectExtent l="0" t="0" r="635" b="0"/>
            <wp:wrapTopAndBottom/>
            <wp:docPr id="5" name="Picture 5"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rotWithShape="1">
                    <a:blip r:embed="rId13">
                      <a:extLst>
                        <a:ext uri="{28A0092B-C50C-407E-A947-70E740481C1C}">
                          <a14:useLocalDpi xmlns:a14="http://schemas.microsoft.com/office/drawing/2010/main" val="0"/>
                        </a:ext>
                      </a:extLst>
                    </a:blip>
                    <a:srcRect l="37909" t="14322" r="25911" b="8717"/>
                    <a:stretch/>
                  </pic:blipFill>
                  <pic:spPr bwMode="auto">
                    <a:xfrm>
                      <a:off x="0" y="0"/>
                      <a:ext cx="7029350" cy="84106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GridTable5Dark-Accent11"/>
        <w:tblpPr w:leftFromText="180" w:rightFromText="180" w:vertAnchor="text" w:horzAnchor="margin" w:tblpXSpec="center" w:tblpY="675"/>
        <w:tblW w:w="15304" w:type="dxa"/>
        <w:tblLook w:val="04A0" w:firstRow="1" w:lastRow="0" w:firstColumn="1" w:lastColumn="0" w:noHBand="0" w:noVBand="1"/>
      </w:tblPr>
      <w:tblGrid>
        <w:gridCol w:w="867"/>
        <w:gridCol w:w="1393"/>
        <w:gridCol w:w="1274"/>
        <w:gridCol w:w="2398"/>
        <w:gridCol w:w="1418"/>
        <w:gridCol w:w="1578"/>
        <w:gridCol w:w="1579"/>
        <w:gridCol w:w="2022"/>
        <w:gridCol w:w="2163"/>
        <w:gridCol w:w="612"/>
      </w:tblGrid>
      <w:tr w:rsidR="00CF3B3A" w:rsidRPr="00B67CA5" w14:paraId="37C21405" w14:textId="77777777" w:rsidTr="00FD3951">
        <w:trPr>
          <w:cnfStyle w:val="100000000000" w:firstRow="1" w:lastRow="0" w:firstColumn="0" w:lastColumn="0" w:oddVBand="0" w:evenVBand="0" w:oddHBand="0" w:evenHBand="0"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867" w:type="dxa"/>
            <w:vAlign w:val="center"/>
          </w:tcPr>
          <w:p w14:paraId="1022B846" w14:textId="6E772F0D" w:rsidR="002000B0" w:rsidRPr="00B67CA5" w:rsidRDefault="002000B0" w:rsidP="00E50F0A">
            <w:pPr>
              <w:jc w:val="center"/>
              <w:rPr>
                <w:rFonts w:cstheme="minorHAnsi"/>
                <w:sz w:val="24"/>
                <w:szCs w:val="24"/>
              </w:rPr>
            </w:pPr>
            <w:bookmarkStart w:id="1" w:name="_Ref4690362"/>
            <w:r w:rsidRPr="00B67CA5">
              <w:rPr>
                <w:rFonts w:cstheme="minorHAnsi"/>
                <w:sz w:val="24"/>
                <w:szCs w:val="24"/>
              </w:rPr>
              <w:lastRenderedPageBreak/>
              <w:t>Paper No.</w:t>
            </w:r>
          </w:p>
        </w:tc>
        <w:tc>
          <w:tcPr>
            <w:tcW w:w="1396" w:type="dxa"/>
            <w:vAlign w:val="center"/>
          </w:tcPr>
          <w:p w14:paraId="1F040337" w14:textId="77777777" w:rsidR="002000B0" w:rsidRPr="00B67CA5" w:rsidRDefault="002000B0" w:rsidP="00E50F0A">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67CA5">
              <w:rPr>
                <w:rFonts w:cstheme="minorHAnsi"/>
                <w:sz w:val="24"/>
                <w:szCs w:val="24"/>
              </w:rPr>
              <w:t>Age</w:t>
            </w:r>
          </w:p>
        </w:tc>
        <w:tc>
          <w:tcPr>
            <w:tcW w:w="1276" w:type="dxa"/>
            <w:vAlign w:val="center"/>
          </w:tcPr>
          <w:p w14:paraId="77FC07C7" w14:textId="77777777" w:rsidR="002000B0" w:rsidRPr="00B67CA5" w:rsidRDefault="002000B0" w:rsidP="00E50F0A">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67CA5">
              <w:rPr>
                <w:rFonts w:cstheme="minorHAnsi"/>
                <w:sz w:val="24"/>
                <w:szCs w:val="24"/>
              </w:rPr>
              <w:t>Gender</w:t>
            </w:r>
          </w:p>
        </w:tc>
        <w:tc>
          <w:tcPr>
            <w:tcW w:w="2402" w:type="dxa"/>
            <w:vAlign w:val="center"/>
          </w:tcPr>
          <w:p w14:paraId="1AC36358" w14:textId="77777777" w:rsidR="002000B0" w:rsidRPr="00B67CA5" w:rsidRDefault="002000B0" w:rsidP="00E50F0A">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67CA5">
              <w:rPr>
                <w:rFonts w:cstheme="minorHAnsi"/>
                <w:sz w:val="24"/>
                <w:szCs w:val="24"/>
              </w:rPr>
              <w:t>Study Design and Sample Size Receiving Ibuprofen</w:t>
            </w:r>
          </w:p>
        </w:tc>
        <w:tc>
          <w:tcPr>
            <w:tcW w:w="1419" w:type="dxa"/>
            <w:vAlign w:val="center"/>
          </w:tcPr>
          <w:p w14:paraId="54C6D8CC" w14:textId="77777777" w:rsidR="002000B0" w:rsidRPr="00B67CA5" w:rsidRDefault="002000B0" w:rsidP="00E50F0A">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67CA5">
              <w:rPr>
                <w:rFonts w:cstheme="minorHAnsi"/>
                <w:sz w:val="24"/>
                <w:szCs w:val="24"/>
              </w:rPr>
              <w:t>Obesity Measure</w:t>
            </w:r>
          </w:p>
        </w:tc>
        <w:tc>
          <w:tcPr>
            <w:tcW w:w="1579" w:type="dxa"/>
            <w:vAlign w:val="center"/>
          </w:tcPr>
          <w:p w14:paraId="6B77DBEE" w14:textId="77777777" w:rsidR="002000B0" w:rsidRPr="00B67CA5" w:rsidRDefault="002000B0" w:rsidP="00E50F0A">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67CA5">
              <w:rPr>
                <w:rFonts w:cstheme="minorHAnsi"/>
                <w:sz w:val="24"/>
                <w:szCs w:val="24"/>
              </w:rPr>
              <w:t>No. of Obese Participants</w:t>
            </w:r>
          </w:p>
        </w:tc>
        <w:tc>
          <w:tcPr>
            <w:tcW w:w="1580" w:type="dxa"/>
            <w:vAlign w:val="center"/>
          </w:tcPr>
          <w:p w14:paraId="703D20C9" w14:textId="77777777" w:rsidR="002000B0" w:rsidRPr="00B67CA5" w:rsidRDefault="002000B0" w:rsidP="00E50F0A">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67CA5">
              <w:rPr>
                <w:rFonts w:cstheme="minorHAnsi"/>
                <w:sz w:val="24"/>
                <w:szCs w:val="24"/>
              </w:rPr>
              <w:t>No. of Non-Obese Participants</w:t>
            </w:r>
          </w:p>
        </w:tc>
        <w:tc>
          <w:tcPr>
            <w:tcW w:w="2024" w:type="dxa"/>
            <w:vAlign w:val="center"/>
          </w:tcPr>
          <w:p w14:paraId="741FAB70" w14:textId="77777777" w:rsidR="002000B0" w:rsidRPr="00B67CA5" w:rsidRDefault="002000B0" w:rsidP="00E50F0A">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67CA5">
              <w:rPr>
                <w:rFonts w:cstheme="minorHAnsi"/>
                <w:sz w:val="24"/>
                <w:szCs w:val="24"/>
              </w:rPr>
              <w:t>Ibuprofen Dose</w:t>
            </w:r>
          </w:p>
        </w:tc>
        <w:tc>
          <w:tcPr>
            <w:tcW w:w="2167" w:type="dxa"/>
            <w:vAlign w:val="center"/>
          </w:tcPr>
          <w:p w14:paraId="7E00E198" w14:textId="77777777" w:rsidR="002000B0" w:rsidRPr="00B67CA5" w:rsidRDefault="002000B0" w:rsidP="00E50F0A">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67CA5">
              <w:rPr>
                <w:rFonts w:cstheme="minorHAnsi"/>
                <w:sz w:val="24"/>
                <w:szCs w:val="24"/>
              </w:rPr>
              <w:t>Ibuprofen Tolerability</w:t>
            </w:r>
          </w:p>
        </w:tc>
        <w:tc>
          <w:tcPr>
            <w:tcW w:w="594" w:type="dxa"/>
            <w:vAlign w:val="center"/>
          </w:tcPr>
          <w:p w14:paraId="02DB7271" w14:textId="77777777" w:rsidR="002000B0" w:rsidRPr="00B67CA5" w:rsidRDefault="002000B0" w:rsidP="00E50F0A">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67CA5">
              <w:rPr>
                <w:rFonts w:cstheme="minorHAnsi"/>
                <w:sz w:val="24"/>
                <w:szCs w:val="24"/>
              </w:rPr>
              <w:t>Ref.</w:t>
            </w:r>
          </w:p>
        </w:tc>
      </w:tr>
      <w:tr w:rsidR="00CF3B3A" w:rsidRPr="00B67CA5" w14:paraId="46783333" w14:textId="77777777" w:rsidTr="00FD3951">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867" w:type="dxa"/>
            <w:vAlign w:val="center"/>
          </w:tcPr>
          <w:p w14:paraId="2B86DBC9" w14:textId="72A16990" w:rsidR="002000B0" w:rsidRPr="00B67CA5" w:rsidRDefault="002000B0" w:rsidP="00E50F0A">
            <w:pPr>
              <w:jc w:val="center"/>
              <w:rPr>
                <w:rFonts w:cstheme="minorHAnsi"/>
                <w:sz w:val="24"/>
                <w:szCs w:val="24"/>
              </w:rPr>
            </w:pPr>
            <w:r w:rsidRPr="00B67CA5">
              <w:rPr>
                <w:rFonts w:cstheme="minorHAnsi"/>
                <w:sz w:val="24"/>
                <w:szCs w:val="24"/>
              </w:rPr>
              <w:t>1</w:t>
            </w:r>
          </w:p>
        </w:tc>
        <w:tc>
          <w:tcPr>
            <w:tcW w:w="1396" w:type="dxa"/>
          </w:tcPr>
          <w:p w14:paraId="6FAA81F0" w14:textId="77777777" w:rsidR="002000B0" w:rsidRPr="00B67CA5" w:rsidRDefault="002000B0" w:rsidP="00E50F0A">
            <w:pPr>
              <w:keepNext/>
              <w:keepLines/>
              <w:spacing w:before="40" w:after="120"/>
              <w:outlineLvl w:val="1"/>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4"/>
                <w:szCs w:val="24"/>
              </w:rPr>
            </w:pPr>
            <w:r w:rsidRPr="00B67CA5">
              <w:rPr>
                <w:rFonts w:cstheme="minorHAnsi"/>
                <w:noProof/>
                <w:color w:val="000000" w:themeColor="text1"/>
                <w:sz w:val="24"/>
                <w:szCs w:val="24"/>
              </w:rPr>
              <w:t>1-18 years</w:t>
            </w:r>
          </w:p>
        </w:tc>
        <w:tc>
          <w:tcPr>
            <w:tcW w:w="1276" w:type="dxa"/>
          </w:tcPr>
          <w:p w14:paraId="7B47BECF" w14:textId="77777777" w:rsidR="002000B0" w:rsidRPr="00B67CA5" w:rsidRDefault="002000B0" w:rsidP="00E50F0A">
            <w:pPr>
              <w:cnfStyle w:val="000000100000" w:firstRow="0" w:lastRow="0" w:firstColumn="0" w:lastColumn="0" w:oddVBand="0" w:evenVBand="0" w:oddHBand="1" w:evenHBand="0" w:firstRowFirstColumn="0" w:firstRowLastColumn="0" w:lastRowFirstColumn="0" w:lastRowLastColumn="0"/>
              <w:rPr>
                <w:rFonts w:cstheme="minorHAnsi"/>
                <w:noProof/>
                <w:color w:val="000000" w:themeColor="text1"/>
                <w:sz w:val="24"/>
                <w:szCs w:val="24"/>
              </w:rPr>
            </w:pPr>
            <w:r w:rsidRPr="00B67CA5">
              <w:rPr>
                <w:rFonts w:cstheme="minorHAnsi"/>
                <w:noProof/>
                <w:color w:val="000000" w:themeColor="text1"/>
                <w:sz w:val="24"/>
                <w:szCs w:val="24"/>
              </w:rPr>
              <w:t>M: 304 (52%)</w:t>
            </w:r>
          </w:p>
          <w:p w14:paraId="0A6FF753" w14:textId="77777777" w:rsidR="002000B0" w:rsidRPr="00B67CA5" w:rsidRDefault="002000B0" w:rsidP="00E50F0A">
            <w:pPr>
              <w:cnfStyle w:val="000000100000" w:firstRow="0" w:lastRow="0" w:firstColumn="0" w:lastColumn="0" w:oddVBand="0" w:evenVBand="0" w:oddHBand="1" w:evenHBand="0" w:firstRowFirstColumn="0" w:firstRowLastColumn="0" w:lastRowFirstColumn="0" w:lastRowLastColumn="0"/>
              <w:rPr>
                <w:rFonts w:cstheme="minorHAnsi"/>
                <w:noProof/>
                <w:color w:val="000000" w:themeColor="text1"/>
                <w:sz w:val="24"/>
                <w:szCs w:val="24"/>
              </w:rPr>
            </w:pPr>
          </w:p>
          <w:p w14:paraId="046FE2D4" w14:textId="77777777" w:rsidR="002000B0" w:rsidRPr="00B67CA5" w:rsidRDefault="002000B0" w:rsidP="00E50F0A">
            <w:pPr>
              <w:cnfStyle w:val="000000100000" w:firstRow="0" w:lastRow="0" w:firstColumn="0" w:lastColumn="0" w:oddVBand="0" w:evenVBand="0" w:oddHBand="1" w:evenHBand="0" w:firstRowFirstColumn="0" w:firstRowLastColumn="0" w:lastRowFirstColumn="0" w:lastRowLastColumn="0"/>
              <w:rPr>
                <w:rFonts w:cstheme="minorHAnsi"/>
                <w:noProof/>
                <w:color w:val="000000" w:themeColor="text1"/>
                <w:sz w:val="24"/>
                <w:szCs w:val="24"/>
              </w:rPr>
            </w:pPr>
            <w:r w:rsidRPr="00B67CA5">
              <w:rPr>
                <w:rFonts w:cstheme="minorHAnsi"/>
                <w:noProof/>
                <w:color w:val="000000" w:themeColor="text1"/>
                <w:sz w:val="24"/>
                <w:szCs w:val="24"/>
              </w:rPr>
              <w:t>F: 279 (48%)</w:t>
            </w:r>
          </w:p>
        </w:tc>
        <w:tc>
          <w:tcPr>
            <w:tcW w:w="2402" w:type="dxa"/>
          </w:tcPr>
          <w:p w14:paraId="535D90EB" w14:textId="77777777" w:rsidR="002000B0" w:rsidRPr="00B67CA5" w:rsidRDefault="002000B0" w:rsidP="00E50F0A">
            <w:pPr>
              <w:keepNext/>
              <w:keepLines/>
              <w:spacing w:before="40" w:after="120"/>
              <w:outlineLvl w:val="1"/>
              <w:cnfStyle w:val="000000100000" w:firstRow="0" w:lastRow="0" w:firstColumn="0" w:lastColumn="0" w:oddVBand="0" w:evenVBand="0" w:oddHBand="1" w:evenHBand="0" w:firstRowFirstColumn="0" w:firstRowLastColumn="0" w:lastRowFirstColumn="0" w:lastRowLastColumn="0"/>
              <w:rPr>
                <w:rFonts w:cstheme="minorHAnsi"/>
                <w:noProof/>
                <w:color w:val="000000" w:themeColor="text1"/>
                <w:sz w:val="24"/>
                <w:szCs w:val="24"/>
              </w:rPr>
            </w:pPr>
            <w:r w:rsidRPr="00B67CA5">
              <w:rPr>
                <w:rFonts w:cstheme="minorHAnsi"/>
                <w:noProof/>
                <w:color w:val="000000" w:themeColor="text1"/>
                <w:sz w:val="24"/>
                <w:szCs w:val="24"/>
              </w:rPr>
              <w:t>Retrospective cohort study</w:t>
            </w:r>
          </w:p>
          <w:p w14:paraId="478D6029" w14:textId="77777777" w:rsidR="002000B0" w:rsidRPr="00B67CA5" w:rsidRDefault="002000B0" w:rsidP="00E50F0A">
            <w:pPr>
              <w:keepNext/>
              <w:keepLines/>
              <w:spacing w:before="40" w:after="120"/>
              <w:outlineLvl w:val="1"/>
              <w:cnfStyle w:val="000000100000" w:firstRow="0" w:lastRow="0" w:firstColumn="0" w:lastColumn="0" w:oddVBand="0" w:evenVBand="0" w:oddHBand="1" w:evenHBand="0" w:firstRowFirstColumn="0" w:firstRowLastColumn="0" w:lastRowFirstColumn="0" w:lastRowLastColumn="0"/>
              <w:rPr>
                <w:rFonts w:eastAsiaTheme="majorEastAsia" w:cstheme="minorHAnsi"/>
                <w:noProof/>
                <w:color w:val="000000" w:themeColor="text1"/>
                <w:sz w:val="24"/>
                <w:szCs w:val="24"/>
              </w:rPr>
            </w:pPr>
          </w:p>
          <w:p w14:paraId="15AEE81A" w14:textId="77777777" w:rsidR="002000B0" w:rsidRPr="00B67CA5" w:rsidRDefault="002000B0" w:rsidP="00E50F0A">
            <w:pPr>
              <w:keepNext/>
              <w:keepLines/>
              <w:spacing w:before="40" w:after="120"/>
              <w:outlineLvl w:val="1"/>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4"/>
                <w:szCs w:val="24"/>
              </w:rPr>
            </w:pPr>
            <w:r w:rsidRPr="00B67CA5">
              <w:rPr>
                <w:rFonts w:eastAsiaTheme="majorEastAsia" w:cstheme="minorHAnsi"/>
                <w:i/>
                <w:iCs/>
                <w:color w:val="000000" w:themeColor="text1"/>
                <w:sz w:val="24"/>
                <w:szCs w:val="24"/>
              </w:rPr>
              <w:t xml:space="preserve">N = </w:t>
            </w:r>
            <w:r w:rsidRPr="00B67CA5">
              <w:rPr>
                <w:rFonts w:eastAsiaTheme="majorEastAsia" w:cstheme="minorHAnsi"/>
                <w:color w:val="000000" w:themeColor="text1"/>
                <w:sz w:val="24"/>
                <w:szCs w:val="24"/>
              </w:rPr>
              <w:t>583</w:t>
            </w:r>
          </w:p>
        </w:tc>
        <w:tc>
          <w:tcPr>
            <w:tcW w:w="1419" w:type="dxa"/>
          </w:tcPr>
          <w:p w14:paraId="720AF3CD" w14:textId="27A01111" w:rsidR="002000B0" w:rsidRPr="00B67CA5" w:rsidRDefault="002000B0" w:rsidP="00E50F0A">
            <w:pPr>
              <w:cnfStyle w:val="000000100000" w:firstRow="0" w:lastRow="0" w:firstColumn="0" w:lastColumn="0" w:oddVBand="0" w:evenVBand="0" w:oddHBand="1" w:evenHBand="0" w:firstRowFirstColumn="0" w:firstRowLastColumn="0" w:lastRowFirstColumn="0" w:lastRowLastColumn="0"/>
              <w:rPr>
                <w:rFonts w:cstheme="minorHAnsi"/>
                <w:noProof/>
                <w:color w:val="000000" w:themeColor="text1"/>
                <w:sz w:val="24"/>
                <w:szCs w:val="24"/>
              </w:rPr>
            </w:pPr>
            <w:r w:rsidRPr="00B67CA5">
              <w:rPr>
                <w:rFonts w:cstheme="minorHAnsi"/>
                <w:noProof/>
                <w:color w:val="000000" w:themeColor="text1"/>
                <w:sz w:val="24"/>
                <w:szCs w:val="24"/>
              </w:rPr>
              <w:t>BMI &gt;95</w:t>
            </w:r>
            <w:r w:rsidRPr="00B67CA5">
              <w:rPr>
                <w:rFonts w:cstheme="minorHAnsi"/>
                <w:noProof/>
                <w:color w:val="000000" w:themeColor="text1"/>
                <w:sz w:val="24"/>
                <w:szCs w:val="24"/>
                <w:vertAlign w:val="superscript"/>
              </w:rPr>
              <w:t>th</w:t>
            </w:r>
            <w:r w:rsidRPr="00B67CA5">
              <w:rPr>
                <w:rFonts w:cstheme="minorHAnsi"/>
                <w:noProof/>
                <w:color w:val="000000" w:themeColor="text1"/>
                <w:sz w:val="24"/>
                <w:szCs w:val="24"/>
              </w:rPr>
              <w:t xml:space="preserve"> percentile</w:t>
            </w:r>
          </w:p>
        </w:tc>
        <w:tc>
          <w:tcPr>
            <w:tcW w:w="1579" w:type="dxa"/>
          </w:tcPr>
          <w:p w14:paraId="2937EED1" w14:textId="1CE84B4E" w:rsidR="00F41FCB" w:rsidRPr="00B67CA5" w:rsidRDefault="002000B0" w:rsidP="00E50F0A">
            <w:pPr>
              <w:keepNext/>
              <w:keepLines/>
              <w:spacing w:before="40" w:after="120"/>
              <w:outlineLvl w:val="1"/>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4"/>
                <w:szCs w:val="24"/>
              </w:rPr>
            </w:pPr>
            <w:r w:rsidRPr="00B67CA5">
              <w:rPr>
                <w:rFonts w:eastAsiaTheme="majorEastAsia" w:cstheme="minorHAnsi"/>
                <w:color w:val="000000" w:themeColor="text1"/>
                <w:sz w:val="24"/>
                <w:szCs w:val="24"/>
              </w:rPr>
              <w:t>189 (32.4%)</w:t>
            </w:r>
          </w:p>
        </w:tc>
        <w:tc>
          <w:tcPr>
            <w:tcW w:w="1580" w:type="dxa"/>
          </w:tcPr>
          <w:p w14:paraId="61D19EC4" w14:textId="77777777" w:rsidR="002000B0" w:rsidRPr="00B67CA5" w:rsidRDefault="002000B0" w:rsidP="00E50F0A">
            <w:pPr>
              <w:keepNext/>
              <w:keepLines/>
              <w:spacing w:before="40" w:after="120"/>
              <w:outlineLvl w:val="1"/>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4"/>
                <w:szCs w:val="24"/>
              </w:rPr>
            </w:pPr>
            <w:r w:rsidRPr="00B67CA5">
              <w:rPr>
                <w:rFonts w:eastAsiaTheme="majorEastAsia" w:cstheme="minorHAnsi"/>
                <w:color w:val="000000" w:themeColor="text1"/>
                <w:sz w:val="24"/>
                <w:szCs w:val="24"/>
              </w:rPr>
              <w:t>394 (67.6%)</w:t>
            </w:r>
          </w:p>
        </w:tc>
        <w:tc>
          <w:tcPr>
            <w:tcW w:w="2024" w:type="dxa"/>
          </w:tcPr>
          <w:p w14:paraId="41C4B30C" w14:textId="77777777" w:rsidR="002000B0" w:rsidRPr="00B67CA5" w:rsidRDefault="002000B0" w:rsidP="00E50F0A">
            <w:pPr>
              <w:cnfStyle w:val="000000100000" w:firstRow="0" w:lastRow="0" w:firstColumn="0" w:lastColumn="0" w:oddVBand="0" w:evenVBand="0" w:oddHBand="1" w:evenHBand="0" w:firstRowFirstColumn="0" w:firstRowLastColumn="0" w:lastRowFirstColumn="0" w:lastRowLastColumn="0"/>
              <w:rPr>
                <w:rFonts w:cstheme="minorHAnsi"/>
                <w:noProof/>
                <w:color w:val="000000" w:themeColor="text1"/>
                <w:sz w:val="24"/>
                <w:szCs w:val="24"/>
              </w:rPr>
            </w:pPr>
            <w:r w:rsidRPr="00B67CA5">
              <w:rPr>
                <w:rFonts w:cstheme="minorHAnsi"/>
                <w:noProof/>
                <w:color w:val="000000" w:themeColor="text1"/>
                <w:sz w:val="24"/>
                <w:szCs w:val="24"/>
              </w:rPr>
              <w:t>5 mg/kg</w:t>
            </w:r>
          </w:p>
          <w:p w14:paraId="3215B824" w14:textId="77777777" w:rsidR="002000B0" w:rsidRPr="00B67CA5" w:rsidRDefault="002000B0" w:rsidP="00E50F0A">
            <w:pPr>
              <w:keepNext/>
              <w:keepLines/>
              <w:spacing w:before="40" w:after="120"/>
              <w:outlineLvl w:val="1"/>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4"/>
                <w:szCs w:val="24"/>
              </w:rPr>
            </w:pPr>
            <w:r w:rsidRPr="00B67CA5">
              <w:rPr>
                <w:rFonts w:cstheme="minorHAnsi"/>
                <w:noProof/>
                <w:color w:val="000000" w:themeColor="text1"/>
                <w:sz w:val="24"/>
                <w:szCs w:val="24"/>
              </w:rPr>
              <w:t>every 6 hours (not to exceed 2.4 g/day)</w:t>
            </w:r>
          </w:p>
        </w:tc>
        <w:tc>
          <w:tcPr>
            <w:tcW w:w="2167" w:type="dxa"/>
          </w:tcPr>
          <w:p w14:paraId="0645FC52" w14:textId="77777777" w:rsidR="002000B0" w:rsidRPr="00B67CA5" w:rsidRDefault="002000B0" w:rsidP="00E50F0A">
            <w:pPr>
              <w:keepNext/>
              <w:keepLines/>
              <w:spacing w:before="40" w:after="120"/>
              <w:outlineLvl w:val="1"/>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4"/>
                <w:szCs w:val="24"/>
              </w:rPr>
            </w:pPr>
            <w:r w:rsidRPr="00B67CA5">
              <w:rPr>
                <w:rFonts w:eastAsiaTheme="majorEastAsia" w:cstheme="minorHAnsi"/>
                <w:color w:val="000000" w:themeColor="text1"/>
                <w:sz w:val="24"/>
                <w:szCs w:val="24"/>
              </w:rPr>
              <w:t>No side-effects or adverse events in majority of children</w:t>
            </w:r>
          </w:p>
        </w:tc>
        <w:tc>
          <w:tcPr>
            <w:tcW w:w="594" w:type="dxa"/>
          </w:tcPr>
          <w:p w14:paraId="45ED94F4" w14:textId="77777777" w:rsidR="002000B0" w:rsidRPr="00B67CA5" w:rsidRDefault="002000B0" w:rsidP="00E50F0A">
            <w:pPr>
              <w:cnfStyle w:val="000000100000" w:firstRow="0" w:lastRow="0" w:firstColumn="0" w:lastColumn="0" w:oddVBand="0" w:evenVBand="0" w:oddHBand="1" w:evenHBand="0" w:firstRowFirstColumn="0" w:firstRowLastColumn="0" w:lastRowFirstColumn="0" w:lastRowLastColumn="0"/>
              <w:rPr>
                <w:rFonts w:cstheme="minorHAnsi"/>
                <w:noProof/>
                <w:color w:val="000000" w:themeColor="text1"/>
              </w:rPr>
            </w:pPr>
            <w:r w:rsidRPr="00B67CA5">
              <w:rPr>
                <w:rFonts w:cstheme="minorHAnsi"/>
                <w:noProof/>
                <w:color w:val="000000" w:themeColor="text1"/>
              </w:rPr>
              <w:fldChar w:fldCharType="begin" w:fldLock="1"/>
            </w:r>
            <w:r w:rsidRPr="00B67CA5">
              <w:rPr>
                <w:rFonts w:cstheme="minorHAnsi"/>
                <w:noProof/>
                <w:color w:val="000000" w:themeColor="text1"/>
              </w:rPr>
              <w:instrText>ADDIN CSL_CITATION {"citationItems":[{"id":"ITEM-1","itemData":{"DOI":"10.1177/0003489415583685","ISSN":"00034894","PMID":"25902839","abstract":"OBJECTIVES: To determine the outcomes of alternating doses of ibuprofen and acetaminophen in the treatment of post-tonsillectomy pain in children and to identify characteristics of children who had inadequate pain control. METHODS: The medical records of children who received alternating doses of ibuprofen and acetaminophen for post-tonsillectomy pain between August 2012 and November 2013 at a tertiary care children's hospital were reviewed. Incidences of postoperative bleeding and unresolved pain were determined. RESULTS: A total of 583 patients (304 males, 279 females, age range=1-18 years) had received alternating doses of ibuprofen and acetaminophen after tonsillectomy and adenoidectomy. Of the 583 patients, 56 (9.6%) reported inadequate pain control. Age, sex, obesity, presence of comorbid conditions, indications for surgery, and concurrent surgical procedures were not different between children who had adequate analgesia and children who had unresolved pain. Twenty-four patients (4.1%) had postoperative bleeding. Nine patients (1.5%) required surgical intervention for bleeding. CONCLUSIONS: Alternating doses of ibuprofen and acetaminophen provided an effective treatment for post-tonsillectomy pain in the majority of children and did not increase rate of bleeding. Means of improving response rate to alternating doses of ibuprofen and acetaminophen merit further investigation.","author":[{"dropping-particle":"","family":"Liu","given":"Christopher","non-dropping-particle":"","parse-names":false,"suffix":""},{"dropping-particle":"","family":"Ulualp","given":"Seckin O.","non-dropping-particle":"","parse-names":false,"suffix":""}],"container-title":"Annals of Otology, Rhinology and Laryngology","id":"ITEM-1","issue":"10","issued":{"date-parts":[["2015"]]},"page":"777-781","title":"Outcomes of an Alternating Ibuprofen and Acetaminophen Regimen for Pain Relief after Tonsillectomy in Children","type":"article","volume":"124"},"uris":["http://www.mendeley.com/documents/?uuid=3ad85d84-a1ea-3c6f-85a5-86b798f3deef"]}],"mendeley":{"formattedCitation":"(14)","plainTextFormattedCitation":"(14)","previouslyFormattedCitation":"(14)"},"properties":{"noteIndex":0},"schema":"https://github.com/citation-style-language/schema/raw/master/csl-citation.json"}</w:instrText>
            </w:r>
            <w:r w:rsidRPr="00B67CA5">
              <w:rPr>
                <w:rFonts w:cstheme="minorHAnsi"/>
                <w:noProof/>
                <w:color w:val="000000" w:themeColor="text1"/>
              </w:rPr>
              <w:fldChar w:fldCharType="separate"/>
            </w:r>
            <w:r w:rsidRPr="00B67CA5">
              <w:rPr>
                <w:rFonts w:cstheme="minorHAnsi"/>
                <w:noProof/>
                <w:color w:val="000000" w:themeColor="text1"/>
              </w:rPr>
              <w:t>(14)</w:t>
            </w:r>
            <w:r w:rsidRPr="00B67CA5">
              <w:rPr>
                <w:rFonts w:cstheme="minorHAnsi"/>
                <w:noProof/>
                <w:color w:val="000000" w:themeColor="text1"/>
              </w:rPr>
              <w:fldChar w:fldCharType="end"/>
            </w:r>
          </w:p>
        </w:tc>
      </w:tr>
      <w:tr w:rsidR="00CF3B3A" w:rsidRPr="00B67CA5" w14:paraId="7C2F922C" w14:textId="77777777" w:rsidTr="00FD3951">
        <w:trPr>
          <w:trHeight w:val="1700"/>
        </w:trPr>
        <w:tc>
          <w:tcPr>
            <w:cnfStyle w:val="001000000000" w:firstRow="0" w:lastRow="0" w:firstColumn="1" w:lastColumn="0" w:oddVBand="0" w:evenVBand="0" w:oddHBand="0" w:evenHBand="0" w:firstRowFirstColumn="0" w:firstRowLastColumn="0" w:lastRowFirstColumn="0" w:lastRowLastColumn="0"/>
            <w:tcW w:w="867" w:type="dxa"/>
            <w:vAlign w:val="center"/>
          </w:tcPr>
          <w:p w14:paraId="0C510E36" w14:textId="77777777" w:rsidR="002000B0" w:rsidRPr="00B67CA5" w:rsidRDefault="002000B0" w:rsidP="00E50F0A">
            <w:pPr>
              <w:jc w:val="center"/>
              <w:rPr>
                <w:rFonts w:cstheme="minorHAnsi"/>
                <w:sz w:val="24"/>
                <w:szCs w:val="24"/>
              </w:rPr>
            </w:pPr>
            <w:r w:rsidRPr="00B67CA5">
              <w:rPr>
                <w:rFonts w:cstheme="minorHAnsi"/>
                <w:sz w:val="24"/>
                <w:szCs w:val="24"/>
              </w:rPr>
              <w:t>2</w:t>
            </w:r>
          </w:p>
        </w:tc>
        <w:tc>
          <w:tcPr>
            <w:tcW w:w="1396" w:type="dxa"/>
          </w:tcPr>
          <w:p w14:paraId="1C9AE990" w14:textId="77777777" w:rsidR="002000B0" w:rsidRPr="00B67CA5" w:rsidRDefault="002000B0" w:rsidP="00E50F0A">
            <w:pPr>
              <w:keepNext/>
              <w:keepLines/>
              <w:spacing w:before="40" w:after="120"/>
              <w:outlineLvl w:val="1"/>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4"/>
                <w:szCs w:val="24"/>
              </w:rPr>
            </w:pPr>
            <w:r w:rsidRPr="00B67CA5">
              <w:rPr>
                <w:rFonts w:eastAsiaTheme="majorEastAsia" w:cstheme="minorHAnsi"/>
                <w:color w:val="000000" w:themeColor="text1"/>
                <w:sz w:val="24"/>
                <w:szCs w:val="24"/>
              </w:rPr>
              <w:t>11-18 years</w:t>
            </w:r>
          </w:p>
        </w:tc>
        <w:tc>
          <w:tcPr>
            <w:tcW w:w="1276" w:type="dxa"/>
          </w:tcPr>
          <w:p w14:paraId="7DFEF8C6" w14:textId="77777777" w:rsidR="002000B0" w:rsidRPr="00B67CA5" w:rsidRDefault="002000B0" w:rsidP="00E50F0A">
            <w:pPr>
              <w:cnfStyle w:val="000000000000" w:firstRow="0" w:lastRow="0" w:firstColumn="0" w:lastColumn="0" w:oddVBand="0" w:evenVBand="0" w:oddHBand="0" w:evenHBand="0" w:firstRowFirstColumn="0" w:firstRowLastColumn="0" w:lastRowFirstColumn="0" w:lastRowLastColumn="0"/>
              <w:rPr>
                <w:rFonts w:cstheme="minorHAnsi"/>
                <w:noProof/>
                <w:color w:val="000000" w:themeColor="text1"/>
                <w:sz w:val="24"/>
                <w:szCs w:val="24"/>
              </w:rPr>
            </w:pPr>
            <w:r w:rsidRPr="00B67CA5">
              <w:rPr>
                <w:rFonts w:cstheme="minorHAnsi"/>
                <w:noProof/>
                <w:color w:val="000000" w:themeColor="text1"/>
                <w:sz w:val="24"/>
                <w:szCs w:val="24"/>
              </w:rPr>
              <w:t>M: 126 (63%)</w:t>
            </w:r>
          </w:p>
          <w:p w14:paraId="399ABE5D" w14:textId="77777777" w:rsidR="002000B0" w:rsidRPr="00B67CA5" w:rsidRDefault="002000B0" w:rsidP="00E50F0A">
            <w:pPr>
              <w:cnfStyle w:val="000000000000" w:firstRow="0" w:lastRow="0" w:firstColumn="0" w:lastColumn="0" w:oddVBand="0" w:evenVBand="0" w:oddHBand="0" w:evenHBand="0" w:firstRowFirstColumn="0" w:firstRowLastColumn="0" w:lastRowFirstColumn="0" w:lastRowLastColumn="0"/>
              <w:rPr>
                <w:rFonts w:cstheme="minorHAnsi"/>
                <w:noProof/>
                <w:color w:val="000000" w:themeColor="text1"/>
                <w:sz w:val="24"/>
                <w:szCs w:val="24"/>
              </w:rPr>
            </w:pPr>
          </w:p>
          <w:p w14:paraId="0085C823" w14:textId="77777777" w:rsidR="002000B0" w:rsidRPr="00B67CA5" w:rsidRDefault="002000B0" w:rsidP="00E50F0A">
            <w:pPr>
              <w:cnfStyle w:val="000000000000" w:firstRow="0" w:lastRow="0" w:firstColumn="0" w:lastColumn="0" w:oddVBand="0" w:evenVBand="0" w:oddHBand="0" w:evenHBand="0" w:firstRowFirstColumn="0" w:firstRowLastColumn="0" w:lastRowFirstColumn="0" w:lastRowLastColumn="0"/>
              <w:rPr>
                <w:rFonts w:cstheme="minorHAnsi"/>
                <w:noProof/>
                <w:color w:val="000000" w:themeColor="text1"/>
                <w:sz w:val="24"/>
                <w:szCs w:val="24"/>
              </w:rPr>
            </w:pPr>
            <w:r w:rsidRPr="00B67CA5">
              <w:rPr>
                <w:rFonts w:cstheme="minorHAnsi"/>
                <w:noProof/>
                <w:color w:val="000000" w:themeColor="text1"/>
                <w:sz w:val="24"/>
                <w:szCs w:val="24"/>
              </w:rPr>
              <w:t>F: 74 (37%)</w:t>
            </w:r>
          </w:p>
        </w:tc>
        <w:tc>
          <w:tcPr>
            <w:tcW w:w="2402" w:type="dxa"/>
          </w:tcPr>
          <w:p w14:paraId="275B8BBB" w14:textId="77777777" w:rsidR="002000B0" w:rsidRPr="00B67CA5" w:rsidRDefault="002000B0" w:rsidP="00E50F0A">
            <w:pPr>
              <w:keepNext/>
              <w:keepLines/>
              <w:spacing w:before="40" w:after="120"/>
              <w:outlineLvl w:val="1"/>
              <w:cnfStyle w:val="000000000000" w:firstRow="0" w:lastRow="0" w:firstColumn="0" w:lastColumn="0" w:oddVBand="0" w:evenVBand="0" w:oddHBand="0" w:evenHBand="0" w:firstRowFirstColumn="0" w:firstRowLastColumn="0" w:lastRowFirstColumn="0" w:lastRowLastColumn="0"/>
              <w:rPr>
                <w:rFonts w:cstheme="minorHAnsi"/>
                <w:noProof/>
                <w:color w:val="000000" w:themeColor="text1"/>
                <w:sz w:val="24"/>
                <w:szCs w:val="24"/>
              </w:rPr>
            </w:pPr>
            <w:r w:rsidRPr="00B67CA5">
              <w:rPr>
                <w:rFonts w:cstheme="minorHAnsi"/>
                <w:noProof/>
                <w:color w:val="000000" w:themeColor="text1"/>
                <w:sz w:val="24"/>
                <w:szCs w:val="24"/>
              </w:rPr>
              <w:t>Retrospective cohort study</w:t>
            </w:r>
          </w:p>
          <w:p w14:paraId="7E0C546E" w14:textId="77777777" w:rsidR="002000B0" w:rsidRPr="00B67CA5" w:rsidRDefault="002000B0" w:rsidP="00E50F0A">
            <w:pPr>
              <w:keepNext/>
              <w:keepLines/>
              <w:spacing w:before="40" w:after="120"/>
              <w:outlineLvl w:val="1"/>
              <w:cnfStyle w:val="000000000000" w:firstRow="0" w:lastRow="0" w:firstColumn="0" w:lastColumn="0" w:oddVBand="0" w:evenVBand="0" w:oddHBand="0" w:evenHBand="0" w:firstRowFirstColumn="0" w:firstRowLastColumn="0" w:lastRowFirstColumn="0" w:lastRowLastColumn="0"/>
              <w:rPr>
                <w:rFonts w:cstheme="minorHAnsi"/>
                <w:noProof/>
                <w:color w:val="000000" w:themeColor="text1"/>
                <w:sz w:val="24"/>
                <w:szCs w:val="24"/>
              </w:rPr>
            </w:pPr>
          </w:p>
          <w:p w14:paraId="3A1000F3" w14:textId="77777777" w:rsidR="002000B0" w:rsidRPr="00B67CA5" w:rsidRDefault="002000B0" w:rsidP="00E50F0A">
            <w:pPr>
              <w:keepNext/>
              <w:keepLines/>
              <w:spacing w:before="40" w:after="120"/>
              <w:outlineLvl w:val="1"/>
              <w:cnfStyle w:val="000000000000" w:firstRow="0" w:lastRow="0" w:firstColumn="0" w:lastColumn="0" w:oddVBand="0" w:evenVBand="0" w:oddHBand="0" w:evenHBand="0" w:firstRowFirstColumn="0" w:firstRowLastColumn="0" w:lastRowFirstColumn="0" w:lastRowLastColumn="0"/>
              <w:rPr>
                <w:rFonts w:cstheme="minorHAnsi"/>
                <w:noProof/>
                <w:color w:val="000000" w:themeColor="text1"/>
                <w:sz w:val="24"/>
                <w:szCs w:val="24"/>
              </w:rPr>
            </w:pPr>
            <w:r w:rsidRPr="00B67CA5">
              <w:rPr>
                <w:rFonts w:cstheme="minorHAnsi"/>
                <w:i/>
                <w:iCs/>
                <w:noProof/>
                <w:color w:val="000000" w:themeColor="text1"/>
                <w:sz w:val="24"/>
                <w:szCs w:val="24"/>
              </w:rPr>
              <w:t xml:space="preserve">N = </w:t>
            </w:r>
            <w:r w:rsidRPr="00B67CA5">
              <w:rPr>
                <w:rFonts w:cstheme="minorHAnsi"/>
                <w:noProof/>
                <w:color w:val="000000" w:themeColor="text1"/>
                <w:sz w:val="24"/>
                <w:szCs w:val="24"/>
              </w:rPr>
              <w:t>11</w:t>
            </w:r>
          </w:p>
        </w:tc>
        <w:tc>
          <w:tcPr>
            <w:tcW w:w="1419" w:type="dxa"/>
          </w:tcPr>
          <w:p w14:paraId="13014B9D" w14:textId="77777777" w:rsidR="002000B0" w:rsidRPr="00B67CA5" w:rsidRDefault="002000B0" w:rsidP="00E50F0A">
            <w:pPr>
              <w:cnfStyle w:val="000000000000" w:firstRow="0" w:lastRow="0" w:firstColumn="0" w:lastColumn="0" w:oddVBand="0" w:evenVBand="0" w:oddHBand="0" w:evenHBand="0" w:firstRowFirstColumn="0" w:firstRowLastColumn="0" w:lastRowFirstColumn="0" w:lastRowLastColumn="0"/>
              <w:rPr>
                <w:rFonts w:cstheme="minorHAnsi"/>
                <w:noProof/>
                <w:color w:val="000000" w:themeColor="text1"/>
                <w:sz w:val="24"/>
                <w:szCs w:val="24"/>
              </w:rPr>
            </w:pPr>
            <w:r w:rsidRPr="00B67CA5">
              <w:rPr>
                <w:rFonts w:cstheme="minorHAnsi"/>
                <w:noProof/>
                <w:color w:val="000000" w:themeColor="text1"/>
                <w:sz w:val="24"/>
                <w:szCs w:val="24"/>
              </w:rPr>
              <w:t>BMI z score</w:t>
            </w:r>
          </w:p>
          <w:p w14:paraId="33BE77A4" w14:textId="77777777" w:rsidR="002000B0" w:rsidRPr="00B67CA5" w:rsidRDefault="002000B0" w:rsidP="00E50F0A">
            <w:pPr>
              <w:cnfStyle w:val="000000000000" w:firstRow="0" w:lastRow="0" w:firstColumn="0" w:lastColumn="0" w:oddVBand="0" w:evenVBand="0" w:oddHBand="0" w:evenHBand="0" w:firstRowFirstColumn="0" w:firstRowLastColumn="0" w:lastRowFirstColumn="0" w:lastRowLastColumn="0"/>
              <w:rPr>
                <w:rFonts w:cstheme="minorHAnsi"/>
                <w:noProof/>
                <w:color w:val="000000" w:themeColor="text1"/>
                <w:sz w:val="24"/>
                <w:szCs w:val="24"/>
              </w:rPr>
            </w:pPr>
            <w:r w:rsidRPr="00B67CA5">
              <w:rPr>
                <w:rFonts w:cstheme="minorHAnsi"/>
                <w:noProof/>
                <w:color w:val="000000" w:themeColor="text1"/>
                <w:sz w:val="24"/>
                <w:szCs w:val="24"/>
              </w:rPr>
              <w:t>BMI &gt;90</w:t>
            </w:r>
            <w:r w:rsidRPr="00B67CA5">
              <w:rPr>
                <w:rFonts w:cstheme="minorHAnsi"/>
                <w:noProof/>
                <w:color w:val="000000" w:themeColor="text1"/>
                <w:sz w:val="24"/>
                <w:szCs w:val="24"/>
                <w:vertAlign w:val="superscript"/>
              </w:rPr>
              <w:t>th</w:t>
            </w:r>
            <w:r w:rsidRPr="00B67CA5">
              <w:rPr>
                <w:rFonts w:cstheme="minorHAnsi"/>
                <w:noProof/>
                <w:color w:val="000000" w:themeColor="text1"/>
                <w:sz w:val="24"/>
                <w:szCs w:val="24"/>
              </w:rPr>
              <w:t xml:space="preserve"> percentile</w:t>
            </w:r>
          </w:p>
        </w:tc>
        <w:tc>
          <w:tcPr>
            <w:tcW w:w="1579" w:type="dxa"/>
          </w:tcPr>
          <w:p w14:paraId="2D008B7F" w14:textId="77777777" w:rsidR="002000B0" w:rsidRPr="00B67CA5" w:rsidRDefault="002000B0" w:rsidP="00E50F0A">
            <w:pPr>
              <w:keepNext/>
              <w:keepLines/>
              <w:spacing w:before="40" w:after="120"/>
              <w:outlineLvl w:val="1"/>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4"/>
                <w:szCs w:val="24"/>
              </w:rPr>
            </w:pPr>
            <w:r w:rsidRPr="00B67CA5">
              <w:rPr>
                <w:rFonts w:eastAsiaTheme="majorEastAsia" w:cstheme="minorHAnsi"/>
                <w:color w:val="000000" w:themeColor="text1"/>
                <w:sz w:val="24"/>
                <w:szCs w:val="24"/>
              </w:rPr>
              <w:t>Not specified for those taking ibuprofen.</w:t>
            </w:r>
          </w:p>
        </w:tc>
        <w:tc>
          <w:tcPr>
            <w:tcW w:w="1580" w:type="dxa"/>
          </w:tcPr>
          <w:p w14:paraId="08F45477" w14:textId="77777777" w:rsidR="002000B0" w:rsidRPr="00B67CA5" w:rsidRDefault="002000B0" w:rsidP="00E50F0A">
            <w:pPr>
              <w:keepNext/>
              <w:keepLines/>
              <w:spacing w:before="40" w:after="120"/>
              <w:outlineLvl w:val="1"/>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4"/>
                <w:szCs w:val="24"/>
              </w:rPr>
            </w:pPr>
            <w:r w:rsidRPr="00B67CA5">
              <w:rPr>
                <w:rFonts w:eastAsiaTheme="majorEastAsia" w:cstheme="minorHAnsi"/>
                <w:color w:val="000000" w:themeColor="text1"/>
                <w:sz w:val="24"/>
                <w:szCs w:val="24"/>
              </w:rPr>
              <w:t>Not specified for those taking ibuprofen.</w:t>
            </w:r>
          </w:p>
        </w:tc>
        <w:tc>
          <w:tcPr>
            <w:tcW w:w="2024" w:type="dxa"/>
          </w:tcPr>
          <w:p w14:paraId="20591E18" w14:textId="77777777" w:rsidR="002000B0" w:rsidRPr="00B67CA5" w:rsidRDefault="002000B0" w:rsidP="00E50F0A">
            <w:pPr>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4"/>
                <w:szCs w:val="24"/>
              </w:rPr>
            </w:pPr>
            <w:r w:rsidRPr="00B67CA5">
              <w:rPr>
                <w:rFonts w:cstheme="minorHAnsi"/>
                <w:noProof/>
                <w:color w:val="000000" w:themeColor="text1"/>
                <w:sz w:val="24"/>
                <w:szCs w:val="24"/>
              </w:rPr>
              <w:t>Fixed dose 400 mg three times daily</w:t>
            </w:r>
          </w:p>
        </w:tc>
        <w:tc>
          <w:tcPr>
            <w:tcW w:w="2167" w:type="dxa"/>
          </w:tcPr>
          <w:p w14:paraId="15E42F6D" w14:textId="77777777" w:rsidR="002000B0" w:rsidRPr="00B67CA5" w:rsidRDefault="002000B0" w:rsidP="00E50F0A">
            <w:pPr>
              <w:keepNext/>
              <w:keepLines/>
              <w:spacing w:before="40" w:after="120"/>
              <w:outlineLvl w:val="1"/>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4"/>
                <w:szCs w:val="24"/>
              </w:rPr>
            </w:pPr>
            <w:r w:rsidRPr="00B67CA5">
              <w:rPr>
                <w:rFonts w:eastAsiaTheme="majorEastAsia" w:cstheme="minorHAnsi"/>
                <w:color w:val="000000" w:themeColor="text1"/>
                <w:sz w:val="24"/>
                <w:szCs w:val="24"/>
              </w:rPr>
              <w:t>Not stated</w:t>
            </w:r>
          </w:p>
        </w:tc>
        <w:tc>
          <w:tcPr>
            <w:tcW w:w="594" w:type="dxa"/>
          </w:tcPr>
          <w:p w14:paraId="6DFC1E9E" w14:textId="77777777" w:rsidR="002000B0" w:rsidRPr="00B67CA5" w:rsidRDefault="002000B0" w:rsidP="00E50F0A">
            <w:pPr>
              <w:cnfStyle w:val="000000000000" w:firstRow="0" w:lastRow="0" w:firstColumn="0" w:lastColumn="0" w:oddVBand="0" w:evenVBand="0" w:oddHBand="0" w:evenHBand="0" w:firstRowFirstColumn="0" w:firstRowLastColumn="0" w:lastRowFirstColumn="0" w:lastRowLastColumn="0"/>
              <w:rPr>
                <w:rFonts w:cstheme="minorHAnsi"/>
                <w:noProof/>
                <w:color w:val="000000" w:themeColor="text1"/>
              </w:rPr>
            </w:pPr>
            <w:r w:rsidRPr="00B67CA5">
              <w:rPr>
                <w:rFonts w:cstheme="minorHAnsi"/>
                <w:noProof/>
                <w:color w:val="000000" w:themeColor="text1"/>
              </w:rPr>
              <w:fldChar w:fldCharType="begin" w:fldLock="1"/>
            </w:r>
            <w:r w:rsidRPr="00B67CA5">
              <w:rPr>
                <w:rFonts w:cstheme="minorHAnsi"/>
                <w:noProof/>
                <w:color w:val="000000" w:themeColor="text1"/>
              </w:rPr>
              <w:instrText>ADDIN CSL_CITATION {"citationItems":[{"id":"ITEM-1","itemData":{"DOI":"10.1002/prp2.398","ISSN":"20521707","abstract":"Abstract: Obesity can affect the pharmacokinetics of most drugs, which may result in under‐ or overdosing if traditional pediatric dosing strategies are used. To investigate currently applied dosage strategies in children with overweight or obesity (overweight/obesity), in a clinical treatment facility. In particular, whether dosing guidelines were available and metrics of body size applied. A retrospective cohort study of 200 patients admitted to the Danish Children′s Obesity Clinic. Data were collected from 2007 to 2015. Overweight/obese children 3‐18 years were included if they had at least one drug prescription. Overall there were 658 prescriptions, primarily analgesics, psychotropics, asthma medications, and antibiotics. Except for one prescription, guidelines for dosage of overweight/obese children were not available in the clinic. In one prescription of gentamicin, the dose was adjusted by a metric body size. Otherwise dose was predominately prescribed either by total body weight or as fixed dose by age, in accordance with the recommendations of normal weight children. In drugs with a narrow therapeutic interval, we found large interindividual variations in dosing regimens, that is, for gentamicin, paracetamol, and prednisolone. Reduction of dose to the maximum recommended adult dose was common practice, when the dose calculated by total body weight (ie, mg/kg) exceeded this maximum. This study highlights the shortage of dosing guidelines in overweight/obese children. We found a large interindividual variability in dosage regimens, even in drugs with narrow therapeutic intervals. The clinicians rely on “best practice”, as evidence‐based dosage regimens are missing for many drugs prescribed during childhood. [ABSTRACT FROM AUTHOR]","author":[{"dropping-particle":"","family":"Gade","given":"Christina","non-dropping-particle":"","parse-names":false,"suffix":""},{"dropping-particle":"","family":"Christensen","given":"Hanne R.","non-dropping-particle":"","parse-names":false,"suffix":""},{"dropping-particle":"","family":"Dalhoff","given":"Kim P.","non-dropping-particle":"","parse-names":false,"suffix":""},{"dropping-particle":"","family":"Holm","given":"Jens Christian","non-dropping-particle":"","parse-names":false,"suffix":""},{"dropping-particle":"","family":"Holst","given":"Helle","non-dropping-particle":"","parse-names":false,"suffix":""}],"container-title":"Pharmacology Research and Perspectives","id":"ITEM-1","issue":"3","issued":{"date-parts":[["2018","6","1"]]},"page":"e00398","publisher":"John Wiley &amp; Sons, Ltd","title":"Inconsistencies in dosage practice in children with overweight or obesity: A retrospective cohort study","type":"article","volume":"6"},"uris":["http://www.mendeley.com/documents/?uuid=0a688d1e-e9b9-347c-9c6d-38cc908aef31"]}],"mendeley":{"formattedCitation":"(15)","plainTextFormattedCitation":"(15)","previouslyFormattedCitation":"(15)"},"properties":{"noteIndex":0},"schema":"https://github.com/citation-style-language/schema/raw/master/csl-citation.json"}</w:instrText>
            </w:r>
            <w:r w:rsidRPr="00B67CA5">
              <w:rPr>
                <w:rFonts w:cstheme="minorHAnsi"/>
                <w:noProof/>
                <w:color w:val="000000" w:themeColor="text1"/>
              </w:rPr>
              <w:fldChar w:fldCharType="separate"/>
            </w:r>
            <w:r w:rsidRPr="00B67CA5">
              <w:rPr>
                <w:rFonts w:cstheme="minorHAnsi"/>
                <w:noProof/>
                <w:color w:val="000000" w:themeColor="text1"/>
              </w:rPr>
              <w:t>(15)</w:t>
            </w:r>
            <w:r w:rsidRPr="00B67CA5">
              <w:rPr>
                <w:rFonts w:cstheme="minorHAnsi"/>
                <w:noProof/>
                <w:color w:val="000000" w:themeColor="text1"/>
              </w:rPr>
              <w:fldChar w:fldCharType="end"/>
            </w:r>
          </w:p>
        </w:tc>
      </w:tr>
      <w:tr w:rsidR="007C03B3" w:rsidRPr="00B67CA5" w14:paraId="57A95E7A" w14:textId="77777777" w:rsidTr="00FD3951">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867" w:type="dxa"/>
            <w:vAlign w:val="center"/>
          </w:tcPr>
          <w:p w14:paraId="51077BE9" w14:textId="56737883" w:rsidR="007C03B3" w:rsidRPr="00B67CA5" w:rsidRDefault="007C03B3" w:rsidP="00E50F0A">
            <w:pPr>
              <w:jc w:val="center"/>
              <w:rPr>
                <w:rFonts w:cstheme="minorHAnsi"/>
                <w:sz w:val="24"/>
                <w:szCs w:val="24"/>
              </w:rPr>
            </w:pPr>
            <w:r w:rsidRPr="00B67CA5">
              <w:rPr>
                <w:rFonts w:cstheme="minorHAnsi"/>
                <w:sz w:val="24"/>
                <w:szCs w:val="24"/>
              </w:rPr>
              <w:t>3</w:t>
            </w:r>
          </w:p>
        </w:tc>
        <w:tc>
          <w:tcPr>
            <w:tcW w:w="1396" w:type="dxa"/>
          </w:tcPr>
          <w:p w14:paraId="27298B2A" w14:textId="431FCD36" w:rsidR="007C03B3" w:rsidRPr="00B67CA5" w:rsidRDefault="007C03B3" w:rsidP="00E50F0A">
            <w:pPr>
              <w:keepNext/>
              <w:keepLines/>
              <w:spacing w:before="40" w:after="120"/>
              <w:outlineLvl w:val="1"/>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4"/>
                <w:szCs w:val="24"/>
              </w:rPr>
            </w:pPr>
            <w:r w:rsidRPr="00B67CA5">
              <w:rPr>
                <w:rFonts w:cstheme="minorHAnsi"/>
                <w:noProof/>
                <w:color w:val="000000" w:themeColor="text1"/>
                <w:sz w:val="24"/>
                <w:szCs w:val="24"/>
              </w:rPr>
              <w:t>1.2 – 8.5 years</w:t>
            </w:r>
          </w:p>
        </w:tc>
        <w:tc>
          <w:tcPr>
            <w:tcW w:w="1276" w:type="dxa"/>
          </w:tcPr>
          <w:p w14:paraId="361079D1" w14:textId="77777777" w:rsidR="007C03B3" w:rsidRPr="00B67CA5" w:rsidRDefault="007C03B3" w:rsidP="00E50F0A">
            <w:pPr>
              <w:cnfStyle w:val="000000100000" w:firstRow="0" w:lastRow="0" w:firstColumn="0" w:lastColumn="0" w:oddVBand="0" w:evenVBand="0" w:oddHBand="1" w:evenHBand="0" w:firstRowFirstColumn="0" w:firstRowLastColumn="0" w:lastRowFirstColumn="0" w:lastRowLastColumn="0"/>
              <w:rPr>
                <w:rFonts w:cstheme="minorHAnsi"/>
                <w:noProof/>
                <w:color w:val="000000" w:themeColor="text1"/>
                <w:sz w:val="24"/>
                <w:szCs w:val="24"/>
              </w:rPr>
            </w:pPr>
            <w:r w:rsidRPr="00B67CA5">
              <w:rPr>
                <w:rFonts w:cstheme="minorHAnsi"/>
                <w:noProof/>
                <w:color w:val="000000" w:themeColor="text1"/>
                <w:sz w:val="24"/>
                <w:szCs w:val="24"/>
              </w:rPr>
              <w:t>M: 202 (56.4%)</w:t>
            </w:r>
          </w:p>
          <w:p w14:paraId="7FCC84D9" w14:textId="311E21AA" w:rsidR="007C03B3" w:rsidRPr="00B67CA5" w:rsidRDefault="007C03B3" w:rsidP="00E50F0A">
            <w:pPr>
              <w:cnfStyle w:val="000000100000" w:firstRow="0" w:lastRow="0" w:firstColumn="0" w:lastColumn="0" w:oddVBand="0" w:evenVBand="0" w:oddHBand="1" w:evenHBand="0" w:firstRowFirstColumn="0" w:firstRowLastColumn="0" w:lastRowFirstColumn="0" w:lastRowLastColumn="0"/>
              <w:rPr>
                <w:rFonts w:cstheme="minorHAnsi"/>
                <w:noProof/>
                <w:color w:val="000000" w:themeColor="text1"/>
                <w:sz w:val="24"/>
                <w:szCs w:val="24"/>
              </w:rPr>
            </w:pPr>
            <w:r w:rsidRPr="00B67CA5">
              <w:rPr>
                <w:rFonts w:cstheme="minorHAnsi"/>
                <w:noProof/>
                <w:color w:val="000000" w:themeColor="text1"/>
                <w:sz w:val="24"/>
                <w:szCs w:val="24"/>
              </w:rPr>
              <w:t>F: 156 (43.6%)</w:t>
            </w:r>
          </w:p>
        </w:tc>
        <w:tc>
          <w:tcPr>
            <w:tcW w:w="2402" w:type="dxa"/>
          </w:tcPr>
          <w:p w14:paraId="6BFE4F52" w14:textId="77777777" w:rsidR="007C03B3" w:rsidRPr="00B67CA5" w:rsidRDefault="007C03B3" w:rsidP="00E50F0A">
            <w:pPr>
              <w:keepNext/>
              <w:keepLines/>
              <w:spacing w:before="40" w:after="120"/>
              <w:outlineLvl w:val="1"/>
              <w:cnfStyle w:val="000000100000" w:firstRow="0" w:lastRow="0" w:firstColumn="0" w:lastColumn="0" w:oddVBand="0" w:evenVBand="0" w:oddHBand="1" w:evenHBand="0" w:firstRowFirstColumn="0" w:firstRowLastColumn="0" w:lastRowFirstColumn="0" w:lastRowLastColumn="0"/>
              <w:rPr>
                <w:rFonts w:cstheme="minorHAnsi"/>
                <w:noProof/>
                <w:color w:val="000000" w:themeColor="text1"/>
                <w:sz w:val="24"/>
                <w:szCs w:val="24"/>
              </w:rPr>
            </w:pPr>
            <w:r w:rsidRPr="00B67CA5">
              <w:rPr>
                <w:rFonts w:cstheme="minorHAnsi"/>
                <w:noProof/>
                <w:color w:val="000000" w:themeColor="text1"/>
                <w:sz w:val="24"/>
                <w:szCs w:val="24"/>
              </w:rPr>
              <w:t>Retrospective cohort study</w:t>
            </w:r>
          </w:p>
          <w:p w14:paraId="1635F175" w14:textId="77777777" w:rsidR="007C03B3" w:rsidRPr="00B67CA5" w:rsidRDefault="007C03B3" w:rsidP="00E50F0A">
            <w:pPr>
              <w:keepNext/>
              <w:keepLines/>
              <w:spacing w:before="40" w:after="120"/>
              <w:outlineLvl w:val="1"/>
              <w:cnfStyle w:val="000000100000" w:firstRow="0" w:lastRow="0" w:firstColumn="0" w:lastColumn="0" w:oddVBand="0" w:evenVBand="0" w:oddHBand="1" w:evenHBand="0" w:firstRowFirstColumn="0" w:firstRowLastColumn="0" w:lastRowFirstColumn="0" w:lastRowLastColumn="0"/>
              <w:rPr>
                <w:rFonts w:cstheme="minorHAnsi"/>
                <w:noProof/>
                <w:color w:val="000000" w:themeColor="text1"/>
                <w:sz w:val="24"/>
                <w:szCs w:val="24"/>
              </w:rPr>
            </w:pPr>
          </w:p>
          <w:p w14:paraId="64117AAE" w14:textId="2E7CC1F0" w:rsidR="007C03B3" w:rsidRPr="00B67CA5" w:rsidRDefault="007C03B3" w:rsidP="00E50F0A">
            <w:pPr>
              <w:keepNext/>
              <w:keepLines/>
              <w:spacing w:before="40" w:after="120"/>
              <w:outlineLvl w:val="1"/>
              <w:cnfStyle w:val="000000100000" w:firstRow="0" w:lastRow="0" w:firstColumn="0" w:lastColumn="0" w:oddVBand="0" w:evenVBand="0" w:oddHBand="1" w:evenHBand="0" w:firstRowFirstColumn="0" w:firstRowLastColumn="0" w:lastRowFirstColumn="0" w:lastRowLastColumn="0"/>
              <w:rPr>
                <w:rFonts w:cstheme="minorHAnsi"/>
                <w:noProof/>
                <w:color w:val="000000" w:themeColor="text1"/>
                <w:sz w:val="24"/>
                <w:szCs w:val="24"/>
              </w:rPr>
            </w:pPr>
            <w:r w:rsidRPr="00B67CA5">
              <w:rPr>
                <w:rFonts w:cstheme="minorHAnsi"/>
                <w:i/>
                <w:iCs/>
                <w:noProof/>
                <w:color w:val="000000" w:themeColor="text1"/>
                <w:sz w:val="24"/>
                <w:szCs w:val="24"/>
              </w:rPr>
              <w:t xml:space="preserve">N </w:t>
            </w:r>
            <w:r w:rsidRPr="00B67CA5">
              <w:rPr>
                <w:rFonts w:cstheme="minorHAnsi"/>
                <w:noProof/>
                <w:color w:val="000000" w:themeColor="text1"/>
                <w:sz w:val="24"/>
                <w:szCs w:val="24"/>
              </w:rPr>
              <w:t>= 358</w:t>
            </w:r>
          </w:p>
        </w:tc>
        <w:tc>
          <w:tcPr>
            <w:tcW w:w="1419" w:type="dxa"/>
          </w:tcPr>
          <w:p w14:paraId="0D9C5D2D" w14:textId="0328E304" w:rsidR="007C03B3" w:rsidRPr="00B67CA5" w:rsidRDefault="007C03B3" w:rsidP="00E50F0A">
            <w:pPr>
              <w:cnfStyle w:val="000000100000" w:firstRow="0" w:lastRow="0" w:firstColumn="0" w:lastColumn="0" w:oddVBand="0" w:evenVBand="0" w:oddHBand="1" w:evenHBand="0" w:firstRowFirstColumn="0" w:firstRowLastColumn="0" w:lastRowFirstColumn="0" w:lastRowLastColumn="0"/>
              <w:rPr>
                <w:rFonts w:cstheme="minorHAnsi"/>
                <w:noProof/>
                <w:color w:val="000000" w:themeColor="text1"/>
                <w:sz w:val="24"/>
                <w:szCs w:val="24"/>
              </w:rPr>
            </w:pPr>
            <w:r w:rsidRPr="00B67CA5">
              <w:rPr>
                <w:rFonts w:cstheme="minorHAnsi"/>
                <w:noProof/>
                <w:color w:val="000000" w:themeColor="text1"/>
                <w:sz w:val="24"/>
                <w:szCs w:val="24"/>
              </w:rPr>
              <w:t>BMI &gt;95</w:t>
            </w:r>
            <w:r w:rsidRPr="00B67CA5">
              <w:rPr>
                <w:rFonts w:cstheme="minorHAnsi"/>
                <w:noProof/>
                <w:color w:val="000000" w:themeColor="text1"/>
                <w:sz w:val="24"/>
                <w:szCs w:val="24"/>
                <w:vertAlign w:val="superscript"/>
              </w:rPr>
              <w:t>th</w:t>
            </w:r>
            <w:r w:rsidRPr="00B67CA5">
              <w:rPr>
                <w:rFonts w:cstheme="minorHAnsi"/>
                <w:noProof/>
                <w:color w:val="000000" w:themeColor="text1"/>
                <w:sz w:val="24"/>
                <w:szCs w:val="24"/>
              </w:rPr>
              <w:t xml:space="preserve"> percentile</w:t>
            </w:r>
          </w:p>
        </w:tc>
        <w:tc>
          <w:tcPr>
            <w:tcW w:w="1579" w:type="dxa"/>
          </w:tcPr>
          <w:p w14:paraId="04F97EE2" w14:textId="19187EAA" w:rsidR="007F6EA9" w:rsidRPr="00B67CA5" w:rsidRDefault="008F12E9" w:rsidP="00E50F0A">
            <w:pPr>
              <w:keepNext/>
              <w:keepLines/>
              <w:spacing w:before="40" w:after="120"/>
              <w:outlineLvl w:val="1"/>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4"/>
                <w:szCs w:val="24"/>
              </w:rPr>
            </w:pPr>
            <w:r w:rsidRPr="00B67CA5">
              <w:rPr>
                <w:rFonts w:eastAsiaTheme="majorEastAsia" w:cstheme="minorHAnsi"/>
                <w:color w:val="000000" w:themeColor="text1"/>
                <w:sz w:val="24"/>
                <w:szCs w:val="24"/>
              </w:rPr>
              <w:t xml:space="preserve">366 </w:t>
            </w:r>
            <w:r w:rsidR="00CB2A80" w:rsidRPr="00B67CA5">
              <w:rPr>
                <w:rFonts w:eastAsiaTheme="majorEastAsia" w:cstheme="minorHAnsi"/>
                <w:color w:val="000000" w:themeColor="text1"/>
                <w:sz w:val="24"/>
                <w:szCs w:val="24"/>
              </w:rPr>
              <w:t>(11.0%)</w:t>
            </w:r>
          </w:p>
          <w:p w14:paraId="42AF3368" w14:textId="5D400DA5" w:rsidR="007C03B3" w:rsidRPr="00B67CA5" w:rsidRDefault="007F6EA9" w:rsidP="00E50F0A">
            <w:pPr>
              <w:keepNext/>
              <w:keepLines/>
              <w:spacing w:before="40" w:after="120"/>
              <w:outlineLvl w:val="1"/>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4"/>
                <w:szCs w:val="24"/>
              </w:rPr>
            </w:pPr>
            <w:r w:rsidRPr="00B67CA5">
              <w:rPr>
                <w:rFonts w:eastAsiaTheme="majorEastAsia" w:cstheme="minorHAnsi"/>
                <w:color w:val="000000" w:themeColor="text1"/>
                <w:sz w:val="24"/>
                <w:szCs w:val="24"/>
              </w:rPr>
              <w:t xml:space="preserve">Out of which </w:t>
            </w:r>
            <w:r w:rsidR="007C03B3" w:rsidRPr="00B67CA5">
              <w:rPr>
                <w:rFonts w:eastAsiaTheme="majorEastAsia" w:cstheme="minorHAnsi"/>
                <w:color w:val="000000" w:themeColor="text1"/>
                <w:sz w:val="24"/>
                <w:szCs w:val="24"/>
              </w:rPr>
              <w:t>38 (10.6%)</w:t>
            </w:r>
            <w:r w:rsidR="00FD16BA" w:rsidRPr="00B67CA5">
              <w:rPr>
                <w:rFonts w:eastAsiaTheme="majorEastAsia" w:cstheme="minorHAnsi"/>
                <w:color w:val="000000" w:themeColor="text1"/>
                <w:sz w:val="24"/>
                <w:szCs w:val="24"/>
              </w:rPr>
              <w:t xml:space="preserve"> on ibuprofen</w:t>
            </w:r>
          </w:p>
        </w:tc>
        <w:tc>
          <w:tcPr>
            <w:tcW w:w="1580" w:type="dxa"/>
          </w:tcPr>
          <w:p w14:paraId="4354DA7D" w14:textId="028B702A" w:rsidR="00FD16BA" w:rsidRPr="00B67CA5" w:rsidRDefault="00C05CF7" w:rsidP="00E50F0A">
            <w:pPr>
              <w:keepNext/>
              <w:keepLines/>
              <w:spacing w:before="40" w:after="120"/>
              <w:outlineLvl w:val="1"/>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4"/>
                <w:szCs w:val="24"/>
              </w:rPr>
            </w:pPr>
            <w:r w:rsidRPr="00B67CA5">
              <w:rPr>
                <w:rFonts w:eastAsiaTheme="majorEastAsia" w:cstheme="minorHAnsi"/>
                <w:color w:val="000000" w:themeColor="text1"/>
                <w:sz w:val="24"/>
                <w:szCs w:val="24"/>
              </w:rPr>
              <w:t>2975</w:t>
            </w:r>
            <w:r w:rsidR="00CB2A80" w:rsidRPr="00B67CA5">
              <w:rPr>
                <w:rFonts w:eastAsiaTheme="majorEastAsia" w:cstheme="minorHAnsi"/>
                <w:color w:val="000000" w:themeColor="text1"/>
                <w:sz w:val="24"/>
                <w:szCs w:val="24"/>
              </w:rPr>
              <w:t xml:space="preserve"> (</w:t>
            </w:r>
            <w:r w:rsidR="003F5E03" w:rsidRPr="00B67CA5">
              <w:rPr>
                <w:rFonts w:eastAsiaTheme="majorEastAsia" w:cstheme="minorHAnsi"/>
                <w:color w:val="000000" w:themeColor="text1"/>
                <w:sz w:val="24"/>
                <w:szCs w:val="24"/>
              </w:rPr>
              <w:t>89.0%)</w:t>
            </w:r>
          </w:p>
          <w:p w14:paraId="5653EF20" w14:textId="50E0E891" w:rsidR="007C03B3" w:rsidRPr="00B67CA5" w:rsidRDefault="00FD16BA" w:rsidP="00E50F0A">
            <w:pPr>
              <w:keepNext/>
              <w:keepLines/>
              <w:spacing w:before="40" w:after="120"/>
              <w:outlineLvl w:val="1"/>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4"/>
                <w:szCs w:val="24"/>
              </w:rPr>
            </w:pPr>
            <w:r w:rsidRPr="00B67CA5">
              <w:rPr>
                <w:rFonts w:eastAsiaTheme="majorEastAsia" w:cstheme="minorHAnsi"/>
                <w:color w:val="000000" w:themeColor="text1"/>
                <w:sz w:val="24"/>
                <w:szCs w:val="24"/>
              </w:rPr>
              <w:t xml:space="preserve">Out of which </w:t>
            </w:r>
            <w:r w:rsidR="007C03B3" w:rsidRPr="00B67CA5">
              <w:rPr>
                <w:rFonts w:eastAsiaTheme="majorEastAsia" w:cstheme="minorHAnsi"/>
                <w:color w:val="000000" w:themeColor="text1"/>
                <w:sz w:val="24"/>
                <w:szCs w:val="24"/>
              </w:rPr>
              <w:t>320 (89.4%)</w:t>
            </w:r>
            <w:r w:rsidRPr="00B67CA5">
              <w:rPr>
                <w:rFonts w:eastAsiaTheme="majorEastAsia" w:cstheme="minorHAnsi"/>
                <w:color w:val="000000" w:themeColor="text1"/>
                <w:sz w:val="24"/>
                <w:szCs w:val="24"/>
              </w:rPr>
              <w:t xml:space="preserve"> on ibuprofen</w:t>
            </w:r>
          </w:p>
        </w:tc>
        <w:tc>
          <w:tcPr>
            <w:tcW w:w="2024" w:type="dxa"/>
          </w:tcPr>
          <w:p w14:paraId="7EE262EE" w14:textId="57AE773F" w:rsidR="007C03B3" w:rsidRPr="00B67CA5" w:rsidRDefault="007C03B3" w:rsidP="00E50F0A">
            <w:pPr>
              <w:keepNext/>
              <w:keepLines/>
              <w:spacing w:before="40" w:after="120"/>
              <w:outlineLvl w:val="1"/>
              <w:cnfStyle w:val="000000100000" w:firstRow="0" w:lastRow="0" w:firstColumn="0" w:lastColumn="0" w:oddVBand="0" w:evenVBand="0" w:oddHBand="1" w:evenHBand="0" w:firstRowFirstColumn="0" w:firstRowLastColumn="0" w:lastRowFirstColumn="0" w:lastRowLastColumn="0"/>
              <w:rPr>
                <w:rFonts w:cstheme="minorHAnsi"/>
                <w:noProof/>
                <w:color w:val="000000" w:themeColor="text1"/>
                <w:sz w:val="24"/>
                <w:szCs w:val="24"/>
              </w:rPr>
            </w:pPr>
            <w:r w:rsidRPr="00B67CA5">
              <w:rPr>
                <w:rFonts w:cstheme="minorHAnsi"/>
                <w:noProof/>
                <w:color w:val="000000" w:themeColor="text1"/>
                <w:sz w:val="24"/>
                <w:szCs w:val="24"/>
              </w:rPr>
              <w:t>Dose (mg/dose): 120</w:t>
            </w:r>
          </w:p>
          <w:p w14:paraId="6D09905D" w14:textId="4DFA4077" w:rsidR="007C03B3" w:rsidRPr="00B67CA5" w:rsidRDefault="007C03B3" w:rsidP="00E50F0A">
            <w:pPr>
              <w:cnfStyle w:val="000000100000" w:firstRow="0" w:lastRow="0" w:firstColumn="0" w:lastColumn="0" w:oddVBand="0" w:evenVBand="0" w:oddHBand="1" w:evenHBand="0" w:firstRowFirstColumn="0" w:firstRowLastColumn="0" w:lastRowFirstColumn="0" w:lastRowLastColumn="0"/>
              <w:rPr>
                <w:rFonts w:cstheme="minorHAnsi"/>
                <w:noProof/>
                <w:color w:val="000000" w:themeColor="text1"/>
                <w:sz w:val="24"/>
                <w:szCs w:val="24"/>
              </w:rPr>
            </w:pPr>
            <w:r w:rsidRPr="00B67CA5">
              <w:rPr>
                <w:rFonts w:cstheme="minorHAnsi"/>
                <w:noProof/>
                <w:color w:val="000000" w:themeColor="text1"/>
                <w:sz w:val="24"/>
                <w:szCs w:val="24"/>
              </w:rPr>
              <w:t xml:space="preserve">Dose (mg/kg/dose): </w:t>
            </w:r>
            <w:r w:rsidRPr="00295A88">
              <w:rPr>
                <w:rFonts w:cstheme="minorHAnsi"/>
              </w:rPr>
              <w:t xml:space="preserve"> </w:t>
            </w:r>
            <w:r w:rsidRPr="00B67CA5">
              <w:rPr>
                <w:rFonts w:cstheme="minorHAnsi"/>
                <w:noProof/>
                <w:color w:val="000000" w:themeColor="text1"/>
                <w:sz w:val="24"/>
                <w:szCs w:val="24"/>
              </w:rPr>
              <w:t>8.2 ± 1.7</w:t>
            </w:r>
          </w:p>
        </w:tc>
        <w:tc>
          <w:tcPr>
            <w:tcW w:w="2167" w:type="dxa"/>
          </w:tcPr>
          <w:p w14:paraId="22F435A6" w14:textId="148806C0" w:rsidR="007C03B3" w:rsidRPr="00B67CA5" w:rsidRDefault="007C03B3" w:rsidP="00E50F0A">
            <w:pPr>
              <w:keepNext/>
              <w:keepLines/>
              <w:spacing w:before="40" w:after="120"/>
              <w:outlineLvl w:val="1"/>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4"/>
                <w:szCs w:val="24"/>
              </w:rPr>
            </w:pPr>
            <w:r w:rsidRPr="00B67CA5">
              <w:rPr>
                <w:rFonts w:eastAsiaTheme="majorEastAsia" w:cstheme="minorHAnsi"/>
                <w:color w:val="000000" w:themeColor="text1"/>
                <w:sz w:val="24"/>
                <w:szCs w:val="24"/>
              </w:rPr>
              <w:t>Not stated</w:t>
            </w:r>
          </w:p>
        </w:tc>
        <w:tc>
          <w:tcPr>
            <w:tcW w:w="594" w:type="dxa"/>
          </w:tcPr>
          <w:p w14:paraId="0DBAF082" w14:textId="4177AE58" w:rsidR="007C03B3" w:rsidRPr="00B67CA5" w:rsidRDefault="007C03B3" w:rsidP="00E50F0A">
            <w:pPr>
              <w:cnfStyle w:val="000000100000" w:firstRow="0" w:lastRow="0" w:firstColumn="0" w:lastColumn="0" w:oddVBand="0" w:evenVBand="0" w:oddHBand="1" w:evenHBand="0" w:firstRowFirstColumn="0" w:firstRowLastColumn="0" w:lastRowFirstColumn="0" w:lastRowLastColumn="0"/>
              <w:rPr>
                <w:rFonts w:cstheme="minorHAnsi"/>
                <w:noProof/>
                <w:color w:val="000000" w:themeColor="text1"/>
              </w:rPr>
            </w:pPr>
            <w:r w:rsidRPr="00B67CA5">
              <w:rPr>
                <w:rFonts w:cstheme="minorHAnsi"/>
                <w:noProof/>
                <w:color w:val="000000" w:themeColor="text1"/>
              </w:rPr>
              <w:fldChar w:fldCharType="begin" w:fldLock="1"/>
            </w:r>
            <w:r w:rsidRPr="00B67CA5">
              <w:rPr>
                <w:rFonts w:cstheme="minorHAnsi"/>
                <w:noProof/>
                <w:color w:val="000000" w:themeColor="text1"/>
              </w:rPr>
              <w:instrText>ADDIN CSL_CITATION {"citationItems":[{"id":"ITEM-1","itemData":{"DOI":"10.1097/PCC.0000000000002072","ISBN":"0000000000","ISSN":"19473893","PMID":"31398182","abstract":"Objectives: To determine the antipyretic efficacy of acetaminophen (IV, enteral, rectal) and ibuprofen (enteral) in critically ill febrile pediatric patients. Design: Retrospective cohort study. Setting: Quaternary care pediatric hospital ICUs. Patients: Pediatric patients less than 19 years old who were febrile (≥ 38.0°C), received a dose of IV acetaminophen, enteral acetaminophen, rectal acetaminophen, or enteral ibuprofen and had at least one temperature measurement in the following 6 hours. Interventions: None. Measurements and Main Results: A total of 3,341 patients (55.8% male, median age 2.5 yr [interquartile range, 0.63-9.2 yr]) met study criteria. Baseline temperature was median 38.6°C (interquartile range, 38.3-38.9°C) measured via axillary (76.9%) route. Patients became afebrile (87.5%) at median 1.4 hours (interquartile range, 0.77-2.3 hr) after the first dose of medication, a-2.9 ± 1.6% change in temperature. Antipyretic medications included as follows: enteral acetaminophen (n = 1,664), IV acetaminophen (n = 682), rectal acetaminophen (n = 637), and enteral ibuprofen (n = 358). Enteral ibuprofen had a significantly greater odds of defervescence on multivariable logistic regression analysis (p = 0.04) with a decrease of-1.97 ± 0.89°C while IV acetaminophen was significant for a decreased time to defervescence at median 1.5 hours (interquartile range 0.8-2.3 hr) after a dose (p = 0.03). Patient age, presence of obesity, and baseline temperature were significant for decreased antipyretic efficacy (p &lt; 0.05). Conclusions: Enteral ibuprofen was the most efficacious antipyretic and IV acetaminophen had the shortest time to defervescence.","author":[{"dropping-particle":"","family":"Moffett","given":"Brady S.","non-dropping-particle":"","parse-names":false,"suffix":""},{"dropping-particle":"","family":"Gutierrez","given":"Kristina","non-dropping-particle":"","parse-names":false,"suffix":""},{"dropping-particle":"","family":"Davis","given":"Kasey","non-dropping-particle":"","parse-names":false,"suffix":""},{"dropping-particle":"","family":"Sigdel","given":"Binayak","non-dropping-particle":"","parse-names":false,"suffix":""},{"dropping-particle":"","family":"Strobel","given":"Nathaniel","non-dropping-particle":"","parse-names":false,"suffix":""}],"container-title":"Pediatric Critical Care Medicine","id":"ITEM-1","issue":"8","issued":{"date-parts":[["2019"]]},"page":"E386-E393","title":"Antipyretic Efficacy of Acetaminophen and Ibuprofen in Critically Ill Pediatric Patients","type":"article-journal","volume":"20"},"uris":["http://www.mendeley.com/documents/?uuid=aa054fa6-d037-4207-bbdb-b8ea4d4a3a0e"]}],"mendeley":{"formattedCitation":"(16)","plainTextFormattedCitation":"(16)","previouslyFormattedCitation":"(16)"},"properties":{"noteIndex":0},"schema":"https://github.com/citation-style-language/schema/raw/master/csl-citation.json"}</w:instrText>
            </w:r>
            <w:r w:rsidRPr="00B67CA5">
              <w:rPr>
                <w:rFonts w:cstheme="minorHAnsi"/>
                <w:noProof/>
                <w:color w:val="000000" w:themeColor="text1"/>
              </w:rPr>
              <w:fldChar w:fldCharType="separate"/>
            </w:r>
            <w:r w:rsidRPr="00B67CA5">
              <w:rPr>
                <w:rFonts w:cstheme="minorHAnsi"/>
                <w:noProof/>
                <w:color w:val="000000" w:themeColor="text1"/>
              </w:rPr>
              <w:t>(16)</w:t>
            </w:r>
            <w:r w:rsidRPr="00B67CA5">
              <w:rPr>
                <w:rFonts w:cstheme="minorHAnsi"/>
                <w:noProof/>
                <w:color w:val="000000" w:themeColor="text1"/>
              </w:rPr>
              <w:fldChar w:fldCharType="end"/>
            </w:r>
          </w:p>
        </w:tc>
      </w:tr>
      <w:tr w:rsidR="007C03B3" w:rsidRPr="00B67CA5" w14:paraId="47EF36E3" w14:textId="77777777" w:rsidTr="00FD3951">
        <w:trPr>
          <w:trHeight w:val="1760"/>
        </w:trPr>
        <w:tc>
          <w:tcPr>
            <w:cnfStyle w:val="001000000000" w:firstRow="0" w:lastRow="0" w:firstColumn="1" w:lastColumn="0" w:oddVBand="0" w:evenVBand="0" w:oddHBand="0" w:evenHBand="0" w:firstRowFirstColumn="0" w:firstRowLastColumn="0" w:lastRowFirstColumn="0" w:lastRowLastColumn="0"/>
            <w:tcW w:w="867" w:type="dxa"/>
            <w:vAlign w:val="center"/>
          </w:tcPr>
          <w:p w14:paraId="4807AF13" w14:textId="16338E88" w:rsidR="007C03B3" w:rsidRPr="00B67CA5" w:rsidRDefault="007C03B3" w:rsidP="00E50F0A">
            <w:pPr>
              <w:jc w:val="center"/>
              <w:rPr>
                <w:rFonts w:cstheme="minorHAnsi"/>
                <w:sz w:val="24"/>
                <w:szCs w:val="24"/>
              </w:rPr>
            </w:pPr>
            <w:r w:rsidRPr="00B67CA5">
              <w:rPr>
                <w:rFonts w:cstheme="minorHAnsi"/>
                <w:sz w:val="24"/>
                <w:szCs w:val="24"/>
              </w:rPr>
              <w:t>4</w:t>
            </w:r>
          </w:p>
        </w:tc>
        <w:tc>
          <w:tcPr>
            <w:tcW w:w="1396" w:type="dxa"/>
          </w:tcPr>
          <w:p w14:paraId="69D446F0" w14:textId="77777777" w:rsidR="007C03B3" w:rsidRPr="00B67CA5" w:rsidRDefault="007C03B3" w:rsidP="00E50F0A">
            <w:pPr>
              <w:keepNext/>
              <w:keepLines/>
              <w:spacing w:before="40" w:after="120"/>
              <w:outlineLvl w:val="1"/>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4"/>
                <w:szCs w:val="24"/>
              </w:rPr>
            </w:pPr>
            <w:r w:rsidRPr="00B67CA5">
              <w:rPr>
                <w:rFonts w:cstheme="minorHAnsi"/>
                <w:noProof/>
                <w:color w:val="000000" w:themeColor="text1"/>
                <w:sz w:val="24"/>
                <w:szCs w:val="24"/>
              </w:rPr>
              <w:t>0-18 years</w:t>
            </w:r>
          </w:p>
        </w:tc>
        <w:tc>
          <w:tcPr>
            <w:tcW w:w="1276" w:type="dxa"/>
          </w:tcPr>
          <w:p w14:paraId="0FB259A1" w14:textId="77777777" w:rsidR="007C03B3" w:rsidRPr="00B67CA5" w:rsidRDefault="007C03B3" w:rsidP="00E50F0A">
            <w:pPr>
              <w:cnfStyle w:val="000000000000" w:firstRow="0" w:lastRow="0" w:firstColumn="0" w:lastColumn="0" w:oddVBand="0" w:evenVBand="0" w:oddHBand="0" w:evenHBand="0" w:firstRowFirstColumn="0" w:firstRowLastColumn="0" w:lastRowFirstColumn="0" w:lastRowLastColumn="0"/>
              <w:rPr>
                <w:rFonts w:cstheme="minorHAnsi"/>
                <w:noProof/>
                <w:color w:val="000000" w:themeColor="text1"/>
                <w:sz w:val="24"/>
                <w:szCs w:val="24"/>
              </w:rPr>
            </w:pPr>
            <w:r w:rsidRPr="00B67CA5">
              <w:rPr>
                <w:rFonts w:cstheme="minorHAnsi"/>
                <w:noProof/>
                <w:color w:val="000000" w:themeColor="text1"/>
                <w:sz w:val="24"/>
                <w:szCs w:val="24"/>
              </w:rPr>
              <w:t>Not stated</w:t>
            </w:r>
          </w:p>
        </w:tc>
        <w:tc>
          <w:tcPr>
            <w:tcW w:w="2402" w:type="dxa"/>
          </w:tcPr>
          <w:p w14:paraId="4825334E" w14:textId="77777777" w:rsidR="007C03B3" w:rsidRPr="00B67CA5" w:rsidRDefault="007C03B3" w:rsidP="00E50F0A">
            <w:pPr>
              <w:keepNext/>
              <w:keepLines/>
              <w:spacing w:before="40" w:after="120"/>
              <w:outlineLvl w:val="1"/>
              <w:cnfStyle w:val="000000000000" w:firstRow="0" w:lastRow="0" w:firstColumn="0" w:lastColumn="0" w:oddVBand="0" w:evenVBand="0" w:oddHBand="0" w:evenHBand="0" w:firstRowFirstColumn="0" w:firstRowLastColumn="0" w:lastRowFirstColumn="0" w:lastRowLastColumn="0"/>
              <w:rPr>
                <w:rFonts w:cstheme="minorHAnsi"/>
                <w:noProof/>
                <w:color w:val="000000" w:themeColor="text1"/>
                <w:sz w:val="24"/>
                <w:szCs w:val="24"/>
              </w:rPr>
            </w:pPr>
            <w:r w:rsidRPr="00B67CA5">
              <w:rPr>
                <w:rFonts w:cstheme="minorHAnsi"/>
                <w:noProof/>
                <w:color w:val="000000" w:themeColor="text1"/>
                <w:sz w:val="24"/>
                <w:szCs w:val="24"/>
              </w:rPr>
              <w:t>Case report –based on a service evaluation</w:t>
            </w:r>
          </w:p>
          <w:p w14:paraId="562E0B8E" w14:textId="77777777" w:rsidR="007C03B3" w:rsidRPr="00B67CA5" w:rsidRDefault="007C03B3" w:rsidP="00E50F0A">
            <w:pPr>
              <w:keepNext/>
              <w:keepLines/>
              <w:spacing w:before="40" w:after="120"/>
              <w:outlineLvl w:val="1"/>
              <w:cnfStyle w:val="000000000000" w:firstRow="0" w:lastRow="0" w:firstColumn="0" w:lastColumn="0" w:oddVBand="0" w:evenVBand="0" w:oddHBand="0" w:evenHBand="0" w:firstRowFirstColumn="0" w:firstRowLastColumn="0" w:lastRowFirstColumn="0" w:lastRowLastColumn="0"/>
              <w:rPr>
                <w:rFonts w:cstheme="minorHAnsi"/>
                <w:noProof/>
                <w:color w:val="000000" w:themeColor="text1"/>
                <w:sz w:val="24"/>
                <w:szCs w:val="24"/>
              </w:rPr>
            </w:pPr>
          </w:p>
          <w:p w14:paraId="3F7E26B8" w14:textId="77777777" w:rsidR="007C03B3" w:rsidRPr="00B67CA5" w:rsidRDefault="007C03B3" w:rsidP="00E50F0A">
            <w:pPr>
              <w:keepNext/>
              <w:keepLines/>
              <w:spacing w:before="40" w:after="120"/>
              <w:outlineLvl w:val="1"/>
              <w:cnfStyle w:val="000000000000" w:firstRow="0" w:lastRow="0" w:firstColumn="0" w:lastColumn="0" w:oddVBand="0" w:evenVBand="0" w:oddHBand="0" w:evenHBand="0" w:firstRowFirstColumn="0" w:firstRowLastColumn="0" w:lastRowFirstColumn="0" w:lastRowLastColumn="0"/>
              <w:rPr>
                <w:rFonts w:cstheme="minorHAnsi"/>
                <w:noProof/>
                <w:color w:val="000000" w:themeColor="text1"/>
                <w:sz w:val="24"/>
                <w:szCs w:val="24"/>
              </w:rPr>
            </w:pPr>
            <w:r w:rsidRPr="00B67CA5">
              <w:rPr>
                <w:rFonts w:cstheme="minorHAnsi"/>
                <w:noProof/>
                <w:color w:val="000000" w:themeColor="text1"/>
                <w:sz w:val="24"/>
                <w:szCs w:val="24"/>
              </w:rPr>
              <w:t>Sample size not stated</w:t>
            </w:r>
          </w:p>
        </w:tc>
        <w:tc>
          <w:tcPr>
            <w:tcW w:w="1419" w:type="dxa"/>
          </w:tcPr>
          <w:p w14:paraId="65A03C67" w14:textId="77777777" w:rsidR="007C03B3" w:rsidRPr="00B67CA5" w:rsidRDefault="007C03B3" w:rsidP="00E50F0A">
            <w:pPr>
              <w:cnfStyle w:val="000000000000" w:firstRow="0" w:lastRow="0" w:firstColumn="0" w:lastColumn="0" w:oddVBand="0" w:evenVBand="0" w:oddHBand="0" w:evenHBand="0" w:firstRowFirstColumn="0" w:firstRowLastColumn="0" w:lastRowFirstColumn="0" w:lastRowLastColumn="0"/>
              <w:rPr>
                <w:rFonts w:cstheme="minorHAnsi"/>
                <w:noProof/>
                <w:color w:val="000000" w:themeColor="text1"/>
                <w:sz w:val="24"/>
                <w:szCs w:val="24"/>
              </w:rPr>
            </w:pPr>
            <w:r w:rsidRPr="00B67CA5">
              <w:rPr>
                <w:rFonts w:cstheme="minorHAnsi"/>
                <w:noProof/>
                <w:color w:val="000000" w:themeColor="text1"/>
                <w:sz w:val="24"/>
                <w:szCs w:val="24"/>
              </w:rPr>
              <w:t>BMI &gt;95</w:t>
            </w:r>
            <w:r w:rsidRPr="00B67CA5">
              <w:rPr>
                <w:rFonts w:cstheme="minorHAnsi"/>
                <w:noProof/>
                <w:color w:val="000000" w:themeColor="text1"/>
                <w:sz w:val="24"/>
                <w:szCs w:val="24"/>
                <w:vertAlign w:val="superscript"/>
              </w:rPr>
              <w:t>th</w:t>
            </w:r>
            <w:r w:rsidRPr="00B67CA5">
              <w:rPr>
                <w:rFonts w:cstheme="minorHAnsi"/>
                <w:noProof/>
                <w:color w:val="000000" w:themeColor="text1"/>
                <w:sz w:val="24"/>
                <w:szCs w:val="24"/>
              </w:rPr>
              <w:t xml:space="preserve"> percentile</w:t>
            </w:r>
          </w:p>
        </w:tc>
        <w:tc>
          <w:tcPr>
            <w:tcW w:w="1579" w:type="dxa"/>
          </w:tcPr>
          <w:p w14:paraId="4F3A3A45" w14:textId="77777777" w:rsidR="007C03B3" w:rsidRPr="00B67CA5" w:rsidRDefault="007C03B3" w:rsidP="00E50F0A">
            <w:pPr>
              <w:keepNext/>
              <w:keepLines/>
              <w:spacing w:before="40" w:after="120"/>
              <w:outlineLvl w:val="1"/>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4"/>
                <w:szCs w:val="24"/>
              </w:rPr>
            </w:pPr>
            <w:r w:rsidRPr="00B67CA5">
              <w:rPr>
                <w:rFonts w:eastAsiaTheme="majorEastAsia" w:cstheme="minorHAnsi"/>
                <w:color w:val="000000" w:themeColor="text1"/>
                <w:sz w:val="24"/>
                <w:szCs w:val="24"/>
              </w:rPr>
              <w:t>Not stated</w:t>
            </w:r>
          </w:p>
        </w:tc>
        <w:tc>
          <w:tcPr>
            <w:tcW w:w="1580" w:type="dxa"/>
          </w:tcPr>
          <w:p w14:paraId="07DA56C4" w14:textId="77777777" w:rsidR="007C03B3" w:rsidRPr="00B67CA5" w:rsidRDefault="007C03B3" w:rsidP="00E50F0A">
            <w:pPr>
              <w:keepNext/>
              <w:keepLines/>
              <w:spacing w:before="40" w:after="120"/>
              <w:outlineLvl w:val="1"/>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4"/>
                <w:szCs w:val="24"/>
              </w:rPr>
            </w:pPr>
            <w:r w:rsidRPr="00B67CA5">
              <w:rPr>
                <w:rFonts w:eastAsiaTheme="majorEastAsia" w:cstheme="minorHAnsi"/>
                <w:color w:val="000000" w:themeColor="text1"/>
                <w:sz w:val="24"/>
                <w:szCs w:val="24"/>
              </w:rPr>
              <w:t>Not stated</w:t>
            </w:r>
          </w:p>
        </w:tc>
        <w:tc>
          <w:tcPr>
            <w:tcW w:w="2024" w:type="dxa"/>
          </w:tcPr>
          <w:p w14:paraId="5E3F4DAE" w14:textId="6A437E68" w:rsidR="007C03B3" w:rsidRPr="00B67CA5" w:rsidRDefault="007C03B3" w:rsidP="00E50F0A">
            <w:pPr>
              <w:keepNext/>
              <w:keepLines/>
              <w:spacing w:before="40" w:after="120"/>
              <w:outlineLvl w:val="1"/>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4"/>
                <w:szCs w:val="24"/>
              </w:rPr>
            </w:pPr>
            <w:r w:rsidRPr="00B67CA5">
              <w:rPr>
                <w:rFonts w:cstheme="minorHAnsi"/>
                <w:noProof/>
                <w:color w:val="000000" w:themeColor="text1"/>
                <w:sz w:val="24"/>
                <w:szCs w:val="24"/>
              </w:rPr>
              <w:t>Dose calculated using A</w:t>
            </w:r>
            <w:r w:rsidR="00D71FB6">
              <w:rPr>
                <w:rFonts w:cstheme="minorHAnsi"/>
                <w:noProof/>
                <w:color w:val="000000" w:themeColor="text1"/>
                <w:sz w:val="24"/>
                <w:szCs w:val="24"/>
              </w:rPr>
              <w:t>j</w:t>
            </w:r>
            <w:r w:rsidRPr="00B67CA5">
              <w:rPr>
                <w:rFonts w:cstheme="minorHAnsi"/>
                <w:noProof/>
                <w:color w:val="000000" w:themeColor="text1"/>
                <w:sz w:val="24"/>
                <w:szCs w:val="24"/>
              </w:rPr>
              <w:t>BW (co-factor 0.4) to adult max.</w:t>
            </w:r>
          </w:p>
        </w:tc>
        <w:tc>
          <w:tcPr>
            <w:tcW w:w="2167" w:type="dxa"/>
          </w:tcPr>
          <w:p w14:paraId="3D93FA0E" w14:textId="77777777" w:rsidR="007C03B3" w:rsidRPr="00B67CA5" w:rsidRDefault="007C03B3" w:rsidP="00E50F0A">
            <w:pPr>
              <w:keepNext/>
              <w:keepLines/>
              <w:spacing w:before="40" w:after="120"/>
              <w:outlineLvl w:val="1"/>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4"/>
                <w:szCs w:val="24"/>
              </w:rPr>
            </w:pPr>
            <w:r w:rsidRPr="00B67CA5">
              <w:rPr>
                <w:rFonts w:eastAsiaTheme="majorEastAsia" w:cstheme="minorHAnsi"/>
                <w:color w:val="000000" w:themeColor="text1"/>
                <w:sz w:val="24"/>
                <w:szCs w:val="24"/>
              </w:rPr>
              <w:t>Not stated</w:t>
            </w:r>
          </w:p>
        </w:tc>
        <w:tc>
          <w:tcPr>
            <w:tcW w:w="594" w:type="dxa"/>
          </w:tcPr>
          <w:p w14:paraId="70ECCFDD" w14:textId="6E9779E7" w:rsidR="007C03B3" w:rsidRPr="00B67CA5" w:rsidRDefault="007C03B3" w:rsidP="00E50F0A">
            <w:pPr>
              <w:cnfStyle w:val="000000000000" w:firstRow="0" w:lastRow="0" w:firstColumn="0" w:lastColumn="0" w:oddVBand="0" w:evenVBand="0" w:oddHBand="0" w:evenHBand="0" w:firstRowFirstColumn="0" w:firstRowLastColumn="0" w:lastRowFirstColumn="0" w:lastRowLastColumn="0"/>
              <w:rPr>
                <w:rFonts w:cstheme="minorHAnsi"/>
                <w:noProof/>
                <w:color w:val="000000" w:themeColor="text1"/>
              </w:rPr>
            </w:pPr>
            <w:r w:rsidRPr="00B67CA5">
              <w:rPr>
                <w:rFonts w:cstheme="minorHAnsi"/>
                <w:noProof/>
                <w:color w:val="000000" w:themeColor="text1"/>
              </w:rPr>
              <w:fldChar w:fldCharType="begin" w:fldLock="1"/>
            </w:r>
            <w:r w:rsidRPr="00B67CA5">
              <w:rPr>
                <w:rFonts w:cstheme="minorHAnsi"/>
                <w:noProof/>
                <w:color w:val="000000" w:themeColor="text1"/>
              </w:rPr>
              <w:instrText>ADDIN CSL_CITATION {"citationItems":[{"id":"ITEM-1","itemData":{"DOI":"10.2146/ajhp140280","ISBN":"1079-2082","ISSN":"15352900","PMID":"25788508","abstract":"Purpose. The development and use of a decision support tool to help formulate recommendations for dosing of commonly prescribed medications in critically ill obese children are described. Methods. Medications prescribed in 2010 to critically ill infants and children (younger than 18 years) were identified from the Pediatric Health Information System. The most commonly prescribed and therapeutically monitored medications were extracted. Supportive evidence for obesity dosing was identified through a standardized computerized search involving medical subject heading terminology and age filters using PubMed and Ovid. A usefulness scoring system was developed to rate the strength and applicability of the literature to critically ill obese children. A decision supporttool was then created to aid in the formulation of a dosing weight for each medication based on the usefulness score, published pharmacokinetic properties, clinical studies available in the primary literature, and consideration of clinical consequences of underdosing or overdosing. Results. A total of 113 medications were evaluated, and 122 discrete citations, supporting 66 medications, were reviewed. Seventy-two percent of citations had general obesity dosing information, and 13% had pediatric-specific information. The overall mean usefulness score was 5.1 +/- 4.7 (median, 7). The decision support tool was incorporated to make final dosing weight recommendations for obese children. Ultimately, total body weight was recommended for 52 medications, adjusted weight for 43 medications, and ideal body weight for 18 medications. Conclusion. The inadequacy of obesity dosing information for most medications commonly ordered for children admitted to a pediatric intensive care unit led to the development of a decision support tool to aid in formulating dosing recommendations.","author":[{"dropping-particle":"","family":"Ross","given":"Emma L.","non-dropping-particle":"","parse-names":false,"suffix":""},{"dropping-particle":"","family":"Heizer","given":"Justin","non-dropping-particle":"","parse-names":false,"suffix":""},{"dropping-particle":"","family":"Mixon","given":"Mark A.","non-dropping-particle":"","parse-names":false,"suffix":""},{"dropping-particle":"","family":"Jorgensen","given":"Jennifer","non-dropping-particle":"","parse-names":false,"suffix":""},{"dropping-particle":"","family":"Valdez","given":"Connie A.","non-dropping-particle":"","parse-names":false,"suffix":""},{"dropping-particle":"","family":"Czaja","given":"Angela S.","non-dropping-particle":"","parse-names":false,"suffix":""},{"dropping-particle":"","family":"Reiter","given":"Pamela D.","non-dropping-particle":"","parse-names":false,"suffix":""}],"container-title":"American Journal of Health-System Pharmacy","id":"ITEM-1","issue":"7","issued":{"date-parts":[["2015"]]},"page":"542-556","title":"Development of recommendations for dosing of commonly prescribed medications in critically ill obese children","type":"article","volume":"72"},"uris":["http://www.mendeley.com/documents/?uuid=09e33da6-0013-4bd3-9a3c-636323ab7765"]}],"mendeley":{"formattedCitation":"(17)","plainTextFormattedCitation":"(17)","previouslyFormattedCitation":"(17)"},"properties":{"noteIndex":0},"schema":"https://github.com/citation-style-language/schema/raw/master/csl-citation.json"}</w:instrText>
            </w:r>
            <w:r w:rsidRPr="00B67CA5">
              <w:rPr>
                <w:rFonts w:cstheme="minorHAnsi"/>
                <w:noProof/>
                <w:color w:val="000000" w:themeColor="text1"/>
              </w:rPr>
              <w:fldChar w:fldCharType="separate"/>
            </w:r>
            <w:r w:rsidRPr="00B67CA5">
              <w:rPr>
                <w:rFonts w:cstheme="minorHAnsi"/>
                <w:noProof/>
                <w:color w:val="000000" w:themeColor="text1"/>
              </w:rPr>
              <w:t>(17)</w:t>
            </w:r>
            <w:r w:rsidRPr="00B67CA5">
              <w:rPr>
                <w:rFonts w:cstheme="minorHAnsi"/>
                <w:noProof/>
                <w:color w:val="000000" w:themeColor="text1"/>
              </w:rPr>
              <w:fldChar w:fldCharType="end"/>
            </w:r>
          </w:p>
        </w:tc>
      </w:tr>
    </w:tbl>
    <w:p w14:paraId="74003EA5" w14:textId="3C7C4E4E" w:rsidR="00445F68" w:rsidRPr="00295A88" w:rsidRDefault="002000B0" w:rsidP="00E23D26">
      <w:pPr>
        <w:pStyle w:val="Caption"/>
        <w:keepNext/>
        <w:rPr>
          <w:rFonts w:cstheme="minorHAnsi"/>
          <w:color w:val="99CB38" w:themeColor="accent1"/>
          <w:sz w:val="24"/>
          <w:szCs w:val="24"/>
        </w:rPr>
      </w:pPr>
      <w:r w:rsidRPr="00B67CA5">
        <w:rPr>
          <w:rFonts w:cstheme="minorHAnsi"/>
          <w:b/>
          <w:color w:val="99CB38" w:themeColor="accent1"/>
          <w:sz w:val="24"/>
          <w:szCs w:val="24"/>
        </w:rPr>
        <w:t xml:space="preserve"> </w:t>
      </w:r>
      <w:r w:rsidR="00F66821" w:rsidRPr="00B67CA5">
        <w:rPr>
          <w:rFonts w:cstheme="minorHAnsi"/>
          <w:b/>
          <w:color w:val="99CB38" w:themeColor="accent1"/>
          <w:sz w:val="24"/>
          <w:szCs w:val="24"/>
        </w:rPr>
        <w:t xml:space="preserve">Table </w:t>
      </w:r>
      <w:bookmarkEnd w:id="1"/>
      <w:r w:rsidR="004D7A13" w:rsidRPr="00B67CA5">
        <w:rPr>
          <w:rFonts w:cstheme="minorHAnsi"/>
          <w:b/>
          <w:color w:val="99CB38" w:themeColor="accent1"/>
          <w:sz w:val="24"/>
          <w:szCs w:val="24"/>
        </w:rPr>
        <w:t>2</w:t>
      </w:r>
      <w:r w:rsidR="003B3AA4" w:rsidRPr="00B67CA5">
        <w:rPr>
          <w:rFonts w:cstheme="minorHAnsi"/>
          <w:color w:val="99CB38" w:themeColor="accent1"/>
          <w:sz w:val="24"/>
          <w:szCs w:val="24"/>
        </w:rPr>
        <w:t xml:space="preserve"> </w:t>
      </w:r>
      <w:r w:rsidR="00BF153F" w:rsidRPr="00527B4F">
        <w:rPr>
          <w:rFonts w:cstheme="minorHAnsi"/>
          <w:color w:val="99CB38" w:themeColor="accent1"/>
          <w:sz w:val="24"/>
          <w:szCs w:val="24"/>
        </w:rPr>
        <w:t xml:space="preserve">Demographic information </w:t>
      </w:r>
      <w:r w:rsidR="00046151" w:rsidRPr="00527B4F">
        <w:rPr>
          <w:rFonts w:cstheme="minorHAnsi"/>
          <w:color w:val="99CB38" w:themeColor="accent1"/>
          <w:sz w:val="24"/>
          <w:szCs w:val="24"/>
        </w:rPr>
        <w:t>and characteristics of</w:t>
      </w:r>
      <w:r w:rsidR="0074284F" w:rsidRPr="00DB312C">
        <w:rPr>
          <w:rFonts w:cstheme="minorHAnsi"/>
          <w:color w:val="99CB38" w:themeColor="accent1"/>
          <w:sz w:val="24"/>
          <w:szCs w:val="24"/>
        </w:rPr>
        <w:t xml:space="preserve"> children who were</w:t>
      </w:r>
      <w:r w:rsidR="00046151" w:rsidRPr="00C42A9E">
        <w:rPr>
          <w:rFonts w:cstheme="minorHAnsi"/>
          <w:color w:val="99CB38" w:themeColor="accent1"/>
          <w:sz w:val="24"/>
          <w:szCs w:val="24"/>
        </w:rPr>
        <w:t xml:space="preserve"> </w:t>
      </w:r>
      <w:r w:rsidR="00E620D9" w:rsidRPr="00C42A9E">
        <w:rPr>
          <w:rFonts w:cstheme="minorHAnsi"/>
          <w:color w:val="99CB38" w:themeColor="accent1"/>
          <w:sz w:val="24"/>
          <w:szCs w:val="24"/>
        </w:rPr>
        <w:t xml:space="preserve">obese </w:t>
      </w:r>
      <w:r w:rsidR="00EB0D39" w:rsidRPr="00C42A9E">
        <w:rPr>
          <w:rFonts w:cstheme="minorHAnsi"/>
          <w:color w:val="99CB38" w:themeColor="accent1"/>
          <w:sz w:val="24"/>
          <w:szCs w:val="24"/>
        </w:rPr>
        <w:t>and non</w:t>
      </w:r>
      <w:r w:rsidR="008B0673" w:rsidRPr="00C42A9E">
        <w:rPr>
          <w:rFonts w:cstheme="minorHAnsi"/>
          <w:color w:val="99CB38" w:themeColor="accent1"/>
          <w:sz w:val="24"/>
          <w:szCs w:val="24"/>
        </w:rPr>
        <w:t>-</w:t>
      </w:r>
      <w:r w:rsidR="00EB0D39" w:rsidRPr="00C42A9E">
        <w:rPr>
          <w:rFonts w:cstheme="minorHAnsi"/>
          <w:color w:val="99CB38" w:themeColor="accent1"/>
          <w:sz w:val="24"/>
          <w:szCs w:val="24"/>
        </w:rPr>
        <w:t>obese</w:t>
      </w:r>
      <w:r w:rsidR="0074284F" w:rsidRPr="00C42A9E">
        <w:rPr>
          <w:rFonts w:cstheme="minorHAnsi"/>
          <w:color w:val="99CB38" w:themeColor="accent1"/>
          <w:sz w:val="24"/>
          <w:szCs w:val="24"/>
        </w:rPr>
        <w:t xml:space="preserve"> with the use of ibuprofen</w:t>
      </w:r>
      <w:r w:rsidR="0007380A" w:rsidRPr="00C42A9E">
        <w:rPr>
          <w:rFonts w:cstheme="minorHAnsi"/>
          <w:color w:val="99CB38" w:themeColor="accent1"/>
          <w:sz w:val="24"/>
          <w:szCs w:val="24"/>
        </w:rPr>
        <w:t>. BMI: body mass index</w:t>
      </w:r>
      <w:r w:rsidR="00046151" w:rsidRPr="00C42A9E">
        <w:rPr>
          <w:rFonts w:cstheme="minorHAnsi"/>
          <w:color w:val="99CB38" w:themeColor="accent1"/>
          <w:sz w:val="24"/>
          <w:szCs w:val="24"/>
        </w:rPr>
        <w:t xml:space="preserve">; </w:t>
      </w:r>
      <w:proofErr w:type="spellStart"/>
      <w:r w:rsidR="00046151" w:rsidRPr="00C42A9E">
        <w:rPr>
          <w:rFonts w:cstheme="minorHAnsi"/>
          <w:color w:val="99CB38" w:themeColor="accent1"/>
          <w:sz w:val="24"/>
          <w:szCs w:val="24"/>
        </w:rPr>
        <w:t>A</w:t>
      </w:r>
      <w:r w:rsidR="00D71FB6">
        <w:rPr>
          <w:rFonts w:cstheme="minorHAnsi"/>
          <w:color w:val="99CB38" w:themeColor="accent1"/>
          <w:sz w:val="24"/>
          <w:szCs w:val="24"/>
        </w:rPr>
        <w:t>j</w:t>
      </w:r>
      <w:r w:rsidR="00046151" w:rsidRPr="00295A88">
        <w:rPr>
          <w:rFonts w:cstheme="minorHAnsi"/>
          <w:color w:val="99CB38" w:themeColor="accent1"/>
          <w:sz w:val="24"/>
          <w:szCs w:val="24"/>
        </w:rPr>
        <w:t>BW</w:t>
      </w:r>
      <w:proofErr w:type="spellEnd"/>
      <w:r w:rsidR="00046151" w:rsidRPr="00295A88">
        <w:rPr>
          <w:rFonts w:cstheme="minorHAnsi"/>
          <w:color w:val="99CB38" w:themeColor="accent1"/>
          <w:sz w:val="24"/>
          <w:szCs w:val="24"/>
        </w:rPr>
        <w:t xml:space="preserve"> = adjusted body weight</w:t>
      </w:r>
    </w:p>
    <w:p w14:paraId="2FA08AA3" w14:textId="77777777" w:rsidR="002000B0" w:rsidRPr="00295A88" w:rsidRDefault="002000B0" w:rsidP="002000B0">
      <w:pPr>
        <w:rPr>
          <w:rFonts w:cstheme="minorHAnsi"/>
        </w:rPr>
      </w:pPr>
    </w:p>
    <w:p w14:paraId="0D6D269E" w14:textId="4B124CB5" w:rsidR="003B02AD" w:rsidRPr="00F95907" w:rsidRDefault="003B02AD" w:rsidP="003B02AD">
      <w:pPr>
        <w:pStyle w:val="Caption"/>
        <w:keepNext/>
        <w:rPr>
          <w:rFonts w:cstheme="minorHAnsi"/>
          <w:color w:val="63A537" w:themeColor="accent2"/>
          <w:sz w:val="24"/>
        </w:rPr>
      </w:pPr>
      <w:bookmarkStart w:id="2" w:name="_Ref5214026"/>
      <w:r w:rsidRPr="00295A88">
        <w:rPr>
          <w:rFonts w:cstheme="minorHAnsi"/>
          <w:b/>
          <w:color w:val="63A537" w:themeColor="accent2"/>
          <w:sz w:val="24"/>
        </w:rPr>
        <w:lastRenderedPageBreak/>
        <w:t xml:space="preserve">Table </w:t>
      </w:r>
      <w:r w:rsidR="007A453C" w:rsidRPr="00295A88">
        <w:rPr>
          <w:rFonts w:cstheme="minorHAnsi"/>
          <w:b/>
          <w:color w:val="63A537" w:themeColor="accent2"/>
          <w:sz w:val="24"/>
        </w:rPr>
        <w:t>3</w:t>
      </w:r>
      <w:bookmarkEnd w:id="2"/>
      <w:r w:rsidRPr="00295A88">
        <w:rPr>
          <w:rFonts w:cstheme="minorHAnsi"/>
          <w:color w:val="63A537" w:themeColor="accent2"/>
          <w:sz w:val="24"/>
        </w:rPr>
        <w:t xml:space="preserve"> Study measures of ibuprofen </w:t>
      </w:r>
      <w:r w:rsidR="0078296A" w:rsidRPr="00F95907">
        <w:rPr>
          <w:rFonts w:cstheme="minorHAnsi"/>
          <w:color w:val="63A537" w:themeColor="accent2"/>
          <w:sz w:val="24"/>
        </w:rPr>
        <w:t xml:space="preserve">efficacy and </w:t>
      </w:r>
      <w:r w:rsidRPr="00F95907">
        <w:rPr>
          <w:rFonts w:cstheme="minorHAnsi"/>
          <w:color w:val="63A537" w:themeColor="accent2"/>
          <w:sz w:val="24"/>
        </w:rPr>
        <w:t xml:space="preserve">reported adverse events in obese and non-obese children. </w:t>
      </w:r>
      <w:r w:rsidR="003C07F3" w:rsidRPr="00F95907">
        <w:rPr>
          <w:rFonts w:cstheme="minorHAnsi"/>
          <w:color w:val="63A537" w:themeColor="accent2"/>
          <w:sz w:val="24"/>
        </w:rPr>
        <w:t>G.I. = gastrointestinal</w:t>
      </w:r>
    </w:p>
    <w:tbl>
      <w:tblPr>
        <w:tblStyle w:val="GridTable5Dark-Accent21"/>
        <w:tblW w:w="5740" w:type="pct"/>
        <w:jc w:val="center"/>
        <w:tblLayout w:type="fixed"/>
        <w:tblLook w:val="04A0" w:firstRow="1" w:lastRow="0" w:firstColumn="1" w:lastColumn="0" w:noHBand="0" w:noVBand="1"/>
      </w:tblPr>
      <w:tblGrid>
        <w:gridCol w:w="845"/>
        <w:gridCol w:w="1415"/>
        <w:gridCol w:w="1422"/>
        <w:gridCol w:w="1659"/>
        <w:gridCol w:w="1659"/>
        <w:gridCol w:w="1662"/>
        <w:gridCol w:w="1659"/>
        <w:gridCol w:w="1579"/>
        <w:gridCol w:w="1700"/>
        <w:gridCol w:w="1704"/>
        <w:gridCol w:w="708"/>
      </w:tblGrid>
      <w:tr w:rsidR="0092185B" w:rsidRPr="00B67CA5" w14:paraId="6CDA87F0" w14:textId="77777777" w:rsidTr="005E3C2B">
        <w:trPr>
          <w:cnfStyle w:val="100000000000" w:firstRow="1" w:lastRow="0" w:firstColumn="0" w:lastColumn="0" w:oddVBand="0" w:evenVBand="0" w:oddHBand="0" w:evenHBand="0" w:firstRowFirstColumn="0" w:firstRowLastColumn="0" w:lastRowFirstColumn="0" w:lastRowLastColumn="0"/>
          <w:trHeight w:val="724"/>
          <w:jc w:val="center"/>
        </w:trPr>
        <w:tc>
          <w:tcPr>
            <w:cnfStyle w:val="001000000000" w:firstRow="0" w:lastRow="0" w:firstColumn="1" w:lastColumn="0" w:oddVBand="0" w:evenVBand="0" w:oddHBand="0" w:evenHBand="0" w:firstRowFirstColumn="0" w:firstRowLastColumn="0" w:lastRowFirstColumn="0" w:lastRowLastColumn="0"/>
            <w:tcW w:w="264" w:type="pct"/>
            <w:vMerge w:val="restart"/>
            <w:tcBorders>
              <w:right w:val="single" w:sz="18" w:space="0" w:color="FFFFFF" w:themeColor="background1"/>
            </w:tcBorders>
            <w:shd w:val="clear" w:color="auto" w:fill="4A7B29" w:themeFill="accent2" w:themeFillShade="BF"/>
            <w:vAlign w:val="center"/>
          </w:tcPr>
          <w:p w14:paraId="2F6F4342" w14:textId="77777777" w:rsidR="0092185B" w:rsidRPr="00B67CA5" w:rsidRDefault="0092185B" w:rsidP="00E50F0A">
            <w:pPr>
              <w:jc w:val="center"/>
              <w:rPr>
                <w:rFonts w:cstheme="minorHAnsi"/>
              </w:rPr>
            </w:pPr>
            <w:r w:rsidRPr="00B67CA5">
              <w:rPr>
                <w:rFonts w:cstheme="minorHAnsi"/>
              </w:rPr>
              <w:t>Paper No.</w:t>
            </w:r>
          </w:p>
        </w:tc>
        <w:tc>
          <w:tcPr>
            <w:tcW w:w="886" w:type="pct"/>
            <w:gridSpan w:val="2"/>
            <w:tcBorders>
              <w:left w:val="single" w:sz="18" w:space="0" w:color="FFFFFF" w:themeColor="background1"/>
              <w:right w:val="single" w:sz="18" w:space="0" w:color="FFFFFF" w:themeColor="background1"/>
            </w:tcBorders>
            <w:shd w:val="clear" w:color="auto" w:fill="4A7B29" w:themeFill="accent2" w:themeFillShade="BF"/>
            <w:vAlign w:val="center"/>
          </w:tcPr>
          <w:p w14:paraId="5A73F5DE" w14:textId="77777777" w:rsidR="0092185B" w:rsidRPr="00B67CA5" w:rsidRDefault="0092185B" w:rsidP="00E50F0A">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B67CA5">
              <w:rPr>
                <w:rFonts w:cstheme="minorHAnsi"/>
              </w:rPr>
              <w:t>Ibuprofen Efficacy</w:t>
            </w:r>
          </w:p>
        </w:tc>
        <w:tc>
          <w:tcPr>
            <w:tcW w:w="3629" w:type="pct"/>
            <w:gridSpan w:val="7"/>
            <w:tcBorders>
              <w:left w:val="single" w:sz="18" w:space="0" w:color="FFFFFF" w:themeColor="background1"/>
              <w:right w:val="single" w:sz="18" w:space="0" w:color="FFFFFF" w:themeColor="background1"/>
            </w:tcBorders>
            <w:shd w:val="clear" w:color="auto" w:fill="4A7B29" w:themeFill="accent2" w:themeFillShade="BF"/>
            <w:vAlign w:val="center"/>
          </w:tcPr>
          <w:p w14:paraId="2DAC3D03" w14:textId="77777777" w:rsidR="0092185B" w:rsidRPr="00B67CA5" w:rsidRDefault="0092185B" w:rsidP="00E50F0A">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B67CA5">
              <w:rPr>
                <w:rFonts w:cstheme="minorHAnsi"/>
              </w:rPr>
              <w:t>Adverse Drug Reactions Reported</w:t>
            </w:r>
          </w:p>
        </w:tc>
        <w:tc>
          <w:tcPr>
            <w:tcW w:w="221" w:type="pct"/>
            <w:vMerge w:val="restart"/>
            <w:tcBorders>
              <w:left w:val="single" w:sz="18" w:space="0" w:color="FFFFFF" w:themeColor="background1"/>
            </w:tcBorders>
            <w:shd w:val="clear" w:color="auto" w:fill="4A7B29" w:themeFill="accent2" w:themeFillShade="BF"/>
            <w:vAlign w:val="center"/>
          </w:tcPr>
          <w:p w14:paraId="43AD5D21" w14:textId="77777777" w:rsidR="0092185B" w:rsidRPr="00B67CA5" w:rsidRDefault="0092185B" w:rsidP="00E50F0A">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B67CA5">
              <w:rPr>
                <w:rFonts w:cstheme="minorHAnsi"/>
              </w:rPr>
              <w:t>Ref</w:t>
            </w:r>
          </w:p>
        </w:tc>
      </w:tr>
      <w:tr w:rsidR="0076268F" w:rsidRPr="00B67CA5" w14:paraId="689DC6E4" w14:textId="77777777" w:rsidTr="007C03B3">
        <w:trPr>
          <w:cnfStyle w:val="000000100000" w:firstRow="0" w:lastRow="0" w:firstColumn="0" w:lastColumn="0" w:oddVBand="0" w:evenVBand="0" w:oddHBand="1" w:evenHBand="0" w:firstRowFirstColumn="0" w:firstRowLastColumn="0" w:lastRowFirstColumn="0" w:lastRowLastColumn="0"/>
          <w:trHeight w:val="887"/>
          <w:jc w:val="center"/>
        </w:trPr>
        <w:tc>
          <w:tcPr>
            <w:cnfStyle w:val="001000000000" w:firstRow="0" w:lastRow="0" w:firstColumn="1" w:lastColumn="0" w:oddVBand="0" w:evenVBand="0" w:oddHBand="0" w:evenHBand="0" w:firstRowFirstColumn="0" w:firstRowLastColumn="0" w:lastRowFirstColumn="0" w:lastRowLastColumn="0"/>
            <w:tcW w:w="264" w:type="pct"/>
            <w:vMerge/>
            <w:tcBorders>
              <w:bottom w:val="single" w:sz="18" w:space="0" w:color="FFFFFF" w:themeColor="background1"/>
              <w:right w:val="single" w:sz="18" w:space="0" w:color="FFFFFF" w:themeColor="background1"/>
            </w:tcBorders>
            <w:shd w:val="clear" w:color="auto" w:fill="4A7B29" w:themeFill="accent2" w:themeFillShade="BF"/>
            <w:vAlign w:val="center"/>
          </w:tcPr>
          <w:p w14:paraId="169DF0EF" w14:textId="77777777" w:rsidR="0092185B" w:rsidRPr="00B67CA5" w:rsidRDefault="0092185B" w:rsidP="00E50F0A">
            <w:pPr>
              <w:jc w:val="center"/>
              <w:rPr>
                <w:rFonts w:cstheme="minorHAnsi"/>
              </w:rPr>
            </w:pPr>
          </w:p>
        </w:tc>
        <w:tc>
          <w:tcPr>
            <w:tcW w:w="442" w:type="pct"/>
            <w:tcBorders>
              <w:left w:val="single" w:sz="18" w:space="0" w:color="FFFFFF" w:themeColor="background1"/>
              <w:bottom w:val="single" w:sz="18" w:space="0" w:color="FFFFFF" w:themeColor="background1"/>
            </w:tcBorders>
            <w:shd w:val="clear" w:color="auto" w:fill="7AC349"/>
            <w:vAlign w:val="center"/>
          </w:tcPr>
          <w:p w14:paraId="4430C648" w14:textId="77777777" w:rsidR="0092185B" w:rsidRPr="00B67CA5" w:rsidRDefault="0092185B" w:rsidP="00E50F0A">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B67CA5">
              <w:rPr>
                <w:rFonts w:cstheme="minorHAnsi"/>
                <w:b/>
                <w:bCs/>
              </w:rPr>
              <w:t>Obese</w:t>
            </w:r>
          </w:p>
        </w:tc>
        <w:tc>
          <w:tcPr>
            <w:tcW w:w="444" w:type="pct"/>
            <w:tcBorders>
              <w:bottom w:val="single" w:sz="18" w:space="0" w:color="FFFFFF" w:themeColor="background1"/>
              <w:right w:val="single" w:sz="18" w:space="0" w:color="FFFFFF" w:themeColor="background1"/>
            </w:tcBorders>
            <w:shd w:val="clear" w:color="auto" w:fill="7AC349"/>
            <w:vAlign w:val="center"/>
          </w:tcPr>
          <w:p w14:paraId="1E33A09C" w14:textId="1F53087E" w:rsidR="0092185B" w:rsidRPr="00B67CA5" w:rsidRDefault="0092185B" w:rsidP="00E50F0A">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B67CA5">
              <w:rPr>
                <w:rFonts w:cstheme="minorHAnsi"/>
                <w:b/>
                <w:bCs/>
              </w:rPr>
              <w:t>Non</w:t>
            </w:r>
            <w:r w:rsidR="008E49EF" w:rsidRPr="00B67CA5">
              <w:rPr>
                <w:rFonts w:cstheme="minorHAnsi"/>
                <w:b/>
                <w:bCs/>
              </w:rPr>
              <w:t>-</w:t>
            </w:r>
            <w:r w:rsidRPr="00B67CA5">
              <w:rPr>
                <w:rFonts w:cstheme="minorHAnsi"/>
                <w:b/>
                <w:bCs/>
              </w:rPr>
              <w:t>obese</w:t>
            </w:r>
          </w:p>
        </w:tc>
        <w:tc>
          <w:tcPr>
            <w:tcW w:w="518" w:type="pct"/>
            <w:tcBorders>
              <w:left w:val="single" w:sz="18" w:space="0" w:color="FFFFFF" w:themeColor="background1"/>
              <w:bottom w:val="single" w:sz="18" w:space="0" w:color="FFFFFF" w:themeColor="background1"/>
            </w:tcBorders>
            <w:shd w:val="clear" w:color="auto" w:fill="63A537" w:themeFill="accent2"/>
            <w:vAlign w:val="center"/>
          </w:tcPr>
          <w:p w14:paraId="3DA53C17" w14:textId="77777777" w:rsidR="0092185B" w:rsidRPr="00B67CA5" w:rsidRDefault="0092185B" w:rsidP="00E50F0A">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B67CA5">
              <w:rPr>
                <w:rFonts w:cstheme="minorHAnsi"/>
                <w:b/>
                <w:bCs/>
              </w:rPr>
              <w:t>G.I. bleeds</w:t>
            </w:r>
          </w:p>
        </w:tc>
        <w:tc>
          <w:tcPr>
            <w:tcW w:w="518" w:type="pct"/>
            <w:tcBorders>
              <w:bottom w:val="single" w:sz="18" w:space="0" w:color="FFFFFF" w:themeColor="background1"/>
            </w:tcBorders>
            <w:shd w:val="clear" w:color="auto" w:fill="63A537" w:themeFill="accent2"/>
            <w:vAlign w:val="center"/>
          </w:tcPr>
          <w:p w14:paraId="06FF19C6" w14:textId="77777777" w:rsidR="0092185B" w:rsidRPr="00B67CA5" w:rsidRDefault="0092185B" w:rsidP="00E50F0A">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B67CA5">
              <w:rPr>
                <w:rFonts w:cstheme="minorHAnsi"/>
                <w:b/>
                <w:bCs/>
              </w:rPr>
              <w:t>Rash</w:t>
            </w:r>
          </w:p>
        </w:tc>
        <w:tc>
          <w:tcPr>
            <w:tcW w:w="519" w:type="pct"/>
            <w:tcBorders>
              <w:bottom w:val="single" w:sz="18" w:space="0" w:color="FFFFFF" w:themeColor="background1"/>
            </w:tcBorders>
            <w:shd w:val="clear" w:color="auto" w:fill="63A537" w:themeFill="accent2"/>
            <w:vAlign w:val="center"/>
          </w:tcPr>
          <w:p w14:paraId="038C6520" w14:textId="77777777" w:rsidR="0092185B" w:rsidRPr="00B67CA5" w:rsidRDefault="0092185B" w:rsidP="00E50F0A">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B67CA5">
              <w:rPr>
                <w:rFonts w:cstheme="minorHAnsi"/>
                <w:b/>
                <w:bCs/>
              </w:rPr>
              <w:t>Angioedema</w:t>
            </w:r>
          </w:p>
        </w:tc>
        <w:tc>
          <w:tcPr>
            <w:tcW w:w="518" w:type="pct"/>
            <w:tcBorders>
              <w:bottom w:val="single" w:sz="18" w:space="0" w:color="FFFFFF" w:themeColor="background1"/>
            </w:tcBorders>
            <w:shd w:val="clear" w:color="auto" w:fill="63A537" w:themeFill="accent2"/>
            <w:vAlign w:val="center"/>
          </w:tcPr>
          <w:p w14:paraId="3C1025D6" w14:textId="77777777" w:rsidR="0092185B" w:rsidRPr="00B67CA5" w:rsidRDefault="0092185B" w:rsidP="00E50F0A">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B67CA5">
              <w:rPr>
                <w:rFonts w:cstheme="minorHAnsi"/>
                <w:b/>
                <w:bCs/>
              </w:rPr>
              <w:t>Headache</w:t>
            </w:r>
          </w:p>
        </w:tc>
        <w:tc>
          <w:tcPr>
            <w:tcW w:w="493" w:type="pct"/>
            <w:tcBorders>
              <w:bottom w:val="single" w:sz="18" w:space="0" w:color="FFFFFF" w:themeColor="background1"/>
            </w:tcBorders>
            <w:shd w:val="clear" w:color="auto" w:fill="63A537" w:themeFill="accent2"/>
            <w:vAlign w:val="center"/>
          </w:tcPr>
          <w:p w14:paraId="528858D6" w14:textId="77777777" w:rsidR="0092185B" w:rsidRPr="00B67CA5" w:rsidRDefault="0092185B" w:rsidP="00E50F0A">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B67CA5">
              <w:rPr>
                <w:rFonts w:cstheme="minorHAnsi"/>
                <w:b/>
                <w:bCs/>
              </w:rPr>
              <w:t>Acute Kidney Injury</w:t>
            </w:r>
          </w:p>
        </w:tc>
        <w:tc>
          <w:tcPr>
            <w:tcW w:w="531" w:type="pct"/>
            <w:tcBorders>
              <w:bottom w:val="single" w:sz="18" w:space="0" w:color="FFFFFF" w:themeColor="background1"/>
            </w:tcBorders>
            <w:shd w:val="clear" w:color="auto" w:fill="63A537" w:themeFill="accent2"/>
            <w:vAlign w:val="center"/>
          </w:tcPr>
          <w:p w14:paraId="53C4D844" w14:textId="77777777" w:rsidR="0092185B" w:rsidRPr="00B67CA5" w:rsidRDefault="0092185B" w:rsidP="00E50F0A">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B67CA5">
              <w:rPr>
                <w:rFonts w:cstheme="minorHAnsi"/>
                <w:b/>
                <w:bCs/>
              </w:rPr>
              <w:t>Bleeding</w:t>
            </w:r>
          </w:p>
        </w:tc>
        <w:tc>
          <w:tcPr>
            <w:tcW w:w="532" w:type="pct"/>
            <w:tcBorders>
              <w:bottom w:val="single" w:sz="18" w:space="0" w:color="FFFFFF" w:themeColor="background1"/>
              <w:right w:val="single" w:sz="18" w:space="0" w:color="FFFFFF" w:themeColor="background1"/>
            </w:tcBorders>
            <w:shd w:val="clear" w:color="auto" w:fill="63A537" w:themeFill="accent2"/>
            <w:vAlign w:val="center"/>
          </w:tcPr>
          <w:p w14:paraId="41A99054" w14:textId="77777777" w:rsidR="0092185B" w:rsidRPr="00B67CA5" w:rsidRDefault="0092185B" w:rsidP="00E50F0A">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B67CA5">
              <w:rPr>
                <w:rFonts w:cstheme="minorHAnsi"/>
                <w:b/>
                <w:bCs/>
              </w:rPr>
              <w:t>Agranulocytosis</w:t>
            </w:r>
          </w:p>
        </w:tc>
        <w:tc>
          <w:tcPr>
            <w:tcW w:w="221" w:type="pct"/>
            <w:vMerge/>
            <w:tcBorders>
              <w:left w:val="single" w:sz="18" w:space="0" w:color="FFFFFF" w:themeColor="background1"/>
            </w:tcBorders>
            <w:vAlign w:val="center"/>
          </w:tcPr>
          <w:p w14:paraId="2112C860" w14:textId="77777777" w:rsidR="0092185B" w:rsidRPr="00B67CA5" w:rsidRDefault="0092185B" w:rsidP="00E50F0A">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92185B" w:rsidRPr="00B67CA5" w14:paraId="40502E61" w14:textId="77777777" w:rsidTr="00EE7188">
        <w:trPr>
          <w:trHeight w:val="2948"/>
          <w:jc w:val="center"/>
        </w:trPr>
        <w:tc>
          <w:tcPr>
            <w:cnfStyle w:val="001000000000" w:firstRow="0" w:lastRow="0" w:firstColumn="1" w:lastColumn="0" w:oddVBand="0" w:evenVBand="0" w:oddHBand="0" w:evenHBand="0" w:firstRowFirstColumn="0" w:firstRowLastColumn="0" w:lastRowFirstColumn="0" w:lastRowLastColumn="0"/>
            <w:tcW w:w="264" w:type="pct"/>
            <w:tcBorders>
              <w:top w:val="single" w:sz="18" w:space="0" w:color="FFFFFF" w:themeColor="background1"/>
              <w:right w:val="single" w:sz="18" w:space="0" w:color="FFFFFF" w:themeColor="background1"/>
            </w:tcBorders>
            <w:shd w:val="clear" w:color="auto" w:fill="4A7B29" w:themeFill="accent2" w:themeFillShade="BF"/>
            <w:vAlign w:val="center"/>
          </w:tcPr>
          <w:p w14:paraId="07E405A1" w14:textId="77777777" w:rsidR="0092185B" w:rsidRPr="00B67CA5" w:rsidRDefault="0092185B" w:rsidP="00E50F0A">
            <w:pPr>
              <w:jc w:val="center"/>
              <w:rPr>
                <w:rFonts w:cstheme="minorHAnsi"/>
              </w:rPr>
            </w:pPr>
            <w:r w:rsidRPr="00B67CA5">
              <w:rPr>
                <w:rFonts w:cstheme="minorHAnsi"/>
              </w:rPr>
              <w:t>1</w:t>
            </w:r>
          </w:p>
        </w:tc>
        <w:tc>
          <w:tcPr>
            <w:tcW w:w="442" w:type="pct"/>
            <w:tcBorders>
              <w:top w:val="single" w:sz="18" w:space="0" w:color="FFFFFF" w:themeColor="background1"/>
              <w:left w:val="single" w:sz="18" w:space="0" w:color="FFFFFF" w:themeColor="background1"/>
            </w:tcBorders>
            <w:shd w:val="clear" w:color="auto" w:fill="EAF4D7" w:themeFill="accent1" w:themeFillTint="33"/>
            <w:vAlign w:val="center"/>
          </w:tcPr>
          <w:p w14:paraId="51B89B13" w14:textId="77777777" w:rsidR="0092185B" w:rsidRPr="00B67CA5" w:rsidRDefault="0092185B" w:rsidP="00E50F0A">
            <w:pPr>
              <w:keepNext/>
              <w:keepLines/>
              <w:spacing w:before="40" w:after="120"/>
              <w:jc w:val="center"/>
              <w:outlineLvl w:val="1"/>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rPr>
            </w:pPr>
            <w:r w:rsidRPr="00B67CA5">
              <w:rPr>
                <w:rFonts w:eastAsiaTheme="majorEastAsia" w:cstheme="minorHAnsi"/>
                <w:color w:val="000000" w:themeColor="text1"/>
              </w:rPr>
              <w:t>Adequate pain control:</w:t>
            </w:r>
          </w:p>
          <w:p w14:paraId="3221FA79" w14:textId="77777777" w:rsidR="0092185B" w:rsidRPr="00B67CA5" w:rsidRDefault="0092185B" w:rsidP="00E50F0A">
            <w:pPr>
              <w:keepNext/>
              <w:keepLines/>
              <w:spacing w:before="40" w:after="120"/>
              <w:jc w:val="center"/>
              <w:outlineLvl w:val="1"/>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rPr>
            </w:pPr>
            <w:r w:rsidRPr="00B67CA5">
              <w:rPr>
                <w:rFonts w:eastAsiaTheme="majorEastAsia" w:cstheme="minorHAnsi"/>
                <w:color w:val="000000" w:themeColor="text1"/>
              </w:rPr>
              <w:t>171 (90%)</w:t>
            </w:r>
          </w:p>
          <w:p w14:paraId="5C92D43D" w14:textId="77777777" w:rsidR="0092185B" w:rsidRPr="00B67CA5" w:rsidRDefault="0092185B" w:rsidP="00E50F0A">
            <w:pPr>
              <w:keepNext/>
              <w:keepLines/>
              <w:spacing w:before="40" w:after="120"/>
              <w:jc w:val="center"/>
              <w:outlineLvl w:val="1"/>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rPr>
            </w:pPr>
          </w:p>
          <w:p w14:paraId="07E511AA" w14:textId="77777777" w:rsidR="0092185B" w:rsidRPr="00B67CA5" w:rsidRDefault="0092185B" w:rsidP="00E50F0A">
            <w:pPr>
              <w:keepNext/>
              <w:keepLines/>
              <w:spacing w:before="40" w:after="120"/>
              <w:jc w:val="center"/>
              <w:outlineLvl w:val="1"/>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rPr>
            </w:pPr>
            <w:r w:rsidRPr="00B67CA5">
              <w:rPr>
                <w:rFonts w:eastAsiaTheme="majorEastAsia" w:cstheme="minorHAnsi"/>
                <w:color w:val="000000" w:themeColor="text1"/>
              </w:rPr>
              <w:t>Inadequate pain control:</w:t>
            </w:r>
          </w:p>
          <w:p w14:paraId="79E350A4" w14:textId="77777777" w:rsidR="0092185B" w:rsidRPr="00B67CA5" w:rsidRDefault="0092185B" w:rsidP="00E50F0A">
            <w:pPr>
              <w:keepNext/>
              <w:keepLines/>
              <w:spacing w:before="40" w:after="120"/>
              <w:jc w:val="center"/>
              <w:outlineLvl w:val="1"/>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rPr>
            </w:pPr>
            <w:r w:rsidRPr="00B67CA5">
              <w:rPr>
                <w:rFonts w:eastAsiaTheme="majorEastAsia" w:cstheme="minorHAnsi"/>
                <w:color w:val="000000" w:themeColor="text1"/>
              </w:rPr>
              <w:t>18 (10%)</w:t>
            </w:r>
          </w:p>
        </w:tc>
        <w:tc>
          <w:tcPr>
            <w:tcW w:w="444" w:type="pct"/>
            <w:tcBorders>
              <w:top w:val="single" w:sz="18" w:space="0" w:color="FFFFFF" w:themeColor="background1"/>
              <w:right w:val="single" w:sz="18" w:space="0" w:color="FFFFFF" w:themeColor="background1"/>
            </w:tcBorders>
            <w:shd w:val="clear" w:color="auto" w:fill="EAF4D7" w:themeFill="accent1" w:themeFillTint="33"/>
            <w:vAlign w:val="center"/>
          </w:tcPr>
          <w:p w14:paraId="20999206" w14:textId="77777777" w:rsidR="0092185B" w:rsidRPr="00B67CA5" w:rsidRDefault="0092185B" w:rsidP="00E50F0A">
            <w:pPr>
              <w:keepNext/>
              <w:keepLines/>
              <w:spacing w:before="40" w:after="120"/>
              <w:jc w:val="center"/>
              <w:outlineLvl w:val="1"/>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rPr>
            </w:pPr>
            <w:r w:rsidRPr="00B67CA5">
              <w:rPr>
                <w:rFonts w:eastAsiaTheme="majorEastAsia" w:cstheme="minorHAnsi"/>
                <w:color w:val="000000" w:themeColor="text1"/>
              </w:rPr>
              <w:t>Adequate pain control:</w:t>
            </w:r>
          </w:p>
          <w:p w14:paraId="3E83C021" w14:textId="77777777" w:rsidR="0092185B" w:rsidRPr="00B67CA5" w:rsidRDefault="0092185B" w:rsidP="00E50F0A">
            <w:pPr>
              <w:keepNext/>
              <w:keepLines/>
              <w:spacing w:before="40" w:after="120"/>
              <w:jc w:val="center"/>
              <w:outlineLvl w:val="1"/>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rPr>
            </w:pPr>
            <w:r w:rsidRPr="00B67CA5">
              <w:rPr>
                <w:rFonts w:eastAsiaTheme="majorEastAsia" w:cstheme="minorHAnsi"/>
                <w:color w:val="000000" w:themeColor="text1"/>
              </w:rPr>
              <w:t>356 (90%)</w:t>
            </w:r>
          </w:p>
          <w:p w14:paraId="5F6E848F" w14:textId="77777777" w:rsidR="0092185B" w:rsidRPr="00B67CA5" w:rsidRDefault="0092185B" w:rsidP="00E50F0A">
            <w:pPr>
              <w:keepNext/>
              <w:keepLines/>
              <w:spacing w:before="40" w:after="120"/>
              <w:jc w:val="center"/>
              <w:outlineLvl w:val="1"/>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rPr>
            </w:pPr>
          </w:p>
          <w:p w14:paraId="2DE0423C" w14:textId="77777777" w:rsidR="0092185B" w:rsidRPr="00B67CA5" w:rsidRDefault="0092185B" w:rsidP="00E50F0A">
            <w:pPr>
              <w:keepNext/>
              <w:keepLines/>
              <w:spacing w:before="40" w:after="120"/>
              <w:jc w:val="center"/>
              <w:outlineLvl w:val="1"/>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rPr>
            </w:pPr>
            <w:r w:rsidRPr="00B67CA5">
              <w:rPr>
                <w:rFonts w:eastAsiaTheme="majorEastAsia" w:cstheme="minorHAnsi"/>
                <w:color w:val="000000" w:themeColor="text1"/>
              </w:rPr>
              <w:t>Inadequate pain control:</w:t>
            </w:r>
          </w:p>
          <w:p w14:paraId="0F59BAF0" w14:textId="77777777" w:rsidR="0092185B" w:rsidRPr="00B67CA5" w:rsidRDefault="0092185B" w:rsidP="00E50F0A">
            <w:pPr>
              <w:keepNext/>
              <w:keepLines/>
              <w:spacing w:before="40" w:after="120"/>
              <w:jc w:val="center"/>
              <w:outlineLvl w:val="1"/>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rPr>
            </w:pPr>
            <w:r w:rsidRPr="00B67CA5">
              <w:rPr>
                <w:rFonts w:eastAsiaTheme="majorEastAsia" w:cstheme="minorHAnsi"/>
                <w:color w:val="000000" w:themeColor="text1"/>
              </w:rPr>
              <w:t>38 (10%)</w:t>
            </w:r>
          </w:p>
        </w:tc>
        <w:tc>
          <w:tcPr>
            <w:tcW w:w="518" w:type="pct"/>
            <w:tcBorders>
              <w:top w:val="single" w:sz="18" w:space="0" w:color="FFFFFF" w:themeColor="background1"/>
              <w:left w:val="single" w:sz="18" w:space="0" w:color="FFFFFF" w:themeColor="background1"/>
            </w:tcBorders>
            <w:vAlign w:val="center"/>
          </w:tcPr>
          <w:p w14:paraId="00653314" w14:textId="77777777" w:rsidR="0092185B" w:rsidRPr="00295A88" w:rsidRDefault="0092185B" w:rsidP="00E50F0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295A88">
              <w:rPr>
                <w:rFonts w:cstheme="minorHAnsi"/>
              </w:rPr>
              <w:t>Not stated</w:t>
            </w:r>
          </w:p>
        </w:tc>
        <w:tc>
          <w:tcPr>
            <w:tcW w:w="518" w:type="pct"/>
            <w:tcBorders>
              <w:top w:val="single" w:sz="18" w:space="0" w:color="FFFFFF" w:themeColor="background1"/>
            </w:tcBorders>
            <w:vAlign w:val="center"/>
          </w:tcPr>
          <w:p w14:paraId="456527FC" w14:textId="77777777" w:rsidR="0092185B" w:rsidRPr="00295A88" w:rsidRDefault="0092185B" w:rsidP="00E50F0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295A88">
              <w:rPr>
                <w:rFonts w:cstheme="minorHAnsi"/>
              </w:rPr>
              <w:t>Not stated</w:t>
            </w:r>
          </w:p>
        </w:tc>
        <w:tc>
          <w:tcPr>
            <w:tcW w:w="519" w:type="pct"/>
            <w:tcBorders>
              <w:top w:val="single" w:sz="18" w:space="0" w:color="FFFFFF" w:themeColor="background1"/>
            </w:tcBorders>
            <w:vAlign w:val="center"/>
          </w:tcPr>
          <w:p w14:paraId="54BBBE59" w14:textId="77777777" w:rsidR="0092185B" w:rsidRPr="00F95907" w:rsidRDefault="0092185B" w:rsidP="00E50F0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295A88">
              <w:rPr>
                <w:rFonts w:cstheme="minorHAnsi"/>
              </w:rPr>
              <w:t>Not stated</w:t>
            </w:r>
          </w:p>
        </w:tc>
        <w:tc>
          <w:tcPr>
            <w:tcW w:w="518" w:type="pct"/>
            <w:tcBorders>
              <w:top w:val="single" w:sz="18" w:space="0" w:color="FFFFFF" w:themeColor="background1"/>
            </w:tcBorders>
            <w:vAlign w:val="center"/>
          </w:tcPr>
          <w:p w14:paraId="41822F5A" w14:textId="77777777" w:rsidR="0092185B" w:rsidRPr="00F95907" w:rsidRDefault="0092185B" w:rsidP="00E50F0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95907">
              <w:rPr>
                <w:rFonts w:cstheme="minorHAnsi"/>
              </w:rPr>
              <w:t>Not stated</w:t>
            </w:r>
          </w:p>
        </w:tc>
        <w:tc>
          <w:tcPr>
            <w:tcW w:w="493" w:type="pct"/>
            <w:tcBorders>
              <w:top w:val="single" w:sz="18" w:space="0" w:color="FFFFFF" w:themeColor="background1"/>
            </w:tcBorders>
            <w:vAlign w:val="center"/>
          </w:tcPr>
          <w:p w14:paraId="3A5F736D" w14:textId="77777777" w:rsidR="0092185B" w:rsidRPr="00F95907" w:rsidRDefault="0092185B" w:rsidP="00E50F0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F95907">
              <w:rPr>
                <w:rFonts w:cstheme="minorHAnsi"/>
              </w:rPr>
              <w:t>Not stated</w:t>
            </w:r>
          </w:p>
        </w:tc>
        <w:tc>
          <w:tcPr>
            <w:tcW w:w="531" w:type="pct"/>
            <w:tcBorders>
              <w:top w:val="single" w:sz="18" w:space="0" w:color="FFFFFF" w:themeColor="background1"/>
            </w:tcBorders>
            <w:vAlign w:val="center"/>
          </w:tcPr>
          <w:p w14:paraId="7ADBED5E" w14:textId="77777777" w:rsidR="0092185B" w:rsidRPr="00B67CA5" w:rsidRDefault="0092185B" w:rsidP="00E50F0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67CA5">
              <w:rPr>
                <w:rFonts w:cstheme="minorHAnsi"/>
              </w:rPr>
              <w:t>Greater rate of post-tonsillectomy bleeding in children taking ibuprofen (4.1%) than those who took paracetamol only (3.6%)</w:t>
            </w:r>
          </w:p>
        </w:tc>
        <w:tc>
          <w:tcPr>
            <w:tcW w:w="532" w:type="pct"/>
            <w:tcBorders>
              <w:top w:val="single" w:sz="18" w:space="0" w:color="FFFFFF" w:themeColor="background1"/>
              <w:right w:val="single" w:sz="18" w:space="0" w:color="FFFFFF" w:themeColor="background1"/>
            </w:tcBorders>
            <w:vAlign w:val="center"/>
          </w:tcPr>
          <w:p w14:paraId="622E2802" w14:textId="77777777" w:rsidR="0092185B" w:rsidRPr="00B67CA5" w:rsidRDefault="0092185B" w:rsidP="00E50F0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67CA5">
              <w:rPr>
                <w:rFonts w:cstheme="minorHAnsi"/>
              </w:rPr>
              <w:t>Not stated</w:t>
            </w:r>
          </w:p>
          <w:p w14:paraId="1FC1AE1E" w14:textId="77777777" w:rsidR="0092185B" w:rsidRPr="00B67CA5" w:rsidRDefault="0092185B" w:rsidP="00E50F0A">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21" w:type="pct"/>
            <w:tcBorders>
              <w:left w:val="single" w:sz="18" w:space="0" w:color="FFFFFF" w:themeColor="background1"/>
            </w:tcBorders>
            <w:vAlign w:val="center"/>
          </w:tcPr>
          <w:p w14:paraId="6441831F" w14:textId="08FCBEFF" w:rsidR="0092185B" w:rsidRPr="00B67CA5" w:rsidRDefault="0092185B" w:rsidP="00E50F0A">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themeColor="text1"/>
              </w:rPr>
            </w:pPr>
            <w:r w:rsidRPr="00B67CA5">
              <w:rPr>
                <w:rFonts w:cstheme="minorHAnsi"/>
                <w:noProof/>
                <w:color w:val="000000" w:themeColor="text1"/>
              </w:rPr>
              <w:fldChar w:fldCharType="begin" w:fldLock="1"/>
            </w:r>
            <w:r w:rsidR="001379E8" w:rsidRPr="00B67CA5">
              <w:rPr>
                <w:rFonts w:cstheme="minorHAnsi"/>
                <w:noProof/>
                <w:color w:val="000000" w:themeColor="text1"/>
              </w:rPr>
              <w:instrText>ADDIN CSL_CITATION {"citationItems":[{"id":"ITEM-1","itemData":{"DOI":"10.1177/0003489415583685","ISSN":"00034894","PMID":"25902839","abstract":"OBJECTIVES: To determine the outcomes of alternating doses of ibuprofen and acetaminophen in the treatment of post-tonsillectomy pain in children and to identify characteristics of children who had inadequate pain control. METHODS: The medical records of children who received alternating doses of ibuprofen and acetaminophen for post-tonsillectomy pain between August 2012 and November 2013 at a tertiary care children's hospital were reviewed. Incidences of postoperative bleeding and unresolved pain were determined. RESULTS: A total of 583 patients (304 males, 279 females, age range=1-18 years) had received alternating doses of ibuprofen and acetaminophen after tonsillectomy and adenoidectomy. Of the 583 patients, 56 (9.6%) reported inadequate pain control. Age, sex, obesity, presence of comorbid conditions, indications for surgery, and concurrent surgical procedures were not different between children who had adequate analgesia and children who had unresolved pain. Twenty-four patients (4.1%) had postoperative bleeding. Nine patients (1.5%) required surgical intervention for bleeding. CONCLUSIONS: Alternating doses of ibuprofen and acetaminophen provided an effective treatment for post-tonsillectomy pain in the majority of children and did not increase rate of bleeding. Means of improving response rate to alternating doses of ibuprofen and acetaminophen merit further investigation.","author":[{"dropping-particle":"","family":"Liu","given":"Christopher","non-dropping-particle":"","parse-names":false,"suffix":""},{"dropping-particle":"","family":"Ulualp","given":"Seckin O.","non-dropping-particle":"","parse-names":false,"suffix":""}],"container-title":"Annals of Otology, Rhinology and Laryngology","id":"ITEM-1","issue":"10","issued":{"date-parts":[["2015"]]},"page":"777-781","title":"Outcomes of an Alternating Ibuprofen and Acetaminophen Regimen for Pain Relief after Tonsillectomy in Children","type":"article","volume":"124"},"uris":["http://www.mendeley.com/documents/?uuid=3ad85d84-a1ea-3c6f-85a5-86b798f3deef"]}],"mendeley":{"formattedCitation":"(14)","plainTextFormattedCitation":"(14)","previouslyFormattedCitation":"(14)"},"properties":{"noteIndex":0},"schema":"https://github.com/citation-style-language/schema/raw/master/csl-citation.json"}</w:instrText>
            </w:r>
            <w:r w:rsidRPr="00B67CA5">
              <w:rPr>
                <w:rFonts w:cstheme="minorHAnsi"/>
                <w:noProof/>
                <w:color w:val="000000" w:themeColor="text1"/>
              </w:rPr>
              <w:fldChar w:fldCharType="separate"/>
            </w:r>
            <w:r w:rsidR="00446C7B" w:rsidRPr="00B67CA5">
              <w:rPr>
                <w:rFonts w:cstheme="minorHAnsi"/>
                <w:noProof/>
                <w:color w:val="000000" w:themeColor="text1"/>
              </w:rPr>
              <w:t>(14)</w:t>
            </w:r>
            <w:r w:rsidRPr="00B67CA5">
              <w:rPr>
                <w:rFonts w:cstheme="minorHAnsi"/>
                <w:noProof/>
                <w:color w:val="000000" w:themeColor="text1"/>
              </w:rPr>
              <w:fldChar w:fldCharType="end"/>
            </w:r>
          </w:p>
        </w:tc>
      </w:tr>
      <w:tr w:rsidR="0092185B" w:rsidRPr="00B67CA5" w14:paraId="5AA119E9" w14:textId="77777777" w:rsidTr="007C03B3">
        <w:trPr>
          <w:cnfStyle w:val="000000100000" w:firstRow="0" w:lastRow="0" w:firstColumn="0" w:lastColumn="0" w:oddVBand="0" w:evenVBand="0" w:oddHBand="1" w:evenHBand="0" w:firstRowFirstColumn="0" w:firstRowLastColumn="0" w:lastRowFirstColumn="0" w:lastRowLastColumn="0"/>
          <w:trHeight w:val="1367"/>
          <w:jc w:val="center"/>
        </w:trPr>
        <w:tc>
          <w:tcPr>
            <w:cnfStyle w:val="001000000000" w:firstRow="0" w:lastRow="0" w:firstColumn="1" w:lastColumn="0" w:oddVBand="0" w:evenVBand="0" w:oddHBand="0" w:evenHBand="0" w:firstRowFirstColumn="0" w:firstRowLastColumn="0" w:lastRowFirstColumn="0" w:lastRowLastColumn="0"/>
            <w:tcW w:w="264" w:type="pct"/>
            <w:tcBorders>
              <w:right w:val="single" w:sz="18" w:space="0" w:color="FFFFFF" w:themeColor="background1"/>
            </w:tcBorders>
            <w:shd w:val="clear" w:color="auto" w:fill="4A7B29" w:themeFill="accent2" w:themeFillShade="BF"/>
            <w:vAlign w:val="center"/>
          </w:tcPr>
          <w:p w14:paraId="5F100B37" w14:textId="77777777" w:rsidR="0092185B" w:rsidRPr="00B67CA5" w:rsidRDefault="0092185B" w:rsidP="00E50F0A">
            <w:pPr>
              <w:jc w:val="center"/>
              <w:rPr>
                <w:rFonts w:cstheme="minorHAnsi"/>
              </w:rPr>
            </w:pPr>
            <w:r w:rsidRPr="00B67CA5">
              <w:rPr>
                <w:rFonts w:cstheme="minorHAnsi"/>
              </w:rPr>
              <w:t>2</w:t>
            </w:r>
          </w:p>
        </w:tc>
        <w:tc>
          <w:tcPr>
            <w:tcW w:w="442" w:type="pct"/>
            <w:tcBorders>
              <w:left w:val="single" w:sz="18" w:space="0" w:color="FFFFFF" w:themeColor="background1"/>
            </w:tcBorders>
            <w:shd w:val="clear" w:color="auto" w:fill="D6EAAF" w:themeFill="accent1" w:themeFillTint="66"/>
            <w:vAlign w:val="center"/>
          </w:tcPr>
          <w:p w14:paraId="058B1DDE" w14:textId="77777777" w:rsidR="0092185B" w:rsidRPr="00B67CA5" w:rsidRDefault="0092185B" w:rsidP="00E50F0A">
            <w:pPr>
              <w:keepNext/>
              <w:keepLines/>
              <w:spacing w:before="40" w:after="120"/>
              <w:jc w:val="center"/>
              <w:outlineLvl w:val="1"/>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rPr>
            </w:pPr>
            <w:r w:rsidRPr="00B67CA5">
              <w:rPr>
                <w:rFonts w:eastAsiaTheme="majorEastAsia" w:cstheme="minorHAnsi"/>
                <w:color w:val="000000" w:themeColor="text1"/>
              </w:rPr>
              <w:t>Not stated</w:t>
            </w:r>
          </w:p>
        </w:tc>
        <w:tc>
          <w:tcPr>
            <w:tcW w:w="444" w:type="pct"/>
            <w:tcBorders>
              <w:right w:val="single" w:sz="18" w:space="0" w:color="FFFFFF" w:themeColor="background1"/>
            </w:tcBorders>
            <w:shd w:val="clear" w:color="auto" w:fill="D6EAAF" w:themeFill="accent1" w:themeFillTint="66"/>
            <w:vAlign w:val="center"/>
          </w:tcPr>
          <w:p w14:paraId="45057BCE" w14:textId="77777777" w:rsidR="0092185B" w:rsidRPr="00B67CA5" w:rsidRDefault="0092185B" w:rsidP="00E50F0A">
            <w:pPr>
              <w:keepNext/>
              <w:keepLines/>
              <w:spacing w:before="40" w:after="120"/>
              <w:jc w:val="center"/>
              <w:outlineLvl w:val="1"/>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rPr>
            </w:pPr>
            <w:r w:rsidRPr="00B67CA5">
              <w:rPr>
                <w:rFonts w:eastAsiaTheme="majorEastAsia" w:cstheme="minorHAnsi"/>
                <w:color w:val="000000" w:themeColor="text1"/>
              </w:rPr>
              <w:t>Not stated</w:t>
            </w:r>
          </w:p>
        </w:tc>
        <w:tc>
          <w:tcPr>
            <w:tcW w:w="518" w:type="pct"/>
            <w:tcBorders>
              <w:left w:val="single" w:sz="18" w:space="0" w:color="FFFFFF" w:themeColor="background1"/>
            </w:tcBorders>
            <w:vAlign w:val="center"/>
          </w:tcPr>
          <w:p w14:paraId="7E6B637A" w14:textId="0F3ECEF6" w:rsidR="0092185B" w:rsidRPr="00B67CA5" w:rsidRDefault="00F56ECF" w:rsidP="00E50F0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67CA5">
              <w:rPr>
                <w:rFonts w:cstheme="minorHAnsi"/>
              </w:rPr>
              <w:t>Not stated</w:t>
            </w:r>
          </w:p>
        </w:tc>
        <w:tc>
          <w:tcPr>
            <w:tcW w:w="518" w:type="pct"/>
            <w:vAlign w:val="center"/>
          </w:tcPr>
          <w:p w14:paraId="78D430C2" w14:textId="77777777" w:rsidR="0092185B" w:rsidRPr="00B67CA5" w:rsidRDefault="0092185B" w:rsidP="00E50F0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67CA5">
              <w:rPr>
                <w:rFonts w:cstheme="minorHAnsi"/>
              </w:rPr>
              <w:t>Not stated</w:t>
            </w:r>
          </w:p>
        </w:tc>
        <w:tc>
          <w:tcPr>
            <w:tcW w:w="519" w:type="pct"/>
            <w:vAlign w:val="center"/>
          </w:tcPr>
          <w:p w14:paraId="7F5F82FA" w14:textId="77777777" w:rsidR="0092185B" w:rsidRPr="00B67CA5" w:rsidRDefault="0092185B" w:rsidP="00E50F0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67CA5">
              <w:rPr>
                <w:rFonts w:cstheme="minorHAnsi"/>
              </w:rPr>
              <w:t>Not stated</w:t>
            </w:r>
          </w:p>
        </w:tc>
        <w:tc>
          <w:tcPr>
            <w:tcW w:w="518" w:type="pct"/>
            <w:vAlign w:val="center"/>
          </w:tcPr>
          <w:p w14:paraId="0E309E72" w14:textId="77777777" w:rsidR="0092185B" w:rsidRPr="00B67CA5" w:rsidRDefault="0092185B" w:rsidP="00E50F0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67CA5">
              <w:rPr>
                <w:rFonts w:cstheme="minorHAnsi"/>
              </w:rPr>
              <w:t>Not stated</w:t>
            </w:r>
          </w:p>
        </w:tc>
        <w:tc>
          <w:tcPr>
            <w:tcW w:w="493" w:type="pct"/>
            <w:vAlign w:val="center"/>
          </w:tcPr>
          <w:p w14:paraId="7A3B24FF" w14:textId="77777777" w:rsidR="0092185B" w:rsidRPr="00B67CA5" w:rsidRDefault="0092185B" w:rsidP="00E50F0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67CA5">
              <w:rPr>
                <w:rFonts w:cstheme="minorHAnsi"/>
              </w:rPr>
              <w:t>Not stated</w:t>
            </w:r>
          </w:p>
        </w:tc>
        <w:tc>
          <w:tcPr>
            <w:tcW w:w="531" w:type="pct"/>
            <w:vAlign w:val="center"/>
          </w:tcPr>
          <w:p w14:paraId="4A074392" w14:textId="77777777" w:rsidR="0092185B" w:rsidRPr="00B67CA5" w:rsidRDefault="0092185B" w:rsidP="00E50F0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67CA5">
              <w:rPr>
                <w:rFonts w:cstheme="minorHAnsi"/>
              </w:rPr>
              <w:t>Not stated</w:t>
            </w:r>
          </w:p>
        </w:tc>
        <w:tc>
          <w:tcPr>
            <w:tcW w:w="532" w:type="pct"/>
            <w:tcBorders>
              <w:right w:val="single" w:sz="18" w:space="0" w:color="FFFFFF" w:themeColor="background1"/>
            </w:tcBorders>
            <w:vAlign w:val="center"/>
          </w:tcPr>
          <w:p w14:paraId="13B8187A" w14:textId="77777777" w:rsidR="0092185B" w:rsidRPr="00B67CA5" w:rsidRDefault="0092185B" w:rsidP="00E50F0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67CA5">
              <w:rPr>
                <w:rFonts w:cstheme="minorHAnsi"/>
              </w:rPr>
              <w:t>Not stated</w:t>
            </w:r>
          </w:p>
        </w:tc>
        <w:tc>
          <w:tcPr>
            <w:tcW w:w="221" w:type="pct"/>
            <w:tcBorders>
              <w:left w:val="single" w:sz="18" w:space="0" w:color="FFFFFF" w:themeColor="background1"/>
            </w:tcBorders>
            <w:vAlign w:val="center"/>
          </w:tcPr>
          <w:p w14:paraId="188FAB08" w14:textId="0ED4BA9E" w:rsidR="0092185B" w:rsidRPr="00B67CA5" w:rsidRDefault="0092185B" w:rsidP="00E50F0A">
            <w:pPr>
              <w:jc w:val="center"/>
              <w:cnfStyle w:val="000000100000" w:firstRow="0" w:lastRow="0" w:firstColumn="0" w:lastColumn="0" w:oddVBand="0" w:evenVBand="0" w:oddHBand="1" w:evenHBand="0" w:firstRowFirstColumn="0" w:firstRowLastColumn="0" w:lastRowFirstColumn="0" w:lastRowLastColumn="0"/>
              <w:rPr>
                <w:rFonts w:cstheme="minorHAnsi"/>
                <w:noProof/>
                <w:color w:val="000000" w:themeColor="text1"/>
              </w:rPr>
            </w:pPr>
            <w:r w:rsidRPr="00B67CA5">
              <w:rPr>
                <w:rFonts w:cstheme="minorHAnsi"/>
                <w:noProof/>
                <w:color w:val="000000" w:themeColor="text1"/>
              </w:rPr>
              <w:fldChar w:fldCharType="begin" w:fldLock="1"/>
            </w:r>
            <w:r w:rsidR="001379E8" w:rsidRPr="00B67CA5">
              <w:rPr>
                <w:rFonts w:cstheme="minorHAnsi"/>
                <w:noProof/>
                <w:color w:val="000000" w:themeColor="text1"/>
              </w:rPr>
              <w:instrText>ADDIN CSL_CITATION {"citationItems":[{"id":"ITEM-1","itemData":{"DOI":"10.1002/prp2.398","ISSN":"20521707","abstract":"Abstract: Obesity can affect the pharmacokinetics of most drugs, which may result in under‐ or overdosing if traditional pediatric dosing strategies are used. To investigate currently applied dosage strategies in children with overweight or obesity (overweight/obesity), in a clinical treatment facility. In particular, whether dosing guidelines were available and metrics of body size applied. A retrospective cohort study of 200 patients admitted to the Danish Children′s Obesity Clinic. Data were collected from 2007 to 2015. Overweight/obese children 3‐18 years were included if they had at least one drug prescription. Overall there were 658 prescriptions, primarily analgesics, psychotropics, asthma medications, and antibiotics. Except for one prescription, guidelines for dosage of overweight/obese children were not available in the clinic. In one prescription of gentamicin, the dose was adjusted by a metric body size. Otherwise dose was predominately prescribed either by total body weight or as fixed dose by age, in accordance with the recommendations of normal weight children. In drugs with a narrow therapeutic interval, we found large interindividual variations in dosing regimens, that is, for gentamicin, paracetamol, and prednisolone. Reduction of dose to the maximum recommended adult dose was common practice, when the dose calculated by total body weight (ie, mg/kg) exceeded this maximum. This study highlights the shortage of dosing guidelines in overweight/obese children. We found a large interindividual variability in dosage regimens, even in drugs with narrow therapeutic intervals. The clinicians rely on “best practice”, as evidence‐based dosage regimens are missing for many drugs prescribed during childhood. [ABSTRACT FROM AUTHOR]","author":[{"dropping-particle":"","family":"Gade","given":"Christina","non-dropping-particle":"","parse-names":false,"suffix":""},{"dropping-particle":"","family":"Christensen","given":"Hanne R.","non-dropping-particle":"","parse-names":false,"suffix":""},{"dropping-particle":"","family":"Dalhoff","given":"Kim P.","non-dropping-particle":"","parse-names":false,"suffix":""},{"dropping-particle":"","family":"Holm","given":"Jens Christian","non-dropping-particle":"","parse-names":false,"suffix":""},{"dropping-particle":"","family":"Holst","given":"Helle","non-dropping-particle":"","parse-names":false,"suffix":""}],"container-title":"Pharmacology Research and Perspectives","id":"ITEM-1","issue":"3","issued":{"date-parts":[["2018","6","1"]]},"page":"e00398","publisher":"John Wiley &amp; Sons, Ltd","title":"Inconsistencies in dosage practice in children with overweight or obesity: A retrospective cohort study","type":"article","volume":"6"},"uris":["http://www.mendeley.com/documents/?uuid=0a688d1e-e9b9-347c-9c6d-38cc908aef31"]}],"mendeley":{"formattedCitation":"(15)","plainTextFormattedCitation":"(15)","previouslyFormattedCitation":"(15)"},"properties":{"noteIndex":0},"schema":"https://github.com/citation-style-language/schema/raw/master/csl-citation.json"}</w:instrText>
            </w:r>
            <w:r w:rsidRPr="00B67CA5">
              <w:rPr>
                <w:rFonts w:cstheme="minorHAnsi"/>
                <w:noProof/>
                <w:color w:val="000000" w:themeColor="text1"/>
              </w:rPr>
              <w:fldChar w:fldCharType="separate"/>
            </w:r>
            <w:r w:rsidR="00151CD4" w:rsidRPr="00B67CA5">
              <w:rPr>
                <w:rFonts w:cstheme="minorHAnsi"/>
                <w:noProof/>
                <w:color w:val="000000" w:themeColor="text1"/>
              </w:rPr>
              <w:t>(15)</w:t>
            </w:r>
            <w:r w:rsidRPr="00B67CA5">
              <w:rPr>
                <w:rFonts w:cstheme="minorHAnsi"/>
                <w:noProof/>
                <w:color w:val="000000" w:themeColor="text1"/>
              </w:rPr>
              <w:fldChar w:fldCharType="end"/>
            </w:r>
          </w:p>
        </w:tc>
      </w:tr>
      <w:tr w:rsidR="007C03B3" w:rsidRPr="00B67CA5" w14:paraId="5B5936FB" w14:textId="77777777" w:rsidTr="007C03B3">
        <w:trPr>
          <w:trHeight w:val="848"/>
          <w:jc w:val="center"/>
        </w:trPr>
        <w:tc>
          <w:tcPr>
            <w:cnfStyle w:val="001000000000" w:firstRow="0" w:lastRow="0" w:firstColumn="1" w:lastColumn="0" w:oddVBand="0" w:evenVBand="0" w:oddHBand="0" w:evenHBand="0" w:firstRowFirstColumn="0" w:firstRowLastColumn="0" w:lastRowFirstColumn="0" w:lastRowLastColumn="0"/>
            <w:tcW w:w="264" w:type="pct"/>
            <w:tcBorders>
              <w:right w:val="single" w:sz="18" w:space="0" w:color="FFFFFF" w:themeColor="background1"/>
            </w:tcBorders>
            <w:shd w:val="clear" w:color="auto" w:fill="4A7B29" w:themeFill="accent2" w:themeFillShade="BF"/>
            <w:vAlign w:val="center"/>
          </w:tcPr>
          <w:p w14:paraId="392FFC1D" w14:textId="019F199D" w:rsidR="007C03B3" w:rsidRPr="00B67CA5" w:rsidRDefault="007C03B3" w:rsidP="00E50F0A">
            <w:pPr>
              <w:jc w:val="center"/>
              <w:rPr>
                <w:rFonts w:cstheme="minorHAnsi"/>
              </w:rPr>
            </w:pPr>
            <w:r w:rsidRPr="00B67CA5">
              <w:rPr>
                <w:rFonts w:cstheme="minorHAnsi"/>
              </w:rPr>
              <w:t>3</w:t>
            </w:r>
          </w:p>
        </w:tc>
        <w:tc>
          <w:tcPr>
            <w:tcW w:w="442" w:type="pct"/>
            <w:tcBorders>
              <w:left w:val="single" w:sz="18" w:space="0" w:color="FFFFFF" w:themeColor="background1"/>
            </w:tcBorders>
            <w:shd w:val="clear" w:color="auto" w:fill="EAF4D7" w:themeFill="accent1" w:themeFillTint="33"/>
            <w:vAlign w:val="center"/>
          </w:tcPr>
          <w:p w14:paraId="00E7C127" w14:textId="1A16BBF9" w:rsidR="007C03B3" w:rsidRPr="00B67CA5" w:rsidRDefault="007C03B3" w:rsidP="00E50F0A">
            <w:pPr>
              <w:keepNext/>
              <w:keepLines/>
              <w:spacing w:before="40" w:after="120"/>
              <w:jc w:val="center"/>
              <w:outlineLvl w:val="1"/>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rPr>
            </w:pPr>
            <w:r w:rsidRPr="00B67CA5">
              <w:rPr>
                <w:rFonts w:eastAsiaTheme="majorEastAsia" w:cstheme="minorHAnsi"/>
                <w:color w:val="000000" w:themeColor="text1"/>
              </w:rPr>
              <w:t>Not stated</w:t>
            </w:r>
          </w:p>
        </w:tc>
        <w:tc>
          <w:tcPr>
            <w:tcW w:w="444" w:type="pct"/>
            <w:tcBorders>
              <w:right w:val="single" w:sz="18" w:space="0" w:color="FFFFFF" w:themeColor="background1"/>
            </w:tcBorders>
            <w:shd w:val="clear" w:color="auto" w:fill="EAF4D7" w:themeFill="accent1" w:themeFillTint="33"/>
            <w:vAlign w:val="center"/>
          </w:tcPr>
          <w:p w14:paraId="55E995C3" w14:textId="7535ED3C" w:rsidR="007C03B3" w:rsidRPr="00B67CA5" w:rsidRDefault="007C03B3" w:rsidP="00E50F0A">
            <w:pPr>
              <w:keepNext/>
              <w:keepLines/>
              <w:spacing w:before="40" w:after="120"/>
              <w:jc w:val="center"/>
              <w:outlineLvl w:val="1"/>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rPr>
            </w:pPr>
            <w:r w:rsidRPr="00B67CA5">
              <w:rPr>
                <w:rFonts w:eastAsiaTheme="majorEastAsia" w:cstheme="minorHAnsi"/>
                <w:color w:val="000000" w:themeColor="text1"/>
              </w:rPr>
              <w:t>Not stated</w:t>
            </w:r>
          </w:p>
        </w:tc>
        <w:tc>
          <w:tcPr>
            <w:tcW w:w="518" w:type="pct"/>
            <w:tcBorders>
              <w:left w:val="single" w:sz="18" w:space="0" w:color="FFFFFF" w:themeColor="background1"/>
            </w:tcBorders>
            <w:vAlign w:val="center"/>
          </w:tcPr>
          <w:p w14:paraId="7D233433" w14:textId="30DB1653" w:rsidR="007C03B3" w:rsidRPr="00B67CA5" w:rsidRDefault="007C03B3" w:rsidP="00E50F0A">
            <w:pPr>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rPr>
            </w:pPr>
            <w:r w:rsidRPr="00B67CA5">
              <w:rPr>
                <w:rFonts w:eastAsiaTheme="majorEastAsia" w:cstheme="minorHAnsi"/>
                <w:color w:val="000000" w:themeColor="text1"/>
              </w:rPr>
              <w:t>Not stated</w:t>
            </w:r>
          </w:p>
        </w:tc>
        <w:tc>
          <w:tcPr>
            <w:tcW w:w="518" w:type="pct"/>
            <w:vAlign w:val="center"/>
          </w:tcPr>
          <w:p w14:paraId="4A969671" w14:textId="5FF44DFC" w:rsidR="007C03B3" w:rsidRPr="00B67CA5" w:rsidRDefault="007C03B3" w:rsidP="00E50F0A">
            <w:pPr>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rPr>
            </w:pPr>
            <w:r w:rsidRPr="00B67CA5">
              <w:rPr>
                <w:rFonts w:eastAsiaTheme="majorEastAsia" w:cstheme="minorHAnsi"/>
                <w:color w:val="000000" w:themeColor="text1"/>
              </w:rPr>
              <w:t>Not stated</w:t>
            </w:r>
          </w:p>
        </w:tc>
        <w:tc>
          <w:tcPr>
            <w:tcW w:w="519" w:type="pct"/>
            <w:vAlign w:val="center"/>
          </w:tcPr>
          <w:p w14:paraId="0E164818" w14:textId="3A60A29A" w:rsidR="007C03B3" w:rsidRPr="00B67CA5" w:rsidRDefault="007C03B3" w:rsidP="00E50F0A">
            <w:pPr>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rPr>
            </w:pPr>
            <w:r w:rsidRPr="00B67CA5">
              <w:rPr>
                <w:rFonts w:eastAsiaTheme="majorEastAsia" w:cstheme="minorHAnsi"/>
                <w:color w:val="000000" w:themeColor="text1"/>
              </w:rPr>
              <w:t>Not stated</w:t>
            </w:r>
          </w:p>
        </w:tc>
        <w:tc>
          <w:tcPr>
            <w:tcW w:w="518" w:type="pct"/>
            <w:vAlign w:val="center"/>
          </w:tcPr>
          <w:p w14:paraId="07D8686F" w14:textId="284AB08F" w:rsidR="007C03B3" w:rsidRPr="00B67CA5" w:rsidRDefault="007C03B3" w:rsidP="00E50F0A">
            <w:pPr>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rPr>
            </w:pPr>
            <w:r w:rsidRPr="00B67CA5">
              <w:rPr>
                <w:rFonts w:eastAsiaTheme="majorEastAsia" w:cstheme="minorHAnsi"/>
                <w:color w:val="000000" w:themeColor="text1"/>
              </w:rPr>
              <w:t>Not stated</w:t>
            </w:r>
          </w:p>
        </w:tc>
        <w:tc>
          <w:tcPr>
            <w:tcW w:w="493" w:type="pct"/>
            <w:vAlign w:val="center"/>
          </w:tcPr>
          <w:p w14:paraId="142B2825" w14:textId="632D3906" w:rsidR="007C03B3" w:rsidRPr="00B67CA5" w:rsidRDefault="001438EB" w:rsidP="00E50F0A">
            <w:pPr>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rPr>
            </w:pPr>
            <w:r>
              <w:rPr>
                <w:rFonts w:eastAsiaTheme="majorEastAsia" w:cstheme="minorHAnsi"/>
                <w:color w:val="000000" w:themeColor="text1"/>
              </w:rPr>
              <w:t>Not stated</w:t>
            </w:r>
          </w:p>
        </w:tc>
        <w:tc>
          <w:tcPr>
            <w:tcW w:w="531" w:type="pct"/>
            <w:vAlign w:val="center"/>
          </w:tcPr>
          <w:p w14:paraId="56AFC14C" w14:textId="20BD9496" w:rsidR="007C03B3" w:rsidRPr="00295A88" w:rsidRDefault="007C03B3" w:rsidP="00E50F0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295A88">
              <w:rPr>
                <w:rFonts w:cstheme="minorHAnsi"/>
              </w:rPr>
              <w:t>Not stated</w:t>
            </w:r>
          </w:p>
        </w:tc>
        <w:tc>
          <w:tcPr>
            <w:tcW w:w="532" w:type="pct"/>
            <w:tcBorders>
              <w:right w:val="single" w:sz="18" w:space="0" w:color="FFFFFF" w:themeColor="background1"/>
            </w:tcBorders>
            <w:vAlign w:val="center"/>
          </w:tcPr>
          <w:p w14:paraId="2F9760BE" w14:textId="23FA0BAC" w:rsidR="007C03B3" w:rsidRPr="00B67CA5" w:rsidRDefault="007C03B3" w:rsidP="00E50F0A">
            <w:pPr>
              <w:jc w:val="center"/>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rPr>
            </w:pPr>
            <w:r w:rsidRPr="00B67CA5">
              <w:rPr>
                <w:rFonts w:eastAsiaTheme="majorEastAsia" w:cstheme="minorHAnsi"/>
                <w:color w:val="000000" w:themeColor="text1"/>
              </w:rPr>
              <w:t>Not stated</w:t>
            </w:r>
          </w:p>
        </w:tc>
        <w:tc>
          <w:tcPr>
            <w:tcW w:w="221" w:type="pct"/>
            <w:tcBorders>
              <w:left w:val="single" w:sz="18" w:space="0" w:color="FFFFFF" w:themeColor="background1"/>
            </w:tcBorders>
            <w:vAlign w:val="center"/>
          </w:tcPr>
          <w:p w14:paraId="5D673496" w14:textId="4A9E7C68" w:rsidR="007C03B3" w:rsidRPr="00B67CA5" w:rsidRDefault="007C03B3" w:rsidP="00E50F0A">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themeColor="text1"/>
              </w:rPr>
            </w:pPr>
            <w:r w:rsidRPr="00B67CA5">
              <w:rPr>
                <w:rFonts w:cstheme="minorHAnsi"/>
                <w:noProof/>
                <w:color w:val="000000" w:themeColor="text1"/>
              </w:rPr>
              <w:fldChar w:fldCharType="begin" w:fldLock="1"/>
            </w:r>
            <w:r w:rsidRPr="00B67CA5">
              <w:rPr>
                <w:rFonts w:cstheme="minorHAnsi"/>
                <w:noProof/>
                <w:color w:val="000000" w:themeColor="text1"/>
              </w:rPr>
              <w:instrText>ADDIN CSL_CITATION {"citationItems":[{"id":"ITEM-1","itemData":{"DOI":"10.1097/PCC.0000000000002072","ISBN":"0000000000","ISSN":"19473893","PMID":"31398182","abstract":"Objectives: To determine the antipyretic efficacy of acetaminophen (IV, enteral, rectal) and ibuprofen (enteral) in critically ill febrile pediatric patients. Design: Retrospective cohort study. Setting: Quaternary care pediatric hospital ICUs. Patients: Pediatric patients less than 19 years old who were febrile (≥ 38.0°C), received a dose of IV acetaminophen, enteral acetaminophen, rectal acetaminophen, or enteral ibuprofen and had at least one temperature measurement in the following 6 hours. Interventions: None. Measurements and Main Results: A total of 3,341 patients (55.8% male, median age 2.5 yr [interquartile range, 0.63-9.2 yr]) met study criteria. Baseline temperature was median 38.6°C (interquartile range, 38.3-38.9°C) measured via axillary (76.9%) route. Patients became afebrile (87.5%) at median 1.4 hours (interquartile range, 0.77-2.3 hr) after the first dose of medication, a-2.9 ± 1.6% change in temperature. Antipyretic medications included as follows: enteral acetaminophen (n = 1,664), IV acetaminophen (n = 682), rectal acetaminophen (n = 637), and enteral ibuprofen (n = 358). Enteral ibuprofen had a significantly greater odds of defervescence on multivariable logistic regression analysis (p = 0.04) with a decrease of-1.97 ± 0.89°C while IV acetaminophen was significant for a decreased time to defervescence at median 1.5 hours (interquartile range 0.8-2.3 hr) after a dose (p = 0.03). Patient age, presence of obesity, and baseline temperature were significant for decreased antipyretic efficacy (p &lt; 0.05). Conclusions: Enteral ibuprofen was the most efficacious antipyretic and IV acetaminophen had the shortest time to defervescence.","author":[{"dropping-particle":"","family":"Moffett","given":"Brady S.","non-dropping-particle":"","parse-names":false,"suffix":""},{"dropping-particle":"","family":"Gutierrez","given":"Kristina","non-dropping-particle":"","parse-names":false,"suffix":""},{"dropping-particle":"","family":"Davis","given":"Kasey","non-dropping-particle":"","parse-names":false,"suffix":""},{"dropping-particle":"","family":"Sigdel","given":"Binayak","non-dropping-particle":"","parse-names":false,"suffix":""},{"dropping-particle":"","family":"Strobel","given":"Nathaniel","non-dropping-particle":"","parse-names":false,"suffix":""}],"container-title":"Pediatric Critical Care Medicine","id":"ITEM-1","issue":"8","issued":{"date-parts":[["2019"]]},"page":"E386-E393","title":"Antipyretic Efficacy of Acetaminophen and Ibuprofen in Critically Ill Pediatric Patients","type":"article-journal","volume":"20"},"uris":["http://www.mendeley.com/documents/?uuid=aa054fa6-d037-4207-bbdb-b8ea4d4a3a0e"]}],"mendeley":{"formattedCitation":"(16)","plainTextFormattedCitation":"(16)","previouslyFormattedCitation":"(16)"},"properties":{"noteIndex":0},"schema":"https://github.com/citation-style-language/schema/raw/master/csl-citation.json"}</w:instrText>
            </w:r>
            <w:r w:rsidRPr="00B67CA5">
              <w:rPr>
                <w:rFonts w:cstheme="minorHAnsi"/>
                <w:noProof/>
                <w:color w:val="000000" w:themeColor="text1"/>
              </w:rPr>
              <w:fldChar w:fldCharType="separate"/>
            </w:r>
            <w:r w:rsidRPr="00B67CA5">
              <w:rPr>
                <w:rFonts w:cstheme="minorHAnsi"/>
                <w:noProof/>
                <w:color w:val="000000" w:themeColor="text1"/>
              </w:rPr>
              <w:t>(16)</w:t>
            </w:r>
            <w:r w:rsidRPr="00B67CA5">
              <w:rPr>
                <w:rFonts w:cstheme="minorHAnsi"/>
                <w:noProof/>
                <w:color w:val="000000" w:themeColor="text1"/>
              </w:rPr>
              <w:fldChar w:fldCharType="end"/>
            </w:r>
          </w:p>
        </w:tc>
      </w:tr>
      <w:tr w:rsidR="007C03B3" w:rsidRPr="00B67CA5" w14:paraId="7BE90132" w14:textId="77777777" w:rsidTr="007C03B3">
        <w:trPr>
          <w:cnfStyle w:val="000000100000" w:firstRow="0" w:lastRow="0" w:firstColumn="0" w:lastColumn="0" w:oddVBand="0" w:evenVBand="0" w:oddHBand="1" w:evenHBand="0" w:firstRowFirstColumn="0" w:firstRowLastColumn="0" w:lastRowFirstColumn="0" w:lastRowLastColumn="0"/>
          <w:trHeight w:val="848"/>
          <w:jc w:val="center"/>
        </w:trPr>
        <w:tc>
          <w:tcPr>
            <w:cnfStyle w:val="001000000000" w:firstRow="0" w:lastRow="0" w:firstColumn="1" w:lastColumn="0" w:oddVBand="0" w:evenVBand="0" w:oddHBand="0" w:evenHBand="0" w:firstRowFirstColumn="0" w:firstRowLastColumn="0" w:lastRowFirstColumn="0" w:lastRowLastColumn="0"/>
            <w:tcW w:w="264" w:type="pct"/>
            <w:tcBorders>
              <w:right w:val="single" w:sz="18" w:space="0" w:color="FFFFFF" w:themeColor="background1"/>
            </w:tcBorders>
            <w:shd w:val="clear" w:color="auto" w:fill="4A7B29" w:themeFill="accent2" w:themeFillShade="BF"/>
            <w:vAlign w:val="center"/>
          </w:tcPr>
          <w:p w14:paraId="716BEED6" w14:textId="5CF01694" w:rsidR="007C03B3" w:rsidRPr="00B67CA5" w:rsidRDefault="007C03B3" w:rsidP="00E50F0A">
            <w:pPr>
              <w:jc w:val="center"/>
              <w:rPr>
                <w:rFonts w:cstheme="minorHAnsi"/>
              </w:rPr>
            </w:pPr>
            <w:r w:rsidRPr="00B67CA5">
              <w:rPr>
                <w:rFonts w:cstheme="minorHAnsi"/>
              </w:rPr>
              <w:t>4</w:t>
            </w:r>
          </w:p>
        </w:tc>
        <w:tc>
          <w:tcPr>
            <w:tcW w:w="442" w:type="pct"/>
            <w:tcBorders>
              <w:left w:val="single" w:sz="18" w:space="0" w:color="FFFFFF" w:themeColor="background1"/>
            </w:tcBorders>
            <w:shd w:val="clear" w:color="auto" w:fill="EAF4D7" w:themeFill="accent1" w:themeFillTint="33"/>
            <w:vAlign w:val="center"/>
          </w:tcPr>
          <w:p w14:paraId="54B676DC" w14:textId="77777777" w:rsidR="007C03B3" w:rsidRPr="00B67CA5" w:rsidRDefault="007C03B3" w:rsidP="00E50F0A">
            <w:pPr>
              <w:keepNext/>
              <w:keepLines/>
              <w:spacing w:before="40" w:after="120"/>
              <w:jc w:val="center"/>
              <w:outlineLvl w:val="1"/>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rPr>
            </w:pPr>
            <w:r w:rsidRPr="00B67CA5">
              <w:rPr>
                <w:rFonts w:eastAsiaTheme="majorEastAsia" w:cstheme="minorHAnsi"/>
                <w:color w:val="000000" w:themeColor="text1"/>
              </w:rPr>
              <w:t>Not stated</w:t>
            </w:r>
          </w:p>
        </w:tc>
        <w:tc>
          <w:tcPr>
            <w:tcW w:w="444" w:type="pct"/>
            <w:tcBorders>
              <w:right w:val="single" w:sz="18" w:space="0" w:color="FFFFFF" w:themeColor="background1"/>
            </w:tcBorders>
            <w:shd w:val="clear" w:color="auto" w:fill="EAF4D7" w:themeFill="accent1" w:themeFillTint="33"/>
            <w:vAlign w:val="center"/>
          </w:tcPr>
          <w:p w14:paraId="76FABE25" w14:textId="77777777" w:rsidR="007C03B3" w:rsidRPr="00B67CA5" w:rsidRDefault="007C03B3" w:rsidP="00E50F0A">
            <w:pPr>
              <w:keepNext/>
              <w:keepLines/>
              <w:spacing w:before="40" w:after="120"/>
              <w:jc w:val="center"/>
              <w:outlineLvl w:val="1"/>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rPr>
            </w:pPr>
            <w:r w:rsidRPr="00B67CA5">
              <w:rPr>
                <w:rFonts w:eastAsiaTheme="majorEastAsia" w:cstheme="minorHAnsi"/>
                <w:color w:val="000000" w:themeColor="text1"/>
              </w:rPr>
              <w:t>Not stated</w:t>
            </w:r>
          </w:p>
        </w:tc>
        <w:tc>
          <w:tcPr>
            <w:tcW w:w="518" w:type="pct"/>
            <w:tcBorders>
              <w:left w:val="single" w:sz="18" w:space="0" w:color="FFFFFF" w:themeColor="background1"/>
            </w:tcBorders>
            <w:vAlign w:val="center"/>
          </w:tcPr>
          <w:p w14:paraId="0C5D84AF" w14:textId="77777777" w:rsidR="007C03B3" w:rsidRPr="00295A88" w:rsidRDefault="007C03B3" w:rsidP="00E50F0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67CA5">
              <w:rPr>
                <w:rFonts w:eastAsiaTheme="majorEastAsia" w:cstheme="minorHAnsi"/>
                <w:color w:val="000000" w:themeColor="text1"/>
              </w:rPr>
              <w:t>Not stated</w:t>
            </w:r>
          </w:p>
        </w:tc>
        <w:tc>
          <w:tcPr>
            <w:tcW w:w="518" w:type="pct"/>
            <w:vAlign w:val="center"/>
          </w:tcPr>
          <w:p w14:paraId="7AB7EF22" w14:textId="77777777" w:rsidR="007C03B3" w:rsidRPr="00295A88" w:rsidRDefault="007C03B3" w:rsidP="00E50F0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67CA5">
              <w:rPr>
                <w:rFonts w:eastAsiaTheme="majorEastAsia" w:cstheme="minorHAnsi"/>
                <w:color w:val="000000" w:themeColor="text1"/>
              </w:rPr>
              <w:t>Not stated</w:t>
            </w:r>
          </w:p>
        </w:tc>
        <w:tc>
          <w:tcPr>
            <w:tcW w:w="519" w:type="pct"/>
            <w:vAlign w:val="center"/>
          </w:tcPr>
          <w:p w14:paraId="7D5DE914" w14:textId="77777777" w:rsidR="007C03B3" w:rsidRPr="00295A88" w:rsidRDefault="007C03B3" w:rsidP="00E50F0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67CA5">
              <w:rPr>
                <w:rFonts w:eastAsiaTheme="majorEastAsia" w:cstheme="minorHAnsi"/>
                <w:color w:val="000000" w:themeColor="text1"/>
              </w:rPr>
              <w:t>Not stated</w:t>
            </w:r>
          </w:p>
        </w:tc>
        <w:tc>
          <w:tcPr>
            <w:tcW w:w="518" w:type="pct"/>
            <w:vAlign w:val="center"/>
          </w:tcPr>
          <w:p w14:paraId="16C39CAE" w14:textId="77777777" w:rsidR="007C03B3" w:rsidRPr="00295A88" w:rsidRDefault="007C03B3" w:rsidP="00E50F0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67CA5">
              <w:rPr>
                <w:rFonts w:eastAsiaTheme="majorEastAsia" w:cstheme="minorHAnsi"/>
                <w:color w:val="000000" w:themeColor="text1"/>
              </w:rPr>
              <w:t>Not stated</w:t>
            </w:r>
          </w:p>
        </w:tc>
        <w:tc>
          <w:tcPr>
            <w:tcW w:w="493" w:type="pct"/>
            <w:vAlign w:val="center"/>
          </w:tcPr>
          <w:p w14:paraId="695E6ECA" w14:textId="77777777" w:rsidR="007C03B3" w:rsidRPr="00295A88" w:rsidRDefault="007C03B3" w:rsidP="00E50F0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67CA5">
              <w:rPr>
                <w:rFonts w:eastAsiaTheme="majorEastAsia" w:cstheme="minorHAnsi"/>
                <w:color w:val="000000" w:themeColor="text1"/>
              </w:rPr>
              <w:t>Not stated</w:t>
            </w:r>
          </w:p>
        </w:tc>
        <w:tc>
          <w:tcPr>
            <w:tcW w:w="531" w:type="pct"/>
            <w:vAlign w:val="center"/>
          </w:tcPr>
          <w:p w14:paraId="66CD2255" w14:textId="77777777" w:rsidR="007C03B3" w:rsidRPr="00295A88" w:rsidRDefault="007C03B3" w:rsidP="00E50F0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295A88">
              <w:rPr>
                <w:rFonts w:cstheme="minorHAnsi"/>
              </w:rPr>
              <w:t>Not stated</w:t>
            </w:r>
          </w:p>
        </w:tc>
        <w:tc>
          <w:tcPr>
            <w:tcW w:w="532" w:type="pct"/>
            <w:tcBorders>
              <w:right w:val="single" w:sz="18" w:space="0" w:color="FFFFFF" w:themeColor="background1"/>
            </w:tcBorders>
            <w:vAlign w:val="center"/>
          </w:tcPr>
          <w:p w14:paraId="66AB06BF" w14:textId="77777777" w:rsidR="007C03B3" w:rsidRPr="00295A88" w:rsidRDefault="007C03B3" w:rsidP="00E50F0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67CA5">
              <w:rPr>
                <w:rFonts w:eastAsiaTheme="majorEastAsia" w:cstheme="minorHAnsi"/>
                <w:color w:val="000000" w:themeColor="text1"/>
              </w:rPr>
              <w:t>Not stated</w:t>
            </w:r>
          </w:p>
        </w:tc>
        <w:tc>
          <w:tcPr>
            <w:tcW w:w="221" w:type="pct"/>
            <w:tcBorders>
              <w:left w:val="single" w:sz="18" w:space="0" w:color="FFFFFF" w:themeColor="background1"/>
            </w:tcBorders>
            <w:vAlign w:val="center"/>
          </w:tcPr>
          <w:p w14:paraId="4A2EAE7E" w14:textId="60CDD8FD" w:rsidR="007C03B3" w:rsidRPr="00B67CA5" w:rsidRDefault="007C03B3" w:rsidP="00E50F0A">
            <w:pPr>
              <w:jc w:val="center"/>
              <w:cnfStyle w:val="000000100000" w:firstRow="0" w:lastRow="0" w:firstColumn="0" w:lastColumn="0" w:oddVBand="0" w:evenVBand="0" w:oddHBand="1" w:evenHBand="0" w:firstRowFirstColumn="0" w:firstRowLastColumn="0" w:lastRowFirstColumn="0" w:lastRowLastColumn="0"/>
              <w:rPr>
                <w:rFonts w:cstheme="minorHAnsi"/>
                <w:noProof/>
                <w:color w:val="000000" w:themeColor="text1"/>
              </w:rPr>
            </w:pPr>
            <w:r w:rsidRPr="00B67CA5">
              <w:rPr>
                <w:rFonts w:cstheme="minorHAnsi"/>
                <w:noProof/>
                <w:color w:val="000000" w:themeColor="text1"/>
              </w:rPr>
              <w:fldChar w:fldCharType="begin" w:fldLock="1"/>
            </w:r>
            <w:r w:rsidRPr="00B67CA5">
              <w:rPr>
                <w:rFonts w:cstheme="minorHAnsi"/>
                <w:noProof/>
                <w:color w:val="000000" w:themeColor="text1"/>
              </w:rPr>
              <w:instrText>ADDIN CSL_CITATION {"citationItems":[{"id":"ITEM-1","itemData":{"DOI":"10.2146/ajhp140280","ISBN":"1079-2082","ISSN":"15352900","PMID":"25788508","abstract":"Purpose. The development and use of a decision support tool to help formulate recommendations for dosing of commonly prescribed medications in critically ill obese children are described. Methods. Medications prescribed in 2010 to critically ill infants and children (younger than 18 years) were identified from the Pediatric Health Information System. The most commonly prescribed and therapeutically monitored medications were extracted. Supportive evidence for obesity dosing was identified through a standardized computerized search involving medical subject heading terminology and age filters using PubMed and Ovid. A usefulness scoring system was developed to rate the strength and applicability of the literature to critically ill obese children. A decision supporttool was then created to aid in the formulation of a dosing weight for each medication based on the usefulness score, published pharmacokinetic properties, clinical studies available in the primary literature, and consideration of clinical consequences of underdosing or overdosing. Results. A total of 113 medications were evaluated, and 122 discrete citations, supporting 66 medications, were reviewed. Seventy-two percent of citations had general obesity dosing information, and 13% had pediatric-specific information. The overall mean usefulness score was 5.1 +/- 4.7 (median, 7). The decision support tool was incorporated to make final dosing weight recommendations for obese children. Ultimately, total body weight was recommended for 52 medications, adjusted weight for 43 medications, and ideal body weight for 18 medications. Conclusion. The inadequacy of obesity dosing information for most medications commonly ordered for children admitted to a pediatric intensive care unit led to the development of a decision support tool to aid in formulating dosing recommendations.","author":[{"dropping-particle":"","family":"Ross","given":"Emma L.","non-dropping-particle":"","parse-names":false,"suffix":""},{"dropping-particle":"","family":"Heizer","given":"Justin","non-dropping-particle":"","parse-names":false,"suffix":""},{"dropping-particle":"","family":"Mixon","given":"Mark A.","non-dropping-particle":"","parse-names":false,"suffix":""},{"dropping-particle":"","family":"Jorgensen","given":"Jennifer","non-dropping-particle":"","parse-names":false,"suffix":""},{"dropping-particle":"","family":"Valdez","given":"Connie A.","non-dropping-particle":"","parse-names":false,"suffix":""},{"dropping-particle":"","family":"Czaja","given":"Angela S.","non-dropping-particle":"","parse-names":false,"suffix":""},{"dropping-particle":"","family":"Reiter","given":"Pamela D.","non-dropping-particle":"","parse-names":false,"suffix":""}],"container-title":"American Journal of Health-System Pharmacy","id":"ITEM-1","issue":"7","issued":{"date-parts":[["2015"]]},"page":"542-556","title":"Development of recommendations for dosing of commonly prescribed medications in critically ill obese children","type":"article","volume":"72"},"uris":["http://www.mendeley.com/documents/?uuid=09e33da6-0013-4bd3-9a3c-636323ab7765"]}],"mendeley":{"formattedCitation":"(17)","plainTextFormattedCitation":"(17)","previouslyFormattedCitation":"(17)"},"properties":{"noteIndex":0},"schema":"https://github.com/citation-style-language/schema/raw/master/csl-citation.json"}</w:instrText>
            </w:r>
            <w:r w:rsidRPr="00B67CA5">
              <w:rPr>
                <w:rFonts w:cstheme="minorHAnsi"/>
                <w:noProof/>
                <w:color w:val="000000" w:themeColor="text1"/>
              </w:rPr>
              <w:fldChar w:fldCharType="separate"/>
            </w:r>
            <w:r w:rsidRPr="00B67CA5">
              <w:rPr>
                <w:rFonts w:cstheme="minorHAnsi"/>
                <w:noProof/>
                <w:color w:val="000000" w:themeColor="text1"/>
              </w:rPr>
              <w:t>(17)</w:t>
            </w:r>
            <w:r w:rsidRPr="00B67CA5">
              <w:rPr>
                <w:rFonts w:cstheme="minorHAnsi"/>
                <w:noProof/>
                <w:color w:val="000000" w:themeColor="text1"/>
              </w:rPr>
              <w:fldChar w:fldCharType="end"/>
            </w:r>
          </w:p>
        </w:tc>
      </w:tr>
    </w:tbl>
    <w:p w14:paraId="1759D214" w14:textId="77777777" w:rsidR="00A2404B" w:rsidRDefault="00A2404B" w:rsidP="000416C9">
      <w:pPr>
        <w:rPr>
          <w:rFonts w:eastAsiaTheme="majorEastAsia" w:cstheme="minorHAnsi"/>
          <w:color w:val="729928" w:themeColor="accent1" w:themeShade="BF"/>
        </w:rPr>
      </w:pPr>
    </w:p>
    <w:p w14:paraId="6CEA8595" w14:textId="6BDD0A27" w:rsidR="00C44A80" w:rsidRPr="00ED3894" w:rsidRDefault="00743A8A" w:rsidP="00ED3894">
      <w:pPr>
        <w:tabs>
          <w:tab w:val="left" w:pos="7468"/>
        </w:tabs>
        <w:rPr>
          <w:rFonts w:eastAsiaTheme="majorEastAsia" w:cstheme="minorHAnsi"/>
        </w:rPr>
        <w:sectPr w:rsidR="00C44A80" w:rsidRPr="00ED3894" w:rsidSect="004B081B">
          <w:pgSz w:w="16838" w:h="11906" w:orient="landscape"/>
          <w:pgMar w:top="1440" w:right="1440" w:bottom="1440" w:left="1440" w:header="709" w:footer="709" w:gutter="0"/>
          <w:cols w:space="708"/>
          <w:docGrid w:linePitch="360"/>
        </w:sectPr>
      </w:pPr>
      <w:r>
        <w:rPr>
          <w:rFonts w:eastAsiaTheme="majorEastAsia" w:cstheme="minorHAnsi"/>
        </w:rPr>
        <w:tab/>
      </w:r>
    </w:p>
    <w:p w14:paraId="38AC926B" w14:textId="6E64143E" w:rsidR="009F5485" w:rsidRPr="00F95907" w:rsidRDefault="009F5485" w:rsidP="00743A8A">
      <w:pPr>
        <w:rPr>
          <w:rFonts w:cstheme="minorHAnsi"/>
        </w:rPr>
      </w:pPr>
    </w:p>
    <w:sectPr w:rsidR="009F5485" w:rsidRPr="00F95907" w:rsidSect="002013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271A0" w14:textId="77777777" w:rsidR="001D0005" w:rsidRDefault="001D0005" w:rsidP="00380BC8">
      <w:pPr>
        <w:spacing w:after="0" w:line="240" w:lineRule="auto"/>
      </w:pPr>
      <w:r>
        <w:separator/>
      </w:r>
    </w:p>
  </w:endnote>
  <w:endnote w:type="continuationSeparator" w:id="0">
    <w:p w14:paraId="3B069CEC" w14:textId="77777777" w:rsidR="001D0005" w:rsidRDefault="001D0005" w:rsidP="00380BC8">
      <w:pPr>
        <w:spacing w:after="0" w:line="240" w:lineRule="auto"/>
      </w:pPr>
      <w:r>
        <w:continuationSeparator/>
      </w:r>
    </w:p>
  </w:endnote>
  <w:endnote w:type="continuationNotice" w:id="1">
    <w:p w14:paraId="3DAF584C" w14:textId="77777777" w:rsidR="001D0005" w:rsidRDefault="001D00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72262"/>
      <w:docPartObj>
        <w:docPartGallery w:val="Page Numbers (Bottom of Page)"/>
        <w:docPartUnique/>
      </w:docPartObj>
    </w:sdtPr>
    <w:sdtEndPr>
      <w:rPr>
        <w:noProof/>
      </w:rPr>
    </w:sdtEndPr>
    <w:sdtContent>
      <w:p w14:paraId="493FDB12" w14:textId="1B712E71" w:rsidR="00B825BB" w:rsidRDefault="00B825BB">
        <w:pPr>
          <w:pStyle w:val="Footer"/>
          <w:jc w:val="center"/>
        </w:pPr>
        <w:r>
          <w:fldChar w:fldCharType="begin"/>
        </w:r>
        <w:r>
          <w:instrText xml:space="preserve"> PAGE   \* MERGEFORMAT </w:instrText>
        </w:r>
        <w:r>
          <w:fldChar w:fldCharType="separate"/>
        </w:r>
        <w:r w:rsidR="00441CBE">
          <w:rPr>
            <w:noProof/>
          </w:rPr>
          <w:t>18</w:t>
        </w:r>
        <w:r>
          <w:rPr>
            <w:noProof/>
          </w:rPr>
          <w:fldChar w:fldCharType="end"/>
        </w:r>
      </w:p>
    </w:sdtContent>
  </w:sdt>
  <w:p w14:paraId="31C423EC" w14:textId="77777777" w:rsidR="00B825BB" w:rsidRDefault="00B82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BD2E2" w14:textId="77777777" w:rsidR="001D0005" w:rsidRDefault="001D0005" w:rsidP="00380BC8">
      <w:pPr>
        <w:spacing w:after="0" w:line="240" w:lineRule="auto"/>
      </w:pPr>
      <w:r>
        <w:separator/>
      </w:r>
    </w:p>
  </w:footnote>
  <w:footnote w:type="continuationSeparator" w:id="0">
    <w:p w14:paraId="1E92083D" w14:textId="77777777" w:rsidR="001D0005" w:rsidRDefault="001D0005" w:rsidP="00380BC8">
      <w:pPr>
        <w:spacing w:after="0" w:line="240" w:lineRule="auto"/>
      </w:pPr>
      <w:r>
        <w:continuationSeparator/>
      </w:r>
    </w:p>
  </w:footnote>
  <w:footnote w:type="continuationNotice" w:id="1">
    <w:p w14:paraId="7CF84F0F" w14:textId="77777777" w:rsidR="001D0005" w:rsidRDefault="001D00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F80"/>
    <w:multiLevelType w:val="hybridMultilevel"/>
    <w:tmpl w:val="679E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15847"/>
    <w:multiLevelType w:val="hybridMultilevel"/>
    <w:tmpl w:val="CB400EA8"/>
    <w:lvl w:ilvl="0" w:tplc="C9D8FD02">
      <w:start w:val="1"/>
      <w:numFmt w:val="bullet"/>
      <w:lvlText w:val=""/>
      <w:lvlJc w:val="left"/>
      <w:pPr>
        <w:tabs>
          <w:tab w:val="num" w:pos="720"/>
        </w:tabs>
        <w:ind w:left="720" w:hanging="360"/>
      </w:pPr>
      <w:rPr>
        <w:rFonts w:ascii="Wingdings 2" w:hAnsi="Wingdings 2" w:hint="default"/>
      </w:rPr>
    </w:lvl>
    <w:lvl w:ilvl="1" w:tplc="E7F8BC7C" w:tentative="1">
      <w:start w:val="1"/>
      <w:numFmt w:val="bullet"/>
      <w:lvlText w:val=""/>
      <w:lvlJc w:val="left"/>
      <w:pPr>
        <w:tabs>
          <w:tab w:val="num" w:pos="1440"/>
        </w:tabs>
        <w:ind w:left="1440" w:hanging="360"/>
      </w:pPr>
      <w:rPr>
        <w:rFonts w:ascii="Wingdings 2" w:hAnsi="Wingdings 2" w:hint="default"/>
      </w:rPr>
    </w:lvl>
    <w:lvl w:ilvl="2" w:tplc="76F8685A" w:tentative="1">
      <w:start w:val="1"/>
      <w:numFmt w:val="bullet"/>
      <w:lvlText w:val=""/>
      <w:lvlJc w:val="left"/>
      <w:pPr>
        <w:tabs>
          <w:tab w:val="num" w:pos="2160"/>
        </w:tabs>
        <w:ind w:left="2160" w:hanging="360"/>
      </w:pPr>
      <w:rPr>
        <w:rFonts w:ascii="Wingdings 2" w:hAnsi="Wingdings 2" w:hint="default"/>
      </w:rPr>
    </w:lvl>
    <w:lvl w:ilvl="3" w:tplc="A770F77C" w:tentative="1">
      <w:start w:val="1"/>
      <w:numFmt w:val="bullet"/>
      <w:lvlText w:val=""/>
      <w:lvlJc w:val="left"/>
      <w:pPr>
        <w:tabs>
          <w:tab w:val="num" w:pos="2880"/>
        </w:tabs>
        <w:ind w:left="2880" w:hanging="360"/>
      </w:pPr>
      <w:rPr>
        <w:rFonts w:ascii="Wingdings 2" w:hAnsi="Wingdings 2" w:hint="default"/>
      </w:rPr>
    </w:lvl>
    <w:lvl w:ilvl="4" w:tplc="FB580E20" w:tentative="1">
      <w:start w:val="1"/>
      <w:numFmt w:val="bullet"/>
      <w:lvlText w:val=""/>
      <w:lvlJc w:val="left"/>
      <w:pPr>
        <w:tabs>
          <w:tab w:val="num" w:pos="3600"/>
        </w:tabs>
        <w:ind w:left="3600" w:hanging="360"/>
      </w:pPr>
      <w:rPr>
        <w:rFonts w:ascii="Wingdings 2" w:hAnsi="Wingdings 2" w:hint="default"/>
      </w:rPr>
    </w:lvl>
    <w:lvl w:ilvl="5" w:tplc="633A20B4" w:tentative="1">
      <w:start w:val="1"/>
      <w:numFmt w:val="bullet"/>
      <w:lvlText w:val=""/>
      <w:lvlJc w:val="left"/>
      <w:pPr>
        <w:tabs>
          <w:tab w:val="num" w:pos="4320"/>
        </w:tabs>
        <w:ind w:left="4320" w:hanging="360"/>
      </w:pPr>
      <w:rPr>
        <w:rFonts w:ascii="Wingdings 2" w:hAnsi="Wingdings 2" w:hint="default"/>
      </w:rPr>
    </w:lvl>
    <w:lvl w:ilvl="6" w:tplc="10807D6C" w:tentative="1">
      <w:start w:val="1"/>
      <w:numFmt w:val="bullet"/>
      <w:lvlText w:val=""/>
      <w:lvlJc w:val="left"/>
      <w:pPr>
        <w:tabs>
          <w:tab w:val="num" w:pos="5040"/>
        </w:tabs>
        <w:ind w:left="5040" w:hanging="360"/>
      </w:pPr>
      <w:rPr>
        <w:rFonts w:ascii="Wingdings 2" w:hAnsi="Wingdings 2" w:hint="default"/>
      </w:rPr>
    </w:lvl>
    <w:lvl w:ilvl="7" w:tplc="3EEC761C" w:tentative="1">
      <w:start w:val="1"/>
      <w:numFmt w:val="bullet"/>
      <w:lvlText w:val=""/>
      <w:lvlJc w:val="left"/>
      <w:pPr>
        <w:tabs>
          <w:tab w:val="num" w:pos="5760"/>
        </w:tabs>
        <w:ind w:left="5760" w:hanging="360"/>
      </w:pPr>
      <w:rPr>
        <w:rFonts w:ascii="Wingdings 2" w:hAnsi="Wingdings 2" w:hint="default"/>
      </w:rPr>
    </w:lvl>
    <w:lvl w:ilvl="8" w:tplc="6A38653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9594721"/>
    <w:multiLevelType w:val="hybridMultilevel"/>
    <w:tmpl w:val="11C8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91531"/>
    <w:multiLevelType w:val="hybridMultilevel"/>
    <w:tmpl w:val="4EAEE1E0"/>
    <w:lvl w:ilvl="0" w:tplc="7ECAA26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21AB4"/>
    <w:multiLevelType w:val="hybridMultilevel"/>
    <w:tmpl w:val="2D8CD582"/>
    <w:lvl w:ilvl="0" w:tplc="FFFFFFFF">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16DB5"/>
    <w:multiLevelType w:val="hybridMultilevel"/>
    <w:tmpl w:val="03727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AC2F23"/>
    <w:multiLevelType w:val="hybridMultilevel"/>
    <w:tmpl w:val="2F6E0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B75ACC"/>
    <w:multiLevelType w:val="hybridMultilevel"/>
    <w:tmpl w:val="A4D4EDEE"/>
    <w:lvl w:ilvl="0" w:tplc="0809000B">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6A6645D8">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CD7E04"/>
    <w:multiLevelType w:val="hybridMultilevel"/>
    <w:tmpl w:val="69380B38"/>
    <w:lvl w:ilvl="0" w:tplc="FFFFFFFF">
      <w:start w:val="5"/>
      <w:numFmt w:val="bullet"/>
      <w:lvlText w:val="-"/>
      <w:lvlJc w:val="left"/>
      <w:pPr>
        <w:ind w:left="360" w:hanging="360"/>
      </w:pPr>
      <w:rPr>
        <w:rFonts w:ascii="Calibri Light" w:eastAsiaTheme="minorHAnsi"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FD2464"/>
    <w:multiLevelType w:val="hybridMultilevel"/>
    <w:tmpl w:val="827AF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220D62"/>
    <w:multiLevelType w:val="hybridMultilevel"/>
    <w:tmpl w:val="4B66F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580B1C"/>
    <w:multiLevelType w:val="hybridMultilevel"/>
    <w:tmpl w:val="C682DDE2"/>
    <w:lvl w:ilvl="0" w:tplc="F7CE5F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4C612F"/>
    <w:multiLevelType w:val="hybridMultilevel"/>
    <w:tmpl w:val="49C8DC60"/>
    <w:lvl w:ilvl="0" w:tplc="F7CE5F6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EE7B92"/>
    <w:multiLevelType w:val="hybridMultilevel"/>
    <w:tmpl w:val="87D6A27A"/>
    <w:lvl w:ilvl="0" w:tplc="F7CE5F6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C5058B"/>
    <w:multiLevelType w:val="hybridMultilevel"/>
    <w:tmpl w:val="C6567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B33D15"/>
    <w:multiLevelType w:val="hybridMultilevel"/>
    <w:tmpl w:val="4DE8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EA1331"/>
    <w:multiLevelType w:val="hybridMultilevel"/>
    <w:tmpl w:val="D6261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D75240"/>
    <w:multiLevelType w:val="hybridMultilevel"/>
    <w:tmpl w:val="67B4F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DD008E"/>
    <w:multiLevelType w:val="hybridMultilevel"/>
    <w:tmpl w:val="EE48F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1C340C"/>
    <w:multiLevelType w:val="hybridMultilevel"/>
    <w:tmpl w:val="7C7AC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EC3FA5"/>
    <w:multiLevelType w:val="hybridMultilevel"/>
    <w:tmpl w:val="CA7C6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AD6F5A"/>
    <w:multiLevelType w:val="hybridMultilevel"/>
    <w:tmpl w:val="466A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3E4470"/>
    <w:multiLevelType w:val="hybridMultilevel"/>
    <w:tmpl w:val="6028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621A72"/>
    <w:multiLevelType w:val="hybridMultilevel"/>
    <w:tmpl w:val="8E1AEF56"/>
    <w:lvl w:ilvl="0" w:tplc="3CF294DA">
      <w:start w:val="1"/>
      <w:numFmt w:val="bullet"/>
      <w:lvlText w:val=""/>
      <w:lvlJc w:val="left"/>
      <w:pPr>
        <w:tabs>
          <w:tab w:val="num" w:pos="720"/>
        </w:tabs>
        <w:ind w:left="720" w:hanging="360"/>
      </w:pPr>
      <w:rPr>
        <w:rFonts w:ascii="Wingdings 2" w:hAnsi="Wingdings 2" w:hint="default"/>
      </w:rPr>
    </w:lvl>
    <w:lvl w:ilvl="1" w:tplc="F1B2EC74">
      <w:start w:val="1"/>
      <w:numFmt w:val="bullet"/>
      <w:lvlText w:val=""/>
      <w:lvlJc w:val="left"/>
      <w:pPr>
        <w:tabs>
          <w:tab w:val="num" w:pos="1440"/>
        </w:tabs>
        <w:ind w:left="1440" w:hanging="360"/>
      </w:pPr>
      <w:rPr>
        <w:rFonts w:ascii="Wingdings 2" w:hAnsi="Wingdings 2" w:hint="default"/>
      </w:rPr>
    </w:lvl>
    <w:lvl w:ilvl="2" w:tplc="D4B6E6DA" w:tentative="1">
      <w:start w:val="1"/>
      <w:numFmt w:val="bullet"/>
      <w:lvlText w:val=""/>
      <w:lvlJc w:val="left"/>
      <w:pPr>
        <w:tabs>
          <w:tab w:val="num" w:pos="2160"/>
        </w:tabs>
        <w:ind w:left="2160" w:hanging="360"/>
      </w:pPr>
      <w:rPr>
        <w:rFonts w:ascii="Wingdings 2" w:hAnsi="Wingdings 2" w:hint="default"/>
      </w:rPr>
    </w:lvl>
    <w:lvl w:ilvl="3" w:tplc="BEE0143A" w:tentative="1">
      <w:start w:val="1"/>
      <w:numFmt w:val="bullet"/>
      <w:lvlText w:val=""/>
      <w:lvlJc w:val="left"/>
      <w:pPr>
        <w:tabs>
          <w:tab w:val="num" w:pos="2880"/>
        </w:tabs>
        <w:ind w:left="2880" w:hanging="360"/>
      </w:pPr>
      <w:rPr>
        <w:rFonts w:ascii="Wingdings 2" w:hAnsi="Wingdings 2" w:hint="default"/>
      </w:rPr>
    </w:lvl>
    <w:lvl w:ilvl="4" w:tplc="37564C02" w:tentative="1">
      <w:start w:val="1"/>
      <w:numFmt w:val="bullet"/>
      <w:lvlText w:val=""/>
      <w:lvlJc w:val="left"/>
      <w:pPr>
        <w:tabs>
          <w:tab w:val="num" w:pos="3600"/>
        </w:tabs>
        <w:ind w:left="3600" w:hanging="360"/>
      </w:pPr>
      <w:rPr>
        <w:rFonts w:ascii="Wingdings 2" w:hAnsi="Wingdings 2" w:hint="default"/>
      </w:rPr>
    </w:lvl>
    <w:lvl w:ilvl="5" w:tplc="4DB2092C" w:tentative="1">
      <w:start w:val="1"/>
      <w:numFmt w:val="bullet"/>
      <w:lvlText w:val=""/>
      <w:lvlJc w:val="left"/>
      <w:pPr>
        <w:tabs>
          <w:tab w:val="num" w:pos="4320"/>
        </w:tabs>
        <w:ind w:left="4320" w:hanging="360"/>
      </w:pPr>
      <w:rPr>
        <w:rFonts w:ascii="Wingdings 2" w:hAnsi="Wingdings 2" w:hint="default"/>
      </w:rPr>
    </w:lvl>
    <w:lvl w:ilvl="6" w:tplc="4A5CFF06" w:tentative="1">
      <w:start w:val="1"/>
      <w:numFmt w:val="bullet"/>
      <w:lvlText w:val=""/>
      <w:lvlJc w:val="left"/>
      <w:pPr>
        <w:tabs>
          <w:tab w:val="num" w:pos="5040"/>
        </w:tabs>
        <w:ind w:left="5040" w:hanging="360"/>
      </w:pPr>
      <w:rPr>
        <w:rFonts w:ascii="Wingdings 2" w:hAnsi="Wingdings 2" w:hint="default"/>
      </w:rPr>
    </w:lvl>
    <w:lvl w:ilvl="7" w:tplc="3E6C1CC6" w:tentative="1">
      <w:start w:val="1"/>
      <w:numFmt w:val="bullet"/>
      <w:lvlText w:val=""/>
      <w:lvlJc w:val="left"/>
      <w:pPr>
        <w:tabs>
          <w:tab w:val="num" w:pos="5760"/>
        </w:tabs>
        <w:ind w:left="5760" w:hanging="360"/>
      </w:pPr>
      <w:rPr>
        <w:rFonts w:ascii="Wingdings 2" w:hAnsi="Wingdings 2" w:hint="default"/>
      </w:rPr>
    </w:lvl>
    <w:lvl w:ilvl="8" w:tplc="368863CC"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725564EB"/>
    <w:multiLevelType w:val="hybridMultilevel"/>
    <w:tmpl w:val="8F22B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8765A4"/>
    <w:multiLevelType w:val="hybridMultilevel"/>
    <w:tmpl w:val="464EB578"/>
    <w:lvl w:ilvl="0" w:tplc="35D231D2">
      <w:start w:val="1"/>
      <w:numFmt w:val="bullet"/>
      <w:lvlText w:val=""/>
      <w:lvlJc w:val="left"/>
      <w:pPr>
        <w:tabs>
          <w:tab w:val="num" w:pos="720"/>
        </w:tabs>
        <w:ind w:left="720" w:hanging="360"/>
      </w:pPr>
      <w:rPr>
        <w:rFonts w:ascii="Wingdings 2" w:hAnsi="Wingdings 2" w:hint="default"/>
      </w:rPr>
    </w:lvl>
    <w:lvl w:ilvl="1" w:tplc="D10E82F6" w:tentative="1">
      <w:start w:val="1"/>
      <w:numFmt w:val="bullet"/>
      <w:lvlText w:val=""/>
      <w:lvlJc w:val="left"/>
      <w:pPr>
        <w:tabs>
          <w:tab w:val="num" w:pos="1440"/>
        </w:tabs>
        <w:ind w:left="1440" w:hanging="360"/>
      </w:pPr>
      <w:rPr>
        <w:rFonts w:ascii="Wingdings 2" w:hAnsi="Wingdings 2" w:hint="default"/>
      </w:rPr>
    </w:lvl>
    <w:lvl w:ilvl="2" w:tplc="98CEACF2" w:tentative="1">
      <w:start w:val="1"/>
      <w:numFmt w:val="bullet"/>
      <w:lvlText w:val=""/>
      <w:lvlJc w:val="left"/>
      <w:pPr>
        <w:tabs>
          <w:tab w:val="num" w:pos="2160"/>
        </w:tabs>
        <w:ind w:left="2160" w:hanging="360"/>
      </w:pPr>
      <w:rPr>
        <w:rFonts w:ascii="Wingdings 2" w:hAnsi="Wingdings 2" w:hint="default"/>
      </w:rPr>
    </w:lvl>
    <w:lvl w:ilvl="3" w:tplc="3D60185E" w:tentative="1">
      <w:start w:val="1"/>
      <w:numFmt w:val="bullet"/>
      <w:lvlText w:val=""/>
      <w:lvlJc w:val="left"/>
      <w:pPr>
        <w:tabs>
          <w:tab w:val="num" w:pos="2880"/>
        </w:tabs>
        <w:ind w:left="2880" w:hanging="360"/>
      </w:pPr>
      <w:rPr>
        <w:rFonts w:ascii="Wingdings 2" w:hAnsi="Wingdings 2" w:hint="default"/>
      </w:rPr>
    </w:lvl>
    <w:lvl w:ilvl="4" w:tplc="251AAE80" w:tentative="1">
      <w:start w:val="1"/>
      <w:numFmt w:val="bullet"/>
      <w:lvlText w:val=""/>
      <w:lvlJc w:val="left"/>
      <w:pPr>
        <w:tabs>
          <w:tab w:val="num" w:pos="3600"/>
        </w:tabs>
        <w:ind w:left="3600" w:hanging="360"/>
      </w:pPr>
      <w:rPr>
        <w:rFonts w:ascii="Wingdings 2" w:hAnsi="Wingdings 2" w:hint="default"/>
      </w:rPr>
    </w:lvl>
    <w:lvl w:ilvl="5" w:tplc="D71AA5DE" w:tentative="1">
      <w:start w:val="1"/>
      <w:numFmt w:val="bullet"/>
      <w:lvlText w:val=""/>
      <w:lvlJc w:val="left"/>
      <w:pPr>
        <w:tabs>
          <w:tab w:val="num" w:pos="4320"/>
        </w:tabs>
        <w:ind w:left="4320" w:hanging="360"/>
      </w:pPr>
      <w:rPr>
        <w:rFonts w:ascii="Wingdings 2" w:hAnsi="Wingdings 2" w:hint="default"/>
      </w:rPr>
    </w:lvl>
    <w:lvl w:ilvl="6" w:tplc="DEE228C2" w:tentative="1">
      <w:start w:val="1"/>
      <w:numFmt w:val="bullet"/>
      <w:lvlText w:val=""/>
      <w:lvlJc w:val="left"/>
      <w:pPr>
        <w:tabs>
          <w:tab w:val="num" w:pos="5040"/>
        </w:tabs>
        <w:ind w:left="5040" w:hanging="360"/>
      </w:pPr>
      <w:rPr>
        <w:rFonts w:ascii="Wingdings 2" w:hAnsi="Wingdings 2" w:hint="default"/>
      </w:rPr>
    </w:lvl>
    <w:lvl w:ilvl="7" w:tplc="277C2DAA" w:tentative="1">
      <w:start w:val="1"/>
      <w:numFmt w:val="bullet"/>
      <w:lvlText w:val=""/>
      <w:lvlJc w:val="left"/>
      <w:pPr>
        <w:tabs>
          <w:tab w:val="num" w:pos="5760"/>
        </w:tabs>
        <w:ind w:left="5760" w:hanging="360"/>
      </w:pPr>
      <w:rPr>
        <w:rFonts w:ascii="Wingdings 2" w:hAnsi="Wingdings 2" w:hint="default"/>
      </w:rPr>
    </w:lvl>
    <w:lvl w:ilvl="8" w:tplc="4D4AA7DA"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76D47FED"/>
    <w:multiLevelType w:val="hybridMultilevel"/>
    <w:tmpl w:val="E89EA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267518"/>
    <w:multiLevelType w:val="hybridMultilevel"/>
    <w:tmpl w:val="D7F6B404"/>
    <w:lvl w:ilvl="0" w:tplc="F7CE5F6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A12140"/>
    <w:multiLevelType w:val="hybridMultilevel"/>
    <w:tmpl w:val="B3E27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0004805">
    <w:abstractNumId w:val="6"/>
  </w:num>
  <w:num w:numId="2" w16cid:durableId="262803009">
    <w:abstractNumId w:val="26"/>
  </w:num>
  <w:num w:numId="3" w16cid:durableId="1354960370">
    <w:abstractNumId w:val="1"/>
  </w:num>
  <w:num w:numId="4" w16cid:durableId="1748768062">
    <w:abstractNumId w:val="7"/>
  </w:num>
  <w:num w:numId="5" w16cid:durableId="1210723561">
    <w:abstractNumId w:val="23"/>
  </w:num>
  <w:num w:numId="6" w16cid:durableId="499002416">
    <w:abstractNumId w:val="25"/>
  </w:num>
  <w:num w:numId="7" w16cid:durableId="1215506916">
    <w:abstractNumId w:val="13"/>
  </w:num>
  <w:num w:numId="8" w16cid:durableId="1209953960">
    <w:abstractNumId w:val="12"/>
  </w:num>
  <w:num w:numId="9" w16cid:durableId="1519352535">
    <w:abstractNumId w:val="11"/>
  </w:num>
  <w:num w:numId="10" w16cid:durableId="107553269">
    <w:abstractNumId w:val="27"/>
  </w:num>
  <w:num w:numId="11" w16cid:durableId="604773027">
    <w:abstractNumId w:val="21"/>
  </w:num>
  <w:num w:numId="12" w16cid:durableId="285695012">
    <w:abstractNumId w:val="14"/>
  </w:num>
  <w:num w:numId="13" w16cid:durableId="486437780">
    <w:abstractNumId w:val="28"/>
  </w:num>
  <w:num w:numId="14" w16cid:durableId="1559391030">
    <w:abstractNumId w:val="0"/>
  </w:num>
  <w:num w:numId="15" w16cid:durableId="406342839">
    <w:abstractNumId w:val="9"/>
  </w:num>
  <w:num w:numId="16" w16cid:durableId="1399473795">
    <w:abstractNumId w:val="17"/>
  </w:num>
  <w:num w:numId="17" w16cid:durableId="579755351">
    <w:abstractNumId w:val="22"/>
  </w:num>
  <w:num w:numId="18" w16cid:durableId="773329704">
    <w:abstractNumId w:val="18"/>
  </w:num>
  <w:num w:numId="19" w16cid:durableId="1718313013">
    <w:abstractNumId w:val="16"/>
  </w:num>
  <w:num w:numId="20" w16cid:durableId="1142431807">
    <w:abstractNumId w:val="2"/>
  </w:num>
  <w:num w:numId="21" w16cid:durableId="561984295">
    <w:abstractNumId w:val="20"/>
  </w:num>
  <w:num w:numId="22" w16cid:durableId="1621955253">
    <w:abstractNumId w:val="4"/>
  </w:num>
  <w:num w:numId="23" w16cid:durableId="1872525043">
    <w:abstractNumId w:val="8"/>
  </w:num>
  <w:num w:numId="24" w16cid:durableId="1365985131">
    <w:abstractNumId w:val="10"/>
  </w:num>
  <w:num w:numId="25" w16cid:durableId="2044399810">
    <w:abstractNumId w:val="5"/>
  </w:num>
  <w:num w:numId="26" w16cid:durableId="189295885">
    <w:abstractNumId w:val="24"/>
  </w:num>
  <w:num w:numId="27" w16cid:durableId="1385367491">
    <w:abstractNumId w:val="19"/>
  </w:num>
  <w:num w:numId="28" w16cid:durableId="1993362644">
    <w:abstractNumId w:val="3"/>
  </w:num>
  <w:num w:numId="29" w16cid:durableId="1934666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221"/>
    <w:rsid w:val="00000547"/>
    <w:rsid w:val="000006C1"/>
    <w:rsid w:val="00000E13"/>
    <w:rsid w:val="00000E44"/>
    <w:rsid w:val="0000153B"/>
    <w:rsid w:val="0000174D"/>
    <w:rsid w:val="00001CDA"/>
    <w:rsid w:val="000023A7"/>
    <w:rsid w:val="00003ADA"/>
    <w:rsid w:val="00003CBE"/>
    <w:rsid w:val="00004363"/>
    <w:rsid w:val="00004BE1"/>
    <w:rsid w:val="00004CA8"/>
    <w:rsid w:val="0000640D"/>
    <w:rsid w:val="0001047F"/>
    <w:rsid w:val="00010F73"/>
    <w:rsid w:val="000115A0"/>
    <w:rsid w:val="00012EEE"/>
    <w:rsid w:val="00013F3E"/>
    <w:rsid w:val="00014051"/>
    <w:rsid w:val="000148F1"/>
    <w:rsid w:val="000150D9"/>
    <w:rsid w:val="000156D9"/>
    <w:rsid w:val="00015D18"/>
    <w:rsid w:val="0001677F"/>
    <w:rsid w:val="00016C8B"/>
    <w:rsid w:val="00020501"/>
    <w:rsid w:val="0002068E"/>
    <w:rsid w:val="0002099A"/>
    <w:rsid w:val="00020C55"/>
    <w:rsid w:val="0002356E"/>
    <w:rsid w:val="00023777"/>
    <w:rsid w:val="000259C2"/>
    <w:rsid w:val="00026C63"/>
    <w:rsid w:val="0002726D"/>
    <w:rsid w:val="00030A23"/>
    <w:rsid w:val="0003190B"/>
    <w:rsid w:val="000328E8"/>
    <w:rsid w:val="00032B0C"/>
    <w:rsid w:val="00032EB9"/>
    <w:rsid w:val="0003394C"/>
    <w:rsid w:val="00034287"/>
    <w:rsid w:val="00034A13"/>
    <w:rsid w:val="0003503A"/>
    <w:rsid w:val="0003691C"/>
    <w:rsid w:val="0003698F"/>
    <w:rsid w:val="00036F6E"/>
    <w:rsid w:val="00037888"/>
    <w:rsid w:val="00037A69"/>
    <w:rsid w:val="00040250"/>
    <w:rsid w:val="00040D6E"/>
    <w:rsid w:val="000416C9"/>
    <w:rsid w:val="00043491"/>
    <w:rsid w:val="0004403D"/>
    <w:rsid w:val="00046151"/>
    <w:rsid w:val="00046DB6"/>
    <w:rsid w:val="0004706F"/>
    <w:rsid w:val="000471ED"/>
    <w:rsid w:val="00047361"/>
    <w:rsid w:val="000473F8"/>
    <w:rsid w:val="00047635"/>
    <w:rsid w:val="000477F5"/>
    <w:rsid w:val="00047F20"/>
    <w:rsid w:val="00050A16"/>
    <w:rsid w:val="00051793"/>
    <w:rsid w:val="00052E10"/>
    <w:rsid w:val="00052F44"/>
    <w:rsid w:val="000541D2"/>
    <w:rsid w:val="0005488A"/>
    <w:rsid w:val="000550AC"/>
    <w:rsid w:val="00060183"/>
    <w:rsid w:val="0006097B"/>
    <w:rsid w:val="00061446"/>
    <w:rsid w:val="000622C6"/>
    <w:rsid w:val="000628C9"/>
    <w:rsid w:val="00062EFA"/>
    <w:rsid w:val="00062F5F"/>
    <w:rsid w:val="00063E32"/>
    <w:rsid w:val="00064565"/>
    <w:rsid w:val="0006483F"/>
    <w:rsid w:val="0006490C"/>
    <w:rsid w:val="00066170"/>
    <w:rsid w:val="00066AD1"/>
    <w:rsid w:val="00066C8C"/>
    <w:rsid w:val="00067286"/>
    <w:rsid w:val="00067701"/>
    <w:rsid w:val="00067C4D"/>
    <w:rsid w:val="00070B95"/>
    <w:rsid w:val="00070E3F"/>
    <w:rsid w:val="00070E94"/>
    <w:rsid w:val="00071184"/>
    <w:rsid w:val="0007254B"/>
    <w:rsid w:val="000728B4"/>
    <w:rsid w:val="0007380A"/>
    <w:rsid w:val="000763D8"/>
    <w:rsid w:val="00080210"/>
    <w:rsid w:val="0008107C"/>
    <w:rsid w:val="000816A2"/>
    <w:rsid w:val="00083BC7"/>
    <w:rsid w:val="00085FC6"/>
    <w:rsid w:val="00086185"/>
    <w:rsid w:val="00087388"/>
    <w:rsid w:val="00091E8C"/>
    <w:rsid w:val="0009274C"/>
    <w:rsid w:val="00094249"/>
    <w:rsid w:val="00094810"/>
    <w:rsid w:val="000952E8"/>
    <w:rsid w:val="000955D8"/>
    <w:rsid w:val="0009568A"/>
    <w:rsid w:val="000956FB"/>
    <w:rsid w:val="00095D49"/>
    <w:rsid w:val="0009671A"/>
    <w:rsid w:val="000A03C0"/>
    <w:rsid w:val="000A1E5C"/>
    <w:rsid w:val="000A2FFB"/>
    <w:rsid w:val="000A3399"/>
    <w:rsid w:val="000A38C1"/>
    <w:rsid w:val="000A3B23"/>
    <w:rsid w:val="000A3E04"/>
    <w:rsid w:val="000A50FA"/>
    <w:rsid w:val="000A58EA"/>
    <w:rsid w:val="000A7DA8"/>
    <w:rsid w:val="000B069B"/>
    <w:rsid w:val="000B0EBF"/>
    <w:rsid w:val="000B186C"/>
    <w:rsid w:val="000B19E3"/>
    <w:rsid w:val="000B1CBF"/>
    <w:rsid w:val="000B1E4F"/>
    <w:rsid w:val="000B2E05"/>
    <w:rsid w:val="000B2E24"/>
    <w:rsid w:val="000B3A3F"/>
    <w:rsid w:val="000B3E52"/>
    <w:rsid w:val="000B4BCC"/>
    <w:rsid w:val="000B4DEC"/>
    <w:rsid w:val="000B636F"/>
    <w:rsid w:val="000B7384"/>
    <w:rsid w:val="000B779B"/>
    <w:rsid w:val="000B78EE"/>
    <w:rsid w:val="000B7A82"/>
    <w:rsid w:val="000B7E3C"/>
    <w:rsid w:val="000C0064"/>
    <w:rsid w:val="000C038D"/>
    <w:rsid w:val="000C0777"/>
    <w:rsid w:val="000C14F9"/>
    <w:rsid w:val="000C2E9A"/>
    <w:rsid w:val="000C40BD"/>
    <w:rsid w:val="000C46DE"/>
    <w:rsid w:val="000C4C59"/>
    <w:rsid w:val="000C53DA"/>
    <w:rsid w:val="000C5F60"/>
    <w:rsid w:val="000C6A16"/>
    <w:rsid w:val="000C75E9"/>
    <w:rsid w:val="000D015D"/>
    <w:rsid w:val="000D035F"/>
    <w:rsid w:val="000D073F"/>
    <w:rsid w:val="000D0839"/>
    <w:rsid w:val="000D0DD9"/>
    <w:rsid w:val="000D191A"/>
    <w:rsid w:val="000D2BE0"/>
    <w:rsid w:val="000D3428"/>
    <w:rsid w:val="000D36D7"/>
    <w:rsid w:val="000D4B50"/>
    <w:rsid w:val="000D556A"/>
    <w:rsid w:val="000E2AA4"/>
    <w:rsid w:val="000E2E50"/>
    <w:rsid w:val="000E548D"/>
    <w:rsid w:val="000E5719"/>
    <w:rsid w:val="000E7080"/>
    <w:rsid w:val="000E775A"/>
    <w:rsid w:val="000E7C62"/>
    <w:rsid w:val="000F1662"/>
    <w:rsid w:val="000F1ABF"/>
    <w:rsid w:val="000F3D84"/>
    <w:rsid w:val="000F46D9"/>
    <w:rsid w:val="000F5700"/>
    <w:rsid w:val="000F594D"/>
    <w:rsid w:val="000F69E9"/>
    <w:rsid w:val="000F6DB9"/>
    <w:rsid w:val="000F7C17"/>
    <w:rsid w:val="000F7ED0"/>
    <w:rsid w:val="00100602"/>
    <w:rsid w:val="0010061F"/>
    <w:rsid w:val="00101D42"/>
    <w:rsid w:val="00102294"/>
    <w:rsid w:val="0010250A"/>
    <w:rsid w:val="00105E9F"/>
    <w:rsid w:val="0010682B"/>
    <w:rsid w:val="00107EA6"/>
    <w:rsid w:val="001106D1"/>
    <w:rsid w:val="00110A60"/>
    <w:rsid w:val="00110C19"/>
    <w:rsid w:val="0011181C"/>
    <w:rsid w:val="00111B85"/>
    <w:rsid w:val="001130A0"/>
    <w:rsid w:val="001139AF"/>
    <w:rsid w:val="001152BF"/>
    <w:rsid w:val="00116068"/>
    <w:rsid w:val="00116A51"/>
    <w:rsid w:val="00116FF2"/>
    <w:rsid w:val="001176DF"/>
    <w:rsid w:val="00120AA2"/>
    <w:rsid w:val="0012125A"/>
    <w:rsid w:val="0012175F"/>
    <w:rsid w:val="00121A04"/>
    <w:rsid w:val="0012251C"/>
    <w:rsid w:val="00124382"/>
    <w:rsid w:val="0012620C"/>
    <w:rsid w:val="00127506"/>
    <w:rsid w:val="0013021D"/>
    <w:rsid w:val="00131F10"/>
    <w:rsid w:val="00132693"/>
    <w:rsid w:val="0013293C"/>
    <w:rsid w:val="00133A33"/>
    <w:rsid w:val="0013478B"/>
    <w:rsid w:val="00134DD3"/>
    <w:rsid w:val="00135AB2"/>
    <w:rsid w:val="00136E1C"/>
    <w:rsid w:val="001379E8"/>
    <w:rsid w:val="00137D6B"/>
    <w:rsid w:val="0014072D"/>
    <w:rsid w:val="00141271"/>
    <w:rsid w:val="001421D6"/>
    <w:rsid w:val="001438EB"/>
    <w:rsid w:val="00143CED"/>
    <w:rsid w:val="00144548"/>
    <w:rsid w:val="00144969"/>
    <w:rsid w:val="00144A69"/>
    <w:rsid w:val="00145E0E"/>
    <w:rsid w:val="0014712B"/>
    <w:rsid w:val="00151BEA"/>
    <w:rsid w:val="00151CD4"/>
    <w:rsid w:val="001528A5"/>
    <w:rsid w:val="001528C9"/>
    <w:rsid w:val="001533B0"/>
    <w:rsid w:val="00153D1F"/>
    <w:rsid w:val="001540DC"/>
    <w:rsid w:val="001578B2"/>
    <w:rsid w:val="00157DA0"/>
    <w:rsid w:val="0016052B"/>
    <w:rsid w:val="00161D18"/>
    <w:rsid w:val="0016236D"/>
    <w:rsid w:val="001629FF"/>
    <w:rsid w:val="0016353D"/>
    <w:rsid w:val="00163CFC"/>
    <w:rsid w:val="001643EA"/>
    <w:rsid w:val="00164CFC"/>
    <w:rsid w:val="001668D0"/>
    <w:rsid w:val="00166C2D"/>
    <w:rsid w:val="001672FD"/>
    <w:rsid w:val="001676DA"/>
    <w:rsid w:val="001677BC"/>
    <w:rsid w:val="00167D68"/>
    <w:rsid w:val="00170D1A"/>
    <w:rsid w:val="00171419"/>
    <w:rsid w:val="00171CE5"/>
    <w:rsid w:val="00172197"/>
    <w:rsid w:val="001725D9"/>
    <w:rsid w:val="0017321E"/>
    <w:rsid w:val="00173821"/>
    <w:rsid w:val="00173DB8"/>
    <w:rsid w:val="001741E4"/>
    <w:rsid w:val="001764A0"/>
    <w:rsid w:val="00176DA8"/>
    <w:rsid w:val="001773BE"/>
    <w:rsid w:val="0017754F"/>
    <w:rsid w:val="00177BC2"/>
    <w:rsid w:val="00180D9F"/>
    <w:rsid w:val="0018203B"/>
    <w:rsid w:val="00182648"/>
    <w:rsid w:val="00182A9E"/>
    <w:rsid w:val="001839E3"/>
    <w:rsid w:val="001846E5"/>
    <w:rsid w:val="0018483A"/>
    <w:rsid w:val="00185454"/>
    <w:rsid w:val="001859AF"/>
    <w:rsid w:val="00185C48"/>
    <w:rsid w:val="00187F50"/>
    <w:rsid w:val="00190907"/>
    <w:rsid w:val="00190BA5"/>
    <w:rsid w:val="00192BFF"/>
    <w:rsid w:val="00192C4F"/>
    <w:rsid w:val="00193F21"/>
    <w:rsid w:val="00194280"/>
    <w:rsid w:val="00194A0E"/>
    <w:rsid w:val="0019546A"/>
    <w:rsid w:val="00196F73"/>
    <w:rsid w:val="00197273"/>
    <w:rsid w:val="0019771D"/>
    <w:rsid w:val="00197CF3"/>
    <w:rsid w:val="00197D72"/>
    <w:rsid w:val="001A0353"/>
    <w:rsid w:val="001A0957"/>
    <w:rsid w:val="001A17A0"/>
    <w:rsid w:val="001A2028"/>
    <w:rsid w:val="001A2409"/>
    <w:rsid w:val="001A2F68"/>
    <w:rsid w:val="001A39C4"/>
    <w:rsid w:val="001A41B6"/>
    <w:rsid w:val="001A4AA3"/>
    <w:rsid w:val="001A4E31"/>
    <w:rsid w:val="001A5136"/>
    <w:rsid w:val="001A5478"/>
    <w:rsid w:val="001A5C2C"/>
    <w:rsid w:val="001A60D3"/>
    <w:rsid w:val="001A67CB"/>
    <w:rsid w:val="001A6FE4"/>
    <w:rsid w:val="001A7D80"/>
    <w:rsid w:val="001B0872"/>
    <w:rsid w:val="001B275D"/>
    <w:rsid w:val="001B3283"/>
    <w:rsid w:val="001B47C2"/>
    <w:rsid w:val="001B4A9F"/>
    <w:rsid w:val="001B4E9C"/>
    <w:rsid w:val="001B546D"/>
    <w:rsid w:val="001B55B2"/>
    <w:rsid w:val="001B571A"/>
    <w:rsid w:val="001B5AA8"/>
    <w:rsid w:val="001B5BD5"/>
    <w:rsid w:val="001B5E23"/>
    <w:rsid w:val="001B5E72"/>
    <w:rsid w:val="001C0042"/>
    <w:rsid w:val="001C1A09"/>
    <w:rsid w:val="001C1E62"/>
    <w:rsid w:val="001C2741"/>
    <w:rsid w:val="001C2868"/>
    <w:rsid w:val="001C3241"/>
    <w:rsid w:val="001C3747"/>
    <w:rsid w:val="001C43BC"/>
    <w:rsid w:val="001C480E"/>
    <w:rsid w:val="001C5037"/>
    <w:rsid w:val="001C5AD7"/>
    <w:rsid w:val="001C5EEC"/>
    <w:rsid w:val="001C7561"/>
    <w:rsid w:val="001C790E"/>
    <w:rsid w:val="001C7F00"/>
    <w:rsid w:val="001D0005"/>
    <w:rsid w:val="001D0715"/>
    <w:rsid w:val="001D0785"/>
    <w:rsid w:val="001D13DA"/>
    <w:rsid w:val="001D1AEB"/>
    <w:rsid w:val="001D2542"/>
    <w:rsid w:val="001D3026"/>
    <w:rsid w:val="001D320E"/>
    <w:rsid w:val="001D3221"/>
    <w:rsid w:val="001D4520"/>
    <w:rsid w:val="001D5878"/>
    <w:rsid w:val="001D5DAF"/>
    <w:rsid w:val="001D61F3"/>
    <w:rsid w:val="001D6789"/>
    <w:rsid w:val="001D7400"/>
    <w:rsid w:val="001E0413"/>
    <w:rsid w:val="001E0696"/>
    <w:rsid w:val="001E1F66"/>
    <w:rsid w:val="001E2DFC"/>
    <w:rsid w:val="001E3411"/>
    <w:rsid w:val="001E3B49"/>
    <w:rsid w:val="001E5A7A"/>
    <w:rsid w:val="001E5BD4"/>
    <w:rsid w:val="001E7024"/>
    <w:rsid w:val="001E711E"/>
    <w:rsid w:val="001E7216"/>
    <w:rsid w:val="001E72E3"/>
    <w:rsid w:val="001E7D5B"/>
    <w:rsid w:val="001E7E38"/>
    <w:rsid w:val="001F0E61"/>
    <w:rsid w:val="001F113B"/>
    <w:rsid w:val="001F2C2A"/>
    <w:rsid w:val="001F2C8D"/>
    <w:rsid w:val="001F3C36"/>
    <w:rsid w:val="001F3F21"/>
    <w:rsid w:val="001F4D5E"/>
    <w:rsid w:val="001F5655"/>
    <w:rsid w:val="001F5A9D"/>
    <w:rsid w:val="001F5AA9"/>
    <w:rsid w:val="001F7202"/>
    <w:rsid w:val="002000B0"/>
    <w:rsid w:val="00201347"/>
    <w:rsid w:val="00201DA1"/>
    <w:rsid w:val="0020223E"/>
    <w:rsid w:val="00203163"/>
    <w:rsid w:val="00203EC7"/>
    <w:rsid w:val="00204145"/>
    <w:rsid w:val="002046B0"/>
    <w:rsid w:val="00204BE5"/>
    <w:rsid w:val="0020593B"/>
    <w:rsid w:val="00205A9A"/>
    <w:rsid w:val="002064DD"/>
    <w:rsid w:val="00206753"/>
    <w:rsid w:val="00206C84"/>
    <w:rsid w:val="00207780"/>
    <w:rsid w:val="00207E3C"/>
    <w:rsid w:val="00207F82"/>
    <w:rsid w:val="00210047"/>
    <w:rsid w:val="0021131E"/>
    <w:rsid w:val="0021187E"/>
    <w:rsid w:val="0021230C"/>
    <w:rsid w:val="002133F7"/>
    <w:rsid w:val="00213FA8"/>
    <w:rsid w:val="00213FD7"/>
    <w:rsid w:val="00214418"/>
    <w:rsid w:val="002145FF"/>
    <w:rsid w:val="00214F0F"/>
    <w:rsid w:val="00215C8D"/>
    <w:rsid w:val="0021634D"/>
    <w:rsid w:val="00216618"/>
    <w:rsid w:val="00217CC3"/>
    <w:rsid w:val="002201E5"/>
    <w:rsid w:val="002212BD"/>
    <w:rsid w:val="002214E5"/>
    <w:rsid w:val="002222CC"/>
    <w:rsid w:val="002238B2"/>
    <w:rsid w:val="002243A3"/>
    <w:rsid w:val="002248BA"/>
    <w:rsid w:val="00226451"/>
    <w:rsid w:val="00226625"/>
    <w:rsid w:val="002269E7"/>
    <w:rsid w:val="002275E5"/>
    <w:rsid w:val="0022777E"/>
    <w:rsid w:val="002301E8"/>
    <w:rsid w:val="00230404"/>
    <w:rsid w:val="0023053B"/>
    <w:rsid w:val="002308B2"/>
    <w:rsid w:val="00230E91"/>
    <w:rsid w:val="002316F8"/>
    <w:rsid w:val="00231779"/>
    <w:rsid w:val="00231C97"/>
    <w:rsid w:val="00231E5C"/>
    <w:rsid w:val="00231F0E"/>
    <w:rsid w:val="00232390"/>
    <w:rsid w:val="002345B8"/>
    <w:rsid w:val="0023525F"/>
    <w:rsid w:val="00235730"/>
    <w:rsid w:val="00236018"/>
    <w:rsid w:val="00236D7A"/>
    <w:rsid w:val="00237F7D"/>
    <w:rsid w:val="00240342"/>
    <w:rsid w:val="00240745"/>
    <w:rsid w:val="00240875"/>
    <w:rsid w:val="0024106C"/>
    <w:rsid w:val="002420A4"/>
    <w:rsid w:val="002422E3"/>
    <w:rsid w:val="0024531B"/>
    <w:rsid w:val="00245463"/>
    <w:rsid w:val="00245F5E"/>
    <w:rsid w:val="00247F6A"/>
    <w:rsid w:val="00250BEE"/>
    <w:rsid w:val="00251514"/>
    <w:rsid w:val="00251E07"/>
    <w:rsid w:val="00251F93"/>
    <w:rsid w:val="002522A1"/>
    <w:rsid w:val="00252B98"/>
    <w:rsid w:val="0025362A"/>
    <w:rsid w:val="00253700"/>
    <w:rsid w:val="00255504"/>
    <w:rsid w:val="00255E91"/>
    <w:rsid w:val="00255F79"/>
    <w:rsid w:val="0025661C"/>
    <w:rsid w:val="00256C63"/>
    <w:rsid w:val="0025782A"/>
    <w:rsid w:val="00261B18"/>
    <w:rsid w:val="00261C0D"/>
    <w:rsid w:val="00262073"/>
    <w:rsid w:val="00262B98"/>
    <w:rsid w:val="00262EEF"/>
    <w:rsid w:val="00265145"/>
    <w:rsid w:val="00265785"/>
    <w:rsid w:val="00265CC0"/>
    <w:rsid w:val="00265F18"/>
    <w:rsid w:val="002668CA"/>
    <w:rsid w:val="00267679"/>
    <w:rsid w:val="00271787"/>
    <w:rsid w:val="00271E3D"/>
    <w:rsid w:val="002720A6"/>
    <w:rsid w:val="00273534"/>
    <w:rsid w:val="00273F9E"/>
    <w:rsid w:val="00275088"/>
    <w:rsid w:val="00275F6C"/>
    <w:rsid w:val="00276AB0"/>
    <w:rsid w:val="00276E08"/>
    <w:rsid w:val="0027700D"/>
    <w:rsid w:val="0028025E"/>
    <w:rsid w:val="0028054C"/>
    <w:rsid w:val="00281050"/>
    <w:rsid w:val="00281791"/>
    <w:rsid w:val="002825C8"/>
    <w:rsid w:val="00282D4E"/>
    <w:rsid w:val="0028395F"/>
    <w:rsid w:val="002850F6"/>
    <w:rsid w:val="0028567B"/>
    <w:rsid w:val="002858CE"/>
    <w:rsid w:val="00286F55"/>
    <w:rsid w:val="00287AAD"/>
    <w:rsid w:val="00290047"/>
    <w:rsid w:val="002910FA"/>
    <w:rsid w:val="00292430"/>
    <w:rsid w:val="002929F2"/>
    <w:rsid w:val="00292C61"/>
    <w:rsid w:val="00292C91"/>
    <w:rsid w:val="00292CF3"/>
    <w:rsid w:val="002933D3"/>
    <w:rsid w:val="00293475"/>
    <w:rsid w:val="0029561C"/>
    <w:rsid w:val="00295A1A"/>
    <w:rsid w:val="00295A2A"/>
    <w:rsid w:val="00295A88"/>
    <w:rsid w:val="00295BD4"/>
    <w:rsid w:val="0029695C"/>
    <w:rsid w:val="0029726E"/>
    <w:rsid w:val="002A0383"/>
    <w:rsid w:val="002A0BF2"/>
    <w:rsid w:val="002A0C5B"/>
    <w:rsid w:val="002A0EA9"/>
    <w:rsid w:val="002A1C5E"/>
    <w:rsid w:val="002A20FD"/>
    <w:rsid w:val="002A2769"/>
    <w:rsid w:val="002A49F5"/>
    <w:rsid w:val="002A512C"/>
    <w:rsid w:val="002A6B55"/>
    <w:rsid w:val="002A7011"/>
    <w:rsid w:val="002B1005"/>
    <w:rsid w:val="002B1245"/>
    <w:rsid w:val="002B1317"/>
    <w:rsid w:val="002B2426"/>
    <w:rsid w:val="002B295B"/>
    <w:rsid w:val="002B2E4F"/>
    <w:rsid w:val="002B3030"/>
    <w:rsid w:val="002B3272"/>
    <w:rsid w:val="002B35D7"/>
    <w:rsid w:val="002B39B5"/>
    <w:rsid w:val="002B57F5"/>
    <w:rsid w:val="002B64D1"/>
    <w:rsid w:val="002B667B"/>
    <w:rsid w:val="002B716D"/>
    <w:rsid w:val="002C018A"/>
    <w:rsid w:val="002C1489"/>
    <w:rsid w:val="002C1F1E"/>
    <w:rsid w:val="002C2279"/>
    <w:rsid w:val="002C25C0"/>
    <w:rsid w:val="002C2954"/>
    <w:rsid w:val="002C353C"/>
    <w:rsid w:val="002C381C"/>
    <w:rsid w:val="002C4710"/>
    <w:rsid w:val="002C6704"/>
    <w:rsid w:val="002C6CA1"/>
    <w:rsid w:val="002C714B"/>
    <w:rsid w:val="002C71F9"/>
    <w:rsid w:val="002C7336"/>
    <w:rsid w:val="002C7576"/>
    <w:rsid w:val="002C77F0"/>
    <w:rsid w:val="002D280D"/>
    <w:rsid w:val="002D48A0"/>
    <w:rsid w:val="002D6BD8"/>
    <w:rsid w:val="002D6EBB"/>
    <w:rsid w:val="002E1F08"/>
    <w:rsid w:val="002E4EEA"/>
    <w:rsid w:val="002E5621"/>
    <w:rsid w:val="002E61E8"/>
    <w:rsid w:val="002E655D"/>
    <w:rsid w:val="002E65CF"/>
    <w:rsid w:val="002E71D8"/>
    <w:rsid w:val="002E7628"/>
    <w:rsid w:val="002E78CF"/>
    <w:rsid w:val="002E7B85"/>
    <w:rsid w:val="002F0DDD"/>
    <w:rsid w:val="002F2CB5"/>
    <w:rsid w:val="002F4101"/>
    <w:rsid w:val="002F5011"/>
    <w:rsid w:val="002F51BD"/>
    <w:rsid w:val="002F6F18"/>
    <w:rsid w:val="002F7593"/>
    <w:rsid w:val="002F787E"/>
    <w:rsid w:val="00301CE7"/>
    <w:rsid w:val="00301E47"/>
    <w:rsid w:val="003027BA"/>
    <w:rsid w:val="00302D6C"/>
    <w:rsid w:val="003034D9"/>
    <w:rsid w:val="0030440B"/>
    <w:rsid w:val="00304B2B"/>
    <w:rsid w:val="003061BB"/>
    <w:rsid w:val="00306E0C"/>
    <w:rsid w:val="00306F39"/>
    <w:rsid w:val="003079AF"/>
    <w:rsid w:val="003100CA"/>
    <w:rsid w:val="00310399"/>
    <w:rsid w:val="00310A0C"/>
    <w:rsid w:val="003118AB"/>
    <w:rsid w:val="00312379"/>
    <w:rsid w:val="00312F28"/>
    <w:rsid w:val="00314303"/>
    <w:rsid w:val="00314B61"/>
    <w:rsid w:val="003164BC"/>
    <w:rsid w:val="0031785F"/>
    <w:rsid w:val="00321ACF"/>
    <w:rsid w:val="00322248"/>
    <w:rsid w:val="003227CF"/>
    <w:rsid w:val="00322917"/>
    <w:rsid w:val="00324436"/>
    <w:rsid w:val="0032542C"/>
    <w:rsid w:val="003254E1"/>
    <w:rsid w:val="00327238"/>
    <w:rsid w:val="00327681"/>
    <w:rsid w:val="00327842"/>
    <w:rsid w:val="00327846"/>
    <w:rsid w:val="0032789B"/>
    <w:rsid w:val="00327B2D"/>
    <w:rsid w:val="00327E34"/>
    <w:rsid w:val="0033050C"/>
    <w:rsid w:val="00330829"/>
    <w:rsid w:val="003311CB"/>
    <w:rsid w:val="00331804"/>
    <w:rsid w:val="00331A6D"/>
    <w:rsid w:val="003323CF"/>
    <w:rsid w:val="003328A4"/>
    <w:rsid w:val="00333304"/>
    <w:rsid w:val="003334BD"/>
    <w:rsid w:val="0033549C"/>
    <w:rsid w:val="0033675E"/>
    <w:rsid w:val="003371FF"/>
    <w:rsid w:val="003410FD"/>
    <w:rsid w:val="0034270D"/>
    <w:rsid w:val="00344CB5"/>
    <w:rsid w:val="00345D60"/>
    <w:rsid w:val="00345F62"/>
    <w:rsid w:val="003460EE"/>
    <w:rsid w:val="003461DC"/>
    <w:rsid w:val="00346201"/>
    <w:rsid w:val="0034663F"/>
    <w:rsid w:val="00346BE6"/>
    <w:rsid w:val="00346E85"/>
    <w:rsid w:val="0034755A"/>
    <w:rsid w:val="00347E51"/>
    <w:rsid w:val="00351921"/>
    <w:rsid w:val="00351E1B"/>
    <w:rsid w:val="00352274"/>
    <w:rsid w:val="0035329D"/>
    <w:rsid w:val="00353603"/>
    <w:rsid w:val="0035405C"/>
    <w:rsid w:val="003541E6"/>
    <w:rsid w:val="00354709"/>
    <w:rsid w:val="003550BE"/>
    <w:rsid w:val="00355102"/>
    <w:rsid w:val="00355C5D"/>
    <w:rsid w:val="0035731F"/>
    <w:rsid w:val="00360B70"/>
    <w:rsid w:val="00362C85"/>
    <w:rsid w:val="00363251"/>
    <w:rsid w:val="00364622"/>
    <w:rsid w:val="00366994"/>
    <w:rsid w:val="00366D7D"/>
    <w:rsid w:val="00366DF5"/>
    <w:rsid w:val="003670E7"/>
    <w:rsid w:val="003702CB"/>
    <w:rsid w:val="003703C3"/>
    <w:rsid w:val="003706D5"/>
    <w:rsid w:val="00370F99"/>
    <w:rsid w:val="00371979"/>
    <w:rsid w:val="00372A0A"/>
    <w:rsid w:val="00373591"/>
    <w:rsid w:val="0037361E"/>
    <w:rsid w:val="003746CE"/>
    <w:rsid w:val="00375BEB"/>
    <w:rsid w:val="003763C8"/>
    <w:rsid w:val="00376E1A"/>
    <w:rsid w:val="0037758D"/>
    <w:rsid w:val="0037766C"/>
    <w:rsid w:val="0037767F"/>
    <w:rsid w:val="0037791A"/>
    <w:rsid w:val="00377D4D"/>
    <w:rsid w:val="0038052D"/>
    <w:rsid w:val="00380579"/>
    <w:rsid w:val="00380BC8"/>
    <w:rsid w:val="003814A2"/>
    <w:rsid w:val="003816ED"/>
    <w:rsid w:val="00381CDE"/>
    <w:rsid w:val="00381E00"/>
    <w:rsid w:val="00381F84"/>
    <w:rsid w:val="003820F7"/>
    <w:rsid w:val="00382693"/>
    <w:rsid w:val="003832FC"/>
    <w:rsid w:val="0038360E"/>
    <w:rsid w:val="00383C34"/>
    <w:rsid w:val="00383F49"/>
    <w:rsid w:val="00384653"/>
    <w:rsid w:val="00384A2B"/>
    <w:rsid w:val="00385247"/>
    <w:rsid w:val="0038533B"/>
    <w:rsid w:val="00385C4F"/>
    <w:rsid w:val="00386470"/>
    <w:rsid w:val="00387216"/>
    <w:rsid w:val="00391261"/>
    <w:rsid w:val="00391C8E"/>
    <w:rsid w:val="00392542"/>
    <w:rsid w:val="00393415"/>
    <w:rsid w:val="00393A5D"/>
    <w:rsid w:val="003949AD"/>
    <w:rsid w:val="0039615B"/>
    <w:rsid w:val="00396413"/>
    <w:rsid w:val="00396C12"/>
    <w:rsid w:val="00397ED7"/>
    <w:rsid w:val="003A0124"/>
    <w:rsid w:val="003A10DA"/>
    <w:rsid w:val="003A17E7"/>
    <w:rsid w:val="003A23A8"/>
    <w:rsid w:val="003A246B"/>
    <w:rsid w:val="003A2CCD"/>
    <w:rsid w:val="003A2D0F"/>
    <w:rsid w:val="003A45B7"/>
    <w:rsid w:val="003A4619"/>
    <w:rsid w:val="003A5D5D"/>
    <w:rsid w:val="003A7204"/>
    <w:rsid w:val="003B02AD"/>
    <w:rsid w:val="003B1138"/>
    <w:rsid w:val="003B2317"/>
    <w:rsid w:val="003B3AA4"/>
    <w:rsid w:val="003B47CC"/>
    <w:rsid w:val="003B4B7E"/>
    <w:rsid w:val="003B50BA"/>
    <w:rsid w:val="003B6492"/>
    <w:rsid w:val="003B653D"/>
    <w:rsid w:val="003B6CBA"/>
    <w:rsid w:val="003B7420"/>
    <w:rsid w:val="003B7427"/>
    <w:rsid w:val="003B7760"/>
    <w:rsid w:val="003B7C07"/>
    <w:rsid w:val="003C01B0"/>
    <w:rsid w:val="003C04C9"/>
    <w:rsid w:val="003C068E"/>
    <w:rsid w:val="003C07F3"/>
    <w:rsid w:val="003C13C0"/>
    <w:rsid w:val="003C1780"/>
    <w:rsid w:val="003C1CE1"/>
    <w:rsid w:val="003C2AD1"/>
    <w:rsid w:val="003C2ECE"/>
    <w:rsid w:val="003C2EEF"/>
    <w:rsid w:val="003C31D6"/>
    <w:rsid w:val="003C3B50"/>
    <w:rsid w:val="003C40E0"/>
    <w:rsid w:val="003C45A0"/>
    <w:rsid w:val="003C4C24"/>
    <w:rsid w:val="003C5822"/>
    <w:rsid w:val="003C58F7"/>
    <w:rsid w:val="003C5ABA"/>
    <w:rsid w:val="003D0AD3"/>
    <w:rsid w:val="003D1D2E"/>
    <w:rsid w:val="003D1F58"/>
    <w:rsid w:val="003D24B4"/>
    <w:rsid w:val="003D2971"/>
    <w:rsid w:val="003D2A1B"/>
    <w:rsid w:val="003D2E20"/>
    <w:rsid w:val="003D5583"/>
    <w:rsid w:val="003D5B25"/>
    <w:rsid w:val="003D6A51"/>
    <w:rsid w:val="003D7170"/>
    <w:rsid w:val="003D76E0"/>
    <w:rsid w:val="003D7969"/>
    <w:rsid w:val="003D7C44"/>
    <w:rsid w:val="003E14B4"/>
    <w:rsid w:val="003E2285"/>
    <w:rsid w:val="003E2944"/>
    <w:rsid w:val="003E3C03"/>
    <w:rsid w:val="003E46AD"/>
    <w:rsid w:val="003E66D3"/>
    <w:rsid w:val="003E67EB"/>
    <w:rsid w:val="003E6A42"/>
    <w:rsid w:val="003E6C3B"/>
    <w:rsid w:val="003E70A3"/>
    <w:rsid w:val="003F0790"/>
    <w:rsid w:val="003F0E29"/>
    <w:rsid w:val="003F1A17"/>
    <w:rsid w:val="003F219B"/>
    <w:rsid w:val="003F29B8"/>
    <w:rsid w:val="003F2CF5"/>
    <w:rsid w:val="003F3A75"/>
    <w:rsid w:val="003F3F91"/>
    <w:rsid w:val="003F44F9"/>
    <w:rsid w:val="003F4535"/>
    <w:rsid w:val="003F50C0"/>
    <w:rsid w:val="003F57ED"/>
    <w:rsid w:val="003F5E03"/>
    <w:rsid w:val="003F602D"/>
    <w:rsid w:val="003F6048"/>
    <w:rsid w:val="003F60E0"/>
    <w:rsid w:val="003F6356"/>
    <w:rsid w:val="003F66AC"/>
    <w:rsid w:val="003F66BB"/>
    <w:rsid w:val="003F6FC4"/>
    <w:rsid w:val="003F7141"/>
    <w:rsid w:val="004006BF"/>
    <w:rsid w:val="00400D35"/>
    <w:rsid w:val="004019A2"/>
    <w:rsid w:val="00401DB5"/>
    <w:rsid w:val="00401F4C"/>
    <w:rsid w:val="00402EEC"/>
    <w:rsid w:val="004035F8"/>
    <w:rsid w:val="0040402B"/>
    <w:rsid w:val="00405108"/>
    <w:rsid w:val="00406078"/>
    <w:rsid w:val="00406186"/>
    <w:rsid w:val="00407FFA"/>
    <w:rsid w:val="00410991"/>
    <w:rsid w:val="00411093"/>
    <w:rsid w:val="00414B7A"/>
    <w:rsid w:val="00414D8E"/>
    <w:rsid w:val="004159CE"/>
    <w:rsid w:val="004167C9"/>
    <w:rsid w:val="004167DB"/>
    <w:rsid w:val="00420157"/>
    <w:rsid w:val="00422D02"/>
    <w:rsid w:val="00423036"/>
    <w:rsid w:val="004234E1"/>
    <w:rsid w:val="0042424E"/>
    <w:rsid w:val="004249E0"/>
    <w:rsid w:val="0042664C"/>
    <w:rsid w:val="00426D16"/>
    <w:rsid w:val="00427536"/>
    <w:rsid w:val="00430506"/>
    <w:rsid w:val="004305B8"/>
    <w:rsid w:val="00430A16"/>
    <w:rsid w:val="00430D19"/>
    <w:rsid w:val="00430F8A"/>
    <w:rsid w:val="004315AD"/>
    <w:rsid w:val="00432902"/>
    <w:rsid w:val="004336F6"/>
    <w:rsid w:val="00435215"/>
    <w:rsid w:val="00435E6D"/>
    <w:rsid w:val="00436ADD"/>
    <w:rsid w:val="00437008"/>
    <w:rsid w:val="00440A04"/>
    <w:rsid w:val="0044100F"/>
    <w:rsid w:val="00441CBE"/>
    <w:rsid w:val="00442188"/>
    <w:rsid w:val="004422E8"/>
    <w:rsid w:val="00443630"/>
    <w:rsid w:val="00444860"/>
    <w:rsid w:val="00444A26"/>
    <w:rsid w:val="00445F68"/>
    <w:rsid w:val="00446C51"/>
    <w:rsid w:val="00446C7B"/>
    <w:rsid w:val="00446F39"/>
    <w:rsid w:val="00447539"/>
    <w:rsid w:val="00450572"/>
    <w:rsid w:val="0045060A"/>
    <w:rsid w:val="00450681"/>
    <w:rsid w:val="00450F29"/>
    <w:rsid w:val="00451F0D"/>
    <w:rsid w:val="00452EA7"/>
    <w:rsid w:val="00453511"/>
    <w:rsid w:val="00453696"/>
    <w:rsid w:val="00453C39"/>
    <w:rsid w:val="004553ED"/>
    <w:rsid w:val="004561AF"/>
    <w:rsid w:val="0045707A"/>
    <w:rsid w:val="00457245"/>
    <w:rsid w:val="004572F4"/>
    <w:rsid w:val="0046050B"/>
    <w:rsid w:val="00460A5A"/>
    <w:rsid w:val="00460E57"/>
    <w:rsid w:val="00461F94"/>
    <w:rsid w:val="00461FCA"/>
    <w:rsid w:val="004622F2"/>
    <w:rsid w:val="004623A8"/>
    <w:rsid w:val="004624A4"/>
    <w:rsid w:val="004625AB"/>
    <w:rsid w:val="00462813"/>
    <w:rsid w:val="00463287"/>
    <w:rsid w:val="004637C5"/>
    <w:rsid w:val="00463F07"/>
    <w:rsid w:val="00464510"/>
    <w:rsid w:val="004659DD"/>
    <w:rsid w:val="00466238"/>
    <w:rsid w:val="00466762"/>
    <w:rsid w:val="0046687B"/>
    <w:rsid w:val="0046755D"/>
    <w:rsid w:val="004700A6"/>
    <w:rsid w:val="0047096B"/>
    <w:rsid w:val="00470D9C"/>
    <w:rsid w:val="00471DE2"/>
    <w:rsid w:val="00472CC5"/>
    <w:rsid w:val="00472DEC"/>
    <w:rsid w:val="00473447"/>
    <w:rsid w:val="00474023"/>
    <w:rsid w:val="004745D3"/>
    <w:rsid w:val="0047572B"/>
    <w:rsid w:val="00475812"/>
    <w:rsid w:val="00476222"/>
    <w:rsid w:val="004775F6"/>
    <w:rsid w:val="00477711"/>
    <w:rsid w:val="00480368"/>
    <w:rsid w:val="00480D92"/>
    <w:rsid w:val="0048104A"/>
    <w:rsid w:val="004811DE"/>
    <w:rsid w:val="0048295C"/>
    <w:rsid w:val="00482FA7"/>
    <w:rsid w:val="00484326"/>
    <w:rsid w:val="00484FD4"/>
    <w:rsid w:val="00485E73"/>
    <w:rsid w:val="00486A66"/>
    <w:rsid w:val="00487445"/>
    <w:rsid w:val="00487FB4"/>
    <w:rsid w:val="00490A41"/>
    <w:rsid w:val="00490AEE"/>
    <w:rsid w:val="00494219"/>
    <w:rsid w:val="0049425B"/>
    <w:rsid w:val="004947E8"/>
    <w:rsid w:val="00494E7C"/>
    <w:rsid w:val="004953C8"/>
    <w:rsid w:val="00496A89"/>
    <w:rsid w:val="004973E2"/>
    <w:rsid w:val="004976C7"/>
    <w:rsid w:val="00497F54"/>
    <w:rsid w:val="004A07BF"/>
    <w:rsid w:val="004A1842"/>
    <w:rsid w:val="004A4461"/>
    <w:rsid w:val="004A46D3"/>
    <w:rsid w:val="004A48DC"/>
    <w:rsid w:val="004A59C9"/>
    <w:rsid w:val="004A5C30"/>
    <w:rsid w:val="004A5F47"/>
    <w:rsid w:val="004A5FE8"/>
    <w:rsid w:val="004A6413"/>
    <w:rsid w:val="004A64AA"/>
    <w:rsid w:val="004A6647"/>
    <w:rsid w:val="004A6C0A"/>
    <w:rsid w:val="004A7025"/>
    <w:rsid w:val="004A7837"/>
    <w:rsid w:val="004B0313"/>
    <w:rsid w:val="004B081B"/>
    <w:rsid w:val="004B1F57"/>
    <w:rsid w:val="004B28F0"/>
    <w:rsid w:val="004B3CC9"/>
    <w:rsid w:val="004B4A5A"/>
    <w:rsid w:val="004B5C59"/>
    <w:rsid w:val="004C0144"/>
    <w:rsid w:val="004C0CD1"/>
    <w:rsid w:val="004C10D3"/>
    <w:rsid w:val="004C39C2"/>
    <w:rsid w:val="004C3B14"/>
    <w:rsid w:val="004C4B72"/>
    <w:rsid w:val="004C55A4"/>
    <w:rsid w:val="004C55E1"/>
    <w:rsid w:val="004C5BAC"/>
    <w:rsid w:val="004D0BB3"/>
    <w:rsid w:val="004D0C64"/>
    <w:rsid w:val="004D1EC7"/>
    <w:rsid w:val="004D26A0"/>
    <w:rsid w:val="004D3C37"/>
    <w:rsid w:val="004D4214"/>
    <w:rsid w:val="004D4838"/>
    <w:rsid w:val="004D5B5C"/>
    <w:rsid w:val="004D65C8"/>
    <w:rsid w:val="004D676D"/>
    <w:rsid w:val="004D6CB6"/>
    <w:rsid w:val="004D7A13"/>
    <w:rsid w:val="004E0964"/>
    <w:rsid w:val="004E1A33"/>
    <w:rsid w:val="004E1BA3"/>
    <w:rsid w:val="004E278E"/>
    <w:rsid w:val="004E2CE1"/>
    <w:rsid w:val="004E516A"/>
    <w:rsid w:val="004E51CE"/>
    <w:rsid w:val="004E524D"/>
    <w:rsid w:val="004E703F"/>
    <w:rsid w:val="004E7762"/>
    <w:rsid w:val="004F1176"/>
    <w:rsid w:val="004F2046"/>
    <w:rsid w:val="004F3FDE"/>
    <w:rsid w:val="004F3FE5"/>
    <w:rsid w:val="004F4B26"/>
    <w:rsid w:val="004F6978"/>
    <w:rsid w:val="004F742D"/>
    <w:rsid w:val="004F74C8"/>
    <w:rsid w:val="00500105"/>
    <w:rsid w:val="0050146B"/>
    <w:rsid w:val="00502BB2"/>
    <w:rsid w:val="00503229"/>
    <w:rsid w:val="005033EE"/>
    <w:rsid w:val="0050388A"/>
    <w:rsid w:val="00503B56"/>
    <w:rsid w:val="005050A8"/>
    <w:rsid w:val="005056DC"/>
    <w:rsid w:val="0050620E"/>
    <w:rsid w:val="00506843"/>
    <w:rsid w:val="00506E43"/>
    <w:rsid w:val="0050754C"/>
    <w:rsid w:val="00511778"/>
    <w:rsid w:val="00511901"/>
    <w:rsid w:val="00511A17"/>
    <w:rsid w:val="00513AC8"/>
    <w:rsid w:val="00514EAB"/>
    <w:rsid w:val="00515297"/>
    <w:rsid w:val="0051585F"/>
    <w:rsid w:val="00516CE6"/>
    <w:rsid w:val="00516E21"/>
    <w:rsid w:val="00521554"/>
    <w:rsid w:val="00521AA2"/>
    <w:rsid w:val="005225D3"/>
    <w:rsid w:val="00522787"/>
    <w:rsid w:val="00523C6C"/>
    <w:rsid w:val="00524202"/>
    <w:rsid w:val="00525169"/>
    <w:rsid w:val="00526C08"/>
    <w:rsid w:val="00527092"/>
    <w:rsid w:val="00527B4F"/>
    <w:rsid w:val="00527CD8"/>
    <w:rsid w:val="0053004D"/>
    <w:rsid w:val="00533CE0"/>
    <w:rsid w:val="00534680"/>
    <w:rsid w:val="005350BA"/>
    <w:rsid w:val="0053608E"/>
    <w:rsid w:val="00536505"/>
    <w:rsid w:val="00537538"/>
    <w:rsid w:val="005401A9"/>
    <w:rsid w:val="00540621"/>
    <w:rsid w:val="00540A50"/>
    <w:rsid w:val="00541BE0"/>
    <w:rsid w:val="005420E9"/>
    <w:rsid w:val="00543012"/>
    <w:rsid w:val="005442BE"/>
    <w:rsid w:val="00544DAE"/>
    <w:rsid w:val="00546379"/>
    <w:rsid w:val="005467FC"/>
    <w:rsid w:val="005469CD"/>
    <w:rsid w:val="005474FB"/>
    <w:rsid w:val="0054751D"/>
    <w:rsid w:val="00547FD4"/>
    <w:rsid w:val="00552A31"/>
    <w:rsid w:val="00552BB8"/>
    <w:rsid w:val="00553612"/>
    <w:rsid w:val="00553AD0"/>
    <w:rsid w:val="0055476A"/>
    <w:rsid w:val="00554B69"/>
    <w:rsid w:val="00554DA4"/>
    <w:rsid w:val="0055657E"/>
    <w:rsid w:val="00557AC6"/>
    <w:rsid w:val="00560A14"/>
    <w:rsid w:val="005613CF"/>
    <w:rsid w:val="0056216E"/>
    <w:rsid w:val="0056227D"/>
    <w:rsid w:val="00564636"/>
    <w:rsid w:val="00564E57"/>
    <w:rsid w:val="00565BBC"/>
    <w:rsid w:val="005660CF"/>
    <w:rsid w:val="00566C02"/>
    <w:rsid w:val="005706B2"/>
    <w:rsid w:val="00572B8E"/>
    <w:rsid w:val="00573208"/>
    <w:rsid w:val="0057369C"/>
    <w:rsid w:val="00574D28"/>
    <w:rsid w:val="00574EDC"/>
    <w:rsid w:val="00575922"/>
    <w:rsid w:val="005762BE"/>
    <w:rsid w:val="00576F7C"/>
    <w:rsid w:val="005775AE"/>
    <w:rsid w:val="00580315"/>
    <w:rsid w:val="00580380"/>
    <w:rsid w:val="00580991"/>
    <w:rsid w:val="0058174B"/>
    <w:rsid w:val="00581922"/>
    <w:rsid w:val="00582519"/>
    <w:rsid w:val="00582CAA"/>
    <w:rsid w:val="0058348F"/>
    <w:rsid w:val="00583AFA"/>
    <w:rsid w:val="00584805"/>
    <w:rsid w:val="00584A5B"/>
    <w:rsid w:val="00585843"/>
    <w:rsid w:val="00587AEC"/>
    <w:rsid w:val="005905DD"/>
    <w:rsid w:val="0059098B"/>
    <w:rsid w:val="005937A0"/>
    <w:rsid w:val="00594C31"/>
    <w:rsid w:val="005A1517"/>
    <w:rsid w:val="005A1FED"/>
    <w:rsid w:val="005A21AA"/>
    <w:rsid w:val="005A2C9C"/>
    <w:rsid w:val="005A2D06"/>
    <w:rsid w:val="005A3010"/>
    <w:rsid w:val="005A30A1"/>
    <w:rsid w:val="005A3AB0"/>
    <w:rsid w:val="005A3BEF"/>
    <w:rsid w:val="005A497B"/>
    <w:rsid w:val="005A49C6"/>
    <w:rsid w:val="005A5750"/>
    <w:rsid w:val="005A5D1C"/>
    <w:rsid w:val="005A6456"/>
    <w:rsid w:val="005A65C0"/>
    <w:rsid w:val="005A69C2"/>
    <w:rsid w:val="005B01AE"/>
    <w:rsid w:val="005B10D4"/>
    <w:rsid w:val="005B114C"/>
    <w:rsid w:val="005B19C6"/>
    <w:rsid w:val="005B27A5"/>
    <w:rsid w:val="005B2CF2"/>
    <w:rsid w:val="005B327E"/>
    <w:rsid w:val="005B33B2"/>
    <w:rsid w:val="005B46B6"/>
    <w:rsid w:val="005B5E28"/>
    <w:rsid w:val="005B62A3"/>
    <w:rsid w:val="005B79F3"/>
    <w:rsid w:val="005C1338"/>
    <w:rsid w:val="005C6527"/>
    <w:rsid w:val="005C6AA8"/>
    <w:rsid w:val="005C7D6D"/>
    <w:rsid w:val="005D257C"/>
    <w:rsid w:val="005D2596"/>
    <w:rsid w:val="005D2810"/>
    <w:rsid w:val="005D3B2B"/>
    <w:rsid w:val="005D3E71"/>
    <w:rsid w:val="005D3F57"/>
    <w:rsid w:val="005D5203"/>
    <w:rsid w:val="005D5D48"/>
    <w:rsid w:val="005D6577"/>
    <w:rsid w:val="005D73FB"/>
    <w:rsid w:val="005D7840"/>
    <w:rsid w:val="005E0125"/>
    <w:rsid w:val="005E0D73"/>
    <w:rsid w:val="005E3C2B"/>
    <w:rsid w:val="005E4C4A"/>
    <w:rsid w:val="005E60AD"/>
    <w:rsid w:val="005E6691"/>
    <w:rsid w:val="005E6CF0"/>
    <w:rsid w:val="005F2F7D"/>
    <w:rsid w:val="005F3335"/>
    <w:rsid w:val="005F4802"/>
    <w:rsid w:val="005F5873"/>
    <w:rsid w:val="005F6556"/>
    <w:rsid w:val="00600BFE"/>
    <w:rsid w:val="00600F95"/>
    <w:rsid w:val="006026B4"/>
    <w:rsid w:val="0060401B"/>
    <w:rsid w:val="006043DC"/>
    <w:rsid w:val="00604550"/>
    <w:rsid w:val="00605DBD"/>
    <w:rsid w:val="00606CB2"/>
    <w:rsid w:val="006078C3"/>
    <w:rsid w:val="0061165F"/>
    <w:rsid w:val="00611975"/>
    <w:rsid w:val="00611D83"/>
    <w:rsid w:val="006123B8"/>
    <w:rsid w:val="00612488"/>
    <w:rsid w:val="00613153"/>
    <w:rsid w:val="00613344"/>
    <w:rsid w:val="00613B59"/>
    <w:rsid w:val="00614578"/>
    <w:rsid w:val="0061465B"/>
    <w:rsid w:val="006155E8"/>
    <w:rsid w:val="006155F1"/>
    <w:rsid w:val="00615760"/>
    <w:rsid w:val="00616750"/>
    <w:rsid w:val="0061684F"/>
    <w:rsid w:val="00617337"/>
    <w:rsid w:val="00617360"/>
    <w:rsid w:val="00617A3A"/>
    <w:rsid w:val="0062062B"/>
    <w:rsid w:val="00620F6A"/>
    <w:rsid w:val="00621501"/>
    <w:rsid w:val="0062170C"/>
    <w:rsid w:val="006222F9"/>
    <w:rsid w:val="00624262"/>
    <w:rsid w:val="00624936"/>
    <w:rsid w:val="00624DBB"/>
    <w:rsid w:val="00625585"/>
    <w:rsid w:val="006257FE"/>
    <w:rsid w:val="00625C88"/>
    <w:rsid w:val="00626F28"/>
    <w:rsid w:val="006342C8"/>
    <w:rsid w:val="00634539"/>
    <w:rsid w:val="00635F3A"/>
    <w:rsid w:val="00636107"/>
    <w:rsid w:val="00640202"/>
    <w:rsid w:val="00640A14"/>
    <w:rsid w:val="00640B69"/>
    <w:rsid w:val="00640D81"/>
    <w:rsid w:val="00641169"/>
    <w:rsid w:val="00641205"/>
    <w:rsid w:val="006420F1"/>
    <w:rsid w:val="00642322"/>
    <w:rsid w:val="00642425"/>
    <w:rsid w:val="00643260"/>
    <w:rsid w:val="00643F07"/>
    <w:rsid w:val="00644182"/>
    <w:rsid w:val="00647B18"/>
    <w:rsid w:val="00650FCF"/>
    <w:rsid w:val="006526D2"/>
    <w:rsid w:val="00654026"/>
    <w:rsid w:val="00654603"/>
    <w:rsid w:val="0065517A"/>
    <w:rsid w:val="0065677E"/>
    <w:rsid w:val="006568E6"/>
    <w:rsid w:val="00657359"/>
    <w:rsid w:val="006574DF"/>
    <w:rsid w:val="00660D73"/>
    <w:rsid w:val="00660D98"/>
    <w:rsid w:val="006612D0"/>
    <w:rsid w:val="00662C93"/>
    <w:rsid w:val="00662FE0"/>
    <w:rsid w:val="006631C0"/>
    <w:rsid w:val="00663688"/>
    <w:rsid w:val="0066381D"/>
    <w:rsid w:val="00663A75"/>
    <w:rsid w:val="00664709"/>
    <w:rsid w:val="00664DA9"/>
    <w:rsid w:val="0066526C"/>
    <w:rsid w:val="00665402"/>
    <w:rsid w:val="00666287"/>
    <w:rsid w:val="006665A7"/>
    <w:rsid w:val="00666629"/>
    <w:rsid w:val="006679E3"/>
    <w:rsid w:val="00670336"/>
    <w:rsid w:val="0067194B"/>
    <w:rsid w:val="00671EE6"/>
    <w:rsid w:val="00672431"/>
    <w:rsid w:val="00672F2F"/>
    <w:rsid w:val="0067338B"/>
    <w:rsid w:val="0067362A"/>
    <w:rsid w:val="006736DE"/>
    <w:rsid w:val="00675F0E"/>
    <w:rsid w:val="00676873"/>
    <w:rsid w:val="00677105"/>
    <w:rsid w:val="00680412"/>
    <w:rsid w:val="00681448"/>
    <w:rsid w:val="00681E08"/>
    <w:rsid w:val="00682151"/>
    <w:rsid w:val="0068223D"/>
    <w:rsid w:val="006822F8"/>
    <w:rsid w:val="00683C61"/>
    <w:rsid w:val="0068477A"/>
    <w:rsid w:val="00684B33"/>
    <w:rsid w:val="00686BD7"/>
    <w:rsid w:val="00686F2B"/>
    <w:rsid w:val="00687AA2"/>
    <w:rsid w:val="006907AC"/>
    <w:rsid w:val="00690B19"/>
    <w:rsid w:val="0069183E"/>
    <w:rsid w:val="0069242B"/>
    <w:rsid w:val="00692701"/>
    <w:rsid w:val="006930A2"/>
    <w:rsid w:val="006944ED"/>
    <w:rsid w:val="00695714"/>
    <w:rsid w:val="0069621C"/>
    <w:rsid w:val="006972A2"/>
    <w:rsid w:val="006A067D"/>
    <w:rsid w:val="006A0AA0"/>
    <w:rsid w:val="006A0B3B"/>
    <w:rsid w:val="006A2000"/>
    <w:rsid w:val="006A2196"/>
    <w:rsid w:val="006A2720"/>
    <w:rsid w:val="006A2ECF"/>
    <w:rsid w:val="006A3DF2"/>
    <w:rsid w:val="006A5EE4"/>
    <w:rsid w:val="006A7077"/>
    <w:rsid w:val="006B2FD7"/>
    <w:rsid w:val="006B3926"/>
    <w:rsid w:val="006B3CFD"/>
    <w:rsid w:val="006B4703"/>
    <w:rsid w:val="006B4817"/>
    <w:rsid w:val="006B5351"/>
    <w:rsid w:val="006B600E"/>
    <w:rsid w:val="006B6344"/>
    <w:rsid w:val="006B6A7C"/>
    <w:rsid w:val="006B6C91"/>
    <w:rsid w:val="006C1CA0"/>
    <w:rsid w:val="006C236C"/>
    <w:rsid w:val="006C2B50"/>
    <w:rsid w:val="006C508F"/>
    <w:rsid w:val="006C51A4"/>
    <w:rsid w:val="006C69CA"/>
    <w:rsid w:val="006C7562"/>
    <w:rsid w:val="006C76D3"/>
    <w:rsid w:val="006D04A8"/>
    <w:rsid w:val="006D0F96"/>
    <w:rsid w:val="006D1385"/>
    <w:rsid w:val="006D2790"/>
    <w:rsid w:val="006D2B60"/>
    <w:rsid w:val="006D2E4D"/>
    <w:rsid w:val="006D3C16"/>
    <w:rsid w:val="006D3C22"/>
    <w:rsid w:val="006D3D7C"/>
    <w:rsid w:val="006D4487"/>
    <w:rsid w:val="006D49D1"/>
    <w:rsid w:val="006D4ECA"/>
    <w:rsid w:val="006D517D"/>
    <w:rsid w:val="006D5A0D"/>
    <w:rsid w:val="006D5AE9"/>
    <w:rsid w:val="006D663C"/>
    <w:rsid w:val="006D6662"/>
    <w:rsid w:val="006D6AB0"/>
    <w:rsid w:val="006D7184"/>
    <w:rsid w:val="006D7D08"/>
    <w:rsid w:val="006D7D0F"/>
    <w:rsid w:val="006E1BA7"/>
    <w:rsid w:val="006E2011"/>
    <w:rsid w:val="006E2209"/>
    <w:rsid w:val="006E225B"/>
    <w:rsid w:val="006E2BC1"/>
    <w:rsid w:val="006E3477"/>
    <w:rsid w:val="006E45FF"/>
    <w:rsid w:val="006E516B"/>
    <w:rsid w:val="006E55A0"/>
    <w:rsid w:val="006E6103"/>
    <w:rsid w:val="006E6211"/>
    <w:rsid w:val="006E6A35"/>
    <w:rsid w:val="006E6CD7"/>
    <w:rsid w:val="006E6F7F"/>
    <w:rsid w:val="006E7299"/>
    <w:rsid w:val="006F048E"/>
    <w:rsid w:val="006F0BDA"/>
    <w:rsid w:val="006F0DA1"/>
    <w:rsid w:val="006F1BC0"/>
    <w:rsid w:val="006F3CC7"/>
    <w:rsid w:val="006F4A0B"/>
    <w:rsid w:val="006F4F3A"/>
    <w:rsid w:val="006F5196"/>
    <w:rsid w:val="006F56C0"/>
    <w:rsid w:val="006F5810"/>
    <w:rsid w:val="006F60FB"/>
    <w:rsid w:val="007004A4"/>
    <w:rsid w:val="00700935"/>
    <w:rsid w:val="00700F49"/>
    <w:rsid w:val="00702C8E"/>
    <w:rsid w:val="00703318"/>
    <w:rsid w:val="00703451"/>
    <w:rsid w:val="00703CD7"/>
    <w:rsid w:val="00704A62"/>
    <w:rsid w:val="00706125"/>
    <w:rsid w:val="007068A1"/>
    <w:rsid w:val="0070752E"/>
    <w:rsid w:val="007076A5"/>
    <w:rsid w:val="0070772F"/>
    <w:rsid w:val="00710B86"/>
    <w:rsid w:val="00710C13"/>
    <w:rsid w:val="00710C1E"/>
    <w:rsid w:val="00710C6A"/>
    <w:rsid w:val="00712BEF"/>
    <w:rsid w:val="0071307F"/>
    <w:rsid w:val="00713364"/>
    <w:rsid w:val="00713B54"/>
    <w:rsid w:val="00713F76"/>
    <w:rsid w:val="00714FC2"/>
    <w:rsid w:val="00715B26"/>
    <w:rsid w:val="00716B91"/>
    <w:rsid w:val="00717A46"/>
    <w:rsid w:val="007229CD"/>
    <w:rsid w:val="00722BCB"/>
    <w:rsid w:val="00723B59"/>
    <w:rsid w:val="00724552"/>
    <w:rsid w:val="00724729"/>
    <w:rsid w:val="00725AFE"/>
    <w:rsid w:val="00726379"/>
    <w:rsid w:val="00727E85"/>
    <w:rsid w:val="007337CC"/>
    <w:rsid w:val="0073419C"/>
    <w:rsid w:val="0073461A"/>
    <w:rsid w:val="00735BC8"/>
    <w:rsid w:val="00736909"/>
    <w:rsid w:val="00737962"/>
    <w:rsid w:val="00737DF6"/>
    <w:rsid w:val="0074284F"/>
    <w:rsid w:val="0074296F"/>
    <w:rsid w:val="00743038"/>
    <w:rsid w:val="0074366F"/>
    <w:rsid w:val="00743A8A"/>
    <w:rsid w:val="00745036"/>
    <w:rsid w:val="0074528E"/>
    <w:rsid w:val="00746CE8"/>
    <w:rsid w:val="00746FBE"/>
    <w:rsid w:val="00747A23"/>
    <w:rsid w:val="007502DD"/>
    <w:rsid w:val="00750496"/>
    <w:rsid w:val="00750A84"/>
    <w:rsid w:val="00750B5A"/>
    <w:rsid w:val="007524B8"/>
    <w:rsid w:val="007526D5"/>
    <w:rsid w:val="00752E1A"/>
    <w:rsid w:val="007536EC"/>
    <w:rsid w:val="0075414F"/>
    <w:rsid w:val="00754363"/>
    <w:rsid w:val="00754EF3"/>
    <w:rsid w:val="007553FB"/>
    <w:rsid w:val="0075546B"/>
    <w:rsid w:val="00755562"/>
    <w:rsid w:val="00756550"/>
    <w:rsid w:val="00756CAB"/>
    <w:rsid w:val="00757711"/>
    <w:rsid w:val="0076017D"/>
    <w:rsid w:val="00761309"/>
    <w:rsid w:val="00761601"/>
    <w:rsid w:val="0076194B"/>
    <w:rsid w:val="0076268F"/>
    <w:rsid w:val="007634A4"/>
    <w:rsid w:val="007635B1"/>
    <w:rsid w:val="00763BBF"/>
    <w:rsid w:val="0076438A"/>
    <w:rsid w:val="007655EE"/>
    <w:rsid w:val="00765891"/>
    <w:rsid w:val="00765D0F"/>
    <w:rsid w:val="00765F4A"/>
    <w:rsid w:val="0076718E"/>
    <w:rsid w:val="00767C61"/>
    <w:rsid w:val="00770924"/>
    <w:rsid w:val="00770DE0"/>
    <w:rsid w:val="00771C2E"/>
    <w:rsid w:val="007729D9"/>
    <w:rsid w:val="00772F62"/>
    <w:rsid w:val="00773CC8"/>
    <w:rsid w:val="0077481E"/>
    <w:rsid w:val="007749F8"/>
    <w:rsid w:val="00774D79"/>
    <w:rsid w:val="007750A6"/>
    <w:rsid w:val="00775123"/>
    <w:rsid w:val="0077518E"/>
    <w:rsid w:val="00776D76"/>
    <w:rsid w:val="00776D8F"/>
    <w:rsid w:val="00777C4E"/>
    <w:rsid w:val="00780A66"/>
    <w:rsid w:val="00780FC1"/>
    <w:rsid w:val="00781074"/>
    <w:rsid w:val="0078132E"/>
    <w:rsid w:val="00781F23"/>
    <w:rsid w:val="007828F4"/>
    <w:rsid w:val="0078296A"/>
    <w:rsid w:val="00783DB6"/>
    <w:rsid w:val="00784F92"/>
    <w:rsid w:val="0078504D"/>
    <w:rsid w:val="00785488"/>
    <w:rsid w:val="007858A3"/>
    <w:rsid w:val="00785AEE"/>
    <w:rsid w:val="007863D1"/>
    <w:rsid w:val="007871C2"/>
    <w:rsid w:val="00787245"/>
    <w:rsid w:val="007908E0"/>
    <w:rsid w:val="00791542"/>
    <w:rsid w:val="0079181A"/>
    <w:rsid w:val="0079244E"/>
    <w:rsid w:val="00792AE8"/>
    <w:rsid w:val="00793175"/>
    <w:rsid w:val="007941C2"/>
    <w:rsid w:val="0079424F"/>
    <w:rsid w:val="0079450F"/>
    <w:rsid w:val="00794A1F"/>
    <w:rsid w:val="007953CE"/>
    <w:rsid w:val="00795B74"/>
    <w:rsid w:val="007966E6"/>
    <w:rsid w:val="0079725B"/>
    <w:rsid w:val="00797F67"/>
    <w:rsid w:val="007A0FB0"/>
    <w:rsid w:val="007A1DC6"/>
    <w:rsid w:val="007A453C"/>
    <w:rsid w:val="007A547B"/>
    <w:rsid w:val="007A6329"/>
    <w:rsid w:val="007A642D"/>
    <w:rsid w:val="007A6C62"/>
    <w:rsid w:val="007B090B"/>
    <w:rsid w:val="007B1069"/>
    <w:rsid w:val="007B119E"/>
    <w:rsid w:val="007B2279"/>
    <w:rsid w:val="007B2FF7"/>
    <w:rsid w:val="007B33D8"/>
    <w:rsid w:val="007B3467"/>
    <w:rsid w:val="007B38F3"/>
    <w:rsid w:val="007B3B57"/>
    <w:rsid w:val="007B3D73"/>
    <w:rsid w:val="007B5473"/>
    <w:rsid w:val="007B726D"/>
    <w:rsid w:val="007B7EF3"/>
    <w:rsid w:val="007C00CA"/>
    <w:rsid w:val="007C03B3"/>
    <w:rsid w:val="007C12C1"/>
    <w:rsid w:val="007C38F1"/>
    <w:rsid w:val="007C4496"/>
    <w:rsid w:val="007C4F11"/>
    <w:rsid w:val="007C53FB"/>
    <w:rsid w:val="007C6703"/>
    <w:rsid w:val="007C6828"/>
    <w:rsid w:val="007C6CA4"/>
    <w:rsid w:val="007D0773"/>
    <w:rsid w:val="007D2599"/>
    <w:rsid w:val="007D38F8"/>
    <w:rsid w:val="007D3A01"/>
    <w:rsid w:val="007D3B5E"/>
    <w:rsid w:val="007D3C25"/>
    <w:rsid w:val="007D46A7"/>
    <w:rsid w:val="007D625F"/>
    <w:rsid w:val="007D760B"/>
    <w:rsid w:val="007E1C81"/>
    <w:rsid w:val="007E67D3"/>
    <w:rsid w:val="007E6F95"/>
    <w:rsid w:val="007E71D7"/>
    <w:rsid w:val="007F0283"/>
    <w:rsid w:val="007F12F9"/>
    <w:rsid w:val="007F3187"/>
    <w:rsid w:val="007F3791"/>
    <w:rsid w:val="007F4316"/>
    <w:rsid w:val="007F6EA9"/>
    <w:rsid w:val="008013F1"/>
    <w:rsid w:val="00801BAA"/>
    <w:rsid w:val="00801BC1"/>
    <w:rsid w:val="00802E5B"/>
    <w:rsid w:val="008033A3"/>
    <w:rsid w:val="008037FB"/>
    <w:rsid w:val="00803AE5"/>
    <w:rsid w:val="008040DE"/>
    <w:rsid w:val="00804949"/>
    <w:rsid w:val="0080554D"/>
    <w:rsid w:val="0080599C"/>
    <w:rsid w:val="00805C7D"/>
    <w:rsid w:val="00807669"/>
    <w:rsid w:val="008101C2"/>
    <w:rsid w:val="008111A7"/>
    <w:rsid w:val="00811906"/>
    <w:rsid w:val="00811F55"/>
    <w:rsid w:val="0081216E"/>
    <w:rsid w:val="008132F7"/>
    <w:rsid w:val="00814130"/>
    <w:rsid w:val="0081439D"/>
    <w:rsid w:val="00814848"/>
    <w:rsid w:val="008157FC"/>
    <w:rsid w:val="00815C52"/>
    <w:rsid w:val="00816909"/>
    <w:rsid w:val="00817013"/>
    <w:rsid w:val="008172E0"/>
    <w:rsid w:val="00817900"/>
    <w:rsid w:val="00821161"/>
    <w:rsid w:val="00821D93"/>
    <w:rsid w:val="00821E43"/>
    <w:rsid w:val="00822914"/>
    <w:rsid w:val="008238E9"/>
    <w:rsid w:val="0082403F"/>
    <w:rsid w:val="008244FF"/>
    <w:rsid w:val="0082472F"/>
    <w:rsid w:val="00824ABD"/>
    <w:rsid w:val="0083417A"/>
    <w:rsid w:val="00834442"/>
    <w:rsid w:val="00834990"/>
    <w:rsid w:val="00835AE2"/>
    <w:rsid w:val="00836C27"/>
    <w:rsid w:val="00837080"/>
    <w:rsid w:val="008374AE"/>
    <w:rsid w:val="008378C9"/>
    <w:rsid w:val="00837983"/>
    <w:rsid w:val="008405D6"/>
    <w:rsid w:val="00840608"/>
    <w:rsid w:val="008413D1"/>
    <w:rsid w:val="00841F82"/>
    <w:rsid w:val="00843157"/>
    <w:rsid w:val="0084331E"/>
    <w:rsid w:val="00844122"/>
    <w:rsid w:val="008441E0"/>
    <w:rsid w:val="008443E6"/>
    <w:rsid w:val="00844B3E"/>
    <w:rsid w:val="00845167"/>
    <w:rsid w:val="00850BB8"/>
    <w:rsid w:val="00850DE7"/>
    <w:rsid w:val="00851218"/>
    <w:rsid w:val="00851C1D"/>
    <w:rsid w:val="00852B8B"/>
    <w:rsid w:val="00853404"/>
    <w:rsid w:val="0085382C"/>
    <w:rsid w:val="008540D0"/>
    <w:rsid w:val="0085483E"/>
    <w:rsid w:val="00855700"/>
    <w:rsid w:val="00855750"/>
    <w:rsid w:val="0085592B"/>
    <w:rsid w:val="00857025"/>
    <w:rsid w:val="00857308"/>
    <w:rsid w:val="00857CFD"/>
    <w:rsid w:val="008612BA"/>
    <w:rsid w:val="00861535"/>
    <w:rsid w:val="00861F57"/>
    <w:rsid w:val="00862500"/>
    <w:rsid w:val="00862F94"/>
    <w:rsid w:val="00863F47"/>
    <w:rsid w:val="008641DD"/>
    <w:rsid w:val="0086487D"/>
    <w:rsid w:val="008650CA"/>
    <w:rsid w:val="0086641D"/>
    <w:rsid w:val="00866BE4"/>
    <w:rsid w:val="00866DDA"/>
    <w:rsid w:val="0086754F"/>
    <w:rsid w:val="00871060"/>
    <w:rsid w:val="008718DB"/>
    <w:rsid w:val="00871BC7"/>
    <w:rsid w:val="00871BD3"/>
    <w:rsid w:val="00872A3D"/>
    <w:rsid w:val="008734D0"/>
    <w:rsid w:val="00873620"/>
    <w:rsid w:val="00873D5F"/>
    <w:rsid w:val="00873D97"/>
    <w:rsid w:val="00873E28"/>
    <w:rsid w:val="0087513E"/>
    <w:rsid w:val="00875355"/>
    <w:rsid w:val="008765EC"/>
    <w:rsid w:val="00876B0C"/>
    <w:rsid w:val="00876CF3"/>
    <w:rsid w:val="00876D04"/>
    <w:rsid w:val="0087723D"/>
    <w:rsid w:val="00880317"/>
    <w:rsid w:val="00881ECC"/>
    <w:rsid w:val="0088208B"/>
    <w:rsid w:val="008824E3"/>
    <w:rsid w:val="00885307"/>
    <w:rsid w:val="00885511"/>
    <w:rsid w:val="00885E14"/>
    <w:rsid w:val="00886312"/>
    <w:rsid w:val="00886C29"/>
    <w:rsid w:val="00887259"/>
    <w:rsid w:val="00887A0F"/>
    <w:rsid w:val="00887F6C"/>
    <w:rsid w:val="00890A40"/>
    <w:rsid w:val="0089165A"/>
    <w:rsid w:val="00891B07"/>
    <w:rsid w:val="008923C2"/>
    <w:rsid w:val="00892632"/>
    <w:rsid w:val="00892676"/>
    <w:rsid w:val="00893F54"/>
    <w:rsid w:val="00895277"/>
    <w:rsid w:val="00895DD7"/>
    <w:rsid w:val="00895FA1"/>
    <w:rsid w:val="00896135"/>
    <w:rsid w:val="008965EB"/>
    <w:rsid w:val="00896AFC"/>
    <w:rsid w:val="00896D82"/>
    <w:rsid w:val="008A31FF"/>
    <w:rsid w:val="008A3DFB"/>
    <w:rsid w:val="008A4746"/>
    <w:rsid w:val="008A5127"/>
    <w:rsid w:val="008A5B51"/>
    <w:rsid w:val="008A5CC0"/>
    <w:rsid w:val="008A5F39"/>
    <w:rsid w:val="008A645E"/>
    <w:rsid w:val="008A706F"/>
    <w:rsid w:val="008A7E84"/>
    <w:rsid w:val="008B065B"/>
    <w:rsid w:val="008B0673"/>
    <w:rsid w:val="008B1742"/>
    <w:rsid w:val="008B2365"/>
    <w:rsid w:val="008B26D2"/>
    <w:rsid w:val="008B38CB"/>
    <w:rsid w:val="008B4C0B"/>
    <w:rsid w:val="008B5499"/>
    <w:rsid w:val="008B604E"/>
    <w:rsid w:val="008B73EE"/>
    <w:rsid w:val="008B7FF1"/>
    <w:rsid w:val="008C15D7"/>
    <w:rsid w:val="008C243D"/>
    <w:rsid w:val="008C3855"/>
    <w:rsid w:val="008C3862"/>
    <w:rsid w:val="008C3A8E"/>
    <w:rsid w:val="008C4084"/>
    <w:rsid w:val="008C44D8"/>
    <w:rsid w:val="008C490E"/>
    <w:rsid w:val="008C4D89"/>
    <w:rsid w:val="008C65EB"/>
    <w:rsid w:val="008C6F05"/>
    <w:rsid w:val="008D075A"/>
    <w:rsid w:val="008D267D"/>
    <w:rsid w:val="008D32FA"/>
    <w:rsid w:val="008D4829"/>
    <w:rsid w:val="008D53F4"/>
    <w:rsid w:val="008D5594"/>
    <w:rsid w:val="008D5628"/>
    <w:rsid w:val="008D6AA2"/>
    <w:rsid w:val="008D6AA6"/>
    <w:rsid w:val="008D740A"/>
    <w:rsid w:val="008D74DB"/>
    <w:rsid w:val="008E0C04"/>
    <w:rsid w:val="008E1208"/>
    <w:rsid w:val="008E16FC"/>
    <w:rsid w:val="008E2649"/>
    <w:rsid w:val="008E27FE"/>
    <w:rsid w:val="008E281A"/>
    <w:rsid w:val="008E2BE8"/>
    <w:rsid w:val="008E3C47"/>
    <w:rsid w:val="008E3F4F"/>
    <w:rsid w:val="008E4081"/>
    <w:rsid w:val="008E42B8"/>
    <w:rsid w:val="008E47E7"/>
    <w:rsid w:val="008E4869"/>
    <w:rsid w:val="008E49EF"/>
    <w:rsid w:val="008E4C09"/>
    <w:rsid w:val="008E548F"/>
    <w:rsid w:val="008E66D3"/>
    <w:rsid w:val="008E6946"/>
    <w:rsid w:val="008E71BB"/>
    <w:rsid w:val="008E742D"/>
    <w:rsid w:val="008E756B"/>
    <w:rsid w:val="008E7E05"/>
    <w:rsid w:val="008F0961"/>
    <w:rsid w:val="008F12E9"/>
    <w:rsid w:val="008F15A6"/>
    <w:rsid w:val="008F183F"/>
    <w:rsid w:val="008F19D9"/>
    <w:rsid w:val="008F2610"/>
    <w:rsid w:val="008F28CC"/>
    <w:rsid w:val="008F31FE"/>
    <w:rsid w:val="008F4B3F"/>
    <w:rsid w:val="008F50EB"/>
    <w:rsid w:val="008F5E7A"/>
    <w:rsid w:val="008F5F3B"/>
    <w:rsid w:val="008F6006"/>
    <w:rsid w:val="008F61B1"/>
    <w:rsid w:val="008F63D7"/>
    <w:rsid w:val="008F64E6"/>
    <w:rsid w:val="008F6CCB"/>
    <w:rsid w:val="008F6F4D"/>
    <w:rsid w:val="008F77C0"/>
    <w:rsid w:val="008F7EFB"/>
    <w:rsid w:val="0090221C"/>
    <w:rsid w:val="00902533"/>
    <w:rsid w:val="0090280D"/>
    <w:rsid w:val="009045FA"/>
    <w:rsid w:val="00904EC8"/>
    <w:rsid w:val="009050A4"/>
    <w:rsid w:val="00905618"/>
    <w:rsid w:val="009106C8"/>
    <w:rsid w:val="00910D2B"/>
    <w:rsid w:val="00910E86"/>
    <w:rsid w:val="00911FB1"/>
    <w:rsid w:val="009123F7"/>
    <w:rsid w:val="0091466D"/>
    <w:rsid w:val="00914A8D"/>
    <w:rsid w:val="0091597E"/>
    <w:rsid w:val="00915A77"/>
    <w:rsid w:val="00915BE2"/>
    <w:rsid w:val="00916082"/>
    <w:rsid w:val="0091640A"/>
    <w:rsid w:val="0091668F"/>
    <w:rsid w:val="0091728E"/>
    <w:rsid w:val="009177B6"/>
    <w:rsid w:val="00917F53"/>
    <w:rsid w:val="0092185B"/>
    <w:rsid w:val="009226E5"/>
    <w:rsid w:val="00922764"/>
    <w:rsid w:val="00924678"/>
    <w:rsid w:val="0092527A"/>
    <w:rsid w:val="00925CFE"/>
    <w:rsid w:val="00927525"/>
    <w:rsid w:val="0093006D"/>
    <w:rsid w:val="009303B6"/>
    <w:rsid w:val="009308B1"/>
    <w:rsid w:val="00930ADB"/>
    <w:rsid w:val="00930D26"/>
    <w:rsid w:val="00931CC2"/>
    <w:rsid w:val="00934B94"/>
    <w:rsid w:val="00937524"/>
    <w:rsid w:val="00941569"/>
    <w:rsid w:val="00941640"/>
    <w:rsid w:val="00941A9C"/>
    <w:rsid w:val="00941BDE"/>
    <w:rsid w:val="00941D95"/>
    <w:rsid w:val="00942253"/>
    <w:rsid w:val="00942405"/>
    <w:rsid w:val="00942EEA"/>
    <w:rsid w:val="00943C97"/>
    <w:rsid w:val="00945266"/>
    <w:rsid w:val="00945BAE"/>
    <w:rsid w:val="00946257"/>
    <w:rsid w:val="009504BE"/>
    <w:rsid w:val="009505BE"/>
    <w:rsid w:val="0095075D"/>
    <w:rsid w:val="00951C6A"/>
    <w:rsid w:val="00953447"/>
    <w:rsid w:val="009538A3"/>
    <w:rsid w:val="0095430A"/>
    <w:rsid w:val="00954883"/>
    <w:rsid w:val="00956187"/>
    <w:rsid w:val="0095618B"/>
    <w:rsid w:val="009578BA"/>
    <w:rsid w:val="00957C23"/>
    <w:rsid w:val="009609B2"/>
    <w:rsid w:val="00960B51"/>
    <w:rsid w:val="00960C14"/>
    <w:rsid w:val="00961418"/>
    <w:rsid w:val="0096177F"/>
    <w:rsid w:val="00962297"/>
    <w:rsid w:val="0096274A"/>
    <w:rsid w:val="00962A6B"/>
    <w:rsid w:val="00963BD0"/>
    <w:rsid w:val="00963D13"/>
    <w:rsid w:val="0096427B"/>
    <w:rsid w:val="00964FFE"/>
    <w:rsid w:val="009654F5"/>
    <w:rsid w:val="00965ACE"/>
    <w:rsid w:val="009668BA"/>
    <w:rsid w:val="00967A68"/>
    <w:rsid w:val="00967AE4"/>
    <w:rsid w:val="00970BA1"/>
    <w:rsid w:val="00970F85"/>
    <w:rsid w:val="0097159A"/>
    <w:rsid w:val="0097163E"/>
    <w:rsid w:val="009717CA"/>
    <w:rsid w:val="00971CBB"/>
    <w:rsid w:val="00972921"/>
    <w:rsid w:val="00972945"/>
    <w:rsid w:val="009734BC"/>
    <w:rsid w:val="00973CB8"/>
    <w:rsid w:val="00975178"/>
    <w:rsid w:val="00976E8B"/>
    <w:rsid w:val="00980EC4"/>
    <w:rsid w:val="00982F90"/>
    <w:rsid w:val="00983791"/>
    <w:rsid w:val="00984F53"/>
    <w:rsid w:val="00984FF2"/>
    <w:rsid w:val="009855D7"/>
    <w:rsid w:val="00985625"/>
    <w:rsid w:val="00985D96"/>
    <w:rsid w:val="0098688A"/>
    <w:rsid w:val="00986DA2"/>
    <w:rsid w:val="009871AA"/>
    <w:rsid w:val="00992918"/>
    <w:rsid w:val="00993360"/>
    <w:rsid w:val="009937C7"/>
    <w:rsid w:val="009944BD"/>
    <w:rsid w:val="00994EED"/>
    <w:rsid w:val="0099543B"/>
    <w:rsid w:val="00995751"/>
    <w:rsid w:val="00996861"/>
    <w:rsid w:val="009971E6"/>
    <w:rsid w:val="00997266"/>
    <w:rsid w:val="009A1FCF"/>
    <w:rsid w:val="009A32D0"/>
    <w:rsid w:val="009A3A0C"/>
    <w:rsid w:val="009A3CE9"/>
    <w:rsid w:val="009A4C24"/>
    <w:rsid w:val="009A594C"/>
    <w:rsid w:val="009A5AF7"/>
    <w:rsid w:val="009A605B"/>
    <w:rsid w:val="009A78B7"/>
    <w:rsid w:val="009A7ADB"/>
    <w:rsid w:val="009A7B44"/>
    <w:rsid w:val="009B0030"/>
    <w:rsid w:val="009B12CA"/>
    <w:rsid w:val="009B172B"/>
    <w:rsid w:val="009B1990"/>
    <w:rsid w:val="009B1EAE"/>
    <w:rsid w:val="009B4B78"/>
    <w:rsid w:val="009B55C4"/>
    <w:rsid w:val="009B6342"/>
    <w:rsid w:val="009B6571"/>
    <w:rsid w:val="009B739B"/>
    <w:rsid w:val="009B7A63"/>
    <w:rsid w:val="009B7E72"/>
    <w:rsid w:val="009C1253"/>
    <w:rsid w:val="009C12CA"/>
    <w:rsid w:val="009C1C89"/>
    <w:rsid w:val="009C1CA3"/>
    <w:rsid w:val="009C242D"/>
    <w:rsid w:val="009C31FD"/>
    <w:rsid w:val="009C4CF3"/>
    <w:rsid w:val="009C570C"/>
    <w:rsid w:val="009C5DC1"/>
    <w:rsid w:val="009C6125"/>
    <w:rsid w:val="009C6707"/>
    <w:rsid w:val="009C7249"/>
    <w:rsid w:val="009D1130"/>
    <w:rsid w:val="009D113B"/>
    <w:rsid w:val="009D386E"/>
    <w:rsid w:val="009D4BBC"/>
    <w:rsid w:val="009D524C"/>
    <w:rsid w:val="009D53AC"/>
    <w:rsid w:val="009D5F23"/>
    <w:rsid w:val="009D7243"/>
    <w:rsid w:val="009D7259"/>
    <w:rsid w:val="009E080C"/>
    <w:rsid w:val="009E12A6"/>
    <w:rsid w:val="009E28B5"/>
    <w:rsid w:val="009E2B0B"/>
    <w:rsid w:val="009E3588"/>
    <w:rsid w:val="009E38DB"/>
    <w:rsid w:val="009E413A"/>
    <w:rsid w:val="009E4FDC"/>
    <w:rsid w:val="009E5682"/>
    <w:rsid w:val="009E5BB9"/>
    <w:rsid w:val="009E648B"/>
    <w:rsid w:val="009E733E"/>
    <w:rsid w:val="009E77F0"/>
    <w:rsid w:val="009F10A0"/>
    <w:rsid w:val="009F1101"/>
    <w:rsid w:val="009F11D5"/>
    <w:rsid w:val="009F24EC"/>
    <w:rsid w:val="009F3704"/>
    <w:rsid w:val="009F39E5"/>
    <w:rsid w:val="009F4957"/>
    <w:rsid w:val="009F5485"/>
    <w:rsid w:val="009F5A6C"/>
    <w:rsid w:val="009F7CC3"/>
    <w:rsid w:val="00A00977"/>
    <w:rsid w:val="00A00AD2"/>
    <w:rsid w:val="00A00D7B"/>
    <w:rsid w:val="00A016D1"/>
    <w:rsid w:val="00A01D7C"/>
    <w:rsid w:val="00A03C85"/>
    <w:rsid w:val="00A04603"/>
    <w:rsid w:val="00A051E5"/>
    <w:rsid w:val="00A05628"/>
    <w:rsid w:val="00A07D60"/>
    <w:rsid w:val="00A1114B"/>
    <w:rsid w:val="00A11C50"/>
    <w:rsid w:val="00A1229C"/>
    <w:rsid w:val="00A12475"/>
    <w:rsid w:val="00A132CA"/>
    <w:rsid w:val="00A13672"/>
    <w:rsid w:val="00A13BEE"/>
    <w:rsid w:val="00A14455"/>
    <w:rsid w:val="00A14ECD"/>
    <w:rsid w:val="00A15409"/>
    <w:rsid w:val="00A157F2"/>
    <w:rsid w:val="00A16597"/>
    <w:rsid w:val="00A166D2"/>
    <w:rsid w:val="00A16C6E"/>
    <w:rsid w:val="00A20871"/>
    <w:rsid w:val="00A20FE8"/>
    <w:rsid w:val="00A237AF"/>
    <w:rsid w:val="00A2404B"/>
    <w:rsid w:val="00A24145"/>
    <w:rsid w:val="00A2447B"/>
    <w:rsid w:val="00A25E43"/>
    <w:rsid w:val="00A25EDC"/>
    <w:rsid w:val="00A2718D"/>
    <w:rsid w:val="00A30AA8"/>
    <w:rsid w:val="00A312C8"/>
    <w:rsid w:val="00A313F0"/>
    <w:rsid w:val="00A32380"/>
    <w:rsid w:val="00A32443"/>
    <w:rsid w:val="00A3257B"/>
    <w:rsid w:val="00A32AAA"/>
    <w:rsid w:val="00A335C7"/>
    <w:rsid w:val="00A34268"/>
    <w:rsid w:val="00A344E3"/>
    <w:rsid w:val="00A34637"/>
    <w:rsid w:val="00A3473F"/>
    <w:rsid w:val="00A35EE7"/>
    <w:rsid w:val="00A363D6"/>
    <w:rsid w:val="00A36829"/>
    <w:rsid w:val="00A36F7E"/>
    <w:rsid w:val="00A36FFE"/>
    <w:rsid w:val="00A37A86"/>
    <w:rsid w:val="00A400EC"/>
    <w:rsid w:val="00A404E2"/>
    <w:rsid w:val="00A40959"/>
    <w:rsid w:val="00A42027"/>
    <w:rsid w:val="00A439A0"/>
    <w:rsid w:val="00A43EEE"/>
    <w:rsid w:val="00A44522"/>
    <w:rsid w:val="00A445CD"/>
    <w:rsid w:val="00A44846"/>
    <w:rsid w:val="00A45A8E"/>
    <w:rsid w:val="00A46CF4"/>
    <w:rsid w:val="00A46E6E"/>
    <w:rsid w:val="00A51008"/>
    <w:rsid w:val="00A51D1F"/>
    <w:rsid w:val="00A52362"/>
    <w:rsid w:val="00A53109"/>
    <w:rsid w:val="00A53D82"/>
    <w:rsid w:val="00A54C9C"/>
    <w:rsid w:val="00A56260"/>
    <w:rsid w:val="00A57D4D"/>
    <w:rsid w:val="00A60535"/>
    <w:rsid w:val="00A607CF"/>
    <w:rsid w:val="00A6161D"/>
    <w:rsid w:val="00A617C7"/>
    <w:rsid w:val="00A61EF1"/>
    <w:rsid w:val="00A628DA"/>
    <w:rsid w:val="00A63317"/>
    <w:rsid w:val="00A63D72"/>
    <w:rsid w:val="00A63D9A"/>
    <w:rsid w:val="00A6682E"/>
    <w:rsid w:val="00A66F50"/>
    <w:rsid w:val="00A66FB5"/>
    <w:rsid w:val="00A706C4"/>
    <w:rsid w:val="00A70FE7"/>
    <w:rsid w:val="00A71350"/>
    <w:rsid w:val="00A71C69"/>
    <w:rsid w:val="00A7245F"/>
    <w:rsid w:val="00A747A3"/>
    <w:rsid w:val="00A755B4"/>
    <w:rsid w:val="00A757D1"/>
    <w:rsid w:val="00A75A95"/>
    <w:rsid w:val="00A75FB5"/>
    <w:rsid w:val="00A76D80"/>
    <w:rsid w:val="00A8037D"/>
    <w:rsid w:val="00A807CC"/>
    <w:rsid w:val="00A810A4"/>
    <w:rsid w:val="00A81AEC"/>
    <w:rsid w:val="00A824A3"/>
    <w:rsid w:val="00A825FD"/>
    <w:rsid w:val="00A83E02"/>
    <w:rsid w:val="00A85916"/>
    <w:rsid w:val="00A859CE"/>
    <w:rsid w:val="00A86C05"/>
    <w:rsid w:val="00A87012"/>
    <w:rsid w:val="00A876B7"/>
    <w:rsid w:val="00A9163D"/>
    <w:rsid w:val="00A9391B"/>
    <w:rsid w:val="00A93ECE"/>
    <w:rsid w:val="00A94336"/>
    <w:rsid w:val="00A94841"/>
    <w:rsid w:val="00A95035"/>
    <w:rsid w:val="00A95216"/>
    <w:rsid w:val="00A95419"/>
    <w:rsid w:val="00A95471"/>
    <w:rsid w:val="00A9598A"/>
    <w:rsid w:val="00A95999"/>
    <w:rsid w:val="00A95EE3"/>
    <w:rsid w:val="00A96221"/>
    <w:rsid w:val="00A966B6"/>
    <w:rsid w:val="00AA037A"/>
    <w:rsid w:val="00AA12A3"/>
    <w:rsid w:val="00AA17BA"/>
    <w:rsid w:val="00AA1885"/>
    <w:rsid w:val="00AA1EB2"/>
    <w:rsid w:val="00AA2177"/>
    <w:rsid w:val="00AA4B7C"/>
    <w:rsid w:val="00AA4C1A"/>
    <w:rsid w:val="00AA5289"/>
    <w:rsid w:val="00AA5B80"/>
    <w:rsid w:val="00AA618E"/>
    <w:rsid w:val="00AA722D"/>
    <w:rsid w:val="00AA7C20"/>
    <w:rsid w:val="00AA7FAA"/>
    <w:rsid w:val="00AB0B02"/>
    <w:rsid w:val="00AB185E"/>
    <w:rsid w:val="00AB27F1"/>
    <w:rsid w:val="00AB2B62"/>
    <w:rsid w:val="00AB2DB2"/>
    <w:rsid w:val="00AB365A"/>
    <w:rsid w:val="00AB48A6"/>
    <w:rsid w:val="00AB5BE8"/>
    <w:rsid w:val="00AB61B2"/>
    <w:rsid w:val="00AB69DA"/>
    <w:rsid w:val="00AB73C0"/>
    <w:rsid w:val="00AB7FC4"/>
    <w:rsid w:val="00AC0883"/>
    <w:rsid w:val="00AC0AEB"/>
    <w:rsid w:val="00AC28FB"/>
    <w:rsid w:val="00AC3AD0"/>
    <w:rsid w:val="00AC40C7"/>
    <w:rsid w:val="00AC5602"/>
    <w:rsid w:val="00AC5756"/>
    <w:rsid w:val="00AC6397"/>
    <w:rsid w:val="00AC66CE"/>
    <w:rsid w:val="00AC7032"/>
    <w:rsid w:val="00AC71FF"/>
    <w:rsid w:val="00AC7284"/>
    <w:rsid w:val="00AD030E"/>
    <w:rsid w:val="00AD05AB"/>
    <w:rsid w:val="00AD1F92"/>
    <w:rsid w:val="00AD3800"/>
    <w:rsid w:val="00AD53F3"/>
    <w:rsid w:val="00AD591B"/>
    <w:rsid w:val="00AD72A4"/>
    <w:rsid w:val="00AD7A00"/>
    <w:rsid w:val="00AE0412"/>
    <w:rsid w:val="00AE100D"/>
    <w:rsid w:val="00AE183D"/>
    <w:rsid w:val="00AE1A8D"/>
    <w:rsid w:val="00AE2113"/>
    <w:rsid w:val="00AE2448"/>
    <w:rsid w:val="00AE3109"/>
    <w:rsid w:val="00AE3903"/>
    <w:rsid w:val="00AE3F96"/>
    <w:rsid w:val="00AE4395"/>
    <w:rsid w:val="00AE5A17"/>
    <w:rsid w:val="00AE5CCF"/>
    <w:rsid w:val="00AE5F3B"/>
    <w:rsid w:val="00AE6052"/>
    <w:rsid w:val="00AE6173"/>
    <w:rsid w:val="00AF1BA6"/>
    <w:rsid w:val="00AF29F0"/>
    <w:rsid w:val="00AF47AB"/>
    <w:rsid w:val="00AF5BB5"/>
    <w:rsid w:val="00AF5DA9"/>
    <w:rsid w:val="00AF63BA"/>
    <w:rsid w:val="00AF67EA"/>
    <w:rsid w:val="00AF74DC"/>
    <w:rsid w:val="00AF77EA"/>
    <w:rsid w:val="00AF79A9"/>
    <w:rsid w:val="00B003FC"/>
    <w:rsid w:val="00B01FAF"/>
    <w:rsid w:val="00B02649"/>
    <w:rsid w:val="00B02EB1"/>
    <w:rsid w:val="00B03063"/>
    <w:rsid w:val="00B035F5"/>
    <w:rsid w:val="00B03A1B"/>
    <w:rsid w:val="00B03F12"/>
    <w:rsid w:val="00B0537F"/>
    <w:rsid w:val="00B05822"/>
    <w:rsid w:val="00B074F1"/>
    <w:rsid w:val="00B10362"/>
    <w:rsid w:val="00B10ABE"/>
    <w:rsid w:val="00B10F13"/>
    <w:rsid w:val="00B1168A"/>
    <w:rsid w:val="00B1209F"/>
    <w:rsid w:val="00B13477"/>
    <w:rsid w:val="00B1427F"/>
    <w:rsid w:val="00B15E3B"/>
    <w:rsid w:val="00B16A90"/>
    <w:rsid w:val="00B1712E"/>
    <w:rsid w:val="00B17AA5"/>
    <w:rsid w:val="00B21E34"/>
    <w:rsid w:val="00B21E5D"/>
    <w:rsid w:val="00B22165"/>
    <w:rsid w:val="00B22D9F"/>
    <w:rsid w:val="00B23ECB"/>
    <w:rsid w:val="00B248CF"/>
    <w:rsid w:val="00B24F4C"/>
    <w:rsid w:val="00B258CB"/>
    <w:rsid w:val="00B25B6C"/>
    <w:rsid w:val="00B25DF5"/>
    <w:rsid w:val="00B26383"/>
    <w:rsid w:val="00B26B4A"/>
    <w:rsid w:val="00B26CD7"/>
    <w:rsid w:val="00B27A81"/>
    <w:rsid w:val="00B30FA0"/>
    <w:rsid w:val="00B31623"/>
    <w:rsid w:val="00B32142"/>
    <w:rsid w:val="00B32368"/>
    <w:rsid w:val="00B324DE"/>
    <w:rsid w:val="00B34897"/>
    <w:rsid w:val="00B3593E"/>
    <w:rsid w:val="00B35E85"/>
    <w:rsid w:val="00B36550"/>
    <w:rsid w:val="00B36E30"/>
    <w:rsid w:val="00B37080"/>
    <w:rsid w:val="00B3720A"/>
    <w:rsid w:val="00B37446"/>
    <w:rsid w:val="00B374D6"/>
    <w:rsid w:val="00B405AD"/>
    <w:rsid w:val="00B406E1"/>
    <w:rsid w:val="00B40740"/>
    <w:rsid w:val="00B40BD6"/>
    <w:rsid w:val="00B4179F"/>
    <w:rsid w:val="00B41B06"/>
    <w:rsid w:val="00B42955"/>
    <w:rsid w:val="00B436B0"/>
    <w:rsid w:val="00B439F1"/>
    <w:rsid w:val="00B45210"/>
    <w:rsid w:val="00B46213"/>
    <w:rsid w:val="00B46387"/>
    <w:rsid w:val="00B46D27"/>
    <w:rsid w:val="00B46E5A"/>
    <w:rsid w:val="00B50EB6"/>
    <w:rsid w:val="00B51E8F"/>
    <w:rsid w:val="00B52A7C"/>
    <w:rsid w:val="00B52B78"/>
    <w:rsid w:val="00B52F17"/>
    <w:rsid w:val="00B5357F"/>
    <w:rsid w:val="00B553A3"/>
    <w:rsid w:val="00B55F09"/>
    <w:rsid w:val="00B56690"/>
    <w:rsid w:val="00B5763D"/>
    <w:rsid w:val="00B57C63"/>
    <w:rsid w:val="00B630E6"/>
    <w:rsid w:val="00B63734"/>
    <w:rsid w:val="00B650BA"/>
    <w:rsid w:val="00B655DE"/>
    <w:rsid w:val="00B664A9"/>
    <w:rsid w:val="00B6654F"/>
    <w:rsid w:val="00B66CD7"/>
    <w:rsid w:val="00B67690"/>
    <w:rsid w:val="00B676E3"/>
    <w:rsid w:val="00B6796A"/>
    <w:rsid w:val="00B67CA5"/>
    <w:rsid w:val="00B7082A"/>
    <w:rsid w:val="00B71586"/>
    <w:rsid w:val="00B72631"/>
    <w:rsid w:val="00B7289F"/>
    <w:rsid w:val="00B7297D"/>
    <w:rsid w:val="00B72DF3"/>
    <w:rsid w:val="00B7349F"/>
    <w:rsid w:val="00B73B58"/>
    <w:rsid w:val="00B74055"/>
    <w:rsid w:val="00B74F0F"/>
    <w:rsid w:val="00B7550D"/>
    <w:rsid w:val="00B75782"/>
    <w:rsid w:val="00B75A2E"/>
    <w:rsid w:val="00B75DD4"/>
    <w:rsid w:val="00B75FDE"/>
    <w:rsid w:val="00B80CBA"/>
    <w:rsid w:val="00B825BB"/>
    <w:rsid w:val="00B82AD7"/>
    <w:rsid w:val="00B83855"/>
    <w:rsid w:val="00B83A5A"/>
    <w:rsid w:val="00B84C8D"/>
    <w:rsid w:val="00B871BF"/>
    <w:rsid w:val="00B8763F"/>
    <w:rsid w:val="00B90D62"/>
    <w:rsid w:val="00B91837"/>
    <w:rsid w:val="00B92963"/>
    <w:rsid w:val="00B93283"/>
    <w:rsid w:val="00B95020"/>
    <w:rsid w:val="00B956EC"/>
    <w:rsid w:val="00BA05C7"/>
    <w:rsid w:val="00BA1612"/>
    <w:rsid w:val="00BA1AC5"/>
    <w:rsid w:val="00BA1BEA"/>
    <w:rsid w:val="00BA2261"/>
    <w:rsid w:val="00BA3D3A"/>
    <w:rsid w:val="00BA41C1"/>
    <w:rsid w:val="00BA4407"/>
    <w:rsid w:val="00BA4943"/>
    <w:rsid w:val="00BA54E7"/>
    <w:rsid w:val="00BA55ED"/>
    <w:rsid w:val="00BA5916"/>
    <w:rsid w:val="00BA5991"/>
    <w:rsid w:val="00BA5D7F"/>
    <w:rsid w:val="00BA6873"/>
    <w:rsid w:val="00BA7121"/>
    <w:rsid w:val="00BA77A9"/>
    <w:rsid w:val="00BA787F"/>
    <w:rsid w:val="00BA7A5E"/>
    <w:rsid w:val="00BB0057"/>
    <w:rsid w:val="00BB0867"/>
    <w:rsid w:val="00BB0EFF"/>
    <w:rsid w:val="00BB137E"/>
    <w:rsid w:val="00BB14AB"/>
    <w:rsid w:val="00BB1841"/>
    <w:rsid w:val="00BB1F9D"/>
    <w:rsid w:val="00BB3FFD"/>
    <w:rsid w:val="00BB426C"/>
    <w:rsid w:val="00BB46E2"/>
    <w:rsid w:val="00BB5E92"/>
    <w:rsid w:val="00BB6903"/>
    <w:rsid w:val="00BB6BFD"/>
    <w:rsid w:val="00BB7F7F"/>
    <w:rsid w:val="00BC1091"/>
    <w:rsid w:val="00BC211D"/>
    <w:rsid w:val="00BC239A"/>
    <w:rsid w:val="00BC2785"/>
    <w:rsid w:val="00BC2A30"/>
    <w:rsid w:val="00BC2DB0"/>
    <w:rsid w:val="00BC324B"/>
    <w:rsid w:val="00BC3E95"/>
    <w:rsid w:val="00BC4133"/>
    <w:rsid w:val="00BC48FE"/>
    <w:rsid w:val="00BC5344"/>
    <w:rsid w:val="00BC722B"/>
    <w:rsid w:val="00BD161C"/>
    <w:rsid w:val="00BD20CA"/>
    <w:rsid w:val="00BD246B"/>
    <w:rsid w:val="00BD36D1"/>
    <w:rsid w:val="00BD3C36"/>
    <w:rsid w:val="00BD451E"/>
    <w:rsid w:val="00BD45E8"/>
    <w:rsid w:val="00BD542C"/>
    <w:rsid w:val="00BD6408"/>
    <w:rsid w:val="00BD7730"/>
    <w:rsid w:val="00BD79BD"/>
    <w:rsid w:val="00BE033E"/>
    <w:rsid w:val="00BE07EE"/>
    <w:rsid w:val="00BE0910"/>
    <w:rsid w:val="00BE14BA"/>
    <w:rsid w:val="00BE1C7C"/>
    <w:rsid w:val="00BE26FB"/>
    <w:rsid w:val="00BE3E15"/>
    <w:rsid w:val="00BE4174"/>
    <w:rsid w:val="00BE53DC"/>
    <w:rsid w:val="00BE5DE0"/>
    <w:rsid w:val="00BE7B70"/>
    <w:rsid w:val="00BE7F79"/>
    <w:rsid w:val="00BE7F9E"/>
    <w:rsid w:val="00BF009A"/>
    <w:rsid w:val="00BF021F"/>
    <w:rsid w:val="00BF0D93"/>
    <w:rsid w:val="00BF153F"/>
    <w:rsid w:val="00BF1E9B"/>
    <w:rsid w:val="00BF2557"/>
    <w:rsid w:val="00BF2649"/>
    <w:rsid w:val="00BF32E9"/>
    <w:rsid w:val="00BF4BDA"/>
    <w:rsid w:val="00BF4E24"/>
    <w:rsid w:val="00BF51F5"/>
    <w:rsid w:val="00BF6267"/>
    <w:rsid w:val="00BF63F1"/>
    <w:rsid w:val="00BF66BF"/>
    <w:rsid w:val="00BF7832"/>
    <w:rsid w:val="00C005A3"/>
    <w:rsid w:val="00C007BF"/>
    <w:rsid w:val="00C0128F"/>
    <w:rsid w:val="00C021C9"/>
    <w:rsid w:val="00C031E6"/>
    <w:rsid w:val="00C035E7"/>
    <w:rsid w:val="00C03BCA"/>
    <w:rsid w:val="00C04780"/>
    <w:rsid w:val="00C05CF7"/>
    <w:rsid w:val="00C0796B"/>
    <w:rsid w:val="00C1018F"/>
    <w:rsid w:val="00C10C6E"/>
    <w:rsid w:val="00C12C71"/>
    <w:rsid w:val="00C13631"/>
    <w:rsid w:val="00C13EF6"/>
    <w:rsid w:val="00C14879"/>
    <w:rsid w:val="00C1487C"/>
    <w:rsid w:val="00C14A73"/>
    <w:rsid w:val="00C14D3B"/>
    <w:rsid w:val="00C153A4"/>
    <w:rsid w:val="00C1699F"/>
    <w:rsid w:val="00C179FA"/>
    <w:rsid w:val="00C17FAB"/>
    <w:rsid w:val="00C204C2"/>
    <w:rsid w:val="00C20E3F"/>
    <w:rsid w:val="00C21845"/>
    <w:rsid w:val="00C21B5C"/>
    <w:rsid w:val="00C22B01"/>
    <w:rsid w:val="00C22BEA"/>
    <w:rsid w:val="00C2385C"/>
    <w:rsid w:val="00C23A4E"/>
    <w:rsid w:val="00C24497"/>
    <w:rsid w:val="00C26672"/>
    <w:rsid w:val="00C267FE"/>
    <w:rsid w:val="00C31C8A"/>
    <w:rsid w:val="00C324D4"/>
    <w:rsid w:val="00C33860"/>
    <w:rsid w:val="00C34351"/>
    <w:rsid w:val="00C346BF"/>
    <w:rsid w:val="00C36B58"/>
    <w:rsid w:val="00C37144"/>
    <w:rsid w:val="00C3749F"/>
    <w:rsid w:val="00C415F6"/>
    <w:rsid w:val="00C418F3"/>
    <w:rsid w:val="00C422D5"/>
    <w:rsid w:val="00C42A7E"/>
    <w:rsid w:val="00C42A9E"/>
    <w:rsid w:val="00C42CC2"/>
    <w:rsid w:val="00C42D82"/>
    <w:rsid w:val="00C43147"/>
    <w:rsid w:val="00C43260"/>
    <w:rsid w:val="00C44A80"/>
    <w:rsid w:val="00C451A5"/>
    <w:rsid w:val="00C452E4"/>
    <w:rsid w:val="00C47C9B"/>
    <w:rsid w:val="00C47DCB"/>
    <w:rsid w:val="00C500E5"/>
    <w:rsid w:val="00C50283"/>
    <w:rsid w:val="00C508F3"/>
    <w:rsid w:val="00C5167A"/>
    <w:rsid w:val="00C534B1"/>
    <w:rsid w:val="00C538E5"/>
    <w:rsid w:val="00C546D1"/>
    <w:rsid w:val="00C54B04"/>
    <w:rsid w:val="00C5509A"/>
    <w:rsid w:val="00C55484"/>
    <w:rsid w:val="00C56BAA"/>
    <w:rsid w:val="00C57FE8"/>
    <w:rsid w:val="00C60329"/>
    <w:rsid w:val="00C60674"/>
    <w:rsid w:val="00C6176F"/>
    <w:rsid w:val="00C6327D"/>
    <w:rsid w:val="00C64CB7"/>
    <w:rsid w:val="00C64EBD"/>
    <w:rsid w:val="00C64FD3"/>
    <w:rsid w:val="00C66636"/>
    <w:rsid w:val="00C6685C"/>
    <w:rsid w:val="00C67235"/>
    <w:rsid w:val="00C700B8"/>
    <w:rsid w:val="00C70A92"/>
    <w:rsid w:val="00C7147E"/>
    <w:rsid w:val="00C71D68"/>
    <w:rsid w:val="00C721D2"/>
    <w:rsid w:val="00C72FEC"/>
    <w:rsid w:val="00C73B08"/>
    <w:rsid w:val="00C73F7D"/>
    <w:rsid w:val="00C74064"/>
    <w:rsid w:val="00C74454"/>
    <w:rsid w:val="00C762B9"/>
    <w:rsid w:val="00C779BA"/>
    <w:rsid w:val="00C8016A"/>
    <w:rsid w:val="00C80C3F"/>
    <w:rsid w:val="00C80CE8"/>
    <w:rsid w:val="00C823EF"/>
    <w:rsid w:val="00C82416"/>
    <w:rsid w:val="00C82EDE"/>
    <w:rsid w:val="00C8346F"/>
    <w:rsid w:val="00C83BFE"/>
    <w:rsid w:val="00C83D0B"/>
    <w:rsid w:val="00C84059"/>
    <w:rsid w:val="00C84E90"/>
    <w:rsid w:val="00C859BB"/>
    <w:rsid w:val="00C867FA"/>
    <w:rsid w:val="00C873D7"/>
    <w:rsid w:val="00C87739"/>
    <w:rsid w:val="00C87F5B"/>
    <w:rsid w:val="00C90289"/>
    <w:rsid w:val="00C90350"/>
    <w:rsid w:val="00C90AB2"/>
    <w:rsid w:val="00C90ABB"/>
    <w:rsid w:val="00C91235"/>
    <w:rsid w:val="00C91B08"/>
    <w:rsid w:val="00C91BF8"/>
    <w:rsid w:val="00C92292"/>
    <w:rsid w:val="00C9231C"/>
    <w:rsid w:val="00C9302F"/>
    <w:rsid w:val="00C93610"/>
    <w:rsid w:val="00C93D3A"/>
    <w:rsid w:val="00C94D18"/>
    <w:rsid w:val="00C951F7"/>
    <w:rsid w:val="00C96377"/>
    <w:rsid w:val="00C9644D"/>
    <w:rsid w:val="00C96C77"/>
    <w:rsid w:val="00C97D43"/>
    <w:rsid w:val="00CA1F18"/>
    <w:rsid w:val="00CA1F31"/>
    <w:rsid w:val="00CA21BF"/>
    <w:rsid w:val="00CA2315"/>
    <w:rsid w:val="00CA23FF"/>
    <w:rsid w:val="00CA247C"/>
    <w:rsid w:val="00CA24F1"/>
    <w:rsid w:val="00CA3539"/>
    <w:rsid w:val="00CA4424"/>
    <w:rsid w:val="00CA4896"/>
    <w:rsid w:val="00CA5404"/>
    <w:rsid w:val="00CA6C83"/>
    <w:rsid w:val="00CB0743"/>
    <w:rsid w:val="00CB1C47"/>
    <w:rsid w:val="00CB2A78"/>
    <w:rsid w:val="00CB2A80"/>
    <w:rsid w:val="00CB3C18"/>
    <w:rsid w:val="00CB41AE"/>
    <w:rsid w:val="00CB47DD"/>
    <w:rsid w:val="00CB5DCA"/>
    <w:rsid w:val="00CB616B"/>
    <w:rsid w:val="00CB616F"/>
    <w:rsid w:val="00CC01CD"/>
    <w:rsid w:val="00CC03FC"/>
    <w:rsid w:val="00CC14DF"/>
    <w:rsid w:val="00CC15A7"/>
    <w:rsid w:val="00CC1C4E"/>
    <w:rsid w:val="00CC3163"/>
    <w:rsid w:val="00CC3FEA"/>
    <w:rsid w:val="00CC4347"/>
    <w:rsid w:val="00CC4500"/>
    <w:rsid w:val="00CC4762"/>
    <w:rsid w:val="00CC49A3"/>
    <w:rsid w:val="00CC4A07"/>
    <w:rsid w:val="00CC4B5C"/>
    <w:rsid w:val="00CC5898"/>
    <w:rsid w:val="00CC6124"/>
    <w:rsid w:val="00CC6C40"/>
    <w:rsid w:val="00CD07E3"/>
    <w:rsid w:val="00CD0AF6"/>
    <w:rsid w:val="00CD2D00"/>
    <w:rsid w:val="00CD5921"/>
    <w:rsid w:val="00CD5A05"/>
    <w:rsid w:val="00CD6A5A"/>
    <w:rsid w:val="00CD7BFA"/>
    <w:rsid w:val="00CE16FD"/>
    <w:rsid w:val="00CE3C9D"/>
    <w:rsid w:val="00CE49D7"/>
    <w:rsid w:val="00CE5F2B"/>
    <w:rsid w:val="00CF0B04"/>
    <w:rsid w:val="00CF134A"/>
    <w:rsid w:val="00CF1755"/>
    <w:rsid w:val="00CF19C3"/>
    <w:rsid w:val="00CF32F6"/>
    <w:rsid w:val="00CF3755"/>
    <w:rsid w:val="00CF375D"/>
    <w:rsid w:val="00CF3B3A"/>
    <w:rsid w:val="00CF445E"/>
    <w:rsid w:val="00CF5597"/>
    <w:rsid w:val="00CF66D0"/>
    <w:rsid w:val="00CF6CDF"/>
    <w:rsid w:val="00CF72D2"/>
    <w:rsid w:val="00CF76CA"/>
    <w:rsid w:val="00D00DE6"/>
    <w:rsid w:val="00D00F77"/>
    <w:rsid w:val="00D0196B"/>
    <w:rsid w:val="00D01A3B"/>
    <w:rsid w:val="00D01EBB"/>
    <w:rsid w:val="00D028C4"/>
    <w:rsid w:val="00D03CDB"/>
    <w:rsid w:val="00D04394"/>
    <w:rsid w:val="00D04EAE"/>
    <w:rsid w:val="00D05C40"/>
    <w:rsid w:val="00D06026"/>
    <w:rsid w:val="00D0637C"/>
    <w:rsid w:val="00D071BB"/>
    <w:rsid w:val="00D07B75"/>
    <w:rsid w:val="00D10A1F"/>
    <w:rsid w:val="00D10A42"/>
    <w:rsid w:val="00D10FD4"/>
    <w:rsid w:val="00D11B87"/>
    <w:rsid w:val="00D120C7"/>
    <w:rsid w:val="00D120F0"/>
    <w:rsid w:val="00D14699"/>
    <w:rsid w:val="00D1519F"/>
    <w:rsid w:val="00D15231"/>
    <w:rsid w:val="00D15C39"/>
    <w:rsid w:val="00D16218"/>
    <w:rsid w:val="00D1632D"/>
    <w:rsid w:val="00D16538"/>
    <w:rsid w:val="00D17599"/>
    <w:rsid w:val="00D17822"/>
    <w:rsid w:val="00D17DA0"/>
    <w:rsid w:val="00D20AE6"/>
    <w:rsid w:val="00D213D8"/>
    <w:rsid w:val="00D213EB"/>
    <w:rsid w:val="00D21440"/>
    <w:rsid w:val="00D21510"/>
    <w:rsid w:val="00D215AD"/>
    <w:rsid w:val="00D2393F"/>
    <w:rsid w:val="00D2410D"/>
    <w:rsid w:val="00D271AF"/>
    <w:rsid w:val="00D30837"/>
    <w:rsid w:val="00D30CD3"/>
    <w:rsid w:val="00D30FA1"/>
    <w:rsid w:val="00D33A96"/>
    <w:rsid w:val="00D341C1"/>
    <w:rsid w:val="00D34CE9"/>
    <w:rsid w:val="00D34FEC"/>
    <w:rsid w:val="00D36217"/>
    <w:rsid w:val="00D36DA2"/>
    <w:rsid w:val="00D414E2"/>
    <w:rsid w:val="00D421A9"/>
    <w:rsid w:val="00D4401C"/>
    <w:rsid w:val="00D44702"/>
    <w:rsid w:val="00D453C6"/>
    <w:rsid w:val="00D46D99"/>
    <w:rsid w:val="00D509D3"/>
    <w:rsid w:val="00D50E43"/>
    <w:rsid w:val="00D5150F"/>
    <w:rsid w:val="00D52262"/>
    <w:rsid w:val="00D53E09"/>
    <w:rsid w:val="00D542A1"/>
    <w:rsid w:val="00D5486B"/>
    <w:rsid w:val="00D55AB1"/>
    <w:rsid w:val="00D55ADB"/>
    <w:rsid w:val="00D55D4C"/>
    <w:rsid w:val="00D57325"/>
    <w:rsid w:val="00D57F1F"/>
    <w:rsid w:val="00D57F41"/>
    <w:rsid w:val="00D6034C"/>
    <w:rsid w:val="00D61164"/>
    <w:rsid w:val="00D6256F"/>
    <w:rsid w:val="00D62672"/>
    <w:rsid w:val="00D62DB1"/>
    <w:rsid w:val="00D634AC"/>
    <w:rsid w:val="00D641F9"/>
    <w:rsid w:val="00D65362"/>
    <w:rsid w:val="00D65EF2"/>
    <w:rsid w:val="00D66333"/>
    <w:rsid w:val="00D665A6"/>
    <w:rsid w:val="00D67368"/>
    <w:rsid w:val="00D67DAD"/>
    <w:rsid w:val="00D704EB"/>
    <w:rsid w:val="00D70643"/>
    <w:rsid w:val="00D71110"/>
    <w:rsid w:val="00D718E7"/>
    <w:rsid w:val="00D71FB6"/>
    <w:rsid w:val="00D74794"/>
    <w:rsid w:val="00D74D97"/>
    <w:rsid w:val="00D75046"/>
    <w:rsid w:val="00D7636C"/>
    <w:rsid w:val="00D76900"/>
    <w:rsid w:val="00D80218"/>
    <w:rsid w:val="00D82B07"/>
    <w:rsid w:val="00D839C5"/>
    <w:rsid w:val="00D84990"/>
    <w:rsid w:val="00D85984"/>
    <w:rsid w:val="00D860EF"/>
    <w:rsid w:val="00D90254"/>
    <w:rsid w:val="00D909D7"/>
    <w:rsid w:val="00D91820"/>
    <w:rsid w:val="00D921B4"/>
    <w:rsid w:val="00D941CE"/>
    <w:rsid w:val="00D9534B"/>
    <w:rsid w:val="00D96587"/>
    <w:rsid w:val="00D96BEB"/>
    <w:rsid w:val="00D96F57"/>
    <w:rsid w:val="00D9715C"/>
    <w:rsid w:val="00DA0A54"/>
    <w:rsid w:val="00DA0C5E"/>
    <w:rsid w:val="00DA12F7"/>
    <w:rsid w:val="00DA1524"/>
    <w:rsid w:val="00DA15FA"/>
    <w:rsid w:val="00DA20CC"/>
    <w:rsid w:val="00DA2212"/>
    <w:rsid w:val="00DA272E"/>
    <w:rsid w:val="00DA3D18"/>
    <w:rsid w:val="00DA3F7B"/>
    <w:rsid w:val="00DA452B"/>
    <w:rsid w:val="00DA609C"/>
    <w:rsid w:val="00DA6C82"/>
    <w:rsid w:val="00DA75C4"/>
    <w:rsid w:val="00DA7CE1"/>
    <w:rsid w:val="00DB0453"/>
    <w:rsid w:val="00DB1691"/>
    <w:rsid w:val="00DB26A5"/>
    <w:rsid w:val="00DB26DD"/>
    <w:rsid w:val="00DB312C"/>
    <w:rsid w:val="00DB45FB"/>
    <w:rsid w:val="00DB63DF"/>
    <w:rsid w:val="00DC1613"/>
    <w:rsid w:val="00DC1FD3"/>
    <w:rsid w:val="00DC287E"/>
    <w:rsid w:val="00DC2D58"/>
    <w:rsid w:val="00DC385F"/>
    <w:rsid w:val="00DC3F6A"/>
    <w:rsid w:val="00DC5516"/>
    <w:rsid w:val="00DC59FC"/>
    <w:rsid w:val="00DC663E"/>
    <w:rsid w:val="00DC722F"/>
    <w:rsid w:val="00DC73AF"/>
    <w:rsid w:val="00DC7499"/>
    <w:rsid w:val="00DC783E"/>
    <w:rsid w:val="00DC79A5"/>
    <w:rsid w:val="00DD1F1E"/>
    <w:rsid w:val="00DD1F93"/>
    <w:rsid w:val="00DD2100"/>
    <w:rsid w:val="00DD23F0"/>
    <w:rsid w:val="00DD2A36"/>
    <w:rsid w:val="00DD2D83"/>
    <w:rsid w:val="00DD3A73"/>
    <w:rsid w:val="00DD47CF"/>
    <w:rsid w:val="00DD4B1A"/>
    <w:rsid w:val="00DD6909"/>
    <w:rsid w:val="00DD6B86"/>
    <w:rsid w:val="00DD7610"/>
    <w:rsid w:val="00DE0FF8"/>
    <w:rsid w:val="00DE12F1"/>
    <w:rsid w:val="00DE1FF9"/>
    <w:rsid w:val="00DE250F"/>
    <w:rsid w:val="00DE282A"/>
    <w:rsid w:val="00DE2AAE"/>
    <w:rsid w:val="00DE49DD"/>
    <w:rsid w:val="00DE54E0"/>
    <w:rsid w:val="00DE5805"/>
    <w:rsid w:val="00DE5D81"/>
    <w:rsid w:val="00DE5F30"/>
    <w:rsid w:val="00DE675C"/>
    <w:rsid w:val="00DE69F8"/>
    <w:rsid w:val="00DE6C16"/>
    <w:rsid w:val="00DE6CFF"/>
    <w:rsid w:val="00DF0C26"/>
    <w:rsid w:val="00DF1422"/>
    <w:rsid w:val="00DF3868"/>
    <w:rsid w:val="00DF3A92"/>
    <w:rsid w:val="00DF40D4"/>
    <w:rsid w:val="00DF48D6"/>
    <w:rsid w:val="00DF53E2"/>
    <w:rsid w:val="00DF7444"/>
    <w:rsid w:val="00E004AB"/>
    <w:rsid w:val="00E00555"/>
    <w:rsid w:val="00E0232D"/>
    <w:rsid w:val="00E02927"/>
    <w:rsid w:val="00E03E71"/>
    <w:rsid w:val="00E054EC"/>
    <w:rsid w:val="00E069CD"/>
    <w:rsid w:val="00E06C6A"/>
    <w:rsid w:val="00E101B5"/>
    <w:rsid w:val="00E10FC3"/>
    <w:rsid w:val="00E1170F"/>
    <w:rsid w:val="00E11806"/>
    <w:rsid w:val="00E12058"/>
    <w:rsid w:val="00E14022"/>
    <w:rsid w:val="00E1465D"/>
    <w:rsid w:val="00E14A8F"/>
    <w:rsid w:val="00E14E6E"/>
    <w:rsid w:val="00E1530A"/>
    <w:rsid w:val="00E1613C"/>
    <w:rsid w:val="00E16EE1"/>
    <w:rsid w:val="00E17468"/>
    <w:rsid w:val="00E17EF2"/>
    <w:rsid w:val="00E2035E"/>
    <w:rsid w:val="00E20568"/>
    <w:rsid w:val="00E2079B"/>
    <w:rsid w:val="00E20B52"/>
    <w:rsid w:val="00E215E4"/>
    <w:rsid w:val="00E2272C"/>
    <w:rsid w:val="00E2349F"/>
    <w:rsid w:val="00E23D26"/>
    <w:rsid w:val="00E2481E"/>
    <w:rsid w:val="00E25247"/>
    <w:rsid w:val="00E267E4"/>
    <w:rsid w:val="00E3054E"/>
    <w:rsid w:val="00E308F3"/>
    <w:rsid w:val="00E30ABC"/>
    <w:rsid w:val="00E313CA"/>
    <w:rsid w:val="00E315CE"/>
    <w:rsid w:val="00E31651"/>
    <w:rsid w:val="00E33290"/>
    <w:rsid w:val="00E33893"/>
    <w:rsid w:val="00E34069"/>
    <w:rsid w:val="00E34CCE"/>
    <w:rsid w:val="00E35678"/>
    <w:rsid w:val="00E356FB"/>
    <w:rsid w:val="00E35E7B"/>
    <w:rsid w:val="00E36206"/>
    <w:rsid w:val="00E36485"/>
    <w:rsid w:val="00E36500"/>
    <w:rsid w:val="00E37264"/>
    <w:rsid w:val="00E40BBF"/>
    <w:rsid w:val="00E420CE"/>
    <w:rsid w:val="00E43961"/>
    <w:rsid w:val="00E44B47"/>
    <w:rsid w:val="00E4588D"/>
    <w:rsid w:val="00E46B58"/>
    <w:rsid w:val="00E470A4"/>
    <w:rsid w:val="00E478EA"/>
    <w:rsid w:val="00E50D17"/>
    <w:rsid w:val="00E50F0A"/>
    <w:rsid w:val="00E514D6"/>
    <w:rsid w:val="00E553D3"/>
    <w:rsid w:val="00E56D4E"/>
    <w:rsid w:val="00E57040"/>
    <w:rsid w:val="00E57FC1"/>
    <w:rsid w:val="00E600A6"/>
    <w:rsid w:val="00E60782"/>
    <w:rsid w:val="00E60A25"/>
    <w:rsid w:val="00E610FB"/>
    <w:rsid w:val="00E61EF7"/>
    <w:rsid w:val="00E620D9"/>
    <w:rsid w:val="00E62A9E"/>
    <w:rsid w:val="00E62D19"/>
    <w:rsid w:val="00E6339A"/>
    <w:rsid w:val="00E63BEC"/>
    <w:rsid w:val="00E6467E"/>
    <w:rsid w:val="00E64D88"/>
    <w:rsid w:val="00E65114"/>
    <w:rsid w:val="00E66641"/>
    <w:rsid w:val="00E66DDD"/>
    <w:rsid w:val="00E6713D"/>
    <w:rsid w:val="00E70CD7"/>
    <w:rsid w:val="00E7110C"/>
    <w:rsid w:val="00E7189B"/>
    <w:rsid w:val="00E7255A"/>
    <w:rsid w:val="00E73630"/>
    <w:rsid w:val="00E738C3"/>
    <w:rsid w:val="00E73DE8"/>
    <w:rsid w:val="00E742B7"/>
    <w:rsid w:val="00E77826"/>
    <w:rsid w:val="00E82372"/>
    <w:rsid w:val="00E82A66"/>
    <w:rsid w:val="00E83042"/>
    <w:rsid w:val="00E836A2"/>
    <w:rsid w:val="00E83889"/>
    <w:rsid w:val="00E8445D"/>
    <w:rsid w:val="00E8528A"/>
    <w:rsid w:val="00E86D07"/>
    <w:rsid w:val="00E86F99"/>
    <w:rsid w:val="00E875A5"/>
    <w:rsid w:val="00E87641"/>
    <w:rsid w:val="00E87BBA"/>
    <w:rsid w:val="00E914A7"/>
    <w:rsid w:val="00E91649"/>
    <w:rsid w:val="00E91787"/>
    <w:rsid w:val="00E94592"/>
    <w:rsid w:val="00E94B42"/>
    <w:rsid w:val="00E95361"/>
    <w:rsid w:val="00E95A54"/>
    <w:rsid w:val="00E960C3"/>
    <w:rsid w:val="00E969A4"/>
    <w:rsid w:val="00E97F55"/>
    <w:rsid w:val="00EA0900"/>
    <w:rsid w:val="00EA0CEA"/>
    <w:rsid w:val="00EA1264"/>
    <w:rsid w:val="00EA1D93"/>
    <w:rsid w:val="00EA2CCD"/>
    <w:rsid w:val="00EA2DFF"/>
    <w:rsid w:val="00EA456B"/>
    <w:rsid w:val="00EA4911"/>
    <w:rsid w:val="00EA4DA9"/>
    <w:rsid w:val="00EA5145"/>
    <w:rsid w:val="00EA51B8"/>
    <w:rsid w:val="00EA6DB8"/>
    <w:rsid w:val="00EA72B7"/>
    <w:rsid w:val="00EA769F"/>
    <w:rsid w:val="00EB009A"/>
    <w:rsid w:val="00EB0D39"/>
    <w:rsid w:val="00EB0D3B"/>
    <w:rsid w:val="00EB109E"/>
    <w:rsid w:val="00EB174F"/>
    <w:rsid w:val="00EB1C64"/>
    <w:rsid w:val="00EB1E8F"/>
    <w:rsid w:val="00EB308C"/>
    <w:rsid w:val="00EB3386"/>
    <w:rsid w:val="00EB3638"/>
    <w:rsid w:val="00EB3887"/>
    <w:rsid w:val="00EB582A"/>
    <w:rsid w:val="00EB7D24"/>
    <w:rsid w:val="00EC038F"/>
    <w:rsid w:val="00EC2444"/>
    <w:rsid w:val="00EC37D2"/>
    <w:rsid w:val="00EC3C90"/>
    <w:rsid w:val="00EC3E2B"/>
    <w:rsid w:val="00EC4A80"/>
    <w:rsid w:val="00EC58B7"/>
    <w:rsid w:val="00EC5ED7"/>
    <w:rsid w:val="00EC636E"/>
    <w:rsid w:val="00EC676D"/>
    <w:rsid w:val="00EC6EE7"/>
    <w:rsid w:val="00EC79E0"/>
    <w:rsid w:val="00ED0E59"/>
    <w:rsid w:val="00ED136B"/>
    <w:rsid w:val="00ED193C"/>
    <w:rsid w:val="00ED2B75"/>
    <w:rsid w:val="00ED34F3"/>
    <w:rsid w:val="00ED3894"/>
    <w:rsid w:val="00ED478C"/>
    <w:rsid w:val="00EE224D"/>
    <w:rsid w:val="00EE22F7"/>
    <w:rsid w:val="00EE2A55"/>
    <w:rsid w:val="00EE2B84"/>
    <w:rsid w:val="00EE2C2C"/>
    <w:rsid w:val="00EE2CA9"/>
    <w:rsid w:val="00EE2D0A"/>
    <w:rsid w:val="00EE37D1"/>
    <w:rsid w:val="00EE4D94"/>
    <w:rsid w:val="00EE54F9"/>
    <w:rsid w:val="00EE5506"/>
    <w:rsid w:val="00EE5B80"/>
    <w:rsid w:val="00EE6F0D"/>
    <w:rsid w:val="00EE7188"/>
    <w:rsid w:val="00EF057D"/>
    <w:rsid w:val="00EF0B31"/>
    <w:rsid w:val="00EF0C93"/>
    <w:rsid w:val="00EF1564"/>
    <w:rsid w:val="00EF230F"/>
    <w:rsid w:val="00EF2B1B"/>
    <w:rsid w:val="00EF3652"/>
    <w:rsid w:val="00EF458C"/>
    <w:rsid w:val="00EF62A2"/>
    <w:rsid w:val="00EF6C72"/>
    <w:rsid w:val="00F00965"/>
    <w:rsid w:val="00F00AA1"/>
    <w:rsid w:val="00F00F7C"/>
    <w:rsid w:val="00F01CEA"/>
    <w:rsid w:val="00F01DFB"/>
    <w:rsid w:val="00F021DA"/>
    <w:rsid w:val="00F0247B"/>
    <w:rsid w:val="00F02D04"/>
    <w:rsid w:val="00F02F71"/>
    <w:rsid w:val="00F03060"/>
    <w:rsid w:val="00F03A66"/>
    <w:rsid w:val="00F04092"/>
    <w:rsid w:val="00F04859"/>
    <w:rsid w:val="00F07180"/>
    <w:rsid w:val="00F1023E"/>
    <w:rsid w:val="00F108D6"/>
    <w:rsid w:val="00F1128A"/>
    <w:rsid w:val="00F12229"/>
    <w:rsid w:val="00F1236B"/>
    <w:rsid w:val="00F12C3D"/>
    <w:rsid w:val="00F1518A"/>
    <w:rsid w:val="00F15414"/>
    <w:rsid w:val="00F15713"/>
    <w:rsid w:val="00F15E6B"/>
    <w:rsid w:val="00F20B24"/>
    <w:rsid w:val="00F20EEE"/>
    <w:rsid w:val="00F216A9"/>
    <w:rsid w:val="00F21E62"/>
    <w:rsid w:val="00F24151"/>
    <w:rsid w:val="00F248A1"/>
    <w:rsid w:val="00F249AB"/>
    <w:rsid w:val="00F25200"/>
    <w:rsid w:val="00F265F3"/>
    <w:rsid w:val="00F27477"/>
    <w:rsid w:val="00F27CE9"/>
    <w:rsid w:val="00F30BAB"/>
    <w:rsid w:val="00F30DA1"/>
    <w:rsid w:val="00F312B7"/>
    <w:rsid w:val="00F314A9"/>
    <w:rsid w:val="00F32C05"/>
    <w:rsid w:val="00F331D8"/>
    <w:rsid w:val="00F34E68"/>
    <w:rsid w:val="00F355DB"/>
    <w:rsid w:val="00F36B94"/>
    <w:rsid w:val="00F36E58"/>
    <w:rsid w:val="00F37E7E"/>
    <w:rsid w:val="00F4028F"/>
    <w:rsid w:val="00F41FCB"/>
    <w:rsid w:val="00F44630"/>
    <w:rsid w:val="00F46108"/>
    <w:rsid w:val="00F4630F"/>
    <w:rsid w:val="00F46459"/>
    <w:rsid w:val="00F4670A"/>
    <w:rsid w:val="00F46CFC"/>
    <w:rsid w:val="00F474FA"/>
    <w:rsid w:val="00F50237"/>
    <w:rsid w:val="00F507B0"/>
    <w:rsid w:val="00F5179E"/>
    <w:rsid w:val="00F52535"/>
    <w:rsid w:val="00F538A7"/>
    <w:rsid w:val="00F549D0"/>
    <w:rsid w:val="00F54A23"/>
    <w:rsid w:val="00F54E3D"/>
    <w:rsid w:val="00F55765"/>
    <w:rsid w:val="00F558CD"/>
    <w:rsid w:val="00F55AB9"/>
    <w:rsid w:val="00F56EAF"/>
    <w:rsid w:val="00F56ECF"/>
    <w:rsid w:val="00F57315"/>
    <w:rsid w:val="00F57C78"/>
    <w:rsid w:val="00F604CB"/>
    <w:rsid w:val="00F6090C"/>
    <w:rsid w:val="00F60A54"/>
    <w:rsid w:val="00F615ED"/>
    <w:rsid w:val="00F61F55"/>
    <w:rsid w:val="00F62A94"/>
    <w:rsid w:val="00F635B6"/>
    <w:rsid w:val="00F635F4"/>
    <w:rsid w:val="00F63A92"/>
    <w:rsid w:val="00F66821"/>
    <w:rsid w:val="00F67630"/>
    <w:rsid w:val="00F70F6A"/>
    <w:rsid w:val="00F71621"/>
    <w:rsid w:val="00F722F1"/>
    <w:rsid w:val="00F727BA"/>
    <w:rsid w:val="00F73821"/>
    <w:rsid w:val="00F73F26"/>
    <w:rsid w:val="00F753C9"/>
    <w:rsid w:val="00F7546C"/>
    <w:rsid w:val="00F76982"/>
    <w:rsid w:val="00F76A52"/>
    <w:rsid w:val="00F76A89"/>
    <w:rsid w:val="00F77BBD"/>
    <w:rsid w:val="00F77D5A"/>
    <w:rsid w:val="00F81B74"/>
    <w:rsid w:val="00F82011"/>
    <w:rsid w:val="00F82821"/>
    <w:rsid w:val="00F82EBE"/>
    <w:rsid w:val="00F8347E"/>
    <w:rsid w:val="00F8359E"/>
    <w:rsid w:val="00F83C92"/>
    <w:rsid w:val="00F8458C"/>
    <w:rsid w:val="00F85340"/>
    <w:rsid w:val="00F8745E"/>
    <w:rsid w:val="00F875B0"/>
    <w:rsid w:val="00F876DD"/>
    <w:rsid w:val="00F87B26"/>
    <w:rsid w:val="00F9005F"/>
    <w:rsid w:val="00F9113F"/>
    <w:rsid w:val="00F913ED"/>
    <w:rsid w:val="00F9413F"/>
    <w:rsid w:val="00F9437C"/>
    <w:rsid w:val="00F95384"/>
    <w:rsid w:val="00F9549B"/>
    <w:rsid w:val="00F956A4"/>
    <w:rsid w:val="00F95907"/>
    <w:rsid w:val="00F96143"/>
    <w:rsid w:val="00F96C56"/>
    <w:rsid w:val="00F97EAD"/>
    <w:rsid w:val="00FA0921"/>
    <w:rsid w:val="00FA113F"/>
    <w:rsid w:val="00FA138F"/>
    <w:rsid w:val="00FA1BAC"/>
    <w:rsid w:val="00FA205E"/>
    <w:rsid w:val="00FA26B2"/>
    <w:rsid w:val="00FA26E2"/>
    <w:rsid w:val="00FA2A6F"/>
    <w:rsid w:val="00FA2E2A"/>
    <w:rsid w:val="00FA39A3"/>
    <w:rsid w:val="00FA5221"/>
    <w:rsid w:val="00FA5911"/>
    <w:rsid w:val="00FA5B1B"/>
    <w:rsid w:val="00FA5D78"/>
    <w:rsid w:val="00FA5E2A"/>
    <w:rsid w:val="00FA641E"/>
    <w:rsid w:val="00FA6E66"/>
    <w:rsid w:val="00FA7096"/>
    <w:rsid w:val="00FA7756"/>
    <w:rsid w:val="00FA7E69"/>
    <w:rsid w:val="00FB0042"/>
    <w:rsid w:val="00FB0406"/>
    <w:rsid w:val="00FB20A1"/>
    <w:rsid w:val="00FB3334"/>
    <w:rsid w:val="00FB42DE"/>
    <w:rsid w:val="00FB42EB"/>
    <w:rsid w:val="00FB44C2"/>
    <w:rsid w:val="00FB4759"/>
    <w:rsid w:val="00FB4940"/>
    <w:rsid w:val="00FB4DD0"/>
    <w:rsid w:val="00FB5F6E"/>
    <w:rsid w:val="00FB6B96"/>
    <w:rsid w:val="00FB7190"/>
    <w:rsid w:val="00FB7AB0"/>
    <w:rsid w:val="00FC027C"/>
    <w:rsid w:val="00FC04F3"/>
    <w:rsid w:val="00FC0D67"/>
    <w:rsid w:val="00FC24F3"/>
    <w:rsid w:val="00FC2B21"/>
    <w:rsid w:val="00FC2EF7"/>
    <w:rsid w:val="00FC2F20"/>
    <w:rsid w:val="00FC3449"/>
    <w:rsid w:val="00FC4177"/>
    <w:rsid w:val="00FC5011"/>
    <w:rsid w:val="00FC6262"/>
    <w:rsid w:val="00FD113B"/>
    <w:rsid w:val="00FD16BA"/>
    <w:rsid w:val="00FD17A1"/>
    <w:rsid w:val="00FD1AAD"/>
    <w:rsid w:val="00FD3886"/>
    <w:rsid w:val="00FD3951"/>
    <w:rsid w:val="00FD3FD3"/>
    <w:rsid w:val="00FD474F"/>
    <w:rsid w:val="00FD4953"/>
    <w:rsid w:val="00FD7507"/>
    <w:rsid w:val="00FD7563"/>
    <w:rsid w:val="00FE0A80"/>
    <w:rsid w:val="00FE16C7"/>
    <w:rsid w:val="00FE1A0A"/>
    <w:rsid w:val="00FE2E0A"/>
    <w:rsid w:val="00FE2F09"/>
    <w:rsid w:val="00FE3B07"/>
    <w:rsid w:val="00FE3EA0"/>
    <w:rsid w:val="00FE4894"/>
    <w:rsid w:val="00FE6719"/>
    <w:rsid w:val="00FE6773"/>
    <w:rsid w:val="00FE7E63"/>
    <w:rsid w:val="00FF0248"/>
    <w:rsid w:val="00FF053B"/>
    <w:rsid w:val="00FF0F66"/>
    <w:rsid w:val="00FF10A9"/>
    <w:rsid w:val="00FF13CE"/>
    <w:rsid w:val="00FF1939"/>
    <w:rsid w:val="00FF2EBB"/>
    <w:rsid w:val="00FF3A20"/>
    <w:rsid w:val="00FF4F17"/>
    <w:rsid w:val="00FF500A"/>
    <w:rsid w:val="00FF522E"/>
    <w:rsid w:val="00FF5495"/>
    <w:rsid w:val="00FF5982"/>
    <w:rsid w:val="00FF65AC"/>
    <w:rsid w:val="00FF700C"/>
    <w:rsid w:val="00FF7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1347C"/>
  <w15:docId w15:val="{B592FF95-44A1-43CE-86C3-23B6F540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5485"/>
    <w:pPr>
      <w:keepNext/>
      <w:keepLines/>
      <w:spacing w:before="240" w:after="0"/>
      <w:outlineLvl w:val="0"/>
    </w:pPr>
    <w:rPr>
      <w:rFonts w:asciiTheme="majorHAnsi" w:eastAsiaTheme="majorEastAsia" w:hAnsiTheme="majorHAnsi" w:cstheme="majorBidi"/>
      <w:color w:val="729928" w:themeColor="accent1" w:themeShade="BF"/>
      <w:sz w:val="32"/>
      <w:szCs w:val="32"/>
    </w:rPr>
  </w:style>
  <w:style w:type="paragraph" w:styleId="Heading2">
    <w:name w:val="heading 2"/>
    <w:basedOn w:val="Normal"/>
    <w:next w:val="Normal"/>
    <w:link w:val="Heading2Char"/>
    <w:uiPriority w:val="9"/>
    <w:unhideWhenUsed/>
    <w:qFormat/>
    <w:rsid w:val="00AA17BA"/>
    <w:pPr>
      <w:keepNext/>
      <w:keepLines/>
      <w:spacing w:before="40" w:after="0"/>
      <w:outlineLvl w:val="1"/>
    </w:pPr>
    <w:rPr>
      <w:rFonts w:asciiTheme="majorHAnsi" w:eastAsiaTheme="majorEastAsia" w:hAnsiTheme="majorHAnsi" w:cstheme="majorBidi"/>
      <w:color w:val="729928" w:themeColor="accent1" w:themeShade="BF"/>
      <w:sz w:val="26"/>
      <w:szCs w:val="26"/>
    </w:rPr>
  </w:style>
  <w:style w:type="paragraph" w:styleId="Heading3">
    <w:name w:val="heading 3"/>
    <w:basedOn w:val="Normal"/>
    <w:next w:val="Normal"/>
    <w:link w:val="Heading3Char"/>
    <w:uiPriority w:val="9"/>
    <w:unhideWhenUsed/>
    <w:qFormat/>
    <w:rsid w:val="001741E4"/>
    <w:pPr>
      <w:keepNext/>
      <w:keepLines/>
      <w:spacing w:before="40" w:after="0"/>
      <w:outlineLvl w:val="2"/>
    </w:pPr>
    <w:rPr>
      <w:rFonts w:asciiTheme="majorHAnsi" w:eastAsiaTheme="majorEastAsia" w:hAnsiTheme="majorHAnsi" w:cstheme="majorBidi"/>
      <w:color w:val="4C661A" w:themeColor="accent1" w:themeShade="7F"/>
      <w:sz w:val="24"/>
      <w:szCs w:val="24"/>
    </w:rPr>
  </w:style>
  <w:style w:type="paragraph" w:styleId="Heading4">
    <w:name w:val="heading 4"/>
    <w:basedOn w:val="Normal"/>
    <w:next w:val="Normal"/>
    <w:link w:val="Heading4Char"/>
    <w:uiPriority w:val="9"/>
    <w:unhideWhenUsed/>
    <w:qFormat/>
    <w:rsid w:val="001741E4"/>
    <w:pPr>
      <w:keepNext/>
      <w:keepLines/>
      <w:spacing w:before="40" w:after="0"/>
      <w:outlineLvl w:val="3"/>
    </w:pPr>
    <w:rPr>
      <w:rFonts w:asciiTheme="majorHAnsi" w:eastAsiaTheme="majorEastAsia" w:hAnsiTheme="majorHAnsi" w:cstheme="majorBidi"/>
      <w:i/>
      <w:iCs/>
      <w:color w:val="72992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F55"/>
    <w:rPr>
      <w:color w:val="EE7B08" w:themeColor="hyperlink"/>
      <w:u w:val="single"/>
    </w:rPr>
  </w:style>
  <w:style w:type="character" w:customStyle="1" w:styleId="UnresolvedMention1">
    <w:name w:val="Unresolved Mention1"/>
    <w:basedOn w:val="DefaultParagraphFont"/>
    <w:uiPriority w:val="99"/>
    <w:semiHidden/>
    <w:unhideWhenUsed/>
    <w:rsid w:val="00811F55"/>
    <w:rPr>
      <w:color w:val="808080"/>
      <w:shd w:val="clear" w:color="auto" w:fill="E6E6E6"/>
    </w:rPr>
  </w:style>
  <w:style w:type="paragraph" w:styleId="ListParagraph">
    <w:name w:val="List Paragraph"/>
    <w:basedOn w:val="Normal"/>
    <w:uiPriority w:val="34"/>
    <w:qFormat/>
    <w:rsid w:val="00032B0C"/>
    <w:pPr>
      <w:ind w:left="720"/>
      <w:contextualSpacing/>
    </w:pPr>
  </w:style>
  <w:style w:type="character" w:customStyle="1" w:styleId="Heading1Char">
    <w:name w:val="Heading 1 Char"/>
    <w:basedOn w:val="DefaultParagraphFont"/>
    <w:link w:val="Heading1"/>
    <w:uiPriority w:val="9"/>
    <w:rsid w:val="009F5485"/>
    <w:rPr>
      <w:rFonts w:asciiTheme="majorHAnsi" w:eastAsiaTheme="majorEastAsia" w:hAnsiTheme="majorHAnsi" w:cstheme="majorBidi"/>
      <w:color w:val="729928" w:themeColor="accent1" w:themeShade="BF"/>
      <w:sz w:val="32"/>
      <w:szCs w:val="32"/>
    </w:rPr>
  </w:style>
  <w:style w:type="paragraph" w:styleId="Title">
    <w:name w:val="Title"/>
    <w:basedOn w:val="Normal"/>
    <w:next w:val="Normal"/>
    <w:link w:val="TitleChar"/>
    <w:uiPriority w:val="10"/>
    <w:qFormat/>
    <w:rsid w:val="009F54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548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80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BC8"/>
  </w:style>
  <w:style w:type="paragraph" w:styleId="Footer">
    <w:name w:val="footer"/>
    <w:basedOn w:val="Normal"/>
    <w:link w:val="FooterChar"/>
    <w:uiPriority w:val="99"/>
    <w:unhideWhenUsed/>
    <w:rsid w:val="00380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BC8"/>
  </w:style>
  <w:style w:type="paragraph" w:styleId="NoSpacing">
    <w:name w:val="No Spacing"/>
    <w:link w:val="NoSpacingChar"/>
    <w:uiPriority w:val="1"/>
    <w:qFormat/>
    <w:rsid w:val="00380BC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80BC8"/>
    <w:rPr>
      <w:rFonts w:eastAsiaTheme="minorEastAsia"/>
      <w:lang w:val="en-US"/>
    </w:rPr>
  </w:style>
  <w:style w:type="character" w:customStyle="1" w:styleId="Heading2Char">
    <w:name w:val="Heading 2 Char"/>
    <w:basedOn w:val="DefaultParagraphFont"/>
    <w:link w:val="Heading2"/>
    <w:uiPriority w:val="9"/>
    <w:rsid w:val="00AA17BA"/>
    <w:rPr>
      <w:rFonts w:asciiTheme="majorHAnsi" w:eastAsiaTheme="majorEastAsia" w:hAnsiTheme="majorHAnsi" w:cstheme="majorBidi"/>
      <w:color w:val="729928" w:themeColor="accent1" w:themeShade="BF"/>
      <w:sz w:val="26"/>
      <w:szCs w:val="26"/>
    </w:rPr>
  </w:style>
  <w:style w:type="table" w:customStyle="1" w:styleId="GridTable4-Accent11">
    <w:name w:val="Grid Table 4 - Accent 11"/>
    <w:basedOn w:val="TableNormal"/>
    <w:uiPriority w:val="49"/>
    <w:rsid w:val="001C2868"/>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insideV w:val="nil"/>
        </w:tcBorders>
        <w:shd w:val="clear" w:color="auto" w:fill="99CB38" w:themeFill="accent1"/>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paragraph" w:styleId="Caption">
    <w:name w:val="caption"/>
    <w:basedOn w:val="Normal"/>
    <w:next w:val="Normal"/>
    <w:uiPriority w:val="35"/>
    <w:unhideWhenUsed/>
    <w:qFormat/>
    <w:rsid w:val="003311CB"/>
    <w:pPr>
      <w:spacing w:after="200" w:line="240" w:lineRule="auto"/>
    </w:pPr>
    <w:rPr>
      <w:i/>
      <w:iCs/>
      <w:color w:val="455F51" w:themeColor="text2"/>
      <w:sz w:val="18"/>
      <w:szCs w:val="18"/>
    </w:rPr>
  </w:style>
  <w:style w:type="character" w:styleId="PageNumber">
    <w:name w:val="page number"/>
    <w:basedOn w:val="DefaultParagraphFont"/>
    <w:uiPriority w:val="99"/>
    <w:semiHidden/>
    <w:unhideWhenUsed/>
    <w:rsid w:val="006342C8"/>
  </w:style>
  <w:style w:type="table" w:styleId="TableGrid">
    <w:name w:val="Table Grid"/>
    <w:basedOn w:val="TableNormal"/>
    <w:uiPriority w:val="39"/>
    <w:rsid w:val="001D3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A363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CB3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CB3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CB3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CB38" w:themeFill="accent1"/>
      </w:tcPr>
    </w:tblStylePr>
    <w:tblStylePr w:type="band1Vert">
      <w:tblPr/>
      <w:tcPr>
        <w:shd w:val="clear" w:color="auto" w:fill="D6EAAF" w:themeFill="accent1" w:themeFillTint="66"/>
      </w:tcPr>
    </w:tblStylePr>
    <w:tblStylePr w:type="band1Horz">
      <w:tblPr/>
      <w:tcPr>
        <w:shd w:val="clear" w:color="auto" w:fill="D6EAAF" w:themeFill="accent1" w:themeFillTint="66"/>
      </w:tcPr>
    </w:tblStylePr>
  </w:style>
  <w:style w:type="table" w:customStyle="1" w:styleId="GridTable5Dark-Accent31">
    <w:name w:val="Grid Table 5 Dark - Accent 31"/>
    <w:basedOn w:val="TableNormal"/>
    <w:uiPriority w:val="50"/>
    <w:rsid w:val="00574D28"/>
    <w:pPr>
      <w:spacing w:after="0" w:line="240" w:lineRule="auto"/>
    </w:pPr>
    <w:rPr>
      <w:rFonts w:eastAsiaTheme="minorEastAsia"/>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0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A76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A76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A76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A76F" w:themeFill="accent3"/>
      </w:tcPr>
    </w:tblStylePr>
    <w:tblStylePr w:type="band1Vert">
      <w:tblPr/>
      <w:tcPr>
        <w:shd w:val="clear" w:color="auto" w:fill="A8E2C5" w:themeFill="accent3" w:themeFillTint="66"/>
      </w:tcPr>
    </w:tblStylePr>
    <w:tblStylePr w:type="band1Horz">
      <w:tblPr/>
      <w:tcPr>
        <w:shd w:val="clear" w:color="auto" w:fill="A8E2C5" w:themeFill="accent3" w:themeFillTint="66"/>
      </w:tcPr>
    </w:tblStylePr>
  </w:style>
  <w:style w:type="paragraph" w:styleId="BalloonText">
    <w:name w:val="Balloon Text"/>
    <w:basedOn w:val="Normal"/>
    <w:link w:val="BalloonTextChar"/>
    <w:uiPriority w:val="99"/>
    <w:semiHidden/>
    <w:unhideWhenUsed/>
    <w:rsid w:val="00521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554"/>
    <w:rPr>
      <w:rFonts w:ascii="Segoe UI" w:hAnsi="Segoe UI" w:cs="Segoe UI"/>
      <w:sz w:val="18"/>
      <w:szCs w:val="18"/>
    </w:rPr>
  </w:style>
  <w:style w:type="table" w:customStyle="1" w:styleId="GridTable4-Accent21">
    <w:name w:val="Grid Table 4 - Accent 21"/>
    <w:basedOn w:val="TableNormal"/>
    <w:uiPriority w:val="49"/>
    <w:rsid w:val="00D96F57"/>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insideV w:val="nil"/>
        </w:tcBorders>
        <w:shd w:val="clear" w:color="auto" w:fill="63A537" w:themeFill="accent2"/>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customStyle="1" w:styleId="GridTable2-Accent21">
    <w:name w:val="Grid Table 2 - Accent 21"/>
    <w:basedOn w:val="TableNormal"/>
    <w:uiPriority w:val="47"/>
    <w:rsid w:val="006D2E4D"/>
    <w:pPr>
      <w:spacing w:after="0" w:line="240" w:lineRule="auto"/>
    </w:pPr>
    <w:tblPr>
      <w:tblStyleRowBandSize w:val="1"/>
      <w:tblStyleColBandSize w:val="1"/>
      <w:tblBorders>
        <w:top w:val="single" w:sz="2" w:space="0" w:color="9FD37C" w:themeColor="accent2" w:themeTint="99"/>
        <w:bottom w:val="single" w:sz="2" w:space="0" w:color="9FD37C" w:themeColor="accent2" w:themeTint="99"/>
        <w:insideH w:val="single" w:sz="2" w:space="0" w:color="9FD37C" w:themeColor="accent2" w:themeTint="99"/>
        <w:insideV w:val="single" w:sz="2" w:space="0" w:color="9FD37C" w:themeColor="accent2" w:themeTint="99"/>
      </w:tblBorders>
    </w:tblPr>
    <w:tblStylePr w:type="firstRow">
      <w:rPr>
        <w:b/>
        <w:bCs/>
      </w:rPr>
      <w:tblPr/>
      <w:tcPr>
        <w:tcBorders>
          <w:top w:val="nil"/>
          <w:bottom w:val="single" w:sz="12" w:space="0" w:color="9FD37C" w:themeColor="accent2" w:themeTint="99"/>
          <w:insideH w:val="nil"/>
          <w:insideV w:val="nil"/>
        </w:tcBorders>
        <w:shd w:val="clear" w:color="auto" w:fill="FFFFFF" w:themeFill="background1"/>
      </w:tcPr>
    </w:tblStylePr>
    <w:tblStylePr w:type="lastRow">
      <w:rPr>
        <w:b/>
        <w:bCs/>
      </w:rPr>
      <w:tblPr/>
      <w:tcPr>
        <w:tcBorders>
          <w:top w:val="double" w:sz="2" w:space="0" w:color="9FD37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customStyle="1" w:styleId="GridTable3-Accent51">
    <w:name w:val="Grid Table 3 - Accent 51"/>
    <w:basedOn w:val="TableNormal"/>
    <w:uiPriority w:val="48"/>
    <w:rsid w:val="006D2E4D"/>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bottom w:val="single" w:sz="4" w:space="0" w:color="94D1E2" w:themeColor="accent5" w:themeTint="99"/>
        </w:tcBorders>
      </w:tcPr>
    </w:tblStylePr>
    <w:tblStylePr w:type="nwCell">
      <w:tblPr/>
      <w:tcPr>
        <w:tcBorders>
          <w:bottom w:val="single" w:sz="4" w:space="0" w:color="94D1E2" w:themeColor="accent5" w:themeTint="99"/>
        </w:tcBorders>
      </w:tcPr>
    </w:tblStylePr>
    <w:tblStylePr w:type="seCell">
      <w:tblPr/>
      <w:tcPr>
        <w:tcBorders>
          <w:top w:val="single" w:sz="4" w:space="0" w:color="94D1E2" w:themeColor="accent5" w:themeTint="99"/>
        </w:tcBorders>
      </w:tcPr>
    </w:tblStylePr>
    <w:tblStylePr w:type="swCell">
      <w:tblPr/>
      <w:tcPr>
        <w:tcBorders>
          <w:top w:val="single" w:sz="4" w:space="0" w:color="94D1E2" w:themeColor="accent5" w:themeTint="99"/>
        </w:tcBorders>
      </w:tcPr>
    </w:tblStylePr>
  </w:style>
  <w:style w:type="table" w:customStyle="1" w:styleId="GridTable5Dark-Accent41">
    <w:name w:val="Grid Table 5 Dark - Accent 41"/>
    <w:basedOn w:val="TableNormal"/>
    <w:uiPriority w:val="50"/>
    <w:rsid w:val="006D2E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2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1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1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1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1A3" w:themeFill="accent4"/>
      </w:tcPr>
    </w:tblStylePr>
    <w:tblStylePr w:type="band1Vert">
      <w:tblPr/>
      <w:tcPr>
        <w:shd w:val="clear" w:color="auto" w:fill="B4E6DA" w:themeFill="accent4" w:themeFillTint="66"/>
      </w:tcPr>
    </w:tblStylePr>
    <w:tblStylePr w:type="band1Horz">
      <w:tblPr/>
      <w:tcPr>
        <w:shd w:val="clear" w:color="auto" w:fill="B4E6DA" w:themeFill="accent4" w:themeFillTint="66"/>
      </w:tcPr>
    </w:tblStylePr>
  </w:style>
  <w:style w:type="table" w:customStyle="1" w:styleId="GridTable5Dark-Accent51">
    <w:name w:val="Grid Table 5 Dark - Accent 51"/>
    <w:basedOn w:val="TableNormal"/>
    <w:uiPriority w:val="50"/>
    <w:rsid w:val="00B757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F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B3C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B3C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B3C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B3CF" w:themeFill="accent5"/>
      </w:tcPr>
    </w:tblStylePr>
    <w:tblStylePr w:type="band1Vert">
      <w:tblPr/>
      <w:tcPr>
        <w:shd w:val="clear" w:color="auto" w:fill="B8E0EB" w:themeFill="accent5" w:themeFillTint="66"/>
      </w:tcPr>
    </w:tblStylePr>
    <w:tblStylePr w:type="band1Horz">
      <w:tblPr/>
      <w:tcPr>
        <w:shd w:val="clear" w:color="auto" w:fill="B8E0EB" w:themeFill="accent5" w:themeFillTint="66"/>
      </w:tcPr>
    </w:tblStylePr>
  </w:style>
  <w:style w:type="paragraph" w:styleId="FootnoteText">
    <w:name w:val="footnote text"/>
    <w:basedOn w:val="Normal"/>
    <w:link w:val="FootnoteTextChar"/>
    <w:uiPriority w:val="99"/>
    <w:semiHidden/>
    <w:unhideWhenUsed/>
    <w:rsid w:val="00B637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3734"/>
    <w:rPr>
      <w:sz w:val="20"/>
      <w:szCs w:val="20"/>
    </w:rPr>
  </w:style>
  <w:style w:type="character" w:styleId="FootnoteReference">
    <w:name w:val="footnote reference"/>
    <w:basedOn w:val="DefaultParagraphFont"/>
    <w:uiPriority w:val="99"/>
    <w:semiHidden/>
    <w:unhideWhenUsed/>
    <w:rsid w:val="00B63734"/>
    <w:rPr>
      <w:vertAlign w:val="superscript"/>
    </w:rPr>
  </w:style>
  <w:style w:type="table" w:customStyle="1" w:styleId="GridTable4-Accent41">
    <w:name w:val="Grid Table 4 - Accent 41"/>
    <w:basedOn w:val="TableNormal"/>
    <w:uiPriority w:val="49"/>
    <w:rsid w:val="004A6C0A"/>
    <w:pPr>
      <w:spacing w:after="0" w:line="240" w:lineRule="auto"/>
    </w:p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color w:val="FFFFFF" w:themeColor="background1"/>
      </w:rPr>
      <w:tblPr/>
      <w:tcPr>
        <w:tcBorders>
          <w:top w:val="single" w:sz="4" w:space="0" w:color="44C1A3" w:themeColor="accent4"/>
          <w:left w:val="single" w:sz="4" w:space="0" w:color="44C1A3" w:themeColor="accent4"/>
          <w:bottom w:val="single" w:sz="4" w:space="0" w:color="44C1A3" w:themeColor="accent4"/>
          <w:right w:val="single" w:sz="4" w:space="0" w:color="44C1A3" w:themeColor="accent4"/>
          <w:insideH w:val="nil"/>
          <w:insideV w:val="nil"/>
        </w:tcBorders>
        <w:shd w:val="clear" w:color="auto" w:fill="44C1A3" w:themeFill="accent4"/>
      </w:tcPr>
    </w:tblStylePr>
    <w:tblStylePr w:type="lastRow">
      <w:rPr>
        <w:b/>
        <w:bCs/>
      </w:rPr>
      <w:tblPr/>
      <w:tcPr>
        <w:tcBorders>
          <w:top w:val="double" w:sz="4" w:space="0" w:color="44C1A3" w:themeColor="accent4"/>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customStyle="1" w:styleId="GridTable5Dark-Accent21">
    <w:name w:val="Grid Table 5 Dark - Accent 21"/>
    <w:basedOn w:val="TableNormal"/>
    <w:uiPriority w:val="50"/>
    <w:rsid w:val="009218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0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A5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A5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A5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A537" w:themeFill="accent2"/>
      </w:tcPr>
    </w:tblStylePr>
    <w:tblStylePr w:type="band1Vert">
      <w:tblPr/>
      <w:tcPr>
        <w:shd w:val="clear" w:color="auto" w:fill="BFE2A8" w:themeFill="accent2" w:themeFillTint="66"/>
      </w:tcPr>
    </w:tblStylePr>
    <w:tblStylePr w:type="band1Horz">
      <w:tblPr/>
      <w:tcPr>
        <w:shd w:val="clear" w:color="auto" w:fill="BFE2A8" w:themeFill="accent2" w:themeFillTint="66"/>
      </w:tcPr>
    </w:tblStylePr>
  </w:style>
  <w:style w:type="character" w:styleId="CommentReference">
    <w:name w:val="annotation reference"/>
    <w:basedOn w:val="DefaultParagraphFont"/>
    <w:uiPriority w:val="99"/>
    <w:semiHidden/>
    <w:unhideWhenUsed/>
    <w:rsid w:val="000B636F"/>
    <w:rPr>
      <w:sz w:val="16"/>
      <w:szCs w:val="16"/>
    </w:rPr>
  </w:style>
  <w:style w:type="paragraph" w:styleId="CommentText">
    <w:name w:val="annotation text"/>
    <w:basedOn w:val="Normal"/>
    <w:link w:val="CommentTextChar"/>
    <w:uiPriority w:val="99"/>
    <w:unhideWhenUsed/>
    <w:rsid w:val="000B636F"/>
    <w:pPr>
      <w:spacing w:line="240" w:lineRule="auto"/>
    </w:pPr>
    <w:rPr>
      <w:sz w:val="20"/>
      <w:szCs w:val="20"/>
    </w:rPr>
  </w:style>
  <w:style w:type="character" w:customStyle="1" w:styleId="CommentTextChar">
    <w:name w:val="Comment Text Char"/>
    <w:basedOn w:val="DefaultParagraphFont"/>
    <w:link w:val="CommentText"/>
    <w:uiPriority w:val="99"/>
    <w:rsid w:val="000B636F"/>
    <w:rPr>
      <w:sz w:val="20"/>
      <w:szCs w:val="20"/>
    </w:rPr>
  </w:style>
  <w:style w:type="paragraph" w:styleId="CommentSubject">
    <w:name w:val="annotation subject"/>
    <w:basedOn w:val="CommentText"/>
    <w:next w:val="CommentText"/>
    <w:link w:val="CommentSubjectChar"/>
    <w:uiPriority w:val="99"/>
    <w:semiHidden/>
    <w:unhideWhenUsed/>
    <w:rsid w:val="000B636F"/>
    <w:rPr>
      <w:b/>
      <w:bCs/>
    </w:rPr>
  </w:style>
  <w:style w:type="character" w:customStyle="1" w:styleId="CommentSubjectChar">
    <w:name w:val="Comment Subject Char"/>
    <w:basedOn w:val="CommentTextChar"/>
    <w:link w:val="CommentSubject"/>
    <w:uiPriority w:val="99"/>
    <w:semiHidden/>
    <w:rsid w:val="000B636F"/>
    <w:rPr>
      <w:b/>
      <w:bCs/>
      <w:sz w:val="20"/>
      <w:szCs w:val="20"/>
    </w:rPr>
  </w:style>
  <w:style w:type="paragraph" w:styleId="Revision">
    <w:name w:val="Revision"/>
    <w:hidden/>
    <w:uiPriority w:val="99"/>
    <w:semiHidden/>
    <w:rsid w:val="00C6176F"/>
    <w:pPr>
      <w:spacing w:after="0" w:line="240" w:lineRule="auto"/>
    </w:pPr>
  </w:style>
  <w:style w:type="character" w:styleId="FollowedHyperlink">
    <w:name w:val="FollowedHyperlink"/>
    <w:basedOn w:val="DefaultParagraphFont"/>
    <w:uiPriority w:val="99"/>
    <w:semiHidden/>
    <w:unhideWhenUsed/>
    <w:rsid w:val="00540A50"/>
    <w:rPr>
      <w:color w:val="977B2D" w:themeColor="followedHyperlink"/>
      <w:u w:val="single"/>
    </w:rPr>
  </w:style>
  <w:style w:type="character" w:customStyle="1" w:styleId="Heading3Char">
    <w:name w:val="Heading 3 Char"/>
    <w:basedOn w:val="DefaultParagraphFont"/>
    <w:link w:val="Heading3"/>
    <w:uiPriority w:val="9"/>
    <w:rsid w:val="001741E4"/>
    <w:rPr>
      <w:rFonts w:asciiTheme="majorHAnsi" w:eastAsiaTheme="majorEastAsia" w:hAnsiTheme="majorHAnsi" w:cstheme="majorBidi"/>
      <w:color w:val="4C661A" w:themeColor="accent1" w:themeShade="7F"/>
      <w:sz w:val="24"/>
      <w:szCs w:val="24"/>
    </w:rPr>
  </w:style>
  <w:style w:type="character" w:customStyle="1" w:styleId="Heading4Char">
    <w:name w:val="Heading 4 Char"/>
    <w:basedOn w:val="DefaultParagraphFont"/>
    <w:link w:val="Heading4"/>
    <w:uiPriority w:val="9"/>
    <w:rsid w:val="001741E4"/>
    <w:rPr>
      <w:rFonts w:asciiTheme="majorHAnsi" w:eastAsiaTheme="majorEastAsia" w:hAnsiTheme="majorHAnsi" w:cstheme="majorBidi"/>
      <w:i/>
      <w:iCs/>
      <w:color w:val="729928" w:themeColor="accent1" w:themeShade="BF"/>
    </w:rPr>
  </w:style>
  <w:style w:type="character" w:styleId="UnresolvedMention">
    <w:name w:val="Unresolved Mention"/>
    <w:basedOn w:val="DefaultParagraphFont"/>
    <w:uiPriority w:val="99"/>
    <w:semiHidden/>
    <w:unhideWhenUsed/>
    <w:rsid w:val="00C34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4416">
      <w:bodyDiv w:val="1"/>
      <w:marLeft w:val="0"/>
      <w:marRight w:val="0"/>
      <w:marTop w:val="0"/>
      <w:marBottom w:val="0"/>
      <w:divBdr>
        <w:top w:val="none" w:sz="0" w:space="0" w:color="auto"/>
        <w:left w:val="none" w:sz="0" w:space="0" w:color="auto"/>
        <w:bottom w:val="none" w:sz="0" w:space="0" w:color="auto"/>
        <w:right w:val="none" w:sz="0" w:space="0" w:color="auto"/>
      </w:divBdr>
      <w:divsChild>
        <w:div w:id="591284897">
          <w:marLeft w:val="475"/>
          <w:marRight w:val="0"/>
          <w:marTop w:val="106"/>
          <w:marBottom w:val="120"/>
          <w:divBdr>
            <w:top w:val="none" w:sz="0" w:space="0" w:color="auto"/>
            <w:left w:val="none" w:sz="0" w:space="0" w:color="auto"/>
            <w:bottom w:val="none" w:sz="0" w:space="0" w:color="auto"/>
            <w:right w:val="none" w:sz="0" w:space="0" w:color="auto"/>
          </w:divBdr>
        </w:div>
      </w:divsChild>
    </w:div>
    <w:div w:id="545991614">
      <w:bodyDiv w:val="1"/>
      <w:marLeft w:val="0"/>
      <w:marRight w:val="0"/>
      <w:marTop w:val="0"/>
      <w:marBottom w:val="0"/>
      <w:divBdr>
        <w:top w:val="none" w:sz="0" w:space="0" w:color="auto"/>
        <w:left w:val="none" w:sz="0" w:space="0" w:color="auto"/>
        <w:bottom w:val="none" w:sz="0" w:space="0" w:color="auto"/>
        <w:right w:val="none" w:sz="0" w:space="0" w:color="auto"/>
      </w:divBdr>
    </w:div>
    <w:div w:id="556161411">
      <w:bodyDiv w:val="1"/>
      <w:marLeft w:val="0"/>
      <w:marRight w:val="0"/>
      <w:marTop w:val="0"/>
      <w:marBottom w:val="0"/>
      <w:divBdr>
        <w:top w:val="none" w:sz="0" w:space="0" w:color="auto"/>
        <w:left w:val="none" w:sz="0" w:space="0" w:color="auto"/>
        <w:bottom w:val="none" w:sz="0" w:space="0" w:color="auto"/>
        <w:right w:val="none" w:sz="0" w:space="0" w:color="auto"/>
      </w:divBdr>
    </w:div>
    <w:div w:id="1204514608">
      <w:bodyDiv w:val="1"/>
      <w:marLeft w:val="0"/>
      <w:marRight w:val="0"/>
      <w:marTop w:val="0"/>
      <w:marBottom w:val="0"/>
      <w:divBdr>
        <w:top w:val="none" w:sz="0" w:space="0" w:color="auto"/>
        <w:left w:val="none" w:sz="0" w:space="0" w:color="auto"/>
        <w:bottom w:val="none" w:sz="0" w:space="0" w:color="auto"/>
        <w:right w:val="none" w:sz="0" w:space="0" w:color="auto"/>
      </w:divBdr>
    </w:div>
    <w:div w:id="1828398470">
      <w:bodyDiv w:val="1"/>
      <w:marLeft w:val="0"/>
      <w:marRight w:val="0"/>
      <w:marTop w:val="0"/>
      <w:marBottom w:val="0"/>
      <w:divBdr>
        <w:top w:val="none" w:sz="0" w:space="0" w:color="auto"/>
        <w:left w:val="none" w:sz="0" w:space="0" w:color="auto"/>
        <w:bottom w:val="none" w:sz="0" w:space="0" w:color="auto"/>
        <w:right w:val="none" w:sz="0" w:space="0" w:color="auto"/>
      </w:divBdr>
      <w:divsChild>
        <w:div w:id="2052998171">
          <w:marLeft w:val="475"/>
          <w:marRight w:val="0"/>
          <w:marTop w:val="106"/>
          <w:marBottom w:val="120"/>
          <w:divBdr>
            <w:top w:val="none" w:sz="0" w:space="0" w:color="auto"/>
            <w:left w:val="none" w:sz="0" w:space="0" w:color="auto"/>
            <w:bottom w:val="none" w:sz="0" w:space="0" w:color="auto"/>
            <w:right w:val="none" w:sz="0" w:space="0" w:color="auto"/>
          </w:divBdr>
        </w:div>
      </w:divsChild>
    </w:div>
    <w:div w:id="2046707380">
      <w:bodyDiv w:val="1"/>
      <w:marLeft w:val="0"/>
      <w:marRight w:val="0"/>
      <w:marTop w:val="0"/>
      <w:marBottom w:val="0"/>
      <w:divBdr>
        <w:top w:val="none" w:sz="0" w:space="0" w:color="auto"/>
        <w:left w:val="none" w:sz="0" w:space="0" w:color="auto"/>
        <w:bottom w:val="none" w:sz="0" w:space="0" w:color="auto"/>
        <w:right w:val="none" w:sz="0" w:space="0" w:color="auto"/>
      </w:divBdr>
      <w:divsChild>
        <w:div w:id="574170948">
          <w:marLeft w:val="475"/>
          <w:marRight w:val="0"/>
          <w:marTop w:val="106"/>
          <w:marBottom w:val="120"/>
          <w:divBdr>
            <w:top w:val="none" w:sz="0" w:space="0" w:color="auto"/>
            <w:left w:val="none" w:sz="0" w:space="0" w:color="auto"/>
            <w:bottom w:val="none" w:sz="0" w:space="0" w:color="auto"/>
            <w:right w:val="none" w:sz="0" w:space="0" w:color="auto"/>
          </w:divBdr>
        </w:div>
        <w:div w:id="602999323">
          <w:marLeft w:val="475"/>
          <w:marRight w:val="0"/>
          <w:marTop w:val="106"/>
          <w:marBottom w:val="120"/>
          <w:divBdr>
            <w:top w:val="none" w:sz="0" w:space="0" w:color="auto"/>
            <w:left w:val="none" w:sz="0" w:space="0" w:color="auto"/>
            <w:bottom w:val="none" w:sz="0" w:space="0" w:color="auto"/>
            <w:right w:val="none" w:sz="0" w:space="0" w:color="auto"/>
          </w:divBdr>
        </w:div>
        <w:div w:id="1720081651">
          <w:marLeft w:val="475"/>
          <w:marRight w:val="0"/>
          <w:marTop w:val="106"/>
          <w:marBottom w:val="120"/>
          <w:divBdr>
            <w:top w:val="none" w:sz="0" w:space="0" w:color="auto"/>
            <w:left w:val="none" w:sz="0" w:space="0" w:color="auto"/>
            <w:bottom w:val="none" w:sz="0" w:space="0" w:color="auto"/>
            <w:right w:val="none" w:sz="0" w:space="0" w:color="auto"/>
          </w:divBdr>
        </w:div>
      </w:divsChild>
    </w:div>
    <w:div w:id="2105956094">
      <w:bodyDiv w:val="1"/>
      <w:marLeft w:val="0"/>
      <w:marRight w:val="0"/>
      <w:marTop w:val="0"/>
      <w:marBottom w:val="0"/>
      <w:divBdr>
        <w:top w:val="none" w:sz="0" w:space="0" w:color="auto"/>
        <w:left w:val="none" w:sz="0" w:space="0" w:color="auto"/>
        <w:bottom w:val="none" w:sz="0" w:space="0" w:color="auto"/>
        <w:right w:val="none" w:sz="0" w:space="0" w:color="auto"/>
      </w:divBdr>
      <w:divsChild>
        <w:div w:id="805585678">
          <w:marLeft w:val="994"/>
          <w:marRight w:val="0"/>
          <w:marTop w:val="96"/>
          <w:marBottom w:val="120"/>
          <w:divBdr>
            <w:top w:val="none" w:sz="0" w:space="0" w:color="auto"/>
            <w:left w:val="none" w:sz="0" w:space="0" w:color="auto"/>
            <w:bottom w:val="none" w:sz="0" w:space="0" w:color="auto"/>
            <w:right w:val="none" w:sz="0" w:space="0" w:color="auto"/>
          </w:divBdr>
        </w:div>
        <w:div w:id="909970613">
          <w:marLeft w:val="994"/>
          <w:marRight w:val="0"/>
          <w:marTop w:val="96"/>
          <w:marBottom w:val="120"/>
          <w:divBdr>
            <w:top w:val="none" w:sz="0" w:space="0" w:color="auto"/>
            <w:left w:val="none" w:sz="0" w:space="0" w:color="auto"/>
            <w:bottom w:val="none" w:sz="0" w:space="0" w:color="auto"/>
            <w:right w:val="none" w:sz="0" w:space="0" w:color="auto"/>
          </w:divBdr>
        </w:div>
        <w:div w:id="1334841189">
          <w:marLeft w:val="994"/>
          <w:marRight w:val="0"/>
          <w:marTop w:val="96"/>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Word count:</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44458A7C0712848A6CA925AE8B6D73F" ma:contentTypeVersion="13" ma:contentTypeDescription="Create a new document." ma:contentTypeScope="" ma:versionID="04452486bf862a94627906826e4a5bb4">
  <xsd:schema xmlns:xsd="http://www.w3.org/2001/XMLSchema" xmlns:xs="http://www.w3.org/2001/XMLSchema" xmlns:p="http://schemas.microsoft.com/office/2006/metadata/properties" xmlns:ns3="01f31dbc-1b71-4f1e-bbdc-a6f97f1517bb" xmlns:ns4="9e8ff080-4403-4f40-b884-2882215db980" targetNamespace="http://schemas.microsoft.com/office/2006/metadata/properties" ma:root="true" ma:fieldsID="ddc12ac622af4390f2a028e1dbb3ebbb" ns3:_="" ns4:_="">
    <xsd:import namespace="01f31dbc-1b71-4f1e-bbdc-a6f97f1517bb"/>
    <xsd:import namespace="9e8ff080-4403-4f40-b884-2882215db98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31dbc-1b71-4f1e-bbdc-a6f97f151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8ff080-4403-4f40-b884-2882215db9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37D62D-5F1E-4EDB-A2AB-30C1EA0C36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40D940-D1B0-47DA-A83A-14E0B5AABC77}">
  <ds:schemaRefs>
    <ds:schemaRef ds:uri="http://schemas.openxmlformats.org/officeDocument/2006/bibliography"/>
  </ds:schemaRefs>
</ds:datastoreItem>
</file>

<file path=customXml/itemProps4.xml><?xml version="1.0" encoding="utf-8"?>
<ds:datastoreItem xmlns:ds="http://schemas.openxmlformats.org/officeDocument/2006/customXml" ds:itemID="{F53457F7-4F73-4EEB-BEA2-77AAFB76A197}">
  <ds:schemaRefs>
    <ds:schemaRef ds:uri="http://schemas.microsoft.com/sharepoint/v3/contenttype/forms"/>
  </ds:schemaRefs>
</ds:datastoreItem>
</file>

<file path=customXml/itemProps5.xml><?xml version="1.0" encoding="utf-8"?>
<ds:datastoreItem xmlns:ds="http://schemas.openxmlformats.org/officeDocument/2006/customXml" ds:itemID="{85FC5E1D-0857-4384-8B25-765275B9D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31dbc-1b71-4f1e-bbdc-a6f97f1517bb"/>
    <ds:schemaRef ds:uri="9e8ff080-4403-4f40-b884-2882215db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28655</Words>
  <Characters>163334</Characters>
  <Application>Microsoft Office Word</Application>
  <DocSecurity>0</DocSecurity>
  <Lines>1361</Lines>
  <Paragraphs>383</Paragraphs>
  <ScaleCrop>false</ScaleCrop>
  <HeadingPairs>
    <vt:vector size="2" baseType="variant">
      <vt:variant>
        <vt:lpstr>Title</vt:lpstr>
      </vt:variant>
      <vt:variant>
        <vt:i4>1</vt:i4>
      </vt:variant>
    </vt:vector>
  </HeadingPairs>
  <TitlesOfParts>
    <vt:vector size="1" baseType="lpstr">
      <vt:lpstr>Ibuprofen Dosing in Obese Children: A Systematic Review</vt:lpstr>
    </vt:vector>
  </TitlesOfParts>
  <Company>SUPERVISOR: dR Hawcutt</Company>
  <LinksUpToDate>false</LinksUpToDate>
  <CharactersWithSpaces>191606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Ibuprofen Dosing in Obese Children: A Systematic Review</dc:title>
  <dc:subject>Author Listing</dc:subject>
  <dc:creator>Eman Hasan</dc:creator>
  <cp:keywords/>
  <dc:description/>
  <cp:lastModifiedBy>Eman Hasan</cp:lastModifiedBy>
  <cp:revision>5</cp:revision>
  <cp:lastPrinted>2020-01-03T11:33:00Z</cp:lastPrinted>
  <dcterms:created xsi:type="dcterms:W3CDTF">2022-06-21T20:55:00Z</dcterms:created>
  <dcterms:modified xsi:type="dcterms:W3CDTF">2022-06-23T13:57:00Z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980a931c-5773-345a-aec7-60627a29b082</vt:lpwstr>
  </property>
  <property fmtid="{D5CDD505-2E9C-101B-9397-08002B2CF9AE}" pid="24" name="Mendeley Citation Style_1">
    <vt:lpwstr>http://www.zotero.org/styles/vancouver</vt:lpwstr>
  </property>
  <property fmtid="{D5CDD505-2E9C-101B-9397-08002B2CF9AE}" pid="25" name="ContentTypeId">
    <vt:lpwstr>0x010100944458A7C0712848A6CA925AE8B6D73F</vt:lpwstr>
  </property>
</Properties>
</file>